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DAADE">
      <w:pPr>
        <w:ind w:firstLine="723" w:firstLineChars="1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bookmarkStart w:id="0" w:name="_Toc434315322"/>
    </w:p>
    <w:p w14:paraId="2EE8B04F">
      <w:pPr>
        <w:ind w:firstLine="1446" w:firstLineChars="2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t>广西华霖招标有限公司</w:t>
      </w:r>
    </w:p>
    <w:p w14:paraId="63DFB637">
      <w:pPr>
        <w:ind w:firstLine="723" w:firstLineChars="1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p>
    <w:p w14:paraId="42EC4435">
      <w:pPr>
        <w:jc w:val="center"/>
        <w:rPr>
          <w:rFonts w:hint="eastAsia" w:ascii="宋体" w:hAnsi="宋体" w:eastAsia="宋体" w:cs="宋体"/>
          <w:b/>
          <w:i w:val="0"/>
          <w:iCs w:val="0"/>
          <w:color w:val="auto"/>
          <w:spacing w:val="0"/>
          <w:position w:val="0"/>
          <w:sz w:val="72"/>
          <w:szCs w:val="72"/>
          <w:highlight w:val="none"/>
          <w:lang w:eastAsia="zh-CN"/>
        </w:rPr>
      </w:pPr>
    </w:p>
    <w:p w14:paraId="63D6DEDF">
      <w:pPr>
        <w:ind w:left="0" w:leftChars="0" w:firstLine="0" w:firstLineChars="0"/>
        <w:jc w:val="center"/>
        <w:rPr>
          <w:rFonts w:hint="eastAsia" w:ascii="宋体" w:hAnsi="宋体" w:eastAsia="宋体" w:cs="宋体"/>
          <w:b/>
          <w:i w:val="0"/>
          <w:iCs w:val="0"/>
          <w:color w:val="auto"/>
          <w:spacing w:val="0"/>
          <w:position w:val="0"/>
          <w:sz w:val="72"/>
          <w:szCs w:val="72"/>
          <w:highlight w:val="none"/>
          <w:lang w:eastAsia="zh-CN"/>
        </w:rPr>
      </w:pPr>
      <w:r>
        <w:rPr>
          <w:rFonts w:hint="eastAsia" w:ascii="宋体" w:hAnsi="宋体" w:eastAsia="宋体" w:cs="宋体"/>
          <w:b/>
          <w:i w:val="0"/>
          <w:iCs w:val="0"/>
          <w:color w:val="auto"/>
          <w:spacing w:val="0"/>
          <w:position w:val="0"/>
          <w:sz w:val="72"/>
          <w:szCs w:val="72"/>
          <w:highlight w:val="none"/>
          <w:lang w:eastAsia="zh-CN"/>
        </w:rPr>
        <w:t>竞争性磋商文件</w:t>
      </w:r>
    </w:p>
    <w:p w14:paraId="3BCA6D38">
      <w:pPr>
        <w:ind w:left="0" w:leftChars="0" w:firstLine="0" w:firstLineChars="0"/>
        <w:jc w:val="center"/>
        <w:rPr>
          <w:rFonts w:hint="eastAsia" w:ascii="宋体" w:hAnsi="宋体" w:eastAsia="宋体" w:cs="宋体"/>
          <w:b/>
          <w:i w:val="0"/>
          <w:iCs w:val="0"/>
          <w:color w:val="auto"/>
          <w:spacing w:val="0"/>
          <w:position w:val="0"/>
          <w:sz w:val="72"/>
          <w:szCs w:val="72"/>
          <w:highlight w:val="none"/>
          <w:lang w:eastAsia="zh-CN"/>
        </w:rPr>
      </w:pPr>
    </w:p>
    <w:p w14:paraId="4AFB880B">
      <w:pPr>
        <w:spacing w:line="460" w:lineRule="exact"/>
        <w:ind w:firstLine="24937" w:firstLineChars="6900"/>
        <w:jc w:val="both"/>
        <w:rPr>
          <w:rFonts w:hint="eastAsia" w:ascii="宋体" w:hAnsi="宋体" w:eastAsia="宋体" w:cs="宋体"/>
          <w:b/>
          <w:bCs/>
          <w:color w:val="auto"/>
          <w:spacing w:val="0"/>
          <w:position w:val="0"/>
          <w:sz w:val="36"/>
          <w:szCs w:val="36"/>
          <w:highlight w:val="none"/>
          <w:lang w:val="en-US" w:eastAsia="zh-CN"/>
        </w:rPr>
      </w:pPr>
    </w:p>
    <w:p w14:paraId="10207411">
      <w:pPr>
        <w:spacing w:line="460" w:lineRule="exact"/>
        <w:ind w:firstLine="24937" w:firstLineChars="6900"/>
        <w:jc w:val="both"/>
        <w:rPr>
          <w:rFonts w:hint="eastAsia" w:ascii="宋体" w:hAnsi="宋体" w:eastAsia="宋体" w:cs="宋体"/>
          <w:b/>
          <w:bCs/>
          <w:color w:val="auto"/>
          <w:spacing w:val="0"/>
          <w:position w:val="0"/>
          <w:sz w:val="36"/>
          <w:szCs w:val="36"/>
          <w:highlight w:val="none"/>
          <w:lang w:val="en-US" w:eastAsia="zh-CN"/>
        </w:rPr>
      </w:pPr>
    </w:p>
    <w:p w14:paraId="4654C7F2">
      <w:pPr>
        <w:keepNext w:val="0"/>
        <w:keepLines w:val="0"/>
        <w:pageBreakBefore w:val="0"/>
        <w:widowControl w:val="0"/>
        <w:kinsoku/>
        <w:wordWrap/>
        <w:overflowPunct/>
        <w:topLinePunct w:val="0"/>
        <w:autoSpaceDE/>
        <w:autoSpaceDN/>
        <w:bidi w:val="0"/>
        <w:adjustRightInd/>
        <w:snapToGrid/>
        <w:spacing w:line="720" w:lineRule="auto"/>
        <w:ind w:left="596" w:leftChars="284" w:firstLine="0" w:firstLineChars="0"/>
        <w:textAlignment w:val="auto"/>
        <w:rPr>
          <w:rFonts w:hint="eastAsia" w:ascii="宋体" w:hAnsi="宋体" w:cs="宋体"/>
          <w:b/>
          <w:bCs/>
          <w:i w:val="0"/>
          <w:iCs w:val="0"/>
          <w:color w:val="auto"/>
          <w:spacing w:val="0"/>
          <w:position w:val="0"/>
          <w:sz w:val="30"/>
          <w:szCs w:val="30"/>
          <w:highlight w:val="none"/>
          <w:lang w:eastAsia="zh-CN"/>
        </w:rPr>
      </w:pPr>
      <w:r>
        <w:rPr>
          <w:rFonts w:hint="eastAsia" w:ascii="宋体" w:hAnsi="宋体" w:eastAsia="宋体" w:cs="宋体"/>
          <w:b/>
          <w:bCs/>
          <w:i w:val="0"/>
          <w:iCs w:val="0"/>
          <w:color w:val="auto"/>
          <w:spacing w:val="0"/>
          <w:position w:val="0"/>
          <w:sz w:val="30"/>
          <w:szCs w:val="30"/>
          <w:highlight w:val="none"/>
        </w:rPr>
        <w:t>项目名称：</w:t>
      </w:r>
      <w:r>
        <w:rPr>
          <w:rFonts w:hint="eastAsia" w:ascii="宋体" w:hAnsi="宋体" w:cs="宋体"/>
          <w:b/>
          <w:bCs/>
          <w:i w:val="0"/>
          <w:iCs w:val="0"/>
          <w:color w:val="auto"/>
          <w:spacing w:val="0"/>
          <w:position w:val="0"/>
          <w:sz w:val="30"/>
          <w:szCs w:val="30"/>
          <w:highlight w:val="none"/>
          <w:lang w:eastAsia="zh-CN"/>
        </w:rPr>
        <w:t>2025年江城街道平六社区地枝村农田水利工程</w:t>
      </w:r>
    </w:p>
    <w:p w14:paraId="6C3C3864">
      <w:pPr>
        <w:keepNext w:val="0"/>
        <w:keepLines w:val="0"/>
        <w:pageBreakBefore w:val="0"/>
        <w:widowControl w:val="0"/>
        <w:kinsoku/>
        <w:wordWrap/>
        <w:overflowPunct/>
        <w:topLinePunct w:val="0"/>
        <w:autoSpaceDE/>
        <w:autoSpaceDN/>
        <w:bidi w:val="0"/>
        <w:adjustRightInd/>
        <w:snapToGrid/>
        <w:spacing w:line="720" w:lineRule="auto"/>
        <w:ind w:left="596" w:leftChars="284" w:firstLine="0" w:firstLineChars="0"/>
        <w:textAlignment w:val="auto"/>
        <w:rPr>
          <w:rFonts w:hint="eastAsia" w:ascii="宋体" w:hAnsi="宋体" w:eastAsia="宋体" w:cs="宋体"/>
          <w:b/>
          <w:bCs/>
          <w:i w:val="0"/>
          <w:iCs w:val="0"/>
          <w:color w:val="auto"/>
          <w:spacing w:val="0"/>
          <w:position w:val="0"/>
          <w:sz w:val="30"/>
          <w:szCs w:val="30"/>
          <w:highlight w:val="none"/>
          <w:lang w:eastAsia="zh-CN"/>
        </w:rPr>
      </w:pPr>
      <w:r>
        <w:rPr>
          <w:rFonts w:hint="eastAsia" w:ascii="宋体" w:hAnsi="宋体" w:eastAsia="宋体" w:cs="宋体"/>
          <w:b/>
          <w:bCs/>
          <w:i w:val="0"/>
          <w:iCs w:val="0"/>
          <w:color w:val="auto"/>
          <w:spacing w:val="0"/>
          <w:position w:val="0"/>
          <w:sz w:val="30"/>
          <w:szCs w:val="30"/>
          <w:highlight w:val="none"/>
        </w:rPr>
        <w:t>项目编号：QZZC2025-C2-220065-GXHL</w:t>
      </w:r>
    </w:p>
    <w:p w14:paraId="058C7D3D">
      <w:pPr>
        <w:keepNext w:val="0"/>
        <w:keepLines w:val="0"/>
        <w:pageBreakBefore w:val="0"/>
        <w:widowControl w:val="0"/>
        <w:kinsoku/>
        <w:wordWrap/>
        <w:overflowPunct/>
        <w:topLinePunct w:val="0"/>
        <w:autoSpaceDE/>
        <w:autoSpaceDN/>
        <w:bidi w:val="0"/>
        <w:adjustRightInd/>
        <w:snapToGrid/>
        <w:spacing w:line="720" w:lineRule="auto"/>
        <w:ind w:firstLine="602" w:firstLineChars="200"/>
        <w:textAlignment w:val="auto"/>
        <w:rPr>
          <w:rFonts w:hint="eastAsia" w:ascii="宋体" w:hAnsi="宋体" w:eastAsia="宋体" w:cs="宋体"/>
          <w:b/>
          <w:i w:val="0"/>
          <w:iCs w:val="0"/>
          <w:color w:val="auto"/>
          <w:spacing w:val="0"/>
          <w:position w:val="0"/>
          <w:sz w:val="30"/>
          <w:szCs w:val="30"/>
          <w:highlight w:val="none"/>
          <w:lang w:eastAsia="zh-CN"/>
        </w:rPr>
      </w:pPr>
      <w:r>
        <w:rPr>
          <w:rFonts w:hint="eastAsia" w:ascii="宋体" w:hAnsi="宋体" w:eastAsia="宋体" w:cs="宋体"/>
          <w:b/>
          <w:i w:val="0"/>
          <w:iCs w:val="0"/>
          <w:color w:val="auto"/>
          <w:spacing w:val="0"/>
          <w:position w:val="0"/>
          <w:sz w:val="30"/>
          <w:szCs w:val="30"/>
          <w:highlight w:val="none"/>
          <w:lang w:eastAsia="zh-CN"/>
        </w:rPr>
        <w:t>采购人</w:t>
      </w:r>
      <w:r>
        <w:rPr>
          <w:rFonts w:hint="eastAsia" w:ascii="宋体" w:hAnsi="宋体" w:eastAsia="宋体" w:cs="宋体"/>
          <w:b/>
          <w:i w:val="0"/>
          <w:iCs w:val="0"/>
          <w:color w:val="auto"/>
          <w:spacing w:val="0"/>
          <w:position w:val="0"/>
          <w:sz w:val="30"/>
          <w:szCs w:val="30"/>
          <w:highlight w:val="none"/>
        </w:rPr>
        <w:t>：</w:t>
      </w:r>
      <w:r>
        <w:rPr>
          <w:rFonts w:hint="eastAsia" w:ascii="宋体" w:hAnsi="宋体" w:cs="宋体"/>
          <w:b/>
          <w:i w:val="0"/>
          <w:iCs w:val="0"/>
          <w:color w:val="auto"/>
          <w:spacing w:val="0"/>
          <w:position w:val="0"/>
          <w:sz w:val="30"/>
          <w:szCs w:val="30"/>
          <w:highlight w:val="none"/>
          <w:lang w:eastAsia="zh-CN"/>
        </w:rPr>
        <w:t>浦北县农业农村局</w:t>
      </w:r>
    </w:p>
    <w:p w14:paraId="0B4E222F">
      <w:pPr>
        <w:keepNext w:val="0"/>
        <w:keepLines w:val="0"/>
        <w:pageBreakBefore w:val="0"/>
        <w:widowControl w:val="0"/>
        <w:kinsoku/>
        <w:wordWrap/>
        <w:overflowPunct/>
        <w:topLinePunct w:val="0"/>
        <w:autoSpaceDE/>
        <w:autoSpaceDN/>
        <w:bidi w:val="0"/>
        <w:adjustRightInd/>
        <w:snapToGrid/>
        <w:spacing w:line="720" w:lineRule="auto"/>
        <w:ind w:firstLine="602" w:firstLineChars="200"/>
        <w:textAlignment w:val="auto"/>
        <w:rPr>
          <w:rFonts w:hint="eastAsia" w:ascii="宋体" w:hAnsi="宋体" w:cs="宋体"/>
          <w:b/>
          <w:i w:val="0"/>
          <w:iCs w:val="0"/>
          <w:color w:val="auto"/>
          <w:spacing w:val="0"/>
          <w:position w:val="0"/>
          <w:sz w:val="30"/>
          <w:szCs w:val="30"/>
          <w:highlight w:val="none"/>
          <w:lang w:eastAsia="zh-CN"/>
        </w:rPr>
      </w:pPr>
      <w:r>
        <w:rPr>
          <w:rFonts w:hint="eastAsia" w:ascii="宋体" w:hAnsi="宋体" w:eastAsia="宋体" w:cs="宋体"/>
          <w:b/>
          <w:i w:val="0"/>
          <w:iCs w:val="0"/>
          <w:color w:val="auto"/>
          <w:spacing w:val="0"/>
          <w:position w:val="0"/>
          <w:sz w:val="30"/>
          <w:szCs w:val="30"/>
          <w:highlight w:val="none"/>
        </w:rPr>
        <w:t>采购代理机构：</w:t>
      </w:r>
      <w:r>
        <w:rPr>
          <w:rFonts w:hint="eastAsia" w:ascii="宋体" w:hAnsi="宋体" w:cs="宋体"/>
          <w:b/>
          <w:i w:val="0"/>
          <w:iCs w:val="0"/>
          <w:color w:val="auto"/>
          <w:spacing w:val="0"/>
          <w:position w:val="0"/>
          <w:sz w:val="30"/>
          <w:szCs w:val="30"/>
          <w:highlight w:val="none"/>
          <w:lang w:eastAsia="zh-CN"/>
        </w:rPr>
        <w:t>广西华霖招标有限公司</w:t>
      </w:r>
    </w:p>
    <w:p w14:paraId="258BF58C">
      <w:pPr>
        <w:keepNext w:val="0"/>
        <w:keepLines w:val="0"/>
        <w:pageBreakBefore w:val="0"/>
        <w:widowControl w:val="0"/>
        <w:kinsoku/>
        <w:wordWrap/>
        <w:overflowPunct/>
        <w:topLinePunct w:val="0"/>
        <w:autoSpaceDE/>
        <w:autoSpaceDN/>
        <w:bidi w:val="0"/>
        <w:adjustRightInd/>
        <w:snapToGrid/>
        <w:spacing w:line="720" w:lineRule="auto"/>
        <w:ind w:firstLine="602" w:firstLineChars="200"/>
        <w:jc w:val="center"/>
        <w:textAlignment w:val="auto"/>
        <w:rPr>
          <w:rFonts w:hint="eastAsia" w:ascii="宋体" w:hAnsi="宋体" w:eastAsia="宋体" w:cs="宋体"/>
          <w:b/>
          <w:bCs/>
          <w:color w:val="auto"/>
          <w:spacing w:val="0"/>
          <w:position w:val="0"/>
          <w:sz w:val="36"/>
          <w:szCs w:val="36"/>
          <w:highlight w:val="none"/>
          <w:lang w:val="en-US" w:eastAsia="zh-CN"/>
        </w:rPr>
      </w:pPr>
      <w:r>
        <w:rPr>
          <w:rFonts w:hint="eastAsia" w:ascii="宋体" w:hAnsi="宋体" w:eastAsia="宋体" w:cs="宋体"/>
          <w:b/>
          <w:i w:val="0"/>
          <w:iCs w:val="0"/>
          <w:color w:val="auto"/>
          <w:spacing w:val="0"/>
          <w:position w:val="0"/>
          <w:sz w:val="30"/>
          <w:szCs w:val="30"/>
          <w:highlight w:val="none"/>
        </w:rPr>
        <w:t>202</w:t>
      </w:r>
      <w:r>
        <w:rPr>
          <w:rFonts w:hint="eastAsia" w:ascii="宋体" w:hAnsi="宋体" w:cs="宋体"/>
          <w:b/>
          <w:i w:val="0"/>
          <w:iCs w:val="0"/>
          <w:color w:val="auto"/>
          <w:spacing w:val="0"/>
          <w:position w:val="0"/>
          <w:sz w:val="30"/>
          <w:szCs w:val="30"/>
          <w:highlight w:val="none"/>
          <w:lang w:val="en-US" w:eastAsia="zh-CN"/>
        </w:rPr>
        <w:t>5</w:t>
      </w:r>
      <w:r>
        <w:rPr>
          <w:rFonts w:hint="eastAsia" w:ascii="宋体" w:hAnsi="宋体" w:eastAsia="宋体" w:cs="宋体"/>
          <w:b/>
          <w:i w:val="0"/>
          <w:iCs w:val="0"/>
          <w:color w:val="auto"/>
          <w:spacing w:val="0"/>
          <w:position w:val="0"/>
          <w:sz w:val="30"/>
          <w:szCs w:val="30"/>
          <w:highlight w:val="none"/>
        </w:rPr>
        <w:t>年</w:t>
      </w:r>
      <w:r>
        <w:rPr>
          <w:rFonts w:hint="eastAsia" w:ascii="宋体" w:hAnsi="宋体" w:cs="宋体"/>
          <w:b/>
          <w:i w:val="0"/>
          <w:iCs w:val="0"/>
          <w:color w:val="auto"/>
          <w:spacing w:val="0"/>
          <w:position w:val="0"/>
          <w:sz w:val="30"/>
          <w:szCs w:val="30"/>
          <w:highlight w:val="none"/>
          <w:lang w:val="en-US" w:eastAsia="zh-CN"/>
        </w:rPr>
        <w:t>4</w:t>
      </w:r>
      <w:r>
        <w:rPr>
          <w:rFonts w:hint="eastAsia" w:ascii="宋体" w:hAnsi="宋体" w:eastAsia="宋体" w:cs="宋体"/>
          <w:b/>
          <w:i w:val="0"/>
          <w:iCs w:val="0"/>
          <w:color w:val="auto"/>
          <w:spacing w:val="0"/>
          <w:position w:val="0"/>
          <w:sz w:val="30"/>
          <w:szCs w:val="30"/>
          <w:highlight w:val="none"/>
        </w:rPr>
        <w:t>月</w:t>
      </w:r>
      <w:r>
        <w:rPr>
          <w:rFonts w:hint="eastAsia" w:ascii="宋体" w:hAnsi="宋体" w:cs="宋体"/>
          <w:b/>
          <w:i w:val="0"/>
          <w:iCs w:val="0"/>
          <w:color w:val="auto"/>
          <w:spacing w:val="0"/>
          <w:position w:val="0"/>
          <w:sz w:val="30"/>
          <w:szCs w:val="30"/>
          <w:highlight w:val="none"/>
          <w:lang w:val="en-US" w:eastAsia="zh-CN"/>
        </w:rPr>
        <w:t>27</w:t>
      </w:r>
      <w:r>
        <w:rPr>
          <w:rFonts w:hint="eastAsia" w:ascii="宋体" w:hAnsi="宋体" w:eastAsia="宋体" w:cs="宋体"/>
          <w:b/>
          <w:i w:val="0"/>
          <w:iCs w:val="0"/>
          <w:color w:val="auto"/>
          <w:spacing w:val="0"/>
          <w:position w:val="0"/>
          <w:sz w:val="30"/>
          <w:szCs w:val="30"/>
          <w:highlight w:val="none"/>
          <w:lang w:val="en-US" w:eastAsia="zh-CN"/>
        </w:rPr>
        <w:t>日</w:t>
      </w:r>
    </w:p>
    <w:p w14:paraId="246762BD">
      <w:pPr>
        <w:spacing w:line="800" w:lineRule="exact"/>
        <w:rPr>
          <w:rFonts w:hint="eastAsia" w:ascii="宋体" w:hAnsi="宋体" w:eastAsia="宋体" w:cs="宋体"/>
          <w:color w:val="auto"/>
          <w:spacing w:val="0"/>
          <w:w w:val="90"/>
          <w:position w:val="0"/>
          <w:sz w:val="32"/>
          <w:szCs w:val="32"/>
          <w:highlight w:val="none"/>
        </w:rPr>
      </w:pPr>
    </w:p>
    <w:p w14:paraId="4F07E64A">
      <w:pPr>
        <w:spacing w:line="800" w:lineRule="exact"/>
        <w:rPr>
          <w:rFonts w:hint="eastAsia" w:ascii="宋体" w:hAnsi="宋体" w:eastAsia="宋体" w:cs="宋体"/>
          <w:color w:val="auto"/>
          <w:spacing w:val="0"/>
          <w:w w:val="90"/>
          <w:position w:val="0"/>
          <w:sz w:val="32"/>
          <w:szCs w:val="32"/>
          <w:highlight w:val="none"/>
        </w:rPr>
        <w:sectPr>
          <w:headerReference r:id="rId3" w:type="default"/>
          <w:pgSz w:w="11906" w:h="16838"/>
          <w:pgMar w:top="1440" w:right="1080" w:bottom="1440" w:left="460" w:header="851" w:footer="794" w:gutter="567"/>
          <w:pgNumType w:fmt="decimal" w:start="1"/>
          <w:cols w:space="720" w:num="1"/>
        </w:sect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2D2A9028">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1838822C">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67DFECF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D54F393">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84FC999">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E38C90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461C336">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92EF9DE">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 (参考格式)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AAED53C">
          <w:pPr>
            <w:pStyle w:val="20"/>
            <w:tabs>
              <w:tab w:val="right" w:leader="dot" w:pos="9799"/>
            </w:tabs>
            <w:spacing w:line="360" w:lineRule="auto"/>
            <w:rPr>
              <w:color w:val="auto"/>
              <w:spacing w:val="0"/>
              <w:position w:val="0"/>
              <w:sz w:val="20"/>
              <w:szCs w:val="22"/>
              <w:highlight w:val="none"/>
            </w:rPr>
          </w:pPr>
        </w:p>
        <w:p w14:paraId="7D5D206C">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657B98FD">
      <w:pPr>
        <w:pStyle w:val="10"/>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CAB0F5F">
      <w:pPr>
        <w:tabs>
          <w:tab w:val="left" w:pos="6703"/>
        </w:tabs>
        <w:bidi w:val="0"/>
        <w:jc w:val="left"/>
        <w:rPr>
          <w:rFonts w:hint="eastAsia" w:eastAsia="宋体"/>
          <w:color w:val="auto"/>
          <w:spacing w:val="0"/>
          <w:position w:val="0"/>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552BA3E2">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583419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cs="宋体"/>
          <w:b/>
          <w:bCs/>
          <w:color w:val="auto"/>
          <w:spacing w:val="0"/>
          <w:position w:val="0"/>
          <w:sz w:val="32"/>
          <w:szCs w:val="32"/>
          <w:highlight w:val="none"/>
          <w:lang w:eastAsia="zh-CN"/>
        </w:rPr>
        <w:t>广西华霖招标有限公司</w:t>
      </w:r>
      <w:r>
        <w:rPr>
          <w:rFonts w:hint="eastAsia" w:ascii="宋体" w:hAnsi="宋体" w:eastAsia="宋体" w:cs="宋体"/>
          <w:b/>
          <w:bCs/>
          <w:color w:val="auto"/>
          <w:spacing w:val="0"/>
          <w:position w:val="0"/>
          <w:sz w:val="32"/>
          <w:szCs w:val="32"/>
          <w:highlight w:val="none"/>
          <w:lang w:eastAsia="zh-CN"/>
        </w:rPr>
        <w:t>关于</w:t>
      </w:r>
      <w:r>
        <w:rPr>
          <w:rFonts w:hint="eastAsia" w:ascii="宋体" w:hAnsi="宋体" w:cs="宋体"/>
          <w:b/>
          <w:bCs/>
          <w:color w:val="auto"/>
          <w:spacing w:val="0"/>
          <w:position w:val="0"/>
          <w:sz w:val="32"/>
          <w:szCs w:val="32"/>
          <w:highlight w:val="none"/>
          <w:lang w:eastAsia="zh-CN"/>
        </w:rPr>
        <w:t>2025年江城街道平六社区地枝村农田水利工程（QZZC2025-C2-220065-GXHL）</w:t>
      </w:r>
      <w:r>
        <w:rPr>
          <w:rFonts w:hint="eastAsia" w:ascii="宋体" w:hAnsi="宋体" w:eastAsia="宋体" w:cs="宋体"/>
          <w:b/>
          <w:bCs/>
          <w:color w:val="auto"/>
          <w:spacing w:val="0"/>
          <w:position w:val="0"/>
          <w:sz w:val="32"/>
          <w:szCs w:val="32"/>
          <w:highlight w:val="none"/>
          <w:lang w:eastAsia="zh-CN"/>
        </w:rPr>
        <w:t>的竞争性磋商公告</w:t>
      </w:r>
    </w:p>
    <w:p w14:paraId="7857031C">
      <w:pPr>
        <w:keepNext w:val="0"/>
        <w:keepLines w:val="0"/>
        <w:pageBreakBefore w:val="0"/>
        <w:widowControl w:val="0"/>
        <w:kinsoku/>
        <w:wordWrap/>
        <w:overflowPunct/>
        <w:topLinePunct w:val="0"/>
        <w:autoSpaceDE/>
        <w:autoSpaceDN/>
        <w:bidi w:val="0"/>
        <w:adjustRightInd/>
        <w:snapToGrid/>
        <w:spacing w:after="0" w:afterLines="50" w:line="460" w:lineRule="exact"/>
        <w:jc w:val="both"/>
        <w:textAlignment w:val="auto"/>
        <w:rPr>
          <w:rFonts w:hint="eastAsia" w:ascii="宋体" w:hAnsi="宋体" w:eastAsia="宋体"/>
          <w:b/>
          <w:color w:val="auto"/>
          <w:spacing w:val="0"/>
          <w:position w:val="0"/>
          <w:sz w:val="30"/>
          <w:szCs w:val="30"/>
          <w:highlight w:val="none"/>
          <w:lang w:eastAsia="zh-CN"/>
        </w:rPr>
      </w:pPr>
    </w:p>
    <w:tbl>
      <w:tblPr>
        <w:tblStyle w:val="3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BC5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149566E">
            <w:pPr>
              <w:pageBreakBefore w:val="0"/>
              <w:kinsoku/>
              <w:overflowPunct/>
              <w:topLinePunct w:val="0"/>
              <w:bidi w:val="0"/>
              <w:spacing w:line="420" w:lineRule="exac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项目概况</w:t>
            </w:r>
          </w:p>
          <w:p w14:paraId="454734B3">
            <w:pPr>
              <w:pageBreakBefore w:val="0"/>
              <w:kinsoku/>
              <w:overflowPunct/>
              <w:topLinePunct w:val="0"/>
              <w:bidi w:val="0"/>
              <w:spacing w:line="420" w:lineRule="exact"/>
              <w:ind w:firstLine="420" w:firstLineChars="200"/>
              <w:textAlignment w:val="auto"/>
              <w:rPr>
                <w:color w:val="auto"/>
                <w:spacing w:val="0"/>
                <w:position w:val="0"/>
                <w:highlight w:val="none"/>
              </w:rPr>
            </w:pPr>
            <w:r>
              <w:rPr>
                <w:rFonts w:hint="eastAsia" w:ascii="宋体" w:hAnsi="宋体" w:cs="宋体"/>
                <w:color w:val="auto"/>
                <w:spacing w:val="0"/>
                <w:position w:val="0"/>
                <w:szCs w:val="21"/>
                <w:highlight w:val="none"/>
                <w:u w:val="single"/>
                <w:lang w:val="en-US" w:eastAsia="zh-CN"/>
              </w:rPr>
              <w:t>2025年江城街道平六社区地枝村农田水利工程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w:t>
            </w:r>
            <w:r>
              <w:rPr>
                <w:rFonts w:hint="eastAsia" w:ascii="宋体" w:hAnsi="宋体" w:eastAsia="宋体" w:cs="宋体"/>
                <w:color w:val="auto"/>
                <w:spacing w:val="0"/>
                <w:position w:val="0"/>
                <w:szCs w:val="21"/>
                <w:highlight w:val="none"/>
                <w:u w:val="single"/>
                <w:lang w:eastAsia="zh-CN"/>
              </w:rPr>
              <w:t>（https://www.zcygov.cn）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12</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14</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30</w:t>
            </w:r>
            <w:r>
              <w:rPr>
                <w:rFonts w:hint="eastAsia" w:ascii="宋体" w:hAnsi="宋体" w:cs="宋体"/>
                <w:b/>
                <w:bCs/>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7D690504">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3" w:name="_Toc31859"/>
      <w:bookmarkStart w:id="4" w:name="_Toc9324"/>
      <w:bookmarkStart w:id="5" w:name="_Toc28359089"/>
      <w:bookmarkStart w:id="6" w:name="_Toc35393798"/>
      <w:bookmarkStart w:id="7" w:name="_Toc28359012"/>
      <w:bookmarkStart w:id="8" w:name="_Toc35393629"/>
      <w:r>
        <w:rPr>
          <w:rFonts w:hint="eastAsia" w:ascii="宋体" w:hAnsi="宋体" w:eastAsia="宋体" w:cs="宋体"/>
          <w:bCs w:val="0"/>
          <w:color w:val="auto"/>
          <w:spacing w:val="0"/>
          <w:position w:val="0"/>
          <w:sz w:val="21"/>
          <w:szCs w:val="21"/>
          <w:highlight w:val="none"/>
        </w:rPr>
        <w:t>一、项目基本情况</w:t>
      </w:r>
      <w:bookmarkEnd w:id="3"/>
      <w:bookmarkEnd w:id="4"/>
      <w:bookmarkEnd w:id="5"/>
      <w:bookmarkEnd w:id="6"/>
      <w:bookmarkEnd w:id="7"/>
      <w:bookmarkEnd w:id="8"/>
    </w:p>
    <w:p w14:paraId="71323CC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项目编号：QZZC2025-C2-220065-GXHL</w:t>
      </w:r>
    </w:p>
    <w:p w14:paraId="50AF3E1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2025年江城街道平六社区地枝村农田水利工程</w:t>
      </w:r>
    </w:p>
    <w:p w14:paraId="5FB352B8">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53A652F">
      <w:pPr>
        <w:pageBreakBefore w:val="0"/>
        <w:kinsoku/>
        <w:overflowPunct/>
        <w:topLinePunct w:val="0"/>
        <w:bidi w:val="0"/>
        <w:spacing w:line="420" w:lineRule="exact"/>
        <w:ind w:firstLine="420" w:firstLineChars="200"/>
        <w:textAlignment w:val="auto"/>
        <w:rPr>
          <w:rFonts w:hint="default" w:ascii="宋体" w:hAnsi="宋体" w:cs="宋体"/>
          <w:color w:val="auto"/>
          <w:spacing w:val="0"/>
          <w:position w:val="0"/>
          <w:sz w:val="24"/>
          <w:highlight w:val="none"/>
          <w:lang w:val="en-US"/>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u w:val="none"/>
          <w:lang w:val="en-US" w:eastAsia="zh-CN"/>
        </w:rPr>
        <w:t>：1071161.69</w:t>
      </w:r>
    </w:p>
    <w:p w14:paraId="7EB0114B">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采购需求：</w:t>
      </w:r>
    </w:p>
    <w:p w14:paraId="04E2D684">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u w:val="none"/>
          <w:lang w:val="en-US" w:eastAsia="zh-CN"/>
        </w:rPr>
        <w:t>2025年江城街道平六社区地枝村农田水利工程</w:t>
      </w:r>
    </w:p>
    <w:p w14:paraId="51DBFCEE">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val="en-US" w:eastAsia="zh-CN"/>
        </w:rPr>
        <w:t>1</w:t>
      </w:r>
    </w:p>
    <w:p w14:paraId="594F276A">
      <w:pPr>
        <w:pageBreakBefore w:val="0"/>
        <w:widowControl w:val="0"/>
        <w:kinsoku/>
        <w:wordWrap/>
        <w:overflowPunct/>
        <w:topLinePunct w:val="0"/>
        <w:bidi w:val="0"/>
        <w:adjustRightInd/>
        <w:spacing w:line="420" w:lineRule="exact"/>
        <w:ind w:left="420" w:leftChars="200" w:firstLine="0" w:firstLineChars="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预算金额（元）:1071161.69</w:t>
      </w:r>
    </w:p>
    <w:p w14:paraId="64F2CF92">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简要规格描述或项目基本概况介绍、用途：2025年江城街道平六社区地枝村农田水利工程，主要工程措施为：新建渠道（1808米，其中:60*80cm长1134米，40*60cm长351米，40*40cm长323米）、涵管、过沟渠盖板等附属构造物</w:t>
      </w:r>
      <w:r>
        <w:rPr>
          <w:rFonts w:hint="eastAsia" w:ascii="宋体" w:hAnsi="宋体" w:cs="宋体"/>
          <w:color w:val="auto"/>
          <w:spacing w:val="0"/>
          <w:position w:val="0"/>
          <w:szCs w:val="21"/>
          <w:highlight w:val="none"/>
          <w:u w:val="none"/>
          <w:lang w:val="en-US" w:eastAsia="zh-CN"/>
        </w:rPr>
        <w:t xml:space="preserve">（具体详见施工图纸及工程量清单）。  </w:t>
      </w:r>
    </w:p>
    <w:p w14:paraId="225F99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最高限价（如有）：909760.23</w:t>
      </w:r>
    </w:p>
    <w:p w14:paraId="61B4ABC8">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合同履约期限：</w:t>
      </w:r>
      <w:r>
        <w:rPr>
          <w:rFonts w:hint="eastAsia" w:ascii="宋体" w:hAnsi="宋体" w:cs="宋体"/>
          <w:color w:val="auto"/>
          <w:spacing w:val="0"/>
          <w:position w:val="0"/>
          <w:szCs w:val="21"/>
          <w:highlight w:val="none"/>
          <w:lang w:eastAsia="zh-CN"/>
        </w:rPr>
        <w:t>施工工期210日历天。</w:t>
      </w:r>
    </w:p>
    <w:p w14:paraId="23CA487D">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w:t>
      </w:r>
      <w:r>
        <w:rPr>
          <w:rFonts w:hint="eastAsia" w:ascii="宋体" w:hAnsi="宋体" w:cs="宋体"/>
          <w:b/>
          <w:bCs/>
          <w:color w:val="auto"/>
          <w:spacing w:val="0"/>
          <w:position w:val="0"/>
          <w:szCs w:val="21"/>
          <w:highlight w:val="none"/>
        </w:rPr>
        <w:t>（否）</w:t>
      </w:r>
      <w:r>
        <w:rPr>
          <w:rFonts w:hint="eastAsia" w:ascii="宋体" w:hAnsi="宋体" w:cs="宋体"/>
          <w:color w:val="auto"/>
          <w:spacing w:val="0"/>
          <w:position w:val="0"/>
          <w:szCs w:val="21"/>
          <w:highlight w:val="none"/>
        </w:rPr>
        <w:t>接受联合体投标</w:t>
      </w:r>
    </w:p>
    <w:p w14:paraId="7EC323E3">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74A1792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9" w:name="_Toc21513"/>
      <w:bookmarkStart w:id="10" w:name="_Toc35393799"/>
      <w:bookmarkStart w:id="11" w:name="_Toc28359013"/>
      <w:bookmarkStart w:id="12" w:name="_Toc28359090"/>
      <w:bookmarkStart w:id="13" w:name="_Toc35393630"/>
      <w:r>
        <w:rPr>
          <w:rFonts w:hint="eastAsia" w:ascii="宋体" w:hAnsi="宋体" w:eastAsia="宋体" w:cs="宋体"/>
          <w:bCs w:val="0"/>
          <w:color w:val="auto"/>
          <w:spacing w:val="0"/>
          <w:position w:val="0"/>
          <w:sz w:val="21"/>
          <w:szCs w:val="21"/>
          <w:highlight w:val="none"/>
        </w:rPr>
        <w:t>二、申请人的资格要求：</w:t>
      </w:r>
      <w:bookmarkEnd w:id="9"/>
      <w:bookmarkEnd w:id="10"/>
      <w:bookmarkEnd w:id="11"/>
      <w:bookmarkEnd w:id="12"/>
      <w:bookmarkEnd w:id="13"/>
    </w:p>
    <w:p w14:paraId="3508BA07">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1E7113B4">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 w:val="0"/>
          <w:bCs w:val="0"/>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b w:val="0"/>
          <w:bCs w:val="0"/>
          <w:color w:val="auto"/>
          <w:spacing w:val="0"/>
          <w:position w:val="0"/>
          <w:szCs w:val="21"/>
          <w:highlight w:val="none"/>
          <w:lang w:eastAsia="zh-CN"/>
        </w:rPr>
        <w:t>本项目属于专门面向中小企业采购的项目，供应商须为中小企业或监狱企业或残疾人福利性单位。</w:t>
      </w:r>
    </w:p>
    <w:p w14:paraId="7A3415F5">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pacing w:val="0"/>
          <w:position w:val="0"/>
          <w:sz w:val="21"/>
          <w:szCs w:val="21"/>
          <w:highlight w:val="none"/>
        </w:rPr>
      </w:pPr>
      <w:bookmarkStart w:id="14" w:name="_Toc28359091"/>
      <w:bookmarkStart w:id="15" w:name="_Toc28359014"/>
      <w:r>
        <w:rPr>
          <w:rFonts w:hint="eastAsia" w:hAnsi="宋体" w:cs="宋体"/>
          <w:color w:val="auto"/>
          <w:spacing w:val="0"/>
          <w:position w:val="0"/>
          <w:sz w:val="21"/>
          <w:szCs w:val="21"/>
          <w:highlight w:val="none"/>
        </w:rPr>
        <w:t>3.本项目的特定资格要求：</w:t>
      </w:r>
    </w:p>
    <w:p w14:paraId="47C86543">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lang w:val="en-US" w:eastAsia="zh-CN"/>
        </w:rPr>
        <w:t>1</w:t>
      </w:r>
      <w:r>
        <w:rPr>
          <w:rFonts w:hint="eastAsia" w:hAnsi="宋体" w:cs="宋体"/>
          <w:color w:val="auto"/>
          <w:spacing w:val="0"/>
          <w:position w:val="0"/>
          <w:sz w:val="21"/>
          <w:szCs w:val="21"/>
          <w:highlight w:val="none"/>
          <w:lang w:eastAsia="zh-CN"/>
        </w:rPr>
        <w:t>）竞标人须具备</w:t>
      </w:r>
      <w:r>
        <w:rPr>
          <w:rFonts w:hint="eastAsia" w:hAnsi="宋体" w:cs="宋体"/>
          <w:b/>
          <w:bCs/>
          <w:color w:val="auto"/>
          <w:spacing w:val="0"/>
          <w:position w:val="0"/>
          <w:sz w:val="21"/>
          <w:szCs w:val="21"/>
          <w:highlight w:val="none"/>
          <w:lang w:eastAsia="zh-CN"/>
        </w:rPr>
        <w:t>水利水电或市政公用工程施工总承包三级（含三级）以上资质</w:t>
      </w:r>
      <w:r>
        <w:rPr>
          <w:rFonts w:hint="eastAsia" w:hAnsi="宋体" w:cs="宋体"/>
          <w:color w:val="auto"/>
          <w:spacing w:val="0"/>
          <w:position w:val="0"/>
          <w:sz w:val="21"/>
          <w:szCs w:val="21"/>
          <w:highlight w:val="none"/>
          <w:lang w:eastAsia="zh-CN"/>
        </w:rPr>
        <w:t>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663AC14D">
      <w:pPr>
        <w:keepNext w:val="0"/>
        <w:keepLines w:val="0"/>
        <w:pageBreakBefore w:val="0"/>
        <w:kinsoku/>
        <w:wordWrap/>
        <w:overflowPunct/>
        <w:topLinePunct w:val="0"/>
        <w:bidi w:val="0"/>
        <w:spacing w:line="420" w:lineRule="exact"/>
        <w:ind w:firstLine="420" w:firstLineChars="200"/>
        <w:textAlignment w:val="auto"/>
        <w:rPr>
          <w:rFonts w:hint="eastAsia" w:asciiTheme="minorEastAsia" w:hAnsiTheme="minorEastAsia" w:eastAsiaTheme="minorEastAsia" w:cstheme="minorEastAsia"/>
          <w:b/>
          <w:bCs/>
          <w:color w:val="auto"/>
          <w:spacing w:val="0"/>
          <w:position w:val="0"/>
          <w:sz w:val="21"/>
          <w:szCs w:val="21"/>
          <w:highlight w:val="none"/>
          <w:lang w:eastAsia="zh-CN"/>
        </w:rPr>
      </w:pP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w:t>
      </w:r>
      <w:r>
        <w:rPr>
          <w:rFonts w:hint="eastAsia" w:asciiTheme="minorEastAsia" w:hAnsiTheme="minorEastAsia" w:eastAsiaTheme="minorEastAsia" w:cstheme="minorEastAsia"/>
          <w:b/>
          <w:bCs/>
          <w:color w:val="auto"/>
          <w:spacing w:val="0"/>
          <w:position w:val="0"/>
          <w:sz w:val="21"/>
          <w:szCs w:val="21"/>
          <w:highlight w:val="none"/>
          <w:lang w:eastAsia="zh-CN"/>
        </w:rPr>
        <w:t>水利水电或市政公用工程专业二级（含二级）以上</w:t>
      </w:r>
      <w:r>
        <w:rPr>
          <w:rFonts w:hint="eastAsia" w:asciiTheme="minorEastAsia" w:hAnsiTheme="minorEastAsia" w:eastAsiaTheme="minorEastAsia" w:cstheme="minorEastAsia"/>
          <w:color w:val="auto"/>
          <w:spacing w:val="0"/>
          <w:position w:val="0"/>
          <w:sz w:val="21"/>
          <w:szCs w:val="21"/>
          <w:highlight w:val="none"/>
          <w:lang w:eastAsia="zh-CN"/>
        </w:rPr>
        <w:t>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b/>
          <w:bCs/>
          <w:color w:val="auto"/>
          <w:spacing w:val="0"/>
          <w:position w:val="0"/>
          <w:sz w:val="21"/>
          <w:szCs w:val="21"/>
          <w:highlight w:val="none"/>
          <w:lang w:val="en-US" w:eastAsia="zh-CN"/>
        </w:rPr>
        <w:t>拟派的项目经理须无在建项目、已中标或者已列为其他项目中标候选人第一名的建造师作为项目经理。 100万元以下的小型项目（同一行政区域内），拟派的项目经理不得参与超过两个在建或中标项目</w:t>
      </w:r>
      <w:r>
        <w:rPr>
          <w:rFonts w:hint="eastAsia" w:asciiTheme="minorEastAsia" w:hAnsiTheme="minorEastAsia" w:eastAsiaTheme="minorEastAsia" w:cstheme="minorEastAsia"/>
          <w:b/>
          <w:bCs/>
          <w:color w:val="auto"/>
          <w:spacing w:val="0"/>
          <w:position w:val="0"/>
          <w:sz w:val="21"/>
          <w:szCs w:val="21"/>
          <w:highlight w:val="none"/>
          <w:lang w:eastAsia="zh-CN"/>
        </w:rPr>
        <w:t>。（须提供承诺书）</w:t>
      </w:r>
    </w:p>
    <w:p w14:paraId="51EC25E5">
      <w:pPr>
        <w:keepNext w:val="0"/>
        <w:keepLines w:val="0"/>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kern w:val="0"/>
          <w:position w:val="0"/>
          <w:sz w:val="21"/>
          <w:szCs w:val="21"/>
          <w:highlight w:val="none"/>
          <w:lang w:val="en-US" w:eastAsia="zh-CN" w:bidi="ar-SA"/>
        </w:rPr>
      </w:pPr>
      <w:r>
        <w:rPr>
          <w:rFonts w:hint="eastAsia" w:ascii="宋体" w:hAnsi="宋体" w:eastAsia="宋体" w:cs="宋体"/>
          <w:color w:val="auto"/>
          <w:spacing w:val="0"/>
          <w:kern w:val="0"/>
          <w:position w:val="0"/>
          <w:sz w:val="21"/>
          <w:szCs w:val="21"/>
          <w:highlight w:val="none"/>
          <w:lang w:val="en-US" w:eastAsia="zh-CN" w:bidi="ar-SA"/>
        </w:rPr>
        <w:t>4.供应商出现下列情形之一的，不得参加政府采购活动：</w:t>
      </w:r>
    </w:p>
    <w:p w14:paraId="0C56FBB2">
      <w:pPr>
        <w:keepNext w:val="0"/>
        <w:keepLines w:val="0"/>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37A457">
      <w:pPr>
        <w:keepNext w:val="0"/>
        <w:keepLines w:val="0"/>
        <w:pageBreakBefore w:val="0"/>
        <w:kinsoku/>
        <w:wordWrap/>
        <w:overflowPunct/>
        <w:topLinePunct w:val="0"/>
        <w:bidi w:val="0"/>
        <w:spacing w:line="420" w:lineRule="exact"/>
        <w:ind w:firstLine="420" w:firstLineChars="200"/>
        <w:textAlignment w:val="auto"/>
        <w:rPr>
          <w:rFonts w:hint="default" w:asciiTheme="minorEastAsia" w:hAnsiTheme="minorEastAsia" w:eastAsiaTheme="minorEastAsia" w:cstheme="minorEastAsia"/>
          <w:b/>
          <w:bCs/>
          <w:color w:val="auto"/>
          <w:spacing w:val="0"/>
          <w:position w:val="0"/>
          <w:sz w:val="21"/>
          <w:szCs w:val="21"/>
          <w:highlight w:val="none"/>
          <w:lang w:val="en-US" w:eastAsia="zh-CN"/>
        </w:rPr>
      </w:pP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96B0833">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16" w:name="_Toc13777"/>
      <w:bookmarkStart w:id="17" w:name="_Toc35393631"/>
      <w:bookmarkStart w:id="18" w:name="_Toc9125"/>
      <w:bookmarkStart w:id="19" w:name="_Toc35393800"/>
      <w:r>
        <w:rPr>
          <w:rFonts w:hint="eastAsia" w:ascii="宋体" w:hAnsi="宋体" w:eastAsia="宋体" w:cs="宋体"/>
          <w:bCs w:val="0"/>
          <w:color w:val="auto"/>
          <w:spacing w:val="0"/>
          <w:position w:val="0"/>
          <w:sz w:val="21"/>
          <w:szCs w:val="21"/>
          <w:highlight w:val="none"/>
        </w:rPr>
        <w:t>三、获取采购文件</w:t>
      </w:r>
      <w:bookmarkEnd w:id="14"/>
      <w:bookmarkEnd w:id="15"/>
      <w:bookmarkEnd w:id="16"/>
      <w:bookmarkEnd w:id="17"/>
      <w:bookmarkEnd w:id="18"/>
      <w:bookmarkEnd w:id="19"/>
    </w:p>
    <w:p w14:paraId="3C17913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4</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27</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7</w:t>
      </w:r>
      <w:r>
        <w:rPr>
          <w:rFonts w:hint="eastAsia" w:ascii="宋体" w:hAnsi="宋体" w:cs="宋体"/>
          <w:color w:val="auto"/>
          <w:spacing w:val="0"/>
          <w:position w:val="0"/>
          <w:szCs w:val="21"/>
          <w:highlight w:val="none"/>
          <w:u w:val="none"/>
        </w:rPr>
        <w:t>日，每天上午8:</w:t>
      </w:r>
      <w:r>
        <w:rPr>
          <w:rFonts w:hint="eastAsia" w:ascii="宋体" w:hAnsi="宋体" w:cs="宋体"/>
          <w:color w:val="auto"/>
          <w:spacing w:val="0"/>
          <w:position w:val="0"/>
          <w:szCs w:val="21"/>
          <w:highlight w:val="none"/>
          <w:u w:val="none"/>
          <w:lang w:val="en-US" w:eastAsia="zh-CN"/>
        </w:rPr>
        <w:t>0</w:t>
      </w:r>
      <w:r>
        <w:rPr>
          <w:rFonts w:hint="eastAsia" w:ascii="宋体" w:hAnsi="宋体" w:cs="宋体"/>
          <w:color w:val="auto"/>
          <w:spacing w:val="0"/>
          <w:position w:val="0"/>
          <w:szCs w:val="21"/>
          <w:highlight w:val="none"/>
          <w:u w:val="none"/>
        </w:rPr>
        <w:t>0至12:00，下午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1FDCA71B">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position w:val="0"/>
          <w:sz w:val="21"/>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w:t>
      </w:r>
      <w:r>
        <w:rPr>
          <w:rFonts w:hint="eastAsia" w:ascii="宋体" w:hAnsi="宋体" w:eastAsia="宋体" w:cs="Times New Roman"/>
          <w:color w:val="auto"/>
          <w:spacing w:val="0"/>
          <w:position w:val="0"/>
          <w:szCs w:val="21"/>
          <w:highlight w:val="none"/>
          <w:u w:val="none"/>
        </w:rPr>
        <w:t>（https://www.zcygov.cn）</w:t>
      </w:r>
    </w:p>
    <w:p w14:paraId="20BB2D23">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：供应商登录广西政府采购云平台https://www.zcygov.cn/在线申请获取采购文件（进入“项目采购”应用，在获取采购文件菜单中选择项目，申请获取采购文件）。</w:t>
      </w:r>
    </w:p>
    <w:p w14:paraId="1A1BC36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20" w:name="_Toc28970"/>
      <w:bookmarkStart w:id="21" w:name="_Toc18110"/>
      <w:bookmarkStart w:id="22" w:name="_Toc35393801"/>
      <w:bookmarkStart w:id="23" w:name="_Toc28359092"/>
      <w:bookmarkStart w:id="24" w:name="_Toc28359015"/>
      <w:bookmarkStart w:id="25" w:name="_Toc35393632"/>
      <w:r>
        <w:rPr>
          <w:rFonts w:hint="eastAsia" w:ascii="宋体" w:hAnsi="宋体" w:eastAsia="宋体" w:cs="宋体"/>
          <w:bCs w:val="0"/>
          <w:color w:val="auto"/>
          <w:spacing w:val="0"/>
          <w:position w:val="0"/>
          <w:sz w:val="21"/>
          <w:szCs w:val="21"/>
          <w:highlight w:val="none"/>
        </w:rPr>
        <w:t>四、响应文件提交</w:t>
      </w:r>
      <w:bookmarkEnd w:id="20"/>
      <w:bookmarkEnd w:id="21"/>
      <w:bookmarkEnd w:id="22"/>
      <w:bookmarkEnd w:id="23"/>
      <w:bookmarkEnd w:id="24"/>
      <w:bookmarkEnd w:id="25"/>
    </w:p>
    <w:p w14:paraId="4CC4BBC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12</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14</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30</w:t>
      </w:r>
      <w:r>
        <w:rPr>
          <w:rFonts w:hint="eastAsia" w:ascii="宋体" w:hAnsi="宋体" w:cs="宋体"/>
          <w:b/>
          <w:bCs/>
          <w:color w:val="auto"/>
          <w:spacing w:val="0"/>
          <w:position w:val="0"/>
          <w:szCs w:val="21"/>
          <w:highlight w:val="none"/>
          <w:u w:val="single"/>
        </w:rPr>
        <w:t>分</w:t>
      </w:r>
      <w:r>
        <w:rPr>
          <w:rFonts w:hint="eastAsia" w:ascii="宋体" w:hAnsi="宋体"/>
          <w:b/>
          <w:bCs w:val="0"/>
          <w:color w:val="auto"/>
          <w:spacing w:val="0"/>
          <w:position w:val="0"/>
          <w:szCs w:val="21"/>
          <w:highlight w:val="none"/>
          <w:u w:val="none"/>
        </w:rPr>
        <w:t>（北京时间）</w:t>
      </w:r>
    </w:p>
    <w:p w14:paraId="20C65A33">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w:t>
      </w:r>
      <w:r>
        <w:rPr>
          <w:rFonts w:hint="eastAsia" w:ascii="宋体" w:hAnsi="宋体" w:cs="宋体"/>
          <w:bCs/>
          <w:color w:val="auto"/>
          <w:spacing w:val="0"/>
          <w:position w:val="0"/>
          <w:szCs w:val="21"/>
          <w:highlight w:val="none"/>
        </w:rPr>
        <w:t>（https://www.zcygov.cn/）</w:t>
      </w:r>
      <w:r>
        <w:rPr>
          <w:rFonts w:hint="eastAsia" w:ascii="宋体" w:hAnsi="宋体" w:cs="宋体"/>
          <w:color w:val="auto"/>
          <w:spacing w:val="0"/>
          <w:position w:val="0"/>
          <w:szCs w:val="21"/>
          <w:highlight w:val="none"/>
        </w:rPr>
        <w:t>上传响应文件，并在线竞标。</w:t>
      </w:r>
    </w:p>
    <w:p w14:paraId="29AF8DE8">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u w:val="none"/>
        </w:rPr>
      </w:pPr>
      <w:bookmarkStart w:id="26" w:name="_Toc35393802"/>
      <w:bookmarkStart w:id="27" w:name="_Toc3197"/>
      <w:bookmarkStart w:id="28" w:name="_Toc28359093"/>
      <w:bookmarkStart w:id="29" w:name="_Toc35393633"/>
      <w:bookmarkStart w:id="30" w:name="_Toc28359016"/>
      <w:bookmarkStart w:id="31" w:name="_Toc24973"/>
      <w:r>
        <w:rPr>
          <w:rFonts w:hint="eastAsia" w:ascii="宋体" w:hAnsi="宋体" w:eastAsia="宋体" w:cs="宋体"/>
          <w:bCs w:val="0"/>
          <w:color w:val="auto"/>
          <w:spacing w:val="0"/>
          <w:position w:val="0"/>
          <w:sz w:val="21"/>
          <w:szCs w:val="21"/>
          <w:highlight w:val="none"/>
          <w:u w:val="none"/>
        </w:rPr>
        <w:t>五、响应文件开启</w:t>
      </w:r>
      <w:bookmarkEnd w:id="26"/>
      <w:bookmarkEnd w:id="27"/>
      <w:bookmarkEnd w:id="28"/>
      <w:bookmarkEnd w:id="29"/>
      <w:bookmarkEnd w:id="30"/>
      <w:bookmarkEnd w:id="31"/>
    </w:p>
    <w:p w14:paraId="2F4353C4">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12</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14</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30</w:t>
      </w:r>
      <w:r>
        <w:rPr>
          <w:rFonts w:hint="eastAsia" w:ascii="宋体" w:hAnsi="宋体" w:cs="宋体"/>
          <w:b/>
          <w:bCs/>
          <w:color w:val="auto"/>
          <w:spacing w:val="0"/>
          <w:position w:val="0"/>
          <w:szCs w:val="21"/>
          <w:highlight w:val="none"/>
          <w:u w:val="single"/>
        </w:rPr>
        <w:t>分</w:t>
      </w:r>
      <w:r>
        <w:rPr>
          <w:rFonts w:hint="eastAsia" w:ascii="宋体" w:hAnsi="宋体"/>
          <w:b/>
          <w:bCs w:val="0"/>
          <w:color w:val="auto"/>
          <w:spacing w:val="0"/>
          <w:position w:val="0"/>
          <w:szCs w:val="21"/>
          <w:highlight w:val="none"/>
          <w:u w:val="none"/>
        </w:rPr>
        <w:t>（北京时间）</w:t>
      </w:r>
    </w:p>
    <w:p w14:paraId="4ABE0B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”平台电子开标大厅在线解密开启 </w:t>
      </w:r>
    </w:p>
    <w:p w14:paraId="620379E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u w:val="none"/>
        </w:rPr>
      </w:pPr>
      <w:bookmarkStart w:id="32" w:name="_Toc17419"/>
      <w:bookmarkStart w:id="33" w:name="_Toc28359017"/>
      <w:bookmarkStart w:id="34" w:name="_Toc35393634"/>
      <w:bookmarkStart w:id="35" w:name="_Toc5452"/>
      <w:bookmarkStart w:id="36" w:name="_Toc35393803"/>
      <w:bookmarkStart w:id="37" w:name="_Toc28359094"/>
      <w:r>
        <w:rPr>
          <w:rFonts w:hint="eastAsia" w:ascii="宋体" w:hAnsi="宋体" w:eastAsia="宋体" w:cs="宋体"/>
          <w:bCs w:val="0"/>
          <w:color w:val="auto"/>
          <w:spacing w:val="0"/>
          <w:position w:val="0"/>
          <w:sz w:val="21"/>
          <w:szCs w:val="21"/>
          <w:highlight w:val="none"/>
          <w:u w:val="none"/>
        </w:rPr>
        <w:t>六、公告期限</w:t>
      </w:r>
      <w:bookmarkEnd w:id="32"/>
      <w:bookmarkEnd w:id="33"/>
      <w:bookmarkEnd w:id="34"/>
      <w:bookmarkEnd w:id="35"/>
      <w:bookmarkEnd w:id="36"/>
      <w:bookmarkEnd w:id="37"/>
    </w:p>
    <w:p w14:paraId="2DBD366A">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2535D498">
      <w:pPr>
        <w:pStyle w:val="3"/>
        <w:pageBreakBefore w:val="0"/>
        <w:widowControl w:val="0"/>
        <w:numPr>
          <w:ilvl w:val="0"/>
          <w:numId w:val="1"/>
        </w:numPr>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38" w:name="_Toc35393635"/>
      <w:bookmarkStart w:id="39" w:name="_Toc321"/>
      <w:bookmarkStart w:id="40" w:name="_Toc35393804"/>
      <w:bookmarkStart w:id="41" w:name="_Toc26297"/>
      <w:r>
        <w:rPr>
          <w:rFonts w:hint="eastAsia" w:ascii="宋体" w:hAnsi="宋体" w:eastAsia="宋体" w:cs="宋体"/>
          <w:bCs w:val="0"/>
          <w:color w:val="auto"/>
          <w:spacing w:val="0"/>
          <w:position w:val="0"/>
          <w:sz w:val="21"/>
          <w:szCs w:val="21"/>
          <w:highlight w:val="none"/>
        </w:rPr>
        <w:t>其他补充事宜</w:t>
      </w:r>
      <w:bookmarkEnd w:id="38"/>
      <w:bookmarkEnd w:id="39"/>
      <w:bookmarkEnd w:id="40"/>
      <w:bookmarkEnd w:id="41"/>
    </w:p>
    <w:p w14:paraId="4B431C7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磋商保证金：</w:t>
      </w:r>
      <w:r>
        <w:rPr>
          <w:rFonts w:hint="eastAsia" w:ascii="宋体" w:hAnsi="宋体" w:cs="宋体"/>
          <w:color w:val="auto"/>
          <w:spacing w:val="0"/>
          <w:position w:val="0"/>
          <w:szCs w:val="21"/>
          <w:highlight w:val="none"/>
          <w:lang w:val="en-US" w:eastAsia="zh-CN"/>
        </w:rPr>
        <w:t>本项目无需缴纳磋商保证金。</w:t>
      </w:r>
    </w:p>
    <w:p w14:paraId="1EAD8C4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bookmarkStart w:id="42" w:name="_Toc28359018"/>
      <w:bookmarkStart w:id="43" w:name="_Toc35393805"/>
      <w:bookmarkStart w:id="44" w:name="_Toc28359095"/>
      <w:bookmarkStart w:id="45" w:name="_Toc35393636"/>
      <w:r>
        <w:rPr>
          <w:rFonts w:hint="eastAsia" w:ascii="宋体" w:hAnsi="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rPr>
        <w:t>.本项目为全流程电子化政府采购项目，供应商应按照本项目采购文件和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参与投标过程中遇到涉及平台使用的任何问题，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7B82AE4A">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电子卖场首页右上角—服务中心—帮助文档—项目采购）：https://service.zcygov.cn/#/knowledges/tree?tag=AG1DtGwBFdiHxlNdhY0r。</w:t>
      </w:r>
    </w:p>
    <w:p w14:paraId="603B8F4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CA证书办理操作指南）。</w:t>
      </w:r>
    </w:p>
    <w:p w14:paraId="4E4B0026">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供应商客户端软件请供应商自行前往下载并安装（见广西壮族自治区政府采购网—办事服务—下载专区-广西壮族自治区全流程电子招投标项目管理系统--供应商客户端）。</w:t>
      </w:r>
    </w:p>
    <w:p w14:paraId="0E93B3E5">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3</w:t>
      </w:r>
      <w:r>
        <w:rPr>
          <w:rFonts w:hint="eastAsia" w:ascii="宋体" w:hAnsi="宋体" w:cs="宋体"/>
          <w:color w:val="auto"/>
          <w:spacing w:val="0"/>
          <w:position w:val="0"/>
          <w:szCs w:val="21"/>
          <w:highlight w:val="none"/>
        </w:rPr>
        <w:t>.本项目需要落实的政府采购政策</w:t>
      </w:r>
    </w:p>
    <w:p w14:paraId="64627A5B">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1D9170C6">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02DDFAC4">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6B4E4745">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6B5FF6B6">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1921B675">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.网上查询地址</w:t>
      </w:r>
    </w:p>
    <w:p w14:paraId="65EF4174">
      <w:pPr>
        <w:pageBreakBefore w:val="0"/>
        <w:widowControl/>
        <w:kinsoku/>
        <w:overflowPunct/>
        <w:topLinePunct w:val="0"/>
        <w:bidi w:val="0"/>
        <w:spacing w:line="420" w:lineRule="exact"/>
        <w:ind w:firstLine="420" w:firstLineChars="200"/>
        <w:jc w:val="left"/>
        <w:textAlignment w:val="auto"/>
        <w:rPr>
          <w:rFonts w:hint="eastAsia" w:ascii="宋体" w:hAnsi="宋体" w:cs="宋体"/>
          <w:color w:val="auto"/>
          <w:spacing w:val="0"/>
          <w:position w:val="0"/>
          <w:szCs w:val="21"/>
          <w:highlight w:val="none"/>
          <w:lang w:val="en-US" w:eastAsia="zh-CN" w:bidi="ar"/>
        </w:rPr>
      </w:pPr>
      <w:r>
        <w:rPr>
          <w:rFonts w:hint="eastAsia" w:ascii="宋体" w:hAnsi="宋体" w:cs="宋体"/>
          <w:color w:val="auto"/>
          <w:spacing w:val="0"/>
          <w:position w:val="0"/>
          <w:szCs w:val="21"/>
          <w:highlight w:val="none"/>
          <w:lang w:val="en-US" w:eastAsia="zh-CN" w:bidi="ar"/>
        </w:rPr>
        <w:t>http://zfcg.gxzf.gov.cn/（广西政府采购网）、http://www.ccgp.gov.cn/（中国政府采购网）、http://ggzy.jgswj.gxzf.gov.cn/qzggzy/ [全国公共资源交易平台 （广西.钦州）]、http://ggzy.jgswj.gxzf.gov.cn/pbggzy/[全国公共资源交易平台（广西.浦北）]。</w:t>
      </w:r>
    </w:p>
    <w:p w14:paraId="6F959BA4">
      <w:pPr>
        <w:pageBreakBefore w:val="0"/>
        <w:widowControl/>
        <w:kinsoku/>
        <w:overflowPunct/>
        <w:topLinePunct w:val="0"/>
        <w:bidi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5</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bidi="ar"/>
        </w:rPr>
        <w:t>监督部门：浦北县政府采购监督管理办公室   联系电话：0777-8314622</w:t>
      </w:r>
    </w:p>
    <w:p w14:paraId="021B5FFC">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46" w:name="_Toc23726"/>
      <w:bookmarkStart w:id="47"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2"/>
      <w:bookmarkEnd w:id="43"/>
      <w:bookmarkEnd w:id="44"/>
      <w:bookmarkEnd w:id="45"/>
      <w:bookmarkEnd w:id="46"/>
      <w:bookmarkEnd w:id="47"/>
    </w:p>
    <w:p w14:paraId="02256245">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8" w:name="_Toc28359019"/>
      <w:bookmarkStart w:id="49" w:name="_Toc28359096"/>
      <w:bookmarkStart w:id="50" w:name="_Toc35393637"/>
      <w:bookmarkStart w:id="51" w:name="_Toc35393806"/>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8"/>
      <w:bookmarkEnd w:id="49"/>
      <w:bookmarkEnd w:id="50"/>
      <w:bookmarkEnd w:id="51"/>
    </w:p>
    <w:p w14:paraId="73BDAAD5">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称：浦北县农业农村局</w:t>
      </w:r>
    </w:p>
    <w:p w14:paraId="43790232">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址：浦北县江城街道越新路    </w:t>
      </w:r>
    </w:p>
    <w:p w14:paraId="00B9A19C">
      <w:pPr>
        <w:pageBreakBefore w:val="0"/>
        <w:widowControl w:val="0"/>
        <w:shd w:val="clear"/>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2" w:name="_Toc28359097"/>
      <w:bookmarkStart w:id="53" w:name="_Toc35393807"/>
      <w:bookmarkStart w:id="54" w:name="_Toc28359020"/>
      <w:bookmarkStart w:id="55" w:name="_Toc3539363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项目联系人：黄工  </w:t>
      </w:r>
    </w:p>
    <w:p w14:paraId="6F34478E">
      <w:pPr>
        <w:pageBreakBefore w:val="0"/>
        <w:kinsoku/>
        <w:overflowPunct/>
        <w:topLinePunct w:val="0"/>
        <w:bidi w:val="0"/>
        <w:spacing w:before="65" w:line="420" w:lineRule="exact"/>
        <w:ind w:left="436" w:firstLine="210" w:firstLineChars="1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r>
        <w:rPr>
          <w:rFonts w:hint="eastAsia" w:ascii="宋体" w:hAnsi="宋体" w:eastAsia="宋体" w:cs="宋体"/>
          <w:bCs w:val="0"/>
          <w:color w:val="auto"/>
          <w:spacing w:val="0"/>
          <w:kern w:val="0"/>
          <w:position w:val="0"/>
          <w:sz w:val="21"/>
          <w:szCs w:val="21"/>
          <w:highlight w:val="none"/>
          <w:lang w:val="en-US" w:eastAsia="zh-CN" w:bidi="ar-SA"/>
        </w:rPr>
        <w:t>0777-8213919</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 </w:t>
      </w:r>
    </w:p>
    <w:p w14:paraId="0B57B0E5">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2"/>
      <w:bookmarkEnd w:id="53"/>
      <w:bookmarkEnd w:id="54"/>
      <w:bookmarkEnd w:id="55"/>
    </w:p>
    <w:p w14:paraId="76EDC3A1">
      <w:pPr>
        <w:pageBreakBefore w:val="0"/>
        <w:widowControl w:val="0"/>
        <w:kinsoku/>
        <w:wordWrap/>
        <w:overflowPunct/>
        <w:topLinePunct w:val="0"/>
        <w:bidi w:val="0"/>
        <w:adjustRightInd/>
        <w:spacing w:line="420" w:lineRule="exact"/>
        <w:ind w:firstLine="840" w:firstLineChars="4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 广西华霖招标有限公司　</w:t>
      </w:r>
    </w:p>
    <w:p w14:paraId="6DE69D95">
      <w:pPr>
        <w:pageBreakBefore w:val="0"/>
        <w:widowControl w:val="0"/>
        <w:kinsoku/>
        <w:wordWrap/>
        <w:overflowPunct/>
        <w:topLinePunct w:val="0"/>
        <w:bidi w:val="0"/>
        <w:adjustRightInd/>
        <w:spacing w:line="420" w:lineRule="exact"/>
        <w:ind w:firstLine="840" w:firstLineChars="4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6" w:name="_Toc35393639"/>
      <w:bookmarkStart w:id="57" w:name="_Toc28359021"/>
      <w:bookmarkStart w:id="58" w:name="_Toc28359098"/>
      <w:bookmarkStart w:id="59" w:name="_Toc3539380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浦北县书香华府23栋23#24号     </w:t>
      </w:r>
    </w:p>
    <w:p w14:paraId="2E7250C1">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项目联系人：陈春桦</w:t>
      </w:r>
    </w:p>
    <w:p w14:paraId="208D5132">
      <w:pPr>
        <w:pStyle w:val="3"/>
        <w:pageBreakBefore w:val="0"/>
        <w:widowControl w:val="0"/>
        <w:kinsoku/>
        <w:wordWrap/>
        <w:overflowPunct/>
        <w:topLinePunct w:val="0"/>
        <w:bidi w:val="0"/>
        <w:adjustRightInd/>
        <w:spacing w:line="420" w:lineRule="exact"/>
        <w:ind w:firstLine="630" w:firstLineChars="3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项目联系方式：</w:t>
      </w:r>
      <w:bookmarkEnd w:id="56"/>
      <w:bookmarkEnd w:id="57"/>
      <w:bookmarkEnd w:id="58"/>
      <w:bookmarkEnd w:id="5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0777-8310661</w:t>
      </w:r>
    </w:p>
    <w:p w14:paraId="4AB45EB6">
      <w:pPr>
        <w:pStyle w:val="50"/>
        <w:pageBreakBefore w:val="0"/>
        <w:numPr>
          <w:ilvl w:val="0"/>
          <w:numId w:val="0"/>
        </w:numPr>
        <w:kinsoku/>
        <w:overflowPunct/>
        <w:topLinePunct w:val="0"/>
        <w:bidi w:val="0"/>
        <w:spacing w:line="420" w:lineRule="exact"/>
        <w:textAlignment w:val="auto"/>
        <w:rPr>
          <w:rFonts w:hint="default"/>
          <w:color w:val="auto"/>
          <w:spacing w:val="0"/>
          <w:position w:val="0"/>
          <w:highlight w:val="none"/>
          <w:lang w:val="en-US" w:eastAsia="zh-CN"/>
        </w:rPr>
      </w:pPr>
    </w:p>
    <w:p w14:paraId="5A0E6D96">
      <w:pPr>
        <w:pageBreakBefore w:val="0"/>
        <w:kinsoku/>
        <w:overflowPunct/>
        <w:topLinePunct w:val="0"/>
        <w:bidi w:val="0"/>
        <w:spacing w:line="420" w:lineRule="exac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CEE9AC7">
      <w:pPr>
        <w:pageBreakBefore w:val="0"/>
        <w:kinsoku/>
        <w:overflowPunct/>
        <w:topLinePunct w:val="0"/>
        <w:bidi w:val="0"/>
        <w:spacing w:line="420" w:lineRule="exact"/>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 xml:space="preserve"> 广西华霖招标有限公司</w:t>
      </w:r>
    </w:p>
    <w:p w14:paraId="732B8765">
      <w:pPr>
        <w:pStyle w:val="10"/>
        <w:pageBreakBefore w:val="0"/>
        <w:kinsoku/>
        <w:overflowPunct/>
        <w:topLinePunct w:val="0"/>
        <w:bidi w:val="0"/>
        <w:spacing w:line="420" w:lineRule="exact"/>
        <w:ind w:left="210" w:leftChars="100" w:firstLine="6930" w:firstLineChars="3300"/>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4</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27</w:t>
      </w:r>
      <w:r>
        <w:rPr>
          <w:rFonts w:hint="eastAsia" w:ascii="宋体" w:hAnsi="宋体" w:eastAsia="宋体" w:cs="宋体"/>
          <w:color w:val="auto"/>
          <w:spacing w:val="0"/>
          <w:kern w:val="2"/>
          <w:position w:val="0"/>
          <w:sz w:val="21"/>
          <w:szCs w:val="24"/>
          <w:highlight w:val="none"/>
          <w:lang w:val="en-US" w:eastAsia="zh-CN" w:bidi="ar-SA"/>
        </w:rPr>
        <w:t>日</w:t>
      </w:r>
    </w:p>
    <w:p w14:paraId="43877477">
      <w:pPr>
        <w:pStyle w:val="50"/>
        <w:rPr>
          <w:rFonts w:hint="eastAsia" w:ascii="宋体" w:hAnsi="宋体" w:eastAsia="宋体" w:cs="宋体"/>
          <w:b w:val="0"/>
          <w:color w:val="auto"/>
          <w:spacing w:val="0"/>
          <w:position w:val="0"/>
          <w:sz w:val="21"/>
          <w:szCs w:val="21"/>
          <w:highlight w:val="none"/>
          <w:lang w:val="en-US" w:eastAsia="zh-CN"/>
        </w:rPr>
      </w:pPr>
    </w:p>
    <w:p w14:paraId="09CD9616">
      <w:pPr>
        <w:pStyle w:val="50"/>
        <w:rPr>
          <w:rFonts w:hint="eastAsia" w:ascii="宋体" w:hAnsi="宋体" w:eastAsia="宋体" w:cs="宋体"/>
          <w:b w:val="0"/>
          <w:color w:val="auto"/>
          <w:spacing w:val="0"/>
          <w:position w:val="0"/>
          <w:sz w:val="21"/>
          <w:szCs w:val="21"/>
          <w:highlight w:val="none"/>
          <w:lang w:val="en-US" w:eastAsia="zh-CN"/>
        </w:rPr>
      </w:pPr>
    </w:p>
    <w:p w14:paraId="034862E8">
      <w:pPr>
        <w:pStyle w:val="50"/>
        <w:rPr>
          <w:rFonts w:hint="eastAsia" w:ascii="宋体" w:hAnsi="宋体" w:eastAsia="宋体" w:cs="宋体"/>
          <w:b w:val="0"/>
          <w:color w:val="auto"/>
          <w:spacing w:val="0"/>
          <w:position w:val="0"/>
          <w:sz w:val="21"/>
          <w:szCs w:val="21"/>
          <w:highlight w:val="none"/>
          <w:lang w:val="en-US" w:eastAsia="zh-CN"/>
        </w:rPr>
      </w:pPr>
    </w:p>
    <w:p w14:paraId="67CDA200">
      <w:pP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br w:type="page"/>
      </w:r>
    </w:p>
    <w:p w14:paraId="2843AC20">
      <w:pPr>
        <w:numPr>
          <w:ilvl w:val="0"/>
          <w:numId w:val="2"/>
        </w:numPr>
        <w:jc w:val="center"/>
        <w:outlineLvl w:val="0"/>
        <w:rPr>
          <w:rFonts w:ascii="宋体" w:hAnsi="宋体" w:cs="宋体"/>
          <w:b/>
          <w:bCs/>
          <w:color w:val="auto"/>
          <w:spacing w:val="0"/>
          <w:kern w:val="0"/>
          <w:position w:val="0"/>
          <w:sz w:val="36"/>
          <w:szCs w:val="36"/>
          <w:highlight w:val="none"/>
        </w:rPr>
      </w:pPr>
      <w:bookmarkStart w:id="60"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0"/>
    </w:p>
    <w:bookmarkEnd w:id="2"/>
    <w:tbl>
      <w:tblPr>
        <w:tblStyle w:val="32"/>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0D5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2B756834">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19701ABD">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4D72AB49">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173F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38A2DE98">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3B3D256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64C00461">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2025年江城街道平六社区地枝村农田水利工程</w:t>
            </w:r>
          </w:p>
          <w:p w14:paraId="7D09FE3E">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编号：QZZC2025-C2-220065-GXHL</w:t>
            </w:r>
          </w:p>
        </w:tc>
      </w:tr>
      <w:tr w14:paraId="2087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114ED1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21FF6A6A">
            <w:pPr>
              <w:pStyle w:val="14"/>
              <w:keepNext w:val="0"/>
              <w:keepLines w:val="0"/>
              <w:pageBreakBefore w:val="0"/>
              <w:widowControl w:val="0"/>
              <w:kinsoku/>
              <w:wordWrap/>
              <w:overflowPunct/>
              <w:topLinePunct w:val="0"/>
              <w:autoSpaceDE/>
              <w:autoSpaceDN/>
              <w:bidi w:val="0"/>
              <w:adjustRightInd/>
              <w:spacing w:line="420" w:lineRule="exact"/>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2EFE696C">
            <w:pPr>
              <w:keepNext w:val="0"/>
              <w:keepLines w:val="0"/>
              <w:pageBreakBefore w:val="0"/>
              <w:widowControl w:val="0"/>
              <w:kinsoku/>
              <w:wordWrap/>
              <w:overflowPunct/>
              <w:topLinePunct w:val="0"/>
              <w:autoSpaceDE/>
              <w:autoSpaceDN/>
              <w:bidi w:val="0"/>
              <w:adjustRightInd/>
              <w:spacing w:line="420" w:lineRule="exact"/>
              <w:jc w:val="left"/>
              <w:textAlignment w:val="auto"/>
              <w:rPr>
                <w:color w:val="auto"/>
                <w:spacing w:val="0"/>
                <w:position w:val="0"/>
                <w:highlight w:val="none"/>
              </w:rPr>
            </w:pPr>
            <w:bookmarkStart w:id="61" w:name="OLE_LINK8"/>
            <w:r>
              <w:rPr>
                <w:rFonts w:hint="eastAsia"/>
                <w:color w:val="auto"/>
                <w:spacing w:val="0"/>
                <w:position w:val="0"/>
                <w:highlight w:val="none"/>
                <w:lang w:eastAsia="zh-CN"/>
              </w:rPr>
              <w:t>供应商</w:t>
            </w:r>
            <w:r>
              <w:rPr>
                <w:rFonts w:hint="eastAsia"/>
                <w:color w:val="auto"/>
                <w:spacing w:val="0"/>
                <w:position w:val="0"/>
                <w:highlight w:val="none"/>
              </w:rPr>
              <w:t>资格</w:t>
            </w:r>
            <w:r>
              <w:rPr>
                <w:rFonts w:hint="eastAsia"/>
                <w:color w:val="auto"/>
                <w:spacing w:val="0"/>
                <w:position w:val="0"/>
                <w:highlight w:val="none"/>
                <w:lang w:eastAsia="zh-CN"/>
              </w:rPr>
              <w:t>要求</w:t>
            </w:r>
            <w:r>
              <w:rPr>
                <w:rFonts w:hint="eastAsia"/>
                <w:color w:val="auto"/>
                <w:spacing w:val="0"/>
                <w:position w:val="0"/>
                <w:highlight w:val="none"/>
              </w:rPr>
              <w:t>：</w:t>
            </w:r>
          </w:p>
          <w:bookmarkEnd w:id="61"/>
          <w:p w14:paraId="56D4CD9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74C65CE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8FCD548">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5E6C8715">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lang w:val="en-US" w:eastAsia="zh-CN"/>
              </w:rPr>
              <w:t>1</w:t>
            </w:r>
            <w:r>
              <w:rPr>
                <w:rFonts w:hint="eastAsia" w:hAnsi="宋体" w:cs="宋体"/>
                <w:color w:val="auto"/>
                <w:spacing w:val="0"/>
                <w:position w:val="0"/>
                <w:sz w:val="21"/>
                <w:szCs w:val="21"/>
                <w:highlight w:val="none"/>
                <w:lang w:eastAsia="zh-CN"/>
              </w:rPr>
              <w:t>）竞标人须</w:t>
            </w:r>
            <w:r>
              <w:rPr>
                <w:rFonts w:hint="eastAsia" w:hAnsi="宋体" w:cs="宋体"/>
                <w:b/>
                <w:bCs/>
                <w:color w:val="auto"/>
                <w:spacing w:val="0"/>
                <w:position w:val="0"/>
                <w:sz w:val="21"/>
                <w:szCs w:val="21"/>
                <w:highlight w:val="none"/>
                <w:lang w:eastAsia="zh-CN"/>
              </w:rPr>
              <w:t>具备水利水电或市政公用工程施工总承包三级（含三级）以上</w:t>
            </w:r>
            <w:r>
              <w:rPr>
                <w:rFonts w:hint="eastAsia" w:hAnsi="宋体" w:cs="宋体"/>
                <w:color w:val="auto"/>
                <w:spacing w:val="0"/>
                <w:position w:val="0"/>
                <w:sz w:val="21"/>
                <w:szCs w:val="21"/>
                <w:highlight w:val="none"/>
                <w:lang w:eastAsia="zh-CN"/>
              </w:rPr>
              <w:t>资质以及有效的安全生产许可证，在人员、设备、资金等方面具备相应的施工能力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03586E15">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具备水利水电或市政公用工程专业二级（含二级）以上注册建造师执业资格，且具备有效的安全生产考核合格证书（B类）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b/>
                <w:bCs/>
                <w:color w:val="auto"/>
                <w:spacing w:val="0"/>
                <w:position w:val="0"/>
                <w:sz w:val="21"/>
                <w:szCs w:val="21"/>
                <w:highlight w:val="none"/>
                <w:lang w:val="en-US" w:eastAsia="zh-CN"/>
              </w:rPr>
              <w:t>拟派的项目经理须无在建项目、已中标或者已列为其他项目中标候选人第一名的建造师作为项目经理。 100万元以下的小型项目（同一行政区域内），拟派的项目经理不得参与超过两个在建或中标项目</w:t>
            </w:r>
            <w:r>
              <w:rPr>
                <w:rFonts w:hint="eastAsia" w:asciiTheme="minorEastAsia" w:hAnsiTheme="minorEastAsia" w:eastAsiaTheme="minorEastAsia" w:cstheme="minorEastAsia"/>
                <w:b/>
                <w:bCs/>
                <w:color w:val="auto"/>
                <w:spacing w:val="0"/>
                <w:position w:val="0"/>
                <w:sz w:val="21"/>
                <w:szCs w:val="21"/>
                <w:highlight w:val="none"/>
                <w:lang w:eastAsia="zh-CN"/>
              </w:rPr>
              <w:t>。（须提供承诺书）</w:t>
            </w:r>
          </w:p>
          <w:p w14:paraId="5B19E2BB">
            <w:pPr>
              <w:keepNext w:val="0"/>
              <w:keepLines w:val="0"/>
              <w:pageBreakBefore w:val="0"/>
              <w:widowControl w:val="0"/>
              <w:kinsoku/>
              <w:wordWrap/>
              <w:overflowPunct/>
              <w:topLinePunct w:val="0"/>
              <w:bidi w:val="0"/>
              <w:adjustRightInd/>
              <w:spacing w:line="420" w:lineRule="exact"/>
              <w:rPr>
                <w:rFonts w:ascii="宋体" w:hAnsi="宋体" w:cs="宋体"/>
                <w:color w:val="auto"/>
                <w:spacing w:val="0"/>
                <w:position w:val="0"/>
                <w:szCs w:val="21"/>
                <w:highlight w:val="none"/>
              </w:rPr>
            </w:pPr>
            <w:r>
              <w:rPr>
                <w:rFonts w:hint="eastAsia" w:ascii="宋体" w:hAnsi="宋体" w:cs="宋体"/>
                <w:bCs/>
                <w:color w:val="auto"/>
                <w:spacing w:val="0"/>
                <w:position w:val="0"/>
                <w:szCs w:val="21"/>
                <w:highlight w:val="none"/>
              </w:rPr>
              <w:t>供应商</w:t>
            </w:r>
            <w:r>
              <w:rPr>
                <w:rFonts w:hint="eastAsia" w:ascii="宋体" w:hAnsi="宋体" w:cs="宋体"/>
                <w:color w:val="auto"/>
                <w:spacing w:val="0"/>
                <w:position w:val="0"/>
                <w:szCs w:val="21"/>
                <w:highlight w:val="none"/>
              </w:rPr>
              <w:t>出现下列情形之一的，不得参加政府采购活动：</w:t>
            </w:r>
          </w:p>
          <w:p w14:paraId="21EAC5F8">
            <w:pPr>
              <w:keepNext w:val="0"/>
              <w:keepLines w:val="0"/>
              <w:pageBreakBefore w:val="0"/>
              <w:widowControl w:val="0"/>
              <w:kinsoku/>
              <w:wordWrap/>
              <w:overflowPunct/>
              <w:topLinePunct w:val="0"/>
              <w:bidi w:val="0"/>
              <w:adjustRightInd/>
              <w:spacing w:line="420" w:lineRule="exact"/>
              <w:ind w:firstLine="420" w:firstLineChars="200"/>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48504B">
            <w:pPr>
              <w:keepNext w:val="0"/>
              <w:keepLines w:val="0"/>
              <w:pageBreakBefore w:val="0"/>
              <w:widowControl w:val="0"/>
              <w:kinsoku/>
              <w:wordWrap/>
              <w:overflowPunct/>
              <w:topLinePunct w:val="0"/>
              <w:bidi w:val="0"/>
              <w:adjustRightInd/>
              <w:spacing w:line="420" w:lineRule="exact"/>
              <w:ind w:firstLine="420" w:firstLineChars="200"/>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B94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3F586430">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28419FDC">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0AD08D14">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0056E7F9">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1.供应商必须就所投项目的全部内容作完整唯一报价，漏项报价的或有选择的或有条件的报价，其磋商将视为无效。</w:t>
            </w:r>
          </w:p>
          <w:p w14:paraId="669C2B1F">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磋商报价为二次报价，第二次报价为最后报价。                            </w:t>
            </w:r>
          </w:p>
          <w:p w14:paraId="6894DACD">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7B8B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F3CD96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03C62DC5">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101CD169">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5C9F379A">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w:t>
            </w:r>
            <w:r>
              <w:rPr>
                <w:rFonts w:hint="eastAsia" w:ascii="宋体" w:hAnsi="宋体" w:cs="Courier New"/>
                <w:color w:val="auto"/>
                <w:spacing w:val="0"/>
                <w:position w:val="0"/>
                <w:szCs w:val="21"/>
                <w:highlight w:val="none"/>
              </w:rPr>
              <w:t>”平台</w:t>
            </w:r>
            <w:r>
              <w:rPr>
                <w:rFonts w:hint="eastAsia" w:ascii="宋体" w:hAnsi="宋体" w:cs="Courier New"/>
                <w:color w:val="auto"/>
                <w:spacing w:val="0"/>
                <w:position w:val="0"/>
                <w:szCs w:val="21"/>
                <w:highlight w:val="none"/>
                <w:lang w:eastAsia="zh-CN"/>
              </w:rPr>
              <w:t>递交</w:t>
            </w:r>
            <w:r>
              <w:rPr>
                <w:rFonts w:hint="eastAsia" w:ascii="宋体" w:hAnsi="宋体" w:cs="Courier New"/>
                <w:color w:val="auto"/>
                <w:spacing w:val="0"/>
                <w:position w:val="0"/>
                <w:szCs w:val="21"/>
                <w:highlight w:val="none"/>
              </w:rPr>
              <w:t>。</w:t>
            </w:r>
          </w:p>
        </w:tc>
      </w:tr>
      <w:tr w14:paraId="3F38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9F410EB">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902F9FE">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77A14DA">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7EFBFD92">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宋体" w:hAnsi="宋体"/>
                <w:color w:val="auto"/>
                <w:spacing w:val="0"/>
                <w:position w:val="0"/>
                <w:szCs w:val="21"/>
                <w:highlight w:val="none"/>
                <w:lang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p w14:paraId="0DC78A2E">
            <w:pPr>
              <w:pStyle w:val="9"/>
              <w:keepNext w:val="0"/>
              <w:keepLines w:val="0"/>
              <w:pageBreakBefore w:val="0"/>
              <w:widowControl w:val="0"/>
              <w:kinsoku/>
              <w:wordWrap/>
              <w:overflowPunct/>
              <w:topLinePunct w:val="0"/>
              <w:autoSpaceDE/>
              <w:autoSpaceDN/>
              <w:bidi w:val="0"/>
              <w:adjustRightInd/>
              <w:spacing w:line="420" w:lineRule="exact"/>
              <w:ind w:left="0"/>
              <w:textAlignment w:val="auto"/>
              <w:rPr>
                <w:color w:val="auto"/>
                <w:spacing w:val="0"/>
                <w:position w:val="0"/>
                <w:sz w:val="21"/>
                <w:highlight w:val="none"/>
              </w:rPr>
            </w:pPr>
            <w:r>
              <w:rPr>
                <w:color w:val="auto"/>
                <w:spacing w:val="0"/>
                <w:position w:val="0"/>
                <w:sz w:val="21"/>
                <w:highlight w:val="none"/>
              </w:rPr>
              <w:t>供应商</w:t>
            </w:r>
            <w:r>
              <w:rPr>
                <w:rFonts w:hint="eastAsia"/>
                <w:color w:val="auto"/>
                <w:spacing w:val="0"/>
                <w:position w:val="0"/>
                <w:sz w:val="21"/>
                <w:highlight w:val="none"/>
                <w:lang w:eastAsia="zh-CN"/>
              </w:rPr>
              <w:t>可根据自身情况自行准备</w:t>
            </w:r>
            <w:r>
              <w:rPr>
                <w:color w:val="auto"/>
                <w:spacing w:val="0"/>
                <w:position w:val="0"/>
                <w:sz w:val="21"/>
                <w:highlight w:val="none"/>
              </w:rPr>
              <w:t xml:space="preserve">电子备份响应文件： </w:t>
            </w:r>
          </w:p>
          <w:p w14:paraId="093225E1">
            <w:pPr>
              <w:pStyle w:val="9"/>
              <w:keepNext w:val="0"/>
              <w:keepLines w:val="0"/>
              <w:pageBreakBefore w:val="0"/>
              <w:widowControl w:val="0"/>
              <w:numPr>
                <w:ilvl w:val="0"/>
                <w:numId w:val="3"/>
              </w:numPr>
              <w:kinsoku/>
              <w:wordWrap/>
              <w:overflowPunct/>
              <w:topLinePunct w:val="0"/>
              <w:autoSpaceDE/>
              <w:autoSpaceDN/>
              <w:bidi w:val="0"/>
              <w:adjustRightInd/>
              <w:spacing w:line="420" w:lineRule="exact"/>
              <w:ind w:left="0"/>
              <w:textAlignment w:val="auto"/>
              <w:rPr>
                <w:rFonts w:ascii="Times New Roman" w:hAnsi="Times New Roman" w:eastAsia="宋体" w:cs="Times New Roman"/>
                <w:color w:val="auto"/>
                <w:spacing w:val="0"/>
                <w:position w:val="0"/>
                <w:sz w:val="21"/>
                <w:highlight w:val="none"/>
              </w:rPr>
            </w:pPr>
            <w:r>
              <w:rPr>
                <w:color w:val="auto"/>
                <w:spacing w:val="0"/>
                <w:position w:val="0"/>
                <w:sz w:val="21"/>
                <w:highlight w:val="none"/>
              </w:rPr>
              <w:t>电子备份响应文件以</w:t>
            </w:r>
            <w:r>
              <w:rPr>
                <w:rFonts w:hint="eastAsia"/>
                <w:color w:val="auto"/>
                <w:spacing w:val="0"/>
                <w:position w:val="0"/>
                <w:sz w:val="21"/>
                <w:highlight w:val="none"/>
                <w:lang w:eastAsia="zh-CN"/>
              </w:rPr>
              <w:t>邮件</w:t>
            </w:r>
            <w:r>
              <w:rPr>
                <w:color w:val="auto"/>
                <w:spacing w:val="0"/>
                <w:position w:val="0"/>
                <w:sz w:val="21"/>
                <w:highlight w:val="none"/>
              </w:rPr>
              <w:t>形式提供。数量</w:t>
            </w:r>
            <w:r>
              <w:rPr>
                <w:rFonts w:ascii="Times New Roman" w:hAnsi="Times New Roman" w:eastAsia="宋体" w:cs="Times New Roman"/>
                <w:color w:val="auto"/>
                <w:spacing w:val="0"/>
                <w:position w:val="0"/>
                <w:sz w:val="21"/>
                <w:highlight w:val="none"/>
              </w:rPr>
              <w:t>为1份。</w:t>
            </w:r>
          </w:p>
          <w:p w14:paraId="04F11B55">
            <w:pPr>
              <w:pStyle w:val="9"/>
              <w:keepNext w:val="0"/>
              <w:keepLines w:val="0"/>
              <w:pageBreakBefore w:val="0"/>
              <w:widowControl w:val="0"/>
              <w:numPr>
                <w:ilvl w:val="0"/>
                <w:numId w:val="3"/>
              </w:numPr>
              <w:kinsoku/>
              <w:wordWrap/>
              <w:overflowPunct/>
              <w:topLinePunct w:val="0"/>
              <w:autoSpaceDE/>
              <w:autoSpaceDN/>
              <w:bidi w:val="0"/>
              <w:adjustRightInd/>
              <w:spacing w:line="420" w:lineRule="exact"/>
              <w:ind w:left="0"/>
              <w:textAlignment w:val="auto"/>
              <w:rPr>
                <w:rFonts w:hint="eastAsia" w:cs="Times New Roman"/>
                <w:color w:val="auto"/>
                <w:spacing w:val="0"/>
                <w:position w:val="0"/>
                <w:sz w:val="21"/>
                <w:highlight w:val="none"/>
                <w:lang w:eastAsia="zh-CN"/>
              </w:rPr>
            </w:pPr>
            <w:r>
              <w:rPr>
                <w:rFonts w:hint="eastAsia" w:cs="Times New Roman"/>
                <w:color w:val="auto"/>
                <w:spacing w:val="0"/>
                <w:position w:val="0"/>
                <w:sz w:val="21"/>
                <w:highlight w:val="none"/>
                <w:lang w:eastAsia="zh-CN"/>
              </w:rPr>
              <w:t>电子备份响应文件接收邮箱：</w:t>
            </w:r>
            <w:r>
              <w:rPr>
                <w:rFonts w:hint="eastAsia" w:cs="Times New Roman"/>
                <w:color w:val="auto"/>
                <w:spacing w:val="0"/>
                <w:position w:val="0"/>
                <w:sz w:val="21"/>
                <w:highlight w:val="none"/>
                <w:lang w:val="en-US" w:eastAsia="zh-CN"/>
              </w:rPr>
              <w:t>347582199@qq.com</w:t>
            </w:r>
            <w:r>
              <w:rPr>
                <w:rFonts w:hint="eastAsia" w:cs="Times New Roman"/>
                <w:color w:val="auto"/>
                <w:spacing w:val="0"/>
                <w:position w:val="0"/>
                <w:sz w:val="21"/>
                <w:highlight w:val="none"/>
                <w:lang w:eastAsia="zh-CN"/>
              </w:rPr>
              <w:t>。</w:t>
            </w:r>
          </w:p>
          <w:p w14:paraId="3E1656F5">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Times New Roman" w:hAnsi="Times New Roman" w:eastAsia="宋体" w:cs="Times New Roman"/>
                <w:b w:val="0"/>
                <w:bCs w:val="0"/>
                <w:color w:val="auto"/>
                <w:spacing w:val="0"/>
                <w:position w:val="0"/>
                <w:sz w:val="21"/>
                <w:highlight w:val="none"/>
                <w:lang w:eastAsia="zh-CN"/>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3</w:t>
            </w: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color w:val="auto"/>
                <w:spacing w:val="0"/>
                <w:position w:val="0"/>
                <w:sz w:val="21"/>
                <w:highlight w:val="none"/>
                <w:lang w:eastAsia="zh-CN"/>
              </w:rPr>
              <w:t>电子备份响应文件</w:t>
            </w:r>
            <w:r>
              <w:rPr>
                <w:rFonts w:hint="eastAsia" w:cs="Times New Roman"/>
                <w:b w:val="0"/>
                <w:bCs w:val="0"/>
                <w:color w:val="auto"/>
                <w:spacing w:val="0"/>
                <w:position w:val="0"/>
                <w:sz w:val="21"/>
                <w:highlight w:val="none"/>
                <w:lang w:eastAsia="zh-CN"/>
              </w:rPr>
              <w:t>提交截止</w:t>
            </w:r>
            <w:r>
              <w:rPr>
                <w:rFonts w:hint="eastAsia" w:ascii="Times New Roman" w:hAnsi="Times New Roman" w:eastAsia="宋体" w:cs="Times New Roman"/>
                <w:b w:val="0"/>
                <w:bCs w:val="0"/>
                <w:color w:val="auto"/>
                <w:spacing w:val="0"/>
                <w:position w:val="0"/>
                <w:sz w:val="21"/>
                <w:highlight w:val="none"/>
                <w:lang w:eastAsia="zh-CN"/>
              </w:rPr>
              <w:t>时间：</w:t>
            </w:r>
            <w:r>
              <w:rPr>
                <w:rFonts w:hint="eastAsia" w:cs="Times New Roman"/>
                <w:b w:val="0"/>
                <w:bCs w:val="0"/>
                <w:color w:val="auto"/>
                <w:spacing w:val="0"/>
                <w:position w:val="0"/>
                <w:sz w:val="21"/>
                <w:highlight w:val="none"/>
                <w:lang w:eastAsia="zh-CN"/>
              </w:rPr>
              <w:t>与</w:t>
            </w:r>
            <w:r>
              <w:rPr>
                <w:rFonts w:hint="eastAsia" w:ascii="宋体" w:hAnsi="宋体" w:eastAsia="宋体" w:cs="宋体"/>
                <w:bCs w:val="0"/>
                <w:color w:val="auto"/>
                <w:spacing w:val="0"/>
                <w:position w:val="0"/>
                <w:sz w:val="21"/>
                <w:szCs w:val="21"/>
                <w:highlight w:val="none"/>
              </w:rPr>
              <w:t>响应文件提交</w:t>
            </w:r>
            <w:r>
              <w:rPr>
                <w:rFonts w:hint="eastAsia" w:ascii="宋体" w:hAnsi="宋体" w:eastAsia="宋体" w:cs="宋体"/>
                <w:bCs w:val="0"/>
                <w:color w:val="auto"/>
                <w:spacing w:val="0"/>
                <w:position w:val="0"/>
                <w:sz w:val="21"/>
                <w:szCs w:val="21"/>
                <w:highlight w:val="none"/>
                <w:lang w:eastAsia="zh-CN"/>
              </w:rPr>
              <w:t>截止时间一致，逾期提交的不予受理。</w:t>
            </w:r>
          </w:p>
          <w:p w14:paraId="63B30F70">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b w:val="0"/>
                <w:bCs w:val="0"/>
                <w:color w:val="auto"/>
                <w:spacing w:val="0"/>
                <w:position w:val="0"/>
                <w:szCs w:val="21"/>
                <w:highlight w:val="none"/>
                <w:lang w:eastAsia="zh-CN"/>
              </w:rPr>
            </w:pPr>
            <w:r>
              <w:rPr>
                <w:rFonts w:hint="eastAsia" w:ascii="宋体" w:hAnsi="宋体" w:eastAsia="宋体" w:cs="Times New Roman"/>
                <w:b w:val="0"/>
                <w:bCs w:val="0"/>
                <w:color w:val="auto"/>
                <w:spacing w:val="0"/>
                <w:position w:val="0"/>
                <w:szCs w:val="21"/>
                <w:highlight w:val="none"/>
                <w:lang w:eastAsia="zh-CN"/>
              </w:rPr>
              <w:t>（</w:t>
            </w:r>
            <w:r>
              <w:rPr>
                <w:rFonts w:hint="eastAsia" w:ascii="宋体" w:hAnsi="宋体" w:cs="Times New Roman"/>
                <w:b w:val="0"/>
                <w:bCs w:val="0"/>
                <w:color w:val="auto"/>
                <w:spacing w:val="0"/>
                <w:position w:val="0"/>
                <w:szCs w:val="21"/>
                <w:highlight w:val="none"/>
                <w:lang w:val="en-US" w:eastAsia="zh-CN"/>
              </w:rPr>
              <w:t>4</w:t>
            </w:r>
            <w:r>
              <w:rPr>
                <w:rFonts w:hint="eastAsia" w:ascii="宋体" w:hAnsi="宋体" w:eastAsia="宋体" w:cs="Times New Roman"/>
                <w:b w:val="0"/>
                <w:bCs w:val="0"/>
                <w:color w:val="auto"/>
                <w:spacing w:val="0"/>
                <w:position w:val="0"/>
                <w:szCs w:val="21"/>
                <w:highlight w:val="none"/>
                <w:lang w:eastAsia="zh-CN"/>
              </w:rPr>
              <w:t>）供应商邮件发送的内容如下：</w:t>
            </w:r>
          </w:p>
          <w:p w14:paraId="7E5ECA23">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项目名称：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F7B75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eastAsia="zh-CN"/>
              </w:rPr>
              <w:t>项目编号</w:t>
            </w:r>
            <w:r>
              <w:rPr>
                <w:rFonts w:hint="eastAsia" w:ascii="宋体" w:hAnsi="宋体" w:eastAsia="宋体" w:cs="宋体"/>
                <w:b w:val="0"/>
                <w:bCs w:val="0"/>
                <w:color w:val="auto"/>
                <w:spacing w:val="0"/>
                <w:position w:val="0"/>
                <w:sz w:val="21"/>
                <w:szCs w:val="21"/>
                <w:highlight w:val="none"/>
                <w:u w:val="single"/>
                <w:lang w:eastAsia="zh-CN"/>
              </w:rPr>
              <w:t>：</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E77AA84">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cs="宋体"/>
                <w:b w:val="0"/>
                <w:bCs w:val="0"/>
                <w:color w:val="auto"/>
                <w:spacing w:val="0"/>
                <w:position w:val="0"/>
                <w:sz w:val="21"/>
                <w:szCs w:val="21"/>
                <w:highlight w:val="none"/>
                <w:u w:val="none"/>
                <w:lang w:eastAsia="zh-CN"/>
              </w:rPr>
              <w:t>分标号</w:t>
            </w:r>
            <w:r>
              <w:rPr>
                <w:rFonts w:hint="eastAsia" w:ascii="宋体" w:hAnsi="宋体" w:eastAsia="宋体" w:cs="宋体"/>
                <w:b w:val="0"/>
                <w:bCs w:val="0"/>
                <w:color w:val="auto"/>
                <w:spacing w:val="0"/>
                <w:position w:val="0"/>
                <w:sz w:val="21"/>
                <w:szCs w:val="21"/>
                <w:highlight w:val="none"/>
                <w:u w:val="none"/>
                <w:lang w:eastAsia="zh-CN"/>
              </w:rPr>
              <w:t>（如有）：</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DEC6259">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供应商名称：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CC55A83">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7FAA0E33">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eastAsia="宋体" w:cs="Times New Roman"/>
                <w:b w:val="0"/>
                <w:bCs w:val="0"/>
                <w:color w:val="auto"/>
                <w:spacing w:val="0"/>
                <w:position w:val="0"/>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4E535E3">
            <w:pPr>
              <w:pStyle w:val="9"/>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宋体" w:hAnsi="宋体" w:cs="宋体"/>
                <w:color w:val="auto"/>
                <w:spacing w:val="0"/>
                <w:position w:val="0"/>
                <w:szCs w:val="21"/>
                <w:highlight w:val="none"/>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5</w:t>
            </w:r>
            <w:r>
              <w:rPr>
                <w:rFonts w:hint="eastAsia" w:ascii="Times New Roman" w:hAnsi="Times New Roman" w:eastAsia="宋体" w:cs="Times New Roman"/>
                <w:b w:val="0"/>
                <w:bCs w:val="0"/>
                <w:color w:val="auto"/>
                <w:spacing w:val="0"/>
                <w:position w:val="0"/>
                <w:sz w:val="21"/>
                <w:highlight w:val="none"/>
                <w:lang w:eastAsia="zh-CN"/>
              </w:rPr>
              <w:t>）</w:t>
            </w:r>
            <w:r>
              <w:rPr>
                <w:rFonts w:ascii="Times New Roman" w:hAnsi="Times New Roman" w:eastAsia="宋体" w:cs="Times New Roman"/>
                <w:b w:val="0"/>
                <w:bCs w:val="0"/>
                <w:color w:val="auto"/>
                <w:spacing w:val="0"/>
                <w:position w:val="0"/>
                <w:sz w:val="21"/>
                <w:highlight w:val="none"/>
              </w:rPr>
              <w:t>响应文件启用顺序和效力：响应文件的启用，按先后顺位</w:t>
            </w:r>
            <w:r>
              <w:rPr>
                <w:rFonts w:ascii="Times New Roman" w:hAnsi="Times New Roman" w:eastAsia="宋体" w:cs="Times New Roman"/>
                <w:color w:val="auto"/>
                <w:spacing w:val="0"/>
                <w:position w:val="0"/>
                <w:sz w:val="21"/>
                <w:highlight w:val="none"/>
              </w:rPr>
              <w:t>分别为</w:t>
            </w:r>
            <w:r>
              <w:rPr>
                <w:rFonts w:hint="eastAsia" w:cs="Times New Roman"/>
                <w:color w:val="auto"/>
                <w:spacing w:val="0"/>
                <w:position w:val="0"/>
                <w:sz w:val="21"/>
                <w:highlight w:val="none"/>
                <w:lang w:eastAsia="zh-CN"/>
              </w:rPr>
              <w:t>广西政府采购云平台上传的加密</w:t>
            </w:r>
            <w:r>
              <w:rPr>
                <w:rFonts w:ascii="Times New Roman" w:hAnsi="Times New Roman" w:eastAsia="宋体" w:cs="Times New Roman"/>
                <w:color w:val="auto"/>
                <w:spacing w:val="0"/>
                <w:position w:val="0"/>
                <w:sz w:val="21"/>
                <w:highlight w:val="none"/>
              </w:rPr>
              <w:t>电子响应文件、以</w:t>
            </w:r>
            <w:r>
              <w:rPr>
                <w:rFonts w:hint="eastAsia" w:cs="Times New Roman"/>
                <w:color w:val="auto"/>
                <w:spacing w:val="0"/>
                <w:position w:val="0"/>
                <w:sz w:val="21"/>
                <w:highlight w:val="none"/>
                <w:lang w:eastAsia="zh-CN"/>
              </w:rPr>
              <w:t>邮件</w:t>
            </w:r>
            <w:r>
              <w:rPr>
                <w:rFonts w:ascii="Times New Roman" w:hAnsi="Times New Roman" w:eastAsia="宋体" w:cs="Times New Roman"/>
                <w:color w:val="auto"/>
                <w:spacing w:val="0"/>
                <w:position w:val="0"/>
                <w:sz w:val="21"/>
                <w:highlight w:val="none"/>
              </w:rPr>
              <w:t>形式</w:t>
            </w:r>
            <w:r>
              <w:rPr>
                <w:rFonts w:hint="eastAsia" w:cs="Times New Roman"/>
                <w:color w:val="auto"/>
                <w:spacing w:val="0"/>
                <w:position w:val="0"/>
                <w:sz w:val="21"/>
                <w:highlight w:val="none"/>
                <w:lang w:eastAsia="zh-CN"/>
              </w:rPr>
              <w:t>提交</w:t>
            </w:r>
            <w:r>
              <w:rPr>
                <w:rFonts w:ascii="Times New Roman" w:hAnsi="Times New Roman" w:eastAsia="宋体" w:cs="Times New Roman"/>
                <w:color w:val="auto"/>
                <w:spacing w:val="0"/>
                <w:position w:val="0"/>
                <w:sz w:val="21"/>
                <w:highlight w:val="none"/>
              </w:rPr>
              <w:t>的电子备份响应文件。顺位在先的响应文件已按时解密的</w:t>
            </w:r>
            <w:r>
              <w:rPr>
                <w:rFonts w:hint="eastAsia" w:ascii="Times New Roman" w:hAnsi="Times New Roman" w:eastAsia="宋体" w:cs="Times New Roman"/>
                <w:color w:val="auto"/>
                <w:spacing w:val="0"/>
                <w:position w:val="0"/>
                <w:sz w:val="21"/>
                <w:highlight w:val="none"/>
                <w:lang w:eastAsia="zh-CN"/>
              </w:rPr>
              <w:t>，</w:t>
            </w:r>
            <w:r>
              <w:rPr>
                <w:rFonts w:ascii="Times New Roman" w:hAnsi="Times New Roman" w:eastAsia="宋体" w:cs="Times New Roman"/>
                <w:color w:val="auto"/>
                <w:spacing w:val="0"/>
                <w:position w:val="0"/>
                <w:sz w:val="21"/>
                <w:highlight w:val="none"/>
              </w:rPr>
              <w:t>下一顺位响应文件自动失效。在下一顺位的响应文件启用时，前一顺位的响应文件自动失效。</w:t>
            </w:r>
          </w:p>
        </w:tc>
      </w:tr>
      <w:tr w14:paraId="20EF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BB9259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6FEF2BE5">
            <w:pPr>
              <w:keepNext w:val="0"/>
              <w:keepLines w:val="0"/>
              <w:pageBreakBefore w:val="0"/>
              <w:widowControl w:val="0"/>
              <w:kinsoku/>
              <w:wordWrap/>
              <w:overflowPunct/>
              <w:topLinePunct w:val="0"/>
              <w:autoSpaceDE/>
              <w:autoSpaceDN/>
              <w:bidi w:val="0"/>
              <w:adjustRightInd/>
              <w:spacing w:line="420" w:lineRule="exact"/>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49496F52">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118C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1F8411AD">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6DD0CB7A">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1904403F">
            <w:pPr>
              <w:pStyle w:val="14"/>
              <w:keepNext w:val="0"/>
              <w:keepLines w:val="0"/>
              <w:pageBreakBefore w:val="0"/>
              <w:widowControl w:val="0"/>
              <w:kinsoku/>
              <w:wordWrap/>
              <w:overflowPunct/>
              <w:topLinePunct w:val="0"/>
              <w:bidi w:val="0"/>
              <w:adjustRightInd/>
              <w:spacing w:line="420" w:lineRule="exact"/>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sym w:font="Wingdings" w:char="00A8"/>
            </w:r>
            <w:r>
              <w:rPr>
                <w:rFonts w:hint="eastAsia" w:hAnsi="宋体" w:cs="宋体"/>
                <w:color w:val="auto"/>
                <w:spacing w:val="0"/>
                <w:kern w:val="0"/>
                <w:position w:val="0"/>
                <w:szCs w:val="21"/>
                <w:highlight w:val="none"/>
                <w:lang w:val="en-US" w:eastAsia="zh-CN"/>
              </w:rPr>
              <w:t xml:space="preserve">要求   </w:t>
            </w:r>
            <w:r>
              <w:rPr>
                <w:rFonts w:hint="eastAsia" w:hAnsi="宋体" w:cs="宋体"/>
                <w:color w:val="auto"/>
                <w:spacing w:val="0"/>
                <w:kern w:val="0"/>
                <w:position w:val="0"/>
                <w:szCs w:val="21"/>
                <w:highlight w:val="none"/>
                <w:lang w:val="en-US" w:eastAsia="zh-CN"/>
              </w:rPr>
              <w:sym w:font="Wingdings" w:char="00FE"/>
            </w:r>
            <w:r>
              <w:rPr>
                <w:rFonts w:hint="eastAsia" w:hAnsi="宋体" w:cs="宋体"/>
                <w:color w:val="auto"/>
                <w:spacing w:val="0"/>
                <w:kern w:val="0"/>
                <w:position w:val="0"/>
                <w:szCs w:val="21"/>
                <w:highlight w:val="none"/>
                <w:lang w:val="en-US" w:eastAsia="zh-CN"/>
              </w:rPr>
              <w:t>不要求</w:t>
            </w:r>
          </w:p>
        </w:tc>
      </w:tr>
      <w:tr w14:paraId="61A6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51C296B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272E6AEB">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10BBABA1">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2197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5F23DA0">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665EA6B7">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15316922">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人，其中采购单位代表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233CD85D">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7497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63EC41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A2873AE">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5821B0A8">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754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4AE0949D">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4681AAF">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53B893FF">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15A2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818DBF3">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67D44B69">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7C41ED1C">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197090B1">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10D5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5971BB3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7BF8B905">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4B159597">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本项目不收取履约保证金。</w:t>
            </w:r>
          </w:p>
          <w:p w14:paraId="07549A05">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257C329C">
            <w:pPr>
              <w:keepNext w:val="0"/>
              <w:keepLines w:val="0"/>
              <w:pageBreakBefore w:val="0"/>
              <w:widowControl w:val="0"/>
              <w:kinsoku/>
              <w:wordWrap/>
              <w:overflowPunct/>
              <w:topLinePunct w:val="0"/>
              <w:bidi w:val="0"/>
              <w:adjustRightInd/>
              <w:spacing w:line="420" w:lineRule="exact"/>
              <w:contextualSpacing/>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项目审计结算后退还承包人</w:t>
            </w:r>
            <w:r>
              <w:rPr>
                <w:rFonts w:hint="eastAsia" w:ascii="宋体" w:hAnsi="宋体" w:cs="宋体"/>
                <w:color w:val="auto"/>
                <w:spacing w:val="0"/>
                <w:position w:val="0"/>
                <w:szCs w:val="21"/>
                <w:highlight w:val="none"/>
                <w:lang w:eastAsia="zh-CN"/>
              </w:rPr>
              <w:t>。</w:t>
            </w:r>
          </w:p>
          <w:p w14:paraId="1473D4AB">
            <w:pPr>
              <w:keepNext w:val="0"/>
              <w:keepLines w:val="0"/>
              <w:pageBreakBefore w:val="0"/>
              <w:widowControl w:val="0"/>
              <w:kinsoku/>
              <w:wordWrap/>
              <w:overflowPunct/>
              <w:topLinePunct w:val="0"/>
              <w:bidi w:val="0"/>
              <w:adjustRightInd/>
              <w:spacing w:line="420" w:lineRule="exact"/>
              <w:contextualSpacing/>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履约保证金提交方式：银行转账、支票、汇票、本票或者银行、保险机构出具的保函等非现金方式。</w:t>
            </w:r>
          </w:p>
        </w:tc>
      </w:tr>
      <w:tr w14:paraId="4D22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0B448E2">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D4615C2">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采购预算价</w:t>
            </w:r>
            <w:r>
              <w:rPr>
                <w:rFonts w:hint="eastAsia" w:ascii="宋体" w:hAnsi="宋体" w:cs="宋体"/>
                <w:color w:val="auto"/>
                <w:spacing w:val="0"/>
                <w:position w:val="0"/>
                <w:szCs w:val="21"/>
                <w:highlight w:val="none"/>
                <w:lang w:val="en-US" w:eastAsia="zh-CN"/>
              </w:rPr>
              <w:t>及最高限价</w:t>
            </w:r>
          </w:p>
        </w:tc>
        <w:tc>
          <w:tcPr>
            <w:tcW w:w="7164" w:type="dxa"/>
            <w:tcBorders>
              <w:top w:val="single" w:color="auto" w:sz="4" w:space="0"/>
              <w:left w:val="single" w:color="auto" w:sz="4" w:space="0"/>
              <w:bottom w:val="single" w:color="auto" w:sz="4" w:space="0"/>
              <w:right w:val="single" w:color="auto" w:sz="4" w:space="0"/>
            </w:tcBorders>
            <w:vAlign w:val="center"/>
          </w:tcPr>
          <w:p w14:paraId="229B83E7">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预算金额：人民币壹佰零柒万壹仟壹佰陆拾壹元陆角玖分（¥1071161.69元）</w:t>
            </w:r>
          </w:p>
          <w:p w14:paraId="6148CFF6">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最高限价：人民币玖拾万零玖仟柒佰陆拾元贰角叁分（¥909760.23</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r>
              <w:rPr>
                <w:rFonts w:hint="eastAsia" w:ascii="宋体" w:hAnsi="宋体" w:cs="宋体"/>
                <w:color w:val="auto"/>
                <w:spacing w:val="0"/>
                <w:position w:val="0"/>
                <w:szCs w:val="21"/>
                <w:highlight w:val="none"/>
                <w:lang w:val="en-US" w:eastAsia="zh-CN"/>
              </w:rPr>
              <w:t>）</w:t>
            </w:r>
          </w:p>
        </w:tc>
      </w:tr>
      <w:tr w14:paraId="032E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BA4ACC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3F95CB8">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59FA9F88">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5505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CB4E1C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7541C1E">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646EE44">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 xml:space="preserve"> 广西华霖招标有限公司</w:t>
            </w:r>
          </w:p>
          <w:p w14:paraId="1816644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0777-8310661</w:t>
            </w:r>
          </w:p>
          <w:p w14:paraId="0D647433">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浦北县书香华府23栋23#24号</w:t>
            </w:r>
          </w:p>
        </w:tc>
      </w:tr>
      <w:tr w14:paraId="419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CDC5633">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11B1C1C2">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5F1F1E0A">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lang w:val="en-US" w:eastAsia="zh-CN"/>
              </w:rPr>
              <w:t>0</w:t>
            </w:r>
            <w:r>
              <w:rPr>
                <w:rFonts w:hint="eastAsia" w:hAnsi="宋体"/>
                <w:color w:val="auto"/>
                <w:spacing w:val="0"/>
                <w:position w:val="0"/>
                <w:highlight w:val="none"/>
                <w:u w:val="single"/>
              </w:rPr>
              <w:t>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1D5A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828C1E8">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399055DF">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3143FDA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Cs w:val="24"/>
                <w:highlight w:val="none"/>
                <w:lang w:val="en-US" w:eastAsia="zh-CN"/>
              </w:rPr>
              <w:t>1.</w:t>
            </w:r>
            <w:r>
              <w:rPr>
                <w:rFonts w:hint="eastAsia" w:hAnsi="宋体" w:cs="宋体"/>
                <w:color w:val="auto"/>
                <w:spacing w:val="0"/>
                <w:position w:val="0"/>
                <w:szCs w:val="24"/>
                <w:highlight w:val="none"/>
              </w:rPr>
              <w:t>代理服务费：</w:t>
            </w:r>
            <w:r>
              <w:rPr>
                <w:rFonts w:hint="eastAsia" w:hAnsi="宋体" w:cs="宋体"/>
                <w:color w:val="auto"/>
                <w:spacing w:val="0"/>
                <w:position w:val="0"/>
                <w:szCs w:val="24"/>
                <w:highlight w:val="none"/>
                <w:lang w:eastAsia="zh-CN"/>
              </w:rPr>
              <w:t>根据中华人民共和国国家发展计划委员会（2002）1980号文件“工程招标”标准计费，参照钦政办〔2013〕161号钦州市人民政府办公室关于财政性资金投资项目其他费用管理有关问题的通知后下浮20%计取，采购代理服务费采用差额定率累进计费方式收取。</w:t>
            </w:r>
          </w:p>
          <w:p w14:paraId="156BA8F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2. 代理</w:t>
            </w:r>
            <w:r>
              <w:rPr>
                <w:rFonts w:hint="eastAsia" w:hAnsi="宋体" w:cs="宋体"/>
                <w:color w:val="auto"/>
                <w:spacing w:val="0"/>
                <w:position w:val="0"/>
                <w:szCs w:val="24"/>
                <w:highlight w:val="none"/>
              </w:rPr>
              <w:t>服务</w:t>
            </w:r>
            <w:r>
              <w:rPr>
                <w:rFonts w:hint="eastAsia" w:ascii="宋体" w:hAnsi="宋体" w:eastAsia="宋体" w:cs="宋体"/>
                <w:color w:val="auto"/>
                <w:spacing w:val="0"/>
                <w:position w:val="0"/>
                <w:szCs w:val="24"/>
                <w:highlight w:val="none"/>
                <w:lang w:val="en-US" w:eastAsia="zh-CN"/>
              </w:rPr>
              <w:t>费收取银行账户：</w:t>
            </w:r>
          </w:p>
          <w:p w14:paraId="0EFCFBAA">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开户名称：</w:t>
            </w:r>
            <w:r>
              <w:rPr>
                <w:rFonts w:hint="eastAsia" w:hAnsi="宋体" w:cs="宋体"/>
                <w:color w:val="auto"/>
                <w:spacing w:val="0"/>
                <w:position w:val="0"/>
                <w:szCs w:val="24"/>
                <w:highlight w:val="none"/>
                <w:lang w:val="en-US" w:eastAsia="zh-CN"/>
              </w:rPr>
              <w:t>广西华霖招标有限公司</w:t>
            </w:r>
          </w:p>
          <w:p w14:paraId="1DFD2B1B">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Cs w:val="24"/>
                <w:highlight w:val="none"/>
                <w:lang w:eastAsia="zh-CN"/>
              </w:rPr>
            </w:pPr>
            <w:r>
              <w:rPr>
                <w:rFonts w:hint="eastAsia" w:ascii="宋体" w:hAnsi="宋体" w:eastAsia="宋体" w:cs="宋体"/>
                <w:color w:val="auto"/>
                <w:spacing w:val="0"/>
                <w:position w:val="0"/>
                <w:szCs w:val="24"/>
                <w:highlight w:val="none"/>
                <w:lang w:val="en-US" w:eastAsia="zh-CN"/>
              </w:rPr>
              <w:t>账  号：</w:t>
            </w:r>
            <w:r>
              <w:rPr>
                <w:rFonts w:hint="eastAsia" w:hAnsi="宋体" w:cs="宋体"/>
                <w:color w:val="auto"/>
                <w:spacing w:val="0"/>
                <w:position w:val="0"/>
                <w:szCs w:val="24"/>
                <w:highlight w:val="none"/>
                <w:lang w:eastAsia="zh-CN"/>
              </w:rPr>
              <w:t>827712010112553228168</w:t>
            </w:r>
          </w:p>
          <w:p w14:paraId="16681594">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olor w:val="auto"/>
                <w:spacing w:val="0"/>
                <w:position w:val="0"/>
                <w:highlight w:val="none"/>
              </w:rPr>
            </w:pPr>
            <w:r>
              <w:rPr>
                <w:rFonts w:hint="eastAsia" w:ascii="宋体" w:hAnsi="宋体" w:eastAsia="宋体" w:cs="宋体"/>
                <w:color w:val="auto"/>
                <w:spacing w:val="0"/>
                <w:position w:val="0"/>
                <w:szCs w:val="24"/>
                <w:highlight w:val="none"/>
                <w:lang w:val="en-US" w:eastAsia="zh-CN"/>
              </w:rPr>
              <w:t>开户行：</w:t>
            </w:r>
            <w:r>
              <w:rPr>
                <w:rFonts w:hint="eastAsia" w:hAnsi="宋体" w:cs="宋体"/>
                <w:color w:val="auto"/>
                <w:spacing w:val="0"/>
                <w:position w:val="0"/>
                <w:szCs w:val="24"/>
                <w:highlight w:val="none"/>
                <w:lang w:val="en-US" w:eastAsia="zh-CN"/>
              </w:rPr>
              <w:t>广西浦北农村商业银行股份公司东风分理处</w:t>
            </w:r>
          </w:p>
        </w:tc>
      </w:tr>
      <w:tr w14:paraId="34C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90758B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2079DBBD">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1E17674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42C760A2">
            <w:pPr>
              <w:pStyle w:val="14"/>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41E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72CBBDB">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250566F6">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45B7F232">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DF1A11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平台认可的CA认证的电子签名数据为表现形式的印章，可用于签署电子响应文件，电子印章与实物印章具有同等法律效力，不因其采用电子化表现形式而否定其法律效力。</w:t>
            </w:r>
          </w:p>
          <w:p w14:paraId="50FFE1BF">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525099">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5AB160E">
            <w:pPr>
              <w:pStyle w:val="14"/>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42FE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542EB7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42FCA4F3">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3A85CA8C">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未能关联定位提供相应的内容与其对应，则</w:t>
            </w:r>
            <w:r>
              <w:rPr>
                <w:rFonts w:hint="eastAsia"/>
                <w:color w:val="auto"/>
                <w:spacing w:val="0"/>
                <w:position w:val="0"/>
                <w:highlight w:val="none"/>
                <w:lang w:eastAsia="zh-CN"/>
              </w:rPr>
              <w:t>磋商小组</w:t>
            </w:r>
            <w:r>
              <w:rPr>
                <w:rFonts w:hint="eastAsia"/>
                <w:color w:val="auto"/>
                <w:spacing w:val="0"/>
                <w:position w:val="0"/>
                <w:highlight w:val="none"/>
              </w:rPr>
              <w:t>在评审时如做出对供应商不利的评审由供应商自行承担。</w:t>
            </w:r>
            <w:r>
              <w:rPr>
                <w:rFonts w:hint="eastAsia"/>
                <w:color w:val="auto"/>
                <w:spacing w:val="0"/>
                <w:position w:val="0"/>
                <w:highlight w:val="none"/>
                <w:lang w:eastAsia="zh-CN"/>
              </w:rPr>
              <w:t>响应文件</w:t>
            </w:r>
            <w:r>
              <w:rPr>
                <w:rFonts w:hint="eastAsia"/>
                <w:color w:val="auto"/>
                <w:spacing w:val="0"/>
                <w:position w:val="0"/>
                <w:highlight w:val="none"/>
              </w:rPr>
              <w:t>如内容不完整、编排混乱导致</w:t>
            </w:r>
            <w:r>
              <w:rPr>
                <w:rFonts w:hint="eastAsia"/>
                <w:color w:val="auto"/>
                <w:spacing w:val="0"/>
                <w:position w:val="0"/>
                <w:highlight w:val="none"/>
                <w:lang w:eastAsia="zh-CN"/>
              </w:rPr>
              <w:t>响应文件</w:t>
            </w:r>
            <w:r>
              <w:rPr>
                <w:rFonts w:hint="eastAsia"/>
                <w:color w:val="auto"/>
                <w:spacing w:val="0"/>
                <w:position w:val="0"/>
                <w:highlight w:val="none"/>
              </w:rPr>
              <w:t>被误读、 漏读，或者在按</w:t>
            </w:r>
            <w:r>
              <w:rPr>
                <w:rFonts w:hint="eastAsia"/>
                <w:color w:val="auto"/>
                <w:spacing w:val="0"/>
                <w:position w:val="0"/>
                <w:highlight w:val="none"/>
                <w:lang w:eastAsia="zh-CN"/>
              </w:rPr>
              <w:t>磋商文件</w:t>
            </w:r>
            <w:r>
              <w:rPr>
                <w:rFonts w:hint="eastAsia"/>
                <w:color w:val="auto"/>
                <w:spacing w:val="0"/>
                <w:position w:val="0"/>
                <w:highlight w:val="none"/>
              </w:rPr>
              <w:t>规定的部位查找不到相关内容的，由供应商自行承担。</w:t>
            </w:r>
          </w:p>
          <w:p w14:paraId="63FC0E08">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59F7D900">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lang w:val="en-US" w:eastAsia="zh-CN"/>
              </w:rPr>
            </w:pPr>
            <w:r>
              <w:rPr>
                <w:rFonts w:hint="eastAsia"/>
                <w:color w:val="auto"/>
                <w:spacing w:val="0"/>
                <w:position w:val="0"/>
                <w:highlight w:val="none"/>
                <w:lang w:val="en-US" w:eastAsia="zh-CN"/>
              </w:rPr>
              <w:t>（3）补充事项：成交供应商需在确定成交3日内打印盖章响应文</w:t>
            </w:r>
            <w:r>
              <w:rPr>
                <w:rFonts w:hint="eastAsia" w:ascii="Times New Roman" w:hAnsi="Times New Roman" w:eastAsia="宋体" w:cs="Times New Roman"/>
                <w:bCs w:val="0"/>
                <w:color w:val="auto"/>
                <w:spacing w:val="0"/>
                <w:kern w:val="2"/>
                <w:position w:val="0"/>
                <w:sz w:val="21"/>
                <w:szCs w:val="24"/>
                <w:highlight w:val="none"/>
                <w:lang w:val="en-US" w:eastAsia="zh-CN" w:bidi="ar-SA"/>
              </w:rPr>
              <w:t>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bl>
    <w:p w14:paraId="5FA6055A">
      <w:pPr>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bookmarkStart w:id="62" w:name="_Toc16298"/>
      <w:bookmarkStart w:id="63" w:name="_Toc8441"/>
    </w:p>
    <w:p w14:paraId="1BA051E4">
      <w:pPr>
        <w:pStyle w:val="16"/>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p>
    <w:p w14:paraId="62329171">
      <w:pPr>
        <w:pStyle w:val="16"/>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p>
    <w:p w14:paraId="691BF93C">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2"/>
      <w:bookmarkEnd w:id="63"/>
    </w:p>
    <w:p w14:paraId="3F58860A">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宋体"/>
          <w:b/>
          <w:color w:val="auto"/>
          <w:spacing w:val="0"/>
          <w:position w:val="0"/>
          <w:szCs w:val="21"/>
          <w:highlight w:val="none"/>
        </w:rPr>
      </w:pPr>
      <w:r>
        <w:rPr>
          <w:rFonts w:hint="eastAsia" w:ascii="宋体" w:hAnsi="宋体" w:cs="宋体"/>
          <w:b/>
          <w:color w:val="auto"/>
          <w:spacing w:val="0"/>
          <w:position w:val="0"/>
          <w:szCs w:val="21"/>
          <w:highlight w:val="none"/>
        </w:rPr>
        <w:t>一、总则</w:t>
      </w:r>
    </w:p>
    <w:p w14:paraId="1D63AD69">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1.适用范围</w:t>
      </w:r>
    </w:p>
    <w:p w14:paraId="70B9F0F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85827E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 本竞争性磋商文件适用于本项目的所有采购程序和环节 (法律、法规另有规定的，从其规定) 。</w:t>
      </w:r>
    </w:p>
    <w:p w14:paraId="1685528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2.定义</w:t>
      </w:r>
    </w:p>
    <w:p w14:paraId="38D735B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2.1“采购人”是指依法进行采购的国家机关、事业单位、团体组织。</w:t>
      </w:r>
    </w:p>
    <w:p w14:paraId="793F621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2.2“采购代理机构”是指政府采购代理机构 (以下简称采购代理机构) 是指集中采购机构以外、受采购人委托从事政府采购代理业务的社会中介机构。</w:t>
      </w:r>
    </w:p>
    <w:p w14:paraId="153F028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2.3“供应商”是指向采购人提供货物、工程或者服务的法人、其他组织或者自然人。</w:t>
      </w:r>
    </w:p>
    <w:p w14:paraId="5E47637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2.4“工程”是指建设工程，包括建筑物和构筑物的新建、改建、扩建、装修、拆除、修缮等。</w:t>
      </w:r>
    </w:p>
    <w:p w14:paraId="4599393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2.5“竞标”是指供应商按照本项目竞争性磋商公告规定的方式获取竞争性磋商文件、提交响应文件并希望获得标的的行为。</w:t>
      </w:r>
    </w:p>
    <w:p w14:paraId="214631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2.6“响应文件”是指：供应商根据本竞争性磋商文件要求，编制包含资格证明、报价商务技术等所有内容的文件。</w:t>
      </w:r>
    </w:p>
    <w:p w14:paraId="39E4B0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77E9EB1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2.8“正偏离”，是指响应文件对竞争性磋商文件“采购需求”中有关条款作出的响应优于条款要求并有利于采购人的情形。</w:t>
      </w:r>
    </w:p>
    <w:p w14:paraId="3A762B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5167A2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2.10“允许负偏离的条款”是指采购需求中的不属于“实质性要求”的条款。</w:t>
      </w:r>
    </w:p>
    <w:p w14:paraId="3B81DA4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2.11“书面形式”是指合同书、信件和数据电文 (包括电报、电传、传真、电子数据交换和电子邮件) 等可以有形地表现所载内容的形式。</w:t>
      </w:r>
    </w:p>
    <w:p w14:paraId="6D03525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2.12“首次报价”是指供应商提交的首次响应文件中的报价。                     </w:t>
      </w:r>
    </w:p>
    <w:p w14:paraId="19CCD3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2.13“评审价”是指供应商提交的最后报价并经修正和政策功能价格扣除后的价格。</w:t>
      </w:r>
    </w:p>
    <w:p w14:paraId="0A7533C1">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3.供应商的资格条件</w:t>
      </w:r>
    </w:p>
    <w:p w14:paraId="3F2C8A46">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供应商的资格条件详见“供应商须知前附表”。</w:t>
      </w:r>
    </w:p>
    <w:p w14:paraId="5473B06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4.竞标费用</w:t>
      </w:r>
    </w:p>
    <w:p w14:paraId="6855BCA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4248715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5.联合体竞标</w:t>
      </w:r>
    </w:p>
    <w:p w14:paraId="58EC364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5.1 本项目不接受联合体竞标。</w:t>
      </w:r>
    </w:p>
    <w:p w14:paraId="1C7D812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6.转包与分包</w:t>
      </w:r>
    </w:p>
    <w:p w14:paraId="4073D16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6.1 本项目不允许转包。</w:t>
      </w:r>
    </w:p>
    <w:p w14:paraId="6E65179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7.特别说明</w:t>
      </w:r>
    </w:p>
    <w:p w14:paraId="6B8AF50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7.1 如果本磋商文件要求供应商提供资格、信誉、荣誉、业绩与企业认证等材料的，则供应商所提供的以上材料必须为供应商所拥有。</w:t>
      </w:r>
    </w:p>
    <w:p w14:paraId="291846B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7.2 供应商应仔细阅读竞争性磋商文件的所有内容，按照竞争性磋商文件的要求提交响应文件，并对所提供的全部资料的真实性承担法律责任。</w:t>
      </w:r>
    </w:p>
    <w:p w14:paraId="21F7788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032534D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7.4 在政府采购活动中，采购人员及相关人员与供应商有下列利害关系之一的，应当回避：</w:t>
      </w:r>
    </w:p>
    <w:p w14:paraId="494758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参加采购活动前 3 年内与供应商存在劳动关系；</w:t>
      </w:r>
    </w:p>
    <w:p w14:paraId="71965DD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参加采购活动前 3 年内担任供应商的董事、监事；</w:t>
      </w:r>
    </w:p>
    <w:p w14:paraId="2D9160B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参加采购活动前 3 年内是供应商的控股股东或者实际控制人；</w:t>
      </w:r>
    </w:p>
    <w:p w14:paraId="26B6276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与供应商的法定代表人或负责人有夫妻、直系血亲、三代以内旁系血亲或者近姻亲关系；</w:t>
      </w:r>
    </w:p>
    <w:p w14:paraId="6660E4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与供应商有其他可能影响政府采购活动公平、公正进行的关系。</w:t>
      </w:r>
    </w:p>
    <w:p w14:paraId="3D0017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3DBDF02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7.5 有下列情形之一的视为供应商相互串通竞标，响应文件将被视为无效：</w:t>
      </w:r>
    </w:p>
    <w:p w14:paraId="61CB50D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不同供应商的响应文件由同一单位或者个人编制；或者不同供应商报名的 IP地址一致的；</w:t>
      </w:r>
    </w:p>
    <w:p w14:paraId="435AD6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不同供应商委托同一单位或者个人办理磋商事宜；</w:t>
      </w:r>
    </w:p>
    <w:p w14:paraId="63D244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不同的供应商的响应文件载明的项目管理员为同一个人；</w:t>
      </w:r>
    </w:p>
    <w:p w14:paraId="26C2131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不同供应商的响应文件异常一致或者报价呈规律性差异；</w:t>
      </w:r>
    </w:p>
    <w:p w14:paraId="6AED4A7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不同供应商的响应文件相互混装；</w:t>
      </w:r>
    </w:p>
    <w:p w14:paraId="329576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 不同供应商的磋商保证金从同一单位或者个人账户转出。</w:t>
      </w:r>
    </w:p>
    <w:p w14:paraId="049BE9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7.6 供应商有下列情形之一的，属于恶意串通行为：</w:t>
      </w:r>
    </w:p>
    <w:p w14:paraId="4ADFA8A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供应商直接或者间接从采购人或者采购代理机构处获得其他供应商的相关信息并修改其响应文件；</w:t>
      </w:r>
    </w:p>
    <w:p w14:paraId="479D325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供应商按照采购人或者采购代理机构的授意撤换、修改响应文件；</w:t>
      </w:r>
    </w:p>
    <w:p w14:paraId="03E2FB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供应商之间协商报价、技术方案等响应文件或者响应文件的实质性内容；</w:t>
      </w:r>
    </w:p>
    <w:p w14:paraId="41B77A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属于同一集团、协会、商会等组织成员的供应商按照该组织要求协同参加政府采购活动；</w:t>
      </w:r>
    </w:p>
    <w:p w14:paraId="3F8876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供应商之间事先约定一致抬高或者压低报价，或者在政府采购活动中事先约定轮流以高价位或者低价位成交，或者事先约定由某一特定供应商成交，然后再参加竞标；</w:t>
      </w:r>
    </w:p>
    <w:p w14:paraId="48BE4C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 供应商之间商定部分供应商放弃参加政府采购活动或者放弃成交；</w:t>
      </w:r>
    </w:p>
    <w:p w14:paraId="706EA2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 供应商与采购人或者采购代理机构之间、供应商相互之间，为谋求特定供应商成交或者排斥其他供应商的其他串通行为。</w:t>
      </w:r>
    </w:p>
    <w:p w14:paraId="2A27FDA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7.7 关联供应商不得参加同一合同项下政府采购活动，否则响应文件将被视为无效：</w:t>
      </w:r>
    </w:p>
    <w:p w14:paraId="51E3B1A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单位负责人为同一人或者存在直接控股、管理关系的不同的供应商，不得参加同一合同项下的政府采购活动。</w:t>
      </w:r>
    </w:p>
    <w:p w14:paraId="525F23B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pacing w:val="0"/>
          <w:position w:val="0"/>
          <w:szCs w:val="21"/>
          <w:highlight w:val="none"/>
          <w:lang w:val="en-US" w:eastAsia="zh-CN"/>
        </w:rPr>
      </w:pPr>
      <w:r>
        <w:rPr>
          <w:rFonts w:hint="eastAsia" w:ascii="宋体" w:hAnsi="宋体" w:cs="宋体"/>
          <w:b/>
          <w:bCs/>
          <w:color w:val="auto"/>
          <w:spacing w:val="0"/>
          <w:position w:val="0"/>
          <w:szCs w:val="21"/>
          <w:highlight w:val="none"/>
          <w:lang w:val="en-US" w:eastAsia="zh-CN"/>
        </w:rPr>
        <w:t>二、响应文件的编制</w:t>
      </w:r>
    </w:p>
    <w:p w14:paraId="690542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8.响应文件的编制原则</w:t>
      </w:r>
    </w:p>
    <w:p w14:paraId="488BCE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016B74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 响应文件编制基本要求</w:t>
      </w:r>
    </w:p>
    <w:p w14:paraId="211829CD">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要求及本竞争性磋商采购文件要求制作、加密并递交。具体操作流程可参考《</w:t>
      </w:r>
      <w:r>
        <w:rPr>
          <w:rFonts w:hint="eastAsia" w:ascii="宋体" w:hAnsi="宋体" w:cs="宋体"/>
          <w:b w:val="0"/>
          <w:bCs/>
          <w:color w:val="auto"/>
          <w:spacing w:val="0"/>
          <w:position w:val="0"/>
          <w:szCs w:val="21"/>
          <w:highlight w:val="none"/>
          <w:lang w:val="en-US" w:eastAsia="zh-CN"/>
        </w:rPr>
        <w:t>政府采购项目电子交易管理操作指南-供应商</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val="en-US" w:eastAsia="zh-CN"/>
        </w:rPr>
        <w:t>指南可</w:t>
      </w:r>
      <w:r>
        <w:rPr>
          <w:rFonts w:hint="eastAsia" w:ascii="宋体" w:hAnsi="宋体" w:cs="宋体"/>
          <w:b w:val="0"/>
          <w:bCs/>
          <w:color w:val="auto"/>
          <w:spacing w:val="0"/>
          <w:position w:val="0"/>
          <w:szCs w:val="21"/>
          <w:highlight w:val="none"/>
        </w:rPr>
        <w:t>在“http://zfcg.gxzf.gov.cn/PurchaseAdvisory/ImportantNotice/2866753.html”下载。</w:t>
      </w:r>
    </w:p>
    <w:p w14:paraId="4A4418A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9.2 供应商提交的竞争性磋商响应文件以及供应商与</w:t>
      </w:r>
      <w:r>
        <w:rPr>
          <w:rFonts w:hint="eastAsia" w:ascii="宋体" w:hAnsi="宋体" w:cs="宋体"/>
          <w:b w:val="0"/>
          <w:bCs/>
          <w:color w:val="auto"/>
          <w:spacing w:val="0"/>
          <w:position w:val="0"/>
          <w:szCs w:val="21"/>
          <w:highlight w:val="none"/>
          <w:lang w:eastAsia="zh-CN"/>
        </w:rPr>
        <w:t xml:space="preserve"> 广西华霖招标有限公司</w:t>
      </w:r>
      <w:r>
        <w:rPr>
          <w:rFonts w:hint="eastAsia" w:ascii="宋体" w:hAnsi="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066D4D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9.3 供应商应认真阅读、并充分理解本文件的全部内容 (包括所有的补充、修改内容)，承诺并履行本文件中各项条款规定及要求。</w:t>
      </w:r>
    </w:p>
    <w:p w14:paraId="362DDA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9.4 竞争性磋商响应文件必须按本文件的全部内容，包括所有的补充通知及附件进行编制。</w:t>
      </w:r>
    </w:p>
    <w:p w14:paraId="6179BA2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9.5 如因供应商只填写和提供了本文件要求的部分内容和附件，而给评审造成困难，其可能导致的结果和责任由供应商自行承担。</w:t>
      </w:r>
    </w:p>
    <w:p w14:paraId="3EB848C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cs="宋体"/>
          <w:b w:val="0"/>
          <w:bCs/>
          <w:color w:val="auto"/>
          <w:spacing w:val="0"/>
          <w:position w:val="0"/>
          <w:szCs w:val="21"/>
          <w:highlight w:val="none"/>
        </w:rPr>
        <w:t>9.6 响应文件的组成：响应文件应分为资格证明文件、报价文件、商务技术文件三个部分组成。</w:t>
      </w:r>
      <w:r>
        <w:rPr>
          <w:rFonts w:hint="eastAsia" w:ascii="宋体" w:hAnsi="宋体" w:cs="宋体"/>
          <w:b/>
          <w:bCs w:val="0"/>
          <w:color w:val="auto"/>
          <w:spacing w:val="0"/>
          <w:position w:val="0"/>
          <w:szCs w:val="21"/>
          <w:highlight w:val="none"/>
          <w:lang w:eastAsia="zh-CN"/>
        </w:rPr>
        <w:t>以下注明“</w:t>
      </w:r>
      <w:r>
        <w:rPr>
          <w:rFonts w:hint="eastAsia" w:ascii="宋体" w:hAnsi="宋体" w:cs="宋体"/>
          <w:color w:val="auto"/>
          <w:spacing w:val="0"/>
          <w:position w:val="0"/>
          <w:szCs w:val="21"/>
          <w:highlight w:val="none"/>
        </w:rPr>
        <w:t>▲</w:t>
      </w:r>
      <w:r>
        <w:rPr>
          <w:rFonts w:hint="eastAsia" w:ascii="宋体" w:hAnsi="宋体" w:cs="宋体"/>
          <w:b/>
          <w:bCs w:val="0"/>
          <w:color w:val="auto"/>
          <w:spacing w:val="0"/>
          <w:position w:val="0"/>
          <w:szCs w:val="21"/>
          <w:highlight w:val="none"/>
          <w:lang w:eastAsia="zh-CN"/>
        </w:rPr>
        <w:t>”的必须提供，否则竞标无效。</w:t>
      </w:r>
    </w:p>
    <w:p w14:paraId="0DDFB4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1.资格证明文件</w:t>
      </w:r>
    </w:p>
    <w:p w14:paraId="1079A609">
      <w:pPr>
        <w:pStyle w:val="9"/>
        <w:keepNext w:val="0"/>
        <w:keepLines w:val="0"/>
        <w:pageBreakBefore w:val="0"/>
        <w:widowControl w:val="0"/>
        <w:kinsoku/>
        <w:overflowPunct/>
        <w:topLinePunct w:val="0"/>
        <w:autoSpaceDE/>
        <w:autoSpaceDN/>
        <w:bidi w:val="0"/>
        <w:adjustRightInd/>
        <w:spacing w:line="420" w:lineRule="exact"/>
        <w:ind w:firstLine="420" w:firstLineChars="200"/>
        <w:textAlignment w:val="auto"/>
        <w:rPr>
          <w:rFonts w:hint="eastAsia" w:ascii="宋体" w:hAnsi="宋体"/>
          <w:color w:val="auto"/>
          <w:spacing w:val="0"/>
          <w:position w:val="0"/>
          <w:szCs w:val="21"/>
          <w:highlight w:val="none"/>
          <w:lang w:val="en-US"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w:t>
      </w:r>
      <w:r>
        <w:rPr>
          <w:rFonts w:hint="eastAsia" w:ascii="宋体" w:hAnsi="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00A5909F">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供应商依法缴纳税收的相关材料（</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eastAsia="zh-CN"/>
        </w:rPr>
        <w:t>2025年1 月</w:t>
      </w:r>
      <w:r>
        <w:rPr>
          <w:rFonts w:hint="eastAsia" w:ascii="宋体" w:hAnsi="宋体" w:cs="宋体"/>
          <w:color w:val="auto"/>
          <w:spacing w:val="0"/>
          <w:position w:val="0"/>
          <w:szCs w:val="21"/>
          <w:highlight w:val="none"/>
          <w:lang w:eastAsia="zh-CN"/>
        </w:rPr>
        <w:t>以来</w:t>
      </w:r>
      <w:r>
        <w:rPr>
          <w:rFonts w:hint="eastAsia" w:ascii="宋体" w:hAnsi="宋体" w:cs="宋体"/>
          <w:color w:val="auto"/>
          <w:spacing w:val="0"/>
          <w:position w:val="0"/>
          <w:szCs w:val="21"/>
          <w:highlight w:val="none"/>
        </w:rPr>
        <w:t>任意</w:t>
      </w:r>
      <w:r>
        <w:rPr>
          <w:rFonts w:hint="eastAsia" w:ascii="宋体" w:hAnsi="宋体" w:cs="宋体"/>
          <w:color w:val="auto"/>
          <w:spacing w:val="0"/>
          <w:position w:val="0"/>
          <w:szCs w:val="21"/>
          <w:highlight w:val="none"/>
          <w:u w:val="single"/>
        </w:rPr>
        <w:t xml:space="preserve"> 1</w:t>
      </w:r>
      <w:r>
        <w:rPr>
          <w:rFonts w:hint="eastAsia" w:ascii="宋体" w:hAnsi="宋体" w:cs="宋体"/>
          <w:color w:val="auto"/>
          <w:spacing w:val="0"/>
          <w:position w:val="0"/>
          <w:szCs w:val="21"/>
          <w:highlight w:val="none"/>
        </w:rPr>
        <w:t>个月的依法缴纳税收的凭据复印件；</w:t>
      </w:r>
      <w:r>
        <w:rPr>
          <w:rFonts w:hint="eastAsia"/>
          <w:color w:val="auto"/>
          <w:spacing w:val="0"/>
          <w:position w:val="0"/>
          <w:highlight w:val="none"/>
        </w:rPr>
        <w:t>依法免税的，必须提供相应文件证明其依法免税。</w:t>
      </w:r>
      <w:r>
        <w:rPr>
          <w:rFonts w:hint="eastAsia" w:ascii="宋体" w:hAnsi="宋体" w:cs="宋体"/>
          <w:color w:val="auto"/>
          <w:spacing w:val="0"/>
          <w:position w:val="0"/>
          <w:szCs w:val="21"/>
          <w:highlight w:val="none"/>
        </w:rPr>
        <w:t>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到响应文件提交截止时间止不足要求月数的，只需提供从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的依法缴纳税收</w:t>
      </w:r>
      <w:r>
        <w:rPr>
          <w:rFonts w:hint="eastAsia"/>
          <w:color w:val="auto"/>
          <w:spacing w:val="0"/>
          <w:position w:val="0"/>
          <w:highlight w:val="none"/>
        </w:rPr>
        <w:t>相应证明文件</w:t>
      </w:r>
      <w:r>
        <w:rPr>
          <w:rFonts w:hint="eastAsia" w:ascii="宋体" w:hAnsi="宋体" w:cs="宋体"/>
          <w:color w:val="auto"/>
          <w:spacing w:val="0"/>
          <w:position w:val="0"/>
          <w:szCs w:val="21"/>
          <w:highlight w:val="none"/>
        </w:rPr>
        <w:t>）；</w:t>
      </w:r>
    </w:p>
    <w:p w14:paraId="50218B5D">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供应商依法缴纳社会保障资金的相关材料</w:t>
      </w:r>
      <w:r>
        <w:rPr>
          <w:rFonts w:hint="eastAsia" w:ascii="宋体" w:hAnsi="宋体" w:cs="宋体"/>
          <w:color w:val="auto"/>
          <w:spacing w:val="0"/>
          <w:position w:val="0"/>
          <w:szCs w:val="21"/>
          <w:highlight w:val="none"/>
          <w:u w:val="single"/>
          <w:lang w:eastAsia="zh-CN"/>
        </w:rPr>
        <w:t>2025年1 月</w:t>
      </w:r>
      <w:r>
        <w:rPr>
          <w:rFonts w:hint="eastAsia" w:ascii="宋体" w:hAnsi="宋体" w:cs="宋体"/>
          <w:color w:val="auto"/>
          <w:spacing w:val="0"/>
          <w:position w:val="0"/>
          <w:szCs w:val="21"/>
          <w:highlight w:val="none"/>
          <w:lang w:eastAsia="zh-CN"/>
        </w:rPr>
        <w:t>以来</w:t>
      </w:r>
      <w:r>
        <w:rPr>
          <w:rFonts w:hint="eastAsia" w:ascii="宋体" w:hAnsi="宋体" w:cs="宋体"/>
          <w:color w:val="auto"/>
          <w:spacing w:val="0"/>
          <w:position w:val="0"/>
          <w:szCs w:val="21"/>
          <w:highlight w:val="none"/>
        </w:rPr>
        <w:t>任意</w:t>
      </w:r>
      <w:r>
        <w:rPr>
          <w:rFonts w:hint="eastAsia" w:ascii="宋体" w:hAnsi="宋体" w:cs="宋体"/>
          <w:color w:val="auto"/>
          <w:spacing w:val="0"/>
          <w:position w:val="0"/>
          <w:szCs w:val="21"/>
          <w:highlight w:val="none"/>
          <w:u w:val="single"/>
        </w:rPr>
        <w:t xml:space="preserve"> 1</w:t>
      </w:r>
      <w:r>
        <w:rPr>
          <w:rFonts w:hint="eastAsia" w:ascii="宋体" w:hAnsi="宋体" w:cs="宋体"/>
          <w:color w:val="auto"/>
          <w:spacing w:val="0"/>
          <w:position w:val="0"/>
          <w:szCs w:val="21"/>
          <w:highlight w:val="none"/>
        </w:rPr>
        <w:t>个月的依法缴纳社会保障资金的缴费凭证（专用收据或者社会保险缴纳清单）复印件；</w:t>
      </w:r>
      <w:r>
        <w:rPr>
          <w:rFonts w:hint="eastAsia"/>
          <w:color w:val="auto"/>
          <w:spacing w:val="0"/>
          <w:position w:val="0"/>
          <w:highlight w:val="none"/>
        </w:rPr>
        <w:t>依法不需要缴纳社会保障资金的，必须提供相应文件证明不需要缴纳社会保障资金。</w:t>
      </w:r>
      <w:r>
        <w:rPr>
          <w:rFonts w:hint="eastAsia" w:ascii="宋体" w:hAnsi="宋体" w:cs="宋体"/>
          <w:color w:val="auto"/>
          <w:spacing w:val="0"/>
          <w:position w:val="0"/>
          <w:szCs w:val="21"/>
          <w:highlight w:val="none"/>
        </w:rPr>
        <w:t>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到响应文件提交截止时间止不足要求月数的只需提供从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的依法缴纳社会保障资金的</w:t>
      </w:r>
      <w:r>
        <w:rPr>
          <w:rFonts w:hint="eastAsia"/>
          <w:color w:val="auto"/>
          <w:spacing w:val="0"/>
          <w:position w:val="0"/>
          <w:highlight w:val="none"/>
        </w:rPr>
        <w:t>相应证明文件</w:t>
      </w:r>
      <w:r>
        <w:rPr>
          <w:rFonts w:hint="eastAsia" w:ascii="宋体" w:hAnsi="宋体" w:cs="宋体"/>
          <w:color w:val="auto"/>
          <w:spacing w:val="0"/>
          <w:position w:val="0"/>
          <w:szCs w:val="21"/>
          <w:highlight w:val="none"/>
        </w:rPr>
        <w:t>]；</w:t>
      </w:r>
    </w:p>
    <w:p w14:paraId="022F4801">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w:t>
      </w:r>
      <w:r>
        <w:rPr>
          <w:rFonts w:hint="eastAsia"/>
          <w:color w:val="auto"/>
          <w:spacing w:val="0"/>
          <w:position w:val="0"/>
          <w:szCs w:val="21"/>
          <w:highlight w:val="none"/>
        </w:rPr>
        <w:t>财务状况报告（</w:t>
      </w:r>
      <w:r>
        <w:rPr>
          <w:rFonts w:hint="eastAsia"/>
          <w:b/>
          <w:bCs/>
          <w:color w:val="auto"/>
          <w:spacing w:val="0"/>
          <w:position w:val="0"/>
          <w:szCs w:val="21"/>
          <w:highlight w:val="none"/>
          <w:u w:val="single"/>
        </w:rPr>
        <w:t>202</w:t>
      </w:r>
      <w:r>
        <w:rPr>
          <w:rFonts w:hint="eastAsia"/>
          <w:b/>
          <w:bCs/>
          <w:color w:val="auto"/>
          <w:spacing w:val="0"/>
          <w:position w:val="0"/>
          <w:szCs w:val="21"/>
          <w:highlight w:val="none"/>
          <w:u w:val="single"/>
          <w:lang w:val="en-US" w:eastAsia="zh-CN"/>
        </w:rPr>
        <w:t>3</w:t>
      </w:r>
      <w:r>
        <w:rPr>
          <w:rFonts w:hint="eastAsia"/>
          <w:b/>
          <w:bCs/>
          <w:color w:val="auto"/>
          <w:spacing w:val="0"/>
          <w:position w:val="0"/>
          <w:szCs w:val="21"/>
          <w:highlight w:val="none"/>
        </w:rPr>
        <w:t>年度</w:t>
      </w:r>
      <w:r>
        <w:rPr>
          <w:rFonts w:hint="eastAsia"/>
          <w:b/>
          <w:bCs/>
          <w:color w:val="auto"/>
          <w:spacing w:val="0"/>
          <w:position w:val="0"/>
          <w:szCs w:val="21"/>
          <w:highlight w:val="none"/>
          <w:lang w:val="en-US" w:eastAsia="zh-CN"/>
        </w:rPr>
        <w:t>或</w:t>
      </w:r>
      <w:r>
        <w:rPr>
          <w:rFonts w:hint="eastAsia"/>
          <w:b/>
          <w:bCs/>
          <w:color w:val="auto"/>
          <w:spacing w:val="0"/>
          <w:position w:val="0"/>
          <w:szCs w:val="21"/>
          <w:highlight w:val="none"/>
          <w:u w:val="single"/>
          <w:lang w:val="en-US" w:eastAsia="zh-CN"/>
        </w:rPr>
        <w:t>2024年度</w:t>
      </w:r>
      <w:r>
        <w:rPr>
          <w:rFonts w:hint="eastAsia"/>
          <w:color w:val="auto"/>
          <w:spacing w:val="0"/>
          <w:position w:val="0"/>
          <w:szCs w:val="21"/>
          <w:highlight w:val="none"/>
          <w:u w:val="none"/>
          <w:lang w:val="en-US" w:eastAsia="zh-CN"/>
        </w:rPr>
        <w:t>任意一年</w:t>
      </w:r>
      <w:r>
        <w:rPr>
          <w:rFonts w:hint="eastAsia"/>
          <w:color w:val="auto"/>
          <w:spacing w:val="0"/>
          <w:position w:val="0"/>
          <w:szCs w:val="21"/>
          <w:highlight w:val="none"/>
        </w:rPr>
        <w:t>财务报表复印件，或者银行出具的资信证明，或者中国人民银行征信中心出具的信用报告；供应商属于</w:t>
      </w:r>
      <w:r>
        <w:rPr>
          <w:rFonts w:hint="eastAsia"/>
          <w:color w:val="auto"/>
          <w:spacing w:val="0"/>
          <w:position w:val="0"/>
          <w:highlight w:val="none"/>
        </w:rPr>
        <w:t>成立时间</w:t>
      </w:r>
      <w:r>
        <w:rPr>
          <w:rFonts w:hint="eastAsia"/>
          <w:color w:val="auto"/>
          <w:spacing w:val="0"/>
          <w:kern w:val="0"/>
          <w:position w:val="0"/>
          <w:highlight w:val="none"/>
        </w:rPr>
        <w:t>在规定年度之后</w:t>
      </w:r>
      <w:r>
        <w:rPr>
          <w:rFonts w:hint="eastAsia"/>
          <w:color w:val="auto"/>
          <w:spacing w:val="0"/>
          <w:position w:val="0"/>
          <w:highlight w:val="none"/>
        </w:rPr>
        <w:t>的</w:t>
      </w:r>
      <w:r>
        <w:rPr>
          <w:rFonts w:hint="eastAsia"/>
          <w:color w:val="auto"/>
          <w:spacing w:val="0"/>
          <w:position w:val="0"/>
          <w:szCs w:val="21"/>
          <w:highlight w:val="none"/>
        </w:rPr>
        <w:t>法人或其他组织</w:t>
      </w:r>
      <w:r>
        <w:rPr>
          <w:rFonts w:hint="eastAsia"/>
          <w:color w:val="auto"/>
          <w:spacing w:val="0"/>
          <w:position w:val="0"/>
          <w:highlight w:val="none"/>
        </w:rPr>
        <w:t>，需提供成立之日起至响应文件提交截止时间前的月报表</w:t>
      </w:r>
      <w:r>
        <w:rPr>
          <w:rFonts w:hint="eastAsia"/>
          <w:color w:val="auto"/>
          <w:spacing w:val="0"/>
          <w:position w:val="0"/>
          <w:szCs w:val="21"/>
          <w:highlight w:val="none"/>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auto"/>
          <w:spacing w:val="0"/>
          <w:position w:val="0"/>
          <w:szCs w:val="21"/>
          <w:highlight w:val="none"/>
        </w:rPr>
        <w:t>；</w:t>
      </w:r>
    </w:p>
    <w:p w14:paraId="7550ED17">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竞标声明（格式后附）；</w:t>
      </w:r>
    </w:p>
    <w:p w14:paraId="356FD38D">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供应商直接控股、管理关系信息表（格式后附）；</w:t>
      </w:r>
    </w:p>
    <w:p w14:paraId="41FCE80D">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供应商必须在响应文件中提供《</w:t>
      </w:r>
      <w:r>
        <w:rPr>
          <w:rFonts w:hint="eastAsia" w:ascii="宋体" w:hAnsi="宋体"/>
          <w:bCs/>
          <w:color w:val="auto"/>
          <w:spacing w:val="0"/>
          <w:position w:val="0"/>
          <w:szCs w:val="21"/>
          <w:highlight w:val="none"/>
        </w:rPr>
        <w:t>中小企业声明函（工程）</w:t>
      </w:r>
      <w:r>
        <w:rPr>
          <w:rFonts w:hint="eastAsia" w:ascii="宋体" w:hAnsi="宋体"/>
          <w:color w:val="auto"/>
          <w:spacing w:val="0"/>
          <w:position w:val="0"/>
          <w:szCs w:val="21"/>
          <w:highlight w:val="none"/>
        </w:rPr>
        <w:t>》</w:t>
      </w:r>
      <w:r>
        <w:rPr>
          <w:rFonts w:hint="eastAsia"/>
          <w:color w:val="auto"/>
          <w:spacing w:val="0"/>
          <w:position w:val="0"/>
          <w:szCs w:val="22"/>
          <w:highlight w:val="none"/>
        </w:rPr>
        <w:t>或残疾人福利性单位声明函或监狱企业证明材料</w:t>
      </w:r>
      <w:r>
        <w:rPr>
          <w:rFonts w:hint="eastAsia"/>
          <w:color w:val="auto"/>
          <w:spacing w:val="0"/>
          <w:position w:val="0"/>
          <w:szCs w:val="22"/>
          <w:highlight w:val="none"/>
          <w:lang w:val="en-US" w:eastAsia="zh-CN"/>
        </w:rPr>
        <w:t>]；</w:t>
      </w:r>
    </w:p>
    <w:p w14:paraId="3F8BCF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特定资格证明材料：</w:t>
      </w:r>
    </w:p>
    <w:p w14:paraId="7D4CAD8B">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竞标人</w:t>
      </w:r>
      <w:r>
        <w:rPr>
          <w:rFonts w:hint="eastAsia" w:hAnsi="宋体" w:cs="宋体"/>
          <w:color w:val="auto"/>
          <w:spacing w:val="0"/>
          <w:position w:val="0"/>
          <w:sz w:val="21"/>
          <w:szCs w:val="21"/>
          <w:highlight w:val="none"/>
          <w:lang w:eastAsia="zh-CN"/>
        </w:rPr>
        <w:t>须具备水利水电或市政公用工程施工总承包三级（含三级）以上资质以及有效的安全生产许可证，在人员、设备、资金等方面具备相应的施工能力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0D412B24">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pacing w:val="0"/>
          <w:position w:val="0"/>
          <w:szCs w:val="21"/>
          <w:highlight w:val="none"/>
          <w:lang w:eastAsia="zh-CN"/>
        </w:rPr>
      </w:pP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具备水利水电或市政公用工程专业二级（含二级）以上注册建造师执业资格，且具备有效的安全生产考核合格证书（B类）；</w:t>
      </w:r>
    </w:p>
    <w:p w14:paraId="44810F92">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pacing w:val="0"/>
          <w:position w:val="0"/>
          <w:szCs w:val="21"/>
          <w:highlight w:val="none"/>
          <w:lang w:eastAsia="zh-CN"/>
        </w:rPr>
      </w:pPr>
      <w:r>
        <w:rPr>
          <w:rFonts w:hint="eastAsia" w:asciiTheme="minorEastAsia" w:hAnsiTheme="minorEastAsia" w:eastAsiaTheme="minorEastAsia" w:cstheme="minorEastAsia"/>
          <w:color w:val="auto"/>
          <w:spacing w:val="0"/>
          <w:position w:val="0"/>
          <w:sz w:val="21"/>
          <w:szCs w:val="21"/>
          <w:highlight w:val="none"/>
          <w:lang w:eastAsia="zh-CN"/>
        </w:rPr>
        <w:t>拟派的项目经理须无在建项目、已中标或者已列为其他项目中标候选人第一名的建造师作为项目经理。 100万元以下的小型项目（同一行政区域内），拟派的项目经理不得参与超过两个在建或中标项目（</w:t>
      </w:r>
      <w:r>
        <w:rPr>
          <w:rFonts w:hint="eastAsia" w:ascii="宋体" w:hAnsi="宋体"/>
          <w:b/>
          <w:bCs/>
          <w:color w:val="auto"/>
          <w:spacing w:val="0"/>
          <w:position w:val="0"/>
          <w:szCs w:val="21"/>
          <w:highlight w:val="none"/>
        </w:rPr>
        <w:t>供应商必须在响应文件中提供</w:t>
      </w:r>
      <w:r>
        <w:rPr>
          <w:rFonts w:hint="eastAsia" w:ascii="宋体" w:hAnsi="宋体"/>
          <w:b/>
          <w:bCs/>
          <w:color w:val="auto"/>
          <w:spacing w:val="0"/>
          <w:position w:val="0"/>
          <w:szCs w:val="21"/>
          <w:highlight w:val="none"/>
          <w:lang w:eastAsia="zh-CN"/>
        </w:rPr>
        <w:t>上述</w:t>
      </w:r>
      <w:bookmarkStart w:id="573" w:name="_GoBack"/>
      <w:bookmarkEnd w:id="573"/>
      <w:r>
        <w:rPr>
          <w:rFonts w:hint="eastAsia" w:ascii="宋体" w:hAnsi="宋体"/>
          <w:b/>
          <w:bCs/>
          <w:color w:val="auto"/>
          <w:spacing w:val="0"/>
          <w:position w:val="0"/>
          <w:szCs w:val="21"/>
          <w:highlight w:val="none"/>
          <w:lang w:eastAsia="zh-CN"/>
        </w:rPr>
        <w:t>有效证书复印件，承诺书格式自拟</w:t>
      </w:r>
      <w:r>
        <w:rPr>
          <w:rFonts w:hint="eastAsia" w:ascii="宋体" w:hAnsi="宋体"/>
          <w:color w:val="auto"/>
          <w:spacing w:val="0"/>
          <w:position w:val="0"/>
          <w:szCs w:val="21"/>
          <w:highlight w:val="none"/>
          <w:lang w:eastAsia="zh-CN"/>
        </w:rPr>
        <w:t>）。</w:t>
      </w:r>
    </w:p>
    <w:p w14:paraId="2CE1D03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针对资格证明需要说明的其他证明文件和说明。(格式自拟)</w:t>
      </w:r>
    </w:p>
    <w:p w14:paraId="07C62B2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val="en-US" w:eastAsia="zh-CN"/>
        </w:rPr>
        <w:t>2</w:t>
      </w:r>
      <w:r>
        <w:rPr>
          <w:rFonts w:hint="eastAsia" w:ascii="宋体" w:hAnsi="宋体" w:cs="宋体"/>
          <w:b/>
          <w:bCs w:val="0"/>
          <w:color w:val="auto"/>
          <w:spacing w:val="0"/>
          <w:position w:val="0"/>
          <w:szCs w:val="21"/>
          <w:highlight w:val="none"/>
        </w:rPr>
        <w:t>.报价文件</w:t>
      </w:r>
    </w:p>
    <w:p w14:paraId="4049C89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(1)磋商函；</w:t>
      </w:r>
    </w:p>
    <w:p w14:paraId="5E358A9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(2)磋商函附录</w:t>
      </w:r>
      <w:r>
        <w:rPr>
          <w:rFonts w:hint="eastAsia" w:ascii="宋体" w:hAnsi="宋体" w:cs="宋体"/>
          <w:b/>
          <w:bCs w:val="0"/>
          <w:color w:val="auto"/>
          <w:spacing w:val="0"/>
          <w:position w:val="0"/>
          <w:szCs w:val="21"/>
          <w:highlight w:val="none"/>
          <w:lang w:eastAsia="zh-CN"/>
        </w:rPr>
        <w:t>；</w:t>
      </w:r>
    </w:p>
    <w:p w14:paraId="5BE1F11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(3)竞标报价表</w:t>
      </w:r>
      <w:r>
        <w:rPr>
          <w:rFonts w:hint="eastAsia" w:ascii="宋体" w:hAnsi="宋体" w:cs="宋体"/>
          <w:b w:val="0"/>
          <w:bCs/>
          <w:color w:val="auto"/>
          <w:spacing w:val="0"/>
          <w:position w:val="0"/>
          <w:szCs w:val="21"/>
          <w:highlight w:val="none"/>
          <w:lang w:eastAsia="zh-CN"/>
        </w:rPr>
        <w:t>；</w:t>
      </w:r>
    </w:p>
    <w:p w14:paraId="7E6675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)已标价工程量清单；</w:t>
      </w:r>
    </w:p>
    <w:p w14:paraId="19BF05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针对报价需要说明的其他文件和说明(格式自拟)</w:t>
      </w:r>
      <w:r>
        <w:rPr>
          <w:rFonts w:hint="eastAsia" w:ascii="宋体" w:hAnsi="宋体" w:cs="宋体"/>
          <w:b w:val="0"/>
          <w:bCs/>
          <w:color w:val="auto"/>
          <w:spacing w:val="0"/>
          <w:position w:val="0"/>
          <w:szCs w:val="21"/>
          <w:highlight w:val="none"/>
          <w:lang w:eastAsia="zh-CN"/>
        </w:rPr>
        <w:t>。</w:t>
      </w:r>
    </w:p>
    <w:p w14:paraId="77AA1E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val="en-US" w:eastAsia="zh-CN"/>
        </w:rPr>
        <w:t>3</w:t>
      </w:r>
      <w:r>
        <w:rPr>
          <w:rFonts w:hint="eastAsia" w:ascii="宋体" w:hAnsi="宋体" w:cs="宋体"/>
          <w:b/>
          <w:bCs w:val="0"/>
          <w:color w:val="auto"/>
          <w:spacing w:val="0"/>
          <w:position w:val="0"/>
          <w:szCs w:val="21"/>
          <w:highlight w:val="none"/>
        </w:rPr>
        <w:t>.商务技术文件</w:t>
      </w:r>
    </w:p>
    <w:p w14:paraId="107FF3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(1)无串通竞标行为的承诺函（格式后附）；</w:t>
      </w:r>
    </w:p>
    <w:p w14:paraId="60D97E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(2)法定代表人身份证明书及法定代表人有效身份证正反面复印件（格式后附）；</w:t>
      </w:r>
    </w:p>
    <w:p w14:paraId="24455F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(3)授权委托书及委托代理人有效身份证正反面复印件（格式后附）；</w:t>
      </w:r>
      <w:r>
        <w:rPr>
          <w:rFonts w:hint="eastAsia" w:ascii="宋体" w:hAnsi="宋体" w:cs="宋体"/>
          <w:b/>
          <w:bCs w:val="0"/>
          <w:color w:val="auto"/>
          <w:spacing w:val="0"/>
          <w:position w:val="0"/>
          <w:szCs w:val="21"/>
          <w:highlight w:val="none"/>
        </w:rPr>
        <w:t>（委托时必须提供）</w:t>
      </w:r>
    </w:p>
    <w:p w14:paraId="6B77FC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)施工组织设计；</w:t>
      </w:r>
    </w:p>
    <w:p w14:paraId="05D5208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)项目管理机构配备情况表；</w:t>
      </w:r>
    </w:p>
    <w:p w14:paraId="399DB85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针对商务技术需要说明的其他文件和说明(格式自拟) ；</w:t>
      </w:r>
    </w:p>
    <w:p w14:paraId="399D311C">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特别说明：</w:t>
      </w:r>
      <w:r>
        <w:rPr>
          <w:rFonts w:hint="eastAsia" w:ascii="宋体" w:hAnsi="宋体" w:cs="宋体"/>
          <w:b/>
          <w:bCs w:val="0"/>
          <w:color w:val="auto"/>
          <w:spacing w:val="0"/>
          <w:position w:val="0"/>
          <w:szCs w:val="21"/>
          <w:highlight w:val="none"/>
          <w:lang w:eastAsia="zh-CN"/>
        </w:rPr>
        <w:t>①</w:t>
      </w:r>
      <w:r>
        <w:rPr>
          <w:rFonts w:hint="eastAsia" w:ascii="宋体" w:hAnsi="宋体" w:cs="宋体"/>
          <w:b/>
          <w:bCs w:val="0"/>
          <w:color w:val="auto"/>
          <w:spacing w:val="0"/>
          <w:position w:val="0"/>
          <w:szCs w:val="21"/>
          <w:highlight w:val="none"/>
        </w:rPr>
        <w:t>电子磋商响应文件中所</w:t>
      </w:r>
      <w:r>
        <w:rPr>
          <w:rFonts w:hint="eastAsia" w:ascii="宋体" w:hAnsi="宋体" w:cs="宋体"/>
          <w:b/>
          <w:bCs w:val="0"/>
          <w:i w:val="0"/>
          <w:iCs w:val="0"/>
          <w:color w:val="auto"/>
          <w:spacing w:val="0"/>
          <w:position w:val="0"/>
          <w:szCs w:val="21"/>
          <w:highlight w:val="none"/>
        </w:rPr>
        <w:t>须加盖公章部分均采用CA签章</w:t>
      </w:r>
      <w:r>
        <w:rPr>
          <w:rFonts w:hint="eastAsia" w:ascii="宋体" w:hAnsi="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0910E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cs="宋体"/>
          <w:b/>
          <w:bCs w:val="0"/>
          <w:color w:val="auto"/>
          <w:spacing w:val="0"/>
          <w:position w:val="0"/>
          <w:szCs w:val="21"/>
          <w:highlight w:val="none"/>
        </w:rPr>
        <w:t>。</w:t>
      </w:r>
    </w:p>
    <w:p w14:paraId="5AAFBF95">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eastAsia="zh-CN"/>
        </w:rPr>
        <w:t>③</w:t>
      </w:r>
      <w:r>
        <w:rPr>
          <w:rFonts w:hint="eastAsia" w:ascii="宋体" w:hAnsi="宋体" w:cs="宋体"/>
          <w:b/>
          <w:bCs w:val="0"/>
          <w:color w:val="auto"/>
          <w:spacing w:val="0"/>
          <w:position w:val="0"/>
          <w:szCs w:val="21"/>
          <w:highlight w:val="none"/>
        </w:rPr>
        <w:t>竞争性磋商采购文件要求提供的各种复印件，须加盖供应商CA签章，否则其磋商无效。</w:t>
      </w:r>
    </w:p>
    <w:p w14:paraId="23BE0F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9.7 响应文件有效期：见</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须知前附表。</w:t>
      </w:r>
    </w:p>
    <w:p w14:paraId="7AB8C6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9.8 磋商保证金：见</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须知前附表。</w:t>
      </w:r>
    </w:p>
    <w:p w14:paraId="711B64F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10. 计量单位</w:t>
      </w:r>
    </w:p>
    <w:p w14:paraId="53E689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10.1 磋商文件已有明确规定的，使用磋商文件规定的计量单位；磋商文件没有规定的，应采用</w:t>
      </w:r>
      <w:r>
        <w:rPr>
          <w:rFonts w:hint="eastAsia" w:ascii="宋体" w:hAnsi="宋体" w:cs="宋体"/>
          <w:b w:val="0"/>
          <w:bCs/>
          <w:color w:val="auto"/>
          <w:spacing w:val="0"/>
          <w:position w:val="0"/>
          <w:szCs w:val="21"/>
          <w:highlight w:val="none"/>
          <w:lang w:eastAsia="zh-CN"/>
        </w:rPr>
        <w:t>国家</w:t>
      </w:r>
      <w:r>
        <w:rPr>
          <w:rFonts w:hint="eastAsia" w:ascii="宋体" w:hAnsi="宋体" w:cs="宋体"/>
          <w:b w:val="0"/>
          <w:bCs/>
          <w:color w:val="auto"/>
          <w:spacing w:val="0"/>
          <w:position w:val="0"/>
          <w:szCs w:val="21"/>
          <w:highlight w:val="none"/>
        </w:rPr>
        <w:t>法定计量单位，货币种类为人民币，否则视同未响应。</w:t>
      </w:r>
    </w:p>
    <w:p w14:paraId="0CF127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三、磋商报价及采购预算</w:t>
      </w:r>
    </w:p>
    <w:p w14:paraId="62819D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586790D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72AD4A3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11.3本项目磋商报价费用指按照采购需求完成该项目的所有服务工作的费用总和。</w:t>
      </w:r>
    </w:p>
    <w:p w14:paraId="2EC6D11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AEF06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四、响应文件的份数、封装和递交</w:t>
      </w:r>
    </w:p>
    <w:p w14:paraId="37A9C3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12. 竞争性磋商响应文件的份数：电子</w:t>
      </w:r>
      <w:r>
        <w:rPr>
          <w:rFonts w:hint="eastAsia" w:ascii="宋体" w:hAnsi="宋体" w:cs="宋体"/>
          <w:b w:val="0"/>
          <w:bCs/>
          <w:color w:val="auto"/>
          <w:spacing w:val="0"/>
          <w:position w:val="0"/>
          <w:szCs w:val="21"/>
          <w:highlight w:val="none"/>
          <w:lang w:eastAsia="zh-CN"/>
        </w:rPr>
        <w:t>加密</w:t>
      </w:r>
      <w:r>
        <w:rPr>
          <w:rFonts w:hint="eastAsia" w:ascii="宋体" w:hAnsi="宋体" w:cs="宋体"/>
          <w:b w:val="0"/>
          <w:bCs/>
          <w:color w:val="auto"/>
          <w:spacing w:val="0"/>
          <w:position w:val="0"/>
          <w:szCs w:val="21"/>
          <w:highlight w:val="none"/>
        </w:rPr>
        <w:t>响应文件一份</w:t>
      </w:r>
      <w:r>
        <w:rPr>
          <w:rFonts w:hint="eastAsia" w:ascii="宋体" w:hAnsi="宋体" w:cs="宋体"/>
          <w:b w:val="0"/>
          <w:bCs/>
          <w:color w:val="auto"/>
          <w:spacing w:val="0"/>
          <w:position w:val="0"/>
          <w:szCs w:val="21"/>
          <w:highlight w:val="none"/>
          <w:lang w:eastAsia="zh-CN"/>
        </w:rPr>
        <w:t>；</w:t>
      </w:r>
      <w:r>
        <w:rPr>
          <w:color w:val="auto"/>
          <w:spacing w:val="0"/>
          <w:position w:val="0"/>
          <w:sz w:val="21"/>
          <w:highlight w:val="none"/>
        </w:rPr>
        <w:t>电子备份响应文件</w:t>
      </w:r>
      <w:r>
        <w:rPr>
          <w:rFonts w:hint="eastAsia"/>
          <w:color w:val="auto"/>
          <w:spacing w:val="0"/>
          <w:position w:val="0"/>
          <w:sz w:val="21"/>
          <w:highlight w:val="none"/>
          <w:lang w:eastAsia="zh-CN"/>
        </w:rPr>
        <w:t>一份</w:t>
      </w:r>
      <w:r>
        <w:rPr>
          <w:rFonts w:hint="eastAsia" w:ascii="宋体" w:hAnsi="宋体" w:cs="宋体"/>
          <w:b w:val="0"/>
          <w:bCs/>
          <w:color w:val="auto"/>
          <w:spacing w:val="0"/>
          <w:position w:val="0"/>
          <w:szCs w:val="21"/>
          <w:highlight w:val="none"/>
        </w:rPr>
        <w:t>。</w:t>
      </w:r>
    </w:p>
    <w:p w14:paraId="69B568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 位查找不到相关内容的，由供应商自行承担。</w:t>
      </w:r>
    </w:p>
    <w:p w14:paraId="3E3308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 响应文件的递交</w:t>
      </w:r>
    </w:p>
    <w:p w14:paraId="1EED8C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13.1 所有竞争性响应文件应于“第二章 磋商须知及前附表”中规定的截止时间前递交到规定地点。</w:t>
      </w:r>
    </w:p>
    <w:p w14:paraId="0E67374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7686FC3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13.2 迟交的响应文件</w:t>
      </w:r>
    </w:p>
    <w:p w14:paraId="7F51D78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1C1373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五、竞争性磋商 (简称磋商) 与评审</w:t>
      </w:r>
    </w:p>
    <w:p w14:paraId="0195E6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14.磋商小组成立及响应文件的开启</w:t>
      </w:r>
    </w:p>
    <w:p w14:paraId="6B820B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61CB6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6FD662A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14.3 响应文件的开启：具体详见“供应商须知前附表”。</w:t>
      </w:r>
    </w:p>
    <w:p w14:paraId="0F1D3F0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15.响应文件评审程序</w:t>
      </w:r>
    </w:p>
    <w:p w14:paraId="08C5506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 资格审查</w:t>
      </w:r>
    </w:p>
    <w:p w14:paraId="1A163A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15.1.1 响应文件开启后， 由磋商小组依法对供应商的资格证明文件进行审查。</w:t>
      </w:r>
    </w:p>
    <w:p w14:paraId="2CF590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15.1.2 通过资格审查的合格供应商不足3 家的，不得进入符合性审查环节，采购人或采购代理机构应当重新开展采购活动。</w:t>
      </w:r>
    </w:p>
    <w:p w14:paraId="5B476F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 符合性审查</w:t>
      </w:r>
    </w:p>
    <w:p w14:paraId="54683A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15.2.1 由磋商小组通过资格审查的合格供应商的响应文件的竞标报价、商务、技术等实质性要求进行符合性审查，以确定其是否满足竞争性磋商文件的实质性要求。</w:t>
      </w:r>
    </w:p>
    <w:p w14:paraId="58E31A1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667B14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15.2.3 磋商小组要求供应商澄清、说明或者更正响应文件应当要求供应商在合理时间内 通过</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的方式形式作出。供应商的澄清、说明或者更正 必须通过</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12999E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15.2.4 首次响应文件中报价出现前后不一致的，按照下列规定修正：</w:t>
      </w:r>
    </w:p>
    <w:p w14:paraId="295AE78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响应文件中报价表内容与响应文件中相应内容不一致的，以报价表为准；</w:t>
      </w:r>
    </w:p>
    <w:p w14:paraId="199828B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大写金额和小写金额不一致的，以大写金额为准；</w:t>
      </w:r>
    </w:p>
    <w:p w14:paraId="7FC9EF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单价金额小数点或者百分比有明显错位的，以报价表的总价为准，并修改单价；</w:t>
      </w:r>
    </w:p>
    <w:p w14:paraId="37C0D4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(4) 总价金额与按单价汇总金额不一致的，以单价金额计算结果为准。</w:t>
      </w:r>
    </w:p>
    <w:p w14:paraId="6984B3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同时出现两种以上不一致的，按照以上 (1) - (4) 规定的顺序逐条进行修正。修正后的报价经供应商确认后产生约束力，供应商不确认的，其响应文件按无效响应处理。</w:t>
      </w:r>
    </w:p>
    <w:p w14:paraId="71F161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60E7CC5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15.2.6 通过符合性审查的合格供应商不足 3 家的，不得进入磋商环节，采购人或采购代理机构应当重新开展采购活动。</w:t>
      </w:r>
    </w:p>
    <w:p w14:paraId="728A6D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16.磋商</w:t>
      </w:r>
    </w:p>
    <w:p w14:paraId="44C2D4B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w:t>
      </w:r>
      <w:r>
        <w:rPr>
          <w:rFonts w:hint="eastAsia" w:ascii="宋体" w:hAnsi="宋体" w:cs="宋体"/>
          <w:b w:val="0"/>
          <w:bCs/>
          <w:color w:val="auto"/>
          <w:spacing w:val="0"/>
          <w:position w:val="0"/>
          <w:szCs w:val="21"/>
          <w:highlight w:val="none"/>
        </w:rPr>
        <w:tab/>
      </w:r>
      <w:r>
        <w:rPr>
          <w:rFonts w:hint="eastAsia" w:ascii="宋体" w:hAnsi="宋体" w:cs="宋体"/>
          <w:b w:val="0"/>
          <w:bCs/>
          <w:color w:val="auto"/>
          <w:spacing w:val="0"/>
          <w:position w:val="0"/>
          <w:szCs w:val="21"/>
          <w:highlight w:val="none"/>
        </w:rPr>
        <w:t>(https://www.zcygov.cn/) 开标信息，在接到磋商通知后规定时间内参加磋商，未在规定时间内参加磋商的视同放弃参加磋商权利，其响应文件按无效响应处理。</w:t>
      </w:r>
    </w:p>
    <w:p w14:paraId="42458ED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182CF1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16.3 对竞争性磋商文件作出的实质性变动是竞争性磋商文件的有效组成部分， 由磋商小组及时以书面形式同时通知所有参加磋商的供应商。</w:t>
      </w:r>
    </w:p>
    <w:p w14:paraId="3839DC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60DD7F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16.5 磋商中，磋商的任何一方不得透露与磋商有关的其他供应商的技术资料、价格和其他信息。</w:t>
      </w:r>
    </w:p>
    <w:p w14:paraId="0FDC304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16.6 采购代理机构对磋商过程和重要磋商内容进行记录，磋商双方应在记录上签字确认。</w:t>
      </w:r>
    </w:p>
    <w:p w14:paraId="739A138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16.7 磋商过程中重新提交的响应文件，供应商可以在开启前补充、修改。</w:t>
      </w:r>
    </w:p>
    <w:p w14:paraId="6CAEBE2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6D70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4CCB47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16.10 本项目所有响应文件的首次报价及所有磋商报价均不公布。最后磋商结束后，磋商小组不得再与供应商进行任何形式的商谈。</w:t>
      </w:r>
    </w:p>
    <w:p w14:paraId="20D37D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17.最后报价</w:t>
      </w:r>
    </w:p>
    <w:p w14:paraId="2A3F36B3">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提交最后报价，提交最后报价的供应商不得少于 3 家，除本章第 4.3 条外，否则必须重新采购。</w:t>
      </w:r>
    </w:p>
    <w:p w14:paraId="12333528">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(https://www.zcygov.cn/) 提交最后报价。</w:t>
      </w:r>
    </w:p>
    <w:p w14:paraId="449771E9">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①最后报价与首次报价相比无调整的：供应商提交的最后报价只须注明与首次报价相同。</w:t>
      </w:r>
    </w:p>
    <w:p w14:paraId="3E133425">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提交，逾期则最后报价无效，以首次报价为准。</w:t>
      </w:r>
    </w:p>
    <w:p w14:paraId="609A88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895AC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269F1B4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17.5 供应商未在规定时间内提交最后报价的，视同退出磋商。</w:t>
      </w:r>
    </w:p>
    <w:p w14:paraId="35B2B38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17.6 磋商小组收齐某一分标最后报价后统一开启，磋商小组对最后报价进行有效性、完整性和响应程度的审查。</w:t>
      </w:r>
    </w:p>
    <w:p w14:paraId="3B46D26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17.7 响应文件最后报价出现前后不一致的，按照本正文第 25.2.4 条的规定修正。</w:t>
      </w:r>
    </w:p>
    <w:p w14:paraId="219ACD6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17.8 修正后的报价出现下列情形的，按无效响应处理：</w:t>
      </w:r>
    </w:p>
    <w:p w14:paraId="2A1E55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供应商不确认的；</w:t>
      </w:r>
    </w:p>
    <w:p w14:paraId="526535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经供应商确认修正后的竞标报价 (包含首次报价、最后报价) 超过所竞标规定的采购预算金额或者最高限价的 (如本项目公布了最高限价) ；</w:t>
      </w:r>
    </w:p>
    <w:p w14:paraId="635799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经供应商确认修正后的竞标报价 (包含首次报价、最后报价) 超过分项采购预算金额或者最高限价的 (如本项目公布了最高限价) 。</w:t>
      </w:r>
    </w:p>
    <w:p w14:paraId="4951E5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17.9 经供应商确认修正后的最后报价作为评审及签订合同的依据。</w:t>
      </w:r>
    </w:p>
    <w:p w14:paraId="4E8B45A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 xml:space="preserve">17.10 最后报价结束后，磋商小组不得再与供应商进行任何形式的商谈。 </w:t>
      </w:r>
    </w:p>
    <w:p w14:paraId="7CE2DA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18.比较与评价</w:t>
      </w:r>
    </w:p>
    <w:p w14:paraId="3E29513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18.1 评审方法：综合评分法。</w:t>
      </w:r>
    </w:p>
    <w:p w14:paraId="3CDB3F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18.2 经磋商确定最终采购需求和提交最后报价的供应商后， 由磋商小组采用综合评分法对提交最后报价的供应商的响应文件和最后报价进行综合评分。详见第四章“评审程序、评审方法和评审标准”。</w:t>
      </w:r>
    </w:p>
    <w:p w14:paraId="09D78F8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18.3 评审时，磋商小组各成员应当独立对每个有效的响应文件进行评价、打分，然后汇总每个供应商每项评分因素的得分。</w:t>
      </w:r>
    </w:p>
    <w:p w14:paraId="136D6A1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磋商小组按照竞争性磋商文件中规定的评审标准计算各供应商的报价得分。项目评审过程中，不得去掉最后报价中的最高报价和最低报价。</w:t>
      </w:r>
    </w:p>
    <w:p w14:paraId="0E4E33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各供应商的得分为磋商小组所有成员的有效评分的算术平均数。</w:t>
      </w:r>
    </w:p>
    <w:p w14:paraId="50AFBA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18.4 评审价为供应商的最后报价进行政策性扣除后的价格，评审价只是作为评审时使用。最终成交供应商的成交金额等于最后报价 (如有修正，以确认修正后的最后报价为准) 。</w:t>
      </w:r>
    </w:p>
    <w:p w14:paraId="267B6D7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3EC96C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E839B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特别说明：</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公司如对电子化磋商及评审程序有调整的，按调整后的程序操作。</w:t>
      </w:r>
    </w:p>
    <w:p w14:paraId="47C987A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 采购过程中出现以下情形，导致电子交易平台无法正常运行，或者无法保证电子交 易的公平、公正和安全时，采购组织机构可中止电子交易活动：</w:t>
      </w:r>
    </w:p>
    <w:p w14:paraId="3B968CB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18.6.1 电子交易平台发生故障而无法登录访问的；</w:t>
      </w:r>
    </w:p>
    <w:p w14:paraId="7D32E87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18.6.2 电子交易平台应用或数据库出现错误，不能进行正常操作的；</w:t>
      </w:r>
    </w:p>
    <w:p w14:paraId="6E9D4C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18.6.3 电子交易平台发现严重安全漏洞，有潜在泄密危险的；</w:t>
      </w:r>
    </w:p>
    <w:p w14:paraId="062C58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18.6.4 病毒发作导致不能进行正常操作的；</w:t>
      </w:r>
    </w:p>
    <w:p w14:paraId="6385472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18.6.5 其他无法保证电子交易的公平、公正和安全的情况。</w:t>
      </w:r>
    </w:p>
    <w:p w14:paraId="60C457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67173F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六、确定成交供应商办法及结果公告</w:t>
      </w:r>
    </w:p>
    <w:p w14:paraId="0039C68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7E5E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65A33B2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548753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06845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七、履约保证金</w:t>
      </w:r>
    </w:p>
    <w:p w14:paraId="1EC38EC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20.履约保证金：</w:t>
      </w:r>
      <w:r>
        <w:rPr>
          <w:rFonts w:hint="eastAsia" w:ascii="宋体" w:hAnsi="宋体" w:cs="宋体"/>
          <w:b w:val="0"/>
          <w:bCs/>
          <w:color w:val="auto"/>
          <w:spacing w:val="0"/>
          <w:position w:val="0"/>
          <w:szCs w:val="21"/>
          <w:highlight w:val="none"/>
          <w:lang w:val="en-US" w:eastAsia="zh-CN"/>
        </w:rPr>
        <w:t>详见须知前附表</w:t>
      </w:r>
      <w:r>
        <w:rPr>
          <w:rFonts w:hint="eastAsia" w:ascii="宋体" w:hAnsi="宋体" w:cs="宋体"/>
          <w:b w:val="0"/>
          <w:bCs/>
          <w:color w:val="auto"/>
          <w:spacing w:val="0"/>
          <w:position w:val="0"/>
          <w:szCs w:val="21"/>
          <w:highlight w:val="none"/>
        </w:rPr>
        <w:t>。</w:t>
      </w:r>
    </w:p>
    <w:p w14:paraId="6AC123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八、签订合同</w:t>
      </w:r>
    </w:p>
    <w:p w14:paraId="5822049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color w:val="auto"/>
          <w:spacing w:val="0"/>
          <w:position w:val="0"/>
          <w:highlight w:val="none"/>
        </w:rPr>
      </w:pPr>
      <w:r>
        <w:rPr>
          <w:rFonts w:hint="eastAsia" w:ascii="宋体" w:hAnsi="宋体" w:cs="宋体"/>
          <w:b w:val="0"/>
          <w:bCs/>
          <w:color w:val="auto"/>
          <w:spacing w:val="0"/>
          <w:position w:val="0"/>
          <w:szCs w:val="21"/>
          <w:highlight w:val="none"/>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46A218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1B7B5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九、政府采购合同公告</w:t>
      </w:r>
    </w:p>
    <w:p w14:paraId="00E82B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685D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十、适用法律</w:t>
      </w:r>
    </w:p>
    <w:p w14:paraId="31E65C5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23.本项目适用于《中华人民共和国政府采购法》《中华人民共和国政府采购法实施条例》</w:t>
      </w:r>
    </w:p>
    <w:p w14:paraId="61D50F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766E3A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十一、其他事项</w:t>
      </w:r>
    </w:p>
    <w:p w14:paraId="27AA11D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24.1 招标代理服务费</w:t>
      </w:r>
    </w:p>
    <w:p w14:paraId="07E7174B">
      <w:pPr>
        <w:pStyle w:val="14"/>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根据中华人民共和国国家发展计划委员会（2002）1980号文件“工程招标”标准计费，参照钦政办〔2013〕161号钦州市人民政府办公室关于财政性资金投资项目其他费用管理有关问题的通知后下浮20%计取，采购代理服务费采用差额定率累进计费方式收取。由成交人领取成交通知书前，向代理机构一次性付清。</w:t>
      </w:r>
    </w:p>
    <w:p w14:paraId="75DAD8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代理服务费专用</w:t>
      </w:r>
      <w:r>
        <w:rPr>
          <w:rFonts w:hint="eastAsia" w:ascii="宋体" w:hAnsi="宋体" w:cs="宋体"/>
          <w:b w:val="0"/>
          <w:bCs/>
          <w:color w:val="auto"/>
          <w:spacing w:val="0"/>
          <w:position w:val="0"/>
          <w:szCs w:val="21"/>
          <w:highlight w:val="none"/>
          <w:lang w:eastAsia="zh-CN"/>
        </w:rPr>
        <w:t>账</w:t>
      </w:r>
      <w:r>
        <w:rPr>
          <w:rFonts w:hint="eastAsia" w:ascii="宋体" w:hAnsi="宋体" w:cs="宋体"/>
          <w:b w:val="0"/>
          <w:bCs/>
          <w:color w:val="auto"/>
          <w:spacing w:val="0"/>
          <w:position w:val="0"/>
          <w:szCs w:val="21"/>
          <w:highlight w:val="none"/>
        </w:rPr>
        <w:t>户：</w:t>
      </w:r>
    </w:p>
    <w:p w14:paraId="66F5C045">
      <w:pPr>
        <w:pStyle w:val="14"/>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开户名称：广西华霖招标有限公司</w:t>
      </w:r>
    </w:p>
    <w:p w14:paraId="1046F3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账  号：827712010112553228168</w:t>
      </w:r>
    </w:p>
    <w:p w14:paraId="1316F1A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Cs w:val="24"/>
          <w:highlight w:val="none"/>
          <w:lang w:val="en-US" w:eastAsia="zh-CN"/>
        </w:rPr>
      </w:pPr>
      <w:r>
        <w:rPr>
          <w:rFonts w:hint="eastAsia" w:ascii="宋体" w:hAnsi="宋体" w:eastAsia="宋体" w:cs="宋体"/>
          <w:color w:val="auto"/>
          <w:spacing w:val="0"/>
          <w:position w:val="0"/>
          <w:sz w:val="21"/>
          <w:highlight w:val="none"/>
          <w:lang w:val="en-US" w:eastAsia="zh-CN"/>
        </w:rPr>
        <w:t>开户行：</w:t>
      </w:r>
      <w:r>
        <w:rPr>
          <w:rFonts w:hint="eastAsia" w:hAnsi="宋体" w:cs="宋体"/>
          <w:color w:val="auto"/>
          <w:spacing w:val="0"/>
          <w:position w:val="0"/>
          <w:szCs w:val="24"/>
          <w:highlight w:val="none"/>
          <w:lang w:val="en-US" w:eastAsia="zh-CN"/>
        </w:rPr>
        <w:t>广西浦北农村商业银行股份公司东风分理处</w:t>
      </w:r>
    </w:p>
    <w:p w14:paraId="2B5251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Cs w:val="24"/>
          <w:highlight w:val="none"/>
          <w:lang w:val="en-US" w:eastAsia="zh-CN"/>
        </w:rPr>
      </w:pPr>
    </w:p>
    <w:p w14:paraId="30DF724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代理服务费收费计算标准：</w:t>
      </w:r>
    </w:p>
    <w:tbl>
      <w:tblPr>
        <w:tblStyle w:val="63"/>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3ECE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26B69071">
            <w:pPr>
              <w:keepNext w:val="0"/>
              <w:keepLines w:val="0"/>
              <w:pageBreakBefore w:val="0"/>
              <w:widowControl w:val="0"/>
              <w:kinsoku/>
              <w:wordWrap/>
              <w:overflowPunct/>
              <w:topLinePunct w:val="0"/>
              <w:autoSpaceDE/>
              <w:autoSpaceDN/>
              <w:bidi w:val="0"/>
              <w:adjustRightInd/>
              <w:snapToGrid/>
              <w:spacing w:line="420" w:lineRule="exact"/>
              <w:ind w:left="1702" w:firstLine="1050" w:firstLineChars="50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C89DF37">
            <w:pPr>
              <w:keepNext w:val="0"/>
              <w:keepLines w:val="0"/>
              <w:pageBreakBefore w:val="0"/>
              <w:widowControl w:val="0"/>
              <w:kinsoku/>
              <w:wordWrap/>
              <w:overflowPunct/>
              <w:topLinePunct w:val="0"/>
              <w:autoSpaceDE/>
              <w:autoSpaceDN/>
              <w:bidi w:val="0"/>
              <w:adjustRightInd/>
              <w:snapToGrid/>
              <w:spacing w:line="420" w:lineRule="exact"/>
              <w:ind w:left="118"/>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1B2412CD">
            <w:pPr>
              <w:keepNext w:val="0"/>
              <w:keepLines w:val="0"/>
              <w:pageBreakBefore w:val="0"/>
              <w:widowControl w:val="0"/>
              <w:kinsoku/>
              <w:wordWrap/>
              <w:overflowPunct/>
              <w:topLinePunct w:val="0"/>
              <w:autoSpaceDE/>
              <w:autoSpaceDN/>
              <w:bidi w:val="0"/>
              <w:adjustRightInd/>
              <w:snapToGrid/>
              <w:spacing w:line="420" w:lineRule="exact"/>
              <w:ind w:left="57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0294CB24">
            <w:pPr>
              <w:keepNext w:val="0"/>
              <w:keepLines w:val="0"/>
              <w:pageBreakBefore w:val="0"/>
              <w:widowControl w:val="0"/>
              <w:kinsoku/>
              <w:wordWrap/>
              <w:overflowPunct/>
              <w:topLinePunct w:val="0"/>
              <w:autoSpaceDE/>
              <w:autoSpaceDN/>
              <w:bidi w:val="0"/>
              <w:adjustRightInd/>
              <w:snapToGrid/>
              <w:spacing w:line="420" w:lineRule="exact"/>
              <w:ind w:left="45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1CABC260">
            <w:pPr>
              <w:keepNext w:val="0"/>
              <w:keepLines w:val="0"/>
              <w:pageBreakBefore w:val="0"/>
              <w:widowControl w:val="0"/>
              <w:kinsoku/>
              <w:wordWrap/>
              <w:overflowPunct/>
              <w:topLinePunct w:val="0"/>
              <w:autoSpaceDE/>
              <w:autoSpaceDN/>
              <w:bidi w:val="0"/>
              <w:adjustRightInd/>
              <w:snapToGrid/>
              <w:spacing w:line="420" w:lineRule="exact"/>
              <w:ind w:left="46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626F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5169F5B">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 万元以下</w:t>
            </w:r>
          </w:p>
        </w:tc>
        <w:tc>
          <w:tcPr>
            <w:tcW w:w="1579" w:type="dxa"/>
            <w:vAlign w:val="center"/>
          </w:tcPr>
          <w:p w14:paraId="2E7874B0">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69B32ECC">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369F2A27">
            <w:pPr>
              <w:keepNext w:val="0"/>
              <w:keepLines w:val="0"/>
              <w:pageBreakBefore w:val="0"/>
              <w:widowControl w:val="0"/>
              <w:kinsoku/>
              <w:overflowPunct/>
              <w:topLinePunct w:val="0"/>
              <w:autoSpaceDE/>
              <w:autoSpaceDN/>
              <w:bidi w:val="0"/>
              <w:adjustRightInd/>
              <w:spacing w:before="33" w:line="420" w:lineRule="exact"/>
              <w:ind w:left="342"/>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56DB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5F659D5">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 万元</w:t>
            </w:r>
          </w:p>
        </w:tc>
        <w:tc>
          <w:tcPr>
            <w:tcW w:w="1579" w:type="dxa"/>
            <w:vAlign w:val="center"/>
          </w:tcPr>
          <w:p w14:paraId="5FD62059">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3958A1DF">
            <w:pPr>
              <w:keepNext w:val="0"/>
              <w:keepLines w:val="0"/>
              <w:pageBreakBefore w:val="0"/>
              <w:widowControl w:val="0"/>
              <w:kinsoku/>
              <w:overflowPunct/>
              <w:topLinePunct w:val="0"/>
              <w:autoSpaceDE/>
              <w:autoSpaceDN/>
              <w:bidi w:val="0"/>
              <w:adjustRightInd/>
              <w:spacing w:before="33"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00E10488">
            <w:pPr>
              <w:keepNext w:val="0"/>
              <w:keepLines w:val="0"/>
              <w:pageBreakBefore w:val="0"/>
              <w:widowControl w:val="0"/>
              <w:kinsoku/>
              <w:overflowPunct/>
              <w:topLinePunct w:val="0"/>
              <w:autoSpaceDE/>
              <w:autoSpaceDN/>
              <w:bidi w:val="0"/>
              <w:adjustRightInd/>
              <w:spacing w:before="33"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9131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3281EFC">
            <w:pPr>
              <w:keepNext w:val="0"/>
              <w:keepLines w:val="0"/>
              <w:pageBreakBefore w:val="0"/>
              <w:widowControl w:val="0"/>
              <w:kinsoku/>
              <w:overflowPunct/>
              <w:topLinePunct w:val="0"/>
              <w:autoSpaceDE/>
              <w:autoSpaceDN/>
              <w:bidi w:val="0"/>
              <w:adjustRightInd/>
              <w:spacing w:before="32"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 万元</w:t>
            </w:r>
          </w:p>
        </w:tc>
        <w:tc>
          <w:tcPr>
            <w:tcW w:w="1579" w:type="dxa"/>
            <w:vAlign w:val="center"/>
          </w:tcPr>
          <w:p w14:paraId="66A7BDFD">
            <w:pPr>
              <w:keepNext w:val="0"/>
              <w:keepLines w:val="0"/>
              <w:pageBreakBefore w:val="0"/>
              <w:widowControl w:val="0"/>
              <w:kinsoku/>
              <w:overflowPunct/>
              <w:topLinePunct w:val="0"/>
              <w:autoSpaceDE/>
              <w:autoSpaceDN/>
              <w:bidi w:val="0"/>
              <w:adjustRightInd/>
              <w:spacing w:before="32"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06FDD396">
            <w:pPr>
              <w:keepNext w:val="0"/>
              <w:keepLines w:val="0"/>
              <w:pageBreakBefore w:val="0"/>
              <w:widowControl w:val="0"/>
              <w:kinsoku/>
              <w:overflowPunct/>
              <w:topLinePunct w:val="0"/>
              <w:autoSpaceDE/>
              <w:autoSpaceDN/>
              <w:bidi w:val="0"/>
              <w:adjustRightInd/>
              <w:spacing w:before="32"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70A79C7C">
            <w:pPr>
              <w:keepNext w:val="0"/>
              <w:keepLines w:val="0"/>
              <w:pageBreakBefore w:val="0"/>
              <w:widowControl w:val="0"/>
              <w:kinsoku/>
              <w:overflowPunct/>
              <w:topLinePunct w:val="0"/>
              <w:autoSpaceDE/>
              <w:autoSpaceDN/>
              <w:bidi w:val="0"/>
              <w:adjustRightInd/>
              <w:spacing w:before="32"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08240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F5AB311">
            <w:pPr>
              <w:keepNext w:val="0"/>
              <w:keepLines w:val="0"/>
              <w:pageBreakBefore w:val="0"/>
              <w:widowControl w:val="0"/>
              <w:kinsoku/>
              <w:overflowPunct/>
              <w:topLinePunct w:val="0"/>
              <w:autoSpaceDE/>
              <w:autoSpaceDN/>
              <w:bidi w:val="0"/>
              <w:adjustRightInd/>
              <w:spacing w:before="32"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3308D5B5">
            <w:pPr>
              <w:keepNext w:val="0"/>
              <w:keepLines w:val="0"/>
              <w:pageBreakBefore w:val="0"/>
              <w:widowControl w:val="0"/>
              <w:kinsoku/>
              <w:overflowPunct/>
              <w:topLinePunct w:val="0"/>
              <w:autoSpaceDE/>
              <w:autoSpaceDN/>
              <w:bidi w:val="0"/>
              <w:adjustRightInd/>
              <w:spacing w:before="32"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172EFE0A">
            <w:pPr>
              <w:keepNext w:val="0"/>
              <w:keepLines w:val="0"/>
              <w:pageBreakBefore w:val="0"/>
              <w:widowControl w:val="0"/>
              <w:kinsoku/>
              <w:overflowPunct/>
              <w:topLinePunct w:val="0"/>
              <w:autoSpaceDE/>
              <w:autoSpaceDN/>
              <w:bidi w:val="0"/>
              <w:adjustRightInd/>
              <w:spacing w:before="32"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66F49D48">
            <w:pPr>
              <w:keepNext w:val="0"/>
              <w:keepLines w:val="0"/>
              <w:pageBreakBefore w:val="0"/>
              <w:widowControl w:val="0"/>
              <w:kinsoku/>
              <w:overflowPunct/>
              <w:topLinePunct w:val="0"/>
              <w:autoSpaceDE/>
              <w:autoSpaceDN/>
              <w:bidi w:val="0"/>
              <w:adjustRightInd/>
              <w:spacing w:before="32"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28F5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35A887F">
            <w:pPr>
              <w:keepNext w:val="0"/>
              <w:keepLines w:val="0"/>
              <w:pageBreakBefore w:val="0"/>
              <w:widowControl w:val="0"/>
              <w:kinsoku/>
              <w:overflowPunct/>
              <w:topLinePunct w:val="0"/>
              <w:autoSpaceDE/>
              <w:autoSpaceDN/>
              <w:bidi w:val="0"/>
              <w:adjustRightInd/>
              <w:spacing w:before="34"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19B6DB91">
            <w:pPr>
              <w:keepNext w:val="0"/>
              <w:keepLines w:val="0"/>
              <w:pageBreakBefore w:val="0"/>
              <w:widowControl w:val="0"/>
              <w:kinsoku/>
              <w:overflowPunct/>
              <w:topLinePunct w:val="0"/>
              <w:autoSpaceDE/>
              <w:autoSpaceDN/>
              <w:bidi w:val="0"/>
              <w:adjustRightInd/>
              <w:spacing w:before="34"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4F2AD618">
            <w:pPr>
              <w:keepNext w:val="0"/>
              <w:keepLines w:val="0"/>
              <w:pageBreakBefore w:val="0"/>
              <w:widowControl w:val="0"/>
              <w:kinsoku/>
              <w:overflowPunct/>
              <w:topLinePunct w:val="0"/>
              <w:autoSpaceDE/>
              <w:autoSpaceDN/>
              <w:bidi w:val="0"/>
              <w:adjustRightInd/>
              <w:spacing w:before="34"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313C551C">
            <w:pPr>
              <w:keepNext w:val="0"/>
              <w:keepLines w:val="0"/>
              <w:pageBreakBefore w:val="0"/>
              <w:widowControl w:val="0"/>
              <w:kinsoku/>
              <w:overflowPunct/>
              <w:topLinePunct w:val="0"/>
              <w:autoSpaceDE/>
              <w:autoSpaceDN/>
              <w:bidi w:val="0"/>
              <w:adjustRightInd/>
              <w:spacing w:before="34"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4BA3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76FAB68F">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48D0624F">
            <w:pPr>
              <w:keepNext w:val="0"/>
              <w:keepLines w:val="0"/>
              <w:pageBreakBefore w:val="0"/>
              <w:widowControl w:val="0"/>
              <w:kinsoku/>
              <w:overflowPunct/>
              <w:topLinePunct w:val="0"/>
              <w:autoSpaceDE/>
              <w:autoSpaceDN/>
              <w:bidi w:val="0"/>
              <w:adjustRightInd/>
              <w:spacing w:before="33"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11C7CB4">
            <w:pPr>
              <w:keepNext w:val="0"/>
              <w:keepLines w:val="0"/>
              <w:pageBreakBefore w:val="0"/>
              <w:widowControl w:val="0"/>
              <w:kinsoku/>
              <w:overflowPunct/>
              <w:topLinePunct w:val="0"/>
              <w:autoSpaceDE/>
              <w:autoSpaceDN/>
              <w:bidi w:val="0"/>
              <w:adjustRightInd/>
              <w:spacing w:before="33"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6C48B23C">
            <w:pPr>
              <w:keepNext w:val="0"/>
              <w:keepLines w:val="0"/>
              <w:pageBreakBefore w:val="0"/>
              <w:widowControl w:val="0"/>
              <w:kinsoku/>
              <w:overflowPunct/>
              <w:topLinePunct w:val="0"/>
              <w:autoSpaceDE/>
              <w:autoSpaceDN/>
              <w:bidi w:val="0"/>
              <w:adjustRightInd/>
              <w:spacing w:before="33"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050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2067946F">
            <w:pPr>
              <w:keepNext w:val="0"/>
              <w:keepLines w:val="0"/>
              <w:pageBreakBefore w:val="0"/>
              <w:widowControl w:val="0"/>
              <w:kinsoku/>
              <w:overflowPunct/>
              <w:topLinePunct w:val="0"/>
              <w:autoSpaceDE/>
              <w:autoSpaceDN/>
              <w:bidi w:val="0"/>
              <w:adjustRightInd/>
              <w:spacing w:before="36"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54F70578">
            <w:pPr>
              <w:keepNext w:val="0"/>
              <w:keepLines w:val="0"/>
              <w:pageBreakBefore w:val="0"/>
              <w:widowControl w:val="0"/>
              <w:kinsoku/>
              <w:overflowPunct/>
              <w:topLinePunct w:val="0"/>
              <w:autoSpaceDE/>
              <w:autoSpaceDN/>
              <w:bidi w:val="0"/>
              <w:adjustRightInd/>
              <w:spacing w:before="36" w:line="420" w:lineRule="exact"/>
              <w:ind w:left="22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CCA0788">
            <w:pPr>
              <w:keepNext w:val="0"/>
              <w:keepLines w:val="0"/>
              <w:pageBreakBefore w:val="0"/>
              <w:widowControl w:val="0"/>
              <w:kinsoku/>
              <w:overflowPunct/>
              <w:topLinePunct w:val="0"/>
              <w:autoSpaceDE/>
              <w:autoSpaceDN/>
              <w:bidi w:val="0"/>
              <w:adjustRightInd/>
              <w:spacing w:before="36"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02EB69EF">
            <w:pPr>
              <w:keepNext w:val="0"/>
              <w:keepLines w:val="0"/>
              <w:pageBreakBefore w:val="0"/>
              <w:widowControl w:val="0"/>
              <w:kinsoku/>
              <w:overflowPunct/>
              <w:topLinePunct w:val="0"/>
              <w:autoSpaceDE/>
              <w:autoSpaceDN/>
              <w:bidi w:val="0"/>
              <w:adjustRightInd/>
              <w:spacing w:before="36" w:line="420" w:lineRule="exact"/>
              <w:ind w:left="223"/>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784B794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7D839A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23184ED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72A553E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 询问、质疑和投诉</w:t>
      </w:r>
    </w:p>
    <w:p w14:paraId="230094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 供应商对政府采购活动事项有疑问的，可以向采购人、采购代理机构提出询问，采购人或者采购代理机构应当在 3个工作日内对供应商依法提出的询问作出答复。</w:t>
      </w:r>
    </w:p>
    <w:p w14:paraId="2EB0D7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4F0A18B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对可以质疑的竞争性磋商文件提出质疑的，为收到竞争性磋商文件之日或竞争性磋商公告期限届满之日；</w:t>
      </w:r>
    </w:p>
    <w:p w14:paraId="7B37D4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对采购过程提出质疑的，为各采购程序环节结束之日；</w:t>
      </w:r>
    </w:p>
    <w:p w14:paraId="020522D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对成交结果提出质疑的，为成交结果公告期限届满之日。</w:t>
      </w:r>
    </w:p>
    <w:p w14:paraId="409B4C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4783249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6E386A4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D8523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0A24E2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供应商的姓名或者名称、地址、邮编、联系人及联系电话；</w:t>
      </w:r>
    </w:p>
    <w:p w14:paraId="3B1CFD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质疑项目的名称、编号；</w:t>
      </w:r>
    </w:p>
    <w:p w14:paraId="487E8E8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具体、明确的质疑事项和与质疑事项相关的请求；</w:t>
      </w:r>
    </w:p>
    <w:p w14:paraId="731E2E5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(4) 事实依据；</w:t>
      </w:r>
    </w:p>
    <w:p w14:paraId="5D99E4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(5) 必要的法律依据；</w:t>
      </w:r>
    </w:p>
    <w:p w14:paraId="1A97FA9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(6) 提出质疑的日期。</w:t>
      </w:r>
    </w:p>
    <w:p w14:paraId="2F23BC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418CFE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1953AD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05124F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771EAF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715B04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419BB5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FBD3AF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浦北县书香华府23栋23#24号</w:t>
      </w:r>
    </w:p>
    <w:p w14:paraId="18E1C4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 xml:space="preserve">电话： </w:t>
      </w:r>
      <w:r>
        <w:rPr>
          <w:rFonts w:hint="eastAsia" w:ascii="宋体" w:hAnsi="宋体" w:cs="宋体"/>
          <w:b w:val="0"/>
          <w:bCs/>
          <w:color w:val="auto"/>
          <w:spacing w:val="0"/>
          <w:position w:val="0"/>
          <w:szCs w:val="21"/>
          <w:highlight w:val="none"/>
          <w:lang w:eastAsia="zh-CN"/>
        </w:rPr>
        <w:t>0777-8310661</w:t>
      </w:r>
    </w:p>
    <w:p w14:paraId="061FDF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3B31409B">
      <w:pPr>
        <w:pStyle w:val="16"/>
        <w:rPr>
          <w:rFonts w:ascii="宋体" w:hAnsi="宋体" w:cs="宋体"/>
          <w:b w:val="0"/>
          <w:bCs/>
          <w:color w:val="auto"/>
          <w:spacing w:val="0"/>
          <w:position w:val="0"/>
          <w:szCs w:val="21"/>
          <w:highlight w:val="none"/>
        </w:rPr>
      </w:pPr>
    </w:p>
    <w:p w14:paraId="77A81AF1">
      <w:pPr>
        <w:pStyle w:val="16"/>
        <w:rPr>
          <w:rFonts w:ascii="宋体" w:hAnsi="宋体" w:cs="宋体"/>
          <w:b w:val="0"/>
          <w:bCs/>
          <w:color w:val="auto"/>
          <w:spacing w:val="0"/>
          <w:position w:val="0"/>
          <w:szCs w:val="21"/>
          <w:highlight w:val="none"/>
        </w:rPr>
      </w:pPr>
    </w:p>
    <w:p w14:paraId="727F7CB2">
      <w:pPr>
        <w:pStyle w:val="16"/>
        <w:rPr>
          <w:rFonts w:ascii="宋体" w:hAnsi="宋体" w:cs="宋体"/>
          <w:b w:val="0"/>
          <w:bCs/>
          <w:color w:val="auto"/>
          <w:spacing w:val="0"/>
          <w:position w:val="0"/>
          <w:szCs w:val="21"/>
          <w:highlight w:val="none"/>
        </w:rPr>
      </w:pPr>
    </w:p>
    <w:p w14:paraId="0E4E2D36">
      <w:pPr>
        <w:rPr>
          <w:rFonts w:hint="eastAsia" w:ascii="宋体" w:hAnsi="宋体" w:cs="宋体"/>
          <w:b/>
          <w:bCs/>
          <w:color w:val="auto"/>
          <w:spacing w:val="0"/>
          <w:kern w:val="0"/>
          <w:position w:val="0"/>
          <w:sz w:val="36"/>
          <w:szCs w:val="36"/>
          <w:highlight w:val="none"/>
        </w:rPr>
      </w:pPr>
      <w:bookmarkStart w:id="64" w:name="_Toc26558"/>
      <w:r>
        <w:rPr>
          <w:rFonts w:hint="eastAsia" w:ascii="宋体" w:hAnsi="宋体" w:cs="宋体"/>
          <w:b/>
          <w:bCs/>
          <w:color w:val="auto"/>
          <w:spacing w:val="0"/>
          <w:kern w:val="0"/>
          <w:position w:val="0"/>
          <w:sz w:val="36"/>
          <w:szCs w:val="36"/>
          <w:highlight w:val="none"/>
        </w:rPr>
        <w:br w:type="page"/>
      </w:r>
    </w:p>
    <w:p w14:paraId="1A495CE9">
      <w:pPr>
        <w:jc w:val="center"/>
        <w:outlineLvl w:val="0"/>
        <w:rPr>
          <w:rFonts w:hint="eastAsia" w:ascii="宋体" w:hAnsi="宋体" w:cs="宋体"/>
          <w:b/>
          <w:bCs/>
          <w:color w:val="auto"/>
          <w:spacing w:val="0"/>
          <w:kern w:val="0"/>
          <w:position w:val="0"/>
          <w:sz w:val="36"/>
          <w:szCs w:val="36"/>
          <w:highlight w:val="none"/>
        </w:rPr>
      </w:pPr>
      <w:r>
        <w:rPr>
          <w:rFonts w:hint="eastAsia" w:ascii="宋体" w:hAnsi="宋体" w:cs="宋体"/>
          <w:b/>
          <w:bCs/>
          <w:color w:val="auto"/>
          <w:spacing w:val="0"/>
          <w:kern w:val="0"/>
          <w:position w:val="0"/>
          <w:sz w:val="36"/>
          <w:szCs w:val="36"/>
          <w:highlight w:val="none"/>
        </w:rPr>
        <w:t>第三章  项目基本情况及要求</w:t>
      </w:r>
      <w:bookmarkEnd w:id="64"/>
    </w:p>
    <w:p w14:paraId="40506AF7">
      <w:pPr>
        <w:pStyle w:val="51"/>
        <w:ind w:firstLine="915"/>
        <w:rPr>
          <w:color w:val="auto"/>
          <w:spacing w:val="0"/>
          <w:position w:val="0"/>
          <w:highlight w:val="none"/>
        </w:rPr>
      </w:pPr>
    </w:p>
    <w:p w14:paraId="4F94D1CD">
      <w:pPr>
        <w:spacing w:line="360" w:lineRule="auto"/>
        <w:jc w:val="left"/>
        <w:rPr>
          <w:rFonts w:hint="eastAsia" w:ascii="宋体" w:hAnsi="宋体" w:cs="宋体"/>
          <w:b/>
          <w:bCs/>
          <w:color w:val="auto"/>
          <w:spacing w:val="0"/>
          <w:position w:val="0"/>
          <w:sz w:val="21"/>
          <w:szCs w:val="21"/>
          <w:highlight w:val="none"/>
        </w:rPr>
      </w:pPr>
      <w:r>
        <w:rPr>
          <w:rFonts w:hint="eastAsia" w:ascii="宋体" w:hAnsi="宋体" w:cs="宋体"/>
          <w:b/>
          <w:bCs/>
          <w:color w:val="auto"/>
          <w:spacing w:val="0"/>
          <w:position w:val="0"/>
          <w:sz w:val="21"/>
          <w:szCs w:val="21"/>
          <w:highlight w:val="none"/>
        </w:rPr>
        <w:t>说明：</w:t>
      </w:r>
    </w:p>
    <w:p w14:paraId="2702BED3">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1</w:t>
      </w:r>
      <w:r>
        <w:rPr>
          <w:rFonts w:hint="eastAsia" w:ascii="宋体" w:hAnsi="宋体" w:cs="宋体"/>
          <w:color w:val="auto"/>
          <w:spacing w:val="0"/>
          <w:position w:val="0"/>
          <w:sz w:val="21"/>
          <w:szCs w:val="21"/>
          <w:highlight w:val="none"/>
          <w:lang w:eastAsia="zh-CN"/>
        </w:rPr>
        <w:t xml:space="preserve">.商务条款评审中允许负偏离的非实质性条款数为 </w:t>
      </w:r>
      <w:r>
        <w:rPr>
          <w:rFonts w:hint="eastAsia" w:ascii="宋体" w:hAnsi="宋体" w:cs="宋体"/>
          <w:color w:val="auto"/>
          <w:spacing w:val="0"/>
          <w:position w:val="0"/>
          <w:sz w:val="21"/>
          <w:szCs w:val="21"/>
          <w:highlight w:val="none"/>
          <w:lang w:val="en-US" w:eastAsia="zh-CN"/>
        </w:rPr>
        <w:t>0</w:t>
      </w:r>
      <w:r>
        <w:rPr>
          <w:rFonts w:hint="eastAsia" w:ascii="宋体" w:hAnsi="宋体" w:cs="宋体"/>
          <w:color w:val="auto"/>
          <w:spacing w:val="0"/>
          <w:position w:val="0"/>
          <w:sz w:val="21"/>
          <w:szCs w:val="21"/>
          <w:highlight w:val="none"/>
          <w:lang w:eastAsia="zh-CN"/>
        </w:rPr>
        <w:t xml:space="preserve"> 项。</w:t>
      </w:r>
    </w:p>
    <w:p w14:paraId="0D03F652">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2.</w:t>
      </w:r>
      <w:r>
        <w:rPr>
          <w:rFonts w:hint="eastAsia" w:ascii="宋体" w:hAnsi="宋体" w:cs="宋体"/>
          <w:color w:val="auto"/>
          <w:spacing w:val="0"/>
          <w:position w:val="0"/>
          <w:sz w:val="21"/>
          <w:szCs w:val="21"/>
          <w:highlight w:val="none"/>
          <w:lang w:eastAsia="zh-CN"/>
        </w:rPr>
        <w:t xml:space="preserve">服务需求评审中允许负偏离的非实质性条款数为 </w:t>
      </w:r>
      <w:r>
        <w:rPr>
          <w:rFonts w:hint="eastAsia" w:ascii="宋体" w:hAnsi="宋体" w:cs="宋体"/>
          <w:color w:val="auto"/>
          <w:spacing w:val="0"/>
          <w:position w:val="0"/>
          <w:sz w:val="21"/>
          <w:szCs w:val="21"/>
          <w:highlight w:val="none"/>
          <w:lang w:val="en-US" w:eastAsia="zh-CN"/>
        </w:rPr>
        <w:t>0</w:t>
      </w:r>
      <w:r>
        <w:rPr>
          <w:rFonts w:hint="eastAsia" w:ascii="宋体" w:hAnsi="宋体" w:cs="宋体"/>
          <w:color w:val="auto"/>
          <w:spacing w:val="0"/>
          <w:position w:val="0"/>
          <w:sz w:val="21"/>
          <w:szCs w:val="21"/>
          <w:highlight w:val="none"/>
          <w:lang w:eastAsia="zh-CN"/>
        </w:rPr>
        <w:t xml:space="preserve"> 项。</w:t>
      </w:r>
    </w:p>
    <w:p w14:paraId="6F2CC819">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3.</w:t>
      </w:r>
      <w:r>
        <w:rPr>
          <w:rFonts w:hint="eastAsia" w:ascii="宋体" w:hAnsi="宋体" w:cs="宋体"/>
          <w:color w:val="auto"/>
          <w:spacing w:val="0"/>
          <w:position w:val="0"/>
          <w:sz w:val="21"/>
          <w:szCs w:val="21"/>
          <w:highlight w:val="none"/>
          <w:lang w:eastAsia="zh-CN"/>
        </w:rPr>
        <w:t>供应商必须自行为其竞标产品侵犯他人的知识产权或者专利成果的行为承担相应法律责任。</w:t>
      </w:r>
    </w:p>
    <w:p w14:paraId="4CC7FFBE">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4.</w:t>
      </w:r>
      <w:r>
        <w:rPr>
          <w:rFonts w:hint="eastAsia" w:ascii="宋体" w:hAnsi="宋体" w:cs="宋体"/>
          <w:color w:val="auto"/>
          <w:spacing w:val="0"/>
          <w:position w:val="0"/>
          <w:sz w:val="21"/>
          <w:szCs w:val="21"/>
          <w:highlight w:val="none"/>
          <w:lang w:eastAsia="zh-CN"/>
        </w:rPr>
        <w:t>本项目所属行业：建筑业</w:t>
      </w:r>
    </w:p>
    <w:tbl>
      <w:tblPr>
        <w:tblStyle w:val="32"/>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21"/>
        <w:gridCol w:w="78"/>
        <w:gridCol w:w="904"/>
        <w:gridCol w:w="5427"/>
        <w:gridCol w:w="1286"/>
      </w:tblGrid>
      <w:tr w14:paraId="6DDB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389" w:type="dxa"/>
            <w:noWrap w:val="0"/>
            <w:vAlign w:val="center"/>
          </w:tcPr>
          <w:p w14:paraId="6EFD1E04">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321" w:type="dxa"/>
            <w:noWrap w:val="0"/>
            <w:vAlign w:val="center"/>
          </w:tcPr>
          <w:p w14:paraId="0FD56152">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标的名称</w:t>
            </w:r>
          </w:p>
        </w:tc>
        <w:tc>
          <w:tcPr>
            <w:tcW w:w="982" w:type="dxa"/>
            <w:gridSpan w:val="2"/>
            <w:noWrap w:val="0"/>
            <w:vAlign w:val="center"/>
          </w:tcPr>
          <w:p w14:paraId="65EF9350">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数量及单位</w:t>
            </w:r>
          </w:p>
        </w:tc>
        <w:tc>
          <w:tcPr>
            <w:tcW w:w="5427" w:type="dxa"/>
            <w:noWrap w:val="0"/>
            <w:vAlign w:val="center"/>
          </w:tcPr>
          <w:p w14:paraId="28878E44">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具体</w:t>
            </w:r>
            <w:r>
              <w:rPr>
                <w:rFonts w:hint="eastAsia" w:ascii="宋体" w:hAnsi="宋体" w:cs="宋体"/>
                <w:color w:val="auto"/>
                <w:spacing w:val="0"/>
                <w:position w:val="0"/>
                <w:szCs w:val="21"/>
                <w:highlight w:val="none"/>
              </w:rPr>
              <w:t>要求</w:t>
            </w:r>
          </w:p>
        </w:tc>
        <w:tc>
          <w:tcPr>
            <w:tcW w:w="1286" w:type="dxa"/>
            <w:noWrap w:val="0"/>
            <w:vAlign w:val="center"/>
          </w:tcPr>
          <w:p w14:paraId="4F7DE211">
            <w:pPr>
              <w:tabs>
                <w:tab w:val="left" w:pos="180"/>
                <w:tab w:val="left" w:pos="1620"/>
              </w:tabs>
              <w:spacing w:line="360" w:lineRule="auto"/>
              <w:jc w:val="center"/>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最高限价（元）</w:t>
            </w:r>
          </w:p>
        </w:tc>
      </w:tr>
      <w:tr w14:paraId="6B12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14:paraId="621FFF60">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321" w:type="dxa"/>
            <w:noWrap w:val="0"/>
            <w:vAlign w:val="center"/>
          </w:tcPr>
          <w:p w14:paraId="53DA2F0B">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2025年江城街道平六社区地枝村农田水利工程</w:t>
            </w:r>
            <w:r>
              <w:rPr>
                <w:rFonts w:hint="eastAsia" w:ascii="宋体" w:hAnsi="宋体" w:cs="宋体"/>
                <w:color w:val="auto"/>
                <w:spacing w:val="0"/>
                <w:position w:val="0"/>
                <w:szCs w:val="21"/>
                <w:highlight w:val="none"/>
              </w:rPr>
              <w:t xml:space="preserve">               </w:t>
            </w:r>
          </w:p>
        </w:tc>
        <w:tc>
          <w:tcPr>
            <w:tcW w:w="982" w:type="dxa"/>
            <w:gridSpan w:val="2"/>
            <w:noWrap w:val="0"/>
            <w:vAlign w:val="center"/>
          </w:tcPr>
          <w:p w14:paraId="7B538F2F">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1项</w:t>
            </w:r>
          </w:p>
        </w:tc>
        <w:tc>
          <w:tcPr>
            <w:tcW w:w="5427" w:type="dxa"/>
            <w:noWrap w:val="0"/>
            <w:vAlign w:val="center"/>
          </w:tcPr>
          <w:p w14:paraId="53042486">
            <w:pPr>
              <w:pStyle w:val="52"/>
              <w:numPr>
                <w:ilvl w:val="0"/>
                <w:numId w:val="5"/>
              </w:numPr>
              <w:spacing w:line="360" w:lineRule="auto"/>
              <w:ind w:firstLine="0" w:firstLineChars="0"/>
              <w:rPr>
                <w:rFonts w:hint="eastAsia" w:ascii="宋体" w:hAnsi="宋体" w:cs="宋体"/>
                <w:color w:val="auto"/>
                <w:spacing w:val="0"/>
                <w:position w:val="0"/>
                <w:szCs w:val="21"/>
                <w:highlight w:val="none"/>
                <w:lang w:eastAsia="zh-CN"/>
              </w:rPr>
            </w:pPr>
            <w:r>
              <w:rPr>
                <w:rFonts w:hint="eastAsia" w:ascii="宋体" w:hAnsi="宋体" w:eastAsia="宋体" w:cs="宋体"/>
                <w:color w:val="auto"/>
                <w:szCs w:val="21"/>
                <w:highlight w:val="none"/>
              </w:rPr>
              <w:t>项目概况：</w:t>
            </w:r>
            <w:r>
              <w:rPr>
                <w:rFonts w:hint="eastAsia" w:ascii="宋体" w:hAnsi="宋体" w:cs="宋体"/>
                <w:color w:val="auto"/>
                <w:szCs w:val="21"/>
                <w:highlight w:val="none"/>
                <w:lang w:eastAsia="zh-CN"/>
              </w:rPr>
              <w:t>2025年江城街道平六社区地枝村农田水利工程</w:t>
            </w:r>
            <w:r>
              <w:rPr>
                <w:rFonts w:hint="eastAsia" w:ascii="宋体" w:hAnsi="宋体" w:eastAsia="宋体" w:cs="宋体"/>
                <w:color w:val="auto"/>
                <w:szCs w:val="21"/>
                <w:highlight w:val="none"/>
              </w:rPr>
              <w:t>，主要工程措施为：新建渠道</w:t>
            </w:r>
            <w:r>
              <w:rPr>
                <w:rFonts w:hint="eastAsia" w:ascii="宋体" w:hAnsi="宋体" w:cs="宋体"/>
                <w:color w:val="auto"/>
                <w:szCs w:val="21"/>
                <w:highlight w:val="none"/>
                <w:lang w:eastAsia="zh-CN"/>
              </w:rPr>
              <w:t>（1808米，其中:60*80cm长1134米，40*60cm长351米，40*40cm长323米）</w:t>
            </w:r>
            <w:r>
              <w:rPr>
                <w:rFonts w:hint="eastAsia" w:ascii="宋体" w:hAnsi="宋体" w:eastAsia="宋体" w:cs="宋体"/>
                <w:color w:val="auto"/>
                <w:szCs w:val="21"/>
                <w:highlight w:val="none"/>
              </w:rPr>
              <w:t>、涵管、过沟渠盖板等附属构造物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具体详见工程量清单及图纸</w:t>
            </w:r>
            <w:r>
              <w:rPr>
                <w:rFonts w:hint="eastAsia" w:ascii="宋体" w:hAnsi="宋体" w:cs="宋体"/>
                <w:color w:val="auto"/>
                <w:spacing w:val="0"/>
                <w:position w:val="0"/>
                <w:szCs w:val="21"/>
                <w:highlight w:val="none"/>
                <w:lang w:eastAsia="zh-CN"/>
              </w:rPr>
              <w:t>。</w:t>
            </w:r>
          </w:p>
          <w:p w14:paraId="0B24F541">
            <w:pPr>
              <w:pStyle w:val="52"/>
              <w:numPr>
                <w:ilvl w:val="0"/>
                <w:numId w:val="0"/>
              </w:numPr>
              <w:spacing w:line="360" w:lineRule="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、工程质量要求：达到国家施工验收规范合格标准要求。</w:t>
            </w:r>
          </w:p>
          <w:p w14:paraId="2E16CAF5">
            <w:pPr>
              <w:pStyle w:val="52"/>
              <w:spacing w:line="360" w:lineRule="auto"/>
              <w:ind w:firstLine="0" w:firstLineChars="0"/>
              <w:rPr>
                <w:rFonts w:hint="eastAsia"/>
                <w:color w:val="auto"/>
                <w:spacing w:val="0"/>
                <w:position w:val="0"/>
                <w:highlight w:val="none"/>
              </w:rPr>
            </w:pP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、具体需求</w:t>
            </w:r>
            <w:r>
              <w:rPr>
                <w:rFonts w:hint="eastAsia" w:ascii="宋体" w:hAnsi="宋体" w:cs="宋体"/>
                <w:color w:val="auto"/>
                <w:spacing w:val="0"/>
                <w:position w:val="0"/>
                <w:szCs w:val="21"/>
                <w:highlight w:val="none"/>
              </w:rPr>
              <w:t>内容</w:t>
            </w:r>
            <w:r>
              <w:rPr>
                <w:rFonts w:hint="eastAsia" w:ascii="宋体" w:hAnsi="宋体" w:cs="宋体"/>
                <w:color w:val="auto"/>
                <w:spacing w:val="0"/>
                <w:position w:val="0"/>
                <w:szCs w:val="21"/>
                <w:highlight w:val="none"/>
                <w:lang w:eastAsia="zh-CN"/>
              </w:rPr>
              <w:t>及</w:t>
            </w:r>
            <w:r>
              <w:rPr>
                <w:rFonts w:hint="eastAsia" w:ascii="宋体" w:hAnsi="宋体" w:cs="宋体"/>
                <w:color w:val="auto"/>
                <w:spacing w:val="0"/>
                <w:position w:val="0"/>
                <w:szCs w:val="21"/>
                <w:highlight w:val="none"/>
              </w:rPr>
              <w:t>编制说明详见工程量清单（另册发放）</w:t>
            </w:r>
          </w:p>
        </w:tc>
        <w:tc>
          <w:tcPr>
            <w:tcW w:w="1286" w:type="dxa"/>
            <w:noWrap w:val="0"/>
            <w:vAlign w:val="center"/>
          </w:tcPr>
          <w:p w14:paraId="4551FF14">
            <w:pPr>
              <w:pStyle w:val="52"/>
              <w:spacing w:line="360" w:lineRule="auto"/>
              <w:ind w:firstLine="0" w:firstLineChars="0"/>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909760.23</w:t>
            </w:r>
          </w:p>
        </w:tc>
      </w:tr>
      <w:tr w14:paraId="33BE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5" w:type="dxa"/>
            <w:gridSpan w:val="6"/>
            <w:tcBorders>
              <w:top w:val="single" w:color="auto" w:sz="4" w:space="0"/>
              <w:left w:val="single" w:color="auto" w:sz="4" w:space="0"/>
              <w:bottom w:val="single" w:color="auto" w:sz="4" w:space="0"/>
              <w:right w:val="single" w:color="auto" w:sz="4" w:space="0"/>
            </w:tcBorders>
            <w:noWrap w:val="0"/>
            <w:vAlign w:val="top"/>
          </w:tcPr>
          <w:p w14:paraId="48DEE09A">
            <w:pPr>
              <w:spacing w:line="360" w:lineRule="auto"/>
              <w:rPr>
                <w:rFonts w:ascii="宋体" w:hAnsi="宋体"/>
                <w:color w:val="auto"/>
                <w:spacing w:val="0"/>
                <w:position w:val="0"/>
                <w:szCs w:val="21"/>
                <w:highlight w:val="none"/>
              </w:rPr>
            </w:pPr>
            <w:r>
              <w:rPr>
                <w:rFonts w:hint="eastAsia" w:ascii="宋体" w:hAnsi="宋体"/>
                <w:b/>
                <w:color w:val="auto"/>
                <w:spacing w:val="0"/>
                <w:position w:val="0"/>
                <w:szCs w:val="21"/>
                <w:highlight w:val="none"/>
              </w:rPr>
              <w:t>商务要求</w:t>
            </w:r>
          </w:p>
        </w:tc>
      </w:tr>
      <w:tr w14:paraId="53FA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56079D59">
            <w:pPr>
              <w:spacing w:line="360" w:lineRule="auto"/>
              <w:jc w:val="center"/>
              <w:rPr>
                <w:rFonts w:ascii="宋体" w:hAnsi="宋体"/>
                <w:b/>
                <w:color w:val="auto"/>
                <w:spacing w:val="0"/>
                <w:position w:val="0"/>
                <w:szCs w:val="21"/>
                <w:highlight w:val="none"/>
              </w:rPr>
            </w:pPr>
            <w:r>
              <w:rPr>
                <w:rFonts w:hint="eastAsia" w:ascii="宋体" w:hAnsi="宋体" w:cs="宋体"/>
                <w:color w:val="auto"/>
                <w:spacing w:val="0"/>
                <w:position w:val="0"/>
                <w:szCs w:val="21"/>
                <w:highlight w:val="none"/>
              </w:rPr>
              <w:t>计划</w:t>
            </w:r>
            <w:r>
              <w:rPr>
                <w:rFonts w:hint="eastAsia" w:ascii="宋体" w:hAnsi="宋体" w:cs="宋体"/>
                <w:color w:val="auto"/>
                <w:spacing w:val="0"/>
                <w:position w:val="0"/>
                <w:szCs w:val="21"/>
                <w:highlight w:val="none"/>
                <w:lang w:eastAsia="zh-CN"/>
              </w:rPr>
              <w:t>施工</w:t>
            </w:r>
            <w:r>
              <w:rPr>
                <w:rFonts w:hint="eastAsia" w:ascii="宋体" w:hAnsi="宋体" w:cs="宋体"/>
                <w:color w:val="auto"/>
                <w:spacing w:val="0"/>
                <w:position w:val="0"/>
                <w:szCs w:val="21"/>
                <w:highlight w:val="none"/>
              </w:rPr>
              <w:t>工期</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1A4208D3">
            <w:pPr>
              <w:jc w:val="both"/>
              <w:rPr>
                <w:rFonts w:ascii="宋体" w:hAnsi="宋体"/>
                <w:b/>
                <w:color w:val="auto"/>
                <w:spacing w:val="0"/>
                <w:position w:val="0"/>
                <w:szCs w:val="21"/>
                <w:highlight w:val="none"/>
              </w:rPr>
            </w:pPr>
            <w:r>
              <w:rPr>
                <w:rFonts w:hint="eastAsia" w:ascii="宋体" w:hAnsi="宋体"/>
                <w:color w:val="auto"/>
                <w:spacing w:val="0"/>
                <w:position w:val="0"/>
                <w:highlight w:val="none"/>
                <w:lang w:val="en-US" w:eastAsia="zh-CN"/>
              </w:rPr>
              <w:t>210日历天</w:t>
            </w:r>
          </w:p>
        </w:tc>
      </w:tr>
      <w:tr w14:paraId="65E14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CD4502C">
            <w:pPr>
              <w:spacing w:line="360" w:lineRule="auto"/>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建设地点</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17D3610A">
            <w:pPr>
              <w:spacing w:line="360" w:lineRule="auto"/>
              <w:jc w:val="both"/>
              <w:rPr>
                <w:rFonts w:hint="eastAsia" w:ascii="宋体" w:hAnsi="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浦北县江城街道平六社区地枝村</w:t>
            </w:r>
            <w:r>
              <w:rPr>
                <w:rFonts w:hint="eastAsia" w:ascii="宋体" w:hAnsi="宋体" w:cs="宋体"/>
                <w:color w:val="auto"/>
                <w:spacing w:val="0"/>
                <w:position w:val="0"/>
                <w:szCs w:val="21"/>
                <w:highlight w:val="none"/>
                <w:lang w:val="en-US" w:eastAsia="zh-CN"/>
              </w:rPr>
              <w:t xml:space="preserve"> </w:t>
            </w:r>
          </w:p>
        </w:tc>
      </w:tr>
      <w:tr w14:paraId="1B10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D4B8E5A">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合同签订时间</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49A62D23">
            <w:pPr>
              <w:spacing w:line="360" w:lineRule="auto"/>
              <w:jc w:val="both"/>
              <w:rPr>
                <w:rFonts w:ascii="宋体" w:hAnsi="宋体"/>
                <w:b/>
                <w:color w:val="auto"/>
                <w:spacing w:val="0"/>
                <w:position w:val="0"/>
                <w:szCs w:val="21"/>
                <w:highlight w:val="none"/>
              </w:rPr>
            </w:pPr>
            <w:r>
              <w:rPr>
                <w:rFonts w:hint="eastAsia" w:ascii="宋体" w:hAnsi="宋体"/>
                <w:color w:val="auto"/>
                <w:spacing w:val="0"/>
                <w:position w:val="0"/>
                <w:szCs w:val="21"/>
                <w:highlight w:val="none"/>
              </w:rPr>
              <w:t xml:space="preserve">自成交通知书发出之日起 </w:t>
            </w:r>
            <w:r>
              <w:rPr>
                <w:rFonts w:hint="eastAsia" w:ascii="宋体" w:hAnsi="宋体"/>
                <w:color w:val="auto"/>
                <w:spacing w:val="0"/>
                <w:position w:val="0"/>
                <w:szCs w:val="21"/>
                <w:highlight w:val="none"/>
                <w:u w:val="single"/>
              </w:rPr>
              <w:t xml:space="preserve">  25  </w:t>
            </w:r>
            <w:r>
              <w:rPr>
                <w:rFonts w:hint="eastAsia" w:ascii="宋体" w:hAnsi="宋体"/>
                <w:color w:val="auto"/>
                <w:spacing w:val="0"/>
                <w:position w:val="0"/>
                <w:szCs w:val="21"/>
                <w:highlight w:val="none"/>
              </w:rPr>
              <w:t>日内。（最迟不能超过25日）</w:t>
            </w:r>
          </w:p>
        </w:tc>
      </w:tr>
      <w:tr w14:paraId="5AD8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72943AF4">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付款条件（进度和方式）</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05902016">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（1）预付款</w:t>
            </w:r>
          </w:p>
          <w:p w14:paraId="1E835B61">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 xml:space="preserve">工程预付款的总金额为签约合同价的30%,一次性支付予承包人。 </w:t>
            </w:r>
          </w:p>
          <w:p w14:paraId="298A5B4D">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预付款付款时间为： 在合同协议书签订和承包人依据经监理人出具开工令进场开工后，承包人将预付款申请材料报送发包人审核批准后予以支付。</w:t>
            </w:r>
          </w:p>
          <w:p w14:paraId="61BDB2DD">
            <w:pPr>
              <w:spacing w:line="360" w:lineRule="auto"/>
              <w:jc w:val="both"/>
              <w:rPr>
                <w:rFonts w:hint="default"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（2）工程进度付款的支付比例</w:t>
            </w:r>
          </w:p>
          <w:p w14:paraId="07C3A9A9">
            <w:pPr>
              <w:spacing w:line="360" w:lineRule="auto"/>
              <w:jc w:val="both"/>
              <w:rPr>
                <w:rFonts w:hint="default" w:ascii="宋体" w:hAnsi="宋体"/>
                <w:b/>
                <w:color w:val="auto"/>
                <w:spacing w:val="0"/>
                <w:position w:val="0"/>
                <w:szCs w:val="21"/>
                <w:highlight w:val="none"/>
                <w:lang w:val="en-US"/>
              </w:rPr>
            </w:pPr>
            <w:r>
              <w:rPr>
                <w:rFonts w:hint="eastAsia" w:ascii="宋体" w:hAnsi="宋体" w:cs="宋体"/>
                <w:b w:val="0"/>
                <w:bCs w:val="0"/>
                <w:color w:val="auto"/>
                <w:spacing w:val="0"/>
                <w:kern w:val="0"/>
                <w:position w:val="0"/>
                <w:sz w:val="21"/>
                <w:szCs w:val="21"/>
                <w:highlight w:val="none"/>
                <w:lang w:val="en-US" w:eastAsia="zh-CN"/>
              </w:rPr>
              <w:t>合同内进度款支付限额为已完成工程量的90%</w:t>
            </w:r>
            <w:r>
              <w:rPr>
                <w:rFonts w:hint="eastAsia" w:ascii="宋体" w:hAnsi="宋体" w:eastAsia="宋体" w:cs="宋体"/>
                <w:b w:val="0"/>
                <w:bCs w:val="0"/>
                <w:color w:val="auto"/>
                <w:spacing w:val="0"/>
                <w:kern w:val="0"/>
                <w:position w:val="0"/>
                <w:sz w:val="21"/>
                <w:szCs w:val="21"/>
                <w:highlight w:val="none"/>
                <w:lang w:val="en-US" w:eastAsia="zh-CN"/>
              </w:rPr>
              <w:t>；县级竣工初步验收合格后工程款可支付至合同价的90%。工程完工验收达到质量要求，结算经有资质审计机构审定后，承包人</w:t>
            </w:r>
            <w:r>
              <w:rPr>
                <w:rFonts w:hint="eastAsia" w:ascii="宋体" w:hAnsi="宋体" w:cs="宋体"/>
                <w:b w:val="0"/>
                <w:bCs w:val="0"/>
                <w:color w:val="auto"/>
                <w:spacing w:val="0"/>
                <w:kern w:val="0"/>
                <w:position w:val="0"/>
                <w:sz w:val="21"/>
                <w:szCs w:val="21"/>
                <w:highlight w:val="none"/>
                <w:lang w:val="en-US" w:eastAsia="zh-CN"/>
              </w:rPr>
              <w:t>缴纳结算金额3%的质量保证金后，</w:t>
            </w:r>
            <w:r>
              <w:rPr>
                <w:rFonts w:hint="eastAsia" w:ascii="宋体" w:hAnsi="宋体" w:eastAsia="宋体" w:cs="宋体"/>
                <w:b w:val="0"/>
                <w:bCs w:val="0"/>
                <w:color w:val="auto"/>
                <w:spacing w:val="0"/>
                <w:kern w:val="0"/>
                <w:position w:val="0"/>
                <w:sz w:val="21"/>
                <w:szCs w:val="21"/>
                <w:highlight w:val="none"/>
                <w:lang w:val="en-US" w:eastAsia="zh-CN"/>
              </w:rPr>
              <w:t>工程款支付至结算总价的</w:t>
            </w:r>
            <w:r>
              <w:rPr>
                <w:rFonts w:hint="eastAsia" w:ascii="宋体" w:hAnsi="宋体" w:cs="宋体"/>
                <w:b w:val="0"/>
                <w:bCs w:val="0"/>
                <w:color w:val="auto"/>
                <w:spacing w:val="0"/>
                <w:kern w:val="0"/>
                <w:position w:val="0"/>
                <w:sz w:val="21"/>
                <w:szCs w:val="21"/>
                <w:highlight w:val="none"/>
                <w:lang w:val="en-US" w:eastAsia="zh-CN"/>
              </w:rPr>
              <w:t>100</w:t>
            </w:r>
            <w:r>
              <w:rPr>
                <w:rFonts w:hint="eastAsia" w:ascii="宋体" w:hAnsi="宋体" w:eastAsia="宋体" w:cs="宋体"/>
                <w:b w:val="0"/>
                <w:bCs w:val="0"/>
                <w:color w:val="auto"/>
                <w:spacing w:val="0"/>
                <w:kern w:val="0"/>
                <w:position w:val="0"/>
                <w:sz w:val="21"/>
                <w:szCs w:val="21"/>
                <w:highlight w:val="none"/>
                <w:lang w:val="en-US" w:eastAsia="zh-CN"/>
              </w:rPr>
              <w:t xml:space="preserve"> %</w:t>
            </w:r>
            <w:r>
              <w:rPr>
                <w:rFonts w:hint="eastAsia" w:ascii="宋体" w:hAnsi="宋体" w:cs="宋体"/>
                <w:b w:val="0"/>
                <w:bCs w:val="0"/>
                <w:color w:val="auto"/>
                <w:spacing w:val="0"/>
                <w:kern w:val="0"/>
                <w:position w:val="0"/>
                <w:sz w:val="21"/>
                <w:szCs w:val="21"/>
                <w:highlight w:val="none"/>
                <w:lang w:val="en-US" w:eastAsia="zh-CN"/>
              </w:rPr>
              <w:t>。</w:t>
            </w:r>
          </w:p>
        </w:tc>
      </w:tr>
      <w:tr w14:paraId="671B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3D02381E">
            <w:pPr>
              <w:spacing w:line="360" w:lineRule="auto"/>
              <w:jc w:val="center"/>
              <w:rPr>
                <w:rFonts w:hint="eastAsia" w:ascii="宋体" w:hAnsi="宋体"/>
                <w:color w:val="auto"/>
                <w:spacing w:val="0"/>
                <w:position w:val="0"/>
                <w:szCs w:val="21"/>
                <w:highlight w:val="none"/>
              </w:rPr>
            </w:pPr>
            <w:r>
              <w:rPr>
                <w:rFonts w:hint="eastAsia" w:ascii="宋体" w:hAnsi="宋体"/>
                <w:b w:val="0"/>
                <w:bCs/>
                <w:color w:val="auto"/>
                <w:spacing w:val="0"/>
                <w:position w:val="0"/>
                <w:szCs w:val="21"/>
                <w:highlight w:val="none"/>
              </w:rPr>
              <w:t>验收标准</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52E7D116">
            <w:pPr>
              <w:spacing w:line="360" w:lineRule="auto"/>
              <w:jc w:val="both"/>
              <w:rPr>
                <w:rFonts w:hint="eastAsia" w:ascii="宋体" w:hAnsi="宋体" w:eastAsia="宋体"/>
                <w:color w:val="auto"/>
                <w:spacing w:val="0"/>
                <w:position w:val="0"/>
                <w:szCs w:val="21"/>
                <w:highlight w:val="none"/>
                <w:lang w:val="en-US" w:eastAsia="zh-CN"/>
              </w:rPr>
            </w:pPr>
            <w:r>
              <w:rPr>
                <w:rFonts w:hint="eastAsia" w:ascii="宋体" w:hAnsi="宋体" w:eastAsia="宋体" w:cs="宋体"/>
                <w:b w:val="0"/>
                <w:bCs w:val="0"/>
                <w:color w:val="auto"/>
                <w:spacing w:val="0"/>
                <w:kern w:val="0"/>
                <w:position w:val="0"/>
                <w:sz w:val="21"/>
                <w:szCs w:val="21"/>
                <w:highlight w:val="none"/>
              </w:rPr>
              <w:t>达到国家施工验收规范合格标准</w:t>
            </w:r>
            <w:r>
              <w:rPr>
                <w:rFonts w:hint="eastAsia" w:ascii="宋体" w:hAnsi="宋体" w:cs="宋体"/>
                <w:b w:val="0"/>
                <w:bCs w:val="0"/>
                <w:color w:val="auto"/>
                <w:spacing w:val="0"/>
                <w:kern w:val="0"/>
                <w:position w:val="0"/>
                <w:sz w:val="21"/>
                <w:szCs w:val="21"/>
                <w:highlight w:val="none"/>
                <w:lang w:val="en-US" w:eastAsia="zh-CN"/>
              </w:rPr>
              <w:t>。</w:t>
            </w:r>
          </w:p>
        </w:tc>
      </w:tr>
    </w:tbl>
    <w:p w14:paraId="10F5A9CA">
      <w:pPr>
        <w:pStyle w:val="18"/>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spacing w:val="0"/>
          <w:kern w:val="0"/>
          <w:position w:val="0"/>
          <w:sz w:val="40"/>
          <w:szCs w:val="40"/>
          <w:highlight w:val="none"/>
        </w:rPr>
      </w:pPr>
    </w:p>
    <w:p w14:paraId="12C9EF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Times New Roman"/>
          <w:b/>
          <w:bCs/>
          <w:color w:val="auto"/>
          <w:spacing w:val="0"/>
          <w:kern w:val="0"/>
          <w:position w:val="0"/>
          <w:sz w:val="36"/>
          <w:szCs w:val="36"/>
          <w:highlight w:val="none"/>
        </w:rPr>
      </w:pPr>
      <w:bookmarkStart w:id="65" w:name="_Toc20069"/>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5"/>
    </w:p>
    <w:p w14:paraId="31C76D2B">
      <w:pPr>
        <w:pStyle w:val="5"/>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355EDB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592FC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 响应文件开启后，磋商小组依法对供应商的资格证明文件进行审查。</w:t>
      </w:r>
    </w:p>
    <w:p w14:paraId="0EA8A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7FEAD74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( 1 ) 查询渠道：“信用中国 ” 网站 (www.creditchina.gov.cn) 、 中国政府采购网 (www.ccgp.gov.cn)。</w:t>
      </w:r>
    </w:p>
    <w:p w14:paraId="4901745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(2) 信用查询截止时点：资格审查结束前。</w:t>
      </w:r>
    </w:p>
    <w:p w14:paraId="312F60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4D7FA3D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557B8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 资格审查标准为本磋商文件中载明对供应商资格要求的条件。资格审查采用合格制，凡符合磋商文件规定的供应商资格要求的响应文件均通过资格审查。</w:t>
      </w:r>
    </w:p>
    <w:p w14:paraId="3CE665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 供应商有下列情形之一的，资格审查不通过，其响应文件按无效响应处理：</w:t>
      </w:r>
    </w:p>
    <w:p w14:paraId="7CE96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不具备磋商文件中规定的资格要求的；</w:t>
      </w:r>
    </w:p>
    <w:p w14:paraId="29869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响应文件未提供任一项“供应商须知前附表”资格证明文件规定的“必须提供”的文件资料的；</w:t>
      </w:r>
    </w:p>
    <w:p w14:paraId="778F5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响应文件提供的资格证明文件出现任一项不符合“供应商须知前附表”资格证明文件规定的“必须提供”的文件资料要求或者无效的。</w:t>
      </w:r>
    </w:p>
    <w:p w14:paraId="3EE7B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 通过资格审查的合格供应商不足 3 家的，不得进入符合性审查环节，采购人或者采购代理机构应当重新开展采购活动。</w:t>
      </w:r>
    </w:p>
    <w:p w14:paraId="76EC2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44EA6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 由磋商小组对通过资格审查的合格供应商的响应文件的竞标报价、商务、技术等实质性要求进行符合性审查，以确定其是否满足磋商文件的实质性要求。</w:t>
      </w:r>
    </w:p>
    <w:p w14:paraId="22C71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7E0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 磋商小组要求供应商澄清、说明或者更正响应文件应当要求供应商在合理时间内通过</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的方式形式作出。供应商的澄清、说明或者更正必须 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2F64A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 首次响应文件报价出现前后不一致的，按照下列规定修正：</w:t>
      </w:r>
    </w:p>
    <w:p w14:paraId="54E0F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响应文件中报价表内容与响应文件中相应内容不一致的，以报价表为准；</w:t>
      </w:r>
    </w:p>
    <w:p w14:paraId="42532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大写金额和小写金额不一致的，以大写金额为准；</w:t>
      </w:r>
    </w:p>
    <w:p w14:paraId="56FB4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单价金额小数点或者百分比有明显错位的，以报价表的总价为准，并修改单价；</w:t>
      </w:r>
    </w:p>
    <w:p w14:paraId="138A3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总价金额与按单价汇总金额不一致的，以单价金额计算结果为准。</w:t>
      </w:r>
    </w:p>
    <w:p w14:paraId="4179E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 (1) - (4) 规定的顺序逐条进行修正。修正后的报价经供应商确认后产生约束力，供应商不确认的，其响应文件按无效响应处理。</w:t>
      </w:r>
    </w:p>
    <w:p w14:paraId="72E71A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 商务技术报价评审</w:t>
      </w:r>
    </w:p>
    <w:p w14:paraId="04FAF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49E70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商务技术评审</w:t>
      </w:r>
    </w:p>
    <w:p w14:paraId="23480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响应文件未按磋商文件要求签署、盖章；</w:t>
      </w:r>
    </w:p>
    <w:p w14:paraId="5F392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委托代理人未能出具有效身份证明或者出具的身份证明与授权委托书中的信息不符；</w:t>
      </w:r>
    </w:p>
    <w:p w14:paraId="4378B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7B0D3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商务条款中标“▲”的条款发生负偏离的或者允许负偏离的条款数超过“供应商须知前附表”规定项数的或者标明实质性的要求发生负偏离；</w:t>
      </w:r>
    </w:p>
    <w:p w14:paraId="319DE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 未对竞标有效期作出响应或者响应文件承诺的竞标有效期不满足磋商文件要求；</w:t>
      </w:r>
    </w:p>
    <w:p w14:paraId="11EDB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 响应文件的实质性内容未使用中文表述、使用计量单位不符合磋商文件要求；</w:t>
      </w:r>
    </w:p>
    <w:p w14:paraId="61597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 响应文件中的文件资料因填写不齐全或者内容虚假或者出现其他情形而导致被磋商小组认定无效；</w:t>
      </w:r>
    </w:p>
    <w:p w14:paraId="10987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 响应文件含有采购人不能接受的附加条件；</w:t>
      </w:r>
    </w:p>
    <w:p w14:paraId="30F82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 属于“供应商须知正文”第 7.7 条情形；</w:t>
      </w:r>
    </w:p>
    <w:p w14:paraId="0C6A3D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 技术需求允许负偏离的条款数超过“供应商须知前附表”规定项数；</w:t>
      </w:r>
    </w:p>
    <w:p w14:paraId="6E011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 虚假竞标，或者出现其他情形而导致被磋商小组认定无效；</w:t>
      </w:r>
    </w:p>
    <w:p w14:paraId="5FF24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 竞标技术方案不明确，磋商文件未允许但响应文件中存在一个或者一个以上备选 (替代) 竞标方案；</w:t>
      </w:r>
    </w:p>
    <w:p w14:paraId="57CA3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13)响应文件标注的项目名称或者项目编号与竞争性磋商文件标注的项目名称或者项目编号不一致的；</w:t>
      </w:r>
    </w:p>
    <w:p w14:paraId="12E50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 未响应磋商文件实质性要求；</w:t>
      </w:r>
    </w:p>
    <w:p w14:paraId="4126B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 法律、法规和磋商文件规定的其他无效情形。</w:t>
      </w:r>
    </w:p>
    <w:p w14:paraId="4E70A9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报价评审</w:t>
      </w:r>
    </w:p>
    <w:p w14:paraId="62EBD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响应文件未提供“供应商须知前附表” 报价商务技术文件中规定的；</w:t>
      </w:r>
    </w:p>
    <w:p w14:paraId="61B62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未采用人民币报价或者未按照磋商文件标明的币种报价；</w:t>
      </w:r>
    </w:p>
    <w:p w14:paraId="31A62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6DC62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磋商报价 (包含首次报价、最后报价) 超过的采购预算金额或者最高限价的 (如本项目公布了最高限价) ；磋商报价 (包含首次报价、最后报价) 超过磋商文件分项采购预算金额或者最高限价的 (如本项目公布了最高限价) ；</w:t>
      </w:r>
    </w:p>
    <w:p w14:paraId="540B2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 修正后的报价，供应商不确认的；或者经供应商确认修正后的磋商报价(包含首次报价、最后报价)超过所磋商分标规定的采购预算金额或者最高限价(如本项目公布了最高限价)；或者经供应商确认修正后磋商报价 (包含首次报价、最后报价) 超过磋商文件分项采购预算金额或者最高限价的 (如本项目公布了最高限价) 。</w:t>
      </w:r>
    </w:p>
    <w:p w14:paraId="349D0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 响应文件响应的标的数量及单位与竞争性磋商采购文件要求实质性不一致的。</w:t>
      </w:r>
    </w:p>
    <w:p w14:paraId="28D13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13538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 通过符合性审查的合格供应商不足3家的，不得进入磋商环节，采购人或者采购代理机构应当重新开展采购活动。</w:t>
      </w:r>
    </w:p>
    <w:p w14:paraId="589B8A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43A4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开标信息，在接到磋商通知后规定时间内参加磋商，未在规定时间内参加磋商的视同放弃参加磋商权利，其响应文件按无效响应处理。</w:t>
      </w:r>
    </w:p>
    <w:p w14:paraId="2714E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4FB2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 对磋商文件作出的实质性变动是磋商文件的有效组成部分，由磋商小组及时以书面形式同时通知所有参加磋商的供应商。</w:t>
      </w:r>
    </w:p>
    <w:p w14:paraId="6B768E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 供应商必须按照磋商文件的变动情况和磋商小组的要求重新提交响应文件，并由其法定代表人或者授权代表签字或者加盖 CA 签章在</w:t>
      </w:r>
      <w:r>
        <w:rPr>
          <w:rFonts w:hint="eastAsia"/>
          <w:color w:val="auto"/>
          <w:spacing w:val="0"/>
          <w:position w:val="0"/>
          <w:highlight w:val="none"/>
          <w:lang w:eastAsia="zh-CN"/>
        </w:rPr>
        <w:t>广西政府采购云平台</w:t>
      </w:r>
      <w:r>
        <w:rPr>
          <w:rFonts w:hint="eastAsia"/>
          <w:color w:val="auto"/>
          <w:spacing w:val="0"/>
          <w:position w:val="0"/>
          <w:highlight w:val="none"/>
        </w:rPr>
        <w:t>(https://www.zcygov.cn/)提交。由委托代理人签字的，若委托代理人不是响应文件中授权的委托代理人时，必须同时出示有效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10F21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 磋商中，磋商的任何一方不得透露与磋商有关的其他供应商的技术资料、价格和其他信息。</w:t>
      </w:r>
    </w:p>
    <w:p w14:paraId="4F691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 采购代理机构对磋商过程和重要磋商内容进行记录，磋商双方在记录上签字确认。</w:t>
      </w:r>
    </w:p>
    <w:p w14:paraId="3F848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 磋商过程中重新提交的响应文件，供应商可以在开启前补充、修改。</w:t>
      </w:r>
    </w:p>
    <w:p w14:paraId="1CCD9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 对磋商过程提交的响应文件进行有效性、完整性和响应程度审查，通过审查的合格供应商不足 3 家的，采购人或者采购代理机构应当重新开展采购活动。</w:t>
      </w:r>
    </w:p>
    <w:p w14:paraId="129C1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 本项目所有响应文件的首次报价及所有磋商报价均不公布。最后磋商结束后，磋商小组不得再与供应商进行任何形式的商谈。</w:t>
      </w:r>
    </w:p>
    <w:p w14:paraId="07D642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最后报价</w:t>
      </w:r>
    </w:p>
    <w:p w14:paraId="5ADE5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 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提交最后报价，提交最后报价的供应商不得少于 3 家，除本章第 4.3 条外，否则必须重新采购。</w:t>
      </w:r>
    </w:p>
    <w:p w14:paraId="63503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提交最后报价。</w:t>
      </w:r>
    </w:p>
    <w:p w14:paraId="2DBAE8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55A6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提交，逾期则最后报价无效，以首次报价为准。</w:t>
      </w:r>
    </w:p>
    <w:p w14:paraId="13579C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07E6C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2D22D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 供应商未在规定时间内提交最后报价的，视同退出磋商。</w:t>
      </w:r>
    </w:p>
    <w:p w14:paraId="73510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 磋商小组收齐某一分标最后报价后统一开启，磋商小组对最后报价进行有效性、完整性和响应程度的审查。</w:t>
      </w:r>
    </w:p>
    <w:p w14:paraId="54DCD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 响应文件最后报价出现前后不一致的，按照本正文第 25.2.4 条的规定修正。</w:t>
      </w:r>
    </w:p>
    <w:p w14:paraId="57851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 修正后的报价出现下列情形的，按无效响应处理：</w:t>
      </w:r>
    </w:p>
    <w:p w14:paraId="4BF1B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供应商不确认的；</w:t>
      </w:r>
    </w:p>
    <w:p w14:paraId="44167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经供应商确认修正后的竞标报价 (包含首次报价、最后报价) 超过所竞标规定的采购预算金额或者最高限价的 (如本项目公布了最高限价) ；</w:t>
      </w:r>
    </w:p>
    <w:p w14:paraId="22ADF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经供应商确认修正后的竞标报价 (包含首次报价、最后报价) 超过分项采购预算金额或者最高限价的 (如本项目公布了最高限价) 。</w:t>
      </w:r>
    </w:p>
    <w:p w14:paraId="3FA4F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 经供应商确认修正后的最后报价作为评审及签订合同的依据。</w:t>
      </w:r>
    </w:p>
    <w:p w14:paraId="75351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 最后报价结束后，磋商小组不得再与供应商进行任何形式的商谈。</w:t>
      </w:r>
    </w:p>
    <w:p w14:paraId="0A5E2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147A1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 评审方法：综合评分法。</w:t>
      </w:r>
    </w:p>
    <w:p w14:paraId="4302EA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 经磋商确定最终采购需求和提交最后报价的供应商后，由磋商小组采用综合评分法对提交最后报价的供应商的响应文件和最后报价进行综合评分。</w:t>
      </w:r>
    </w:p>
    <w:p w14:paraId="76DA7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 评审时，磋商小组各成员应当独立对每个有效响应的文件进行评价、打分，然后汇总每个供应商每项评分因素的得分。</w:t>
      </w:r>
    </w:p>
    <w:p w14:paraId="2C47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磋商小组按照磋商文件中规定的评审标准计算各供应商的报价得分。项目评审过程中，不得去掉最后报价中的最高报价和最低报价。</w:t>
      </w:r>
    </w:p>
    <w:p w14:paraId="118BD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各供应商的得分为磋商小组所有成员的有效评分的算术平均数。</w:t>
      </w:r>
    </w:p>
    <w:p w14:paraId="59EF3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 评审价为供应商的最后报价进行政策性扣除后的价格，评审价只是作为评审时使用。最终成交供应商的成交金额等于最后报价 (如有修正，以确认修正后的最后报价为准) 。</w:t>
      </w:r>
    </w:p>
    <w:p w14:paraId="5340C6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69A53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3F2D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1B158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 、响应文件为评定依据，采用百分制综合评分法；计分办法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459"/>
        <w:gridCol w:w="851"/>
      </w:tblGrid>
      <w:tr w14:paraId="6C9E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45443F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B12057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评审因素</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56B1549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评审因素具体内容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1F6993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分值</w:t>
            </w:r>
          </w:p>
        </w:tc>
      </w:tr>
      <w:tr w14:paraId="3B56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7368EFA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1</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6648D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价格分</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2A59E0D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（1）本项目执行专门面向中小企业政策，不再执行价格扣除政策。</w:t>
            </w:r>
          </w:p>
          <w:p w14:paraId="1B408AE6">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（2）以进入比较与评价环节的最低的评审价为基准价，基准价得分为 30分 。</w:t>
            </w:r>
          </w:p>
          <w:p w14:paraId="1B82F580">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（3）价格分计算公式：</w:t>
            </w:r>
          </w:p>
          <w:p w14:paraId="4E0EE74F">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 xml:space="preserve">报价得分=（基准价/最后报价）× 30分 </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94F34D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 xml:space="preserve"> 30分</w:t>
            </w:r>
          </w:p>
        </w:tc>
      </w:tr>
      <w:tr w14:paraId="300D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5942A3D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2</w:t>
            </w:r>
          </w:p>
        </w:tc>
        <w:tc>
          <w:tcPr>
            <w:tcW w:w="1247" w:type="dxa"/>
            <w:noWrap w:val="0"/>
            <w:vAlign w:val="center"/>
          </w:tcPr>
          <w:p w14:paraId="47394CA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技术分</w:t>
            </w:r>
          </w:p>
        </w:tc>
        <w:tc>
          <w:tcPr>
            <w:tcW w:w="7310" w:type="dxa"/>
            <w:gridSpan w:val="2"/>
            <w:noWrap w:val="0"/>
            <w:vAlign w:val="top"/>
          </w:tcPr>
          <w:p w14:paraId="68AE027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评审因素</w:t>
            </w:r>
          </w:p>
        </w:tc>
      </w:tr>
      <w:tr w14:paraId="3A86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349781FE">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2.1</w:t>
            </w:r>
          </w:p>
        </w:tc>
        <w:tc>
          <w:tcPr>
            <w:tcW w:w="1247" w:type="dxa"/>
            <w:noWrap w:val="0"/>
            <w:vAlign w:val="center"/>
          </w:tcPr>
          <w:p w14:paraId="28C00E2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技术分</w:t>
            </w:r>
          </w:p>
        </w:tc>
        <w:tc>
          <w:tcPr>
            <w:tcW w:w="6459" w:type="dxa"/>
            <w:noWrap w:val="0"/>
            <w:vAlign w:val="center"/>
          </w:tcPr>
          <w:p w14:paraId="1427F2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1</w:t>
            </w:r>
            <w:r>
              <w:rPr>
                <w:rFonts w:hint="eastAsia" w:ascii="宋体" w:hAnsi="宋体" w:eastAsia="宋体" w:cs="宋体"/>
                <w:b/>
                <w:color w:val="auto"/>
                <w:spacing w:val="0"/>
                <w:position w:val="0"/>
                <w:szCs w:val="21"/>
                <w:highlight w:val="none"/>
              </w:rPr>
              <w:t>）</w:t>
            </w:r>
            <w:r>
              <w:rPr>
                <w:rFonts w:hint="eastAsia" w:ascii="宋体" w:hAnsi="宋体" w:eastAsia="宋体" w:cs="宋体"/>
                <w:b/>
                <w:bCs/>
                <w:color w:val="auto"/>
                <w:spacing w:val="0"/>
                <w:position w:val="0"/>
                <w:highlight w:val="none"/>
              </w:rPr>
              <w:t>拟投入人员配备情况 (满分3分)</w:t>
            </w:r>
          </w:p>
          <w:p w14:paraId="6064EC4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基本人员要求：拟派驻本项目的技术负责人应具有工程类中级及以上职称</w:t>
            </w:r>
            <w:r>
              <w:rPr>
                <w:rFonts w:hint="eastAsia" w:ascii="宋体" w:hAnsi="宋体" w:eastAsia="宋体" w:cs="宋体"/>
                <w:color w:val="auto"/>
                <w:spacing w:val="0"/>
                <w:position w:val="0"/>
                <w:szCs w:val="21"/>
                <w:highlight w:val="none"/>
                <w:lang w:eastAsia="zh-CN"/>
              </w:rPr>
              <w:t>证书</w:t>
            </w:r>
            <w:r>
              <w:rPr>
                <w:rFonts w:hint="eastAsia" w:ascii="宋体" w:hAnsi="宋体" w:eastAsia="宋体" w:cs="宋体"/>
                <w:color w:val="auto"/>
                <w:spacing w:val="0"/>
                <w:position w:val="0"/>
                <w:szCs w:val="21"/>
                <w:highlight w:val="none"/>
              </w:rPr>
              <w:t>，安全员、施工员、质检员、材料员应具有相应岗位资格证书，且拟投入的项目管理人员符合国家及广西壮族自治区的规定，否则不得分。</w:t>
            </w:r>
          </w:p>
          <w:p w14:paraId="6FAF5E0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分)：投入人员齐备、搭配合理科学，完全满足施工需要。</w:t>
            </w:r>
          </w:p>
          <w:p w14:paraId="25E8217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分)：投入人员基本齐备、搭配合理，满足施工需要。</w:t>
            </w:r>
          </w:p>
          <w:p w14:paraId="78D797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中(1分)：投入人员基本齐备、搭配一般，基本满足施工需要。</w:t>
            </w:r>
          </w:p>
          <w:p w14:paraId="195C8D1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0</w:t>
            </w:r>
            <w:r>
              <w:rPr>
                <w:rFonts w:hint="eastAsia" w:ascii="宋体" w:hAnsi="宋体" w:eastAsia="宋体" w:cs="宋体"/>
                <w:color w:val="auto"/>
                <w:spacing w:val="0"/>
                <w:position w:val="0"/>
                <w:szCs w:val="21"/>
                <w:highlight w:val="none"/>
              </w:rPr>
              <w:t>分)：投入人员不齐备、不能满足施工需要。</w:t>
            </w:r>
          </w:p>
          <w:p w14:paraId="6B172EA7">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2</w:t>
            </w:r>
            <w:r>
              <w:rPr>
                <w:rFonts w:hint="eastAsia" w:ascii="宋体" w:hAnsi="宋体" w:eastAsia="宋体" w:cs="宋体"/>
                <w:b/>
                <w:color w:val="auto"/>
                <w:spacing w:val="0"/>
                <w:position w:val="0"/>
                <w:szCs w:val="21"/>
                <w:highlight w:val="none"/>
              </w:rPr>
              <w:t>）总体概述（满分</w:t>
            </w:r>
            <w:r>
              <w:rPr>
                <w:rFonts w:hint="eastAsia" w:ascii="宋体" w:hAnsi="宋体" w:eastAsia="宋体" w:cs="宋体"/>
                <w:b/>
                <w:color w:val="auto"/>
                <w:spacing w:val="0"/>
                <w:position w:val="0"/>
                <w:szCs w:val="21"/>
                <w:highlight w:val="none"/>
                <w:lang w:val="en-US" w:eastAsia="zh-CN"/>
              </w:rPr>
              <w:t>8</w:t>
            </w:r>
            <w:r>
              <w:rPr>
                <w:rFonts w:hint="eastAsia" w:ascii="宋体" w:hAnsi="宋体" w:eastAsia="宋体" w:cs="宋体"/>
                <w:b/>
                <w:color w:val="auto"/>
                <w:spacing w:val="0"/>
                <w:position w:val="0"/>
                <w:szCs w:val="21"/>
                <w:highlight w:val="none"/>
              </w:rPr>
              <w:t>分）</w:t>
            </w:r>
          </w:p>
          <w:p w14:paraId="3960255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rPr>
              <w:t>分）：对项目总体有深刻认识，表述清晰、完整、严谨、合理，措施先进、具体、有效、成熟，采用了己论证的新技术、新工艺、新材料、新设备；施工段划分呼应总体表述，划分清晰、合理，符合规范要求。</w:t>
            </w:r>
          </w:p>
          <w:p w14:paraId="4F096D2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分）：对项目总体有一定认识，表述清晰、完整，措施具体有效；施工段划分呼应总体表述，划分清晰，符合规范要求。</w:t>
            </w:r>
          </w:p>
          <w:p w14:paraId="1C586B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分）：对项目总体有认识，有一定的措施但部分不具体；施工段划分较合理，符合规范要求。</w:t>
            </w:r>
          </w:p>
          <w:p w14:paraId="7355DEF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分)：对项目认识不足，表述不清晰，措施不具体；施工段划分不合理</w:t>
            </w:r>
            <w:r>
              <w:rPr>
                <w:rFonts w:hint="eastAsia" w:ascii="宋体" w:hAnsi="宋体" w:eastAsia="宋体" w:cs="宋体"/>
                <w:color w:val="auto"/>
                <w:spacing w:val="0"/>
                <w:position w:val="0"/>
                <w:szCs w:val="21"/>
                <w:highlight w:val="none"/>
                <w:lang w:val="en-US" w:eastAsia="zh-CN"/>
              </w:rPr>
              <w:t>。</w:t>
            </w:r>
          </w:p>
          <w:p w14:paraId="2B329837">
            <w:pPr>
              <w:keepNext w:val="0"/>
              <w:keepLines w:val="0"/>
              <w:pageBreakBefore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bCs/>
                <w:color w:val="auto"/>
                <w:spacing w:val="0"/>
                <w:position w:val="0"/>
                <w:highlight w:val="none"/>
              </w:rPr>
              <w:t>主要施工方法</w:t>
            </w:r>
            <w:r>
              <w:rPr>
                <w:rFonts w:hint="eastAsia" w:ascii="宋体" w:hAnsi="宋体" w:eastAsia="宋体" w:cs="宋体"/>
                <w:b/>
                <w:color w:val="auto"/>
                <w:spacing w:val="0"/>
                <w:position w:val="0"/>
                <w:szCs w:val="21"/>
                <w:highlight w:val="none"/>
              </w:rPr>
              <w:t>（满分8分）</w:t>
            </w:r>
          </w:p>
          <w:p w14:paraId="69EBA0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rPr>
              <w:t>分) ：各主要分部施工方法针对性强，施工技术方案详尽周密，工艺先进、方法科学、可行，能很好的指导具体施工并确保安全。</w:t>
            </w:r>
          </w:p>
          <w:p w14:paraId="0993543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lang w:eastAsia="zh-CN"/>
              </w:rPr>
              <w:t>分</w:t>
            </w:r>
            <w:r>
              <w:rPr>
                <w:rFonts w:hint="eastAsia" w:ascii="宋体" w:hAnsi="宋体" w:eastAsia="宋体" w:cs="宋体"/>
                <w:color w:val="auto"/>
                <w:spacing w:val="0"/>
                <w:position w:val="0"/>
                <w:szCs w:val="21"/>
                <w:highlight w:val="none"/>
              </w:rPr>
              <w:t>) ：各主要分部施工方法符合项目实际，施工技术方案齐全，工艺成熟、方法合理、可行，能指导具体施工并确保安全。</w:t>
            </w:r>
          </w:p>
          <w:p w14:paraId="2E601C4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分) ：各主要分部施工方法基本符合项目实际，施工技术方案基本齐全，方法基本合理、基本可行，基本能指导具体施工并确保安全。</w:t>
            </w:r>
          </w:p>
          <w:p w14:paraId="6BAD232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 ：各主要分部施工方法针</w:t>
            </w:r>
            <w:r>
              <w:rPr>
                <w:rFonts w:hint="eastAsia" w:ascii="宋体" w:hAnsi="宋体" w:eastAsia="宋体" w:cs="宋体"/>
                <w:color w:val="auto"/>
                <w:spacing w:val="0"/>
                <w:position w:val="0"/>
                <w:highlight w:val="none"/>
              </w:rPr>
              <w:t>对性差，施工技术方案差，工艺落后、方法不合理，不能指导具体施工和确保安全。</w:t>
            </w:r>
          </w:p>
          <w:p w14:paraId="0F27235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4</w:t>
            </w:r>
            <w:r>
              <w:rPr>
                <w:rFonts w:hint="eastAsia" w:ascii="宋体" w:hAnsi="宋体" w:eastAsia="宋体" w:cs="宋体"/>
                <w:b/>
                <w:color w:val="auto"/>
                <w:spacing w:val="0"/>
                <w:position w:val="0"/>
                <w:szCs w:val="21"/>
                <w:highlight w:val="none"/>
              </w:rPr>
              <w:t>）劳动力和材料投入计划及其保证措施（满分7分）</w:t>
            </w:r>
          </w:p>
          <w:p w14:paraId="5034422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优(7分)：投入计划与进度计划呼应，较好满足施工需要，调配投入计划合理、准确。</w:t>
            </w:r>
          </w:p>
          <w:p w14:paraId="4EED57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良(5分)：投入计划与进度计划呼应，基本满足施工需要，调配投入计划基本合理、准确</w:t>
            </w:r>
            <w:r>
              <w:rPr>
                <w:rFonts w:hint="eastAsia" w:ascii="宋体" w:hAnsi="宋体" w:eastAsia="宋体" w:cs="宋体"/>
                <w:color w:val="auto"/>
                <w:spacing w:val="0"/>
                <w:position w:val="0"/>
                <w:szCs w:val="21"/>
                <w:highlight w:val="none"/>
                <w:lang w:val="en-US" w:eastAsia="zh-CN"/>
              </w:rPr>
              <w:t>。</w:t>
            </w:r>
          </w:p>
          <w:p w14:paraId="21F5F1D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中(3分)：投入计划与进度计划呼应，基本满足施工需要，调配投入计划基本合理。</w:t>
            </w:r>
          </w:p>
          <w:p w14:paraId="38BD8D4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差(1分)：投入计划与进度计划不呼应，调配投入计划不合理，不能满足施工需要。</w:t>
            </w:r>
          </w:p>
          <w:p w14:paraId="6C8FC00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5</w:t>
            </w:r>
            <w:r>
              <w:rPr>
                <w:rFonts w:hint="eastAsia" w:ascii="宋体" w:hAnsi="宋体" w:eastAsia="宋体" w:cs="宋体"/>
                <w:b/>
                <w:color w:val="auto"/>
                <w:spacing w:val="0"/>
                <w:position w:val="0"/>
                <w:szCs w:val="21"/>
                <w:highlight w:val="none"/>
              </w:rPr>
              <w:t>）机械设备投入计划（满分</w:t>
            </w:r>
            <w:r>
              <w:rPr>
                <w:rFonts w:hint="eastAsia" w:ascii="宋体" w:hAnsi="宋体" w:eastAsia="宋体" w:cs="宋体"/>
                <w:b/>
                <w:color w:val="auto"/>
                <w:spacing w:val="0"/>
                <w:position w:val="0"/>
                <w:szCs w:val="21"/>
                <w:highlight w:val="none"/>
                <w:lang w:val="en-US" w:eastAsia="zh-CN"/>
              </w:rPr>
              <w:t>7</w:t>
            </w:r>
            <w:r>
              <w:rPr>
                <w:rFonts w:hint="eastAsia" w:ascii="宋体" w:hAnsi="宋体" w:eastAsia="宋体" w:cs="宋体"/>
                <w:b/>
                <w:color w:val="auto"/>
                <w:spacing w:val="0"/>
                <w:position w:val="0"/>
                <w:szCs w:val="21"/>
                <w:highlight w:val="none"/>
              </w:rPr>
              <w:t>分）</w:t>
            </w:r>
          </w:p>
          <w:p w14:paraId="112984D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分)：投入计划与进度计划呼应，较好满足施工需要，采用先进机械设备。</w:t>
            </w:r>
          </w:p>
          <w:p w14:paraId="273834F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分)：投入计划与进度计划呼应，满足施工需要。</w:t>
            </w:r>
          </w:p>
          <w:p w14:paraId="318C5DD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中(3分)：投入计划与进度计划呼应，基本满足施工需要。</w:t>
            </w:r>
          </w:p>
          <w:p w14:paraId="18F7222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差(1分)：投入计划与进度计划不呼应，不能满足施工需要。</w:t>
            </w:r>
          </w:p>
          <w:p w14:paraId="422D507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6</w:t>
            </w:r>
            <w:r>
              <w:rPr>
                <w:rFonts w:hint="eastAsia" w:ascii="宋体" w:hAnsi="宋体" w:eastAsia="宋体" w:cs="宋体"/>
                <w:b/>
                <w:color w:val="auto"/>
                <w:spacing w:val="0"/>
                <w:position w:val="0"/>
                <w:szCs w:val="21"/>
                <w:highlight w:val="none"/>
              </w:rPr>
              <w:t>）施工平面布置和临时设施布置（满分8分）</w:t>
            </w:r>
          </w:p>
          <w:p w14:paraId="60B2ECA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优(8分)：总体布置有针对性、合理，较好满足施工需要，符合安全、文明生产要求。</w:t>
            </w:r>
          </w:p>
          <w:p w14:paraId="6BBC40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良(6分)：总体布置合理，能满足施工需要，基本符合安全、文明生产要求。</w:t>
            </w:r>
          </w:p>
          <w:p w14:paraId="52A45FB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中(4分)：总体布置基本合理，基本满足施工需要。</w:t>
            </w:r>
          </w:p>
          <w:p w14:paraId="464B608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差(2分)：总体布置不合理，不符合安全、文明生产要求。</w:t>
            </w:r>
          </w:p>
          <w:p w14:paraId="1905282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7</w:t>
            </w:r>
            <w:r>
              <w:rPr>
                <w:rFonts w:hint="eastAsia" w:ascii="宋体" w:hAnsi="宋体" w:eastAsia="宋体" w:cs="宋体"/>
                <w:b/>
                <w:color w:val="auto"/>
                <w:spacing w:val="0"/>
                <w:position w:val="0"/>
                <w:szCs w:val="21"/>
                <w:highlight w:val="none"/>
              </w:rPr>
              <w:t>）关键施工技术、工艺及工程项目实施的重点、难点分析和解决方案（满分8分）</w:t>
            </w:r>
          </w:p>
          <w:p w14:paraId="43EB725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优(8分)：对项目关键技术、工艺有深入的表述，对重点、难点有先进合理的施工措施并有可行的安全措施，解决方案完整、经济、安全、切实可行，措施得力。</w:t>
            </w:r>
          </w:p>
          <w:p w14:paraId="216692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良(6分)：对项目关键技术、工艺有深入的表述，对重点、难点有合理的建议，解决方案经济、安全、基本可行。</w:t>
            </w:r>
          </w:p>
          <w:p w14:paraId="36741A5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中(4分)：对项目关键技术有一定了解，对重点、难点有建议，解决方案基本可行。</w:t>
            </w:r>
          </w:p>
          <w:p w14:paraId="2606000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差(2分)：对项目关键技术有表述，对重点、难点有建议，解诀方案不可行。</w:t>
            </w:r>
          </w:p>
          <w:p w14:paraId="33DEF27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8</w:t>
            </w:r>
            <w:r>
              <w:rPr>
                <w:rFonts w:hint="eastAsia" w:ascii="宋体" w:hAnsi="宋体" w:eastAsia="宋体" w:cs="宋体"/>
                <w:b/>
                <w:color w:val="auto"/>
                <w:spacing w:val="0"/>
                <w:position w:val="0"/>
                <w:szCs w:val="21"/>
                <w:highlight w:val="none"/>
              </w:rPr>
              <w:t>）安全文明施工措施（满分8分）</w:t>
            </w:r>
          </w:p>
          <w:p w14:paraId="63D614F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优(8分)：针对项目实际情况，有先进、具体、完整、可行的实施措施，采用规范正确、清晰。</w:t>
            </w:r>
          </w:p>
          <w:p w14:paraId="519130E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良(5分)：针对项目实际情况，有合理的措施且具体、完整，采用规范正确。</w:t>
            </w:r>
          </w:p>
          <w:p w14:paraId="58B7AC3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中(3分)：有基本合理的措施，采用规范正确。</w:t>
            </w:r>
          </w:p>
          <w:p w14:paraId="315C2CA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差(1分)：安全文明措施不得力，采用规范不正确。</w:t>
            </w:r>
          </w:p>
          <w:p w14:paraId="19C93939">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9</w:t>
            </w:r>
            <w:r>
              <w:rPr>
                <w:rFonts w:hint="eastAsia" w:ascii="宋体" w:hAnsi="宋体" w:eastAsia="宋体" w:cs="宋体"/>
                <w:b/>
                <w:color w:val="auto"/>
                <w:spacing w:val="0"/>
                <w:position w:val="0"/>
                <w:szCs w:val="21"/>
                <w:highlight w:val="none"/>
              </w:rPr>
              <w:t>）质量保证（满分8分）</w:t>
            </w:r>
          </w:p>
          <w:p w14:paraId="2786AC7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优(8分)：应用新技术、新工艺、新材料、新设备，针对项目实际提出先进、可行、具体的保证措施，超过招标文件的质量要求及施工验收规范要求。</w:t>
            </w:r>
          </w:p>
          <w:p w14:paraId="4016F1A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良(5分)：针对项目实际提出先进、可行、具体的保证措施，满足招标文件的质量要求。</w:t>
            </w:r>
          </w:p>
          <w:p w14:paraId="443285E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中(3分)：具体措施可行，满足招标文件的质量要求。</w:t>
            </w:r>
          </w:p>
          <w:p w14:paraId="6DFAEDB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差(1分)：措施不可行，不能满足文件中质量要求。</w:t>
            </w:r>
          </w:p>
          <w:p w14:paraId="7A6DFF71">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10</w:t>
            </w:r>
            <w:r>
              <w:rPr>
                <w:rFonts w:hint="eastAsia" w:ascii="宋体" w:hAnsi="宋体" w:eastAsia="宋体" w:cs="宋体"/>
                <w:b/>
                <w:color w:val="auto"/>
                <w:spacing w:val="0"/>
                <w:position w:val="0"/>
                <w:szCs w:val="21"/>
                <w:highlight w:val="none"/>
              </w:rPr>
              <w:t>）违约责任承诺（满分</w:t>
            </w:r>
            <w:r>
              <w:rPr>
                <w:rFonts w:hint="eastAsia" w:ascii="宋体" w:hAnsi="宋体" w:eastAsia="宋体" w:cs="宋体"/>
                <w:b/>
                <w:color w:val="auto"/>
                <w:spacing w:val="0"/>
                <w:position w:val="0"/>
                <w:szCs w:val="21"/>
                <w:highlight w:val="none"/>
                <w:lang w:val="en-US" w:eastAsia="zh-CN"/>
              </w:rPr>
              <w:t>5</w:t>
            </w:r>
            <w:r>
              <w:rPr>
                <w:rFonts w:hint="eastAsia" w:ascii="宋体" w:hAnsi="宋体" w:eastAsia="宋体" w:cs="宋体"/>
                <w:b/>
                <w:color w:val="auto"/>
                <w:spacing w:val="0"/>
                <w:position w:val="0"/>
                <w:szCs w:val="21"/>
                <w:highlight w:val="none"/>
              </w:rPr>
              <w:t>分）</w:t>
            </w:r>
          </w:p>
          <w:p w14:paraId="0AC2F83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分)：违约责任承诺</w:t>
            </w:r>
            <w:r>
              <w:rPr>
                <w:rFonts w:hint="eastAsia" w:ascii="宋体" w:hAnsi="宋体" w:eastAsia="宋体" w:cs="宋体"/>
                <w:color w:val="auto"/>
                <w:spacing w:val="0"/>
                <w:position w:val="0"/>
                <w:szCs w:val="21"/>
                <w:highlight w:val="none"/>
                <w:lang w:eastAsia="zh-CN"/>
              </w:rPr>
              <w:t>详细、完善</w:t>
            </w:r>
            <w:r>
              <w:rPr>
                <w:rFonts w:hint="eastAsia" w:ascii="宋体" w:hAnsi="宋体" w:eastAsia="宋体" w:cs="宋体"/>
                <w:color w:val="auto"/>
                <w:spacing w:val="0"/>
                <w:position w:val="0"/>
                <w:szCs w:val="21"/>
                <w:highlight w:val="none"/>
              </w:rPr>
              <w:t>。</w:t>
            </w:r>
          </w:p>
          <w:p w14:paraId="46B8AB1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分)：违约责任承诺</w:t>
            </w:r>
            <w:r>
              <w:rPr>
                <w:rFonts w:hint="eastAsia" w:ascii="宋体" w:hAnsi="宋体" w:eastAsia="宋体" w:cs="宋体"/>
                <w:color w:val="auto"/>
                <w:spacing w:val="0"/>
                <w:position w:val="0"/>
                <w:szCs w:val="21"/>
                <w:highlight w:val="none"/>
                <w:lang w:eastAsia="zh-CN"/>
              </w:rPr>
              <w:t>基本完整</w:t>
            </w:r>
            <w:r>
              <w:rPr>
                <w:rFonts w:hint="eastAsia" w:ascii="宋体" w:hAnsi="宋体" w:eastAsia="宋体" w:cs="宋体"/>
                <w:color w:val="auto"/>
                <w:spacing w:val="0"/>
                <w:position w:val="0"/>
                <w:szCs w:val="21"/>
                <w:highlight w:val="none"/>
              </w:rPr>
              <w:t xml:space="preserve">。 </w:t>
            </w:r>
          </w:p>
          <w:p w14:paraId="08ED41C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分)：有违约责任承诺</w:t>
            </w:r>
            <w:r>
              <w:rPr>
                <w:rFonts w:hint="eastAsia" w:ascii="宋体" w:hAnsi="宋体" w:eastAsia="宋体" w:cs="宋体"/>
                <w:color w:val="auto"/>
                <w:spacing w:val="0"/>
                <w:position w:val="0"/>
                <w:szCs w:val="21"/>
                <w:highlight w:val="none"/>
                <w:lang w:eastAsia="zh-CN"/>
              </w:rPr>
              <w:t>，内容简单、不全面</w:t>
            </w:r>
            <w:r>
              <w:rPr>
                <w:rFonts w:hint="eastAsia" w:ascii="宋体" w:hAnsi="宋体" w:eastAsia="宋体" w:cs="宋体"/>
                <w:color w:val="auto"/>
                <w:spacing w:val="0"/>
                <w:position w:val="0"/>
                <w:szCs w:val="21"/>
                <w:highlight w:val="none"/>
              </w:rPr>
              <w:t>。</w:t>
            </w:r>
          </w:p>
          <w:p w14:paraId="2738981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0</w:t>
            </w:r>
            <w:r>
              <w:rPr>
                <w:rFonts w:hint="eastAsia" w:ascii="宋体" w:hAnsi="宋体" w:eastAsia="宋体" w:cs="宋体"/>
                <w:color w:val="auto"/>
                <w:spacing w:val="0"/>
                <w:position w:val="0"/>
                <w:szCs w:val="21"/>
                <w:highlight w:val="none"/>
              </w:rPr>
              <w:t>分)：无违约责任承诺。</w:t>
            </w:r>
          </w:p>
        </w:tc>
        <w:tc>
          <w:tcPr>
            <w:tcW w:w="851" w:type="dxa"/>
            <w:noWrap w:val="0"/>
            <w:vAlign w:val="center"/>
          </w:tcPr>
          <w:p w14:paraId="455B7EA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70分</w:t>
            </w:r>
          </w:p>
        </w:tc>
      </w:tr>
      <w:tr w14:paraId="31C1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31D66635">
            <w:pPr>
              <w:pStyle w:val="14"/>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Cs/>
                <w:color w:val="auto"/>
                <w:spacing w:val="0"/>
                <w:kern w:val="2"/>
                <w:position w:val="0"/>
                <w:sz w:val="21"/>
                <w:highlight w:val="none"/>
                <w:lang w:val="en-US" w:eastAsia="zh-CN"/>
              </w:rPr>
            </w:pPr>
            <w:r>
              <w:rPr>
                <w:rFonts w:hint="eastAsia" w:ascii="宋体" w:hAnsi="宋体" w:eastAsia="宋体" w:cs="宋体"/>
                <w:b/>
                <w:bCs w:val="0"/>
                <w:color w:val="auto"/>
                <w:spacing w:val="0"/>
                <w:kern w:val="2"/>
                <w:position w:val="0"/>
                <w:sz w:val="21"/>
                <w:highlight w:val="none"/>
                <w:lang w:val="en-US" w:eastAsia="zh-CN"/>
              </w:rPr>
              <w:t>总得分＝1＋2</w:t>
            </w:r>
          </w:p>
        </w:tc>
        <w:tc>
          <w:tcPr>
            <w:tcW w:w="851" w:type="dxa"/>
            <w:noWrap w:val="0"/>
            <w:vAlign w:val="center"/>
          </w:tcPr>
          <w:p w14:paraId="46351D2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p>
        </w:tc>
      </w:tr>
    </w:tbl>
    <w:p w14:paraId="54B82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pacing w:val="0"/>
          <w:position w:val="0"/>
          <w:highlight w:val="none"/>
        </w:rPr>
      </w:pPr>
    </w:p>
    <w:p w14:paraId="63E77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72FDF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7EBA0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32EA9E16">
      <w:pPr>
        <w:pStyle w:val="50"/>
        <w:rPr>
          <w:rFonts w:hint="eastAsia" w:ascii="黑体" w:hAnsi="宋体" w:eastAsia="黑体" w:cs="Times New Roman"/>
          <w:b/>
          <w:bCs/>
          <w:color w:val="auto"/>
          <w:spacing w:val="0"/>
          <w:kern w:val="0"/>
          <w:position w:val="0"/>
          <w:sz w:val="36"/>
          <w:szCs w:val="36"/>
          <w:highlight w:val="none"/>
        </w:rPr>
      </w:pPr>
    </w:p>
    <w:p w14:paraId="0AEBBCE3">
      <w:pPr>
        <w:pStyle w:val="50"/>
        <w:rPr>
          <w:rFonts w:hint="eastAsia" w:ascii="黑体" w:hAnsi="宋体" w:eastAsia="黑体" w:cs="Times New Roman"/>
          <w:b/>
          <w:bCs/>
          <w:color w:val="auto"/>
          <w:spacing w:val="0"/>
          <w:kern w:val="0"/>
          <w:position w:val="0"/>
          <w:sz w:val="36"/>
          <w:szCs w:val="36"/>
          <w:highlight w:val="none"/>
        </w:rPr>
      </w:pPr>
    </w:p>
    <w:p w14:paraId="7989E033">
      <w:pPr>
        <w:pStyle w:val="50"/>
        <w:rPr>
          <w:rFonts w:hint="eastAsia" w:ascii="黑体" w:hAnsi="宋体" w:eastAsia="黑体" w:cs="Times New Roman"/>
          <w:b/>
          <w:bCs/>
          <w:color w:val="auto"/>
          <w:spacing w:val="0"/>
          <w:kern w:val="0"/>
          <w:position w:val="0"/>
          <w:sz w:val="36"/>
          <w:szCs w:val="36"/>
          <w:highlight w:val="none"/>
        </w:rPr>
      </w:pPr>
    </w:p>
    <w:p w14:paraId="38A7742B">
      <w:pPr>
        <w:pStyle w:val="50"/>
        <w:rPr>
          <w:rFonts w:hint="eastAsia" w:ascii="黑体" w:hAnsi="宋体" w:eastAsia="黑体" w:cs="Times New Roman"/>
          <w:b/>
          <w:bCs/>
          <w:color w:val="auto"/>
          <w:spacing w:val="0"/>
          <w:kern w:val="0"/>
          <w:position w:val="0"/>
          <w:sz w:val="36"/>
          <w:szCs w:val="36"/>
          <w:highlight w:val="none"/>
        </w:rPr>
      </w:pPr>
    </w:p>
    <w:p w14:paraId="0368C565">
      <w:pPr>
        <w:pStyle w:val="50"/>
        <w:rPr>
          <w:rFonts w:hint="eastAsia" w:ascii="黑体" w:hAnsi="宋体" w:eastAsia="黑体" w:cs="Times New Roman"/>
          <w:b/>
          <w:bCs/>
          <w:color w:val="auto"/>
          <w:spacing w:val="0"/>
          <w:kern w:val="0"/>
          <w:position w:val="0"/>
          <w:sz w:val="36"/>
          <w:szCs w:val="36"/>
          <w:highlight w:val="none"/>
        </w:rPr>
      </w:pPr>
    </w:p>
    <w:p w14:paraId="66E09ECC">
      <w:pPr>
        <w:pStyle w:val="14"/>
        <w:spacing w:line="400" w:lineRule="exact"/>
        <w:jc w:val="center"/>
        <w:outlineLvl w:val="0"/>
        <w:rPr>
          <w:rFonts w:hint="eastAsia" w:ascii="黑体" w:hAnsi="宋体" w:eastAsia="黑体" w:cs="Times New Roman"/>
          <w:b/>
          <w:bCs/>
          <w:color w:val="auto"/>
          <w:spacing w:val="0"/>
          <w:kern w:val="0"/>
          <w:position w:val="0"/>
          <w:sz w:val="36"/>
          <w:szCs w:val="36"/>
          <w:highlight w:val="none"/>
        </w:rPr>
      </w:pPr>
    </w:p>
    <w:p w14:paraId="09AE7D4A">
      <w:pPr>
        <w:rPr>
          <w:rFonts w:hint="eastAsia" w:ascii="黑体" w:hAnsi="宋体" w:eastAsia="黑体" w:cs="Times New Roman"/>
          <w:b/>
          <w:bCs/>
          <w:color w:val="auto"/>
          <w:spacing w:val="0"/>
          <w:kern w:val="0"/>
          <w:position w:val="0"/>
          <w:sz w:val="36"/>
          <w:szCs w:val="36"/>
          <w:highlight w:val="none"/>
        </w:rPr>
      </w:pPr>
      <w:bookmarkStart w:id="66" w:name="_Toc15543"/>
      <w:r>
        <w:rPr>
          <w:rFonts w:hint="eastAsia" w:ascii="黑体" w:hAnsi="宋体" w:eastAsia="黑体" w:cs="Times New Roman"/>
          <w:b/>
          <w:bCs/>
          <w:color w:val="auto"/>
          <w:spacing w:val="0"/>
          <w:kern w:val="0"/>
          <w:position w:val="0"/>
          <w:sz w:val="36"/>
          <w:szCs w:val="36"/>
          <w:highlight w:val="none"/>
        </w:rPr>
        <w:br w:type="page"/>
      </w:r>
    </w:p>
    <w:p w14:paraId="10AC1001">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6"/>
    </w:p>
    <w:p w14:paraId="0B078CBD">
      <w:pPr>
        <w:autoSpaceDE w:val="0"/>
        <w:autoSpaceDN w:val="0"/>
        <w:adjustRightInd w:val="0"/>
        <w:spacing w:line="360" w:lineRule="auto"/>
        <w:rPr>
          <w:rFonts w:ascii="宋体" w:cs="宋体"/>
          <w:color w:val="auto"/>
          <w:spacing w:val="0"/>
          <w:position w:val="0"/>
          <w:szCs w:val="21"/>
          <w:highlight w:val="none"/>
          <w:lang w:val="zh-CN"/>
        </w:rPr>
      </w:pPr>
    </w:p>
    <w:p w14:paraId="62EFF943">
      <w:pPr>
        <w:rPr>
          <w:rFonts w:hint="eastAsia"/>
          <w:b/>
          <w:color w:val="auto"/>
          <w:spacing w:val="0"/>
          <w:position w:val="0"/>
          <w:sz w:val="32"/>
          <w:szCs w:val="32"/>
          <w:highlight w:val="none"/>
        </w:rPr>
      </w:pPr>
      <w:bookmarkStart w:id="67" w:name="_Toc31728084"/>
      <w:bookmarkStart w:id="68" w:name="_Toc44229899"/>
      <w:bookmarkStart w:id="69" w:name="_Toc35611516"/>
      <w:bookmarkStart w:id="70" w:name="_Toc35611438"/>
      <w:bookmarkStart w:id="71" w:name="_Toc31723070"/>
      <w:bookmarkStart w:id="72" w:name="_Toc71366186"/>
      <w:r>
        <w:rPr>
          <w:rFonts w:hint="eastAsia"/>
          <w:b/>
          <w:color w:val="auto"/>
          <w:spacing w:val="0"/>
          <w:position w:val="0"/>
          <w:sz w:val="32"/>
          <w:szCs w:val="32"/>
          <w:highlight w:val="none"/>
        </w:rPr>
        <w:t>一、资格证明文件格式</w:t>
      </w:r>
      <w:bookmarkEnd w:id="67"/>
      <w:bookmarkEnd w:id="68"/>
      <w:bookmarkEnd w:id="69"/>
      <w:bookmarkEnd w:id="70"/>
      <w:bookmarkEnd w:id="71"/>
      <w:bookmarkEnd w:id="72"/>
    </w:p>
    <w:p w14:paraId="28712376">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8254EBE">
      <w:pPr>
        <w:snapToGrid w:val="0"/>
        <w:spacing w:before="156" w:beforeLines="50" w:after="50"/>
        <w:jc w:val="center"/>
        <w:rPr>
          <w:rFonts w:ascii="宋体" w:hAnsi="宋体"/>
          <w:color w:val="auto"/>
          <w:spacing w:val="0"/>
          <w:position w:val="0"/>
          <w:sz w:val="44"/>
          <w:szCs w:val="44"/>
          <w:highlight w:val="none"/>
        </w:rPr>
      </w:pPr>
    </w:p>
    <w:p w14:paraId="4E1716BF">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电 子 响 应 文 件</w:t>
      </w:r>
    </w:p>
    <w:p w14:paraId="4CAC88B4">
      <w:pPr>
        <w:snapToGrid w:val="0"/>
        <w:spacing w:before="156" w:beforeLines="50" w:after="50"/>
        <w:rPr>
          <w:rFonts w:hint="eastAsia" w:ascii="宋体" w:hAnsi="宋体"/>
          <w:color w:val="auto"/>
          <w:spacing w:val="0"/>
          <w:position w:val="0"/>
          <w:sz w:val="24"/>
          <w:szCs w:val="20"/>
          <w:highlight w:val="none"/>
        </w:rPr>
      </w:pPr>
    </w:p>
    <w:p w14:paraId="0CF8E43C">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61B33190">
      <w:pPr>
        <w:snapToGrid w:val="0"/>
        <w:spacing w:before="156" w:beforeLines="50" w:after="50"/>
        <w:rPr>
          <w:rFonts w:hint="eastAsia" w:ascii="宋体" w:hAnsi="宋体"/>
          <w:bCs/>
          <w:color w:val="auto"/>
          <w:spacing w:val="0"/>
          <w:position w:val="0"/>
          <w:sz w:val="24"/>
          <w:szCs w:val="20"/>
          <w:highlight w:val="none"/>
        </w:rPr>
      </w:pPr>
    </w:p>
    <w:p w14:paraId="0CCCA274">
      <w:pPr>
        <w:snapToGrid w:val="0"/>
        <w:spacing w:before="156" w:beforeLines="50" w:after="50"/>
        <w:rPr>
          <w:rFonts w:hint="eastAsia" w:ascii="宋体" w:hAnsi="宋体"/>
          <w:bCs/>
          <w:color w:val="auto"/>
          <w:spacing w:val="0"/>
          <w:position w:val="0"/>
          <w:sz w:val="24"/>
          <w:szCs w:val="20"/>
          <w:highlight w:val="none"/>
        </w:rPr>
      </w:pPr>
    </w:p>
    <w:p w14:paraId="1FFE370C">
      <w:pPr>
        <w:snapToGrid w:val="0"/>
        <w:spacing w:before="156" w:beforeLines="50" w:after="50"/>
        <w:rPr>
          <w:rFonts w:hint="eastAsia" w:ascii="宋体" w:hAnsi="宋体"/>
          <w:bCs/>
          <w:color w:val="auto"/>
          <w:spacing w:val="0"/>
          <w:position w:val="0"/>
          <w:sz w:val="24"/>
          <w:szCs w:val="20"/>
          <w:highlight w:val="none"/>
        </w:rPr>
      </w:pPr>
    </w:p>
    <w:p w14:paraId="0D8A6355">
      <w:pPr>
        <w:snapToGrid w:val="0"/>
        <w:spacing w:before="156" w:beforeLines="50" w:after="50"/>
        <w:rPr>
          <w:rFonts w:hint="eastAsia" w:ascii="宋体" w:hAnsi="宋体"/>
          <w:bCs/>
          <w:color w:val="auto"/>
          <w:spacing w:val="0"/>
          <w:position w:val="0"/>
          <w:sz w:val="24"/>
          <w:szCs w:val="20"/>
          <w:highlight w:val="none"/>
        </w:rPr>
      </w:pPr>
    </w:p>
    <w:p w14:paraId="5DAB724D">
      <w:pPr>
        <w:snapToGrid w:val="0"/>
        <w:spacing w:before="156" w:beforeLines="50" w:after="50"/>
        <w:rPr>
          <w:rFonts w:hint="eastAsia" w:ascii="宋体" w:hAnsi="宋体"/>
          <w:bCs/>
          <w:color w:val="auto"/>
          <w:spacing w:val="0"/>
          <w:position w:val="0"/>
          <w:sz w:val="24"/>
          <w:szCs w:val="20"/>
          <w:highlight w:val="none"/>
        </w:rPr>
      </w:pPr>
    </w:p>
    <w:p w14:paraId="115FE551">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60063D5D">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D24274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9087AE9">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BE9553D">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DEEF748">
      <w:pPr>
        <w:pStyle w:val="8"/>
        <w:snapToGrid w:val="0"/>
        <w:spacing w:before="50" w:after="50"/>
        <w:rPr>
          <w:rFonts w:hint="eastAsia" w:ascii="宋体" w:hAnsi="宋体" w:cs="仿宋_GB2312"/>
          <w:bCs/>
          <w:color w:val="auto"/>
          <w:spacing w:val="0"/>
          <w:position w:val="0"/>
          <w:sz w:val="32"/>
          <w:szCs w:val="32"/>
          <w:highlight w:val="none"/>
        </w:rPr>
      </w:pPr>
    </w:p>
    <w:p w14:paraId="7BE96F8E">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D64CA5E">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E3AF1C4">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1EB1966B">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342C1340">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D2F6487">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54F12977">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40FD7311">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784D9FFB">
      <w:pPr>
        <w:spacing w:line="300" w:lineRule="auto"/>
        <w:rPr>
          <w:rFonts w:hint="eastAsia" w:ascii="宋体" w:hAnsi="宋体"/>
          <w:color w:val="auto"/>
          <w:spacing w:val="0"/>
          <w:position w:val="0"/>
          <w:szCs w:val="21"/>
          <w:highlight w:val="none"/>
        </w:rPr>
      </w:pPr>
    </w:p>
    <w:p w14:paraId="232F8A75">
      <w:pPr>
        <w:spacing w:line="300" w:lineRule="auto"/>
        <w:rPr>
          <w:rFonts w:hint="eastAsia" w:ascii="宋体" w:hAnsi="宋体"/>
          <w:color w:val="auto"/>
          <w:spacing w:val="0"/>
          <w:position w:val="0"/>
          <w:szCs w:val="21"/>
          <w:highlight w:val="none"/>
        </w:rPr>
      </w:pPr>
    </w:p>
    <w:p w14:paraId="02B47B76">
      <w:pPr>
        <w:spacing w:line="300" w:lineRule="auto"/>
        <w:rPr>
          <w:rFonts w:hint="eastAsia" w:ascii="宋体" w:hAnsi="宋体"/>
          <w:color w:val="auto"/>
          <w:spacing w:val="0"/>
          <w:position w:val="0"/>
          <w:szCs w:val="21"/>
          <w:highlight w:val="none"/>
        </w:rPr>
      </w:pPr>
    </w:p>
    <w:p w14:paraId="4C24AE98">
      <w:pPr>
        <w:spacing w:line="300" w:lineRule="auto"/>
        <w:rPr>
          <w:rFonts w:hint="eastAsia" w:ascii="宋体" w:hAnsi="宋体"/>
          <w:color w:val="auto"/>
          <w:spacing w:val="0"/>
          <w:position w:val="0"/>
          <w:szCs w:val="21"/>
          <w:highlight w:val="none"/>
        </w:rPr>
      </w:pPr>
    </w:p>
    <w:p w14:paraId="7964AE1C">
      <w:pPr>
        <w:spacing w:line="300" w:lineRule="auto"/>
        <w:rPr>
          <w:rFonts w:hint="eastAsia" w:ascii="宋体" w:hAnsi="宋体"/>
          <w:color w:val="auto"/>
          <w:spacing w:val="0"/>
          <w:position w:val="0"/>
          <w:szCs w:val="21"/>
          <w:highlight w:val="none"/>
        </w:rPr>
      </w:pPr>
    </w:p>
    <w:p w14:paraId="2E81CEE0">
      <w:pPr>
        <w:spacing w:line="300" w:lineRule="auto"/>
        <w:rPr>
          <w:rFonts w:hint="eastAsia" w:ascii="宋体" w:hAnsi="宋体"/>
          <w:color w:val="auto"/>
          <w:spacing w:val="0"/>
          <w:position w:val="0"/>
          <w:szCs w:val="21"/>
          <w:highlight w:val="none"/>
        </w:rPr>
      </w:pPr>
    </w:p>
    <w:p w14:paraId="7D839812">
      <w:pPr>
        <w:spacing w:line="300" w:lineRule="auto"/>
        <w:rPr>
          <w:rFonts w:hint="eastAsia" w:ascii="宋体" w:hAnsi="宋体"/>
          <w:color w:val="auto"/>
          <w:spacing w:val="0"/>
          <w:position w:val="0"/>
          <w:szCs w:val="21"/>
          <w:highlight w:val="none"/>
        </w:rPr>
      </w:pPr>
    </w:p>
    <w:p w14:paraId="14F84567">
      <w:pPr>
        <w:spacing w:line="300" w:lineRule="auto"/>
        <w:rPr>
          <w:rFonts w:hint="eastAsia" w:ascii="宋体" w:hAnsi="宋体"/>
          <w:color w:val="auto"/>
          <w:spacing w:val="0"/>
          <w:position w:val="0"/>
          <w:szCs w:val="21"/>
          <w:highlight w:val="none"/>
        </w:rPr>
      </w:pPr>
    </w:p>
    <w:p w14:paraId="23A8A6B3">
      <w:pPr>
        <w:spacing w:line="300" w:lineRule="auto"/>
        <w:rPr>
          <w:rFonts w:hint="eastAsia" w:ascii="宋体" w:hAnsi="宋体"/>
          <w:color w:val="auto"/>
          <w:spacing w:val="0"/>
          <w:position w:val="0"/>
          <w:szCs w:val="21"/>
          <w:highlight w:val="none"/>
        </w:rPr>
      </w:pPr>
    </w:p>
    <w:p w14:paraId="13544420">
      <w:pPr>
        <w:spacing w:line="300" w:lineRule="auto"/>
        <w:rPr>
          <w:rFonts w:hint="eastAsia" w:ascii="宋体" w:hAnsi="宋体"/>
          <w:color w:val="auto"/>
          <w:spacing w:val="0"/>
          <w:position w:val="0"/>
          <w:szCs w:val="21"/>
          <w:highlight w:val="none"/>
        </w:rPr>
      </w:pPr>
    </w:p>
    <w:p w14:paraId="546C130F">
      <w:pPr>
        <w:spacing w:line="300" w:lineRule="auto"/>
        <w:rPr>
          <w:rFonts w:hint="eastAsia" w:ascii="宋体" w:hAnsi="宋体"/>
          <w:color w:val="auto"/>
          <w:spacing w:val="0"/>
          <w:position w:val="0"/>
          <w:szCs w:val="21"/>
          <w:highlight w:val="none"/>
        </w:rPr>
      </w:pPr>
    </w:p>
    <w:p w14:paraId="30C9FA7E">
      <w:pPr>
        <w:spacing w:line="300" w:lineRule="auto"/>
        <w:rPr>
          <w:rFonts w:hint="eastAsia" w:ascii="宋体" w:hAnsi="宋体"/>
          <w:color w:val="auto"/>
          <w:spacing w:val="0"/>
          <w:position w:val="0"/>
          <w:szCs w:val="21"/>
          <w:highlight w:val="none"/>
        </w:rPr>
      </w:pPr>
    </w:p>
    <w:p w14:paraId="2B61B4B5">
      <w:pPr>
        <w:spacing w:line="300" w:lineRule="auto"/>
        <w:rPr>
          <w:rFonts w:hint="eastAsia" w:ascii="宋体" w:hAnsi="宋体"/>
          <w:color w:val="auto"/>
          <w:spacing w:val="0"/>
          <w:position w:val="0"/>
          <w:szCs w:val="21"/>
          <w:highlight w:val="none"/>
        </w:rPr>
      </w:pPr>
    </w:p>
    <w:p w14:paraId="24F67010">
      <w:pPr>
        <w:spacing w:line="300" w:lineRule="auto"/>
        <w:rPr>
          <w:rFonts w:hint="eastAsia" w:ascii="宋体" w:hAnsi="宋体"/>
          <w:color w:val="auto"/>
          <w:spacing w:val="0"/>
          <w:position w:val="0"/>
          <w:szCs w:val="21"/>
          <w:highlight w:val="none"/>
        </w:rPr>
      </w:pPr>
    </w:p>
    <w:p w14:paraId="1FB6AF21">
      <w:pPr>
        <w:spacing w:line="300" w:lineRule="auto"/>
        <w:rPr>
          <w:rFonts w:hint="eastAsia" w:ascii="宋体" w:hAnsi="宋体"/>
          <w:color w:val="auto"/>
          <w:spacing w:val="0"/>
          <w:position w:val="0"/>
          <w:szCs w:val="21"/>
          <w:highlight w:val="none"/>
        </w:rPr>
      </w:pPr>
    </w:p>
    <w:p w14:paraId="6143E31C">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532FDD06">
      <w:pPr>
        <w:spacing w:line="320" w:lineRule="exact"/>
        <w:jc w:val="center"/>
        <w:rPr>
          <w:rFonts w:hint="eastAsia" w:ascii="宋体" w:hAnsi="宋体"/>
          <w:color w:val="auto"/>
          <w:spacing w:val="0"/>
          <w:position w:val="0"/>
          <w:sz w:val="24"/>
          <w:szCs w:val="20"/>
          <w:highlight w:val="none"/>
        </w:rPr>
      </w:pPr>
    </w:p>
    <w:p w14:paraId="6E2E0E3F">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050E4A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40534C3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67F72DB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099C52E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77B864A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48431E6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099B46E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7AD4222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1284989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023BEB5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4087507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74D41A6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116D923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35C5C50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0ABC41F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13D1050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18D33AA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F13308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3E35C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6619694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AA35216">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18452B44">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0A0EFFF2">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52E95015">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6CAF20D6">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3DA5088B">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63398BC0">
      <w:pPr>
        <w:spacing w:line="360" w:lineRule="auto"/>
        <w:contextualSpacing/>
        <w:jc w:val="left"/>
        <w:rPr>
          <w:rFonts w:hint="eastAsia" w:ascii="宋体" w:hAnsi="宋体" w:cs="宋体"/>
          <w:color w:val="auto"/>
          <w:spacing w:val="0"/>
          <w:position w:val="0"/>
          <w:szCs w:val="21"/>
          <w:highlight w:val="none"/>
        </w:rPr>
      </w:pPr>
    </w:p>
    <w:p w14:paraId="20DA7C9C">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14B703F8">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2CB9706D">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FF04A86">
      <w:pPr>
        <w:spacing w:line="320" w:lineRule="exact"/>
        <w:jc w:val="left"/>
        <w:rPr>
          <w:rFonts w:hint="eastAsia" w:ascii="宋体" w:hAnsi="宋体"/>
          <w:color w:val="auto"/>
          <w:spacing w:val="0"/>
          <w:position w:val="0"/>
          <w:szCs w:val="21"/>
          <w:highlight w:val="none"/>
        </w:rPr>
      </w:pPr>
    </w:p>
    <w:p w14:paraId="316C33C5">
      <w:pPr>
        <w:spacing w:line="320" w:lineRule="exact"/>
        <w:jc w:val="center"/>
        <w:rPr>
          <w:rFonts w:hint="eastAsia" w:ascii="宋体" w:hAnsi="宋体"/>
          <w:b/>
          <w:color w:val="auto"/>
          <w:spacing w:val="0"/>
          <w:position w:val="0"/>
          <w:sz w:val="32"/>
          <w:szCs w:val="32"/>
          <w:highlight w:val="none"/>
        </w:rPr>
      </w:pPr>
    </w:p>
    <w:p w14:paraId="71D5973C">
      <w:pPr>
        <w:spacing w:line="320" w:lineRule="exact"/>
        <w:jc w:val="center"/>
        <w:rPr>
          <w:rFonts w:hint="eastAsia" w:ascii="宋体" w:hAnsi="宋体"/>
          <w:b/>
          <w:color w:val="auto"/>
          <w:spacing w:val="0"/>
          <w:position w:val="0"/>
          <w:sz w:val="32"/>
          <w:szCs w:val="32"/>
          <w:highlight w:val="none"/>
        </w:rPr>
      </w:pPr>
    </w:p>
    <w:p w14:paraId="49698450">
      <w:pPr>
        <w:spacing w:line="320" w:lineRule="exact"/>
        <w:jc w:val="center"/>
        <w:rPr>
          <w:rFonts w:hint="eastAsia" w:ascii="宋体" w:hAnsi="宋体"/>
          <w:b/>
          <w:color w:val="auto"/>
          <w:spacing w:val="0"/>
          <w:position w:val="0"/>
          <w:sz w:val="32"/>
          <w:szCs w:val="32"/>
          <w:highlight w:val="none"/>
        </w:rPr>
      </w:pPr>
    </w:p>
    <w:p w14:paraId="4A26767A">
      <w:pPr>
        <w:spacing w:line="320" w:lineRule="exact"/>
        <w:jc w:val="center"/>
        <w:rPr>
          <w:rFonts w:hint="eastAsia" w:ascii="宋体" w:hAnsi="宋体"/>
          <w:b/>
          <w:color w:val="auto"/>
          <w:spacing w:val="0"/>
          <w:position w:val="0"/>
          <w:sz w:val="32"/>
          <w:szCs w:val="32"/>
          <w:highlight w:val="none"/>
        </w:rPr>
      </w:pPr>
    </w:p>
    <w:p w14:paraId="7E5BE3E8">
      <w:pPr>
        <w:spacing w:line="320" w:lineRule="exact"/>
        <w:jc w:val="center"/>
        <w:rPr>
          <w:rFonts w:hint="eastAsia" w:ascii="宋体" w:hAnsi="宋体"/>
          <w:b/>
          <w:color w:val="auto"/>
          <w:spacing w:val="0"/>
          <w:position w:val="0"/>
          <w:sz w:val="32"/>
          <w:szCs w:val="32"/>
          <w:highlight w:val="none"/>
        </w:rPr>
      </w:pPr>
    </w:p>
    <w:p w14:paraId="0A497A00">
      <w:pPr>
        <w:spacing w:line="320" w:lineRule="exact"/>
        <w:jc w:val="center"/>
        <w:rPr>
          <w:rFonts w:hint="eastAsia" w:ascii="宋体" w:hAnsi="宋体"/>
          <w:b/>
          <w:color w:val="auto"/>
          <w:spacing w:val="0"/>
          <w:position w:val="0"/>
          <w:sz w:val="32"/>
          <w:szCs w:val="32"/>
          <w:highlight w:val="none"/>
        </w:rPr>
      </w:pPr>
    </w:p>
    <w:p w14:paraId="5C864A16">
      <w:pPr>
        <w:spacing w:line="320" w:lineRule="exact"/>
        <w:jc w:val="center"/>
        <w:rPr>
          <w:rFonts w:hint="eastAsia" w:ascii="宋体" w:hAnsi="宋体"/>
          <w:b/>
          <w:color w:val="auto"/>
          <w:spacing w:val="0"/>
          <w:position w:val="0"/>
          <w:sz w:val="32"/>
          <w:szCs w:val="32"/>
          <w:highlight w:val="none"/>
        </w:rPr>
      </w:pPr>
    </w:p>
    <w:p w14:paraId="2D72214B">
      <w:pPr>
        <w:spacing w:line="320" w:lineRule="exact"/>
        <w:jc w:val="center"/>
        <w:rPr>
          <w:rFonts w:hint="eastAsia" w:ascii="宋体" w:hAnsi="宋体"/>
          <w:b/>
          <w:color w:val="auto"/>
          <w:spacing w:val="0"/>
          <w:position w:val="0"/>
          <w:sz w:val="32"/>
          <w:szCs w:val="32"/>
          <w:highlight w:val="none"/>
        </w:rPr>
      </w:pPr>
    </w:p>
    <w:p w14:paraId="1307CA40">
      <w:pPr>
        <w:spacing w:line="320" w:lineRule="exact"/>
        <w:jc w:val="center"/>
        <w:rPr>
          <w:rFonts w:hint="eastAsia" w:ascii="宋体" w:hAnsi="宋体"/>
          <w:b/>
          <w:color w:val="auto"/>
          <w:spacing w:val="0"/>
          <w:position w:val="0"/>
          <w:sz w:val="32"/>
          <w:szCs w:val="32"/>
          <w:highlight w:val="none"/>
        </w:rPr>
      </w:pPr>
    </w:p>
    <w:p w14:paraId="54CB9E94">
      <w:pPr>
        <w:spacing w:line="320" w:lineRule="exact"/>
        <w:jc w:val="center"/>
        <w:rPr>
          <w:rFonts w:hint="eastAsia" w:ascii="宋体" w:hAnsi="宋体"/>
          <w:b/>
          <w:color w:val="auto"/>
          <w:spacing w:val="0"/>
          <w:position w:val="0"/>
          <w:sz w:val="32"/>
          <w:szCs w:val="32"/>
          <w:highlight w:val="none"/>
        </w:rPr>
      </w:pPr>
    </w:p>
    <w:p w14:paraId="57A23DDE">
      <w:pPr>
        <w:spacing w:line="320" w:lineRule="exact"/>
        <w:jc w:val="center"/>
        <w:rPr>
          <w:rFonts w:hint="eastAsia" w:ascii="宋体" w:hAnsi="宋体"/>
          <w:b/>
          <w:color w:val="auto"/>
          <w:spacing w:val="0"/>
          <w:position w:val="0"/>
          <w:sz w:val="32"/>
          <w:szCs w:val="32"/>
          <w:highlight w:val="none"/>
        </w:rPr>
      </w:pPr>
    </w:p>
    <w:p w14:paraId="08E07E9C">
      <w:pPr>
        <w:spacing w:line="320" w:lineRule="exact"/>
        <w:jc w:val="center"/>
        <w:rPr>
          <w:rFonts w:hint="eastAsia" w:ascii="宋体" w:hAnsi="宋体"/>
          <w:b/>
          <w:color w:val="auto"/>
          <w:spacing w:val="0"/>
          <w:position w:val="0"/>
          <w:sz w:val="32"/>
          <w:szCs w:val="32"/>
          <w:highlight w:val="none"/>
        </w:rPr>
      </w:pPr>
    </w:p>
    <w:p w14:paraId="0444F4A9">
      <w:pPr>
        <w:spacing w:line="320" w:lineRule="exact"/>
        <w:jc w:val="center"/>
        <w:rPr>
          <w:rFonts w:hint="eastAsia" w:ascii="宋体" w:hAnsi="宋体"/>
          <w:b/>
          <w:color w:val="auto"/>
          <w:spacing w:val="0"/>
          <w:position w:val="0"/>
          <w:sz w:val="32"/>
          <w:szCs w:val="32"/>
          <w:highlight w:val="none"/>
        </w:rPr>
      </w:pPr>
    </w:p>
    <w:p w14:paraId="2DF4DCFF">
      <w:pPr>
        <w:spacing w:line="320" w:lineRule="exact"/>
        <w:jc w:val="center"/>
        <w:rPr>
          <w:rFonts w:hint="eastAsia" w:ascii="宋体" w:hAnsi="宋体"/>
          <w:b/>
          <w:color w:val="auto"/>
          <w:spacing w:val="0"/>
          <w:position w:val="0"/>
          <w:sz w:val="32"/>
          <w:szCs w:val="32"/>
          <w:highlight w:val="none"/>
        </w:rPr>
      </w:pPr>
    </w:p>
    <w:p w14:paraId="1F4AF8A2">
      <w:pPr>
        <w:spacing w:line="320" w:lineRule="exact"/>
        <w:jc w:val="center"/>
        <w:rPr>
          <w:rFonts w:hint="eastAsia" w:ascii="宋体" w:hAnsi="宋体"/>
          <w:b/>
          <w:color w:val="auto"/>
          <w:spacing w:val="0"/>
          <w:position w:val="0"/>
          <w:sz w:val="32"/>
          <w:szCs w:val="32"/>
          <w:highlight w:val="none"/>
        </w:rPr>
      </w:pPr>
    </w:p>
    <w:p w14:paraId="02069503">
      <w:pPr>
        <w:spacing w:line="320" w:lineRule="exact"/>
        <w:jc w:val="center"/>
        <w:rPr>
          <w:rFonts w:hint="eastAsia" w:ascii="宋体" w:hAnsi="宋体"/>
          <w:b/>
          <w:color w:val="auto"/>
          <w:spacing w:val="0"/>
          <w:position w:val="0"/>
          <w:sz w:val="32"/>
          <w:szCs w:val="32"/>
          <w:highlight w:val="none"/>
        </w:rPr>
      </w:pPr>
    </w:p>
    <w:p w14:paraId="2337A848">
      <w:pPr>
        <w:spacing w:line="320" w:lineRule="exact"/>
        <w:jc w:val="center"/>
        <w:rPr>
          <w:rFonts w:hint="eastAsia" w:ascii="宋体" w:hAnsi="宋体"/>
          <w:b/>
          <w:color w:val="auto"/>
          <w:spacing w:val="0"/>
          <w:position w:val="0"/>
          <w:sz w:val="32"/>
          <w:szCs w:val="32"/>
          <w:highlight w:val="none"/>
        </w:rPr>
      </w:pPr>
    </w:p>
    <w:p w14:paraId="79207768">
      <w:pPr>
        <w:spacing w:line="320" w:lineRule="exact"/>
        <w:jc w:val="center"/>
        <w:rPr>
          <w:rFonts w:hint="eastAsia" w:ascii="宋体" w:hAnsi="宋体"/>
          <w:b/>
          <w:color w:val="auto"/>
          <w:spacing w:val="0"/>
          <w:position w:val="0"/>
          <w:sz w:val="32"/>
          <w:szCs w:val="32"/>
          <w:highlight w:val="none"/>
        </w:rPr>
      </w:pPr>
    </w:p>
    <w:p w14:paraId="7223D7D0">
      <w:pPr>
        <w:spacing w:line="320" w:lineRule="exact"/>
        <w:jc w:val="center"/>
        <w:rPr>
          <w:rFonts w:hint="eastAsia" w:ascii="宋体" w:hAnsi="宋体"/>
          <w:b/>
          <w:color w:val="auto"/>
          <w:spacing w:val="0"/>
          <w:position w:val="0"/>
          <w:sz w:val="32"/>
          <w:szCs w:val="32"/>
          <w:highlight w:val="none"/>
        </w:rPr>
      </w:pPr>
    </w:p>
    <w:p w14:paraId="56168EEA">
      <w:pPr>
        <w:spacing w:line="320" w:lineRule="exact"/>
        <w:jc w:val="center"/>
        <w:rPr>
          <w:rFonts w:hint="eastAsia" w:ascii="宋体" w:hAnsi="宋体"/>
          <w:b/>
          <w:color w:val="auto"/>
          <w:spacing w:val="0"/>
          <w:position w:val="0"/>
          <w:sz w:val="32"/>
          <w:szCs w:val="32"/>
          <w:highlight w:val="none"/>
        </w:rPr>
      </w:pPr>
    </w:p>
    <w:p w14:paraId="1AE79F20">
      <w:pPr>
        <w:spacing w:line="320" w:lineRule="exact"/>
        <w:jc w:val="center"/>
        <w:rPr>
          <w:rFonts w:hint="eastAsia" w:ascii="宋体" w:hAnsi="宋体"/>
          <w:b/>
          <w:color w:val="auto"/>
          <w:spacing w:val="0"/>
          <w:position w:val="0"/>
          <w:sz w:val="32"/>
          <w:szCs w:val="32"/>
          <w:highlight w:val="none"/>
        </w:rPr>
      </w:pPr>
    </w:p>
    <w:p w14:paraId="286EE761">
      <w:pPr>
        <w:spacing w:line="320" w:lineRule="exact"/>
        <w:jc w:val="center"/>
        <w:rPr>
          <w:rFonts w:hint="eastAsia" w:ascii="宋体" w:hAnsi="宋体"/>
          <w:b/>
          <w:color w:val="auto"/>
          <w:spacing w:val="0"/>
          <w:position w:val="0"/>
          <w:sz w:val="32"/>
          <w:szCs w:val="32"/>
          <w:highlight w:val="none"/>
        </w:rPr>
      </w:pPr>
    </w:p>
    <w:p w14:paraId="13B026CA">
      <w:pPr>
        <w:spacing w:line="320" w:lineRule="exact"/>
        <w:jc w:val="center"/>
        <w:rPr>
          <w:rFonts w:hint="eastAsia" w:ascii="宋体" w:hAnsi="宋体"/>
          <w:b/>
          <w:color w:val="auto"/>
          <w:spacing w:val="0"/>
          <w:position w:val="0"/>
          <w:sz w:val="32"/>
          <w:szCs w:val="32"/>
          <w:highlight w:val="none"/>
        </w:rPr>
      </w:pPr>
    </w:p>
    <w:p w14:paraId="7D044C8E">
      <w:pPr>
        <w:spacing w:line="320" w:lineRule="exact"/>
        <w:jc w:val="center"/>
        <w:rPr>
          <w:rFonts w:hint="eastAsia" w:ascii="宋体" w:hAnsi="宋体"/>
          <w:b/>
          <w:color w:val="auto"/>
          <w:spacing w:val="0"/>
          <w:position w:val="0"/>
          <w:sz w:val="32"/>
          <w:szCs w:val="32"/>
          <w:highlight w:val="none"/>
        </w:rPr>
      </w:pPr>
    </w:p>
    <w:p w14:paraId="2C428839">
      <w:pPr>
        <w:spacing w:line="320" w:lineRule="exact"/>
        <w:jc w:val="center"/>
        <w:rPr>
          <w:rFonts w:hint="eastAsia" w:ascii="宋体" w:hAnsi="宋体"/>
          <w:b/>
          <w:color w:val="auto"/>
          <w:spacing w:val="0"/>
          <w:position w:val="0"/>
          <w:sz w:val="32"/>
          <w:szCs w:val="32"/>
          <w:highlight w:val="none"/>
        </w:rPr>
      </w:pPr>
    </w:p>
    <w:p w14:paraId="6A00BCF2">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10590302">
      <w:pPr>
        <w:spacing w:line="360" w:lineRule="auto"/>
        <w:contextualSpacing/>
        <w:jc w:val="center"/>
        <w:rPr>
          <w:rFonts w:hint="eastAsia" w:ascii="宋体" w:hAnsi="宋体"/>
          <w:b/>
          <w:color w:val="auto"/>
          <w:spacing w:val="0"/>
          <w:position w:val="0"/>
          <w:sz w:val="32"/>
          <w:szCs w:val="32"/>
          <w:highlight w:val="none"/>
        </w:rPr>
      </w:pPr>
    </w:p>
    <w:p w14:paraId="05F22836">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5E03E481">
      <w:pPr>
        <w:spacing w:line="360" w:lineRule="auto"/>
        <w:contextualSpacing/>
        <w:jc w:val="center"/>
        <w:rPr>
          <w:rFonts w:hint="eastAsia" w:ascii="宋体" w:hAnsi="宋体"/>
          <w:b/>
          <w:color w:val="auto"/>
          <w:spacing w:val="0"/>
          <w:position w:val="0"/>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E2C001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79C05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91DF3">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2485D0">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2021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863654">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41C2483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65B7AD">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F5D9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B4C23C">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1CA37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F1B68F">
            <w:pPr>
              <w:widowControl/>
              <w:spacing w:line="360" w:lineRule="auto"/>
              <w:contextualSpacing/>
              <w:jc w:val="center"/>
              <w:rPr>
                <w:rFonts w:hint="eastAsia" w:ascii="宋体" w:hAnsi="宋体" w:cs="宋体"/>
                <w:color w:val="auto"/>
                <w:spacing w:val="0"/>
                <w:kern w:val="0"/>
                <w:position w:val="0"/>
                <w:sz w:val="24"/>
                <w:highlight w:val="none"/>
              </w:rPr>
            </w:pPr>
          </w:p>
        </w:tc>
      </w:tr>
      <w:tr w14:paraId="76D80B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84F90">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DAB22F">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0ACC85">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B6D3F4">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91976D">
            <w:pPr>
              <w:widowControl/>
              <w:spacing w:line="360" w:lineRule="auto"/>
              <w:contextualSpacing/>
              <w:jc w:val="center"/>
              <w:rPr>
                <w:rFonts w:hint="eastAsia" w:ascii="宋体" w:hAnsi="宋体" w:cs="宋体"/>
                <w:color w:val="auto"/>
                <w:spacing w:val="0"/>
                <w:kern w:val="0"/>
                <w:position w:val="0"/>
                <w:sz w:val="24"/>
                <w:highlight w:val="none"/>
              </w:rPr>
            </w:pPr>
          </w:p>
        </w:tc>
      </w:tr>
      <w:tr w14:paraId="2E0A963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78A014">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131E7F">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C1580C">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13132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796E06">
            <w:pPr>
              <w:widowControl/>
              <w:spacing w:line="360" w:lineRule="auto"/>
              <w:contextualSpacing/>
              <w:jc w:val="center"/>
              <w:rPr>
                <w:rFonts w:hint="eastAsia" w:ascii="宋体" w:hAnsi="宋体" w:cs="宋体"/>
                <w:color w:val="auto"/>
                <w:spacing w:val="0"/>
                <w:kern w:val="0"/>
                <w:position w:val="0"/>
                <w:sz w:val="24"/>
                <w:highlight w:val="none"/>
              </w:rPr>
            </w:pPr>
          </w:p>
        </w:tc>
      </w:tr>
      <w:tr w14:paraId="5FB8C9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501F5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97165">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A4F7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ACBC88">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CEA1AE">
            <w:pPr>
              <w:widowControl/>
              <w:spacing w:line="360" w:lineRule="auto"/>
              <w:contextualSpacing/>
              <w:jc w:val="center"/>
              <w:rPr>
                <w:rFonts w:hint="eastAsia" w:ascii="宋体" w:hAnsi="宋体" w:cs="宋体"/>
                <w:color w:val="auto"/>
                <w:spacing w:val="0"/>
                <w:kern w:val="0"/>
                <w:position w:val="0"/>
                <w:sz w:val="24"/>
                <w:highlight w:val="none"/>
              </w:rPr>
            </w:pPr>
          </w:p>
        </w:tc>
      </w:tr>
    </w:tbl>
    <w:p w14:paraId="6819669F">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435730AC">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F3F9AE6">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5658728E">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3DCC1289">
      <w:pPr>
        <w:spacing w:line="360" w:lineRule="auto"/>
        <w:ind w:firstLine="420" w:firstLineChars="200"/>
        <w:contextualSpacing/>
        <w:jc w:val="left"/>
        <w:rPr>
          <w:rFonts w:ascii="宋体" w:hAnsi="宋体" w:cs="宋体"/>
          <w:color w:val="auto"/>
          <w:spacing w:val="0"/>
          <w:position w:val="0"/>
          <w:szCs w:val="21"/>
          <w:highlight w:val="none"/>
        </w:rPr>
      </w:pPr>
    </w:p>
    <w:p w14:paraId="7C4FF883">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313FEBFB">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7C9A02BA">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1EA9CFF5">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75BD3338">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1CF084D5">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3E2F8522">
      <w:pPr>
        <w:snapToGrid w:val="0"/>
        <w:spacing w:line="360" w:lineRule="auto"/>
        <w:jc w:val="center"/>
        <w:rPr>
          <w:rFonts w:hint="eastAsia" w:ascii="宋体" w:hAnsi="宋体"/>
          <w:b/>
          <w:color w:val="auto"/>
          <w:spacing w:val="0"/>
          <w:position w:val="0"/>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5C119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97A72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3F58B">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FBFD55">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BE0A9D">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35D83B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4E30D">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E846D2">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B71C93">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8F2820">
            <w:pPr>
              <w:widowControl/>
              <w:spacing w:line="360" w:lineRule="auto"/>
              <w:contextualSpacing/>
              <w:jc w:val="center"/>
              <w:rPr>
                <w:rFonts w:ascii="宋体" w:hAnsi="宋体" w:cs="宋体"/>
                <w:color w:val="auto"/>
                <w:spacing w:val="0"/>
                <w:kern w:val="0"/>
                <w:position w:val="0"/>
                <w:sz w:val="24"/>
                <w:highlight w:val="none"/>
              </w:rPr>
            </w:pPr>
          </w:p>
        </w:tc>
      </w:tr>
      <w:tr w14:paraId="6821F8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C71B44">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E49C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A07FCD">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B356F7">
            <w:pPr>
              <w:widowControl/>
              <w:spacing w:line="360" w:lineRule="auto"/>
              <w:contextualSpacing/>
              <w:jc w:val="center"/>
              <w:rPr>
                <w:rFonts w:ascii="宋体" w:hAnsi="宋体" w:cs="宋体"/>
                <w:color w:val="auto"/>
                <w:spacing w:val="0"/>
                <w:kern w:val="0"/>
                <w:position w:val="0"/>
                <w:sz w:val="24"/>
                <w:highlight w:val="none"/>
              </w:rPr>
            </w:pPr>
          </w:p>
        </w:tc>
      </w:tr>
      <w:tr w14:paraId="0222EC4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164051">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AAEDB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BFBD1D">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5A53AB">
            <w:pPr>
              <w:widowControl/>
              <w:spacing w:line="360" w:lineRule="auto"/>
              <w:contextualSpacing/>
              <w:jc w:val="center"/>
              <w:rPr>
                <w:rFonts w:ascii="宋体" w:hAnsi="宋体" w:cs="宋体"/>
                <w:color w:val="auto"/>
                <w:spacing w:val="0"/>
                <w:kern w:val="0"/>
                <w:position w:val="0"/>
                <w:sz w:val="24"/>
                <w:highlight w:val="none"/>
              </w:rPr>
            </w:pPr>
          </w:p>
        </w:tc>
      </w:tr>
      <w:tr w14:paraId="505C525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AD3369">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5306B8">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A976CF">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D3A7A">
            <w:pPr>
              <w:widowControl/>
              <w:spacing w:line="360" w:lineRule="auto"/>
              <w:contextualSpacing/>
              <w:jc w:val="center"/>
              <w:rPr>
                <w:rFonts w:ascii="宋体" w:hAnsi="宋体" w:cs="宋体"/>
                <w:color w:val="auto"/>
                <w:spacing w:val="0"/>
                <w:kern w:val="0"/>
                <w:position w:val="0"/>
                <w:sz w:val="24"/>
                <w:highlight w:val="none"/>
              </w:rPr>
            </w:pPr>
          </w:p>
        </w:tc>
      </w:tr>
    </w:tbl>
    <w:p w14:paraId="14088ADC">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6AB98A95">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68ACF295">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991BA29">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7285337D">
      <w:pPr>
        <w:spacing w:line="360" w:lineRule="auto"/>
        <w:contextualSpacing/>
        <w:jc w:val="left"/>
        <w:rPr>
          <w:rFonts w:hint="eastAsia" w:ascii="宋体" w:hAnsi="宋体"/>
          <w:color w:val="auto"/>
          <w:spacing w:val="0"/>
          <w:position w:val="0"/>
          <w:sz w:val="28"/>
          <w:szCs w:val="28"/>
          <w:highlight w:val="none"/>
        </w:rPr>
      </w:pPr>
    </w:p>
    <w:p w14:paraId="346AABE0">
      <w:pPr>
        <w:spacing w:line="360" w:lineRule="auto"/>
        <w:contextualSpacing/>
        <w:jc w:val="left"/>
        <w:rPr>
          <w:rFonts w:hint="eastAsia" w:ascii="宋体" w:hAnsi="宋体"/>
          <w:color w:val="auto"/>
          <w:spacing w:val="0"/>
          <w:position w:val="0"/>
          <w:sz w:val="28"/>
          <w:szCs w:val="28"/>
          <w:highlight w:val="none"/>
        </w:rPr>
      </w:pPr>
    </w:p>
    <w:p w14:paraId="6C5F6C76">
      <w:pPr>
        <w:spacing w:line="360" w:lineRule="auto"/>
        <w:contextualSpacing/>
        <w:jc w:val="left"/>
        <w:rPr>
          <w:rFonts w:hint="eastAsia"/>
          <w:color w:val="auto"/>
          <w:spacing w:val="0"/>
          <w:position w:val="0"/>
          <w:sz w:val="28"/>
          <w:szCs w:val="28"/>
          <w:highlight w:val="none"/>
        </w:rPr>
      </w:pPr>
    </w:p>
    <w:p w14:paraId="4FB4E173">
      <w:pPr>
        <w:spacing w:line="360" w:lineRule="auto"/>
        <w:contextualSpacing/>
        <w:jc w:val="left"/>
        <w:rPr>
          <w:rFonts w:hint="eastAsia" w:ascii="宋体" w:hAnsi="宋体"/>
          <w:color w:val="auto"/>
          <w:spacing w:val="0"/>
          <w:position w:val="0"/>
          <w:sz w:val="28"/>
          <w:szCs w:val="28"/>
          <w:highlight w:val="none"/>
        </w:rPr>
      </w:pPr>
    </w:p>
    <w:p w14:paraId="77E32B4E">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6CA8E4FB">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91A2B2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4378C55B">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0AA53D23">
      <w:pPr>
        <w:pStyle w:val="13"/>
        <w:tabs>
          <w:tab w:val="left" w:pos="939"/>
        </w:tabs>
        <w:spacing w:line="360" w:lineRule="auto"/>
        <w:rPr>
          <w:rFonts w:ascii="宋体" w:hAnsi="宋体"/>
          <w:color w:val="auto"/>
          <w:spacing w:val="0"/>
          <w:position w:val="0"/>
          <w:sz w:val="28"/>
          <w:szCs w:val="28"/>
          <w:highlight w:val="none"/>
        </w:rPr>
      </w:pPr>
    </w:p>
    <w:p w14:paraId="5DE9A79C">
      <w:pPr>
        <w:pStyle w:val="13"/>
        <w:tabs>
          <w:tab w:val="left" w:pos="939"/>
        </w:tabs>
        <w:spacing w:line="360" w:lineRule="auto"/>
        <w:rPr>
          <w:rFonts w:ascii="宋体" w:hAnsi="宋体"/>
          <w:color w:val="auto"/>
          <w:spacing w:val="0"/>
          <w:position w:val="0"/>
          <w:sz w:val="28"/>
          <w:szCs w:val="28"/>
          <w:highlight w:val="none"/>
        </w:rPr>
      </w:pPr>
    </w:p>
    <w:p w14:paraId="0E2F6474">
      <w:pPr>
        <w:pStyle w:val="13"/>
        <w:tabs>
          <w:tab w:val="left" w:pos="939"/>
        </w:tabs>
        <w:spacing w:line="360" w:lineRule="auto"/>
        <w:rPr>
          <w:rFonts w:ascii="宋体" w:hAnsi="宋体"/>
          <w:color w:val="auto"/>
          <w:spacing w:val="0"/>
          <w:position w:val="0"/>
          <w:sz w:val="28"/>
          <w:szCs w:val="28"/>
          <w:highlight w:val="none"/>
        </w:rPr>
      </w:pPr>
    </w:p>
    <w:p w14:paraId="5B7FFF70">
      <w:pPr>
        <w:pStyle w:val="13"/>
        <w:tabs>
          <w:tab w:val="left" w:pos="939"/>
        </w:tabs>
        <w:spacing w:line="360" w:lineRule="auto"/>
        <w:rPr>
          <w:rFonts w:ascii="宋体" w:hAnsi="宋体"/>
          <w:color w:val="auto"/>
          <w:spacing w:val="0"/>
          <w:position w:val="0"/>
          <w:sz w:val="28"/>
          <w:szCs w:val="28"/>
          <w:highlight w:val="none"/>
        </w:rPr>
      </w:pPr>
    </w:p>
    <w:p w14:paraId="78540476">
      <w:pPr>
        <w:pStyle w:val="13"/>
        <w:tabs>
          <w:tab w:val="left" w:pos="939"/>
        </w:tabs>
        <w:spacing w:line="360" w:lineRule="auto"/>
        <w:rPr>
          <w:rFonts w:ascii="宋体" w:hAnsi="宋体"/>
          <w:color w:val="auto"/>
          <w:spacing w:val="0"/>
          <w:position w:val="0"/>
          <w:sz w:val="28"/>
          <w:szCs w:val="28"/>
          <w:highlight w:val="none"/>
        </w:rPr>
      </w:pPr>
    </w:p>
    <w:p w14:paraId="12CD14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3" w:name="_Toc71365926"/>
      <w:r>
        <w:rPr>
          <w:rFonts w:hint="eastAsia" w:ascii="宋体" w:hAnsi="宋体" w:eastAsia="宋体" w:cs="Times New Roman"/>
          <w:b/>
          <w:color w:val="auto"/>
          <w:spacing w:val="0"/>
          <w:position w:val="0"/>
          <w:sz w:val="32"/>
          <w:szCs w:val="32"/>
          <w:highlight w:val="none"/>
        </w:rPr>
        <w:t>中小企业声明函（工程）</w:t>
      </w:r>
      <w:bookmarkEnd w:id="73"/>
    </w:p>
    <w:p w14:paraId="4290C7CC">
      <w:pPr>
        <w:pStyle w:val="10"/>
        <w:spacing w:line="500" w:lineRule="exact"/>
        <w:ind w:right="142" w:firstLine="705" w:firstLineChars="294"/>
        <w:rPr>
          <w:rFonts w:ascii="宋体" w:hAnsi="宋体"/>
          <w:color w:val="auto"/>
          <w:spacing w:val="0"/>
          <w:position w:val="0"/>
          <w:sz w:val="24"/>
          <w:highlight w:val="none"/>
        </w:rPr>
      </w:pPr>
    </w:p>
    <w:p w14:paraId="044DBC54">
      <w:pPr>
        <w:pStyle w:val="10"/>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545FB936">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1C9042B1">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6ED2723">
      <w:pPr>
        <w:pStyle w:val="10"/>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5A97E5D7">
      <w:pPr>
        <w:pStyle w:val="10"/>
        <w:spacing w:before="34"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以上企业，不属于大企业的分支机构，不存在控股股东为大企业的情形，也不存在与大企业的负责人为同一人的情形。</w:t>
      </w:r>
    </w:p>
    <w:p w14:paraId="2F3D62E6">
      <w:pPr>
        <w:pStyle w:val="10"/>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1B59308F">
      <w:pPr>
        <w:pStyle w:val="10"/>
        <w:spacing w:before="56" w:line="500" w:lineRule="exact"/>
        <w:ind w:right="1808" w:firstLine="705" w:firstLineChars="294"/>
        <w:rPr>
          <w:rFonts w:hint="eastAsia" w:ascii="宋体" w:hAnsi="宋体"/>
          <w:color w:val="auto"/>
          <w:spacing w:val="0"/>
          <w:position w:val="0"/>
          <w:sz w:val="24"/>
          <w:highlight w:val="none"/>
        </w:rPr>
      </w:pPr>
    </w:p>
    <w:p w14:paraId="5A29976E">
      <w:pPr>
        <w:pStyle w:val="10"/>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 xml:space="preserve">企业名称（章）： </w:t>
      </w:r>
    </w:p>
    <w:p w14:paraId="23493481">
      <w:pPr>
        <w:pStyle w:val="10"/>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19C82F32">
      <w:pPr>
        <w:pStyle w:val="10"/>
        <w:spacing w:before="56" w:line="500" w:lineRule="exact"/>
        <w:ind w:right="1808" w:firstLine="5625" w:firstLineChars="2344"/>
        <w:rPr>
          <w:rFonts w:ascii="宋体" w:hAnsi="宋体"/>
          <w:color w:val="auto"/>
          <w:spacing w:val="0"/>
          <w:position w:val="0"/>
          <w:sz w:val="24"/>
          <w:highlight w:val="none"/>
        </w:rPr>
      </w:pPr>
    </w:p>
    <w:p w14:paraId="3BB177F5">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08F8B4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5D6C41A1">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A6B43B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53D7B41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7AD25BEB">
      <w:pPr>
        <w:spacing w:line="360" w:lineRule="auto"/>
        <w:contextualSpacing/>
        <w:rPr>
          <w:rFonts w:hint="eastAsia" w:ascii="宋体" w:hAnsi="宋体" w:cs="仿宋_GB2312"/>
          <w:color w:val="auto"/>
          <w:spacing w:val="0"/>
          <w:position w:val="0"/>
          <w:sz w:val="24"/>
          <w:highlight w:val="none"/>
        </w:rPr>
      </w:pPr>
    </w:p>
    <w:p w14:paraId="2EF29F1F">
      <w:pPr>
        <w:spacing w:line="360" w:lineRule="auto"/>
        <w:contextualSpacing/>
        <w:rPr>
          <w:rFonts w:hint="eastAsia" w:ascii="宋体" w:hAnsi="宋体" w:cs="仿宋_GB2312"/>
          <w:color w:val="auto"/>
          <w:spacing w:val="0"/>
          <w:position w:val="0"/>
          <w:sz w:val="24"/>
          <w:highlight w:val="none"/>
        </w:rPr>
      </w:pPr>
    </w:p>
    <w:p w14:paraId="4BE42B7E">
      <w:pPr>
        <w:spacing w:line="360" w:lineRule="auto"/>
        <w:contextualSpacing/>
        <w:rPr>
          <w:rFonts w:hint="eastAsia" w:ascii="宋体" w:hAnsi="宋体" w:cs="仿宋_GB2312"/>
          <w:color w:val="auto"/>
          <w:spacing w:val="0"/>
          <w:position w:val="0"/>
          <w:sz w:val="24"/>
          <w:highlight w:val="none"/>
        </w:rPr>
      </w:pPr>
    </w:p>
    <w:p w14:paraId="3927A0C0">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单位名称（盖章）：</w:t>
      </w:r>
    </w:p>
    <w:p w14:paraId="3E087520">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5A8F4649">
      <w:pPr>
        <w:spacing w:line="360" w:lineRule="auto"/>
        <w:contextualSpacing/>
        <w:rPr>
          <w:rFonts w:hint="eastAsia" w:ascii="宋体" w:hAnsi="宋体" w:cs="仿宋_GB2312"/>
          <w:color w:val="auto"/>
          <w:spacing w:val="0"/>
          <w:position w:val="0"/>
          <w:sz w:val="24"/>
          <w:highlight w:val="none"/>
        </w:rPr>
      </w:pPr>
    </w:p>
    <w:p w14:paraId="53E3030E">
      <w:pPr>
        <w:spacing w:line="360" w:lineRule="auto"/>
        <w:contextualSpacing/>
        <w:rPr>
          <w:rFonts w:hint="eastAsia" w:ascii="宋体" w:hAnsi="宋体" w:cs="仿宋_GB2312"/>
          <w:color w:val="auto"/>
          <w:spacing w:val="0"/>
          <w:position w:val="0"/>
          <w:sz w:val="24"/>
          <w:highlight w:val="none"/>
        </w:rPr>
      </w:pPr>
    </w:p>
    <w:p w14:paraId="49FEAF6A">
      <w:pPr>
        <w:spacing w:line="360" w:lineRule="auto"/>
        <w:contextualSpacing/>
        <w:rPr>
          <w:rFonts w:hint="eastAsia" w:ascii="宋体" w:hAnsi="宋体" w:cs="仿宋_GB2312"/>
          <w:color w:val="auto"/>
          <w:spacing w:val="0"/>
          <w:position w:val="0"/>
          <w:sz w:val="24"/>
          <w:highlight w:val="none"/>
        </w:rPr>
      </w:pPr>
    </w:p>
    <w:p w14:paraId="04308470">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4021E9E4">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B3965C9">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499F8E31">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56D11F7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电 子 响 应 文 件</w:t>
      </w:r>
    </w:p>
    <w:p w14:paraId="0384E536">
      <w:pPr>
        <w:snapToGrid w:val="0"/>
        <w:spacing w:before="156" w:beforeLines="50" w:after="50"/>
        <w:rPr>
          <w:rFonts w:hint="eastAsia" w:ascii="宋体" w:hAnsi="宋体"/>
          <w:color w:val="auto"/>
          <w:spacing w:val="0"/>
          <w:position w:val="0"/>
          <w:sz w:val="24"/>
          <w:szCs w:val="20"/>
          <w:highlight w:val="none"/>
        </w:rPr>
      </w:pPr>
    </w:p>
    <w:p w14:paraId="4CDE1EB2">
      <w:pPr>
        <w:snapToGrid w:val="0"/>
        <w:spacing w:before="156" w:beforeLines="50" w:after="50"/>
        <w:rPr>
          <w:rFonts w:hint="eastAsia" w:ascii="宋体" w:hAnsi="宋体"/>
          <w:color w:val="auto"/>
          <w:spacing w:val="0"/>
          <w:position w:val="0"/>
          <w:sz w:val="24"/>
          <w:szCs w:val="20"/>
          <w:highlight w:val="none"/>
        </w:rPr>
      </w:pPr>
    </w:p>
    <w:p w14:paraId="1A5E266A">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64156849">
      <w:pPr>
        <w:snapToGrid w:val="0"/>
        <w:spacing w:before="156" w:beforeLines="50" w:after="50"/>
        <w:rPr>
          <w:rFonts w:hint="eastAsia" w:ascii="宋体" w:hAnsi="宋体"/>
          <w:bCs/>
          <w:color w:val="auto"/>
          <w:spacing w:val="0"/>
          <w:position w:val="0"/>
          <w:sz w:val="24"/>
          <w:szCs w:val="20"/>
          <w:highlight w:val="none"/>
        </w:rPr>
      </w:pPr>
    </w:p>
    <w:p w14:paraId="34684B69">
      <w:pPr>
        <w:snapToGrid w:val="0"/>
        <w:spacing w:before="156" w:beforeLines="50" w:after="50"/>
        <w:rPr>
          <w:rFonts w:hint="eastAsia" w:ascii="宋体" w:hAnsi="宋体"/>
          <w:bCs/>
          <w:color w:val="auto"/>
          <w:spacing w:val="0"/>
          <w:position w:val="0"/>
          <w:sz w:val="24"/>
          <w:szCs w:val="20"/>
          <w:highlight w:val="none"/>
        </w:rPr>
      </w:pPr>
    </w:p>
    <w:p w14:paraId="13A973BD">
      <w:pPr>
        <w:snapToGrid w:val="0"/>
        <w:spacing w:before="156" w:beforeLines="50" w:after="50"/>
        <w:rPr>
          <w:rFonts w:hint="eastAsia" w:ascii="宋体" w:hAnsi="宋体"/>
          <w:bCs/>
          <w:color w:val="auto"/>
          <w:spacing w:val="0"/>
          <w:position w:val="0"/>
          <w:sz w:val="24"/>
          <w:szCs w:val="20"/>
          <w:highlight w:val="none"/>
        </w:rPr>
      </w:pPr>
    </w:p>
    <w:p w14:paraId="56651AB6">
      <w:pPr>
        <w:snapToGrid w:val="0"/>
        <w:spacing w:before="156" w:beforeLines="50" w:after="50"/>
        <w:rPr>
          <w:rFonts w:hint="eastAsia" w:ascii="宋体" w:hAnsi="宋体"/>
          <w:bCs/>
          <w:color w:val="auto"/>
          <w:spacing w:val="0"/>
          <w:position w:val="0"/>
          <w:sz w:val="24"/>
          <w:szCs w:val="20"/>
          <w:highlight w:val="none"/>
        </w:rPr>
      </w:pPr>
    </w:p>
    <w:p w14:paraId="22790D0A">
      <w:pPr>
        <w:snapToGrid w:val="0"/>
        <w:spacing w:before="156" w:beforeLines="50" w:after="50"/>
        <w:rPr>
          <w:rFonts w:hint="eastAsia" w:ascii="宋体" w:hAnsi="宋体"/>
          <w:bCs/>
          <w:color w:val="auto"/>
          <w:spacing w:val="0"/>
          <w:position w:val="0"/>
          <w:sz w:val="24"/>
          <w:szCs w:val="20"/>
          <w:highlight w:val="none"/>
        </w:rPr>
      </w:pPr>
    </w:p>
    <w:p w14:paraId="39C324F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CFFADE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C5A1E8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0DBC17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0FA61179">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3A30C4E">
      <w:pPr>
        <w:pStyle w:val="8"/>
        <w:snapToGrid w:val="0"/>
        <w:spacing w:before="50" w:after="50"/>
        <w:rPr>
          <w:rFonts w:hint="eastAsia" w:ascii="宋体" w:hAnsi="宋体" w:cs="仿宋_GB2312"/>
          <w:bCs/>
          <w:color w:val="auto"/>
          <w:spacing w:val="0"/>
          <w:position w:val="0"/>
          <w:sz w:val="32"/>
          <w:szCs w:val="32"/>
          <w:highlight w:val="none"/>
        </w:rPr>
      </w:pPr>
    </w:p>
    <w:p w14:paraId="5B1D6D0F">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6762B923">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7B913EF9">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6FB4B823">
      <w:pPr>
        <w:pStyle w:val="8"/>
        <w:snapToGrid w:val="0"/>
        <w:spacing w:before="50" w:after="50"/>
        <w:ind w:firstLine="0"/>
        <w:rPr>
          <w:rFonts w:hint="eastAsia" w:ascii="宋体" w:hAnsi="宋体" w:cs="仿宋_GB2312"/>
          <w:bCs/>
          <w:color w:val="auto"/>
          <w:spacing w:val="0"/>
          <w:position w:val="0"/>
          <w:sz w:val="32"/>
          <w:szCs w:val="32"/>
          <w:highlight w:val="none"/>
        </w:rPr>
      </w:pPr>
    </w:p>
    <w:p w14:paraId="67493089">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6845710C">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07A240A4">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0B240073">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276DD14C">
      <w:pPr>
        <w:pStyle w:val="50"/>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71ABC92B">
      <w:pPr>
        <w:spacing w:line="360" w:lineRule="auto"/>
        <w:contextualSpacing/>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rPr>
        <w:t>致：</w:t>
      </w:r>
      <w:r>
        <w:rPr>
          <w:rFonts w:hint="eastAsia" w:ascii="宋体" w:hAnsi="宋体" w:cs="宋体"/>
          <w:color w:val="auto"/>
          <w:spacing w:val="0"/>
          <w:position w:val="0"/>
          <w:sz w:val="24"/>
          <w:szCs w:val="24"/>
          <w:highlight w:val="none"/>
          <w:u w:val="single"/>
        </w:rPr>
        <w:t>（采购人名称）</w:t>
      </w:r>
    </w:p>
    <w:p w14:paraId="6B7B7CCA">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(项目编号)    </w:t>
      </w:r>
      <w:r>
        <w:rPr>
          <w:rFonts w:hint="eastAsia" w:asciiTheme="majorEastAsia" w:hAnsiTheme="majorEastAsia" w:eastAsiaTheme="majorEastAsia" w:cstheme="majorEastAsia"/>
          <w:b w:val="0"/>
          <w:bCs w:val="0"/>
          <w:color w:val="auto"/>
          <w:spacing w:val="0"/>
          <w:position w:val="0"/>
          <w:sz w:val="24"/>
          <w:szCs w:val="24"/>
          <w:highlight w:val="none"/>
        </w:rPr>
        <w:t>的</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(项目名称)    </w:t>
      </w:r>
      <w:r>
        <w:rPr>
          <w:rFonts w:hint="eastAsia" w:asciiTheme="majorEastAsia" w:hAnsiTheme="majorEastAsia" w:eastAsiaTheme="majorEastAsia" w:cstheme="majorEastAsia"/>
          <w:b w:val="0"/>
          <w:bCs w:val="0"/>
          <w:color w:val="auto"/>
          <w:spacing w:val="0"/>
          <w:position w:val="0"/>
          <w:sz w:val="24"/>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采购法实施条例》、《</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采购竞争性磋商采购方式管理暂行办法》等有关规定，经踏勘项目现场和研究上述竞争性磋商文件的磋商须知、合同 条款、图纸、工程建设标准和工程量清单及其他有关文件后，我方愿以人民币(大 写)</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default" w:ascii="Arial" w:hAnsi="Arial" w:cs="Arial" w:eastAsiaTheme="majorEastAsia"/>
          <w:b w:val="0"/>
          <w:bCs w:val="0"/>
          <w:color w:val="auto"/>
          <w:spacing w:val="0"/>
          <w:position w:val="0"/>
          <w:sz w:val="24"/>
          <w:szCs w:val="24"/>
          <w:highlight w:val="none"/>
          <w:u w:val="single"/>
        </w:rPr>
        <w:t>¥</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4"/>
          <w:szCs w:val="24"/>
          <w:highlight w:val="none"/>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等级。</w:t>
      </w:r>
    </w:p>
    <w:p w14:paraId="58EE700F">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2、我方已详细审核全部竞争性磋商文件，包括修改文件 (如有时) 及有关附件。</w:t>
      </w:r>
    </w:p>
    <w:p w14:paraId="6BF84FF1">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3、我方承认磋商函附录是我方磋商函的组成部分。</w:t>
      </w:r>
    </w:p>
    <w:p w14:paraId="7F4A3D65">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4、我方承诺已经具备《</w:t>
      </w:r>
      <w:r>
        <w:rPr>
          <w:rFonts w:hint="eastAsia" w:asciiTheme="majorEastAsia" w:hAnsiTheme="majorEastAsia" w:eastAsiaTheme="majorEastAsia" w:cstheme="majorEastAsia"/>
          <w:b w:val="0"/>
          <w:bCs w:val="0"/>
          <w:color w:val="auto"/>
          <w:spacing w:val="0"/>
          <w:position w:val="0"/>
          <w:sz w:val="24"/>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4"/>
          <w:szCs w:val="24"/>
          <w:highlight w:val="none"/>
        </w:rPr>
        <w:t>》中规定的参加招标投标采购活动的供应商应当具备的条件：</w:t>
      </w:r>
    </w:p>
    <w:p w14:paraId="5917D7AA">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(1) 具有独立承担民事责任的能力；</w:t>
      </w:r>
    </w:p>
    <w:p w14:paraId="147A6EA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(2) 具有良好的商业信誉和健全的财务会计制度；</w:t>
      </w:r>
    </w:p>
    <w:p w14:paraId="3DD05C2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(3) 具有履行合同所必需的设备和专业技术能力；</w:t>
      </w:r>
    </w:p>
    <w:p w14:paraId="7087336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(4) 有依法缴纳税收和社会保障资金的良好记录；</w:t>
      </w:r>
    </w:p>
    <w:p w14:paraId="35BF46D3">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(5) 参加招标投标采购活动前三年内，在经营活动中没有重大违法记录；</w:t>
      </w:r>
    </w:p>
    <w:p w14:paraId="510FF58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(6) 法律、行政法规规定的其他条件。</w:t>
      </w:r>
    </w:p>
    <w:p w14:paraId="379A80C3">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none"/>
        </w:rPr>
        <w:t>日</w:t>
      </w:r>
      <w:r>
        <w:rPr>
          <w:rFonts w:hint="eastAsia" w:asciiTheme="majorEastAsia" w:hAnsiTheme="majorEastAsia" w:eastAsiaTheme="majorEastAsia" w:cstheme="majorEastAsia"/>
          <w:b w:val="0"/>
          <w:bCs w:val="0"/>
          <w:color w:val="auto"/>
          <w:spacing w:val="0"/>
          <w:position w:val="0"/>
          <w:sz w:val="24"/>
          <w:szCs w:val="24"/>
          <w:highlight w:val="none"/>
        </w:rPr>
        <w:t>历天内完成并移交全部工程。</w:t>
      </w:r>
    </w:p>
    <w:p w14:paraId="058C004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6、如果我方成交，我方将按照文件规定提交履约保证金作为履约担保。</w:t>
      </w:r>
    </w:p>
    <w:p w14:paraId="7C720A9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7、我方同意所提交的响应文件在竞争性磋商文件的“磋商须知”中第 11 条规定的响应文件有效期内有效，在此期间内如果成交，我方将受此约束。</w:t>
      </w:r>
    </w:p>
    <w:p w14:paraId="6E818514">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8、除非另外达成协议并生效，你方的成交通知书和本响应文件将成为约束双方的合同文件的组成部分。</w:t>
      </w:r>
    </w:p>
    <w:p w14:paraId="3874871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p>
    <w:p w14:paraId="0B4DCC0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供 应 商（电子签章）：</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p>
    <w:p w14:paraId="193B64C4">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4"/>
          <w:szCs w:val="24"/>
          <w:highlight w:val="none"/>
        </w:rPr>
        <w:t xml:space="preserve">：    </w:t>
      </w:r>
    </w:p>
    <w:p w14:paraId="61C12ADE">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单位地址：     </w:t>
      </w:r>
    </w:p>
    <w:p w14:paraId="18C5490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电话：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传真：</w:t>
      </w:r>
    </w:p>
    <w:p w14:paraId="36226F1B">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开户银行名称：</w:t>
      </w:r>
    </w:p>
    <w:p w14:paraId="7F3A594F">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开户银行账号：</w:t>
      </w:r>
    </w:p>
    <w:p w14:paraId="266B4D9C">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开户银行地址：</w:t>
      </w:r>
    </w:p>
    <w:p w14:paraId="3B741F3C">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日期：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年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月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日</w:t>
      </w:r>
    </w:p>
    <w:p w14:paraId="2CC73B70">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70058771">
      <w:pPr>
        <w:pStyle w:val="50"/>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0763F3C6">
      <w:pPr>
        <w:pStyle w:val="50"/>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63"/>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250C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AC37C60">
            <w:pPr>
              <w:spacing w:before="181" w:line="230" w:lineRule="auto"/>
              <w:ind w:left="29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3424" w:type="dxa"/>
            <w:vAlign w:val="top"/>
          </w:tcPr>
          <w:p w14:paraId="623657B3">
            <w:pPr>
              <w:spacing w:before="181" w:line="228" w:lineRule="auto"/>
              <w:ind w:left="1298"/>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条款内容</w:t>
            </w:r>
          </w:p>
        </w:tc>
        <w:tc>
          <w:tcPr>
            <w:tcW w:w="2818" w:type="dxa"/>
            <w:vAlign w:val="top"/>
          </w:tcPr>
          <w:p w14:paraId="7F092D63">
            <w:pPr>
              <w:spacing w:before="181" w:line="228" w:lineRule="auto"/>
              <w:ind w:left="10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约定内容</w:t>
            </w:r>
          </w:p>
        </w:tc>
        <w:tc>
          <w:tcPr>
            <w:tcW w:w="1696" w:type="dxa"/>
            <w:vAlign w:val="top"/>
          </w:tcPr>
          <w:p w14:paraId="6748BBE2">
            <w:pPr>
              <w:spacing w:before="181" w:line="230" w:lineRule="auto"/>
              <w:ind w:left="64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78AB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6CA73D7">
            <w:pPr>
              <w:spacing w:before="211" w:line="193" w:lineRule="auto"/>
              <w:ind w:left="46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3424" w:type="dxa"/>
            <w:vAlign w:val="top"/>
          </w:tcPr>
          <w:p w14:paraId="5B4BDA4D">
            <w:pPr>
              <w:spacing w:before="180" w:line="229" w:lineRule="auto"/>
              <w:ind w:left="1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项目经理</w:t>
            </w:r>
          </w:p>
        </w:tc>
        <w:tc>
          <w:tcPr>
            <w:tcW w:w="2818" w:type="dxa"/>
            <w:vAlign w:val="top"/>
          </w:tcPr>
          <w:p w14:paraId="124A101D">
            <w:pPr>
              <w:spacing w:before="180" w:line="228" w:lineRule="auto"/>
              <w:ind w:left="0" w:leftChars="0" w:firstLine="0" w:firstLineChars="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696" w:type="dxa"/>
            <w:vAlign w:val="top"/>
          </w:tcPr>
          <w:p w14:paraId="5307D124">
            <w:pPr>
              <w:rPr>
                <w:rFonts w:hint="eastAsia" w:ascii="宋体" w:hAnsi="宋体" w:eastAsia="宋体" w:cs="宋体"/>
                <w:color w:val="auto"/>
                <w:spacing w:val="0"/>
                <w:position w:val="0"/>
                <w:sz w:val="24"/>
                <w:szCs w:val="24"/>
                <w:highlight w:val="none"/>
              </w:rPr>
            </w:pPr>
          </w:p>
        </w:tc>
      </w:tr>
      <w:tr w14:paraId="692D1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61E2FB2">
            <w:pPr>
              <w:spacing w:before="211" w:line="192" w:lineRule="auto"/>
              <w:ind w:left="454"/>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3424" w:type="dxa"/>
            <w:vAlign w:val="top"/>
          </w:tcPr>
          <w:p w14:paraId="046FF58C">
            <w:pPr>
              <w:spacing w:before="179" w:line="228" w:lineRule="auto"/>
              <w:ind w:left="993"/>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响应文件有效期</w:t>
            </w:r>
          </w:p>
        </w:tc>
        <w:tc>
          <w:tcPr>
            <w:tcW w:w="2818" w:type="dxa"/>
            <w:vAlign w:val="top"/>
          </w:tcPr>
          <w:p w14:paraId="15E75EBE">
            <w:pPr>
              <w:rPr>
                <w:rFonts w:hint="eastAsia" w:ascii="宋体" w:hAnsi="宋体" w:eastAsia="宋体" w:cs="宋体"/>
                <w:color w:val="auto"/>
                <w:spacing w:val="0"/>
                <w:position w:val="0"/>
                <w:sz w:val="24"/>
                <w:szCs w:val="24"/>
                <w:highlight w:val="none"/>
              </w:rPr>
            </w:pPr>
          </w:p>
        </w:tc>
        <w:tc>
          <w:tcPr>
            <w:tcW w:w="1696" w:type="dxa"/>
            <w:vAlign w:val="top"/>
          </w:tcPr>
          <w:p w14:paraId="6E68A848">
            <w:pPr>
              <w:rPr>
                <w:rFonts w:hint="eastAsia" w:ascii="宋体" w:hAnsi="宋体" w:eastAsia="宋体" w:cs="宋体"/>
                <w:color w:val="auto"/>
                <w:spacing w:val="0"/>
                <w:position w:val="0"/>
                <w:sz w:val="24"/>
                <w:szCs w:val="24"/>
                <w:highlight w:val="none"/>
              </w:rPr>
            </w:pPr>
          </w:p>
        </w:tc>
      </w:tr>
      <w:tr w14:paraId="5D025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35ED80C5">
            <w:pPr>
              <w:spacing w:before="212" w:line="190" w:lineRule="auto"/>
              <w:ind w:left="45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3424" w:type="dxa"/>
            <w:vAlign w:val="top"/>
          </w:tcPr>
          <w:p w14:paraId="4B4B0818">
            <w:pPr>
              <w:spacing w:before="179" w:line="229" w:lineRule="auto"/>
              <w:ind w:left="151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工期</w:t>
            </w:r>
          </w:p>
        </w:tc>
        <w:tc>
          <w:tcPr>
            <w:tcW w:w="2818" w:type="dxa"/>
            <w:vAlign w:val="top"/>
          </w:tcPr>
          <w:p w14:paraId="5D289975">
            <w:pPr>
              <w:tabs>
                <w:tab w:val="left" w:pos="1506"/>
              </w:tabs>
              <w:spacing w:before="179" w:line="229" w:lineRule="auto"/>
              <w:ind w:left="83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color="auto"/>
              </w:rPr>
              <w:tab/>
            </w:r>
            <w:r>
              <w:rPr>
                <w:rFonts w:hint="eastAsia" w:ascii="宋体" w:hAnsi="宋体" w:eastAsia="宋体" w:cs="宋体"/>
                <w:color w:val="auto"/>
                <w:spacing w:val="0"/>
                <w:position w:val="0"/>
                <w:sz w:val="24"/>
                <w:szCs w:val="24"/>
                <w:highlight w:val="none"/>
              </w:rPr>
              <w:t>日历天</w:t>
            </w:r>
          </w:p>
        </w:tc>
        <w:tc>
          <w:tcPr>
            <w:tcW w:w="1696" w:type="dxa"/>
            <w:vAlign w:val="top"/>
          </w:tcPr>
          <w:p w14:paraId="0FBB02D0">
            <w:pPr>
              <w:rPr>
                <w:rFonts w:hint="eastAsia" w:ascii="宋体" w:hAnsi="宋体" w:eastAsia="宋体" w:cs="宋体"/>
                <w:color w:val="auto"/>
                <w:spacing w:val="0"/>
                <w:position w:val="0"/>
                <w:sz w:val="24"/>
                <w:szCs w:val="24"/>
                <w:highlight w:val="none"/>
              </w:rPr>
            </w:pPr>
          </w:p>
        </w:tc>
      </w:tr>
      <w:tr w14:paraId="1024B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4A4CAD2">
            <w:pPr>
              <w:spacing w:before="215" w:line="192" w:lineRule="auto"/>
              <w:ind w:left="45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3424" w:type="dxa"/>
            <w:vAlign w:val="top"/>
          </w:tcPr>
          <w:p w14:paraId="692F76BF">
            <w:pPr>
              <w:spacing w:before="182" w:line="229" w:lineRule="auto"/>
              <w:ind w:left="119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质量保证金</w:t>
            </w:r>
          </w:p>
        </w:tc>
        <w:tc>
          <w:tcPr>
            <w:tcW w:w="2818" w:type="dxa"/>
            <w:vAlign w:val="top"/>
          </w:tcPr>
          <w:p w14:paraId="076B3119">
            <w:pPr>
              <w:spacing w:before="182" w:line="227" w:lineRule="auto"/>
              <w:ind w:left="69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结算价的</w:t>
            </w:r>
            <w:r>
              <w:rPr>
                <w:rFonts w:hint="eastAsia" w:ascii="宋体" w:hAnsi="宋体" w:eastAsia="宋体" w:cs="宋体"/>
                <w:color w:val="auto"/>
                <w:spacing w:val="0"/>
                <w:position w:val="0"/>
                <w:sz w:val="24"/>
                <w:szCs w:val="24"/>
                <w:highlight w:val="none"/>
                <w:u w:val="single" w:color="auto"/>
              </w:rPr>
              <w:t xml:space="preserve">  </w:t>
            </w:r>
            <w:r>
              <w:rPr>
                <w:rFonts w:hint="eastAsia" w:ascii="宋体" w:hAnsi="宋体" w:cs="宋体"/>
                <w:color w:val="auto"/>
                <w:spacing w:val="0"/>
                <w:position w:val="0"/>
                <w:sz w:val="24"/>
                <w:szCs w:val="24"/>
                <w:highlight w:val="none"/>
                <w:u w:val="single" w:color="auto"/>
                <w:lang w:val="en-US" w:eastAsia="zh-CN"/>
              </w:rPr>
              <w:t xml:space="preserve">  </w:t>
            </w:r>
            <w:r>
              <w:rPr>
                <w:rFonts w:hint="eastAsia" w:ascii="宋体" w:hAnsi="宋体" w:eastAsia="宋体" w:cs="宋体"/>
                <w:color w:val="auto"/>
                <w:spacing w:val="0"/>
                <w:position w:val="0"/>
                <w:sz w:val="24"/>
                <w:szCs w:val="24"/>
                <w:highlight w:val="none"/>
                <w:u w:val="single" w:color="auto"/>
              </w:rPr>
              <w:t xml:space="preserve">   </w:t>
            </w:r>
            <w:r>
              <w:rPr>
                <w:rFonts w:hint="eastAsia" w:ascii="宋体" w:hAnsi="宋体" w:eastAsia="宋体" w:cs="宋体"/>
                <w:color w:val="auto"/>
                <w:spacing w:val="0"/>
                <w:position w:val="0"/>
                <w:sz w:val="24"/>
                <w:szCs w:val="24"/>
                <w:highlight w:val="none"/>
              </w:rPr>
              <w:t>%</w:t>
            </w:r>
          </w:p>
        </w:tc>
        <w:tc>
          <w:tcPr>
            <w:tcW w:w="1696" w:type="dxa"/>
            <w:vAlign w:val="top"/>
          </w:tcPr>
          <w:p w14:paraId="49CCF68E">
            <w:pPr>
              <w:rPr>
                <w:rFonts w:hint="eastAsia" w:ascii="宋体" w:hAnsi="宋体" w:eastAsia="宋体" w:cs="宋体"/>
                <w:color w:val="auto"/>
                <w:spacing w:val="0"/>
                <w:position w:val="0"/>
                <w:sz w:val="24"/>
                <w:szCs w:val="24"/>
                <w:highlight w:val="none"/>
              </w:rPr>
            </w:pPr>
          </w:p>
        </w:tc>
      </w:tr>
      <w:tr w14:paraId="563F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4326E80A">
            <w:pPr>
              <w:spacing w:before="215" w:line="189" w:lineRule="auto"/>
              <w:ind w:left="45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3424" w:type="dxa"/>
            <w:vAlign w:val="top"/>
          </w:tcPr>
          <w:p w14:paraId="7DAC7D8D">
            <w:pPr>
              <w:spacing w:before="181" w:line="229" w:lineRule="auto"/>
              <w:ind w:left="129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质量标准</w:t>
            </w:r>
          </w:p>
        </w:tc>
        <w:tc>
          <w:tcPr>
            <w:tcW w:w="2818" w:type="dxa"/>
            <w:vAlign w:val="top"/>
          </w:tcPr>
          <w:p w14:paraId="7866191D">
            <w:pPr>
              <w:rPr>
                <w:rFonts w:hint="eastAsia" w:ascii="宋体" w:hAnsi="宋体" w:eastAsia="宋体" w:cs="宋体"/>
                <w:color w:val="auto"/>
                <w:spacing w:val="0"/>
                <w:position w:val="0"/>
                <w:sz w:val="24"/>
                <w:szCs w:val="24"/>
                <w:highlight w:val="none"/>
              </w:rPr>
            </w:pPr>
          </w:p>
        </w:tc>
        <w:tc>
          <w:tcPr>
            <w:tcW w:w="1696" w:type="dxa"/>
            <w:vAlign w:val="top"/>
          </w:tcPr>
          <w:p w14:paraId="732F8F5A">
            <w:pPr>
              <w:rPr>
                <w:rFonts w:hint="eastAsia" w:ascii="宋体" w:hAnsi="宋体" w:eastAsia="宋体" w:cs="宋体"/>
                <w:color w:val="auto"/>
                <w:spacing w:val="0"/>
                <w:position w:val="0"/>
                <w:sz w:val="24"/>
                <w:szCs w:val="24"/>
                <w:highlight w:val="none"/>
              </w:rPr>
            </w:pPr>
          </w:p>
        </w:tc>
      </w:tr>
      <w:tr w14:paraId="565E5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1B544067">
            <w:pPr>
              <w:spacing w:before="215" w:line="189" w:lineRule="auto"/>
              <w:ind w:left="456"/>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w:t>
            </w:r>
          </w:p>
        </w:tc>
        <w:tc>
          <w:tcPr>
            <w:tcW w:w="3424" w:type="dxa"/>
            <w:vAlign w:val="top"/>
          </w:tcPr>
          <w:p w14:paraId="11A1A7A0">
            <w:pPr>
              <w:spacing w:before="181" w:line="229" w:lineRule="auto"/>
              <w:ind w:left="1297"/>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付款条件</w:t>
            </w:r>
          </w:p>
        </w:tc>
        <w:tc>
          <w:tcPr>
            <w:tcW w:w="2818" w:type="dxa"/>
            <w:vAlign w:val="top"/>
          </w:tcPr>
          <w:p w14:paraId="13909491">
            <w:pPr>
              <w:rPr>
                <w:rFonts w:hint="eastAsia" w:ascii="宋体" w:hAnsi="宋体" w:eastAsia="宋体" w:cs="宋体"/>
                <w:color w:val="auto"/>
                <w:spacing w:val="0"/>
                <w:position w:val="0"/>
                <w:sz w:val="24"/>
                <w:szCs w:val="24"/>
                <w:highlight w:val="none"/>
              </w:rPr>
            </w:pPr>
          </w:p>
        </w:tc>
        <w:tc>
          <w:tcPr>
            <w:tcW w:w="1696" w:type="dxa"/>
            <w:vAlign w:val="top"/>
          </w:tcPr>
          <w:p w14:paraId="500BCF3A">
            <w:pPr>
              <w:rPr>
                <w:rFonts w:hint="eastAsia" w:ascii="宋体" w:hAnsi="宋体" w:eastAsia="宋体" w:cs="宋体"/>
                <w:color w:val="auto"/>
                <w:spacing w:val="0"/>
                <w:position w:val="0"/>
                <w:sz w:val="24"/>
                <w:szCs w:val="24"/>
                <w:highlight w:val="none"/>
              </w:rPr>
            </w:pPr>
          </w:p>
        </w:tc>
      </w:tr>
      <w:tr w14:paraId="7890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6941AA35">
            <w:pPr>
              <w:spacing w:before="181" w:line="325" w:lineRule="exact"/>
              <w:ind w:left="30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424" w:type="dxa"/>
            <w:vAlign w:val="top"/>
          </w:tcPr>
          <w:p w14:paraId="6975B282">
            <w:pPr>
              <w:spacing w:before="181" w:line="325" w:lineRule="exact"/>
              <w:ind w:left="152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818" w:type="dxa"/>
            <w:vAlign w:val="top"/>
          </w:tcPr>
          <w:p w14:paraId="084EF7F3">
            <w:pPr>
              <w:rPr>
                <w:rFonts w:hint="eastAsia" w:ascii="宋体" w:hAnsi="宋体" w:eastAsia="宋体" w:cs="宋体"/>
                <w:color w:val="auto"/>
                <w:spacing w:val="0"/>
                <w:position w:val="0"/>
                <w:sz w:val="24"/>
                <w:szCs w:val="24"/>
                <w:highlight w:val="none"/>
              </w:rPr>
            </w:pPr>
          </w:p>
        </w:tc>
        <w:tc>
          <w:tcPr>
            <w:tcW w:w="1696" w:type="dxa"/>
            <w:vAlign w:val="top"/>
          </w:tcPr>
          <w:p w14:paraId="79B2900E">
            <w:pPr>
              <w:rPr>
                <w:rFonts w:hint="eastAsia" w:ascii="宋体" w:hAnsi="宋体" w:eastAsia="宋体" w:cs="宋体"/>
                <w:color w:val="auto"/>
                <w:spacing w:val="0"/>
                <w:position w:val="0"/>
                <w:sz w:val="24"/>
                <w:szCs w:val="24"/>
                <w:highlight w:val="none"/>
              </w:rPr>
            </w:pPr>
          </w:p>
        </w:tc>
      </w:tr>
      <w:tr w14:paraId="34857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52E6468A">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备注：供应商在响应竞争性磋商文件中规定的实质性要求和条件的基础上，可做出其他有利于采购单位的承诺。此类承诺可在本表中予以补充填写。</w:t>
            </w:r>
          </w:p>
        </w:tc>
      </w:tr>
    </w:tbl>
    <w:p w14:paraId="740B1593">
      <w:pPr>
        <w:pStyle w:val="50"/>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24"/>
          <w:highlight w:val="none"/>
        </w:rPr>
      </w:pPr>
    </w:p>
    <w:p w14:paraId="4C5876C9">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szCs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59D8AE9">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0B9D020">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5A1081FE">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019081C">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1BF422B">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47DDFEC">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93B43E">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BE7BA27">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5F562B3">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99E16E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EA5B3C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ED3A99">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3BBE4A3">
      <w:pPr>
        <w:spacing w:line="360" w:lineRule="auto"/>
        <w:jc w:val="center"/>
        <w:rPr>
          <w:rFonts w:hint="eastAsia" w:ascii="方正小标宋简体" w:hAnsi="方正小标宋简体" w:eastAsia="方正小标宋简体" w:cs="方正小标宋简体"/>
          <w:bCs/>
          <w:color w:val="auto"/>
          <w:spacing w:val="0"/>
          <w:position w:val="0"/>
          <w:sz w:val="32"/>
          <w:szCs w:val="32"/>
          <w:highlight w:val="none"/>
        </w:rPr>
      </w:pPr>
      <w:r>
        <w:rPr>
          <w:rFonts w:hint="eastAsia" w:ascii="宋体" w:hAnsi="宋体" w:cs="方正小标宋简体"/>
          <w:b/>
          <w:bCs/>
          <w:color w:val="auto"/>
          <w:spacing w:val="0"/>
          <w:position w:val="0"/>
          <w:sz w:val="32"/>
          <w:szCs w:val="32"/>
          <w:highlight w:val="none"/>
        </w:rPr>
        <w:t>竞标报价表</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57C38A8B">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50E2479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434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3D3DD78">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263C54">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0393345">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5BFBF8CF">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27F2B2E">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1EC2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2F352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1963590">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2FF89D3">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672D45">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F0883C9">
            <w:pPr>
              <w:spacing w:line="360" w:lineRule="auto"/>
              <w:contextualSpacing/>
              <w:rPr>
                <w:rFonts w:ascii="宋体" w:hAnsi="宋体" w:cs="仿宋_GB2312"/>
                <w:color w:val="auto"/>
                <w:spacing w:val="0"/>
                <w:position w:val="0"/>
                <w:sz w:val="24"/>
                <w:highlight w:val="none"/>
              </w:rPr>
            </w:pPr>
          </w:p>
        </w:tc>
      </w:tr>
      <w:tr w14:paraId="536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47F23D1">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4EBB07">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8763DE2">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7DCA06FE">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7D8E4A6">
            <w:pPr>
              <w:spacing w:line="360" w:lineRule="auto"/>
              <w:contextualSpacing/>
              <w:rPr>
                <w:rFonts w:ascii="宋体" w:hAnsi="宋体" w:cs="仿宋_GB2312"/>
                <w:color w:val="auto"/>
                <w:spacing w:val="0"/>
                <w:position w:val="0"/>
                <w:sz w:val="24"/>
                <w:highlight w:val="none"/>
              </w:rPr>
            </w:pPr>
          </w:p>
        </w:tc>
      </w:tr>
      <w:tr w14:paraId="5E02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416AC4C">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2A3ECDA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注: </w:t>
      </w:r>
    </w:p>
    <w:p w14:paraId="2D1C20FC">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6CF66A6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0047CBC2">
      <w:pPr>
        <w:spacing w:line="360" w:lineRule="auto"/>
        <w:ind w:firstLine="482" w:firstLineChars="200"/>
        <w:contextualSpacing/>
        <w:jc w:val="left"/>
        <w:rPr>
          <w:rFonts w:hint="default" w:ascii="宋体" w:hAnsi="宋体" w:cs="仿宋_GB2312"/>
          <w:b/>
          <w:bCs/>
          <w:color w:val="auto"/>
          <w:spacing w:val="0"/>
          <w:position w:val="0"/>
          <w:sz w:val="24"/>
          <w:highlight w:val="none"/>
          <w:lang w:val="en-US" w:eastAsia="zh-CN"/>
        </w:rPr>
      </w:pPr>
      <w:r>
        <w:rPr>
          <w:rFonts w:hint="eastAsia" w:ascii="宋体" w:hAnsi="宋体" w:cs="仿宋_GB2312"/>
          <w:b/>
          <w:bCs/>
          <w:color w:val="auto"/>
          <w:spacing w:val="0"/>
          <w:position w:val="0"/>
          <w:sz w:val="24"/>
          <w:highlight w:val="none"/>
          <w:lang w:val="en-US" w:eastAsia="zh-CN"/>
        </w:rPr>
        <w:t>3.</w:t>
      </w:r>
      <w:r>
        <w:rPr>
          <w:rFonts w:hint="eastAsia" w:ascii="宋体" w:hAnsi="宋体" w:eastAsia="宋体" w:cs="宋体"/>
          <w:b/>
          <w:bCs/>
          <w:color w:val="auto"/>
          <w:spacing w:val="0"/>
          <w:position w:val="0"/>
          <w:sz w:val="24"/>
          <w:szCs w:val="24"/>
          <w:highlight w:val="none"/>
          <w:lang w:val="en-US" w:eastAsia="zh-CN"/>
        </w:rPr>
        <w:t>在</w:t>
      </w:r>
      <w:r>
        <w:rPr>
          <w:rFonts w:hint="eastAsia" w:ascii="宋体" w:hAnsi="宋体" w:cs="宋体"/>
          <w:b/>
          <w:bCs/>
          <w:color w:val="auto"/>
          <w:spacing w:val="0"/>
          <w:position w:val="0"/>
          <w:sz w:val="24"/>
          <w:szCs w:val="24"/>
          <w:highlight w:val="none"/>
          <w:lang w:val="en-US" w:eastAsia="zh-CN"/>
        </w:rPr>
        <w:t>广西政府采购云平台</w:t>
      </w:r>
      <w:r>
        <w:rPr>
          <w:rFonts w:hint="eastAsia" w:ascii="宋体" w:hAnsi="宋体" w:eastAsia="宋体" w:cs="宋体"/>
          <w:b/>
          <w:bCs/>
          <w:color w:val="auto"/>
          <w:spacing w:val="0"/>
          <w:position w:val="0"/>
          <w:sz w:val="24"/>
          <w:szCs w:val="24"/>
          <w:highlight w:val="none"/>
          <w:lang w:val="en-US" w:eastAsia="zh-CN"/>
        </w:rPr>
        <w:t>评审过程中，</w:t>
      </w:r>
      <w:r>
        <w:rPr>
          <w:rFonts w:hint="eastAsia" w:ascii="宋体" w:hAnsi="宋体" w:cs="宋体"/>
          <w:b/>
          <w:bCs/>
          <w:color w:val="auto"/>
          <w:spacing w:val="0"/>
          <w:position w:val="0"/>
          <w:sz w:val="24"/>
          <w:szCs w:val="24"/>
          <w:highlight w:val="none"/>
          <w:lang w:val="en-US" w:eastAsia="zh-CN"/>
        </w:rPr>
        <w:t>供应商提交的</w:t>
      </w:r>
      <w:r>
        <w:rPr>
          <w:rFonts w:hint="eastAsia" w:ascii="宋体" w:hAnsi="宋体" w:cs="仿宋_GB2312"/>
          <w:b/>
          <w:bCs/>
          <w:color w:val="auto"/>
          <w:spacing w:val="0"/>
          <w:position w:val="0"/>
          <w:sz w:val="24"/>
          <w:highlight w:val="none"/>
        </w:rPr>
        <w:t>最后报价与首次报价相比有调整的</w:t>
      </w:r>
      <w:r>
        <w:rPr>
          <w:rFonts w:hint="eastAsia" w:ascii="宋体" w:hAnsi="宋体" w:cs="仿宋_GB2312"/>
          <w:b/>
          <w:bCs/>
          <w:color w:val="auto"/>
          <w:spacing w:val="0"/>
          <w:position w:val="0"/>
          <w:sz w:val="24"/>
          <w:highlight w:val="none"/>
          <w:lang w:eastAsia="zh-CN"/>
        </w:rPr>
        <w:t>，必须同时上传相对应的“已标价的工程量清单”作为附件，</w:t>
      </w:r>
      <w:r>
        <w:rPr>
          <w:rFonts w:hint="eastAsia" w:ascii="宋体" w:hAnsi="宋体" w:cs="仿宋_GB2312"/>
          <w:b/>
          <w:bCs/>
          <w:color w:val="auto"/>
          <w:spacing w:val="0"/>
          <w:position w:val="0"/>
          <w:sz w:val="24"/>
          <w:highlight w:val="none"/>
        </w:rPr>
        <w:t>否则其响应文件按无效处理。</w:t>
      </w:r>
    </w:p>
    <w:p w14:paraId="5BD1AF83">
      <w:pPr>
        <w:spacing w:line="360" w:lineRule="auto"/>
        <w:ind w:right="-817" w:rightChars="-389"/>
        <w:contextualSpacing/>
        <w:rPr>
          <w:rFonts w:hint="eastAsia" w:ascii="宋体" w:hAnsi="宋体" w:cs="仿宋_GB2312"/>
          <w:color w:val="auto"/>
          <w:spacing w:val="0"/>
          <w:position w:val="0"/>
          <w:sz w:val="24"/>
          <w:highlight w:val="none"/>
        </w:rPr>
      </w:pPr>
    </w:p>
    <w:p w14:paraId="39963174">
      <w:pPr>
        <w:spacing w:line="360" w:lineRule="auto"/>
        <w:ind w:right="-817" w:rightChars="-389"/>
        <w:contextualSpacing/>
        <w:rPr>
          <w:rFonts w:hint="eastAsia" w:ascii="宋体" w:hAnsi="宋体" w:cs="仿宋_GB2312"/>
          <w:color w:val="auto"/>
          <w:spacing w:val="0"/>
          <w:position w:val="0"/>
          <w:sz w:val="24"/>
          <w:highlight w:val="none"/>
        </w:rPr>
      </w:pPr>
    </w:p>
    <w:p w14:paraId="46E5ED4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0205F7E2">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76C286B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E2498C0">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C76EBAA">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CF9FCAB">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AE7459A">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D5BBA7">
      <w:pPr>
        <w:pStyle w:val="5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r>
        <w:rPr>
          <w:rFonts w:hint="eastAsia" w:ascii="宋体" w:hAnsi="宋体" w:eastAsia="宋体" w:cs="宋体"/>
          <w:b/>
          <w:bCs/>
          <w:color w:val="auto"/>
          <w:spacing w:val="0"/>
          <w:position w:val="0"/>
          <w:sz w:val="32"/>
          <w:szCs w:val="40"/>
          <w:highlight w:val="none"/>
        </w:rPr>
        <w:t>已标价工程量清单</w:t>
      </w:r>
    </w:p>
    <w:p w14:paraId="2A86F782">
      <w:pPr>
        <w:pStyle w:val="5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54531681">
      <w:pPr>
        <w:pStyle w:val="5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6CAD8C7A">
      <w:pPr>
        <w:autoSpaceDE w:val="0"/>
        <w:autoSpaceDN w:val="0"/>
        <w:adjustRightInd w:val="0"/>
        <w:spacing w:line="360" w:lineRule="auto"/>
        <w:rPr>
          <w:rFonts w:ascii="宋体" w:hAnsi="宋体"/>
          <w:b/>
          <w:bCs/>
          <w:color w:val="auto"/>
          <w:spacing w:val="0"/>
          <w:position w:val="0"/>
          <w:sz w:val="32"/>
          <w:szCs w:val="32"/>
          <w:highlight w:val="none"/>
          <w:lang w:val="zh-CN"/>
        </w:rPr>
      </w:pPr>
    </w:p>
    <w:p w14:paraId="0AB4A8B4">
      <w:pPr>
        <w:autoSpaceDE w:val="0"/>
        <w:autoSpaceDN w:val="0"/>
        <w:adjustRightInd w:val="0"/>
        <w:spacing w:line="360" w:lineRule="auto"/>
        <w:rPr>
          <w:rFonts w:ascii="宋体" w:hAnsi="宋体"/>
          <w:b/>
          <w:bCs/>
          <w:color w:val="auto"/>
          <w:spacing w:val="0"/>
          <w:position w:val="0"/>
          <w:sz w:val="32"/>
          <w:szCs w:val="32"/>
          <w:highlight w:val="none"/>
          <w:lang w:val="zh-CN"/>
        </w:rPr>
      </w:pPr>
    </w:p>
    <w:p w14:paraId="0AFC0EA7">
      <w:pPr>
        <w:autoSpaceDE w:val="0"/>
        <w:autoSpaceDN w:val="0"/>
        <w:adjustRightInd w:val="0"/>
        <w:spacing w:line="360" w:lineRule="auto"/>
        <w:rPr>
          <w:rFonts w:ascii="宋体" w:hAnsi="宋体"/>
          <w:b/>
          <w:bCs/>
          <w:color w:val="auto"/>
          <w:spacing w:val="0"/>
          <w:position w:val="0"/>
          <w:sz w:val="32"/>
          <w:szCs w:val="32"/>
          <w:highlight w:val="none"/>
          <w:lang w:val="zh-CN"/>
        </w:rPr>
      </w:pPr>
    </w:p>
    <w:p w14:paraId="2A4EBB76">
      <w:pPr>
        <w:autoSpaceDE w:val="0"/>
        <w:autoSpaceDN w:val="0"/>
        <w:adjustRightInd w:val="0"/>
        <w:spacing w:line="360" w:lineRule="auto"/>
        <w:rPr>
          <w:rFonts w:ascii="宋体" w:hAnsi="宋体"/>
          <w:b/>
          <w:bCs/>
          <w:color w:val="auto"/>
          <w:spacing w:val="0"/>
          <w:position w:val="0"/>
          <w:sz w:val="32"/>
          <w:szCs w:val="32"/>
          <w:highlight w:val="none"/>
          <w:lang w:val="zh-CN"/>
        </w:rPr>
      </w:pPr>
    </w:p>
    <w:p w14:paraId="3AD7E2BB">
      <w:pPr>
        <w:autoSpaceDE w:val="0"/>
        <w:autoSpaceDN w:val="0"/>
        <w:adjustRightInd w:val="0"/>
        <w:spacing w:line="360" w:lineRule="auto"/>
        <w:rPr>
          <w:rFonts w:ascii="宋体" w:hAnsi="宋体"/>
          <w:b/>
          <w:bCs/>
          <w:color w:val="auto"/>
          <w:spacing w:val="0"/>
          <w:position w:val="0"/>
          <w:sz w:val="32"/>
          <w:szCs w:val="32"/>
          <w:highlight w:val="none"/>
          <w:lang w:val="zh-CN"/>
        </w:rPr>
      </w:pPr>
    </w:p>
    <w:p w14:paraId="7621C031">
      <w:pPr>
        <w:autoSpaceDE w:val="0"/>
        <w:autoSpaceDN w:val="0"/>
        <w:adjustRightInd w:val="0"/>
        <w:spacing w:line="360" w:lineRule="auto"/>
        <w:rPr>
          <w:rFonts w:ascii="宋体" w:hAnsi="宋体"/>
          <w:b/>
          <w:bCs/>
          <w:color w:val="auto"/>
          <w:spacing w:val="0"/>
          <w:position w:val="0"/>
          <w:sz w:val="32"/>
          <w:szCs w:val="32"/>
          <w:highlight w:val="none"/>
          <w:lang w:val="zh-CN"/>
        </w:rPr>
      </w:pPr>
    </w:p>
    <w:p w14:paraId="30FBFEB2">
      <w:pPr>
        <w:autoSpaceDE w:val="0"/>
        <w:autoSpaceDN w:val="0"/>
        <w:adjustRightInd w:val="0"/>
        <w:spacing w:line="360" w:lineRule="auto"/>
        <w:rPr>
          <w:rFonts w:ascii="宋体" w:hAnsi="宋体"/>
          <w:b/>
          <w:bCs/>
          <w:color w:val="auto"/>
          <w:spacing w:val="0"/>
          <w:position w:val="0"/>
          <w:sz w:val="32"/>
          <w:szCs w:val="32"/>
          <w:highlight w:val="none"/>
          <w:lang w:val="zh-CN"/>
        </w:rPr>
      </w:pPr>
    </w:p>
    <w:p w14:paraId="70B6B5A4">
      <w:pPr>
        <w:autoSpaceDE w:val="0"/>
        <w:autoSpaceDN w:val="0"/>
        <w:adjustRightInd w:val="0"/>
        <w:spacing w:line="360" w:lineRule="auto"/>
        <w:rPr>
          <w:rFonts w:ascii="宋体" w:hAnsi="宋体"/>
          <w:b/>
          <w:bCs/>
          <w:color w:val="auto"/>
          <w:spacing w:val="0"/>
          <w:position w:val="0"/>
          <w:sz w:val="32"/>
          <w:szCs w:val="32"/>
          <w:highlight w:val="none"/>
          <w:lang w:val="zh-CN"/>
        </w:rPr>
      </w:pPr>
    </w:p>
    <w:p w14:paraId="2CDC03BC">
      <w:pPr>
        <w:autoSpaceDE w:val="0"/>
        <w:autoSpaceDN w:val="0"/>
        <w:adjustRightInd w:val="0"/>
        <w:spacing w:line="360" w:lineRule="auto"/>
        <w:rPr>
          <w:rFonts w:ascii="宋体" w:hAnsi="宋体"/>
          <w:b/>
          <w:bCs/>
          <w:color w:val="auto"/>
          <w:spacing w:val="0"/>
          <w:position w:val="0"/>
          <w:sz w:val="32"/>
          <w:szCs w:val="32"/>
          <w:highlight w:val="none"/>
          <w:lang w:val="zh-CN"/>
        </w:rPr>
      </w:pPr>
    </w:p>
    <w:p w14:paraId="728BA522">
      <w:pPr>
        <w:autoSpaceDE w:val="0"/>
        <w:autoSpaceDN w:val="0"/>
        <w:adjustRightInd w:val="0"/>
        <w:spacing w:line="360" w:lineRule="auto"/>
        <w:rPr>
          <w:rFonts w:ascii="宋体" w:hAnsi="宋体"/>
          <w:b/>
          <w:bCs/>
          <w:color w:val="auto"/>
          <w:spacing w:val="0"/>
          <w:position w:val="0"/>
          <w:sz w:val="32"/>
          <w:szCs w:val="32"/>
          <w:highlight w:val="none"/>
          <w:lang w:val="zh-CN"/>
        </w:rPr>
      </w:pPr>
    </w:p>
    <w:p w14:paraId="06C65EE6">
      <w:pPr>
        <w:autoSpaceDE w:val="0"/>
        <w:autoSpaceDN w:val="0"/>
        <w:adjustRightInd w:val="0"/>
        <w:spacing w:line="360" w:lineRule="auto"/>
        <w:rPr>
          <w:rFonts w:ascii="宋体" w:hAnsi="宋体"/>
          <w:b/>
          <w:bCs/>
          <w:color w:val="auto"/>
          <w:spacing w:val="0"/>
          <w:position w:val="0"/>
          <w:sz w:val="32"/>
          <w:szCs w:val="32"/>
          <w:highlight w:val="none"/>
          <w:lang w:val="zh-CN"/>
        </w:rPr>
      </w:pPr>
    </w:p>
    <w:p w14:paraId="2CD3296C">
      <w:pPr>
        <w:autoSpaceDE w:val="0"/>
        <w:autoSpaceDN w:val="0"/>
        <w:adjustRightInd w:val="0"/>
        <w:spacing w:line="360" w:lineRule="auto"/>
        <w:rPr>
          <w:rFonts w:ascii="宋体" w:hAnsi="宋体"/>
          <w:b/>
          <w:bCs/>
          <w:color w:val="auto"/>
          <w:spacing w:val="0"/>
          <w:position w:val="0"/>
          <w:sz w:val="32"/>
          <w:szCs w:val="32"/>
          <w:highlight w:val="none"/>
          <w:lang w:val="zh-CN"/>
        </w:rPr>
      </w:pPr>
    </w:p>
    <w:p w14:paraId="78CB472A">
      <w:pPr>
        <w:autoSpaceDE w:val="0"/>
        <w:autoSpaceDN w:val="0"/>
        <w:adjustRightInd w:val="0"/>
        <w:spacing w:line="360" w:lineRule="auto"/>
        <w:rPr>
          <w:rFonts w:ascii="宋体" w:hAnsi="宋体"/>
          <w:b/>
          <w:bCs/>
          <w:color w:val="auto"/>
          <w:spacing w:val="0"/>
          <w:position w:val="0"/>
          <w:sz w:val="32"/>
          <w:szCs w:val="32"/>
          <w:highlight w:val="none"/>
          <w:lang w:val="zh-CN"/>
        </w:rPr>
      </w:pPr>
    </w:p>
    <w:p w14:paraId="1A87DEC7">
      <w:pPr>
        <w:autoSpaceDE w:val="0"/>
        <w:autoSpaceDN w:val="0"/>
        <w:adjustRightInd w:val="0"/>
        <w:spacing w:line="360" w:lineRule="auto"/>
        <w:rPr>
          <w:rFonts w:ascii="宋体" w:hAnsi="宋体"/>
          <w:b/>
          <w:bCs/>
          <w:color w:val="auto"/>
          <w:spacing w:val="0"/>
          <w:position w:val="0"/>
          <w:sz w:val="32"/>
          <w:szCs w:val="32"/>
          <w:highlight w:val="none"/>
          <w:lang w:val="zh-CN"/>
        </w:rPr>
      </w:pPr>
    </w:p>
    <w:p w14:paraId="005C7371">
      <w:pPr>
        <w:autoSpaceDE w:val="0"/>
        <w:autoSpaceDN w:val="0"/>
        <w:adjustRightInd w:val="0"/>
        <w:spacing w:line="360" w:lineRule="auto"/>
        <w:rPr>
          <w:rFonts w:ascii="宋体" w:hAnsi="宋体"/>
          <w:b/>
          <w:bCs/>
          <w:color w:val="auto"/>
          <w:spacing w:val="0"/>
          <w:position w:val="0"/>
          <w:sz w:val="32"/>
          <w:szCs w:val="32"/>
          <w:highlight w:val="none"/>
          <w:lang w:val="zh-CN"/>
        </w:rPr>
      </w:pPr>
    </w:p>
    <w:p w14:paraId="3DAF8299">
      <w:pPr>
        <w:autoSpaceDE w:val="0"/>
        <w:autoSpaceDN w:val="0"/>
        <w:adjustRightInd w:val="0"/>
        <w:spacing w:line="360" w:lineRule="auto"/>
        <w:rPr>
          <w:rFonts w:ascii="宋体" w:hAnsi="宋体"/>
          <w:b/>
          <w:bCs/>
          <w:color w:val="auto"/>
          <w:spacing w:val="0"/>
          <w:position w:val="0"/>
          <w:sz w:val="32"/>
          <w:szCs w:val="32"/>
          <w:highlight w:val="none"/>
          <w:lang w:val="zh-CN"/>
        </w:rPr>
      </w:pPr>
    </w:p>
    <w:p w14:paraId="10D30F23">
      <w:pPr>
        <w:autoSpaceDE w:val="0"/>
        <w:autoSpaceDN w:val="0"/>
        <w:adjustRightInd w:val="0"/>
        <w:spacing w:line="360" w:lineRule="auto"/>
        <w:rPr>
          <w:rFonts w:ascii="宋体" w:hAnsi="宋体"/>
          <w:b/>
          <w:bCs/>
          <w:color w:val="auto"/>
          <w:spacing w:val="0"/>
          <w:position w:val="0"/>
          <w:sz w:val="32"/>
          <w:szCs w:val="32"/>
          <w:highlight w:val="none"/>
          <w:lang w:val="zh-CN"/>
        </w:rPr>
      </w:pPr>
    </w:p>
    <w:p w14:paraId="6B8485C6">
      <w:pPr>
        <w:autoSpaceDE w:val="0"/>
        <w:autoSpaceDN w:val="0"/>
        <w:adjustRightInd w:val="0"/>
        <w:spacing w:line="360" w:lineRule="auto"/>
        <w:rPr>
          <w:rFonts w:ascii="宋体" w:hAnsi="宋体"/>
          <w:b/>
          <w:bCs/>
          <w:color w:val="auto"/>
          <w:spacing w:val="0"/>
          <w:position w:val="0"/>
          <w:sz w:val="32"/>
          <w:szCs w:val="32"/>
          <w:highlight w:val="none"/>
          <w:lang w:val="zh-CN"/>
        </w:rPr>
      </w:pPr>
    </w:p>
    <w:p w14:paraId="31854932">
      <w:pPr>
        <w:autoSpaceDE w:val="0"/>
        <w:autoSpaceDN w:val="0"/>
        <w:adjustRightInd w:val="0"/>
        <w:spacing w:line="360" w:lineRule="auto"/>
        <w:rPr>
          <w:rFonts w:ascii="宋体" w:hAnsi="宋体"/>
          <w:b/>
          <w:bCs/>
          <w:color w:val="auto"/>
          <w:spacing w:val="0"/>
          <w:position w:val="0"/>
          <w:sz w:val="32"/>
          <w:szCs w:val="32"/>
          <w:highlight w:val="none"/>
          <w:lang w:val="zh-CN"/>
        </w:rPr>
      </w:pPr>
    </w:p>
    <w:p w14:paraId="2F62B313">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248907EB">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5B15F248">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3189D9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电 子 响 应 文 件</w:t>
      </w:r>
    </w:p>
    <w:p w14:paraId="4A066615">
      <w:pPr>
        <w:snapToGrid w:val="0"/>
        <w:spacing w:before="156" w:beforeLines="50" w:after="50"/>
        <w:rPr>
          <w:rFonts w:hint="eastAsia" w:ascii="宋体" w:hAnsi="宋体"/>
          <w:color w:val="auto"/>
          <w:spacing w:val="0"/>
          <w:position w:val="0"/>
          <w:sz w:val="24"/>
          <w:szCs w:val="20"/>
          <w:highlight w:val="none"/>
        </w:rPr>
      </w:pPr>
    </w:p>
    <w:p w14:paraId="33AFA00D">
      <w:pPr>
        <w:snapToGrid w:val="0"/>
        <w:spacing w:before="156" w:beforeLines="50" w:after="50"/>
        <w:rPr>
          <w:rFonts w:hint="eastAsia" w:ascii="宋体" w:hAnsi="宋体"/>
          <w:color w:val="auto"/>
          <w:spacing w:val="0"/>
          <w:position w:val="0"/>
          <w:sz w:val="24"/>
          <w:szCs w:val="20"/>
          <w:highlight w:val="none"/>
        </w:rPr>
      </w:pPr>
    </w:p>
    <w:p w14:paraId="324F5A72">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218F448D">
      <w:pPr>
        <w:snapToGrid w:val="0"/>
        <w:spacing w:before="156" w:beforeLines="50" w:after="50"/>
        <w:rPr>
          <w:rFonts w:hint="eastAsia" w:ascii="宋体" w:hAnsi="宋体"/>
          <w:bCs/>
          <w:color w:val="auto"/>
          <w:spacing w:val="0"/>
          <w:position w:val="0"/>
          <w:sz w:val="24"/>
          <w:szCs w:val="20"/>
          <w:highlight w:val="none"/>
        </w:rPr>
      </w:pPr>
    </w:p>
    <w:p w14:paraId="7D4D6E2F">
      <w:pPr>
        <w:snapToGrid w:val="0"/>
        <w:spacing w:before="156" w:beforeLines="50" w:after="50"/>
        <w:rPr>
          <w:rFonts w:hint="eastAsia" w:ascii="宋体" w:hAnsi="宋体"/>
          <w:bCs/>
          <w:color w:val="auto"/>
          <w:spacing w:val="0"/>
          <w:position w:val="0"/>
          <w:sz w:val="24"/>
          <w:szCs w:val="20"/>
          <w:highlight w:val="none"/>
        </w:rPr>
      </w:pPr>
    </w:p>
    <w:p w14:paraId="1982621C">
      <w:pPr>
        <w:snapToGrid w:val="0"/>
        <w:spacing w:before="156" w:beforeLines="50" w:after="50"/>
        <w:rPr>
          <w:rFonts w:hint="eastAsia" w:ascii="宋体" w:hAnsi="宋体"/>
          <w:bCs/>
          <w:color w:val="auto"/>
          <w:spacing w:val="0"/>
          <w:position w:val="0"/>
          <w:sz w:val="24"/>
          <w:szCs w:val="20"/>
          <w:highlight w:val="none"/>
        </w:rPr>
      </w:pPr>
    </w:p>
    <w:p w14:paraId="22869B84">
      <w:pPr>
        <w:snapToGrid w:val="0"/>
        <w:spacing w:before="156" w:beforeLines="50" w:after="50"/>
        <w:rPr>
          <w:rFonts w:hint="eastAsia" w:ascii="宋体" w:hAnsi="宋体"/>
          <w:bCs/>
          <w:color w:val="auto"/>
          <w:spacing w:val="0"/>
          <w:position w:val="0"/>
          <w:sz w:val="24"/>
          <w:szCs w:val="20"/>
          <w:highlight w:val="none"/>
        </w:rPr>
      </w:pPr>
    </w:p>
    <w:p w14:paraId="23869DD5">
      <w:pPr>
        <w:snapToGrid w:val="0"/>
        <w:spacing w:before="156" w:beforeLines="50" w:after="50"/>
        <w:rPr>
          <w:rFonts w:hint="eastAsia" w:ascii="宋体" w:hAnsi="宋体"/>
          <w:bCs/>
          <w:color w:val="auto"/>
          <w:spacing w:val="0"/>
          <w:position w:val="0"/>
          <w:sz w:val="24"/>
          <w:szCs w:val="20"/>
          <w:highlight w:val="none"/>
        </w:rPr>
      </w:pPr>
    </w:p>
    <w:p w14:paraId="32D8015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87B5A86">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437C947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0C1E55EB">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5A118E15">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19AC6CC">
      <w:pPr>
        <w:pStyle w:val="8"/>
        <w:snapToGrid w:val="0"/>
        <w:spacing w:before="50" w:after="50"/>
        <w:rPr>
          <w:rFonts w:hint="eastAsia" w:ascii="宋体" w:hAnsi="宋体" w:cs="仿宋_GB2312"/>
          <w:bCs/>
          <w:color w:val="auto"/>
          <w:spacing w:val="0"/>
          <w:position w:val="0"/>
          <w:sz w:val="32"/>
          <w:szCs w:val="32"/>
          <w:highlight w:val="none"/>
        </w:rPr>
      </w:pPr>
    </w:p>
    <w:p w14:paraId="10FCD5BA">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11399F3E">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0E8B8D98">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2197C81D">
      <w:pPr>
        <w:pStyle w:val="8"/>
        <w:snapToGrid w:val="0"/>
        <w:spacing w:before="50" w:after="50"/>
        <w:ind w:firstLine="0"/>
        <w:rPr>
          <w:rFonts w:hint="eastAsia" w:ascii="宋体" w:hAnsi="宋体" w:cs="仿宋_GB2312"/>
          <w:bCs/>
          <w:color w:val="auto"/>
          <w:spacing w:val="0"/>
          <w:position w:val="0"/>
          <w:sz w:val="32"/>
          <w:szCs w:val="32"/>
          <w:highlight w:val="none"/>
        </w:rPr>
      </w:pPr>
    </w:p>
    <w:p w14:paraId="540B8B1B">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51BDC66C">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1A1213CC">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05D08CA9">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F3D5BF4">
      <w:pPr>
        <w:spacing w:line="400" w:lineRule="exact"/>
        <w:rPr>
          <w:rFonts w:hint="eastAsia" w:ascii="仿宋_GB2312" w:hAnsi="仿宋_GB2312" w:eastAsia="仿宋_GB2312" w:cs="仿宋_GB2312"/>
          <w:color w:val="auto"/>
          <w:spacing w:val="0"/>
          <w:position w:val="0"/>
          <w:sz w:val="32"/>
          <w:szCs w:val="32"/>
          <w:highlight w:val="none"/>
        </w:rPr>
      </w:pPr>
    </w:p>
    <w:p w14:paraId="27ACBBF0">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351C8197">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133BAC12">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0377EFA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34FD24A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570E7FA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37B63A8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6BCE247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7E430CC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56664A49">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596B985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351259C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391E60C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6E28D70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3FEE2E9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432DAE3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5A8F085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5DF8B7D6">
      <w:pPr>
        <w:spacing w:line="360" w:lineRule="auto"/>
        <w:ind w:firstLine="480" w:firstLineChars="200"/>
        <w:contextualSpacing/>
        <w:rPr>
          <w:rFonts w:hint="eastAsia" w:ascii="宋体" w:hAnsi="宋体" w:cs="仿宋_GB2312"/>
          <w:color w:val="auto"/>
          <w:spacing w:val="0"/>
          <w:position w:val="0"/>
          <w:sz w:val="24"/>
          <w:highlight w:val="none"/>
        </w:rPr>
      </w:pPr>
    </w:p>
    <w:p w14:paraId="7DFE940F">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211B28C8">
      <w:pPr>
        <w:spacing w:line="360" w:lineRule="auto"/>
        <w:contextualSpacing/>
        <w:rPr>
          <w:rFonts w:hint="eastAsia" w:ascii="宋体" w:hAnsi="宋体" w:cs="仿宋_GB2312"/>
          <w:color w:val="auto"/>
          <w:spacing w:val="0"/>
          <w:position w:val="0"/>
          <w:sz w:val="24"/>
          <w:highlight w:val="none"/>
        </w:rPr>
      </w:pPr>
    </w:p>
    <w:p w14:paraId="57097C48">
      <w:pPr>
        <w:spacing w:line="360" w:lineRule="auto"/>
        <w:contextualSpacing/>
        <w:rPr>
          <w:rFonts w:hint="eastAsia" w:ascii="宋体" w:hAnsi="宋体" w:cs="仿宋_GB2312"/>
          <w:color w:val="auto"/>
          <w:spacing w:val="0"/>
          <w:position w:val="0"/>
          <w:sz w:val="24"/>
          <w:highlight w:val="none"/>
        </w:rPr>
      </w:pPr>
    </w:p>
    <w:p w14:paraId="1BF9B2C5">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5C9DA713">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77650F9F">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37305EA1">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1AC439D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1516275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658F374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14358C42">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0BAADB19">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255ACF1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699F3D3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51266CF4">
      <w:pPr>
        <w:spacing w:line="360" w:lineRule="auto"/>
        <w:ind w:left="540"/>
        <w:contextualSpacing/>
        <w:rPr>
          <w:rFonts w:hint="eastAsia" w:ascii="宋体" w:hAnsi="宋体" w:cs="仿宋_GB2312"/>
          <w:color w:val="auto"/>
          <w:spacing w:val="0"/>
          <w:position w:val="0"/>
          <w:sz w:val="24"/>
          <w:highlight w:val="none"/>
        </w:rPr>
      </w:pPr>
    </w:p>
    <w:p w14:paraId="5D07707C">
      <w:pPr>
        <w:spacing w:line="360" w:lineRule="auto"/>
        <w:ind w:left="540"/>
        <w:contextualSpacing/>
        <w:rPr>
          <w:rFonts w:hint="eastAsia" w:ascii="宋体" w:hAnsi="宋体" w:cs="仿宋_GB2312"/>
          <w:color w:val="auto"/>
          <w:spacing w:val="0"/>
          <w:position w:val="0"/>
          <w:sz w:val="24"/>
          <w:highlight w:val="none"/>
        </w:rPr>
      </w:pPr>
    </w:p>
    <w:p w14:paraId="2CFDEB21">
      <w:pPr>
        <w:spacing w:line="360" w:lineRule="auto"/>
        <w:ind w:left="540"/>
        <w:contextualSpacing/>
        <w:rPr>
          <w:rFonts w:hint="eastAsia" w:ascii="宋体" w:hAnsi="宋体" w:cs="仿宋_GB2312"/>
          <w:color w:val="auto"/>
          <w:spacing w:val="0"/>
          <w:position w:val="0"/>
          <w:sz w:val="24"/>
          <w:highlight w:val="none"/>
        </w:rPr>
      </w:pPr>
    </w:p>
    <w:p w14:paraId="45133B1D">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3CB4F9BD">
      <w:pPr>
        <w:spacing w:line="360" w:lineRule="auto"/>
        <w:ind w:left="540"/>
        <w:contextualSpacing/>
        <w:rPr>
          <w:rFonts w:hint="eastAsia" w:ascii="宋体" w:hAnsi="宋体" w:cs="仿宋_GB2312"/>
          <w:color w:val="auto"/>
          <w:spacing w:val="0"/>
          <w:position w:val="0"/>
          <w:sz w:val="24"/>
          <w:highlight w:val="none"/>
        </w:rPr>
      </w:pPr>
    </w:p>
    <w:p w14:paraId="3D813B70">
      <w:pPr>
        <w:spacing w:line="360" w:lineRule="auto"/>
        <w:ind w:left="540"/>
        <w:contextualSpacing/>
        <w:rPr>
          <w:rFonts w:hint="eastAsia" w:ascii="宋体" w:hAnsi="宋体" w:cs="仿宋_GB2312"/>
          <w:color w:val="auto"/>
          <w:spacing w:val="0"/>
          <w:position w:val="0"/>
          <w:sz w:val="24"/>
          <w:highlight w:val="none"/>
        </w:rPr>
      </w:pPr>
    </w:p>
    <w:p w14:paraId="42194B14">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0E014303">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25E6C1AC">
      <w:pPr>
        <w:spacing w:line="360" w:lineRule="auto"/>
        <w:contextualSpacing/>
        <w:jc w:val="center"/>
        <w:rPr>
          <w:rFonts w:hint="eastAsia" w:ascii="宋体" w:hAnsi="宋体" w:cs="仿宋_GB2312"/>
          <w:b/>
          <w:color w:val="auto"/>
          <w:spacing w:val="0"/>
          <w:position w:val="0"/>
          <w:sz w:val="24"/>
          <w:highlight w:val="none"/>
        </w:rPr>
      </w:pPr>
    </w:p>
    <w:p w14:paraId="021EC1CE">
      <w:pPr>
        <w:adjustRightInd w:val="0"/>
        <w:snapToGrid w:val="0"/>
        <w:spacing w:line="300" w:lineRule="auto"/>
        <w:jc w:val="left"/>
        <w:rPr>
          <w:rFonts w:hint="eastAsia" w:ascii="宋体" w:hAnsi="宋体"/>
          <w:b/>
          <w:color w:val="auto"/>
          <w:spacing w:val="0"/>
          <w:position w:val="0"/>
          <w:szCs w:val="21"/>
          <w:highlight w:val="none"/>
        </w:rPr>
      </w:pPr>
    </w:p>
    <w:p w14:paraId="0F3695DE">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4"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59FF9AF7">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00F7865A">
      <w:pPr>
        <w:spacing w:line="520" w:lineRule="exact"/>
        <w:rPr>
          <w:rFonts w:hint="eastAsia" w:ascii="仿宋_GB2312" w:hAnsi="仿宋_GB2312" w:eastAsia="仿宋_GB2312" w:cs="仿宋_GB2312"/>
          <w:color w:val="auto"/>
          <w:spacing w:val="0"/>
          <w:position w:val="0"/>
          <w:sz w:val="32"/>
          <w:szCs w:val="32"/>
          <w:highlight w:val="none"/>
        </w:rPr>
      </w:pPr>
    </w:p>
    <w:p w14:paraId="209E428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1F07467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（姓名）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（供应商名称）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rPr>
        <w:t xml:space="preserve"> （姓名） </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6A1A7E60">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21FF131A">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50ECAB8D">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6376D867">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3C167391">
      <w:pPr>
        <w:spacing w:line="360" w:lineRule="auto"/>
        <w:rPr>
          <w:rFonts w:hint="eastAsia" w:ascii="宋体" w:hAnsi="宋体" w:cs="仿宋_GB2312"/>
          <w:color w:val="auto"/>
          <w:spacing w:val="0"/>
          <w:position w:val="0"/>
          <w:sz w:val="24"/>
          <w:highlight w:val="none"/>
        </w:rPr>
      </w:pPr>
    </w:p>
    <w:p w14:paraId="7C87417A">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5D234FE7">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1F617BA3">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2F01358A">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64B0C04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062DDAA7">
      <w:pPr>
        <w:spacing w:line="360" w:lineRule="auto"/>
        <w:rPr>
          <w:rFonts w:hint="eastAsia" w:ascii="宋体" w:hAnsi="宋体" w:cs="仿宋_GB2312"/>
          <w:color w:val="auto"/>
          <w:spacing w:val="0"/>
          <w:position w:val="0"/>
          <w:sz w:val="24"/>
          <w:highlight w:val="none"/>
        </w:rPr>
      </w:pPr>
    </w:p>
    <w:p w14:paraId="5B74D070">
      <w:pPr>
        <w:spacing w:line="360" w:lineRule="auto"/>
        <w:rPr>
          <w:rFonts w:hint="eastAsia" w:ascii="宋体" w:hAnsi="宋体" w:cs="仿宋_GB2312"/>
          <w:color w:val="auto"/>
          <w:spacing w:val="0"/>
          <w:position w:val="0"/>
          <w:sz w:val="24"/>
          <w:highlight w:val="none"/>
        </w:rPr>
      </w:pPr>
    </w:p>
    <w:p w14:paraId="3E494C52">
      <w:pPr>
        <w:spacing w:line="360" w:lineRule="auto"/>
        <w:rPr>
          <w:rFonts w:hint="eastAsia" w:ascii="宋体" w:hAnsi="宋体" w:cs="仿宋_GB2312"/>
          <w:color w:val="auto"/>
          <w:spacing w:val="0"/>
          <w:position w:val="0"/>
          <w:sz w:val="24"/>
          <w:highlight w:val="none"/>
        </w:rPr>
      </w:pPr>
    </w:p>
    <w:p w14:paraId="2D1DEA2A">
      <w:pPr>
        <w:spacing w:line="360" w:lineRule="auto"/>
        <w:rPr>
          <w:rFonts w:hint="eastAsia" w:ascii="宋体" w:hAnsi="宋体" w:cs="仿宋_GB2312"/>
          <w:color w:val="auto"/>
          <w:spacing w:val="0"/>
          <w:position w:val="0"/>
          <w:sz w:val="24"/>
          <w:highlight w:val="none"/>
        </w:rPr>
      </w:pPr>
    </w:p>
    <w:p w14:paraId="4C4ECE3E">
      <w:pPr>
        <w:spacing w:line="360" w:lineRule="auto"/>
        <w:rPr>
          <w:rFonts w:hint="eastAsia" w:ascii="宋体" w:hAnsi="宋体" w:cs="仿宋_GB2312"/>
          <w:color w:val="auto"/>
          <w:spacing w:val="0"/>
          <w:position w:val="0"/>
          <w:sz w:val="24"/>
          <w:highlight w:val="none"/>
        </w:rPr>
      </w:pPr>
    </w:p>
    <w:p w14:paraId="485FA6FB">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5B2AB051">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6DF823EC">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4"/>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5C7B40B9">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5B55F67A">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0863ADEE">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C1B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1A1B631D">
            <w:pPr>
              <w:ind w:left="223" w:hanging="222" w:hangingChars="106"/>
              <w:jc w:val="center"/>
              <w:rPr>
                <w:color w:val="auto"/>
                <w:spacing w:val="0"/>
                <w:position w:val="0"/>
                <w:highlight w:val="none"/>
              </w:rPr>
            </w:pPr>
            <w:r>
              <w:rPr>
                <w:color w:val="auto"/>
                <w:spacing w:val="0"/>
                <w:position w:val="0"/>
                <w:highlight w:val="none"/>
              </w:rPr>
              <w:t>岗位</w:t>
            </w:r>
          </w:p>
        </w:tc>
        <w:tc>
          <w:tcPr>
            <w:tcW w:w="670" w:type="dxa"/>
            <w:vMerge w:val="restart"/>
            <w:noWrap w:val="0"/>
            <w:vAlign w:val="center"/>
          </w:tcPr>
          <w:p w14:paraId="3D59E1A3">
            <w:pPr>
              <w:ind w:left="223" w:hanging="222" w:hangingChars="106"/>
              <w:jc w:val="center"/>
              <w:rPr>
                <w:color w:val="auto"/>
                <w:spacing w:val="0"/>
                <w:position w:val="0"/>
                <w:highlight w:val="none"/>
              </w:rPr>
            </w:pPr>
            <w:r>
              <w:rPr>
                <w:color w:val="auto"/>
                <w:spacing w:val="0"/>
                <w:position w:val="0"/>
                <w:highlight w:val="none"/>
              </w:rPr>
              <w:t>姓名</w:t>
            </w:r>
          </w:p>
        </w:tc>
        <w:tc>
          <w:tcPr>
            <w:tcW w:w="829" w:type="dxa"/>
            <w:vMerge w:val="restart"/>
            <w:noWrap w:val="0"/>
            <w:vAlign w:val="center"/>
          </w:tcPr>
          <w:p w14:paraId="7DB463E4">
            <w:pPr>
              <w:jc w:val="center"/>
              <w:rPr>
                <w:color w:val="auto"/>
                <w:spacing w:val="0"/>
                <w:position w:val="0"/>
                <w:highlight w:val="none"/>
              </w:rPr>
            </w:pPr>
            <w:r>
              <w:rPr>
                <w:color w:val="auto"/>
                <w:spacing w:val="0"/>
                <w:position w:val="0"/>
                <w:highlight w:val="none"/>
              </w:rPr>
              <w:t>身份证号</w:t>
            </w:r>
          </w:p>
        </w:tc>
        <w:tc>
          <w:tcPr>
            <w:tcW w:w="816" w:type="dxa"/>
            <w:vMerge w:val="restart"/>
            <w:noWrap w:val="0"/>
            <w:vAlign w:val="center"/>
          </w:tcPr>
          <w:p w14:paraId="42DD771B">
            <w:pPr>
              <w:ind w:left="223" w:hanging="222" w:hangingChars="106"/>
              <w:jc w:val="center"/>
              <w:rPr>
                <w:color w:val="auto"/>
                <w:spacing w:val="0"/>
                <w:position w:val="0"/>
                <w:highlight w:val="none"/>
              </w:rPr>
            </w:pPr>
            <w:r>
              <w:rPr>
                <w:color w:val="auto"/>
                <w:spacing w:val="0"/>
                <w:position w:val="0"/>
                <w:highlight w:val="none"/>
              </w:rPr>
              <w:t>职称</w:t>
            </w:r>
          </w:p>
        </w:tc>
        <w:tc>
          <w:tcPr>
            <w:tcW w:w="4188" w:type="dxa"/>
            <w:gridSpan w:val="4"/>
            <w:noWrap w:val="0"/>
            <w:vAlign w:val="center"/>
          </w:tcPr>
          <w:p w14:paraId="42C299F3">
            <w:pPr>
              <w:ind w:left="223" w:hanging="222" w:hangingChars="106"/>
              <w:jc w:val="center"/>
              <w:rPr>
                <w:color w:val="auto"/>
                <w:spacing w:val="0"/>
                <w:position w:val="0"/>
                <w:highlight w:val="none"/>
              </w:rPr>
            </w:pPr>
            <w:r>
              <w:rPr>
                <w:color w:val="auto"/>
                <w:spacing w:val="0"/>
                <w:position w:val="0"/>
                <w:highlight w:val="none"/>
              </w:rPr>
              <w:t>执业或职业资格</w:t>
            </w:r>
          </w:p>
        </w:tc>
        <w:tc>
          <w:tcPr>
            <w:tcW w:w="2443" w:type="dxa"/>
            <w:gridSpan w:val="2"/>
            <w:noWrap w:val="0"/>
            <w:vAlign w:val="center"/>
          </w:tcPr>
          <w:p w14:paraId="6FF725D6">
            <w:pPr>
              <w:jc w:val="left"/>
              <w:rPr>
                <w:color w:val="auto"/>
                <w:spacing w:val="0"/>
                <w:position w:val="0"/>
                <w:highlight w:val="none"/>
              </w:rPr>
            </w:pPr>
            <w:r>
              <w:rPr>
                <w:color w:val="auto"/>
                <w:spacing w:val="0"/>
                <w:position w:val="0"/>
                <w:highlight w:val="none"/>
              </w:rPr>
              <w:t>承担完工</w:t>
            </w:r>
            <w:r>
              <w:rPr>
                <w:rFonts w:hint="eastAsia"/>
                <w:color w:val="auto"/>
                <w:spacing w:val="0"/>
                <w:position w:val="0"/>
                <w:highlight w:val="none"/>
              </w:rPr>
              <w:t>、</w:t>
            </w:r>
            <w:r>
              <w:rPr>
                <w:color w:val="auto"/>
                <w:spacing w:val="0"/>
                <w:position w:val="0"/>
                <w:highlight w:val="none"/>
              </w:rPr>
              <w:t>在建工程情况</w:t>
            </w:r>
          </w:p>
        </w:tc>
      </w:tr>
      <w:tr w14:paraId="79A9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0854BC7E">
            <w:pPr>
              <w:ind w:left="223" w:hanging="222" w:hangingChars="106"/>
              <w:jc w:val="center"/>
              <w:rPr>
                <w:color w:val="auto"/>
                <w:spacing w:val="0"/>
                <w:position w:val="0"/>
                <w:highlight w:val="none"/>
              </w:rPr>
            </w:pPr>
          </w:p>
        </w:tc>
        <w:tc>
          <w:tcPr>
            <w:tcW w:w="670" w:type="dxa"/>
            <w:vMerge w:val="continue"/>
            <w:noWrap w:val="0"/>
            <w:vAlign w:val="center"/>
          </w:tcPr>
          <w:p w14:paraId="45EF9101">
            <w:pPr>
              <w:ind w:left="223" w:hanging="222" w:hangingChars="106"/>
              <w:jc w:val="center"/>
              <w:rPr>
                <w:color w:val="auto"/>
                <w:spacing w:val="0"/>
                <w:position w:val="0"/>
                <w:highlight w:val="none"/>
              </w:rPr>
            </w:pPr>
          </w:p>
        </w:tc>
        <w:tc>
          <w:tcPr>
            <w:tcW w:w="829" w:type="dxa"/>
            <w:vMerge w:val="continue"/>
            <w:noWrap w:val="0"/>
            <w:vAlign w:val="center"/>
          </w:tcPr>
          <w:p w14:paraId="7F20258C">
            <w:pPr>
              <w:ind w:left="223" w:hanging="222" w:hangingChars="106"/>
              <w:jc w:val="center"/>
              <w:rPr>
                <w:color w:val="auto"/>
                <w:spacing w:val="0"/>
                <w:position w:val="0"/>
                <w:highlight w:val="none"/>
              </w:rPr>
            </w:pPr>
          </w:p>
        </w:tc>
        <w:tc>
          <w:tcPr>
            <w:tcW w:w="816" w:type="dxa"/>
            <w:vMerge w:val="continue"/>
            <w:noWrap w:val="0"/>
            <w:vAlign w:val="center"/>
          </w:tcPr>
          <w:p w14:paraId="64DF590C">
            <w:pPr>
              <w:ind w:left="223" w:hanging="222" w:hangingChars="106"/>
              <w:jc w:val="center"/>
              <w:rPr>
                <w:color w:val="auto"/>
                <w:spacing w:val="0"/>
                <w:position w:val="0"/>
                <w:highlight w:val="none"/>
              </w:rPr>
            </w:pPr>
          </w:p>
        </w:tc>
        <w:tc>
          <w:tcPr>
            <w:tcW w:w="1148" w:type="dxa"/>
            <w:noWrap w:val="0"/>
            <w:vAlign w:val="center"/>
          </w:tcPr>
          <w:p w14:paraId="680D5A37">
            <w:pPr>
              <w:ind w:left="223" w:hanging="222" w:hangingChars="106"/>
              <w:jc w:val="center"/>
              <w:rPr>
                <w:color w:val="auto"/>
                <w:spacing w:val="0"/>
                <w:position w:val="0"/>
                <w:highlight w:val="none"/>
              </w:rPr>
            </w:pPr>
            <w:r>
              <w:rPr>
                <w:color w:val="auto"/>
                <w:spacing w:val="0"/>
                <w:position w:val="0"/>
                <w:highlight w:val="none"/>
              </w:rPr>
              <w:t>证书名称</w:t>
            </w:r>
          </w:p>
        </w:tc>
        <w:tc>
          <w:tcPr>
            <w:tcW w:w="1148" w:type="dxa"/>
            <w:noWrap w:val="0"/>
            <w:vAlign w:val="center"/>
          </w:tcPr>
          <w:p w14:paraId="30A6750A">
            <w:pPr>
              <w:ind w:left="223" w:hanging="222" w:hangingChars="106"/>
              <w:jc w:val="center"/>
              <w:rPr>
                <w:color w:val="auto"/>
                <w:spacing w:val="0"/>
                <w:position w:val="0"/>
                <w:highlight w:val="none"/>
              </w:rPr>
            </w:pPr>
            <w:r>
              <w:rPr>
                <w:color w:val="auto"/>
                <w:spacing w:val="0"/>
                <w:position w:val="0"/>
                <w:highlight w:val="none"/>
              </w:rPr>
              <w:t>级别</w:t>
            </w:r>
          </w:p>
        </w:tc>
        <w:tc>
          <w:tcPr>
            <w:tcW w:w="1148" w:type="dxa"/>
            <w:noWrap w:val="0"/>
            <w:vAlign w:val="center"/>
          </w:tcPr>
          <w:p w14:paraId="13FF060D">
            <w:pPr>
              <w:ind w:left="223" w:hanging="222" w:hangingChars="106"/>
              <w:jc w:val="center"/>
              <w:rPr>
                <w:color w:val="auto"/>
                <w:spacing w:val="0"/>
                <w:position w:val="0"/>
                <w:highlight w:val="none"/>
              </w:rPr>
            </w:pPr>
            <w:r>
              <w:rPr>
                <w:color w:val="auto"/>
                <w:spacing w:val="0"/>
                <w:position w:val="0"/>
                <w:highlight w:val="none"/>
              </w:rPr>
              <w:t>证号</w:t>
            </w:r>
          </w:p>
        </w:tc>
        <w:tc>
          <w:tcPr>
            <w:tcW w:w="744" w:type="dxa"/>
            <w:noWrap w:val="0"/>
            <w:vAlign w:val="center"/>
          </w:tcPr>
          <w:p w14:paraId="1CED4732">
            <w:pPr>
              <w:ind w:left="223" w:hanging="222" w:hangingChars="106"/>
              <w:jc w:val="center"/>
              <w:rPr>
                <w:color w:val="auto"/>
                <w:spacing w:val="0"/>
                <w:position w:val="0"/>
                <w:highlight w:val="none"/>
              </w:rPr>
            </w:pPr>
            <w:r>
              <w:rPr>
                <w:color w:val="auto"/>
                <w:spacing w:val="0"/>
                <w:position w:val="0"/>
                <w:highlight w:val="none"/>
              </w:rPr>
              <w:t>专业</w:t>
            </w:r>
          </w:p>
        </w:tc>
        <w:tc>
          <w:tcPr>
            <w:tcW w:w="1167" w:type="dxa"/>
            <w:noWrap w:val="0"/>
            <w:vAlign w:val="center"/>
          </w:tcPr>
          <w:p w14:paraId="7F1B2109">
            <w:pPr>
              <w:jc w:val="center"/>
              <w:rPr>
                <w:color w:val="auto"/>
                <w:spacing w:val="0"/>
                <w:position w:val="0"/>
                <w:highlight w:val="none"/>
              </w:rPr>
            </w:pPr>
            <w:r>
              <w:rPr>
                <w:rFonts w:hint="eastAsia"/>
                <w:color w:val="auto"/>
                <w:spacing w:val="0"/>
                <w:position w:val="0"/>
                <w:highlight w:val="none"/>
              </w:rPr>
              <w:t>完工/在建</w:t>
            </w:r>
          </w:p>
        </w:tc>
        <w:tc>
          <w:tcPr>
            <w:tcW w:w="1276" w:type="dxa"/>
            <w:noWrap w:val="0"/>
            <w:vAlign w:val="center"/>
          </w:tcPr>
          <w:p w14:paraId="74ED31D5">
            <w:pPr>
              <w:jc w:val="center"/>
              <w:rPr>
                <w:color w:val="auto"/>
                <w:spacing w:val="0"/>
                <w:position w:val="0"/>
                <w:highlight w:val="none"/>
              </w:rPr>
            </w:pPr>
            <w:r>
              <w:rPr>
                <w:color w:val="auto"/>
                <w:spacing w:val="0"/>
                <w:position w:val="0"/>
                <w:highlight w:val="none"/>
              </w:rPr>
              <w:t>主要项目</w:t>
            </w:r>
          </w:p>
          <w:p w14:paraId="395646B2">
            <w:pPr>
              <w:jc w:val="center"/>
              <w:rPr>
                <w:color w:val="auto"/>
                <w:spacing w:val="0"/>
                <w:position w:val="0"/>
                <w:highlight w:val="none"/>
              </w:rPr>
            </w:pPr>
            <w:r>
              <w:rPr>
                <w:color w:val="auto"/>
                <w:spacing w:val="0"/>
                <w:position w:val="0"/>
                <w:highlight w:val="none"/>
              </w:rPr>
              <w:t>名称</w:t>
            </w:r>
          </w:p>
        </w:tc>
      </w:tr>
      <w:tr w14:paraId="2E53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68859BB">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1.</w:t>
            </w:r>
            <w:r>
              <w:rPr>
                <w:color w:val="auto"/>
                <w:spacing w:val="0"/>
                <w:position w:val="0"/>
                <w:sz w:val="21"/>
                <w:szCs w:val="21"/>
                <w:highlight w:val="none"/>
                <w:lang w:eastAsia="zh-CN"/>
              </w:rPr>
              <w:t>项目经理</w:t>
            </w:r>
          </w:p>
        </w:tc>
        <w:tc>
          <w:tcPr>
            <w:tcW w:w="670" w:type="dxa"/>
            <w:noWrap w:val="0"/>
            <w:vAlign w:val="center"/>
          </w:tcPr>
          <w:p w14:paraId="0570ACCF">
            <w:pPr>
              <w:ind w:left="223" w:hanging="222" w:hangingChars="106"/>
              <w:jc w:val="center"/>
              <w:rPr>
                <w:color w:val="auto"/>
                <w:spacing w:val="0"/>
                <w:position w:val="0"/>
                <w:szCs w:val="21"/>
                <w:highlight w:val="none"/>
              </w:rPr>
            </w:pPr>
          </w:p>
        </w:tc>
        <w:tc>
          <w:tcPr>
            <w:tcW w:w="829" w:type="dxa"/>
            <w:noWrap w:val="0"/>
            <w:vAlign w:val="center"/>
          </w:tcPr>
          <w:p w14:paraId="0720DC69">
            <w:pPr>
              <w:ind w:left="223" w:hanging="222" w:hangingChars="106"/>
              <w:jc w:val="center"/>
              <w:rPr>
                <w:color w:val="auto"/>
                <w:spacing w:val="0"/>
                <w:position w:val="0"/>
                <w:szCs w:val="21"/>
                <w:highlight w:val="none"/>
              </w:rPr>
            </w:pPr>
          </w:p>
        </w:tc>
        <w:tc>
          <w:tcPr>
            <w:tcW w:w="816" w:type="dxa"/>
            <w:noWrap w:val="0"/>
            <w:vAlign w:val="center"/>
          </w:tcPr>
          <w:p w14:paraId="3643E954">
            <w:pPr>
              <w:ind w:left="223" w:hanging="222" w:hangingChars="106"/>
              <w:jc w:val="center"/>
              <w:rPr>
                <w:color w:val="auto"/>
                <w:spacing w:val="0"/>
                <w:position w:val="0"/>
                <w:szCs w:val="21"/>
                <w:highlight w:val="none"/>
              </w:rPr>
            </w:pPr>
          </w:p>
        </w:tc>
        <w:tc>
          <w:tcPr>
            <w:tcW w:w="1148" w:type="dxa"/>
            <w:noWrap w:val="0"/>
            <w:vAlign w:val="center"/>
          </w:tcPr>
          <w:p w14:paraId="6680A0A5">
            <w:pPr>
              <w:ind w:left="223" w:hanging="222" w:hangingChars="106"/>
              <w:jc w:val="center"/>
              <w:rPr>
                <w:color w:val="auto"/>
                <w:spacing w:val="0"/>
                <w:position w:val="0"/>
                <w:szCs w:val="21"/>
                <w:highlight w:val="none"/>
              </w:rPr>
            </w:pPr>
          </w:p>
        </w:tc>
        <w:tc>
          <w:tcPr>
            <w:tcW w:w="1148" w:type="dxa"/>
            <w:noWrap w:val="0"/>
            <w:vAlign w:val="center"/>
          </w:tcPr>
          <w:p w14:paraId="1E142080">
            <w:pPr>
              <w:ind w:left="223" w:hanging="222" w:hangingChars="106"/>
              <w:jc w:val="center"/>
              <w:rPr>
                <w:color w:val="auto"/>
                <w:spacing w:val="0"/>
                <w:position w:val="0"/>
                <w:szCs w:val="21"/>
                <w:highlight w:val="none"/>
              </w:rPr>
            </w:pPr>
          </w:p>
        </w:tc>
        <w:tc>
          <w:tcPr>
            <w:tcW w:w="1148" w:type="dxa"/>
            <w:noWrap w:val="0"/>
            <w:vAlign w:val="center"/>
          </w:tcPr>
          <w:p w14:paraId="400BFA3E">
            <w:pPr>
              <w:ind w:left="223" w:hanging="222" w:hangingChars="106"/>
              <w:jc w:val="center"/>
              <w:rPr>
                <w:color w:val="auto"/>
                <w:spacing w:val="0"/>
                <w:position w:val="0"/>
                <w:szCs w:val="21"/>
                <w:highlight w:val="none"/>
              </w:rPr>
            </w:pPr>
          </w:p>
        </w:tc>
        <w:tc>
          <w:tcPr>
            <w:tcW w:w="744" w:type="dxa"/>
            <w:noWrap w:val="0"/>
            <w:vAlign w:val="center"/>
          </w:tcPr>
          <w:p w14:paraId="26D64E0C">
            <w:pPr>
              <w:ind w:left="223" w:hanging="222" w:hangingChars="106"/>
              <w:jc w:val="center"/>
              <w:rPr>
                <w:color w:val="auto"/>
                <w:spacing w:val="0"/>
                <w:position w:val="0"/>
                <w:szCs w:val="21"/>
                <w:highlight w:val="none"/>
              </w:rPr>
            </w:pPr>
          </w:p>
        </w:tc>
        <w:tc>
          <w:tcPr>
            <w:tcW w:w="1167" w:type="dxa"/>
            <w:noWrap w:val="0"/>
            <w:vAlign w:val="center"/>
          </w:tcPr>
          <w:p w14:paraId="6CD5ABC0">
            <w:pPr>
              <w:ind w:left="223" w:hanging="222" w:hangingChars="106"/>
              <w:jc w:val="center"/>
              <w:rPr>
                <w:color w:val="auto"/>
                <w:spacing w:val="0"/>
                <w:position w:val="0"/>
                <w:szCs w:val="21"/>
                <w:highlight w:val="none"/>
              </w:rPr>
            </w:pPr>
          </w:p>
        </w:tc>
        <w:tc>
          <w:tcPr>
            <w:tcW w:w="1276" w:type="dxa"/>
            <w:noWrap w:val="0"/>
            <w:vAlign w:val="center"/>
          </w:tcPr>
          <w:p w14:paraId="5577D56F">
            <w:pPr>
              <w:ind w:left="223" w:hanging="222" w:hangingChars="106"/>
              <w:jc w:val="center"/>
              <w:rPr>
                <w:color w:val="auto"/>
                <w:spacing w:val="0"/>
                <w:position w:val="0"/>
                <w:szCs w:val="21"/>
                <w:highlight w:val="none"/>
              </w:rPr>
            </w:pPr>
          </w:p>
        </w:tc>
      </w:tr>
      <w:tr w14:paraId="6EDB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1F3FFC7">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zh-CN" w:bidi="en-US"/>
              </w:rPr>
              <w:t>2.</w:t>
            </w:r>
            <w:r>
              <w:rPr>
                <w:color w:val="auto"/>
                <w:spacing w:val="0"/>
                <w:position w:val="0"/>
                <w:sz w:val="21"/>
                <w:szCs w:val="21"/>
                <w:highlight w:val="none"/>
                <w:lang w:eastAsia="zh-CN"/>
              </w:rPr>
              <w:t>技术负责人</w:t>
            </w:r>
            <w:r>
              <w:rPr>
                <w:rFonts w:hint="eastAsia"/>
                <w:color w:val="auto"/>
                <w:spacing w:val="0"/>
                <w:position w:val="0"/>
                <w:sz w:val="21"/>
                <w:szCs w:val="21"/>
                <w:highlight w:val="none"/>
                <w:lang w:eastAsia="zh-CN"/>
              </w:rPr>
              <w:t>（项目总工）</w:t>
            </w:r>
          </w:p>
        </w:tc>
        <w:tc>
          <w:tcPr>
            <w:tcW w:w="670" w:type="dxa"/>
            <w:noWrap w:val="0"/>
            <w:vAlign w:val="center"/>
          </w:tcPr>
          <w:p w14:paraId="2D1ABB36">
            <w:pPr>
              <w:ind w:left="223" w:hanging="222" w:hangingChars="106"/>
              <w:jc w:val="center"/>
              <w:rPr>
                <w:color w:val="auto"/>
                <w:spacing w:val="0"/>
                <w:position w:val="0"/>
                <w:szCs w:val="21"/>
                <w:highlight w:val="none"/>
              </w:rPr>
            </w:pPr>
          </w:p>
        </w:tc>
        <w:tc>
          <w:tcPr>
            <w:tcW w:w="829" w:type="dxa"/>
            <w:noWrap w:val="0"/>
            <w:vAlign w:val="center"/>
          </w:tcPr>
          <w:p w14:paraId="0F625F3E">
            <w:pPr>
              <w:ind w:left="223" w:hanging="222" w:hangingChars="106"/>
              <w:jc w:val="center"/>
              <w:rPr>
                <w:color w:val="auto"/>
                <w:spacing w:val="0"/>
                <w:position w:val="0"/>
                <w:szCs w:val="21"/>
                <w:highlight w:val="none"/>
              </w:rPr>
            </w:pPr>
          </w:p>
        </w:tc>
        <w:tc>
          <w:tcPr>
            <w:tcW w:w="816" w:type="dxa"/>
            <w:noWrap w:val="0"/>
            <w:vAlign w:val="center"/>
          </w:tcPr>
          <w:p w14:paraId="415DD51E">
            <w:pPr>
              <w:ind w:left="223" w:hanging="222" w:hangingChars="106"/>
              <w:jc w:val="center"/>
              <w:rPr>
                <w:color w:val="auto"/>
                <w:spacing w:val="0"/>
                <w:position w:val="0"/>
                <w:szCs w:val="21"/>
                <w:highlight w:val="none"/>
              </w:rPr>
            </w:pPr>
          </w:p>
        </w:tc>
        <w:tc>
          <w:tcPr>
            <w:tcW w:w="1148" w:type="dxa"/>
            <w:noWrap w:val="0"/>
            <w:vAlign w:val="center"/>
          </w:tcPr>
          <w:p w14:paraId="41C59636">
            <w:pPr>
              <w:ind w:left="223" w:hanging="222" w:hangingChars="106"/>
              <w:jc w:val="center"/>
              <w:rPr>
                <w:color w:val="auto"/>
                <w:spacing w:val="0"/>
                <w:position w:val="0"/>
                <w:szCs w:val="21"/>
                <w:highlight w:val="none"/>
              </w:rPr>
            </w:pPr>
          </w:p>
        </w:tc>
        <w:tc>
          <w:tcPr>
            <w:tcW w:w="1148" w:type="dxa"/>
            <w:noWrap w:val="0"/>
            <w:vAlign w:val="center"/>
          </w:tcPr>
          <w:p w14:paraId="6576B290">
            <w:pPr>
              <w:ind w:left="223" w:hanging="222" w:hangingChars="106"/>
              <w:jc w:val="center"/>
              <w:rPr>
                <w:color w:val="auto"/>
                <w:spacing w:val="0"/>
                <w:position w:val="0"/>
                <w:szCs w:val="21"/>
                <w:highlight w:val="none"/>
              </w:rPr>
            </w:pPr>
          </w:p>
        </w:tc>
        <w:tc>
          <w:tcPr>
            <w:tcW w:w="1148" w:type="dxa"/>
            <w:noWrap w:val="0"/>
            <w:vAlign w:val="center"/>
          </w:tcPr>
          <w:p w14:paraId="68E43B8A">
            <w:pPr>
              <w:ind w:left="223" w:hanging="222" w:hangingChars="106"/>
              <w:jc w:val="center"/>
              <w:rPr>
                <w:color w:val="auto"/>
                <w:spacing w:val="0"/>
                <w:position w:val="0"/>
                <w:szCs w:val="21"/>
                <w:highlight w:val="none"/>
              </w:rPr>
            </w:pPr>
          </w:p>
        </w:tc>
        <w:tc>
          <w:tcPr>
            <w:tcW w:w="744" w:type="dxa"/>
            <w:noWrap w:val="0"/>
            <w:vAlign w:val="center"/>
          </w:tcPr>
          <w:p w14:paraId="0D689464">
            <w:pPr>
              <w:ind w:left="223" w:hanging="222" w:hangingChars="106"/>
              <w:jc w:val="center"/>
              <w:rPr>
                <w:color w:val="auto"/>
                <w:spacing w:val="0"/>
                <w:position w:val="0"/>
                <w:szCs w:val="21"/>
                <w:highlight w:val="none"/>
              </w:rPr>
            </w:pPr>
          </w:p>
        </w:tc>
        <w:tc>
          <w:tcPr>
            <w:tcW w:w="1167" w:type="dxa"/>
            <w:noWrap w:val="0"/>
            <w:vAlign w:val="center"/>
          </w:tcPr>
          <w:p w14:paraId="064C9361">
            <w:pPr>
              <w:ind w:left="223" w:hanging="222" w:hangingChars="106"/>
              <w:jc w:val="center"/>
              <w:rPr>
                <w:color w:val="auto"/>
                <w:spacing w:val="0"/>
                <w:position w:val="0"/>
                <w:szCs w:val="21"/>
                <w:highlight w:val="none"/>
              </w:rPr>
            </w:pPr>
          </w:p>
        </w:tc>
        <w:tc>
          <w:tcPr>
            <w:tcW w:w="1276" w:type="dxa"/>
            <w:noWrap w:val="0"/>
            <w:vAlign w:val="center"/>
          </w:tcPr>
          <w:p w14:paraId="6D9CFE4D">
            <w:pPr>
              <w:ind w:left="223" w:hanging="222" w:hangingChars="106"/>
              <w:jc w:val="center"/>
              <w:rPr>
                <w:color w:val="auto"/>
                <w:spacing w:val="0"/>
                <w:position w:val="0"/>
                <w:szCs w:val="21"/>
                <w:highlight w:val="none"/>
              </w:rPr>
            </w:pPr>
          </w:p>
        </w:tc>
      </w:tr>
      <w:tr w14:paraId="683A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E5FEB54">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3.</w:t>
            </w:r>
            <w:r>
              <w:rPr>
                <w:rFonts w:hint="eastAsia"/>
                <w:color w:val="auto"/>
                <w:spacing w:val="0"/>
                <w:position w:val="0"/>
                <w:sz w:val="21"/>
                <w:szCs w:val="21"/>
                <w:highlight w:val="none"/>
                <w:lang w:eastAsia="zh-CN"/>
              </w:rPr>
              <w:t xml:space="preserve"> 施工员</w:t>
            </w:r>
          </w:p>
        </w:tc>
        <w:tc>
          <w:tcPr>
            <w:tcW w:w="670" w:type="dxa"/>
            <w:noWrap w:val="0"/>
            <w:vAlign w:val="center"/>
          </w:tcPr>
          <w:p w14:paraId="12B804D3">
            <w:pPr>
              <w:ind w:left="223" w:hanging="222" w:hangingChars="106"/>
              <w:jc w:val="center"/>
              <w:rPr>
                <w:color w:val="auto"/>
                <w:spacing w:val="0"/>
                <w:position w:val="0"/>
                <w:szCs w:val="21"/>
                <w:highlight w:val="none"/>
              </w:rPr>
            </w:pPr>
          </w:p>
        </w:tc>
        <w:tc>
          <w:tcPr>
            <w:tcW w:w="829" w:type="dxa"/>
            <w:noWrap w:val="0"/>
            <w:vAlign w:val="center"/>
          </w:tcPr>
          <w:p w14:paraId="653C9ADE">
            <w:pPr>
              <w:ind w:left="223" w:hanging="222" w:hangingChars="106"/>
              <w:jc w:val="center"/>
              <w:rPr>
                <w:color w:val="auto"/>
                <w:spacing w:val="0"/>
                <w:position w:val="0"/>
                <w:szCs w:val="21"/>
                <w:highlight w:val="none"/>
              </w:rPr>
            </w:pPr>
          </w:p>
        </w:tc>
        <w:tc>
          <w:tcPr>
            <w:tcW w:w="816" w:type="dxa"/>
            <w:noWrap w:val="0"/>
            <w:vAlign w:val="center"/>
          </w:tcPr>
          <w:p w14:paraId="52ACC732">
            <w:pPr>
              <w:ind w:left="223" w:hanging="222" w:hangingChars="106"/>
              <w:jc w:val="center"/>
              <w:rPr>
                <w:color w:val="auto"/>
                <w:spacing w:val="0"/>
                <w:position w:val="0"/>
                <w:szCs w:val="21"/>
                <w:highlight w:val="none"/>
              </w:rPr>
            </w:pPr>
          </w:p>
        </w:tc>
        <w:tc>
          <w:tcPr>
            <w:tcW w:w="1148" w:type="dxa"/>
            <w:noWrap w:val="0"/>
            <w:vAlign w:val="center"/>
          </w:tcPr>
          <w:p w14:paraId="404EACBB">
            <w:pPr>
              <w:ind w:left="223" w:hanging="222" w:hangingChars="106"/>
              <w:jc w:val="center"/>
              <w:rPr>
                <w:color w:val="auto"/>
                <w:spacing w:val="0"/>
                <w:position w:val="0"/>
                <w:szCs w:val="21"/>
                <w:highlight w:val="none"/>
              </w:rPr>
            </w:pPr>
          </w:p>
        </w:tc>
        <w:tc>
          <w:tcPr>
            <w:tcW w:w="1148" w:type="dxa"/>
            <w:noWrap w:val="0"/>
            <w:vAlign w:val="center"/>
          </w:tcPr>
          <w:p w14:paraId="38742EC6">
            <w:pPr>
              <w:ind w:left="223" w:hanging="222" w:hangingChars="106"/>
              <w:jc w:val="center"/>
              <w:rPr>
                <w:color w:val="auto"/>
                <w:spacing w:val="0"/>
                <w:position w:val="0"/>
                <w:szCs w:val="21"/>
                <w:highlight w:val="none"/>
              </w:rPr>
            </w:pPr>
          </w:p>
        </w:tc>
        <w:tc>
          <w:tcPr>
            <w:tcW w:w="1148" w:type="dxa"/>
            <w:noWrap w:val="0"/>
            <w:vAlign w:val="center"/>
          </w:tcPr>
          <w:p w14:paraId="242A0984">
            <w:pPr>
              <w:ind w:left="223" w:hanging="222" w:hangingChars="106"/>
              <w:jc w:val="center"/>
              <w:rPr>
                <w:color w:val="auto"/>
                <w:spacing w:val="0"/>
                <w:position w:val="0"/>
                <w:szCs w:val="21"/>
                <w:highlight w:val="none"/>
              </w:rPr>
            </w:pPr>
          </w:p>
        </w:tc>
        <w:tc>
          <w:tcPr>
            <w:tcW w:w="744" w:type="dxa"/>
            <w:noWrap w:val="0"/>
            <w:vAlign w:val="center"/>
          </w:tcPr>
          <w:p w14:paraId="5C27A9F9">
            <w:pPr>
              <w:ind w:left="223" w:hanging="222" w:hangingChars="106"/>
              <w:jc w:val="center"/>
              <w:rPr>
                <w:color w:val="auto"/>
                <w:spacing w:val="0"/>
                <w:position w:val="0"/>
                <w:szCs w:val="21"/>
                <w:highlight w:val="none"/>
              </w:rPr>
            </w:pPr>
          </w:p>
        </w:tc>
        <w:tc>
          <w:tcPr>
            <w:tcW w:w="1167" w:type="dxa"/>
            <w:noWrap w:val="0"/>
            <w:vAlign w:val="center"/>
          </w:tcPr>
          <w:p w14:paraId="7C17F585">
            <w:pPr>
              <w:ind w:left="223" w:hanging="222" w:hangingChars="106"/>
              <w:jc w:val="center"/>
              <w:rPr>
                <w:color w:val="auto"/>
                <w:spacing w:val="0"/>
                <w:position w:val="0"/>
                <w:szCs w:val="21"/>
                <w:highlight w:val="none"/>
              </w:rPr>
            </w:pPr>
          </w:p>
        </w:tc>
        <w:tc>
          <w:tcPr>
            <w:tcW w:w="1276" w:type="dxa"/>
            <w:noWrap w:val="0"/>
            <w:vAlign w:val="center"/>
          </w:tcPr>
          <w:p w14:paraId="0DA4FEEE">
            <w:pPr>
              <w:ind w:left="223" w:hanging="222" w:hangingChars="106"/>
              <w:jc w:val="center"/>
              <w:rPr>
                <w:color w:val="auto"/>
                <w:spacing w:val="0"/>
                <w:position w:val="0"/>
                <w:szCs w:val="21"/>
                <w:highlight w:val="none"/>
              </w:rPr>
            </w:pPr>
          </w:p>
        </w:tc>
      </w:tr>
      <w:tr w14:paraId="0C1C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BE0CFC8">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4.</w:t>
            </w:r>
            <w:r>
              <w:rPr>
                <w:color w:val="auto"/>
                <w:spacing w:val="0"/>
                <w:position w:val="0"/>
                <w:sz w:val="21"/>
                <w:szCs w:val="21"/>
                <w:highlight w:val="none"/>
                <w:lang w:eastAsia="zh-CN"/>
              </w:rPr>
              <w:t>安全员</w:t>
            </w:r>
          </w:p>
        </w:tc>
        <w:tc>
          <w:tcPr>
            <w:tcW w:w="670" w:type="dxa"/>
            <w:noWrap w:val="0"/>
            <w:vAlign w:val="center"/>
          </w:tcPr>
          <w:p w14:paraId="2A543F52">
            <w:pPr>
              <w:ind w:left="223" w:hanging="222" w:hangingChars="106"/>
              <w:jc w:val="center"/>
              <w:rPr>
                <w:color w:val="auto"/>
                <w:spacing w:val="0"/>
                <w:position w:val="0"/>
                <w:szCs w:val="21"/>
                <w:highlight w:val="none"/>
              </w:rPr>
            </w:pPr>
          </w:p>
        </w:tc>
        <w:tc>
          <w:tcPr>
            <w:tcW w:w="829" w:type="dxa"/>
            <w:noWrap w:val="0"/>
            <w:vAlign w:val="center"/>
          </w:tcPr>
          <w:p w14:paraId="150700B0">
            <w:pPr>
              <w:ind w:left="223" w:hanging="222" w:hangingChars="106"/>
              <w:jc w:val="center"/>
              <w:rPr>
                <w:color w:val="auto"/>
                <w:spacing w:val="0"/>
                <w:position w:val="0"/>
                <w:szCs w:val="21"/>
                <w:highlight w:val="none"/>
              </w:rPr>
            </w:pPr>
          </w:p>
        </w:tc>
        <w:tc>
          <w:tcPr>
            <w:tcW w:w="816" w:type="dxa"/>
            <w:noWrap w:val="0"/>
            <w:vAlign w:val="center"/>
          </w:tcPr>
          <w:p w14:paraId="09DD19C3">
            <w:pPr>
              <w:ind w:left="223" w:hanging="222" w:hangingChars="106"/>
              <w:jc w:val="center"/>
              <w:rPr>
                <w:color w:val="auto"/>
                <w:spacing w:val="0"/>
                <w:position w:val="0"/>
                <w:szCs w:val="21"/>
                <w:highlight w:val="none"/>
              </w:rPr>
            </w:pPr>
          </w:p>
        </w:tc>
        <w:tc>
          <w:tcPr>
            <w:tcW w:w="1148" w:type="dxa"/>
            <w:noWrap w:val="0"/>
            <w:vAlign w:val="center"/>
          </w:tcPr>
          <w:p w14:paraId="1B264C17">
            <w:pPr>
              <w:ind w:left="223" w:hanging="222" w:hangingChars="106"/>
              <w:jc w:val="center"/>
              <w:rPr>
                <w:color w:val="auto"/>
                <w:spacing w:val="0"/>
                <w:position w:val="0"/>
                <w:szCs w:val="21"/>
                <w:highlight w:val="none"/>
              </w:rPr>
            </w:pPr>
          </w:p>
        </w:tc>
        <w:tc>
          <w:tcPr>
            <w:tcW w:w="1148" w:type="dxa"/>
            <w:noWrap w:val="0"/>
            <w:vAlign w:val="center"/>
          </w:tcPr>
          <w:p w14:paraId="782E142C">
            <w:pPr>
              <w:ind w:left="223" w:hanging="222" w:hangingChars="106"/>
              <w:jc w:val="center"/>
              <w:rPr>
                <w:color w:val="auto"/>
                <w:spacing w:val="0"/>
                <w:position w:val="0"/>
                <w:szCs w:val="21"/>
                <w:highlight w:val="none"/>
              </w:rPr>
            </w:pPr>
          </w:p>
        </w:tc>
        <w:tc>
          <w:tcPr>
            <w:tcW w:w="1148" w:type="dxa"/>
            <w:noWrap w:val="0"/>
            <w:vAlign w:val="center"/>
          </w:tcPr>
          <w:p w14:paraId="3133FED6">
            <w:pPr>
              <w:ind w:left="223" w:hanging="222" w:hangingChars="106"/>
              <w:jc w:val="center"/>
              <w:rPr>
                <w:color w:val="auto"/>
                <w:spacing w:val="0"/>
                <w:position w:val="0"/>
                <w:szCs w:val="21"/>
                <w:highlight w:val="none"/>
              </w:rPr>
            </w:pPr>
          </w:p>
        </w:tc>
        <w:tc>
          <w:tcPr>
            <w:tcW w:w="744" w:type="dxa"/>
            <w:noWrap w:val="0"/>
            <w:vAlign w:val="center"/>
          </w:tcPr>
          <w:p w14:paraId="378DBFCC">
            <w:pPr>
              <w:ind w:left="223" w:hanging="222" w:hangingChars="106"/>
              <w:jc w:val="center"/>
              <w:rPr>
                <w:color w:val="auto"/>
                <w:spacing w:val="0"/>
                <w:position w:val="0"/>
                <w:szCs w:val="21"/>
                <w:highlight w:val="none"/>
              </w:rPr>
            </w:pPr>
          </w:p>
        </w:tc>
        <w:tc>
          <w:tcPr>
            <w:tcW w:w="1167" w:type="dxa"/>
            <w:noWrap w:val="0"/>
            <w:vAlign w:val="center"/>
          </w:tcPr>
          <w:p w14:paraId="485D08A0">
            <w:pPr>
              <w:ind w:left="223" w:hanging="222" w:hangingChars="106"/>
              <w:jc w:val="center"/>
              <w:rPr>
                <w:color w:val="auto"/>
                <w:spacing w:val="0"/>
                <w:position w:val="0"/>
                <w:szCs w:val="21"/>
                <w:highlight w:val="none"/>
              </w:rPr>
            </w:pPr>
          </w:p>
        </w:tc>
        <w:tc>
          <w:tcPr>
            <w:tcW w:w="1276" w:type="dxa"/>
            <w:noWrap w:val="0"/>
            <w:vAlign w:val="center"/>
          </w:tcPr>
          <w:p w14:paraId="04D169FD">
            <w:pPr>
              <w:ind w:left="223" w:hanging="222" w:hangingChars="106"/>
              <w:jc w:val="center"/>
              <w:rPr>
                <w:color w:val="auto"/>
                <w:spacing w:val="0"/>
                <w:position w:val="0"/>
                <w:szCs w:val="21"/>
                <w:highlight w:val="none"/>
              </w:rPr>
            </w:pPr>
          </w:p>
        </w:tc>
      </w:tr>
      <w:tr w14:paraId="67C5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10E8293">
            <w:pPr>
              <w:jc w:val="left"/>
              <w:rPr>
                <w:color w:val="auto"/>
                <w:spacing w:val="0"/>
                <w:position w:val="0"/>
                <w:szCs w:val="21"/>
                <w:highlight w:val="none"/>
              </w:rPr>
            </w:pPr>
            <w:r>
              <w:rPr>
                <w:rFonts w:hint="eastAsia"/>
                <w:color w:val="auto"/>
                <w:spacing w:val="0"/>
                <w:position w:val="0"/>
                <w:szCs w:val="21"/>
                <w:highlight w:val="none"/>
              </w:rPr>
              <w:t>5.</w:t>
            </w:r>
            <w:r>
              <w:rPr>
                <w:color w:val="auto"/>
                <w:spacing w:val="0"/>
                <w:position w:val="0"/>
                <w:szCs w:val="21"/>
                <w:highlight w:val="none"/>
              </w:rPr>
              <w:t xml:space="preserve"> 质量员</w:t>
            </w:r>
          </w:p>
        </w:tc>
        <w:tc>
          <w:tcPr>
            <w:tcW w:w="670" w:type="dxa"/>
            <w:noWrap w:val="0"/>
            <w:vAlign w:val="center"/>
          </w:tcPr>
          <w:p w14:paraId="3BA91AA1">
            <w:pPr>
              <w:ind w:left="223" w:hanging="222" w:hangingChars="106"/>
              <w:jc w:val="center"/>
              <w:rPr>
                <w:color w:val="auto"/>
                <w:spacing w:val="0"/>
                <w:position w:val="0"/>
                <w:szCs w:val="21"/>
                <w:highlight w:val="none"/>
              </w:rPr>
            </w:pPr>
          </w:p>
        </w:tc>
        <w:tc>
          <w:tcPr>
            <w:tcW w:w="829" w:type="dxa"/>
            <w:noWrap w:val="0"/>
            <w:vAlign w:val="center"/>
          </w:tcPr>
          <w:p w14:paraId="255FAC89">
            <w:pPr>
              <w:ind w:left="223" w:hanging="222" w:hangingChars="106"/>
              <w:jc w:val="center"/>
              <w:rPr>
                <w:color w:val="auto"/>
                <w:spacing w:val="0"/>
                <w:position w:val="0"/>
                <w:szCs w:val="21"/>
                <w:highlight w:val="none"/>
              </w:rPr>
            </w:pPr>
          </w:p>
        </w:tc>
        <w:tc>
          <w:tcPr>
            <w:tcW w:w="816" w:type="dxa"/>
            <w:noWrap w:val="0"/>
            <w:vAlign w:val="center"/>
          </w:tcPr>
          <w:p w14:paraId="2BF03A9F">
            <w:pPr>
              <w:ind w:left="223" w:hanging="222" w:hangingChars="106"/>
              <w:jc w:val="center"/>
              <w:rPr>
                <w:color w:val="auto"/>
                <w:spacing w:val="0"/>
                <w:position w:val="0"/>
                <w:szCs w:val="21"/>
                <w:highlight w:val="none"/>
              </w:rPr>
            </w:pPr>
          </w:p>
        </w:tc>
        <w:tc>
          <w:tcPr>
            <w:tcW w:w="1148" w:type="dxa"/>
            <w:noWrap w:val="0"/>
            <w:vAlign w:val="center"/>
          </w:tcPr>
          <w:p w14:paraId="7ED31DA6">
            <w:pPr>
              <w:ind w:left="223" w:hanging="222" w:hangingChars="106"/>
              <w:jc w:val="center"/>
              <w:rPr>
                <w:color w:val="auto"/>
                <w:spacing w:val="0"/>
                <w:position w:val="0"/>
                <w:szCs w:val="21"/>
                <w:highlight w:val="none"/>
              </w:rPr>
            </w:pPr>
          </w:p>
        </w:tc>
        <w:tc>
          <w:tcPr>
            <w:tcW w:w="1148" w:type="dxa"/>
            <w:noWrap w:val="0"/>
            <w:vAlign w:val="center"/>
          </w:tcPr>
          <w:p w14:paraId="7C2F765D">
            <w:pPr>
              <w:ind w:left="223" w:hanging="222" w:hangingChars="106"/>
              <w:jc w:val="center"/>
              <w:rPr>
                <w:color w:val="auto"/>
                <w:spacing w:val="0"/>
                <w:position w:val="0"/>
                <w:szCs w:val="21"/>
                <w:highlight w:val="none"/>
              </w:rPr>
            </w:pPr>
          </w:p>
        </w:tc>
        <w:tc>
          <w:tcPr>
            <w:tcW w:w="1148" w:type="dxa"/>
            <w:noWrap w:val="0"/>
            <w:vAlign w:val="center"/>
          </w:tcPr>
          <w:p w14:paraId="34C17382">
            <w:pPr>
              <w:ind w:left="223" w:hanging="222" w:hangingChars="106"/>
              <w:jc w:val="center"/>
              <w:rPr>
                <w:color w:val="auto"/>
                <w:spacing w:val="0"/>
                <w:position w:val="0"/>
                <w:szCs w:val="21"/>
                <w:highlight w:val="none"/>
              </w:rPr>
            </w:pPr>
          </w:p>
        </w:tc>
        <w:tc>
          <w:tcPr>
            <w:tcW w:w="744" w:type="dxa"/>
            <w:noWrap w:val="0"/>
            <w:vAlign w:val="center"/>
          </w:tcPr>
          <w:p w14:paraId="12786223">
            <w:pPr>
              <w:ind w:left="223" w:hanging="222" w:hangingChars="106"/>
              <w:jc w:val="center"/>
              <w:rPr>
                <w:color w:val="auto"/>
                <w:spacing w:val="0"/>
                <w:position w:val="0"/>
                <w:szCs w:val="21"/>
                <w:highlight w:val="none"/>
              </w:rPr>
            </w:pPr>
          </w:p>
        </w:tc>
        <w:tc>
          <w:tcPr>
            <w:tcW w:w="1167" w:type="dxa"/>
            <w:noWrap w:val="0"/>
            <w:vAlign w:val="center"/>
          </w:tcPr>
          <w:p w14:paraId="548C8DDB">
            <w:pPr>
              <w:ind w:left="223" w:hanging="222" w:hangingChars="106"/>
              <w:jc w:val="center"/>
              <w:rPr>
                <w:color w:val="auto"/>
                <w:spacing w:val="0"/>
                <w:position w:val="0"/>
                <w:szCs w:val="21"/>
                <w:highlight w:val="none"/>
              </w:rPr>
            </w:pPr>
          </w:p>
        </w:tc>
        <w:tc>
          <w:tcPr>
            <w:tcW w:w="1276" w:type="dxa"/>
            <w:noWrap w:val="0"/>
            <w:vAlign w:val="center"/>
          </w:tcPr>
          <w:p w14:paraId="3388AEE8">
            <w:pPr>
              <w:ind w:left="223" w:hanging="222" w:hangingChars="106"/>
              <w:jc w:val="center"/>
              <w:rPr>
                <w:color w:val="auto"/>
                <w:spacing w:val="0"/>
                <w:position w:val="0"/>
                <w:szCs w:val="21"/>
                <w:highlight w:val="none"/>
              </w:rPr>
            </w:pPr>
          </w:p>
        </w:tc>
      </w:tr>
      <w:tr w14:paraId="647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CC64161">
            <w:pPr>
              <w:jc w:val="left"/>
              <w:rPr>
                <w:color w:val="auto"/>
                <w:spacing w:val="0"/>
                <w:position w:val="0"/>
                <w:szCs w:val="21"/>
                <w:highlight w:val="none"/>
              </w:rPr>
            </w:pPr>
            <w:r>
              <w:rPr>
                <w:rFonts w:hint="eastAsia"/>
                <w:color w:val="auto"/>
                <w:spacing w:val="0"/>
                <w:position w:val="0"/>
                <w:szCs w:val="21"/>
                <w:highlight w:val="none"/>
              </w:rPr>
              <w:t>6.材料员</w:t>
            </w:r>
          </w:p>
        </w:tc>
        <w:tc>
          <w:tcPr>
            <w:tcW w:w="670" w:type="dxa"/>
            <w:noWrap w:val="0"/>
            <w:vAlign w:val="center"/>
          </w:tcPr>
          <w:p w14:paraId="350A8F38">
            <w:pPr>
              <w:ind w:left="223" w:hanging="222" w:hangingChars="106"/>
              <w:jc w:val="center"/>
              <w:rPr>
                <w:color w:val="auto"/>
                <w:spacing w:val="0"/>
                <w:position w:val="0"/>
                <w:szCs w:val="21"/>
                <w:highlight w:val="none"/>
              </w:rPr>
            </w:pPr>
          </w:p>
        </w:tc>
        <w:tc>
          <w:tcPr>
            <w:tcW w:w="829" w:type="dxa"/>
            <w:noWrap w:val="0"/>
            <w:vAlign w:val="center"/>
          </w:tcPr>
          <w:p w14:paraId="2FC4ABE4">
            <w:pPr>
              <w:ind w:left="223" w:hanging="222" w:hangingChars="106"/>
              <w:jc w:val="center"/>
              <w:rPr>
                <w:color w:val="auto"/>
                <w:spacing w:val="0"/>
                <w:position w:val="0"/>
                <w:szCs w:val="21"/>
                <w:highlight w:val="none"/>
              </w:rPr>
            </w:pPr>
          </w:p>
        </w:tc>
        <w:tc>
          <w:tcPr>
            <w:tcW w:w="816" w:type="dxa"/>
            <w:noWrap w:val="0"/>
            <w:vAlign w:val="center"/>
          </w:tcPr>
          <w:p w14:paraId="1D1F8381">
            <w:pPr>
              <w:ind w:left="223" w:hanging="222" w:hangingChars="106"/>
              <w:jc w:val="center"/>
              <w:rPr>
                <w:color w:val="auto"/>
                <w:spacing w:val="0"/>
                <w:position w:val="0"/>
                <w:szCs w:val="21"/>
                <w:highlight w:val="none"/>
              </w:rPr>
            </w:pPr>
          </w:p>
        </w:tc>
        <w:tc>
          <w:tcPr>
            <w:tcW w:w="1148" w:type="dxa"/>
            <w:noWrap w:val="0"/>
            <w:vAlign w:val="center"/>
          </w:tcPr>
          <w:p w14:paraId="7B78B694">
            <w:pPr>
              <w:ind w:left="223" w:hanging="222" w:hangingChars="106"/>
              <w:jc w:val="center"/>
              <w:rPr>
                <w:color w:val="auto"/>
                <w:spacing w:val="0"/>
                <w:position w:val="0"/>
                <w:szCs w:val="21"/>
                <w:highlight w:val="none"/>
              </w:rPr>
            </w:pPr>
          </w:p>
        </w:tc>
        <w:tc>
          <w:tcPr>
            <w:tcW w:w="1148" w:type="dxa"/>
            <w:noWrap w:val="0"/>
            <w:vAlign w:val="center"/>
          </w:tcPr>
          <w:p w14:paraId="55781A67">
            <w:pPr>
              <w:ind w:left="223" w:hanging="222" w:hangingChars="106"/>
              <w:jc w:val="center"/>
              <w:rPr>
                <w:color w:val="auto"/>
                <w:spacing w:val="0"/>
                <w:position w:val="0"/>
                <w:szCs w:val="21"/>
                <w:highlight w:val="none"/>
              </w:rPr>
            </w:pPr>
          </w:p>
        </w:tc>
        <w:tc>
          <w:tcPr>
            <w:tcW w:w="1148" w:type="dxa"/>
            <w:noWrap w:val="0"/>
            <w:vAlign w:val="center"/>
          </w:tcPr>
          <w:p w14:paraId="3A03DE80">
            <w:pPr>
              <w:ind w:left="223" w:hanging="222" w:hangingChars="106"/>
              <w:jc w:val="center"/>
              <w:rPr>
                <w:color w:val="auto"/>
                <w:spacing w:val="0"/>
                <w:position w:val="0"/>
                <w:szCs w:val="21"/>
                <w:highlight w:val="none"/>
              </w:rPr>
            </w:pPr>
          </w:p>
        </w:tc>
        <w:tc>
          <w:tcPr>
            <w:tcW w:w="744" w:type="dxa"/>
            <w:noWrap w:val="0"/>
            <w:vAlign w:val="center"/>
          </w:tcPr>
          <w:p w14:paraId="59C72AE8">
            <w:pPr>
              <w:ind w:left="223" w:hanging="222" w:hangingChars="106"/>
              <w:jc w:val="center"/>
              <w:rPr>
                <w:color w:val="auto"/>
                <w:spacing w:val="0"/>
                <w:position w:val="0"/>
                <w:szCs w:val="21"/>
                <w:highlight w:val="none"/>
              </w:rPr>
            </w:pPr>
          </w:p>
        </w:tc>
        <w:tc>
          <w:tcPr>
            <w:tcW w:w="1167" w:type="dxa"/>
            <w:noWrap w:val="0"/>
            <w:vAlign w:val="center"/>
          </w:tcPr>
          <w:p w14:paraId="7A300077">
            <w:pPr>
              <w:ind w:left="223" w:hanging="222" w:hangingChars="106"/>
              <w:jc w:val="center"/>
              <w:rPr>
                <w:color w:val="auto"/>
                <w:spacing w:val="0"/>
                <w:position w:val="0"/>
                <w:szCs w:val="21"/>
                <w:highlight w:val="none"/>
              </w:rPr>
            </w:pPr>
          </w:p>
        </w:tc>
        <w:tc>
          <w:tcPr>
            <w:tcW w:w="1276" w:type="dxa"/>
            <w:noWrap w:val="0"/>
            <w:vAlign w:val="center"/>
          </w:tcPr>
          <w:p w14:paraId="004F7532">
            <w:pPr>
              <w:ind w:left="223" w:hanging="222" w:hangingChars="106"/>
              <w:jc w:val="center"/>
              <w:rPr>
                <w:color w:val="auto"/>
                <w:spacing w:val="0"/>
                <w:position w:val="0"/>
                <w:szCs w:val="21"/>
                <w:highlight w:val="none"/>
              </w:rPr>
            </w:pPr>
          </w:p>
        </w:tc>
      </w:tr>
      <w:tr w14:paraId="06A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A3D03AE">
            <w:pPr>
              <w:ind w:left="223" w:hanging="222" w:hangingChars="106"/>
              <w:jc w:val="center"/>
              <w:rPr>
                <w:color w:val="auto"/>
                <w:spacing w:val="0"/>
                <w:position w:val="0"/>
                <w:szCs w:val="21"/>
                <w:highlight w:val="none"/>
              </w:rPr>
            </w:pPr>
          </w:p>
        </w:tc>
        <w:tc>
          <w:tcPr>
            <w:tcW w:w="670" w:type="dxa"/>
            <w:noWrap w:val="0"/>
            <w:vAlign w:val="center"/>
          </w:tcPr>
          <w:p w14:paraId="476C7BB1">
            <w:pPr>
              <w:ind w:left="223" w:hanging="222" w:hangingChars="106"/>
              <w:jc w:val="center"/>
              <w:rPr>
                <w:color w:val="auto"/>
                <w:spacing w:val="0"/>
                <w:position w:val="0"/>
                <w:szCs w:val="21"/>
                <w:highlight w:val="none"/>
              </w:rPr>
            </w:pPr>
          </w:p>
        </w:tc>
        <w:tc>
          <w:tcPr>
            <w:tcW w:w="829" w:type="dxa"/>
            <w:noWrap w:val="0"/>
            <w:vAlign w:val="center"/>
          </w:tcPr>
          <w:p w14:paraId="6FCE70F2">
            <w:pPr>
              <w:ind w:left="223" w:hanging="222" w:hangingChars="106"/>
              <w:jc w:val="center"/>
              <w:rPr>
                <w:color w:val="auto"/>
                <w:spacing w:val="0"/>
                <w:position w:val="0"/>
                <w:szCs w:val="21"/>
                <w:highlight w:val="none"/>
              </w:rPr>
            </w:pPr>
          </w:p>
        </w:tc>
        <w:tc>
          <w:tcPr>
            <w:tcW w:w="816" w:type="dxa"/>
            <w:noWrap w:val="0"/>
            <w:vAlign w:val="center"/>
          </w:tcPr>
          <w:p w14:paraId="608F345D">
            <w:pPr>
              <w:ind w:left="223" w:hanging="222" w:hangingChars="106"/>
              <w:jc w:val="center"/>
              <w:rPr>
                <w:color w:val="auto"/>
                <w:spacing w:val="0"/>
                <w:position w:val="0"/>
                <w:szCs w:val="21"/>
                <w:highlight w:val="none"/>
              </w:rPr>
            </w:pPr>
          </w:p>
        </w:tc>
        <w:tc>
          <w:tcPr>
            <w:tcW w:w="1148" w:type="dxa"/>
            <w:noWrap w:val="0"/>
            <w:vAlign w:val="center"/>
          </w:tcPr>
          <w:p w14:paraId="15BE9EF6">
            <w:pPr>
              <w:ind w:left="223" w:hanging="222" w:hangingChars="106"/>
              <w:jc w:val="center"/>
              <w:rPr>
                <w:color w:val="auto"/>
                <w:spacing w:val="0"/>
                <w:position w:val="0"/>
                <w:szCs w:val="21"/>
                <w:highlight w:val="none"/>
              </w:rPr>
            </w:pPr>
          </w:p>
        </w:tc>
        <w:tc>
          <w:tcPr>
            <w:tcW w:w="1148" w:type="dxa"/>
            <w:noWrap w:val="0"/>
            <w:vAlign w:val="center"/>
          </w:tcPr>
          <w:p w14:paraId="3C1F316B">
            <w:pPr>
              <w:ind w:left="223" w:hanging="222" w:hangingChars="106"/>
              <w:jc w:val="center"/>
              <w:rPr>
                <w:color w:val="auto"/>
                <w:spacing w:val="0"/>
                <w:position w:val="0"/>
                <w:szCs w:val="21"/>
                <w:highlight w:val="none"/>
              </w:rPr>
            </w:pPr>
          </w:p>
        </w:tc>
        <w:tc>
          <w:tcPr>
            <w:tcW w:w="1148" w:type="dxa"/>
            <w:noWrap w:val="0"/>
            <w:vAlign w:val="center"/>
          </w:tcPr>
          <w:p w14:paraId="4499F9EB">
            <w:pPr>
              <w:ind w:left="223" w:hanging="222" w:hangingChars="106"/>
              <w:jc w:val="center"/>
              <w:rPr>
                <w:color w:val="auto"/>
                <w:spacing w:val="0"/>
                <w:position w:val="0"/>
                <w:szCs w:val="21"/>
                <w:highlight w:val="none"/>
              </w:rPr>
            </w:pPr>
          </w:p>
        </w:tc>
        <w:tc>
          <w:tcPr>
            <w:tcW w:w="744" w:type="dxa"/>
            <w:noWrap w:val="0"/>
            <w:vAlign w:val="center"/>
          </w:tcPr>
          <w:p w14:paraId="717E0930">
            <w:pPr>
              <w:ind w:left="223" w:hanging="222" w:hangingChars="106"/>
              <w:jc w:val="center"/>
              <w:rPr>
                <w:color w:val="auto"/>
                <w:spacing w:val="0"/>
                <w:position w:val="0"/>
                <w:szCs w:val="21"/>
                <w:highlight w:val="none"/>
              </w:rPr>
            </w:pPr>
          </w:p>
        </w:tc>
        <w:tc>
          <w:tcPr>
            <w:tcW w:w="1167" w:type="dxa"/>
            <w:noWrap w:val="0"/>
            <w:vAlign w:val="center"/>
          </w:tcPr>
          <w:p w14:paraId="7D936BA3">
            <w:pPr>
              <w:ind w:left="223" w:hanging="222" w:hangingChars="106"/>
              <w:jc w:val="center"/>
              <w:rPr>
                <w:color w:val="auto"/>
                <w:spacing w:val="0"/>
                <w:position w:val="0"/>
                <w:szCs w:val="21"/>
                <w:highlight w:val="none"/>
              </w:rPr>
            </w:pPr>
          </w:p>
        </w:tc>
        <w:tc>
          <w:tcPr>
            <w:tcW w:w="1276" w:type="dxa"/>
            <w:noWrap w:val="0"/>
            <w:vAlign w:val="center"/>
          </w:tcPr>
          <w:p w14:paraId="78082D26">
            <w:pPr>
              <w:ind w:left="223" w:hanging="222" w:hangingChars="106"/>
              <w:jc w:val="center"/>
              <w:rPr>
                <w:color w:val="auto"/>
                <w:spacing w:val="0"/>
                <w:position w:val="0"/>
                <w:szCs w:val="21"/>
                <w:highlight w:val="none"/>
              </w:rPr>
            </w:pPr>
          </w:p>
        </w:tc>
      </w:tr>
      <w:tr w14:paraId="60B9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553B1761">
            <w:pPr>
              <w:ind w:firstLine="420" w:firstLineChars="200"/>
              <w:jc w:val="both"/>
              <w:rPr>
                <w:color w:val="auto"/>
                <w:spacing w:val="0"/>
                <w:position w:val="0"/>
                <w:highlight w:val="none"/>
              </w:rPr>
            </w:pPr>
            <w:r>
              <w:rPr>
                <w:rFonts w:hint="eastAsia"/>
                <w:color w:val="auto"/>
                <w:spacing w:val="0"/>
                <w:position w:val="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AC29E60">
      <w:pPr>
        <w:spacing w:line="360" w:lineRule="auto"/>
        <w:contextualSpacing/>
        <w:jc w:val="left"/>
        <w:rPr>
          <w:rFonts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备注：</w:t>
      </w:r>
    </w:p>
    <w:p w14:paraId="2A25D6D1">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1</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本表所列岗位的所有管理人员的情况均应如实填写。可按以上格式扩展为多页填写。</w:t>
      </w:r>
    </w:p>
    <w:p w14:paraId="4B21209D">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2</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供应商应当在本表后附所有管理人员执业或职业资格证书、</w:t>
      </w:r>
      <w:r>
        <w:rPr>
          <w:rFonts w:hint="eastAsia" w:ascii="宋体" w:hAnsi="宋体"/>
          <w:color w:val="auto"/>
          <w:spacing w:val="0"/>
          <w:position w:val="0"/>
          <w:sz w:val="24"/>
          <w:szCs w:val="20"/>
          <w:highlight w:val="none"/>
          <w:lang w:val="en-US" w:eastAsia="zh-CN"/>
        </w:rPr>
        <w:t>2025年1 月以来任意</w:t>
      </w:r>
      <w:r>
        <w:rPr>
          <w:rFonts w:hint="eastAsia" w:ascii="宋体" w:hAnsi="宋体"/>
          <w:color w:val="auto"/>
          <w:spacing w:val="0"/>
          <w:position w:val="0"/>
          <w:sz w:val="24"/>
          <w:szCs w:val="20"/>
          <w:highlight w:val="none"/>
        </w:rPr>
        <w:t>1个月在</w:t>
      </w:r>
      <w:r>
        <w:rPr>
          <w:rFonts w:hint="eastAsia" w:ascii="宋体" w:hAnsi="宋体"/>
          <w:color w:val="auto"/>
          <w:spacing w:val="0"/>
          <w:position w:val="0"/>
          <w:sz w:val="24"/>
          <w:szCs w:val="20"/>
          <w:highlight w:val="none"/>
          <w:lang w:eastAsia="zh-CN"/>
        </w:rPr>
        <w:t>供应商</w:t>
      </w:r>
      <w:r>
        <w:rPr>
          <w:rFonts w:hint="eastAsia" w:ascii="宋体" w:hAnsi="宋体"/>
          <w:color w:val="auto"/>
          <w:spacing w:val="0"/>
          <w:position w:val="0"/>
          <w:sz w:val="24"/>
          <w:szCs w:val="20"/>
          <w:highlight w:val="none"/>
        </w:rPr>
        <w:t>单位依法缴纳社会保险的证明材料的复印件并加盖供应商电子签章。</w:t>
      </w:r>
    </w:p>
    <w:p w14:paraId="2C7D849D">
      <w:pPr>
        <w:spacing w:line="360" w:lineRule="auto"/>
        <w:ind w:firstLine="480" w:firstLineChars="200"/>
        <w:contextualSpacing/>
        <w:jc w:val="left"/>
        <w:rPr>
          <w:rFonts w:hint="eastAsia" w:ascii="宋体" w:hAnsi="宋体"/>
          <w:color w:val="auto"/>
          <w:spacing w:val="0"/>
          <w:position w:val="0"/>
          <w:sz w:val="24"/>
          <w:szCs w:val="20"/>
          <w:highlight w:val="none"/>
        </w:rPr>
      </w:pPr>
    </w:p>
    <w:p w14:paraId="393D836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2DEFF540">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4E2C503">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8B98E95">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0AB69F58">
      <w:pPr>
        <w:pStyle w:val="50"/>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40419F3C">
      <w:pPr>
        <w:pStyle w:val="50"/>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根据(工信部联企业[2011]300 号)文</w:t>
      </w:r>
    </w:p>
    <w:tbl>
      <w:tblPr>
        <w:tblStyle w:val="63"/>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1BB1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4B6EC52F">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15692523">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21FE5F63">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115648B6">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51194B66">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63D32AB2">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16AEF70C">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6C50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36F913F5">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269A9834">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326DED1">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187C3D4">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65496C86">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7141833D">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6EE11279">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5575A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20DFF0D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35B5CFF">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1DC0125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C428F74">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975D88B">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CD57ED6">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59B553EC">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1983A2AD">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EF9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17ACC65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6016394">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971F701">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DE3C4AC">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6003D98C">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504E9BD9">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19F011E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26F2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4DEA8A0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CD3F17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088BECAE">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5C44F2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E788257">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BAF0E4C">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1C4FA80A">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75E96C42">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D5B2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EBF27D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4128FBD">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317E73B">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19D3FA2">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FE5A664">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47BE4DCF">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680720DC">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E399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AD9459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6F84B87">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086077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32398B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F5480E0">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1134F11">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6620D3FA">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57E5D1F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376D2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C62927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4EA94CD">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56C25FF">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7DEFAAD">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6C0D2A25">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525B0C79">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249008D5">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11CDB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76816E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279A1E7">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5BDE459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7DE60C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6C3AE33">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7DD624A6">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13653885">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672898F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40D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42B04B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09DE3F1">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5D8338">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625BCF1">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43C197D2">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422B56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826689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A40F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9BBE68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76B9DA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115D7B77">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BF891BF">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8F9C288">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31EBF7A">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EB4EA36">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A6D73D8">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627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245A8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334483">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303F339">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7DC3F7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02283AF1">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4BBE84BF">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2EB5BB6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5483D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57A139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E2AA972">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336FC57D">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13EDB83">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24AB76F">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3A843D9F">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72AC13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1B5B8802">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4E20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498029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63D56D4">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ED3B2B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87C98D1">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03A2018C">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1555418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1B3A350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262B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650B8D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12ABF2A">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3F8DB6E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6476350">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7CCFAC8">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CC09632">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21FE45E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41D60EC6">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E1E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213521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3D5C65F">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5D6E701">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99058A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5C155A1">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57B70C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0F8D768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552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43587B3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F9A87BC">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5F395B4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BB9A850">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7C21D8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59D3A9B">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0FB9218">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D578F61">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AEA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123D95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7ED1E6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4E7586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1696AA">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8372425">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4476F24A">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742F6E25">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1D7A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29CEB116">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35522474">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3DFFBAB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6F59E1D">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4AA53951">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E1E3CBC">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5C75DE07">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2D5B8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F53ED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E8A379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736483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073D8D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0E360673">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24BF04E8">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13D93CE8">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49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1307A0E3">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2C9F7A02">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925DA3F">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1B5C71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54BDC69">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C116F82">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2FE3FD5F">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5D7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C947C9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736435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D2BCDB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870A78">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7B1BE2D9">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792CEB8D">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2D65397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2B2D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DBEA002">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5293139D">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7F608C1">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507828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11EA3C4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6B63BA8F">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48C30AB">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278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677E2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451B695">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913F1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E24DE1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3878C224">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0591FB85">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588DF0F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4FA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279B8DA">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321C291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6CF58BD">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67E3BFD">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B9B7E52">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05A8810">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C7ECE97">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228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1EE14F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244E2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2B88E1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0602F75">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D62A3E9">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235EBCF9">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455E290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1CF02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6CF9D22B">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73E267E9">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420124C">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85B51E2">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4B38951">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D6D2380">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9CDD628">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8F5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459DE09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99E948B">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B8E8268">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D8C4C7E">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67EBF63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28BF77D8">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26F77E5">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FE9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6442D98E">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68DBF71D">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1B0E343">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AB5B55">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C37B0EC">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0ECD5EE8">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559F0697">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369321D7">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250E041E">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0516D36C">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B6E75BF">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lang w:eastAsia="zh-CN"/>
        </w:r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73C46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4"/>
          <w:szCs w:val="32"/>
          <w:highlight w:val="none"/>
        </w:rPr>
      </w:pPr>
    </w:p>
    <w:p w14:paraId="6EEBA5F4">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4"/>
          <w:szCs w:val="32"/>
          <w:highlight w:val="none"/>
        </w:rPr>
      </w:pPr>
    </w:p>
    <w:p w14:paraId="4A69C541">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36A4B7F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0EA5FEE1">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56615386">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9400B22">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A67498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02786082">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22A9F64">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A88B694">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48353B7C">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D9B0619">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9A9613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A7561D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6C08F153">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4D2C53BC">
      <w:pPr>
        <w:pStyle w:val="51"/>
        <w:ind w:left="0" w:leftChars="0" w:firstLine="0" w:firstLineChars="0"/>
        <w:rPr>
          <w:color w:val="auto"/>
          <w:spacing w:val="0"/>
          <w:position w:val="0"/>
          <w:highlight w:val="none"/>
        </w:rPr>
      </w:pPr>
    </w:p>
    <w:p w14:paraId="5E5DDA78">
      <w:pPr>
        <w:pStyle w:val="2"/>
        <w:numPr>
          <w:ilvl w:val="0"/>
          <w:numId w:val="6"/>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5" w:name="_Toc3612"/>
      <w:r>
        <w:rPr>
          <w:rFonts w:hint="eastAsia" w:ascii="宋体" w:hAnsi="宋体" w:cs="宋体"/>
          <w:color w:val="auto"/>
          <w:spacing w:val="0"/>
          <w:kern w:val="0"/>
          <w:position w:val="0"/>
          <w:sz w:val="36"/>
          <w:szCs w:val="36"/>
          <w:highlight w:val="none"/>
        </w:rPr>
        <w:t>合同主要条款 (参考格式)</w:t>
      </w:r>
      <w:bookmarkEnd w:id="75"/>
    </w:p>
    <w:p w14:paraId="3DC10678">
      <w:pPr>
        <w:pStyle w:val="2"/>
        <w:numPr>
          <w:ilvl w:val="0"/>
          <w:numId w:val="0"/>
        </w:numPr>
        <w:spacing w:line="560" w:lineRule="exact"/>
        <w:jc w:val="center"/>
        <w:rPr>
          <w:rFonts w:hint="eastAsia" w:ascii="宋体" w:hAnsi="宋体" w:cs="宋体"/>
          <w:color w:val="auto"/>
          <w:spacing w:val="0"/>
          <w:kern w:val="0"/>
          <w:position w:val="0"/>
          <w:sz w:val="32"/>
          <w:szCs w:val="32"/>
          <w:highlight w:val="none"/>
        </w:rPr>
      </w:pPr>
      <w:bookmarkStart w:id="76" w:name="_Toc31567"/>
      <w:r>
        <w:rPr>
          <w:rFonts w:hint="eastAsia" w:ascii="宋体" w:hAnsi="宋体" w:cs="宋体"/>
          <w:color w:val="auto"/>
          <w:spacing w:val="0"/>
          <w:kern w:val="0"/>
          <w:position w:val="0"/>
          <w:sz w:val="32"/>
          <w:szCs w:val="32"/>
          <w:highlight w:val="none"/>
        </w:rPr>
        <w:t>(仅供参考，由双方按实际情况调整)</w:t>
      </w:r>
      <w:bookmarkEnd w:id="76"/>
    </w:p>
    <w:p w14:paraId="0E4329DE">
      <w:pPr>
        <w:shd w:val="clear"/>
        <w:jc w:val="center"/>
        <w:rPr>
          <w:rFonts w:hint="eastAsia" w:ascii="宋体" w:hAnsi="宋体" w:eastAsia="宋体" w:cs="宋体"/>
          <w:b/>
          <w:bCs/>
          <w:color w:val="auto"/>
          <w:spacing w:val="0"/>
          <w:position w:val="0"/>
          <w:sz w:val="72"/>
          <w:szCs w:val="144"/>
          <w:highlight w:val="none"/>
        </w:rPr>
      </w:pPr>
    </w:p>
    <w:p w14:paraId="0505ADFB">
      <w:pPr>
        <w:shd w:val="clear"/>
        <w:jc w:val="center"/>
        <w:rPr>
          <w:rFonts w:ascii="宋体" w:hAnsi="宋体" w:eastAsia="宋体" w:cs="宋体"/>
          <w:b/>
          <w:bCs/>
          <w:color w:val="auto"/>
          <w:spacing w:val="0"/>
          <w:position w:val="0"/>
          <w:sz w:val="96"/>
          <w:szCs w:val="160"/>
          <w:highlight w:val="none"/>
        </w:rPr>
      </w:pPr>
      <w:r>
        <w:rPr>
          <w:rFonts w:hint="eastAsia" w:ascii="宋体" w:hAnsi="宋体" w:eastAsia="宋体" w:cs="宋体"/>
          <w:b/>
          <w:bCs/>
          <w:color w:val="auto"/>
          <w:spacing w:val="0"/>
          <w:position w:val="0"/>
          <w:sz w:val="72"/>
          <w:szCs w:val="144"/>
          <w:highlight w:val="none"/>
        </w:rPr>
        <w:t>施 工 承 包 合 同 书</w:t>
      </w:r>
    </w:p>
    <w:p w14:paraId="3A4DC825">
      <w:pPr>
        <w:shd w:val="clear"/>
        <w:jc w:val="center"/>
        <w:rPr>
          <w:rFonts w:ascii="宋体" w:hAnsi="宋体" w:eastAsia="宋体" w:cs="宋体"/>
          <w:color w:val="auto"/>
          <w:spacing w:val="0"/>
          <w:position w:val="0"/>
          <w:sz w:val="32"/>
          <w:szCs w:val="40"/>
          <w:highlight w:val="none"/>
        </w:rPr>
      </w:pPr>
    </w:p>
    <w:p w14:paraId="28F4E616">
      <w:pPr>
        <w:shd w:val="clear"/>
        <w:jc w:val="center"/>
        <w:rPr>
          <w:rFonts w:ascii="宋体" w:hAnsi="宋体" w:eastAsia="宋体" w:cs="宋体"/>
          <w:color w:val="auto"/>
          <w:spacing w:val="0"/>
          <w:position w:val="0"/>
          <w:sz w:val="32"/>
          <w:szCs w:val="40"/>
          <w:highlight w:val="none"/>
        </w:rPr>
      </w:pPr>
    </w:p>
    <w:p w14:paraId="7617BE28">
      <w:pPr>
        <w:shd w:val="clear"/>
        <w:jc w:val="center"/>
        <w:rPr>
          <w:rFonts w:ascii="宋体" w:hAnsi="宋体" w:eastAsia="宋体" w:cs="宋体"/>
          <w:color w:val="auto"/>
          <w:spacing w:val="0"/>
          <w:position w:val="0"/>
          <w:sz w:val="32"/>
          <w:szCs w:val="40"/>
          <w:highlight w:val="none"/>
        </w:rPr>
      </w:pPr>
    </w:p>
    <w:p w14:paraId="3C92C0A7">
      <w:pPr>
        <w:shd w:val="clear"/>
        <w:jc w:val="center"/>
        <w:rPr>
          <w:rFonts w:ascii="宋体" w:hAnsi="宋体" w:eastAsia="宋体" w:cs="宋体"/>
          <w:color w:val="auto"/>
          <w:spacing w:val="0"/>
          <w:position w:val="0"/>
          <w:sz w:val="32"/>
          <w:szCs w:val="40"/>
          <w:highlight w:val="none"/>
        </w:rPr>
      </w:pPr>
    </w:p>
    <w:p w14:paraId="41E805C1">
      <w:pPr>
        <w:shd w:val="clear"/>
        <w:jc w:val="center"/>
        <w:rPr>
          <w:rFonts w:ascii="宋体" w:hAnsi="宋体" w:eastAsia="宋体" w:cs="宋体"/>
          <w:color w:val="auto"/>
          <w:spacing w:val="0"/>
          <w:position w:val="0"/>
          <w:sz w:val="32"/>
          <w:szCs w:val="40"/>
          <w:highlight w:val="none"/>
        </w:rPr>
      </w:pPr>
    </w:p>
    <w:p w14:paraId="1C529E8C">
      <w:pPr>
        <w:shd w:val="clear"/>
        <w:jc w:val="both"/>
        <w:rPr>
          <w:rFonts w:hint="default" w:ascii="宋体" w:hAnsi="宋体" w:eastAsia="宋体" w:cs="宋体"/>
          <w:b/>
          <w:bCs/>
          <w:color w:val="auto"/>
          <w:spacing w:val="0"/>
          <w:position w:val="0"/>
          <w:sz w:val="48"/>
          <w:szCs w:val="56"/>
          <w:highlight w:val="none"/>
          <w:lang w:val="en-US" w:eastAsia="zh-CN"/>
        </w:rPr>
      </w:pPr>
      <w:r>
        <w:rPr>
          <w:rFonts w:hint="eastAsia" w:ascii="宋体" w:hAnsi="宋体" w:eastAsia="宋体" w:cs="宋体"/>
          <w:color w:val="auto"/>
          <w:spacing w:val="0"/>
          <w:position w:val="0"/>
          <w:sz w:val="28"/>
          <w:szCs w:val="28"/>
          <w:highlight w:val="none"/>
        </w:rPr>
        <w:t>工程名称：</w:t>
      </w:r>
      <w:r>
        <w:rPr>
          <w:rFonts w:hint="eastAsia" w:ascii="宋体" w:hAnsi="宋体" w:eastAsia="宋体" w:cs="宋体"/>
          <w:color w:val="auto"/>
          <w:spacing w:val="0"/>
          <w:position w:val="0"/>
          <w:sz w:val="28"/>
          <w:szCs w:val="28"/>
          <w:highlight w:val="none"/>
          <w:u w:val="single"/>
          <w:lang w:val="en-US" w:eastAsia="zh-CN"/>
        </w:rPr>
        <w:t xml:space="preserve">                                           </w:t>
      </w:r>
    </w:p>
    <w:p w14:paraId="43E3C714">
      <w:pPr>
        <w:shd w:val="clear"/>
        <w:rPr>
          <w:rFonts w:ascii="宋体" w:hAnsi="宋体" w:eastAsia="宋体" w:cs="宋体"/>
          <w:color w:val="auto"/>
          <w:spacing w:val="0"/>
          <w:position w:val="0"/>
          <w:sz w:val="28"/>
          <w:szCs w:val="36"/>
          <w:highlight w:val="none"/>
        </w:rPr>
      </w:pPr>
    </w:p>
    <w:p w14:paraId="3E82FFEE">
      <w:pPr>
        <w:shd w:val="clear"/>
        <w:rPr>
          <w:rFonts w:ascii="宋体" w:hAnsi="宋体" w:eastAsia="宋体" w:cs="宋体"/>
          <w:color w:val="auto"/>
          <w:spacing w:val="0"/>
          <w:position w:val="0"/>
          <w:sz w:val="28"/>
          <w:szCs w:val="36"/>
          <w:highlight w:val="none"/>
          <w:u w:val="single"/>
        </w:rPr>
      </w:pPr>
      <w:r>
        <w:rPr>
          <w:rFonts w:hint="eastAsia" w:ascii="宋体" w:hAnsi="宋体" w:eastAsia="宋体" w:cs="宋体"/>
          <w:color w:val="auto"/>
          <w:spacing w:val="0"/>
          <w:position w:val="0"/>
          <w:sz w:val="28"/>
          <w:szCs w:val="36"/>
          <w:highlight w:val="none"/>
        </w:rPr>
        <w:t>发包人（甲方）：</w:t>
      </w:r>
      <w:r>
        <w:rPr>
          <w:rFonts w:hint="eastAsia" w:ascii="宋体" w:hAnsi="宋体" w:eastAsia="宋体" w:cs="宋体"/>
          <w:color w:val="auto"/>
          <w:spacing w:val="0"/>
          <w:position w:val="0"/>
          <w:sz w:val="28"/>
          <w:szCs w:val="36"/>
          <w:highlight w:val="none"/>
          <w:u w:val="single"/>
        </w:rPr>
        <w:t xml:space="preserve"> </w:t>
      </w:r>
      <w:r>
        <w:rPr>
          <w:rFonts w:hint="eastAsia" w:ascii="宋体" w:hAnsi="宋体" w:cs="宋体"/>
          <w:color w:val="auto"/>
          <w:spacing w:val="0"/>
          <w:position w:val="0"/>
          <w:sz w:val="28"/>
          <w:szCs w:val="36"/>
          <w:highlight w:val="none"/>
          <w:u w:val="single"/>
          <w:lang w:eastAsia="zh-CN"/>
        </w:rPr>
        <w:t>浦北县农业农村局</w:t>
      </w:r>
      <w:r>
        <w:rPr>
          <w:rFonts w:hint="eastAsia" w:ascii="宋体" w:hAnsi="宋体" w:eastAsia="宋体" w:cs="宋体"/>
          <w:color w:val="auto"/>
          <w:spacing w:val="0"/>
          <w:position w:val="0"/>
          <w:sz w:val="28"/>
          <w:szCs w:val="36"/>
          <w:highlight w:val="none"/>
          <w:u w:val="single"/>
        </w:rPr>
        <w:t xml:space="preserve"> </w:t>
      </w:r>
    </w:p>
    <w:p w14:paraId="65B90683">
      <w:pPr>
        <w:shd w:val="clear"/>
        <w:rPr>
          <w:rFonts w:ascii="宋体" w:hAnsi="宋体" w:eastAsia="宋体" w:cs="宋体"/>
          <w:color w:val="auto"/>
          <w:spacing w:val="0"/>
          <w:position w:val="0"/>
          <w:sz w:val="28"/>
          <w:szCs w:val="36"/>
          <w:highlight w:val="none"/>
        </w:rPr>
      </w:pPr>
    </w:p>
    <w:p w14:paraId="2A309BF8">
      <w:pPr>
        <w:shd w:val="clear"/>
        <w:rPr>
          <w:rFonts w:ascii="宋体" w:hAnsi="宋体" w:eastAsia="宋体" w:cs="宋体"/>
          <w:color w:val="auto"/>
          <w:spacing w:val="0"/>
          <w:position w:val="0"/>
          <w:sz w:val="28"/>
          <w:szCs w:val="36"/>
          <w:highlight w:val="none"/>
          <w:u w:val="single"/>
        </w:rPr>
      </w:pPr>
      <w:r>
        <w:rPr>
          <w:rFonts w:hint="eastAsia" w:ascii="宋体" w:hAnsi="宋体" w:eastAsia="宋体" w:cs="宋体"/>
          <w:color w:val="auto"/>
          <w:spacing w:val="0"/>
          <w:position w:val="0"/>
          <w:sz w:val="28"/>
          <w:szCs w:val="36"/>
          <w:highlight w:val="none"/>
        </w:rPr>
        <w:t>承包人（乙方）：</w:t>
      </w:r>
      <w:r>
        <w:rPr>
          <w:rFonts w:hint="eastAsia" w:ascii="宋体" w:hAnsi="宋体" w:eastAsia="宋体" w:cs="宋体"/>
          <w:color w:val="auto"/>
          <w:spacing w:val="0"/>
          <w:position w:val="0"/>
          <w:sz w:val="28"/>
          <w:szCs w:val="36"/>
          <w:highlight w:val="none"/>
          <w:u w:val="single"/>
        </w:rPr>
        <w:t xml:space="preserve"> </w:t>
      </w:r>
      <w:r>
        <w:rPr>
          <w:rFonts w:hint="eastAsia" w:ascii="宋体" w:hAnsi="宋体" w:eastAsia="宋体" w:cs="宋体"/>
          <w:color w:val="auto"/>
          <w:spacing w:val="0"/>
          <w:position w:val="0"/>
          <w:sz w:val="28"/>
          <w:szCs w:val="36"/>
          <w:highlight w:val="none"/>
          <w:u w:val="single"/>
          <w:lang w:val="en-US" w:eastAsia="zh-CN"/>
        </w:rPr>
        <w:t xml:space="preserve">                          </w:t>
      </w:r>
      <w:r>
        <w:rPr>
          <w:rFonts w:hint="eastAsia" w:ascii="宋体" w:hAnsi="宋体" w:eastAsia="宋体" w:cs="宋体"/>
          <w:color w:val="auto"/>
          <w:spacing w:val="0"/>
          <w:position w:val="0"/>
          <w:sz w:val="28"/>
          <w:szCs w:val="36"/>
          <w:highlight w:val="none"/>
          <w:u w:val="single"/>
        </w:rPr>
        <w:t xml:space="preserve">  </w:t>
      </w:r>
    </w:p>
    <w:p w14:paraId="126174E3">
      <w:pPr>
        <w:shd w:val="clear"/>
        <w:rPr>
          <w:rFonts w:ascii="宋体" w:hAnsi="宋体" w:eastAsia="宋体" w:cs="宋体"/>
          <w:color w:val="auto"/>
          <w:spacing w:val="0"/>
          <w:position w:val="0"/>
          <w:sz w:val="28"/>
          <w:szCs w:val="36"/>
          <w:highlight w:val="none"/>
        </w:rPr>
      </w:pPr>
    </w:p>
    <w:p w14:paraId="287A4295">
      <w:pPr>
        <w:shd w:val="clear"/>
        <w:rPr>
          <w:rFonts w:ascii="宋体" w:hAnsi="宋体" w:eastAsia="宋体" w:cs="宋体"/>
          <w:color w:val="auto"/>
          <w:spacing w:val="0"/>
          <w:position w:val="0"/>
          <w:sz w:val="32"/>
          <w:szCs w:val="40"/>
          <w:highlight w:val="none"/>
        </w:rPr>
      </w:pPr>
      <w:r>
        <w:rPr>
          <w:rFonts w:hint="eastAsia" w:ascii="宋体" w:hAnsi="宋体" w:eastAsia="宋体" w:cs="宋体"/>
          <w:color w:val="auto"/>
          <w:spacing w:val="0"/>
          <w:position w:val="0"/>
          <w:sz w:val="32"/>
          <w:szCs w:val="40"/>
          <w:highlight w:val="none"/>
        </w:rPr>
        <w:t>日      期：</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 xml:space="preserve"> 年</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 xml:space="preserve">月 </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日</w:t>
      </w:r>
    </w:p>
    <w:p w14:paraId="2E8430B4">
      <w:pPr>
        <w:shd w:val="clear"/>
        <w:ind w:firstLine="960" w:firstLineChars="300"/>
        <w:rPr>
          <w:rFonts w:ascii="宋体" w:hAnsi="宋体" w:eastAsia="宋体" w:cs="宋体"/>
          <w:color w:val="auto"/>
          <w:spacing w:val="0"/>
          <w:position w:val="0"/>
          <w:sz w:val="32"/>
          <w:szCs w:val="40"/>
          <w:highlight w:val="none"/>
        </w:rPr>
      </w:pPr>
    </w:p>
    <w:p w14:paraId="416D54DE">
      <w:pPr>
        <w:shd w:val="clear"/>
        <w:rPr>
          <w:rFonts w:ascii="宋体" w:hAnsi="宋体" w:eastAsia="宋体" w:cs="宋体"/>
          <w:color w:val="auto"/>
          <w:spacing w:val="0"/>
          <w:position w:val="0"/>
          <w:sz w:val="32"/>
          <w:szCs w:val="40"/>
          <w:highlight w:val="none"/>
        </w:rPr>
      </w:pPr>
    </w:p>
    <w:p w14:paraId="5EBAA70A">
      <w:pPr>
        <w:pStyle w:val="2"/>
        <w:numPr>
          <w:ilvl w:val="0"/>
          <w:numId w:val="7"/>
        </w:numPr>
        <w:shd w:val="clear"/>
        <w:jc w:val="center"/>
        <w:rPr>
          <w:rFonts w:ascii="宋体" w:hAnsi="宋体" w:eastAsia="宋体" w:cs="宋体"/>
          <w:color w:val="auto"/>
          <w:spacing w:val="0"/>
          <w:position w:val="0"/>
          <w:sz w:val="40"/>
          <w:szCs w:val="52"/>
          <w:highlight w:val="none"/>
        </w:rPr>
        <w:sectPr>
          <w:footerReference r:id="rId5" w:type="default"/>
          <w:pgSz w:w="11906" w:h="16838"/>
          <w:pgMar w:top="1247" w:right="1417" w:bottom="1247" w:left="1417" w:header="851" w:footer="992" w:gutter="0"/>
          <w:cols w:space="0" w:num="1"/>
          <w:docGrid w:type="lines" w:linePitch="312" w:charSpace="0"/>
        </w:sectPr>
      </w:pPr>
      <w:bookmarkStart w:id="77" w:name="_Toc351203480"/>
      <w:bookmarkStart w:id="78" w:name="_Toc26265"/>
      <w:bookmarkStart w:id="79" w:name="_Toc12680"/>
      <w:bookmarkStart w:id="80" w:name="_Toc389065255"/>
      <w:bookmarkStart w:id="81" w:name="_Toc373227552"/>
      <w:bookmarkStart w:id="82" w:name="_Toc296503025"/>
      <w:bookmarkStart w:id="83" w:name="_Toc373478199"/>
      <w:bookmarkStart w:id="84" w:name="_Toc296890982"/>
    </w:p>
    <w:p w14:paraId="1B5389AF">
      <w:pPr>
        <w:pStyle w:val="2"/>
        <w:numPr>
          <w:ilvl w:val="0"/>
          <w:numId w:val="7"/>
        </w:numPr>
        <w:shd w:val="clear"/>
        <w:jc w:val="center"/>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36"/>
          <w:szCs w:val="48"/>
          <w:highlight w:val="none"/>
        </w:rPr>
        <w:t>合同协议书</w:t>
      </w:r>
      <w:bookmarkEnd w:id="77"/>
      <w:bookmarkEnd w:id="78"/>
      <w:bookmarkEnd w:id="79"/>
      <w:bookmarkEnd w:id="80"/>
      <w:bookmarkEnd w:id="81"/>
      <w:bookmarkEnd w:id="82"/>
      <w:bookmarkEnd w:id="83"/>
      <w:bookmarkEnd w:id="84"/>
    </w:p>
    <w:p w14:paraId="041E8BB5">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u w:val="single"/>
        </w:rPr>
        <w:t xml:space="preserve"> </w:t>
      </w:r>
    </w:p>
    <w:p w14:paraId="61935F6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承包人（全称）：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28868A76">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rPr>
        <w:t>（以下称发包人）为实施</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，根据《中华人民共和国</w:t>
      </w:r>
      <w:r>
        <w:rPr>
          <w:rFonts w:hint="eastAsia" w:ascii="宋体" w:hAnsi="宋体" w:eastAsia="宋体" w:cs="宋体"/>
          <w:color w:val="auto"/>
          <w:spacing w:val="0"/>
          <w:position w:val="0"/>
          <w:sz w:val="24"/>
          <w:highlight w:val="none"/>
          <w:lang w:eastAsia="zh-CN"/>
        </w:rPr>
        <w:t>民法典</w:t>
      </w:r>
      <w:r>
        <w:rPr>
          <w:rFonts w:hint="eastAsia" w:ascii="宋体" w:hAnsi="宋体" w:eastAsia="宋体" w:cs="宋体"/>
          <w:color w:val="auto"/>
          <w:spacing w:val="0"/>
          <w:position w:val="0"/>
          <w:sz w:val="24"/>
          <w:highlight w:val="none"/>
        </w:rPr>
        <w:t>》、《中华人民共和国建筑法》及有关法律规定，遵循平等、自愿、公平和诚实信用的原则，双方就</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工程施工及有关事项协商一致，共同达成如下协议：</w:t>
      </w:r>
      <w:bookmarkStart w:id="85" w:name="_Toc351203481"/>
    </w:p>
    <w:p w14:paraId="79EF59C9">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一、工程概况</w:t>
      </w:r>
      <w:bookmarkEnd w:id="85"/>
    </w:p>
    <w:p w14:paraId="01EEEB58">
      <w:pPr>
        <w:shd w:val="clear"/>
        <w:adjustRightInd w:val="0"/>
        <w:snapToGrid w:val="0"/>
        <w:spacing w:line="360" w:lineRule="auto"/>
        <w:ind w:firstLine="470" w:firstLineChars="196"/>
        <w:rPr>
          <w:rFonts w:ascii="宋体" w:hAnsi="宋体" w:eastAsia="宋体" w:cs="宋体"/>
          <w:color w:val="auto"/>
          <w:spacing w:val="0"/>
          <w:position w:val="0"/>
          <w:sz w:val="24"/>
          <w:highlight w:val="none"/>
          <w:u w:val="single"/>
        </w:rPr>
      </w:pPr>
      <w:r>
        <w:rPr>
          <w:rFonts w:hint="eastAsia" w:ascii="宋体" w:hAnsi="宋体" w:eastAsia="宋体" w:cs="宋体"/>
          <w:bCs/>
          <w:color w:val="auto"/>
          <w:spacing w:val="0"/>
          <w:position w:val="0"/>
          <w:sz w:val="24"/>
          <w:highlight w:val="none"/>
        </w:rPr>
        <w:t>1. 工程名称</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bCs/>
          <w:color w:val="auto"/>
          <w:spacing w:val="0"/>
          <w:position w:val="0"/>
          <w:sz w:val="24"/>
          <w:highlight w:val="none"/>
          <w:u w:val="single"/>
          <w:lang w:val="en-US" w:eastAsia="zh-CN"/>
        </w:rPr>
        <w:t xml:space="preserve">                           </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74B8B70B">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 工程地点：</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56ECDB3B">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3. 工程立项批准文号：</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w:t>
      </w:r>
    </w:p>
    <w:p w14:paraId="4D5FB726">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4. 资金来源：</w:t>
      </w:r>
      <w:r>
        <w:rPr>
          <w:rFonts w:hint="eastAsia" w:ascii="宋体" w:hAnsi="宋体" w:eastAsia="宋体" w:cs="宋体"/>
          <w:color w:val="auto"/>
          <w:spacing w:val="0"/>
          <w:position w:val="0"/>
          <w:sz w:val="24"/>
          <w:highlight w:val="none"/>
          <w:u w:val="single"/>
        </w:rPr>
        <w:t xml:space="preserve">  政府性资金   </w:t>
      </w:r>
      <w:r>
        <w:rPr>
          <w:rFonts w:hint="eastAsia" w:ascii="宋体" w:hAnsi="宋体" w:eastAsia="宋体" w:cs="宋体"/>
          <w:bCs/>
          <w:color w:val="auto"/>
          <w:spacing w:val="0"/>
          <w:position w:val="0"/>
          <w:sz w:val="24"/>
          <w:highlight w:val="none"/>
        </w:rPr>
        <w:t>。</w:t>
      </w:r>
    </w:p>
    <w:p w14:paraId="216CC119">
      <w:pPr>
        <w:shd w:val="clear"/>
        <w:adjustRightInd w:val="0"/>
        <w:snapToGrid w:val="0"/>
        <w:spacing w:line="360" w:lineRule="auto"/>
        <w:ind w:firstLine="470" w:firstLineChars="196"/>
        <w:rPr>
          <w:rFonts w:hint="eastAsia" w:ascii="宋体" w:hAnsi="宋体" w:eastAsia="宋体" w:cs="宋体"/>
          <w:color w:val="auto"/>
          <w:spacing w:val="0"/>
          <w:position w:val="0"/>
          <w:sz w:val="24"/>
          <w:highlight w:val="none"/>
          <w:u w:val="single"/>
          <w:lang w:eastAsia="zh-CN"/>
        </w:rPr>
      </w:pPr>
      <w:r>
        <w:rPr>
          <w:rFonts w:hint="eastAsia" w:ascii="宋体" w:hAnsi="宋体" w:eastAsia="宋体" w:cs="宋体"/>
          <w:bCs/>
          <w:color w:val="auto"/>
          <w:spacing w:val="0"/>
          <w:position w:val="0"/>
          <w:sz w:val="24"/>
          <w:highlight w:val="none"/>
        </w:rPr>
        <w:t>5. 工程内容：</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lang w:val="zh-CN" w:eastAsia="zh-CN"/>
        </w:rPr>
        <w:t>等</w:t>
      </w:r>
      <w:r>
        <w:rPr>
          <w:rFonts w:hint="eastAsia" w:ascii="宋体" w:hAnsi="宋体" w:eastAsia="宋体" w:cs="宋体"/>
          <w:color w:val="auto"/>
          <w:spacing w:val="0"/>
          <w:position w:val="0"/>
          <w:sz w:val="24"/>
          <w:highlight w:val="none"/>
          <w:u w:val="single"/>
          <w:lang w:eastAsia="zh-CN"/>
        </w:rPr>
        <w:t>。</w:t>
      </w:r>
    </w:p>
    <w:p w14:paraId="58BB4A4D">
      <w:pPr>
        <w:shd w:val="clear"/>
        <w:adjustRightInd w:val="0"/>
        <w:snapToGrid w:val="0"/>
        <w:spacing w:line="360" w:lineRule="auto"/>
        <w:ind w:firstLine="470" w:firstLineChars="196"/>
        <w:outlineLvl w:val="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6. 工程承包范围：</w:t>
      </w:r>
      <w:r>
        <w:rPr>
          <w:rFonts w:hint="eastAsia" w:ascii="宋体" w:hAnsi="宋体" w:eastAsia="宋体" w:cs="宋体"/>
          <w:color w:val="auto"/>
          <w:spacing w:val="0"/>
          <w:position w:val="0"/>
          <w:sz w:val="24"/>
          <w:highlight w:val="none"/>
          <w:u w:val="single"/>
        </w:rPr>
        <w:t xml:space="preserve"> 详见工程量清单所包含内容 </w:t>
      </w:r>
      <w:r>
        <w:rPr>
          <w:rFonts w:hint="eastAsia" w:ascii="宋体" w:hAnsi="宋体" w:eastAsia="宋体" w:cs="宋体"/>
          <w:color w:val="auto"/>
          <w:spacing w:val="0"/>
          <w:position w:val="0"/>
          <w:sz w:val="24"/>
          <w:highlight w:val="none"/>
        </w:rPr>
        <w:t>。</w:t>
      </w:r>
    </w:p>
    <w:p w14:paraId="4227FC84">
      <w:pPr>
        <w:shd w:val="clear"/>
        <w:adjustRightInd w:val="0"/>
        <w:snapToGrid w:val="0"/>
        <w:spacing w:line="360" w:lineRule="auto"/>
        <w:ind w:firstLine="465" w:firstLineChars="193"/>
        <w:outlineLvl w:val="0"/>
        <w:rPr>
          <w:rFonts w:ascii="宋体" w:hAnsi="宋体" w:eastAsia="宋体" w:cs="宋体"/>
          <w:b/>
          <w:bCs/>
          <w:color w:val="auto"/>
          <w:spacing w:val="0"/>
          <w:position w:val="0"/>
          <w:sz w:val="24"/>
          <w:highlight w:val="none"/>
        </w:rPr>
      </w:pPr>
      <w:bookmarkStart w:id="86" w:name="_Toc351203482"/>
      <w:r>
        <w:rPr>
          <w:rFonts w:hint="eastAsia" w:ascii="宋体" w:hAnsi="宋体" w:eastAsia="宋体" w:cs="宋体"/>
          <w:b/>
          <w:bCs/>
          <w:color w:val="auto"/>
          <w:spacing w:val="0"/>
          <w:position w:val="0"/>
          <w:sz w:val="24"/>
          <w:highlight w:val="none"/>
        </w:rPr>
        <w:t>二、合同工期</w:t>
      </w:r>
      <w:bookmarkEnd w:id="86"/>
    </w:p>
    <w:p w14:paraId="4ED838B8">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计划开工日期：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日。（具体以开工令为准）</w:t>
      </w:r>
    </w:p>
    <w:p w14:paraId="2376176D">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计划竣工日期：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1EC3664E">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工期总日历天数：</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b/>
          <w:bCs/>
          <w:color w:val="auto"/>
          <w:spacing w:val="0"/>
          <w:position w:val="0"/>
          <w:sz w:val="24"/>
          <w:highlight w:val="none"/>
          <w:u w:val="single"/>
          <w:lang w:val="en-US" w:eastAsia="zh-CN"/>
        </w:rPr>
        <w:t xml:space="preserve">   </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天。工期总日历天数与根据前述计划开竣工日期计算的工期天数不一致的，以工期总日历天数为准。</w:t>
      </w:r>
    </w:p>
    <w:p w14:paraId="47276140">
      <w:pPr>
        <w:shd w:val="clear"/>
        <w:adjustRightInd w:val="0"/>
        <w:snapToGrid w:val="0"/>
        <w:spacing w:line="360" w:lineRule="auto"/>
        <w:ind w:firstLine="459"/>
        <w:outlineLvl w:val="0"/>
        <w:rPr>
          <w:rFonts w:ascii="宋体" w:hAnsi="宋体" w:eastAsia="宋体" w:cs="宋体"/>
          <w:b/>
          <w:bCs/>
          <w:color w:val="auto"/>
          <w:spacing w:val="0"/>
          <w:position w:val="0"/>
          <w:sz w:val="24"/>
          <w:highlight w:val="none"/>
        </w:rPr>
      </w:pPr>
      <w:bookmarkStart w:id="87" w:name="_Toc351203483"/>
      <w:r>
        <w:rPr>
          <w:rFonts w:hint="eastAsia" w:ascii="宋体" w:hAnsi="宋体" w:eastAsia="宋体" w:cs="宋体"/>
          <w:b/>
          <w:bCs/>
          <w:color w:val="auto"/>
          <w:spacing w:val="0"/>
          <w:position w:val="0"/>
          <w:sz w:val="24"/>
          <w:highlight w:val="none"/>
        </w:rPr>
        <w:t>三、质量标准</w:t>
      </w:r>
      <w:bookmarkEnd w:id="87"/>
    </w:p>
    <w:p w14:paraId="2B8F461F">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工程质量符合</w:t>
      </w:r>
      <w:r>
        <w:rPr>
          <w:rFonts w:hint="eastAsia" w:ascii="宋体" w:hAnsi="宋体" w:eastAsia="宋体" w:cs="宋体"/>
          <w:color w:val="auto"/>
          <w:spacing w:val="0"/>
          <w:position w:val="0"/>
          <w:sz w:val="24"/>
          <w:highlight w:val="none"/>
          <w:u w:val="single"/>
        </w:rPr>
        <w:t>《工程施工质量验收规范》合格</w:t>
      </w:r>
      <w:r>
        <w:rPr>
          <w:rFonts w:hint="eastAsia" w:ascii="宋体" w:hAnsi="宋体" w:eastAsia="宋体" w:cs="宋体"/>
          <w:color w:val="auto"/>
          <w:spacing w:val="0"/>
          <w:position w:val="0"/>
          <w:sz w:val="24"/>
          <w:highlight w:val="none"/>
        </w:rPr>
        <w:t>标准。</w:t>
      </w:r>
    </w:p>
    <w:p w14:paraId="483C3EB7">
      <w:pPr>
        <w:shd w:val="clear"/>
        <w:adjustRightInd w:val="0"/>
        <w:snapToGrid w:val="0"/>
        <w:spacing w:line="360" w:lineRule="auto"/>
        <w:ind w:firstLine="459"/>
        <w:outlineLvl w:val="0"/>
        <w:rPr>
          <w:rFonts w:ascii="宋体" w:hAnsi="宋体" w:eastAsia="宋体" w:cs="宋体"/>
          <w:b/>
          <w:bCs/>
          <w:color w:val="auto"/>
          <w:spacing w:val="0"/>
          <w:position w:val="0"/>
          <w:sz w:val="24"/>
          <w:highlight w:val="none"/>
        </w:rPr>
      </w:pPr>
      <w:bookmarkStart w:id="88" w:name="_Toc351203484"/>
      <w:r>
        <w:rPr>
          <w:rFonts w:hint="eastAsia" w:ascii="宋体" w:hAnsi="宋体" w:eastAsia="宋体" w:cs="宋体"/>
          <w:b/>
          <w:bCs/>
          <w:color w:val="auto"/>
          <w:spacing w:val="0"/>
          <w:position w:val="0"/>
          <w:sz w:val="24"/>
          <w:highlight w:val="none"/>
        </w:rPr>
        <w:t>四、签约合同价与合同价格形式</w:t>
      </w:r>
      <w:bookmarkEnd w:id="88"/>
    </w:p>
    <w:p w14:paraId="018DB27C">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 签约合同价为：</w:t>
      </w:r>
    </w:p>
    <w:p w14:paraId="53A85F2D">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人民币（大写</w:t>
      </w:r>
      <w:r>
        <w:rPr>
          <w:rFonts w:hint="eastAsia" w:ascii="宋体" w:hAnsi="宋体" w:eastAsia="宋体" w:cs="宋体"/>
          <w:color w:val="auto"/>
          <w:spacing w:val="0"/>
          <w:position w:val="0"/>
          <w:sz w:val="24"/>
          <w:highlight w:val="none"/>
          <w:lang w:eastAsia="zh-CN"/>
        </w:rPr>
        <w:t>：</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w:t>
      </w:r>
    </w:p>
    <w:p w14:paraId="79152140">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最终执行：如果结算审计价高于合同的按合同价执行，如果低于合同价的按审计价执行。</w:t>
      </w:r>
    </w:p>
    <w:p w14:paraId="11710A0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 合同价格形式：</w:t>
      </w:r>
      <w:r>
        <w:rPr>
          <w:rFonts w:hint="eastAsia" w:ascii="宋体" w:hAnsi="宋体" w:eastAsia="宋体" w:cs="宋体"/>
          <w:color w:val="auto"/>
          <w:spacing w:val="0"/>
          <w:position w:val="0"/>
          <w:sz w:val="24"/>
          <w:highlight w:val="none"/>
          <w:u w:val="single"/>
        </w:rPr>
        <w:t xml:space="preserve"> 固定综合单价   </w:t>
      </w:r>
      <w:r>
        <w:rPr>
          <w:rFonts w:hint="eastAsia" w:ascii="宋体" w:hAnsi="宋体" w:eastAsia="宋体" w:cs="宋体"/>
          <w:color w:val="auto"/>
          <w:spacing w:val="0"/>
          <w:position w:val="0"/>
          <w:sz w:val="24"/>
          <w:highlight w:val="none"/>
        </w:rPr>
        <w:t>。</w:t>
      </w:r>
    </w:p>
    <w:p w14:paraId="3955B544">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89" w:name="_Toc351203485"/>
      <w:r>
        <w:rPr>
          <w:rFonts w:hint="eastAsia" w:ascii="宋体" w:hAnsi="宋体" w:eastAsia="宋体" w:cs="宋体"/>
          <w:b/>
          <w:bCs/>
          <w:color w:val="auto"/>
          <w:spacing w:val="0"/>
          <w:position w:val="0"/>
          <w:sz w:val="24"/>
          <w:highlight w:val="none"/>
        </w:rPr>
        <w:t>五、</w:t>
      </w:r>
      <w:bookmarkEnd w:id="89"/>
      <w:r>
        <w:rPr>
          <w:rFonts w:hint="eastAsia" w:ascii="宋体" w:hAnsi="宋体" w:eastAsia="宋体" w:cs="宋体"/>
          <w:b/>
          <w:bCs/>
          <w:color w:val="auto"/>
          <w:spacing w:val="0"/>
          <w:position w:val="0"/>
          <w:sz w:val="24"/>
          <w:highlight w:val="none"/>
        </w:rPr>
        <w:t>项目经理</w:t>
      </w:r>
    </w:p>
    <w:p w14:paraId="199FAE2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承包人项目经理：</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w:t>
      </w:r>
    </w:p>
    <w:p w14:paraId="47555FE8">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0" w:name="_Toc351203486"/>
      <w:r>
        <w:rPr>
          <w:rFonts w:hint="eastAsia" w:ascii="宋体" w:hAnsi="宋体" w:eastAsia="宋体" w:cs="宋体"/>
          <w:b/>
          <w:bCs/>
          <w:color w:val="auto"/>
          <w:spacing w:val="0"/>
          <w:position w:val="0"/>
          <w:sz w:val="24"/>
          <w:highlight w:val="none"/>
        </w:rPr>
        <w:t>六、合同文件构成</w:t>
      </w:r>
      <w:bookmarkEnd w:id="90"/>
    </w:p>
    <w:p w14:paraId="32EB0DA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1.本协议书与下列文件一起构成合同文件：</w:t>
      </w:r>
    </w:p>
    <w:p w14:paraId="5693C101">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（1）中标通知书（如有）；</w:t>
      </w:r>
    </w:p>
    <w:p w14:paraId="5AD135A9">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（2）投标函及其附录（如有）； </w:t>
      </w:r>
    </w:p>
    <w:p w14:paraId="0ABC408A">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（3）专用合同条款及其附件；</w:t>
      </w:r>
    </w:p>
    <w:p w14:paraId="7A1FF836">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（4）通用合同条款；</w:t>
      </w:r>
    </w:p>
    <w:p w14:paraId="5EB3350A">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（5）技术标准和要求；</w:t>
      </w:r>
    </w:p>
    <w:p w14:paraId="5CA8D841">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（6）已标价工程量清单或预算书； </w:t>
      </w:r>
    </w:p>
    <w:p w14:paraId="68883B5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（7）图纸；</w:t>
      </w:r>
    </w:p>
    <w:p w14:paraId="536CD6C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（8）其他合同文件。</w:t>
      </w:r>
    </w:p>
    <w:p w14:paraId="62B66AC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2.双方有关工程的洽商、变更等书面协议或文件视为本合同的组成部分。</w:t>
      </w:r>
    </w:p>
    <w:p w14:paraId="61AAB2B4">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F68BD29">
      <w:pPr>
        <w:shd w:val="clear"/>
        <w:autoSpaceDE w:val="0"/>
        <w:autoSpaceDN w:val="0"/>
        <w:adjustRightInd w:val="0"/>
        <w:snapToGrid w:val="0"/>
        <w:spacing w:line="360" w:lineRule="auto"/>
        <w:ind w:firstLine="482" w:firstLineChars="200"/>
        <w:jc w:val="left"/>
        <w:outlineLvl w:val="0"/>
        <w:rPr>
          <w:rFonts w:ascii="宋体" w:hAnsi="宋体" w:eastAsia="宋体" w:cs="宋体"/>
          <w:b/>
          <w:bCs/>
          <w:color w:val="auto"/>
          <w:spacing w:val="0"/>
          <w:position w:val="0"/>
          <w:sz w:val="24"/>
          <w:highlight w:val="none"/>
        </w:rPr>
      </w:pPr>
      <w:bookmarkStart w:id="91" w:name="_Toc351203487"/>
      <w:r>
        <w:rPr>
          <w:rFonts w:hint="eastAsia" w:ascii="宋体" w:hAnsi="宋体" w:eastAsia="宋体" w:cs="宋体"/>
          <w:b/>
          <w:bCs/>
          <w:color w:val="auto"/>
          <w:spacing w:val="0"/>
          <w:position w:val="0"/>
          <w:sz w:val="24"/>
          <w:highlight w:val="none"/>
        </w:rPr>
        <w:t>七、承诺</w:t>
      </w:r>
      <w:bookmarkEnd w:id="91"/>
    </w:p>
    <w:p w14:paraId="6C755D3D">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 发包人承诺按照法律规定履行项目审批手续、筹集工程建设资金并按照合同约定的期限和方式支付合同价款。</w:t>
      </w:r>
    </w:p>
    <w:p w14:paraId="3E557B16">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 承包人承诺按照法律规定及合同约定组织完成工程施工，确保工程质量和安全，不进行转包及违法分包，并在缺陷责任期及保修期内承担相应的工程维修责任。</w:t>
      </w:r>
    </w:p>
    <w:p w14:paraId="07A91AF1">
      <w:pPr>
        <w:shd w:val="clear"/>
        <w:adjustRightInd w:val="0"/>
        <w:snapToGrid w:val="0"/>
        <w:spacing w:line="360" w:lineRule="auto"/>
        <w:ind w:firstLine="480" w:firstLineChars="200"/>
        <w:rPr>
          <w:rFonts w:hint="eastAsia" w:ascii="宋体" w:hAnsi="宋体" w:eastAsia="宋体" w:cs="宋体"/>
          <w:bCs/>
          <w:color w:val="auto"/>
          <w:spacing w:val="0"/>
          <w:position w:val="0"/>
          <w:sz w:val="24"/>
          <w:highlight w:val="none"/>
          <w:lang w:val="en-US" w:eastAsia="zh-CN"/>
        </w:rPr>
      </w:pPr>
      <w:r>
        <w:rPr>
          <w:rFonts w:hint="eastAsia" w:ascii="宋体" w:hAnsi="宋体" w:eastAsia="宋体" w:cs="宋体"/>
          <w:bCs/>
          <w:color w:val="auto"/>
          <w:spacing w:val="0"/>
          <w:position w:val="0"/>
          <w:sz w:val="24"/>
          <w:highlight w:val="none"/>
        </w:rPr>
        <w:t>3. 发包人和承包人签订</w:t>
      </w:r>
      <w:r>
        <w:rPr>
          <w:rFonts w:hint="eastAsia" w:ascii="宋体" w:hAnsi="宋体" w:eastAsia="宋体" w:cs="宋体"/>
          <w:bCs/>
          <w:color w:val="auto"/>
          <w:spacing w:val="0"/>
          <w:position w:val="0"/>
          <w:sz w:val="24"/>
          <w:highlight w:val="none"/>
          <w:lang w:eastAsia="zh-CN"/>
        </w:rPr>
        <w:t>的</w:t>
      </w:r>
      <w:r>
        <w:rPr>
          <w:rFonts w:hint="eastAsia" w:ascii="宋体" w:hAnsi="宋体" w:eastAsia="宋体" w:cs="宋体"/>
          <w:bCs/>
          <w:color w:val="auto"/>
          <w:spacing w:val="0"/>
          <w:position w:val="0"/>
          <w:sz w:val="24"/>
          <w:highlight w:val="none"/>
        </w:rPr>
        <w:t>合同，双方理解并承诺不再就同一工程另行签订与合同实质性内容相背离的协议。</w:t>
      </w:r>
      <w:bookmarkStart w:id="92" w:name="_Toc351203488"/>
      <w:r>
        <w:rPr>
          <w:rFonts w:hint="eastAsia" w:ascii="宋体" w:hAnsi="宋体" w:eastAsia="宋体" w:cs="宋体"/>
          <w:bCs/>
          <w:color w:val="auto"/>
          <w:spacing w:val="0"/>
          <w:position w:val="0"/>
          <w:sz w:val="24"/>
          <w:highlight w:val="none"/>
          <w:lang w:eastAsia="zh-CN"/>
        </w:rPr>
        <w:t>其他未说明的有关管理办法严格按浦政规〔</w:t>
      </w:r>
      <w:r>
        <w:rPr>
          <w:rFonts w:hint="eastAsia" w:ascii="宋体" w:hAnsi="宋体" w:eastAsia="宋体" w:cs="宋体"/>
          <w:bCs/>
          <w:color w:val="auto"/>
          <w:spacing w:val="0"/>
          <w:position w:val="0"/>
          <w:sz w:val="24"/>
          <w:highlight w:val="none"/>
          <w:lang w:val="en-US" w:eastAsia="zh-CN"/>
        </w:rPr>
        <w:t>2020</w:t>
      </w:r>
      <w:r>
        <w:rPr>
          <w:rFonts w:hint="eastAsia" w:ascii="宋体" w:hAnsi="宋体" w:eastAsia="宋体" w:cs="宋体"/>
          <w:bCs/>
          <w:color w:val="auto"/>
          <w:spacing w:val="0"/>
          <w:position w:val="0"/>
          <w:sz w:val="24"/>
          <w:highlight w:val="none"/>
          <w:lang w:eastAsia="zh-CN"/>
        </w:rPr>
        <w:t>〕</w:t>
      </w:r>
      <w:r>
        <w:rPr>
          <w:rFonts w:hint="eastAsia" w:ascii="宋体" w:hAnsi="宋体" w:eastAsia="宋体" w:cs="宋体"/>
          <w:bCs/>
          <w:color w:val="auto"/>
          <w:spacing w:val="0"/>
          <w:position w:val="0"/>
          <w:sz w:val="24"/>
          <w:highlight w:val="none"/>
          <w:lang w:val="en-US" w:eastAsia="zh-CN"/>
        </w:rPr>
        <w:t xml:space="preserve">1号及相关规范执行。比如 </w:t>
      </w:r>
    </w:p>
    <w:p w14:paraId="24887BA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70B5B916">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4D406CC0">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（3）监理单位弄虚作假、超越权限，导致虚增工程量、多计价款的，不支付监理费，并由县行业行政监管部门给予处罚；给项目业主造成损失的，依法承担经济和法律责任。</w:t>
      </w:r>
    </w:p>
    <w:p w14:paraId="746E1511">
      <w:pPr>
        <w:shd w:val="clear"/>
        <w:adjustRightInd w:val="0"/>
        <w:snapToGrid w:val="0"/>
        <w:spacing w:line="360" w:lineRule="auto"/>
        <w:ind w:firstLine="480" w:firstLineChars="200"/>
        <w:rPr>
          <w:rFonts w:hint="default" w:ascii="宋体" w:hAnsi="宋体" w:eastAsia="宋体" w:cs="宋体"/>
          <w:bCs/>
          <w:color w:val="auto"/>
          <w:spacing w:val="0"/>
          <w:position w:val="0"/>
          <w:sz w:val="24"/>
          <w:highlight w:val="none"/>
          <w:lang w:val="en-US" w:eastAsia="zh-CN"/>
        </w:rPr>
      </w:pPr>
      <w:r>
        <w:rPr>
          <w:rFonts w:hint="eastAsia" w:ascii="宋体" w:hAnsi="宋体" w:eastAsia="宋体" w:cs="宋体"/>
          <w:bCs/>
          <w:color w:val="auto"/>
          <w:spacing w:val="0"/>
          <w:position w:val="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0A4FF950">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八、词语含义</w:t>
      </w:r>
      <w:bookmarkEnd w:id="92"/>
    </w:p>
    <w:p w14:paraId="6FCA8FEB">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本协议书中词语含义与第二部分通用合同条款中赋予的含义相同。</w:t>
      </w:r>
    </w:p>
    <w:p w14:paraId="1C12C850">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3" w:name="_Toc351203489"/>
      <w:r>
        <w:rPr>
          <w:rFonts w:hint="eastAsia" w:ascii="宋体" w:hAnsi="宋体" w:eastAsia="宋体" w:cs="宋体"/>
          <w:b/>
          <w:bCs/>
          <w:color w:val="auto"/>
          <w:spacing w:val="0"/>
          <w:position w:val="0"/>
          <w:sz w:val="24"/>
          <w:highlight w:val="none"/>
        </w:rPr>
        <w:t>九、签订时间</w:t>
      </w:r>
      <w:bookmarkEnd w:id="93"/>
    </w:p>
    <w:p w14:paraId="5CCF0A2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本合同于</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年</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月</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日签订。</w:t>
      </w:r>
    </w:p>
    <w:p w14:paraId="6EEC2921">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4" w:name="_Toc351203490"/>
      <w:r>
        <w:rPr>
          <w:rFonts w:hint="eastAsia" w:ascii="宋体" w:hAnsi="宋体" w:eastAsia="宋体" w:cs="宋体"/>
          <w:b/>
          <w:bCs/>
          <w:color w:val="auto"/>
          <w:spacing w:val="0"/>
          <w:position w:val="0"/>
          <w:sz w:val="24"/>
          <w:highlight w:val="none"/>
        </w:rPr>
        <w:t>十、签订地点</w:t>
      </w:r>
      <w:bookmarkEnd w:id="94"/>
    </w:p>
    <w:p w14:paraId="7E043C0A">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本合同在</w:t>
      </w:r>
      <w:r>
        <w:rPr>
          <w:rFonts w:hint="eastAsia" w:ascii="宋体" w:hAnsi="宋体" w:eastAsia="宋体" w:cs="宋体"/>
          <w:bCs/>
          <w:color w:val="auto"/>
          <w:spacing w:val="0"/>
          <w:position w:val="0"/>
          <w:sz w:val="24"/>
          <w:highlight w:val="none"/>
          <w:u w:val="single"/>
        </w:rPr>
        <w:t xml:space="preserve"> </w:t>
      </w:r>
      <w:r>
        <w:rPr>
          <w:rFonts w:hint="eastAsia" w:ascii="宋体" w:hAnsi="宋体" w:cs="宋体"/>
          <w:bCs/>
          <w:color w:val="auto"/>
          <w:spacing w:val="0"/>
          <w:position w:val="0"/>
          <w:sz w:val="24"/>
          <w:highlight w:val="none"/>
          <w:u w:val="single"/>
          <w:lang w:eastAsia="zh-CN"/>
        </w:rPr>
        <w:t>浦北县农业农村局</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签订。</w:t>
      </w:r>
    </w:p>
    <w:p w14:paraId="59DB1F5A">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5" w:name="_Toc351203491"/>
      <w:r>
        <w:rPr>
          <w:rFonts w:hint="eastAsia" w:ascii="宋体" w:hAnsi="宋体" w:eastAsia="宋体" w:cs="宋体"/>
          <w:b/>
          <w:bCs/>
          <w:color w:val="auto"/>
          <w:spacing w:val="0"/>
          <w:position w:val="0"/>
          <w:sz w:val="24"/>
          <w:highlight w:val="none"/>
        </w:rPr>
        <w:t>十一、补充协议</w:t>
      </w:r>
      <w:bookmarkEnd w:id="95"/>
    </w:p>
    <w:p w14:paraId="3B7AA6D5">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合同未尽事宜，合同当事人另行签订补充协议，补充协议是合同的组成部分。</w:t>
      </w:r>
    </w:p>
    <w:p w14:paraId="68C1BFAF">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6" w:name="_Toc351203492"/>
      <w:r>
        <w:rPr>
          <w:rFonts w:hint="eastAsia" w:ascii="宋体" w:hAnsi="宋体" w:eastAsia="宋体" w:cs="宋体"/>
          <w:b/>
          <w:bCs/>
          <w:color w:val="auto"/>
          <w:spacing w:val="0"/>
          <w:position w:val="0"/>
          <w:sz w:val="24"/>
          <w:highlight w:val="none"/>
        </w:rPr>
        <w:t>十二、合同生效</w:t>
      </w:r>
      <w:bookmarkEnd w:id="96"/>
    </w:p>
    <w:p w14:paraId="70FEDC6F">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本合同自</w:t>
      </w:r>
      <w:r>
        <w:rPr>
          <w:rFonts w:hint="eastAsia" w:ascii="宋体" w:hAnsi="宋体" w:eastAsia="宋体" w:cs="宋体"/>
          <w:bCs/>
          <w:color w:val="auto"/>
          <w:spacing w:val="0"/>
          <w:position w:val="0"/>
          <w:sz w:val="24"/>
          <w:highlight w:val="none"/>
          <w:u w:val="single"/>
        </w:rPr>
        <w:t xml:space="preserve"> 双方法定代表人或其授权代理人签字并加盖单位公章之日起 </w:t>
      </w:r>
      <w:r>
        <w:rPr>
          <w:rFonts w:hint="eastAsia" w:ascii="宋体" w:hAnsi="宋体" w:eastAsia="宋体" w:cs="宋体"/>
          <w:bCs/>
          <w:color w:val="auto"/>
          <w:spacing w:val="0"/>
          <w:position w:val="0"/>
          <w:sz w:val="24"/>
          <w:highlight w:val="none"/>
        </w:rPr>
        <w:t>生效。</w:t>
      </w:r>
    </w:p>
    <w:p w14:paraId="7930FB92">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7" w:name="_Toc351203493"/>
      <w:r>
        <w:rPr>
          <w:rFonts w:hint="eastAsia" w:ascii="宋体" w:hAnsi="宋体" w:eastAsia="宋体" w:cs="宋体"/>
          <w:b/>
          <w:bCs/>
          <w:color w:val="auto"/>
          <w:spacing w:val="0"/>
          <w:position w:val="0"/>
          <w:sz w:val="24"/>
          <w:highlight w:val="none"/>
        </w:rPr>
        <w:t>十三、合同份数</w:t>
      </w:r>
      <w:bookmarkEnd w:id="97"/>
    </w:p>
    <w:p w14:paraId="3FB2B598">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本合同一式</w:t>
      </w:r>
      <w:r>
        <w:rPr>
          <w:rFonts w:hint="eastAsia" w:ascii="宋体" w:hAnsi="宋体" w:eastAsia="宋体" w:cs="宋体"/>
          <w:bCs/>
          <w:color w:val="auto"/>
          <w:spacing w:val="0"/>
          <w:position w:val="0"/>
          <w:sz w:val="24"/>
          <w:highlight w:val="none"/>
          <w:u w:val="single"/>
        </w:rPr>
        <w:t xml:space="preserve"> 捌 </w:t>
      </w:r>
      <w:r>
        <w:rPr>
          <w:rFonts w:hint="eastAsia" w:ascii="宋体" w:hAnsi="宋体" w:eastAsia="宋体" w:cs="宋体"/>
          <w:bCs/>
          <w:color w:val="auto"/>
          <w:spacing w:val="0"/>
          <w:position w:val="0"/>
          <w:sz w:val="24"/>
          <w:highlight w:val="none"/>
        </w:rPr>
        <w:t>份，均具有同等法律效力，发包人执</w:t>
      </w:r>
      <w:r>
        <w:rPr>
          <w:rFonts w:hint="eastAsia" w:ascii="宋体" w:hAnsi="宋体" w:eastAsia="宋体" w:cs="宋体"/>
          <w:bCs/>
          <w:color w:val="auto"/>
          <w:spacing w:val="0"/>
          <w:position w:val="0"/>
          <w:sz w:val="24"/>
          <w:highlight w:val="none"/>
          <w:u w:val="single"/>
        </w:rPr>
        <w:t xml:space="preserve"> 肆 </w:t>
      </w:r>
      <w:r>
        <w:rPr>
          <w:rFonts w:hint="eastAsia" w:ascii="宋体" w:hAnsi="宋体" w:eastAsia="宋体" w:cs="宋体"/>
          <w:bCs/>
          <w:color w:val="auto"/>
          <w:spacing w:val="0"/>
          <w:position w:val="0"/>
          <w:sz w:val="24"/>
          <w:highlight w:val="none"/>
        </w:rPr>
        <w:t>份，承包人执</w:t>
      </w:r>
      <w:r>
        <w:rPr>
          <w:rFonts w:hint="eastAsia" w:ascii="宋体" w:hAnsi="宋体" w:eastAsia="宋体" w:cs="宋体"/>
          <w:bCs/>
          <w:color w:val="auto"/>
          <w:spacing w:val="0"/>
          <w:position w:val="0"/>
          <w:sz w:val="24"/>
          <w:highlight w:val="none"/>
          <w:u w:val="single"/>
        </w:rPr>
        <w:t xml:space="preserve"> 肆 </w:t>
      </w:r>
      <w:r>
        <w:rPr>
          <w:rFonts w:hint="eastAsia" w:ascii="宋体" w:hAnsi="宋体" w:eastAsia="宋体" w:cs="宋体"/>
          <w:bCs/>
          <w:color w:val="auto"/>
          <w:spacing w:val="0"/>
          <w:position w:val="0"/>
          <w:sz w:val="24"/>
          <w:highlight w:val="none"/>
        </w:rPr>
        <w:t>份。</w:t>
      </w:r>
    </w:p>
    <w:p w14:paraId="4A6BF558">
      <w:pPr>
        <w:shd w:val="clear"/>
        <w:adjustRightInd w:val="0"/>
        <w:snapToGrid w:val="0"/>
        <w:spacing w:line="420" w:lineRule="exact"/>
        <w:rPr>
          <w:rFonts w:hint="eastAsia" w:ascii="宋体" w:hAnsi="宋体" w:cs="宋体"/>
          <w:color w:val="auto"/>
          <w:spacing w:val="0"/>
          <w:position w:val="0"/>
          <w:sz w:val="24"/>
          <w:highlight w:val="none"/>
        </w:rPr>
      </w:pPr>
      <w:bookmarkStart w:id="98" w:name="_Toc425437329"/>
      <w:bookmarkStart w:id="99" w:name="_Toc21285"/>
      <w:bookmarkStart w:id="100" w:name="_Toc16007"/>
      <w:bookmarkStart w:id="101" w:name="_Toc461982824"/>
      <w:bookmarkStart w:id="102" w:name="_Toc389065256"/>
      <w:bookmarkStart w:id="103" w:name="_Toc439779029"/>
      <w:bookmarkStart w:id="104" w:name="_Toc373227691"/>
      <w:bookmarkStart w:id="105" w:name="_Toc373478338"/>
      <w:bookmarkStart w:id="106" w:name="_Toc351203632"/>
    </w:p>
    <w:p w14:paraId="31821A9D">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eastAsia" w:ascii="宋体" w:hAnsi="宋体" w:cs="宋体"/>
          <w:color w:val="auto"/>
          <w:spacing w:val="0"/>
          <w:position w:val="0"/>
          <w:sz w:val="24"/>
          <w:highlight w:val="none"/>
        </w:rPr>
      </w:pPr>
    </w:p>
    <w:p w14:paraId="30BD4438">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发包人：</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（公章）</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 xml:space="preserve">  承包人：</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（公章）</w:t>
      </w:r>
    </w:p>
    <w:p w14:paraId="45772791">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 xml:space="preserve">法定代表人：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法定代表人：</w:t>
      </w:r>
    </w:p>
    <w:p w14:paraId="2F329179">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 xml:space="preserve">或其委托代理人：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或其委托代理人：</w:t>
      </w:r>
    </w:p>
    <w:p w14:paraId="14BC898D">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pacing w:val="0"/>
          <w:position w:val="0"/>
          <w:sz w:val="24"/>
          <w:highlight w:val="none"/>
        </w:rPr>
        <w:t>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地址：</w:t>
      </w:r>
      <w:r>
        <w:rPr>
          <w:rFonts w:hint="eastAsia" w:asciiTheme="minorEastAsia" w:hAnsiTheme="minorEastAsia"/>
          <w:color w:val="auto"/>
          <w:spacing w:val="0"/>
          <w:position w:val="0"/>
          <w:sz w:val="24"/>
          <w:highlight w:val="none"/>
          <w:u w:val="single"/>
          <w:lang w:val="en-US" w:eastAsia="zh-CN"/>
        </w:rPr>
        <w:t xml:space="preserve">                   </w:t>
      </w:r>
    </w:p>
    <w:p w14:paraId="1E27BC51">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邮政编码：</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 xml:space="preserve"> 邮政编码：</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p>
    <w:p w14:paraId="2BF6E9CC">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pacing w:val="0"/>
          <w:position w:val="0"/>
          <w:sz w:val="24"/>
          <w:highlight w:val="none"/>
        </w:rPr>
        <w:t>电话（传真）：</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电话（传真）：</w:t>
      </w:r>
      <w:r>
        <w:rPr>
          <w:rFonts w:hint="eastAsia" w:ascii="宋体" w:hAnsi="宋体" w:cs="宋体"/>
          <w:color w:val="auto"/>
          <w:spacing w:val="0"/>
          <w:position w:val="0"/>
          <w:sz w:val="24"/>
          <w:highlight w:val="none"/>
          <w:u w:val="single"/>
          <w:lang w:val="en-US" w:eastAsia="zh-CN"/>
        </w:rPr>
        <w:t xml:space="preserve">               </w:t>
      </w:r>
    </w:p>
    <w:p w14:paraId="242F7957">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cs="宋体"/>
          <w:color w:val="auto"/>
          <w:spacing w:val="0"/>
          <w:position w:val="0"/>
          <w:sz w:val="24"/>
          <w:highlight w:val="none"/>
          <w:lang w:val="en-US"/>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开户银行：</w:t>
      </w:r>
      <w:r>
        <w:rPr>
          <w:rFonts w:hint="eastAsia" w:asciiTheme="minorEastAsia" w:hAnsiTheme="minorEastAsia"/>
          <w:color w:val="auto"/>
          <w:spacing w:val="0"/>
          <w:position w:val="0"/>
          <w:sz w:val="24"/>
          <w:highlight w:val="none"/>
          <w:u w:val="single"/>
          <w:lang w:val="en-US" w:eastAsia="zh-CN"/>
        </w:rPr>
        <w:t xml:space="preserve">                   </w:t>
      </w:r>
    </w:p>
    <w:p w14:paraId="6A9EBFA0">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账 号：</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账 号：</w:t>
      </w:r>
      <w:r>
        <w:rPr>
          <w:rFonts w:hint="eastAsia" w:asciiTheme="minorEastAsia" w:hAnsiTheme="minorEastAsia"/>
          <w:color w:val="auto"/>
          <w:spacing w:val="0"/>
          <w:position w:val="0"/>
          <w:sz w:val="24"/>
          <w:highlight w:val="none"/>
          <w:u w:val="single"/>
          <w:lang w:eastAsia="zh-CN"/>
        </w:rPr>
        <w:t xml:space="preserve"> </w:t>
      </w:r>
      <w:r>
        <w:rPr>
          <w:rFonts w:hint="eastAsia" w:asciiTheme="minorEastAsia" w:hAnsiTheme="minorEastAsia"/>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p>
    <w:p w14:paraId="7144897C">
      <w:pPr>
        <w:pStyle w:val="2"/>
        <w:keepNext w:val="0"/>
        <w:keepLines w:val="0"/>
        <w:shd w:val="clear"/>
        <w:spacing w:line="312" w:lineRule="auto"/>
        <w:jc w:val="both"/>
        <w:rPr>
          <w:rFonts w:hint="eastAsia" w:ascii="宋体" w:hAnsi="宋体" w:eastAsia="宋体" w:cs="宋体"/>
          <w:color w:val="auto"/>
          <w:spacing w:val="0"/>
          <w:position w:val="0"/>
          <w:szCs w:val="32"/>
          <w:highlight w:val="none"/>
        </w:rPr>
      </w:pPr>
    </w:p>
    <w:p w14:paraId="0FA99764">
      <w:pPr>
        <w:pStyle w:val="2"/>
        <w:keepNext w:val="0"/>
        <w:keepLines w:val="0"/>
        <w:shd w:val="clear"/>
        <w:spacing w:line="312" w:lineRule="auto"/>
        <w:jc w:val="center"/>
        <w:rPr>
          <w:rFonts w:ascii="宋体" w:hAnsi="宋体" w:eastAsia="宋体" w:cs="宋体"/>
          <w:color w:val="auto"/>
          <w:spacing w:val="0"/>
          <w:position w:val="0"/>
          <w:szCs w:val="32"/>
          <w:highlight w:val="none"/>
        </w:rPr>
      </w:pPr>
      <w:r>
        <w:rPr>
          <w:rFonts w:hint="eastAsia" w:ascii="宋体" w:hAnsi="宋体" w:eastAsia="宋体" w:cs="宋体"/>
          <w:color w:val="auto"/>
          <w:spacing w:val="0"/>
          <w:position w:val="0"/>
          <w:szCs w:val="32"/>
          <w:highlight w:val="none"/>
        </w:rPr>
        <w:t>第二部分 通用合同条款</w:t>
      </w:r>
      <w:bookmarkEnd w:id="98"/>
      <w:bookmarkEnd w:id="99"/>
      <w:bookmarkEnd w:id="100"/>
      <w:bookmarkEnd w:id="101"/>
      <w:bookmarkEnd w:id="102"/>
      <w:bookmarkEnd w:id="103"/>
    </w:p>
    <w:p w14:paraId="7417467A">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07" w:name="_Toc351203495"/>
      <w:bookmarkStart w:id="108" w:name="_Toc439779030"/>
      <w:bookmarkStart w:id="109" w:name="_Toc389065257"/>
      <w:bookmarkStart w:id="110" w:name="_Toc25546"/>
      <w:bookmarkStart w:id="111" w:name="_Toc1320"/>
      <w:bookmarkStart w:id="112" w:name="_Toc425437330"/>
      <w:bookmarkStart w:id="113" w:name="_Toc461982825"/>
      <w:r>
        <w:rPr>
          <w:rFonts w:hint="eastAsia" w:ascii="宋体" w:hAnsi="宋体" w:eastAsia="宋体" w:cs="宋体"/>
          <w:b w:val="0"/>
          <w:color w:val="auto"/>
          <w:spacing w:val="0"/>
          <w:position w:val="0"/>
          <w:sz w:val="24"/>
          <w:szCs w:val="24"/>
          <w:highlight w:val="none"/>
        </w:rPr>
        <w:t>1.</w:t>
      </w:r>
      <w:bookmarkStart w:id="114" w:name="_Toc303538975"/>
      <w:bookmarkEnd w:id="114"/>
      <w:bookmarkStart w:id="115" w:name="_Toc303538972"/>
      <w:bookmarkEnd w:id="115"/>
      <w:bookmarkStart w:id="116" w:name="_Toc303538976"/>
      <w:bookmarkEnd w:id="116"/>
      <w:bookmarkStart w:id="117" w:name="_Toc303538973"/>
      <w:bookmarkEnd w:id="117"/>
      <w:bookmarkStart w:id="118" w:name="_Toc303538974"/>
      <w:bookmarkEnd w:id="118"/>
      <w:bookmarkStart w:id="119" w:name="_Toc296346528"/>
      <w:bookmarkStart w:id="120" w:name="_Toc296503027"/>
      <w:r>
        <w:rPr>
          <w:rFonts w:hint="eastAsia" w:ascii="宋体" w:hAnsi="宋体" w:eastAsia="宋体" w:cs="宋体"/>
          <w:b w:val="0"/>
          <w:color w:val="auto"/>
          <w:spacing w:val="0"/>
          <w:position w:val="0"/>
          <w:sz w:val="24"/>
          <w:szCs w:val="24"/>
          <w:highlight w:val="none"/>
        </w:rPr>
        <w:t xml:space="preserve"> 一般约定</w:t>
      </w:r>
      <w:bookmarkEnd w:id="107"/>
      <w:bookmarkEnd w:id="119"/>
      <w:bookmarkEnd w:id="120"/>
    </w:p>
    <w:p w14:paraId="58C06C4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21" w:name="_Toc296503028"/>
      <w:bookmarkStart w:id="122" w:name="_Toc296346529"/>
      <w:bookmarkStart w:id="123" w:name="_Toc337558728"/>
      <w:bookmarkStart w:id="124" w:name="_Toc351203496"/>
      <w:r>
        <w:rPr>
          <w:rFonts w:hint="eastAsia" w:ascii="宋体" w:hAnsi="宋体" w:eastAsia="宋体" w:cs="宋体"/>
          <w:b w:val="0"/>
          <w:color w:val="auto"/>
          <w:spacing w:val="0"/>
          <w:position w:val="0"/>
          <w:sz w:val="24"/>
          <w:szCs w:val="24"/>
          <w:highlight w:val="none"/>
        </w:rPr>
        <w:t>1.1词语定义</w:t>
      </w:r>
      <w:bookmarkEnd w:id="121"/>
      <w:bookmarkEnd w:id="122"/>
      <w:bookmarkEnd w:id="123"/>
      <w:r>
        <w:rPr>
          <w:rFonts w:hint="eastAsia" w:ascii="宋体" w:hAnsi="宋体" w:eastAsia="宋体" w:cs="宋体"/>
          <w:b w:val="0"/>
          <w:color w:val="auto"/>
          <w:spacing w:val="0"/>
          <w:position w:val="0"/>
          <w:sz w:val="24"/>
          <w:szCs w:val="24"/>
          <w:highlight w:val="none"/>
        </w:rPr>
        <w:t>与解释</w:t>
      </w:r>
      <w:bookmarkEnd w:id="124"/>
    </w:p>
    <w:p w14:paraId="7B49FA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合同协议书、通用合同条款、专用合同条款中的下列词语具有本款所赋予的含义：</w:t>
      </w:r>
    </w:p>
    <w:p w14:paraId="74E596B7">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1.1.1 合同</w:t>
      </w:r>
    </w:p>
    <w:p w14:paraId="6F5EE1C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pacing w:val="0"/>
          <w:position w:val="0"/>
          <w:sz w:val="24"/>
          <w:highlight w:val="none"/>
        </w:rPr>
        <w:t>及其附件</w:t>
      </w:r>
      <w:r>
        <w:rPr>
          <w:rFonts w:hint="eastAsia" w:ascii="宋体" w:hAnsi="宋体" w:eastAsia="宋体" w:cs="宋体"/>
          <w:color w:val="auto"/>
          <w:spacing w:val="0"/>
          <w:kern w:val="0"/>
          <w:position w:val="0"/>
          <w:sz w:val="24"/>
          <w:highlight w:val="none"/>
        </w:rPr>
        <w:t>、通用合同条款、技术标准和要求、图纸、已标价工程量清单或预算书以及其他合同文件。</w:t>
      </w:r>
    </w:p>
    <w:p w14:paraId="1A00FD9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1.1.1.2 合同协议书：是指构成合同的由发包人和承包人共同签署的称为“合同协议书”的书面文件。</w:t>
      </w:r>
    </w:p>
    <w:p w14:paraId="724FF5C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1.1.1.3 中标通知书：是指构成合同的由发包人通知承包人中标的书面文件。</w:t>
      </w:r>
    </w:p>
    <w:p w14:paraId="63D6CF0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1.1.1.4 投标函：是指构成合同的由承包人填写并签署的用于投标的称为“投标函”的文件。</w:t>
      </w:r>
    </w:p>
    <w:p w14:paraId="46C37CB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1.1.1.5 投标函附录：是指构成合同的附在投标函后的称为“投标函附录”的文件。</w:t>
      </w:r>
    </w:p>
    <w:p w14:paraId="1617EF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1.1.1.6 技术标准和要求：是指构成合同的施工应当遵守的或指导施工的国家、行业或地方的技术标准和要求，以及合同约定的技术标准和要求。</w:t>
      </w:r>
    </w:p>
    <w:p w14:paraId="1E73DA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59564">
      <w:pPr>
        <w:shd w:val="clear"/>
        <w:autoSpaceDE w:val="0"/>
        <w:autoSpaceDN w:val="0"/>
        <w:adjustRightInd w:val="0"/>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1.1.1.8 已标价工程量清单：是指构成合同的由承包人按照规定的格式和要求填写并标明价格的工程量清单，包括说明和表格。</w:t>
      </w:r>
    </w:p>
    <w:p w14:paraId="2128B840">
      <w:pPr>
        <w:shd w:val="clear"/>
        <w:autoSpaceDE w:val="0"/>
        <w:autoSpaceDN w:val="0"/>
        <w:adjustRightInd w:val="0"/>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1.1.1.9 预算书：是指构成合同的由承包人按照发包人规定的格式和要求编制的工程预算文件。</w:t>
      </w:r>
    </w:p>
    <w:p w14:paraId="7BB9F5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1.1.1.10 其他合同文件：是指经合同当事人约定的与工程施工有关的具有合同约束力的文件或书面协议。合同当事人可以在专用合同条款中进行约定。</w:t>
      </w:r>
    </w:p>
    <w:p w14:paraId="6B4DC58E">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1.1.2 合同当事人及其他相关方</w:t>
      </w:r>
    </w:p>
    <w:p w14:paraId="6B52DB2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1.1.2.1 合同当事人：是指发包人和（或）承包人。</w:t>
      </w:r>
    </w:p>
    <w:p w14:paraId="236230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1.1.2.2 发包人：是指与承包人签订合同协议书的当事人及取得该当事人资格的合法继承人。</w:t>
      </w:r>
    </w:p>
    <w:p w14:paraId="3E6961D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1.1.2.3 承包人：是指与发包人签订合同协议书的，具有相应工程施工承包资质的当事人及取得该当事人资格的合法继承人。</w:t>
      </w:r>
    </w:p>
    <w:p w14:paraId="395B753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1.1.2.4 监理人：是指在专用合同条款中指明的，受发包人委托按照法律规定进行工程监督管理的法人或其他组织。</w:t>
      </w:r>
    </w:p>
    <w:p w14:paraId="0B107B6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1.1.2.5 设计人：是指在专用合同条款中指明的，受发包人委托负责工程设计并具备相应工程设计资质的法人或其他组织。</w:t>
      </w:r>
    </w:p>
    <w:p w14:paraId="06D1596C">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1.1.2.6 分包人：</w:t>
      </w:r>
      <w:bookmarkStart w:id="125" w:name="#go5"/>
      <w:bookmarkEnd w:id="125"/>
      <w:r>
        <w:rPr>
          <w:rFonts w:hint="eastAsia" w:ascii="宋体" w:hAnsi="宋体" w:eastAsia="宋体" w:cs="宋体"/>
          <w:color w:val="auto"/>
          <w:spacing w:val="0"/>
          <w:kern w:val="0"/>
          <w:position w:val="0"/>
          <w:sz w:val="24"/>
          <w:highlight w:val="none"/>
        </w:rPr>
        <w:t>是指按照法律规定和合同约定，分包部分工程或工作，并与承包人签订分包合同的具有相应资质的法人。</w:t>
      </w:r>
    </w:p>
    <w:p w14:paraId="2F17C4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1.1.2.7 发包人代表：是指由发包人任命并派驻施工现场在发包人授权范围内行使发包人权利的人。</w:t>
      </w:r>
    </w:p>
    <w:p w14:paraId="3A00856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1.1.2.8 项目经理：是指由承包人任命并派驻施工现场，在承包人授权范围内负责合同履行，且按照法律规定具有相应资格的项目负责人。</w:t>
      </w:r>
    </w:p>
    <w:p w14:paraId="2A5B7DC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1.1.2.9 总监理工程师：是指由监理人任命并派驻施工现场进行工程监理的总负责人。</w:t>
      </w:r>
    </w:p>
    <w:p w14:paraId="6289FC8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 工程和设备</w:t>
      </w:r>
    </w:p>
    <w:p w14:paraId="68BD7D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1.1.3.1 工程：是指与合同协议书中工程承包范围对应的永久工程和（或）临时工程。</w:t>
      </w:r>
    </w:p>
    <w:p w14:paraId="628867E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1.1.3.2 永久工程：是指按合同约定建造并移交给发包人的工程，包括工程设备。</w:t>
      </w:r>
    </w:p>
    <w:p w14:paraId="40557D7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1.1.3.3 临时工程：是指为完成合同约定的永久工程所修建的各类临时性工程，不包括施工设备。</w:t>
      </w:r>
    </w:p>
    <w:p w14:paraId="23684F8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1.1.3.4 单位工程：是指在合同协议书中指明的，具备独立施工条件并能形成独立使用功能的永久工程。</w:t>
      </w:r>
    </w:p>
    <w:p w14:paraId="5D6B41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1.1.3.5 工程设备：是指构成永久工程的机电设备、金属结构设备、仪器及其他类似的设备和装置。</w:t>
      </w:r>
    </w:p>
    <w:p w14:paraId="6A249F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1.1.3.6 施工设备：是指为完成合同约定的各项工作所需的设备、器具和其他物品，但不包括工程设备、临时工程和材料。</w:t>
      </w:r>
    </w:p>
    <w:p w14:paraId="760001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1.1.3.7 施工现场：是指用于工程施工的场所，以及在专用合同条款中指明作为施工场所组成部分的其他场所，包括永久占地和临时占地。</w:t>
      </w:r>
    </w:p>
    <w:p w14:paraId="19DBB42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1.1.3.8临时设施：是指为完成合同约定的各项工作所服务的临时性生产和生活设施。</w:t>
      </w:r>
    </w:p>
    <w:p w14:paraId="12BE55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1.1.3.9 永久占地：是指专用合同条款中指明为实施工程需永久占用的土地。</w:t>
      </w:r>
    </w:p>
    <w:p w14:paraId="2BB7CB0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1.1.3.10 临时占地：是指专用合同条款中指明为实施工程需要临时占用的土地。</w:t>
      </w:r>
    </w:p>
    <w:p w14:paraId="433DA8A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 日期和期限</w:t>
      </w:r>
    </w:p>
    <w:p w14:paraId="54B062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92FB18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1.1.4.2 竣工日期：包括计划竣工日期和实际竣工日期。计划竣工日期是指合同协议书约定的竣工日期；实际竣工日期按照第13.2.3项〔竣工日期〕的约定确定。 </w:t>
      </w:r>
    </w:p>
    <w:p w14:paraId="0166D2A1">
      <w:pPr>
        <w:shd w:val="clear"/>
        <w:spacing w:line="312" w:lineRule="auto"/>
        <w:ind w:firstLine="487" w:firstLineChars="203"/>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1.1.4.3 工期：是指在合同协议书约定的承包人完成工程所需的期限，包括按照合同约定所作的期限变更。</w:t>
      </w:r>
    </w:p>
    <w:p w14:paraId="4723876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1.1.4.4 缺陷责任期：是指承包人按照合同约定承担缺陷修复义务，且发包人预留质量保证金的期限，自工程实际竣工日期起计算。</w:t>
      </w:r>
    </w:p>
    <w:p w14:paraId="1C7806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1.1.4.5 保修期：是指承包人按照合同约定对工程承担保修责任的期限，从工程竣工验收合格之日起计算。</w:t>
      </w:r>
    </w:p>
    <w:p w14:paraId="3C1577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1.1.4.6 基准日期：招标发包的工程以投标截止日前28天的日期为基准日期，直接发包的工程以合同签订日前28天的日期为基准日期。</w:t>
      </w:r>
    </w:p>
    <w:p w14:paraId="750F48E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1.1.4.7 天：除特别指明外，均指日历天。合同中按天计算时间的，开始当天不计入，从次日开始计算，期限最后一天的截止时间为当天24:00时。</w:t>
      </w:r>
    </w:p>
    <w:p w14:paraId="755A4A8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 合同价格和费用</w:t>
      </w:r>
    </w:p>
    <w:p w14:paraId="4E6AC872">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1.1.5.1 签约合同价：是指</w:t>
      </w:r>
      <w:r>
        <w:rPr>
          <w:rFonts w:hint="eastAsia" w:ascii="宋体" w:hAnsi="宋体" w:eastAsia="宋体" w:cs="宋体"/>
          <w:color w:val="auto"/>
          <w:spacing w:val="0"/>
          <w:position w:val="0"/>
          <w:sz w:val="24"/>
          <w:highlight w:val="none"/>
        </w:rPr>
        <w:t>发包人和承包人在合同协议书中确定的总金额，包括安全文明施工费、暂估价及暂列金额等。</w:t>
      </w:r>
    </w:p>
    <w:p w14:paraId="5C19860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1.1.5.2 合同价格：是指发包人用于支付承包人按照合同约定完成承包范围内全部工作的金额，包括合同履行过程中按合同约定发生的价格变化。</w:t>
      </w:r>
    </w:p>
    <w:p w14:paraId="27275E9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1.1.5.3 费用：是指为履行合同所发生的或将要发生的所有必需的开支，包括管理费和应分摊的其他费用，但不包括利润。</w:t>
      </w:r>
    </w:p>
    <w:p w14:paraId="4644040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1.1.5.4 暂估价：是指发包人在工程量清单或预算书中提供的用于支付必然发生但暂时不能确定价格的材料、工程设备的单价、专业工程以及服务工作的金额。</w:t>
      </w:r>
    </w:p>
    <w:p w14:paraId="36DA14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EEA711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1.1.5.6 计日工：是指合同履行过程中，承包人完成发包人提出的零星工作或需要采用计日工计价的变更工作时，按合同中约定的单价计价的一种方式。</w:t>
      </w:r>
    </w:p>
    <w:p w14:paraId="5E8A0E58">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1.1.5.7 质量保证金</w:t>
      </w:r>
      <w:bookmarkStart w:id="126" w:name="#go2"/>
      <w:bookmarkEnd w:id="126"/>
      <w:r>
        <w:rPr>
          <w:rFonts w:hint="eastAsia" w:ascii="宋体" w:hAnsi="宋体" w:eastAsia="宋体" w:cs="宋体"/>
          <w:color w:val="auto"/>
          <w:spacing w:val="0"/>
          <w:kern w:val="0"/>
          <w:position w:val="0"/>
          <w:sz w:val="24"/>
          <w:highlight w:val="none"/>
        </w:rPr>
        <w:t>：是指按照第15.3款〔质量保证金〕约定承包人用于保证其在缺陷责任期内履行缺陷修补义务的担保</w:t>
      </w:r>
      <w:r>
        <w:rPr>
          <w:rFonts w:hint="eastAsia" w:ascii="宋体" w:hAnsi="宋体" w:eastAsia="宋体" w:cs="宋体"/>
          <w:color w:val="auto"/>
          <w:spacing w:val="0"/>
          <w:position w:val="0"/>
          <w:sz w:val="24"/>
          <w:highlight w:val="none"/>
        </w:rPr>
        <w:t>。</w:t>
      </w:r>
    </w:p>
    <w:p w14:paraId="157F332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1.1.5.8 总价项目：是指在现行国家、行业以及地方的计量规则中无工程量计算规则，在已标价工程量清单或预算书中以总价或以费率形式计算的项目。</w:t>
      </w:r>
    </w:p>
    <w:p w14:paraId="07E303F4">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1.1.6 其他</w:t>
      </w:r>
    </w:p>
    <w:p w14:paraId="742F7AE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1.1.6.1 书面形式：是指合同文件、信函、电报、传真等可以有形地表现所载内容的形式。</w:t>
      </w:r>
    </w:p>
    <w:p w14:paraId="2F83E265">
      <w:pPr>
        <w:pStyle w:val="6"/>
        <w:shd w:val="clear"/>
        <w:spacing w:before="120" w:after="120" w:line="312" w:lineRule="auto"/>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 xml:space="preserve">    </w:t>
      </w:r>
      <w:bookmarkStart w:id="127" w:name="_Toc337558729"/>
      <w:bookmarkStart w:id="128" w:name="_Toc296503029"/>
      <w:bookmarkStart w:id="129" w:name="_Toc296346530"/>
      <w:bookmarkStart w:id="130" w:name="_Toc351203497"/>
      <w:r>
        <w:rPr>
          <w:rFonts w:hint="eastAsia" w:ascii="宋体" w:hAnsi="宋体" w:eastAsia="宋体" w:cs="宋体"/>
          <w:b w:val="0"/>
          <w:color w:val="auto"/>
          <w:spacing w:val="0"/>
          <w:position w:val="0"/>
          <w:sz w:val="24"/>
          <w:szCs w:val="24"/>
          <w:highlight w:val="none"/>
        </w:rPr>
        <w:t>1.2语言文字</w:t>
      </w:r>
      <w:bookmarkEnd w:id="127"/>
      <w:bookmarkEnd w:id="128"/>
      <w:bookmarkEnd w:id="129"/>
      <w:bookmarkEnd w:id="130"/>
    </w:p>
    <w:p w14:paraId="724C65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合同以中国的汉语简体文字编写、解释和说明。合同当事人在专用合同条款中约定使用两种以上语言时，汉语为优先解释和说明合同的语言。</w:t>
      </w:r>
    </w:p>
    <w:p w14:paraId="6DB46AB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1" w:name="_Toc296346531"/>
      <w:bookmarkStart w:id="132" w:name="_Toc351203498"/>
      <w:bookmarkStart w:id="133" w:name="_Toc337558730"/>
      <w:bookmarkStart w:id="134" w:name="_Toc296503030"/>
      <w:r>
        <w:rPr>
          <w:rFonts w:hint="eastAsia" w:ascii="宋体" w:hAnsi="宋体" w:eastAsia="宋体" w:cs="宋体"/>
          <w:b w:val="0"/>
          <w:color w:val="auto"/>
          <w:spacing w:val="0"/>
          <w:position w:val="0"/>
          <w:sz w:val="24"/>
          <w:szCs w:val="24"/>
          <w:highlight w:val="none"/>
        </w:rPr>
        <w:t>1.3法律</w:t>
      </w:r>
      <w:bookmarkEnd w:id="131"/>
      <w:bookmarkEnd w:id="132"/>
      <w:bookmarkEnd w:id="133"/>
      <w:bookmarkEnd w:id="134"/>
    </w:p>
    <w:p w14:paraId="5F1DD3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合同所称法律是指中华人民共和国法律、行政法规、部门规章，以及工程所在地的地方性法规、自治条例、单行条例和地方政府规章等。</w:t>
      </w:r>
    </w:p>
    <w:p w14:paraId="6A42B0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合同当事人可以在专用合同条款中约定合同适用的其他规范性文件。</w:t>
      </w:r>
    </w:p>
    <w:p w14:paraId="4DE8546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5" w:name="_Toc351203499"/>
      <w:r>
        <w:rPr>
          <w:rFonts w:hint="eastAsia" w:ascii="宋体" w:hAnsi="宋体" w:eastAsia="宋体" w:cs="宋体"/>
          <w:b w:val="0"/>
          <w:color w:val="auto"/>
          <w:spacing w:val="0"/>
          <w:position w:val="0"/>
          <w:sz w:val="24"/>
          <w:szCs w:val="24"/>
          <w:highlight w:val="none"/>
        </w:rPr>
        <w:t>1.4 标准和规范</w:t>
      </w:r>
      <w:bookmarkEnd w:id="135"/>
    </w:p>
    <w:p w14:paraId="53A56455">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1.4.1 适用于工程的国家标准、行业标准、工程所在地的地方性标准，以及相应的规范、规程等，合同当事人有特别要求的，应在专用合同条款中约定。</w:t>
      </w:r>
    </w:p>
    <w:p w14:paraId="454FA386">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1.4.2 发包人要求使用国外标准、规范的，发包人负责提供原文版本和中文译本，并在专用合同条款中约定提供标准规范的名称、份数和时间。</w:t>
      </w:r>
    </w:p>
    <w:p w14:paraId="0824742B">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E1178C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6" w:name="_Toc351203500"/>
      <w:r>
        <w:rPr>
          <w:rFonts w:hint="eastAsia" w:ascii="宋体" w:hAnsi="宋体" w:eastAsia="宋体" w:cs="宋体"/>
          <w:b w:val="0"/>
          <w:color w:val="auto"/>
          <w:spacing w:val="0"/>
          <w:position w:val="0"/>
          <w:sz w:val="24"/>
          <w:szCs w:val="24"/>
          <w:highlight w:val="none"/>
        </w:rPr>
        <w:t>1</w:t>
      </w:r>
      <w:bookmarkStart w:id="137" w:name="_Toc296346532"/>
      <w:bookmarkStart w:id="138" w:name="_Toc296503031"/>
      <w:bookmarkStart w:id="139" w:name="_Toc337558731"/>
      <w:r>
        <w:rPr>
          <w:rFonts w:hint="eastAsia" w:ascii="宋体" w:hAnsi="宋体" w:eastAsia="宋体" w:cs="宋体"/>
          <w:b w:val="0"/>
          <w:color w:val="auto"/>
          <w:spacing w:val="0"/>
          <w:position w:val="0"/>
          <w:sz w:val="24"/>
          <w:szCs w:val="24"/>
          <w:highlight w:val="none"/>
        </w:rPr>
        <w:t>.5 合同文件的优先顺序</w:t>
      </w:r>
      <w:bookmarkEnd w:id="136"/>
    </w:p>
    <w:bookmarkEnd w:id="137"/>
    <w:bookmarkEnd w:id="138"/>
    <w:bookmarkEnd w:id="139"/>
    <w:p w14:paraId="757F44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组成合同的各项文件应互相解释，互为说明。除专用合同条款另有约定外，解释合同文件的优先顺序如下：</w:t>
      </w:r>
    </w:p>
    <w:p w14:paraId="4DCAE81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（1）合同协议书；</w:t>
      </w:r>
    </w:p>
    <w:p w14:paraId="3BC704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（2）中标通知书（如果有）；</w:t>
      </w:r>
    </w:p>
    <w:p w14:paraId="30250D1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（3）投标函及其附录（如果有）；</w:t>
      </w:r>
    </w:p>
    <w:p w14:paraId="428C96D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（4）专用合同条款</w:t>
      </w:r>
      <w:r>
        <w:rPr>
          <w:rFonts w:hint="eastAsia" w:ascii="宋体" w:hAnsi="宋体" w:eastAsia="宋体" w:cs="宋体"/>
          <w:color w:val="auto"/>
          <w:spacing w:val="0"/>
          <w:position w:val="0"/>
          <w:sz w:val="24"/>
          <w:highlight w:val="none"/>
        </w:rPr>
        <w:t>及其附件</w:t>
      </w:r>
      <w:r>
        <w:rPr>
          <w:rFonts w:hint="eastAsia" w:ascii="宋体" w:hAnsi="宋体" w:eastAsia="宋体" w:cs="宋体"/>
          <w:color w:val="auto"/>
          <w:spacing w:val="0"/>
          <w:kern w:val="0"/>
          <w:position w:val="0"/>
          <w:sz w:val="24"/>
          <w:highlight w:val="none"/>
        </w:rPr>
        <w:t>；</w:t>
      </w:r>
    </w:p>
    <w:p w14:paraId="16DEEC1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（5）通用合同条款；</w:t>
      </w:r>
    </w:p>
    <w:p w14:paraId="2DF284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（6）技术标准和要求；</w:t>
      </w:r>
    </w:p>
    <w:p w14:paraId="458941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（7）图纸；</w:t>
      </w:r>
    </w:p>
    <w:p w14:paraId="065A9FF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（8）已标价工程量清单或预算书；</w:t>
      </w:r>
    </w:p>
    <w:p w14:paraId="3EB2A1B7">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（9）其他合同文件。</w:t>
      </w:r>
    </w:p>
    <w:p w14:paraId="33B4F5E5">
      <w:pPr>
        <w:shd w:val="clear"/>
        <w:spacing w:line="312" w:lineRule="auto"/>
        <w:ind w:firstLine="511" w:firstLineChars="213"/>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上述各项合同文件包括合同当事人就该项合同文件所作出的补充和修改，属于同一类内容的文件，应以最新签署的为准。</w:t>
      </w:r>
    </w:p>
    <w:p w14:paraId="1B296CAC">
      <w:pPr>
        <w:shd w:val="clear"/>
        <w:spacing w:line="312" w:lineRule="auto"/>
        <w:ind w:firstLine="511" w:firstLineChars="213"/>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在合同订立及履行过程中形成的与合同有关的文件均构成合同文件组成部分，并根据其性质确定优先解释顺序。</w:t>
      </w:r>
    </w:p>
    <w:p w14:paraId="276C894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0" w:name="_Toc351203501"/>
      <w:r>
        <w:rPr>
          <w:rFonts w:hint="eastAsia" w:ascii="宋体" w:hAnsi="宋体" w:eastAsia="宋体" w:cs="宋体"/>
          <w:b w:val="0"/>
          <w:color w:val="auto"/>
          <w:spacing w:val="0"/>
          <w:position w:val="0"/>
          <w:sz w:val="24"/>
          <w:szCs w:val="24"/>
          <w:highlight w:val="none"/>
        </w:rPr>
        <w:t>1</w:t>
      </w:r>
      <w:bookmarkStart w:id="141" w:name="_Toc296503032"/>
      <w:bookmarkStart w:id="142" w:name="_Toc296346533"/>
      <w:bookmarkStart w:id="143" w:name="_Toc337558732"/>
      <w:r>
        <w:rPr>
          <w:rFonts w:hint="eastAsia" w:ascii="宋体" w:hAnsi="宋体" w:eastAsia="宋体" w:cs="宋体"/>
          <w:b w:val="0"/>
          <w:color w:val="auto"/>
          <w:spacing w:val="0"/>
          <w:position w:val="0"/>
          <w:sz w:val="24"/>
          <w:szCs w:val="24"/>
          <w:highlight w:val="none"/>
        </w:rPr>
        <w:t>.6图纸和承包人文件</w:t>
      </w:r>
      <w:bookmarkEnd w:id="140"/>
    </w:p>
    <w:bookmarkEnd w:id="141"/>
    <w:bookmarkEnd w:id="142"/>
    <w:bookmarkEnd w:id="143"/>
    <w:p w14:paraId="04DA146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 图纸的提供和交底</w:t>
      </w:r>
    </w:p>
    <w:p w14:paraId="2C0F421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965B7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因发包人未按合同约定提供图纸导致承包人费用增加和（或）工期延误的，按照第7.5.1项〔因发包人原因导致工期延误〕约定办理。</w:t>
      </w:r>
    </w:p>
    <w:p w14:paraId="3402D97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 图纸的错误</w:t>
      </w:r>
    </w:p>
    <w:p w14:paraId="4BB3249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74BEA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1.6.3 图纸的修改和补充</w:t>
      </w:r>
    </w:p>
    <w:p w14:paraId="17F9589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876E15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1.6.4 承包人文件</w:t>
      </w:r>
    </w:p>
    <w:p w14:paraId="5C6B212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承包人应按照专用合同条款的约定提供应当由其编制的与工程施工有关的文件，并按照专用合同条款约定的期限、数量和形式提交监理人，并由监理人报送发包人。</w:t>
      </w:r>
    </w:p>
    <w:p w14:paraId="2E5D002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F70D9E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1.6.5 图纸和承包人文件的保管</w:t>
      </w:r>
    </w:p>
    <w:p w14:paraId="30C5B29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除专用合同条款另有约定外，承包人应在施工现场另外保存一套完整的图纸和承包人文件，供发包人、监理人及有关人员进行工程检查时使用。</w:t>
      </w:r>
    </w:p>
    <w:p w14:paraId="59C2F25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4" w:name="_Toc351203502"/>
      <w:r>
        <w:rPr>
          <w:rFonts w:hint="eastAsia" w:ascii="宋体" w:hAnsi="宋体" w:eastAsia="宋体" w:cs="宋体"/>
          <w:b w:val="0"/>
          <w:color w:val="auto"/>
          <w:spacing w:val="0"/>
          <w:position w:val="0"/>
          <w:sz w:val="24"/>
          <w:szCs w:val="24"/>
          <w:highlight w:val="none"/>
        </w:rPr>
        <w:t>1</w:t>
      </w:r>
      <w:bookmarkStart w:id="145" w:name="_Toc337558733"/>
      <w:bookmarkStart w:id="146" w:name="_Toc296346534"/>
      <w:bookmarkStart w:id="147" w:name="_Toc296503033"/>
      <w:r>
        <w:rPr>
          <w:rFonts w:hint="eastAsia" w:ascii="宋体" w:hAnsi="宋体" w:eastAsia="宋体" w:cs="宋体"/>
          <w:b w:val="0"/>
          <w:color w:val="auto"/>
          <w:spacing w:val="0"/>
          <w:position w:val="0"/>
          <w:sz w:val="24"/>
          <w:szCs w:val="24"/>
          <w:highlight w:val="none"/>
        </w:rPr>
        <w:t>.7联络</w:t>
      </w:r>
      <w:bookmarkEnd w:id="144"/>
    </w:p>
    <w:bookmarkEnd w:id="145"/>
    <w:bookmarkEnd w:id="146"/>
    <w:bookmarkEnd w:id="147"/>
    <w:p w14:paraId="171198A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1.7.1 与合同有关的通知、批准、证明、证书、指示、指令、要求、请求、同意、意见、确定和决定等，均应采用书面形式，并应在合同约定的期限内送达接收人和送达地点。</w:t>
      </w:r>
    </w:p>
    <w:p w14:paraId="4353AC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1.7.2 发包人和承包人应在专用合同条款中约定各自的送达接收人和送达地点。任何一方合同当事人指定的接收人或送达地点发生变动的，应提前3天以书面形式通知对方。</w:t>
      </w:r>
    </w:p>
    <w:p w14:paraId="09C5B1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 发包人和承包人应当及时签收另一方送达至送达地点和指定接收人的来往信函。拒不签收的，由此增加的费用和（或）延误的工期由拒绝接收一方承担。</w:t>
      </w:r>
    </w:p>
    <w:p w14:paraId="7BC9655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8" w:name="_Toc351203503"/>
      <w:r>
        <w:rPr>
          <w:rFonts w:hint="eastAsia" w:ascii="宋体" w:hAnsi="宋体" w:eastAsia="宋体" w:cs="宋体"/>
          <w:b w:val="0"/>
          <w:color w:val="auto"/>
          <w:spacing w:val="0"/>
          <w:position w:val="0"/>
          <w:sz w:val="24"/>
          <w:szCs w:val="24"/>
          <w:highlight w:val="none"/>
        </w:rPr>
        <w:t>1</w:t>
      </w:r>
      <w:bookmarkStart w:id="149" w:name="_Toc337558734"/>
      <w:bookmarkStart w:id="150" w:name="_Toc296346536"/>
      <w:bookmarkStart w:id="151" w:name="_Toc296503035"/>
      <w:r>
        <w:rPr>
          <w:rFonts w:hint="eastAsia" w:ascii="宋体" w:hAnsi="宋体" w:eastAsia="宋体" w:cs="宋体"/>
          <w:b w:val="0"/>
          <w:color w:val="auto"/>
          <w:spacing w:val="0"/>
          <w:position w:val="0"/>
          <w:sz w:val="24"/>
          <w:szCs w:val="24"/>
          <w:highlight w:val="none"/>
        </w:rPr>
        <w:t>.8严禁贿赂</w:t>
      </w:r>
      <w:bookmarkEnd w:id="148"/>
    </w:p>
    <w:bookmarkEnd w:id="149"/>
    <w:bookmarkEnd w:id="150"/>
    <w:bookmarkEnd w:id="151"/>
    <w:p w14:paraId="77646E9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合同当事人不得以贿赂或变相贿赂的方式，谋取非法利益或损害对方权益。因一方合同当事人的贿赂造成对方损失的，应赔偿损失，并承担相应的法律责任。</w:t>
      </w:r>
    </w:p>
    <w:p w14:paraId="3A2C5E7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8542BF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2" w:name="_Toc351203504"/>
      <w:r>
        <w:rPr>
          <w:rFonts w:hint="eastAsia" w:ascii="宋体" w:hAnsi="宋体" w:eastAsia="宋体" w:cs="宋体"/>
          <w:b w:val="0"/>
          <w:color w:val="auto"/>
          <w:spacing w:val="0"/>
          <w:position w:val="0"/>
          <w:sz w:val="24"/>
          <w:szCs w:val="24"/>
          <w:highlight w:val="none"/>
        </w:rPr>
        <w:t>1</w:t>
      </w:r>
      <w:bookmarkStart w:id="153" w:name="_Toc337558735"/>
      <w:bookmarkStart w:id="154" w:name="_Toc296503036"/>
      <w:bookmarkStart w:id="155" w:name="_Toc296346537"/>
      <w:r>
        <w:rPr>
          <w:rFonts w:hint="eastAsia" w:ascii="宋体" w:hAnsi="宋体" w:eastAsia="宋体" w:cs="宋体"/>
          <w:b w:val="0"/>
          <w:color w:val="auto"/>
          <w:spacing w:val="0"/>
          <w:position w:val="0"/>
          <w:sz w:val="24"/>
          <w:szCs w:val="24"/>
          <w:highlight w:val="none"/>
        </w:rPr>
        <w:t>.9化石、文物</w:t>
      </w:r>
      <w:bookmarkEnd w:id="152"/>
    </w:p>
    <w:bookmarkEnd w:id="153"/>
    <w:bookmarkEnd w:id="154"/>
    <w:bookmarkEnd w:id="155"/>
    <w:p w14:paraId="4EB4E5B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AAAC3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发包人、监理人和承包人应按有关政府行政管理部门要求采取妥善的保护措施，由此增加的费用和（或）延误的工期由发包人承担。</w:t>
      </w:r>
    </w:p>
    <w:p w14:paraId="7C917AE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承包人发现文物后不及时报告或隐瞒不报，致使文物丢失或损坏的，应赔偿损失，并承担相应的法律责任。</w:t>
      </w:r>
    </w:p>
    <w:p w14:paraId="7D18521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6" w:name="_Toc351203505"/>
      <w:r>
        <w:rPr>
          <w:rFonts w:hint="eastAsia" w:ascii="宋体" w:hAnsi="宋体" w:eastAsia="宋体" w:cs="宋体"/>
          <w:b w:val="0"/>
          <w:color w:val="auto"/>
          <w:spacing w:val="0"/>
          <w:position w:val="0"/>
          <w:sz w:val="24"/>
          <w:szCs w:val="24"/>
          <w:highlight w:val="none"/>
        </w:rPr>
        <w:t>1</w:t>
      </w:r>
      <w:bookmarkStart w:id="157" w:name="_Toc337558736"/>
      <w:r>
        <w:rPr>
          <w:rFonts w:hint="eastAsia" w:ascii="宋体" w:hAnsi="宋体" w:eastAsia="宋体" w:cs="宋体"/>
          <w:b w:val="0"/>
          <w:color w:val="auto"/>
          <w:spacing w:val="0"/>
          <w:position w:val="0"/>
          <w:sz w:val="24"/>
          <w:szCs w:val="24"/>
          <w:highlight w:val="none"/>
        </w:rPr>
        <w:t>.10交通运输</w:t>
      </w:r>
      <w:bookmarkEnd w:id="156"/>
    </w:p>
    <w:bookmarkEnd w:id="157"/>
    <w:p w14:paraId="701FD53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1.10.1 出入现场的权利</w:t>
      </w:r>
    </w:p>
    <w:p w14:paraId="4F0CC27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BAF864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673F53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1.10.2 场外交通</w:t>
      </w:r>
    </w:p>
    <w:p w14:paraId="5CD371E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5818C4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1.10.3场内交通</w:t>
      </w:r>
    </w:p>
    <w:p w14:paraId="123735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B0BFD3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A85B8C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场外交通和场内交通的边界由合同当事人在专用合同条款中约定。</w:t>
      </w:r>
    </w:p>
    <w:p w14:paraId="5B867A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1.10.4 超大件和超重件的运输</w:t>
      </w:r>
    </w:p>
    <w:p w14:paraId="4594E92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414EA9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1.10.5 道路和桥梁的损坏责任</w:t>
      </w:r>
    </w:p>
    <w:p w14:paraId="6F70E9E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因承包人运输造成施工场地内外公共道路和桥梁损坏的，由承包人承担修复损坏的全部费用和可能引起的赔偿。</w:t>
      </w:r>
    </w:p>
    <w:p w14:paraId="149024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1.10.6 水路和航空运输</w:t>
      </w:r>
    </w:p>
    <w:p w14:paraId="6B625DC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F9B54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8" w:name="_Toc351203506"/>
      <w:r>
        <w:rPr>
          <w:rFonts w:hint="eastAsia" w:ascii="宋体" w:hAnsi="宋体" w:eastAsia="宋体" w:cs="宋体"/>
          <w:b w:val="0"/>
          <w:color w:val="auto"/>
          <w:spacing w:val="0"/>
          <w:position w:val="0"/>
          <w:sz w:val="24"/>
          <w:szCs w:val="24"/>
          <w:highlight w:val="none"/>
        </w:rPr>
        <w:t>1</w:t>
      </w:r>
      <w:bookmarkStart w:id="159" w:name="_Toc337558737"/>
      <w:bookmarkStart w:id="160" w:name="_Toc296346538"/>
      <w:bookmarkStart w:id="161" w:name="_Toc296503037"/>
      <w:r>
        <w:rPr>
          <w:rFonts w:hint="eastAsia" w:ascii="宋体" w:hAnsi="宋体" w:eastAsia="宋体" w:cs="宋体"/>
          <w:b w:val="0"/>
          <w:color w:val="auto"/>
          <w:spacing w:val="0"/>
          <w:position w:val="0"/>
          <w:sz w:val="24"/>
          <w:szCs w:val="24"/>
          <w:highlight w:val="none"/>
        </w:rPr>
        <w:t>.11知识产权</w:t>
      </w:r>
      <w:bookmarkEnd w:id="158"/>
      <w:r>
        <w:rPr>
          <w:rFonts w:hint="eastAsia" w:ascii="宋体" w:hAnsi="宋体" w:eastAsia="宋体" w:cs="宋体"/>
          <w:b w:val="0"/>
          <w:color w:val="auto"/>
          <w:spacing w:val="0"/>
          <w:position w:val="0"/>
          <w:sz w:val="24"/>
          <w:szCs w:val="24"/>
          <w:highlight w:val="none"/>
        </w:rPr>
        <w:t xml:space="preserve"> </w:t>
      </w:r>
      <w:bookmarkEnd w:id="159"/>
    </w:p>
    <w:bookmarkEnd w:id="160"/>
    <w:bookmarkEnd w:id="161"/>
    <w:p w14:paraId="7D4F5D9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8C226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F4A54C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4A05751">
      <w:pPr>
        <w:shd w:val="clear"/>
        <w:spacing w:line="312"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 xml:space="preserve">    </w:t>
      </w:r>
      <w:r>
        <w:rPr>
          <w:rFonts w:hint="eastAsia" w:ascii="宋体" w:hAnsi="宋体" w:eastAsia="宋体" w:cs="宋体"/>
          <w:color w:val="auto"/>
          <w:spacing w:val="0"/>
          <w:position w:val="0"/>
          <w:sz w:val="24"/>
          <w:highlight w:val="none"/>
        </w:rPr>
        <w:t>1.11.4 除专用合同条款另有约定外，承包人在合同签订前和签订时已确定采用的专利、专有技术、技术秘密的使用费已包含在签约合同价中。</w:t>
      </w:r>
    </w:p>
    <w:p w14:paraId="61E1D88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62" w:name="_Toc351203507"/>
      <w:r>
        <w:rPr>
          <w:rFonts w:hint="eastAsia" w:ascii="宋体" w:hAnsi="宋体" w:eastAsia="宋体" w:cs="宋体"/>
          <w:b w:val="0"/>
          <w:color w:val="auto"/>
          <w:spacing w:val="0"/>
          <w:position w:val="0"/>
          <w:sz w:val="24"/>
          <w:szCs w:val="24"/>
          <w:highlight w:val="none"/>
        </w:rPr>
        <w:t>1</w:t>
      </w:r>
      <w:bookmarkStart w:id="163" w:name="_Toc337558738"/>
      <w:r>
        <w:rPr>
          <w:rFonts w:hint="eastAsia" w:ascii="宋体" w:hAnsi="宋体" w:eastAsia="宋体" w:cs="宋体"/>
          <w:b w:val="0"/>
          <w:color w:val="auto"/>
          <w:spacing w:val="0"/>
          <w:position w:val="0"/>
          <w:sz w:val="24"/>
          <w:szCs w:val="24"/>
          <w:highlight w:val="none"/>
        </w:rPr>
        <w:t>.12保密</w:t>
      </w:r>
      <w:bookmarkEnd w:id="162"/>
    </w:p>
    <w:bookmarkEnd w:id="163"/>
    <w:p w14:paraId="006ABA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除法律规定或合同另有约定外，未经发包人同意，承包人不得将发包人提供的图纸、文件以及声明需要保密的资料信息等商业秘密泄露给第三方。</w:t>
      </w:r>
    </w:p>
    <w:p w14:paraId="7FC98F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除法律规定或合同另有约定外，未经承包人同意，发包人不得将承包人提供的技术秘密及声明需要保密的资料信息等商业秘密泄露给第三方。</w:t>
      </w:r>
    </w:p>
    <w:p w14:paraId="750BC79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64" w:name="_Toc351203508"/>
      <w:r>
        <w:rPr>
          <w:rFonts w:hint="eastAsia" w:ascii="宋体" w:hAnsi="宋体" w:eastAsia="宋体" w:cs="宋体"/>
          <w:b w:val="0"/>
          <w:color w:val="auto"/>
          <w:spacing w:val="0"/>
          <w:position w:val="0"/>
          <w:sz w:val="24"/>
          <w:szCs w:val="24"/>
          <w:highlight w:val="none"/>
        </w:rPr>
        <w:t>1.13工程量清单错误的修正</w:t>
      </w:r>
      <w:bookmarkEnd w:id="164"/>
    </w:p>
    <w:p w14:paraId="6F0612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除专用合同条款另有约定外，发包人提供的工程量清单，应被认为是准确的和完整的。出现下列情形之一时，发包人应予以修正，并相应调整合同价格：</w:t>
      </w:r>
    </w:p>
    <w:p w14:paraId="10965EE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（1）工程量清单存在缺项、漏项的；</w:t>
      </w:r>
    </w:p>
    <w:p w14:paraId="37995FF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（2）工程量清单偏差超出专用合同条款约定的工程量偏差范围的；</w:t>
      </w:r>
    </w:p>
    <w:p w14:paraId="6A3F3E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（3）未按照国家现行计量规范强制性规定计量的。</w:t>
      </w:r>
    </w:p>
    <w:p w14:paraId="50664CAF">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65" w:name="_Toc351203509"/>
      <w:r>
        <w:rPr>
          <w:rFonts w:hint="eastAsia" w:ascii="宋体" w:hAnsi="宋体" w:eastAsia="宋体" w:cs="宋体"/>
          <w:b w:val="0"/>
          <w:color w:val="auto"/>
          <w:spacing w:val="0"/>
          <w:position w:val="0"/>
          <w:sz w:val="24"/>
          <w:szCs w:val="24"/>
          <w:highlight w:val="none"/>
        </w:rPr>
        <w:t>2</w:t>
      </w:r>
      <w:bookmarkStart w:id="166" w:name="_Toc296346539"/>
      <w:bookmarkStart w:id="167" w:name="_Toc337558739"/>
      <w:bookmarkStart w:id="168" w:name="_Toc296503038"/>
      <w:bookmarkStart w:id="169" w:name="OLE_LINK2"/>
      <w:bookmarkStart w:id="170" w:name="OLE_LINK1"/>
      <w:r>
        <w:rPr>
          <w:rFonts w:hint="eastAsia" w:ascii="宋体" w:hAnsi="宋体" w:eastAsia="宋体" w:cs="宋体"/>
          <w:b w:val="0"/>
          <w:color w:val="auto"/>
          <w:spacing w:val="0"/>
          <w:position w:val="0"/>
          <w:sz w:val="24"/>
          <w:szCs w:val="24"/>
          <w:highlight w:val="none"/>
        </w:rPr>
        <w:t>. 发包人</w:t>
      </w:r>
      <w:bookmarkEnd w:id="165"/>
    </w:p>
    <w:bookmarkEnd w:id="166"/>
    <w:bookmarkEnd w:id="167"/>
    <w:bookmarkEnd w:id="168"/>
    <w:p w14:paraId="0034C39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1" w:name="_Toc351203510"/>
      <w:r>
        <w:rPr>
          <w:rFonts w:hint="eastAsia" w:ascii="宋体" w:hAnsi="宋体" w:eastAsia="宋体" w:cs="宋体"/>
          <w:b w:val="0"/>
          <w:color w:val="auto"/>
          <w:spacing w:val="0"/>
          <w:position w:val="0"/>
          <w:sz w:val="24"/>
          <w:szCs w:val="24"/>
          <w:highlight w:val="none"/>
        </w:rPr>
        <w:t>2</w:t>
      </w:r>
      <w:bookmarkStart w:id="172" w:name="_Toc296503039"/>
      <w:bookmarkStart w:id="173" w:name="_Toc337558740"/>
      <w:bookmarkStart w:id="174" w:name="_Toc296346540"/>
      <w:r>
        <w:rPr>
          <w:rFonts w:hint="eastAsia" w:ascii="宋体" w:hAnsi="宋体" w:eastAsia="宋体" w:cs="宋体"/>
          <w:b w:val="0"/>
          <w:color w:val="auto"/>
          <w:spacing w:val="0"/>
          <w:position w:val="0"/>
          <w:sz w:val="24"/>
          <w:szCs w:val="24"/>
          <w:highlight w:val="none"/>
        </w:rPr>
        <w:t>.1 许可或批准</w:t>
      </w:r>
      <w:bookmarkEnd w:id="171"/>
    </w:p>
    <w:p w14:paraId="7A6DC6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D72520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因发包人原因未能及时办理完毕前述许可、批准或备案，由发包人承担由此增加的费用和（或）延误的工期，并支付承包人合理的利润。</w:t>
      </w:r>
    </w:p>
    <w:p w14:paraId="3C2254F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5" w:name="_Toc351203511"/>
      <w:r>
        <w:rPr>
          <w:rFonts w:hint="eastAsia" w:ascii="宋体" w:hAnsi="宋体" w:eastAsia="宋体" w:cs="宋体"/>
          <w:b w:val="0"/>
          <w:color w:val="auto"/>
          <w:spacing w:val="0"/>
          <w:position w:val="0"/>
          <w:sz w:val="24"/>
          <w:szCs w:val="24"/>
          <w:highlight w:val="none"/>
        </w:rPr>
        <w:t>2.2 发包人代表</w:t>
      </w:r>
      <w:bookmarkEnd w:id="175"/>
    </w:p>
    <w:p w14:paraId="5F2CEE4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6BF2BB6">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发包人代表不能按照合同约定履行其职责及义务，并导致合同无法继续正常履行的，承包人可以要求发包人撤换发包人代表。</w:t>
      </w:r>
    </w:p>
    <w:p w14:paraId="1EA6497A">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不属于法定必须监理的工程，监理人的职权可以由发包人代表或发包人指定的其他人员行使。</w:t>
      </w:r>
    </w:p>
    <w:p w14:paraId="774C898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6" w:name="_Toc351203512"/>
      <w:r>
        <w:rPr>
          <w:rFonts w:hint="eastAsia" w:ascii="宋体" w:hAnsi="宋体" w:eastAsia="宋体" w:cs="宋体"/>
          <w:b w:val="0"/>
          <w:color w:val="auto"/>
          <w:spacing w:val="0"/>
          <w:position w:val="0"/>
          <w:sz w:val="24"/>
          <w:szCs w:val="24"/>
          <w:highlight w:val="none"/>
        </w:rPr>
        <w:t>2.3 发包人人员</w:t>
      </w:r>
      <w:bookmarkEnd w:id="176"/>
    </w:p>
    <w:p w14:paraId="7D5DDAC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5A9758A">
      <w:pPr>
        <w:shd w:val="clear"/>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发包人人员包括发包人代表及其他由发包人派驻施工现场的人员。</w:t>
      </w:r>
      <w:bookmarkEnd w:id="172"/>
      <w:bookmarkEnd w:id="173"/>
      <w:bookmarkEnd w:id="174"/>
    </w:p>
    <w:p w14:paraId="720AA5B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7" w:name="_Toc351203513"/>
      <w:r>
        <w:rPr>
          <w:rFonts w:hint="eastAsia" w:ascii="宋体" w:hAnsi="宋体" w:eastAsia="宋体" w:cs="宋体"/>
          <w:b w:val="0"/>
          <w:color w:val="auto"/>
          <w:spacing w:val="0"/>
          <w:position w:val="0"/>
          <w:sz w:val="24"/>
          <w:szCs w:val="24"/>
          <w:highlight w:val="none"/>
        </w:rPr>
        <w:t>2</w:t>
      </w:r>
      <w:bookmarkStart w:id="178" w:name="_Toc296503040"/>
      <w:bookmarkStart w:id="179" w:name="_Toc296346541"/>
      <w:bookmarkStart w:id="180" w:name="_Toc337558741"/>
      <w:r>
        <w:rPr>
          <w:rFonts w:hint="eastAsia" w:ascii="宋体" w:hAnsi="宋体" w:eastAsia="宋体" w:cs="宋体"/>
          <w:b w:val="0"/>
          <w:color w:val="auto"/>
          <w:spacing w:val="0"/>
          <w:position w:val="0"/>
          <w:sz w:val="24"/>
          <w:szCs w:val="24"/>
          <w:highlight w:val="none"/>
        </w:rPr>
        <w:t>.4 施工现场、施工条件和基础资料的提供</w:t>
      </w:r>
      <w:bookmarkEnd w:id="177"/>
      <w:r>
        <w:rPr>
          <w:rFonts w:hint="eastAsia" w:ascii="宋体" w:hAnsi="宋体" w:eastAsia="宋体" w:cs="宋体"/>
          <w:b w:val="0"/>
          <w:color w:val="auto"/>
          <w:spacing w:val="0"/>
          <w:position w:val="0"/>
          <w:sz w:val="24"/>
          <w:szCs w:val="24"/>
          <w:highlight w:val="none"/>
        </w:rPr>
        <w:t xml:space="preserve"> </w:t>
      </w:r>
      <w:bookmarkEnd w:id="178"/>
      <w:bookmarkEnd w:id="179"/>
      <w:bookmarkEnd w:id="180"/>
      <w:r>
        <w:rPr>
          <w:rFonts w:hint="eastAsia" w:ascii="宋体" w:hAnsi="宋体" w:eastAsia="宋体" w:cs="宋体"/>
          <w:b w:val="0"/>
          <w:color w:val="auto"/>
          <w:spacing w:val="0"/>
          <w:position w:val="0"/>
          <w:sz w:val="24"/>
          <w:szCs w:val="24"/>
          <w:highlight w:val="none"/>
        </w:rPr>
        <w:t xml:space="preserve"> </w:t>
      </w:r>
    </w:p>
    <w:p w14:paraId="6B2663E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2.4.1 提供施工现场</w:t>
      </w:r>
    </w:p>
    <w:p w14:paraId="3EBAB50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w:t>
      </w:r>
      <w:bookmarkEnd w:id="169"/>
      <w:bookmarkEnd w:id="170"/>
      <w:r>
        <w:rPr>
          <w:rFonts w:hint="eastAsia" w:ascii="宋体" w:hAnsi="宋体" w:eastAsia="宋体" w:cs="宋体"/>
          <w:color w:val="auto"/>
          <w:spacing w:val="0"/>
          <w:kern w:val="0"/>
          <w:position w:val="0"/>
          <w:sz w:val="24"/>
          <w:highlight w:val="none"/>
        </w:rPr>
        <w:t>专用合同条款另有约定外，发包人应最迟于开工日期7天前向承包人移交施工现场。</w:t>
      </w:r>
    </w:p>
    <w:p w14:paraId="7ED833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2.4.2 提供施工条件</w:t>
      </w:r>
    </w:p>
    <w:p w14:paraId="6D6A46D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除专用合同条款另有约定外，发包人应负责提供施工所需要的条件，包括：</w:t>
      </w:r>
    </w:p>
    <w:p w14:paraId="48D7550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（1）将施工用水、电力、通讯线路等施工所必需的条件接至施工现场内；</w:t>
      </w:r>
    </w:p>
    <w:p w14:paraId="05C747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（2）保证向承包人提供正常施工所需要的进入施工现场的交通条件；</w:t>
      </w:r>
    </w:p>
    <w:p w14:paraId="0FE00FB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（3）协调处理施工现场周围地下管线和邻近建筑物、构筑物、古树名木的保护工作，并承担相关费用；</w:t>
      </w:r>
    </w:p>
    <w:p w14:paraId="647FDCB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（4）按照专用合同条款约定应提供的其他设施和条件。</w:t>
      </w:r>
    </w:p>
    <w:p w14:paraId="0982A26E">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2.4.3 提供基础资料</w:t>
      </w:r>
    </w:p>
    <w:p w14:paraId="15E05D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41E04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按照法律规定确需在开工后方能提供的基础资料，发包人应尽其努力及时地在相应工程施工前的合理期限内提供，合理期限应以不影响承包人的正常施工为限。</w:t>
      </w:r>
    </w:p>
    <w:p w14:paraId="669DB74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2.4.4 逾期提供的责任</w:t>
      </w:r>
    </w:p>
    <w:p w14:paraId="74C479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因发包人原因未能按合同约定及时向承包人提供施工现场、施工条件、基础资料的，由发包人承担由此增加的费用和（或）延误的工期。</w:t>
      </w:r>
    </w:p>
    <w:p w14:paraId="3568049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1" w:name="_Toc351203514"/>
      <w:r>
        <w:rPr>
          <w:rFonts w:hint="eastAsia" w:ascii="宋体" w:hAnsi="宋体" w:eastAsia="宋体" w:cs="宋体"/>
          <w:b w:val="0"/>
          <w:color w:val="auto"/>
          <w:spacing w:val="0"/>
          <w:position w:val="0"/>
          <w:sz w:val="24"/>
          <w:szCs w:val="24"/>
          <w:highlight w:val="none"/>
        </w:rPr>
        <w:t>2</w:t>
      </w:r>
      <w:bookmarkStart w:id="182" w:name="_Toc296503042"/>
      <w:bookmarkStart w:id="183" w:name="_Toc337558745"/>
      <w:bookmarkStart w:id="184" w:name="_Toc296346543"/>
      <w:r>
        <w:rPr>
          <w:rFonts w:hint="eastAsia" w:ascii="宋体" w:hAnsi="宋体" w:eastAsia="宋体" w:cs="宋体"/>
          <w:b w:val="0"/>
          <w:color w:val="auto"/>
          <w:spacing w:val="0"/>
          <w:position w:val="0"/>
          <w:sz w:val="24"/>
          <w:szCs w:val="24"/>
          <w:highlight w:val="none"/>
        </w:rPr>
        <w:t>.5 资</w:t>
      </w:r>
      <w:bookmarkEnd w:id="182"/>
      <w:bookmarkEnd w:id="183"/>
      <w:bookmarkEnd w:id="184"/>
      <w:r>
        <w:rPr>
          <w:rFonts w:hint="eastAsia" w:ascii="宋体" w:hAnsi="宋体" w:eastAsia="宋体" w:cs="宋体"/>
          <w:b w:val="0"/>
          <w:color w:val="auto"/>
          <w:spacing w:val="0"/>
          <w:position w:val="0"/>
          <w:sz w:val="24"/>
          <w:szCs w:val="24"/>
          <w:highlight w:val="none"/>
        </w:rPr>
        <w:t>金来源证明及支付担保</w:t>
      </w:r>
      <w:bookmarkEnd w:id="181"/>
    </w:p>
    <w:p w14:paraId="60C3073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除专用合同条款另有约定外，发包人应在收到承包人要求提供资金来源证明的书面通知后28天内，向承包人提供能够按照合同约定支付合同价款的相应资金来源证明。</w:t>
      </w:r>
    </w:p>
    <w:p w14:paraId="54CEF9E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C10FA5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5" w:name="_Toc351203515"/>
      <w:r>
        <w:rPr>
          <w:rFonts w:hint="eastAsia" w:ascii="宋体" w:hAnsi="宋体" w:eastAsia="宋体" w:cs="宋体"/>
          <w:b w:val="0"/>
          <w:color w:val="auto"/>
          <w:spacing w:val="0"/>
          <w:position w:val="0"/>
          <w:sz w:val="24"/>
          <w:szCs w:val="24"/>
          <w:highlight w:val="none"/>
        </w:rPr>
        <w:t>2.6 支付合同价款</w:t>
      </w:r>
      <w:bookmarkEnd w:id="185"/>
    </w:p>
    <w:p w14:paraId="2E55F60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发包人应按合同约定向承包人及时支付合同价款。</w:t>
      </w:r>
    </w:p>
    <w:p w14:paraId="6DE6C31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6" w:name="_Toc351203516"/>
      <w:r>
        <w:rPr>
          <w:rFonts w:hint="eastAsia" w:ascii="宋体" w:hAnsi="宋体" w:eastAsia="宋体" w:cs="宋体"/>
          <w:b w:val="0"/>
          <w:color w:val="auto"/>
          <w:spacing w:val="0"/>
          <w:position w:val="0"/>
          <w:sz w:val="24"/>
          <w:szCs w:val="24"/>
          <w:highlight w:val="none"/>
        </w:rPr>
        <w:t>2.7 组织竣工验收</w:t>
      </w:r>
      <w:bookmarkEnd w:id="186"/>
    </w:p>
    <w:p w14:paraId="7734A5E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发包人应按合同约定及时组织竣工验收。</w:t>
      </w:r>
    </w:p>
    <w:p w14:paraId="5B8ECB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7" w:name="_Toc351203517"/>
      <w:r>
        <w:rPr>
          <w:rFonts w:hint="eastAsia" w:ascii="宋体" w:hAnsi="宋体" w:eastAsia="宋体" w:cs="宋体"/>
          <w:b w:val="0"/>
          <w:color w:val="auto"/>
          <w:spacing w:val="0"/>
          <w:position w:val="0"/>
          <w:sz w:val="24"/>
          <w:szCs w:val="24"/>
          <w:highlight w:val="none"/>
        </w:rPr>
        <w:t>2.8 现场统一管理协议</w:t>
      </w:r>
      <w:bookmarkEnd w:id="187"/>
    </w:p>
    <w:p w14:paraId="35981B5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发包人应与承包人、由发包人直接发包的专业工程的承包人签订施工现场统一管理协议，明确各方的权利义务。施工现场统一管理协议作为专用合同条款的附件。</w:t>
      </w:r>
    </w:p>
    <w:p w14:paraId="16B52262">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88" w:name="_Toc351203518"/>
      <w:r>
        <w:rPr>
          <w:rFonts w:hint="eastAsia" w:ascii="宋体" w:hAnsi="宋体" w:eastAsia="宋体" w:cs="宋体"/>
          <w:b w:val="0"/>
          <w:color w:val="auto"/>
          <w:spacing w:val="0"/>
          <w:position w:val="0"/>
          <w:sz w:val="24"/>
          <w:szCs w:val="24"/>
          <w:highlight w:val="none"/>
        </w:rPr>
        <w:t>3</w:t>
      </w:r>
      <w:bookmarkStart w:id="189" w:name="_Toc296346546"/>
      <w:bookmarkStart w:id="190" w:name="_Toc337558746"/>
      <w:bookmarkStart w:id="191" w:name="_Toc296503045"/>
      <w:r>
        <w:rPr>
          <w:rFonts w:hint="eastAsia" w:ascii="宋体" w:hAnsi="宋体" w:eastAsia="宋体" w:cs="宋体"/>
          <w:b w:val="0"/>
          <w:color w:val="auto"/>
          <w:spacing w:val="0"/>
          <w:position w:val="0"/>
          <w:sz w:val="24"/>
          <w:szCs w:val="24"/>
          <w:highlight w:val="none"/>
        </w:rPr>
        <w:t>. 承包人</w:t>
      </w:r>
      <w:bookmarkEnd w:id="188"/>
    </w:p>
    <w:bookmarkEnd w:id="189"/>
    <w:bookmarkEnd w:id="190"/>
    <w:bookmarkEnd w:id="191"/>
    <w:p w14:paraId="1BD96DE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92" w:name="_Toc351203519"/>
      <w:r>
        <w:rPr>
          <w:rFonts w:hint="eastAsia" w:ascii="宋体" w:hAnsi="宋体" w:eastAsia="宋体" w:cs="宋体"/>
          <w:b w:val="0"/>
          <w:color w:val="auto"/>
          <w:spacing w:val="0"/>
          <w:position w:val="0"/>
          <w:sz w:val="24"/>
          <w:szCs w:val="24"/>
          <w:highlight w:val="none"/>
        </w:rPr>
        <w:t>3</w:t>
      </w:r>
      <w:bookmarkStart w:id="193" w:name="_Toc296503046"/>
      <w:bookmarkStart w:id="194" w:name="_Toc337558747"/>
      <w:bookmarkStart w:id="195" w:name="_Toc296346547"/>
      <w:r>
        <w:rPr>
          <w:rFonts w:hint="eastAsia" w:ascii="宋体" w:hAnsi="宋体" w:eastAsia="宋体" w:cs="宋体"/>
          <w:b w:val="0"/>
          <w:color w:val="auto"/>
          <w:spacing w:val="0"/>
          <w:position w:val="0"/>
          <w:sz w:val="24"/>
          <w:szCs w:val="24"/>
          <w:highlight w:val="none"/>
        </w:rPr>
        <w:t>.1 承包人的一般义务</w:t>
      </w:r>
      <w:bookmarkEnd w:id="192"/>
    </w:p>
    <w:bookmarkEnd w:id="193"/>
    <w:bookmarkEnd w:id="194"/>
    <w:bookmarkEnd w:id="195"/>
    <w:p w14:paraId="6C11E2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承包人在履行合同过程中应遵守法律和工程建设标准规范，并履行以下义务：</w:t>
      </w:r>
    </w:p>
    <w:p w14:paraId="7DE36E81">
      <w:pPr>
        <w:numPr>
          <w:ilvl w:val="0"/>
          <w:numId w:val="8"/>
        </w:num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办理法律规定应由承包人办理的许可和批准，并将办理结果书面报送发包人留存；</w:t>
      </w:r>
    </w:p>
    <w:p w14:paraId="6674BC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（2）按法律规定和合同约定完成工程，并在保修期内承担保修义务；</w:t>
      </w:r>
    </w:p>
    <w:p w14:paraId="194D6A3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（3）按法律规定和合同约定采取施工安全和环境保护措施，办理工伤保险，确保工程及人员、材料、设备和设施的安全；</w:t>
      </w:r>
    </w:p>
    <w:p w14:paraId="68635FE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（4）按合同约定的工作内容和施工进度要求，编制施工组织设计和施工措施计划，并对所有施工作业和施工方法的完备性和安全可靠性负责；</w:t>
      </w:r>
    </w:p>
    <w:p w14:paraId="33044F5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578AFB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（6）按照第6.3款〔环境保护〕约定负责施工场地及其周边环境与生态的保护工作；</w:t>
      </w:r>
    </w:p>
    <w:p w14:paraId="16BAF01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（7）按第6.1款〔安全文明施工〕约定采取施工安全措施，确保工程及其人员、材料、设备和设施的安全，防止因工程施工造成的人身伤害和财产损失；</w:t>
      </w:r>
    </w:p>
    <w:p w14:paraId="634AAD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（8）将发包人按合同约定支付的各项价款专用于合同工程，且应及时支付其雇用人员工资，并及时向分包人支付合同价款；</w:t>
      </w:r>
    </w:p>
    <w:p w14:paraId="2EC8A6B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（9）按照法律规定和合同约定编制竣工资料，完成竣工资料立卷及归档，并按专用合同条款约定的竣工资料的套数、内容、时间等要求移交发包人；</w:t>
      </w:r>
    </w:p>
    <w:p w14:paraId="4525F0D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（10）应履行的其他义务。</w:t>
      </w:r>
    </w:p>
    <w:p w14:paraId="31EDCA6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96" w:name="_Toc351203520"/>
      <w:r>
        <w:rPr>
          <w:rFonts w:hint="eastAsia" w:ascii="宋体" w:hAnsi="宋体" w:eastAsia="宋体" w:cs="宋体"/>
          <w:b w:val="0"/>
          <w:color w:val="auto"/>
          <w:spacing w:val="0"/>
          <w:position w:val="0"/>
          <w:sz w:val="24"/>
          <w:szCs w:val="24"/>
          <w:highlight w:val="none"/>
        </w:rPr>
        <w:t>3</w:t>
      </w:r>
      <w:bookmarkStart w:id="197" w:name="_Toc296503047"/>
      <w:bookmarkStart w:id="198" w:name="_Toc337558748"/>
      <w:bookmarkStart w:id="199" w:name="_Toc296346548"/>
      <w:r>
        <w:rPr>
          <w:rFonts w:hint="eastAsia" w:ascii="宋体" w:hAnsi="宋体" w:eastAsia="宋体" w:cs="宋体"/>
          <w:b w:val="0"/>
          <w:color w:val="auto"/>
          <w:spacing w:val="0"/>
          <w:position w:val="0"/>
          <w:sz w:val="24"/>
          <w:szCs w:val="24"/>
          <w:highlight w:val="none"/>
        </w:rPr>
        <w:t xml:space="preserve">.2 </w:t>
      </w:r>
      <w:bookmarkEnd w:id="196"/>
      <w:r>
        <w:rPr>
          <w:rFonts w:hint="eastAsia" w:ascii="宋体" w:hAnsi="宋体" w:eastAsia="宋体" w:cs="宋体"/>
          <w:b w:val="0"/>
          <w:color w:val="auto"/>
          <w:spacing w:val="0"/>
          <w:position w:val="0"/>
          <w:sz w:val="24"/>
          <w:szCs w:val="24"/>
          <w:highlight w:val="none"/>
        </w:rPr>
        <w:t>项目经理</w:t>
      </w:r>
    </w:p>
    <w:bookmarkEnd w:id="197"/>
    <w:bookmarkEnd w:id="198"/>
    <w:bookmarkEnd w:id="199"/>
    <w:p w14:paraId="226790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34C403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38E57C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承包人违反上述约定的，应按照专用合同条款的约定，承担违约责任。</w:t>
      </w:r>
    </w:p>
    <w:p w14:paraId="4819B8A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D7601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A23611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D2524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446201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0" w:name="_Toc351203521"/>
      <w:r>
        <w:rPr>
          <w:rFonts w:hint="eastAsia" w:ascii="宋体" w:hAnsi="宋体" w:eastAsia="宋体" w:cs="宋体"/>
          <w:b w:val="0"/>
          <w:color w:val="auto"/>
          <w:spacing w:val="0"/>
          <w:position w:val="0"/>
          <w:sz w:val="24"/>
          <w:szCs w:val="24"/>
          <w:highlight w:val="none"/>
        </w:rPr>
        <w:t>3</w:t>
      </w:r>
      <w:bookmarkStart w:id="201" w:name="_Toc296503048"/>
      <w:bookmarkStart w:id="202" w:name="_Toc296346549"/>
      <w:bookmarkStart w:id="203" w:name="_Toc337558749"/>
      <w:r>
        <w:rPr>
          <w:rFonts w:hint="eastAsia" w:ascii="宋体" w:hAnsi="宋体" w:eastAsia="宋体" w:cs="宋体"/>
          <w:b w:val="0"/>
          <w:color w:val="auto"/>
          <w:spacing w:val="0"/>
          <w:position w:val="0"/>
          <w:sz w:val="24"/>
          <w:szCs w:val="24"/>
          <w:highlight w:val="none"/>
        </w:rPr>
        <w:t xml:space="preserve">.3 </w:t>
      </w:r>
      <w:bookmarkEnd w:id="201"/>
      <w:bookmarkEnd w:id="202"/>
      <w:r>
        <w:rPr>
          <w:rFonts w:hint="eastAsia" w:ascii="宋体" w:hAnsi="宋体" w:eastAsia="宋体" w:cs="宋体"/>
          <w:b w:val="0"/>
          <w:color w:val="auto"/>
          <w:spacing w:val="0"/>
          <w:position w:val="0"/>
          <w:sz w:val="24"/>
          <w:szCs w:val="24"/>
          <w:highlight w:val="none"/>
        </w:rPr>
        <w:t>承包人人员</w:t>
      </w:r>
      <w:bookmarkEnd w:id="200"/>
    </w:p>
    <w:bookmarkEnd w:id="203"/>
    <w:p w14:paraId="1BA290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3E689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0AEFE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特殊工种作业人员均应持有相应的资格证明，监理人可以随时检查。</w:t>
      </w:r>
    </w:p>
    <w:p w14:paraId="513FD9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63465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3433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3.3.5 承包人擅自更换主要施工管理人员，或前述人员未经监理人或发包人同意擅自离开施工现场的，应按照专用合同条款约定承担违约责任。</w:t>
      </w:r>
    </w:p>
    <w:p w14:paraId="40393D0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4" w:name="_Toc351203522"/>
      <w:r>
        <w:rPr>
          <w:rFonts w:hint="eastAsia" w:ascii="宋体" w:hAnsi="宋体" w:eastAsia="宋体" w:cs="宋体"/>
          <w:b w:val="0"/>
          <w:color w:val="auto"/>
          <w:spacing w:val="0"/>
          <w:position w:val="0"/>
          <w:sz w:val="24"/>
          <w:szCs w:val="24"/>
          <w:highlight w:val="none"/>
        </w:rPr>
        <w:t>3</w:t>
      </w:r>
      <w:bookmarkStart w:id="205" w:name="_Toc296346551"/>
      <w:bookmarkStart w:id="206" w:name="_Toc337558750"/>
      <w:bookmarkStart w:id="207" w:name="_Toc296503050"/>
      <w:r>
        <w:rPr>
          <w:rFonts w:hint="eastAsia" w:ascii="宋体" w:hAnsi="宋体" w:eastAsia="宋体" w:cs="宋体"/>
          <w:b w:val="0"/>
          <w:color w:val="auto"/>
          <w:spacing w:val="0"/>
          <w:position w:val="0"/>
          <w:sz w:val="24"/>
          <w:szCs w:val="24"/>
          <w:highlight w:val="none"/>
        </w:rPr>
        <w:t>.4 承包人现场查勘</w:t>
      </w:r>
      <w:bookmarkEnd w:id="204"/>
    </w:p>
    <w:bookmarkEnd w:id="205"/>
    <w:bookmarkEnd w:id="206"/>
    <w:bookmarkEnd w:id="207"/>
    <w:p w14:paraId="6416F52D">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73E25D4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54E1DD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8" w:name="_Toc351203523"/>
      <w:r>
        <w:rPr>
          <w:rFonts w:hint="eastAsia" w:ascii="宋体" w:hAnsi="宋体" w:eastAsia="宋体" w:cs="宋体"/>
          <w:b w:val="0"/>
          <w:color w:val="auto"/>
          <w:spacing w:val="0"/>
          <w:position w:val="0"/>
          <w:sz w:val="24"/>
          <w:szCs w:val="24"/>
          <w:highlight w:val="none"/>
        </w:rPr>
        <w:t>3</w:t>
      </w:r>
      <w:bookmarkStart w:id="209" w:name="_Toc296503051"/>
      <w:bookmarkStart w:id="210" w:name="_Toc337558751"/>
      <w:bookmarkStart w:id="211" w:name="_Toc296346552"/>
      <w:r>
        <w:rPr>
          <w:rFonts w:hint="eastAsia" w:ascii="宋体" w:hAnsi="宋体" w:eastAsia="宋体" w:cs="宋体"/>
          <w:b w:val="0"/>
          <w:color w:val="auto"/>
          <w:spacing w:val="0"/>
          <w:position w:val="0"/>
          <w:sz w:val="24"/>
          <w:szCs w:val="24"/>
          <w:highlight w:val="none"/>
        </w:rPr>
        <w:t>.5 分包</w:t>
      </w:r>
      <w:bookmarkEnd w:id="208"/>
    </w:p>
    <w:bookmarkEnd w:id="209"/>
    <w:bookmarkEnd w:id="210"/>
    <w:bookmarkEnd w:id="211"/>
    <w:p w14:paraId="26EAB2C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3.5.1 分包的一般约定</w:t>
      </w:r>
    </w:p>
    <w:p w14:paraId="4DAC9B3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B70A3D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承包人不得以劳务分包的名义转包或违法分包工程。</w:t>
      </w:r>
    </w:p>
    <w:p w14:paraId="339AA5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3.5.2 分包的确定</w:t>
      </w:r>
    </w:p>
    <w:p w14:paraId="7A40CD2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2B49CD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3.5.3 分包管理</w:t>
      </w:r>
    </w:p>
    <w:p w14:paraId="1466C4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承包人应向监理人提交分包人的主要施工管理人员表，并对分包人的施工人员进行实名制管理，包括但不限于进出场管理、登记造册以及各种证照的办理。</w:t>
      </w:r>
    </w:p>
    <w:p w14:paraId="26A329C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3.5.4 分包合同价款</w:t>
      </w:r>
    </w:p>
    <w:p w14:paraId="6298FF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（1）除本项第（2）目约定的情况或专用合同条款另有约定外，分包合同价款由承包人与分包人结算，未经承包人同意，发包人不得向分包人支付分包工程价款；</w:t>
      </w:r>
    </w:p>
    <w:p w14:paraId="0C835A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（2）生效法律文书要求发包人向分包人支付分包合同价款的，发包人有权从应付承包人工程款中扣除该部分款项。</w:t>
      </w:r>
    </w:p>
    <w:p w14:paraId="2FEC7B4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3.5.5 分包合同权益的转让</w:t>
      </w:r>
    </w:p>
    <w:p w14:paraId="28C170B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2" w:name="_Toc351203524"/>
    </w:p>
    <w:p w14:paraId="5F246AC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3.6 工程照管与成品、半成品保护</w:t>
      </w:r>
      <w:bookmarkEnd w:id="212"/>
    </w:p>
    <w:p w14:paraId="3B49C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（1）除专用合同条款另有约定外，自发包人向承包人移交施工现场之日起，承包人应负责照管工程及工程相关的材料、工程设备，直到颁发工程接收证书之日止。</w:t>
      </w:r>
    </w:p>
    <w:p w14:paraId="02B3F96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（2）在承包人负责照管期间，因承包人原因造成工程、材料、工程设备损坏的，由承包人负责修复或更换，并承担由此增加的费用和（或）延误的工期。</w:t>
      </w:r>
    </w:p>
    <w:p w14:paraId="4E327B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57DD68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13" w:name="_Toc351203525"/>
      <w:r>
        <w:rPr>
          <w:rFonts w:hint="eastAsia" w:ascii="宋体" w:hAnsi="宋体" w:eastAsia="宋体" w:cs="宋体"/>
          <w:b w:val="0"/>
          <w:color w:val="auto"/>
          <w:spacing w:val="0"/>
          <w:position w:val="0"/>
          <w:sz w:val="24"/>
          <w:szCs w:val="24"/>
          <w:highlight w:val="none"/>
        </w:rPr>
        <w:t>3</w:t>
      </w:r>
      <w:bookmarkStart w:id="214" w:name="_Toc296503052"/>
      <w:bookmarkStart w:id="215" w:name="_Toc337558752"/>
      <w:bookmarkStart w:id="216" w:name="_Toc296346553"/>
      <w:r>
        <w:rPr>
          <w:rFonts w:hint="eastAsia" w:ascii="宋体" w:hAnsi="宋体" w:eastAsia="宋体" w:cs="宋体"/>
          <w:b w:val="0"/>
          <w:color w:val="auto"/>
          <w:spacing w:val="0"/>
          <w:position w:val="0"/>
          <w:sz w:val="24"/>
          <w:szCs w:val="24"/>
          <w:highlight w:val="none"/>
        </w:rPr>
        <w:t>.7 履约担保</w:t>
      </w:r>
      <w:bookmarkEnd w:id="213"/>
    </w:p>
    <w:bookmarkEnd w:id="214"/>
    <w:bookmarkEnd w:id="215"/>
    <w:bookmarkEnd w:id="216"/>
    <w:p w14:paraId="11DAC87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FA2286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因承包人原因导致工期延长的，继续提供履约担保所增加的费用由承包人承担；非因承包人原因导致工期延长的，继续提供履约担保所增加的费用由发包人承担。</w:t>
      </w:r>
    </w:p>
    <w:p w14:paraId="717AD15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17" w:name="_Toc351203526"/>
      <w:r>
        <w:rPr>
          <w:rFonts w:hint="eastAsia" w:ascii="宋体" w:hAnsi="宋体" w:eastAsia="宋体" w:cs="宋体"/>
          <w:b w:val="0"/>
          <w:color w:val="auto"/>
          <w:spacing w:val="0"/>
          <w:position w:val="0"/>
          <w:sz w:val="24"/>
          <w:szCs w:val="24"/>
          <w:highlight w:val="none"/>
        </w:rPr>
        <w:t>3.8 联合体</w:t>
      </w:r>
      <w:bookmarkEnd w:id="217"/>
    </w:p>
    <w:p w14:paraId="7B61A5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3.8.1 联合体各方应共同与发包人签订合同协议书。联合体各方应为履行合同向发包人承担连带责任。</w:t>
      </w:r>
    </w:p>
    <w:p w14:paraId="00A21C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3.8.2 联合体协议经发包人确认后作为合同附件。在履行合同过程中，未经发包人同意，不得修改联合体协议。</w:t>
      </w:r>
    </w:p>
    <w:p w14:paraId="7AF738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3.8.3 联合体牵头人负责与发包人和监理人联系，并接受指示，负责组织联合体各成员全面履行合同。</w:t>
      </w:r>
    </w:p>
    <w:p w14:paraId="25B75A2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18" w:name="_Toc351203527"/>
      <w:r>
        <w:rPr>
          <w:rFonts w:hint="eastAsia" w:ascii="宋体" w:hAnsi="宋体" w:eastAsia="宋体" w:cs="宋体"/>
          <w:b w:val="0"/>
          <w:color w:val="auto"/>
          <w:spacing w:val="0"/>
          <w:position w:val="0"/>
          <w:sz w:val="24"/>
          <w:szCs w:val="24"/>
          <w:highlight w:val="none"/>
        </w:rPr>
        <w:t>4</w:t>
      </w:r>
      <w:bookmarkStart w:id="219" w:name="_Toc296503053"/>
      <w:bookmarkStart w:id="220" w:name="_Toc296346554"/>
      <w:bookmarkStart w:id="221" w:name="_Toc337558753"/>
      <w:r>
        <w:rPr>
          <w:rFonts w:hint="eastAsia" w:ascii="宋体" w:hAnsi="宋体" w:eastAsia="宋体" w:cs="宋体"/>
          <w:b w:val="0"/>
          <w:color w:val="auto"/>
          <w:spacing w:val="0"/>
          <w:position w:val="0"/>
          <w:sz w:val="24"/>
          <w:szCs w:val="24"/>
          <w:highlight w:val="none"/>
        </w:rPr>
        <w:t>. 监</w:t>
      </w:r>
      <w:bookmarkEnd w:id="219"/>
      <w:bookmarkEnd w:id="220"/>
      <w:r>
        <w:rPr>
          <w:rFonts w:hint="eastAsia" w:ascii="宋体" w:hAnsi="宋体" w:eastAsia="宋体" w:cs="宋体"/>
          <w:b w:val="0"/>
          <w:color w:val="auto"/>
          <w:spacing w:val="0"/>
          <w:position w:val="0"/>
          <w:sz w:val="24"/>
          <w:szCs w:val="24"/>
          <w:highlight w:val="none"/>
        </w:rPr>
        <w:t>理人</w:t>
      </w:r>
      <w:bookmarkEnd w:id="218"/>
    </w:p>
    <w:bookmarkEnd w:id="221"/>
    <w:p w14:paraId="37BEB6F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2" w:name="_Toc351203528"/>
      <w:r>
        <w:rPr>
          <w:rFonts w:hint="eastAsia" w:ascii="宋体" w:hAnsi="宋体" w:eastAsia="宋体" w:cs="宋体"/>
          <w:b w:val="0"/>
          <w:color w:val="auto"/>
          <w:spacing w:val="0"/>
          <w:position w:val="0"/>
          <w:sz w:val="24"/>
          <w:szCs w:val="24"/>
          <w:highlight w:val="none"/>
        </w:rPr>
        <w:t>4</w:t>
      </w:r>
      <w:bookmarkStart w:id="223" w:name="_Toc296346555"/>
      <w:bookmarkStart w:id="224" w:name="_Toc337558754"/>
      <w:bookmarkStart w:id="225" w:name="_Toc296503054"/>
      <w:r>
        <w:rPr>
          <w:rFonts w:hint="eastAsia" w:ascii="宋体" w:hAnsi="宋体" w:eastAsia="宋体" w:cs="宋体"/>
          <w:b w:val="0"/>
          <w:color w:val="auto"/>
          <w:spacing w:val="0"/>
          <w:position w:val="0"/>
          <w:sz w:val="24"/>
          <w:szCs w:val="24"/>
          <w:highlight w:val="none"/>
        </w:rPr>
        <w:t>.1监理人的一般规定</w:t>
      </w:r>
      <w:bookmarkEnd w:id="222"/>
    </w:p>
    <w:bookmarkEnd w:id="223"/>
    <w:bookmarkEnd w:id="224"/>
    <w:bookmarkEnd w:id="225"/>
    <w:p w14:paraId="7AA3B63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CDBB2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除专用合同条款另有约定外，监理人在施工现场的办公场所、生活场所由承包人提供，所发生的费用由发包人承担。</w:t>
      </w:r>
    </w:p>
    <w:p w14:paraId="030620C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6" w:name="_Toc351203529"/>
      <w:r>
        <w:rPr>
          <w:rFonts w:hint="eastAsia" w:ascii="宋体" w:hAnsi="宋体" w:eastAsia="宋体" w:cs="宋体"/>
          <w:b w:val="0"/>
          <w:color w:val="auto"/>
          <w:spacing w:val="0"/>
          <w:position w:val="0"/>
          <w:sz w:val="24"/>
          <w:szCs w:val="24"/>
          <w:highlight w:val="none"/>
        </w:rPr>
        <w:t>4</w:t>
      </w:r>
      <w:bookmarkStart w:id="227" w:name="_Toc337558755"/>
      <w:r>
        <w:rPr>
          <w:rFonts w:hint="eastAsia" w:ascii="宋体" w:hAnsi="宋体" w:eastAsia="宋体" w:cs="宋体"/>
          <w:b w:val="0"/>
          <w:color w:val="auto"/>
          <w:spacing w:val="0"/>
          <w:position w:val="0"/>
          <w:sz w:val="24"/>
          <w:szCs w:val="24"/>
          <w:highlight w:val="none"/>
        </w:rPr>
        <w:t>.2监理人员</w:t>
      </w:r>
      <w:bookmarkEnd w:id="226"/>
    </w:p>
    <w:bookmarkEnd w:id="227"/>
    <w:p w14:paraId="52ECA4E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A77B7C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8" w:name="_Toc351203530"/>
      <w:r>
        <w:rPr>
          <w:rFonts w:hint="eastAsia" w:ascii="宋体" w:hAnsi="宋体" w:eastAsia="宋体" w:cs="宋体"/>
          <w:b w:val="0"/>
          <w:color w:val="auto"/>
          <w:spacing w:val="0"/>
          <w:position w:val="0"/>
          <w:sz w:val="24"/>
          <w:szCs w:val="24"/>
          <w:highlight w:val="none"/>
        </w:rPr>
        <w:t>4</w:t>
      </w:r>
      <w:bookmarkStart w:id="229" w:name="_Toc296346556"/>
      <w:bookmarkStart w:id="230" w:name="_Toc296503055"/>
      <w:bookmarkStart w:id="231" w:name="_Toc337558756"/>
      <w:r>
        <w:rPr>
          <w:rFonts w:hint="eastAsia" w:ascii="宋体" w:hAnsi="宋体" w:eastAsia="宋体" w:cs="宋体"/>
          <w:b w:val="0"/>
          <w:color w:val="auto"/>
          <w:spacing w:val="0"/>
          <w:position w:val="0"/>
          <w:sz w:val="24"/>
          <w:szCs w:val="24"/>
          <w:highlight w:val="none"/>
        </w:rPr>
        <w:t>.3</w:t>
      </w:r>
      <w:bookmarkEnd w:id="229"/>
      <w:bookmarkEnd w:id="230"/>
      <w:r>
        <w:rPr>
          <w:rFonts w:hint="eastAsia" w:ascii="宋体" w:hAnsi="宋体" w:eastAsia="宋体" w:cs="宋体"/>
          <w:b w:val="0"/>
          <w:color w:val="auto"/>
          <w:spacing w:val="0"/>
          <w:position w:val="0"/>
          <w:sz w:val="24"/>
          <w:szCs w:val="24"/>
          <w:highlight w:val="none"/>
        </w:rPr>
        <w:t>监理人的指</w:t>
      </w:r>
      <w:bookmarkEnd w:id="231"/>
      <w:r>
        <w:rPr>
          <w:rFonts w:hint="eastAsia" w:ascii="宋体" w:hAnsi="宋体" w:eastAsia="宋体" w:cs="宋体"/>
          <w:b w:val="0"/>
          <w:color w:val="auto"/>
          <w:spacing w:val="0"/>
          <w:position w:val="0"/>
          <w:sz w:val="24"/>
          <w:szCs w:val="24"/>
          <w:highlight w:val="none"/>
        </w:rPr>
        <w:t>示</w:t>
      </w:r>
      <w:bookmarkEnd w:id="228"/>
    </w:p>
    <w:p w14:paraId="43F717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FA2EB4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69F98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613400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CA97682">
      <w:pPr>
        <w:pStyle w:val="5"/>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32" w:name="_Toc351203531"/>
      <w:r>
        <w:rPr>
          <w:rFonts w:hint="eastAsia" w:ascii="宋体" w:hAnsi="宋体" w:eastAsia="宋体" w:cs="宋体"/>
          <w:b w:val="0"/>
          <w:color w:val="auto"/>
          <w:spacing w:val="0"/>
          <w:position w:val="0"/>
          <w:sz w:val="24"/>
          <w:szCs w:val="24"/>
          <w:highlight w:val="none"/>
        </w:rPr>
        <w:t>4</w:t>
      </w:r>
      <w:bookmarkStart w:id="233" w:name="_Toc296346558"/>
      <w:bookmarkStart w:id="234" w:name="_Toc296503057"/>
      <w:bookmarkStart w:id="235" w:name="_Toc337558757"/>
      <w:r>
        <w:rPr>
          <w:rFonts w:hint="eastAsia" w:ascii="宋体" w:hAnsi="宋体" w:eastAsia="宋体" w:cs="宋体"/>
          <w:b w:val="0"/>
          <w:color w:val="auto"/>
          <w:spacing w:val="0"/>
          <w:position w:val="0"/>
          <w:sz w:val="24"/>
          <w:szCs w:val="24"/>
          <w:highlight w:val="none"/>
        </w:rPr>
        <w:t>.4 商定或确定</w:t>
      </w:r>
      <w:bookmarkEnd w:id="232"/>
    </w:p>
    <w:bookmarkEnd w:id="233"/>
    <w:bookmarkEnd w:id="234"/>
    <w:bookmarkEnd w:id="235"/>
    <w:p w14:paraId="0DF815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合同当事人进行商定或确定时，总监理工程师应当会同合同当事人尽量通过协商达成一致，不能达成一致的，由总监理工程师按照合同约定审慎做出公正的确定。</w:t>
      </w:r>
    </w:p>
    <w:p w14:paraId="331F15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45186A">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36" w:name="_Toc351203532"/>
      <w:r>
        <w:rPr>
          <w:rFonts w:hint="eastAsia" w:ascii="宋体" w:hAnsi="宋体" w:eastAsia="宋体" w:cs="宋体"/>
          <w:b w:val="0"/>
          <w:color w:val="auto"/>
          <w:spacing w:val="0"/>
          <w:position w:val="0"/>
          <w:sz w:val="24"/>
          <w:szCs w:val="24"/>
          <w:highlight w:val="none"/>
        </w:rPr>
        <w:t>5</w:t>
      </w:r>
      <w:bookmarkStart w:id="237" w:name="_Toc337558758"/>
      <w:r>
        <w:rPr>
          <w:rFonts w:hint="eastAsia" w:ascii="宋体" w:hAnsi="宋体" w:eastAsia="宋体" w:cs="宋体"/>
          <w:b w:val="0"/>
          <w:color w:val="auto"/>
          <w:spacing w:val="0"/>
          <w:position w:val="0"/>
          <w:sz w:val="24"/>
          <w:szCs w:val="24"/>
          <w:highlight w:val="none"/>
        </w:rPr>
        <w:t>. 工程质量</w:t>
      </w:r>
      <w:bookmarkEnd w:id="236"/>
    </w:p>
    <w:bookmarkEnd w:id="237"/>
    <w:p w14:paraId="04B4DEE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38" w:name="_Toc351203533"/>
      <w:r>
        <w:rPr>
          <w:rFonts w:hint="eastAsia" w:ascii="宋体" w:hAnsi="宋体" w:eastAsia="宋体" w:cs="宋体"/>
          <w:b w:val="0"/>
          <w:color w:val="auto"/>
          <w:spacing w:val="0"/>
          <w:position w:val="0"/>
          <w:sz w:val="24"/>
          <w:szCs w:val="24"/>
          <w:highlight w:val="none"/>
        </w:rPr>
        <w:t>5</w:t>
      </w:r>
      <w:bookmarkStart w:id="239" w:name="_Toc337558759"/>
      <w:r>
        <w:rPr>
          <w:rFonts w:hint="eastAsia" w:ascii="宋体" w:hAnsi="宋体" w:eastAsia="宋体" w:cs="宋体"/>
          <w:b w:val="0"/>
          <w:color w:val="auto"/>
          <w:spacing w:val="0"/>
          <w:position w:val="0"/>
          <w:sz w:val="24"/>
          <w:szCs w:val="24"/>
          <w:highlight w:val="none"/>
        </w:rPr>
        <w:t>.1质量要求</w:t>
      </w:r>
      <w:bookmarkEnd w:id="238"/>
    </w:p>
    <w:bookmarkEnd w:id="239"/>
    <w:p w14:paraId="0255BF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5.1.1 工程质量标准必须符合现行国家有关工程施工质量验收规范和标准的要求。有关工程质量的特殊标准或要求由合同当事人在专用合同条款中约定。</w:t>
      </w:r>
    </w:p>
    <w:p w14:paraId="76425CD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5.1.2 因发包人原因造成工程质量未达到合同约定标准的，由发包人承担由此增加的费用和（或）延误的工期，并支付承包人合理的利润。</w:t>
      </w:r>
    </w:p>
    <w:p w14:paraId="7FC6F3F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6E3157C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0" w:name="_Toc351203534"/>
      <w:r>
        <w:rPr>
          <w:rFonts w:hint="eastAsia" w:ascii="宋体" w:hAnsi="宋体" w:eastAsia="宋体" w:cs="宋体"/>
          <w:b w:val="0"/>
          <w:color w:val="auto"/>
          <w:spacing w:val="0"/>
          <w:position w:val="0"/>
          <w:sz w:val="24"/>
          <w:szCs w:val="24"/>
          <w:highlight w:val="none"/>
        </w:rPr>
        <w:t>5</w:t>
      </w:r>
      <w:bookmarkStart w:id="241" w:name="_Toc337558760"/>
      <w:r>
        <w:rPr>
          <w:rFonts w:hint="eastAsia" w:ascii="宋体" w:hAnsi="宋体" w:eastAsia="宋体" w:cs="宋体"/>
          <w:b w:val="0"/>
          <w:color w:val="auto"/>
          <w:spacing w:val="0"/>
          <w:position w:val="0"/>
          <w:sz w:val="24"/>
          <w:szCs w:val="24"/>
          <w:highlight w:val="none"/>
        </w:rPr>
        <w:t>.2质量保证措施</w:t>
      </w:r>
      <w:bookmarkEnd w:id="240"/>
    </w:p>
    <w:bookmarkEnd w:id="241"/>
    <w:p w14:paraId="6EF534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5.2.1 发包人的质量管理</w:t>
      </w:r>
    </w:p>
    <w:p w14:paraId="6B32B2A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发包人应按照法律规定及合同约定完成与工程质量有关的各项工作。</w:t>
      </w:r>
    </w:p>
    <w:p w14:paraId="4D1404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5.2.2 承包人的质量管理</w:t>
      </w:r>
    </w:p>
    <w:p w14:paraId="0D335C2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266A5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承包人应对施工人员进行质量教育和技术培训，定期考核施工人员的劳动技能，严格执行施工规范和操作规程。</w:t>
      </w:r>
    </w:p>
    <w:p w14:paraId="269A88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F97C36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5.2.3 监理人的质量检查和检验</w:t>
      </w:r>
    </w:p>
    <w:p w14:paraId="0E7F9C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88AA4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FC7698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2" w:name="_Toc351203535"/>
      <w:r>
        <w:rPr>
          <w:rFonts w:hint="eastAsia" w:ascii="宋体" w:hAnsi="宋体" w:eastAsia="宋体" w:cs="宋体"/>
          <w:b w:val="0"/>
          <w:color w:val="auto"/>
          <w:spacing w:val="0"/>
          <w:position w:val="0"/>
          <w:sz w:val="24"/>
          <w:szCs w:val="24"/>
          <w:highlight w:val="none"/>
        </w:rPr>
        <w:t>5</w:t>
      </w:r>
      <w:bookmarkStart w:id="243" w:name="_Toc337558761"/>
      <w:r>
        <w:rPr>
          <w:rFonts w:hint="eastAsia" w:ascii="宋体" w:hAnsi="宋体" w:eastAsia="宋体" w:cs="宋体"/>
          <w:b w:val="0"/>
          <w:color w:val="auto"/>
          <w:spacing w:val="0"/>
          <w:position w:val="0"/>
          <w:sz w:val="24"/>
          <w:szCs w:val="24"/>
          <w:highlight w:val="none"/>
        </w:rPr>
        <w:t>.3 隐蔽工程检查</w:t>
      </w:r>
      <w:bookmarkEnd w:id="242"/>
    </w:p>
    <w:bookmarkEnd w:id="243"/>
    <w:p w14:paraId="65BD1E3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5.3.1承包人自检</w:t>
      </w:r>
    </w:p>
    <w:p w14:paraId="492AACB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承包人应当对工程隐蔽部位进行自检，并经自检确认是否具备覆盖条件。</w:t>
      </w:r>
    </w:p>
    <w:p w14:paraId="7B4BAE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5.3.2检查程序</w:t>
      </w:r>
    </w:p>
    <w:p w14:paraId="354262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9418FE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1C41D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4CC4A8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5.3.3 重新检查</w:t>
      </w:r>
    </w:p>
    <w:p w14:paraId="09723C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CFDD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5.3.4 承包人私自覆盖</w:t>
      </w:r>
    </w:p>
    <w:p w14:paraId="1125951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1E42F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4" w:name="_Toc351203536"/>
      <w:r>
        <w:rPr>
          <w:rFonts w:hint="eastAsia" w:ascii="宋体" w:hAnsi="宋体" w:eastAsia="宋体" w:cs="宋体"/>
          <w:b w:val="0"/>
          <w:color w:val="auto"/>
          <w:spacing w:val="0"/>
          <w:position w:val="0"/>
          <w:sz w:val="24"/>
          <w:szCs w:val="24"/>
          <w:highlight w:val="none"/>
        </w:rPr>
        <w:t>5</w:t>
      </w:r>
      <w:bookmarkStart w:id="245" w:name="_Toc337558762"/>
      <w:r>
        <w:rPr>
          <w:rFonts w:hint="eastAsia" w:ascii="宋体" w:hAnsi="宋体" w:eastAsia="宋体" w:cs="宋体"/>
          <w:b w:val="0"/>
          <w:color w:val="auto"/>
          <w:spacing w:val="0"/>
          <w:position w:val="0"/>
          <w:sz w:val="24"/>
          <w:szCs w:val="24"/>
          <w:highlight w:val="none"/>
        </w:rPr>
        <w:t>.4不合格工程的处理</w:t>
      </w:r>
      <w:bookmarkEnd w:id="244"/>
    </w:p>
    <w:bookmarkEnd w:id="245"/>
    <w:p w14:paraId="79FF7CE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ECD36A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5.4.2 因发包人原因造成工程不合格的，由此增加的费用和（或）延误的工期由发包人承担，并支付承包人合理的利润。</w:t>
      </w:r>
    </w:p>
    <w:p w14:paraId="6BED39E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6" w:name="_Toc351203537"/>
      <w:r>
        <w:rPr>
          <w:rFonts w:hint="eastAsia" w:ascii="宋体" w:hAnsi="宋体" w:eastAsia="宋体" w:cs="宋体"/>
          <w:b w:val="0"/>
          <w:color w:val="auto"/>
          <w:spacing w:val="0"/>
          <w:position w:val="0"/>
          <w:sz w:val="24"/>
          <w:szCs w:val="24"/>
          <w:highlight w:val="none"/>
        </w:rPr>
        <w:t>5.5 质量争议检测</w:t>
      </w:r>
      <w:bookmarkEnd w:id="246"/>
    </w:p>
    <w:p w14:paraId="297C24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合同当事人对工程质量有争议的，由双方协商确定的工程质量检测机构鉴定，由此产生的费用及因此造成的损失，由责任方承担。</w:t>
      </w:r>
    </w:p>
    <w:p w14:paraId="252DBD52">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合同当事人均有责任的，由双方根据其责任分别承担。合同当事人无法达成一致的，按照第4.4款〔商定或确定〕执行。</w:t>
      </w:r>
    </w:p>
    <w:p w14:paraId="645BCB3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47" w:name="_Toc351203538"/>
      <w:r>
        <w:rPr>
          <w:rFonts w:hint="eastAsia" w:ascii="宋体" w:hAnsi="宋体" w:eastAsia="宋体" w:cs="宋体"/>
          <w:b w:val="0"/>
          <w:color w:val="auto"/>
          <w:spacing w:val="0"/>
          <w:position w:val="0"/>
          <w:sz w:val="24"/>
          <w:szCs w:val="24"/>
          <w:highlight w:val="none"/>
        </w:rPr>
        <w:t>6</w:t>
      </w:r>
      <w:bookmarkStart w:id="248" w:name="_Toc337558763"/>
      <w:r>
        <w:rPr>
          <w:rFonts w:hint="eastAsia" w:ascii="宋体" w:hAnsi="宋体" w:eastAsia="宋体" w:cs="宋体"/>
          <w:b w:val="0"/>
          <w:color w:val="auto"/>
          <w:spacing w:val="0"/>
          <w:position w:val="0"/>
          <w:sz w:val="24"/>
          <w:szCs w:val="24"/>
          <w:highlight w:val="none"/>
        </w:rPr>
        <w:t>. 安全文明施工与环境保护</w:t>
      </w:r>
      <w:bookmarkEnd w:id="247"/>
    </w:p>
    <w:bookmarkEnd w:id="248"/>
    <w:p w14:paraId="16C7F87B">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9" w:name="_Toc351203539"/>
      <w:r>
        <w:rPr>
          <w:rFonts w:hint="eastAsia" w:ascii="宋体" w:hAnsi="宋体" w:eastAsia="宋体" w:cs="宋体"/>
          <w:b w:val="0"/>
          <w:color w:val="auto"/>
          <w:spacing w:val="0"/>
          <w:position w:val="0"/>
          <w:sz w:val="24"/>
          <w:szCs w:val="24"/>
          <w:highlight w:val="none"/>
        </w:rPr>
        <w:t>6</w:t>
      </w:r>
      <w:bookmarkStart w:id="250" w:name="_Toc337558764"/>
      <w:r>
        <w:rPr>
          <w:rFonts w:hint="eastAsia" w:ascii="宋体" w:hAnsi="宋体" w:eastAsia="宋体" w:cs="宋体"/>
          <w:b w:val="0"/>
          <w:color w:val="auto"/>
          <w:spacing w:val="0"/>
          <w:position w:val="0"/>
          <w:sz w:val="24"/>
          <w:szCs w:val="24"/>
          <w:highlight w:val="none"/>
        </w:rPr>
        <w:t>.1安全文明施工</w:t>
      </w:r>
      <w:bookmarkEnd w:id="249"/>
    </w:p>
    <w:bookmarkEnd w:id="250"/>
    <w:p w14:paraId="200C2AA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6.1.1安全生产要求</w:t>
      </w:r>
    </w:p>
    <w:p w14:paraId="256823CD">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CB3143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spacing w:val="0"/>
          <w:kern w:val="0"/>
          <w:position w:val="0"/>
          <w:sz w:val="24"/>
          <w:highlight w:val="none"/>
        </w:rPr>
        <w:t>政府有关行政管理部门</w:t>
      </w:r>
      <w:r>
        <w:rPr>
          <w:rFonts w:hint="eastAsia" w:ascii="宋体" w:hAnsi="宋体" w:eastAsia="宋体" w:cs="宋体"/>
          <w:color w:val="auto"/>
          <w:spacing w:val="0"/>
          <w:position w:val="0"/>
          <w:sz w:val="24"/>
          <w:highlight w:val="none"/>
        </w:rPr>
        <w:t>采取应急措施。</w:t>
      </w:r>
    </w:p>
    <w:p w14:paraId="63CC55B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因安全生产需要暂停施工的，按照第7.8款〔暂停施工〕的约定执行。</w:t>
      </w:r>
    </w:p>
    <w:p w14:paraId="2662825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6.1.2 安全生产保证措施</w:t>
      </w:r>
    </w:p>
    <w:p w14:paraId="2749B13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承包人应当按照有关</w:t>
      </w:r>
      <w:r>
        <w:rPr>
          <w:rFonts w:hint="eastAsia" w:ascii="宋体" w:hAnsi="宋体" w:eastAsia="宋体" w:cs="宋体"/>
          <w:color w:val="auto"/>
          <w:spacing w:val="0"/>
          <w:kern w:val="0"/>
          <w:position w:val="0"/>
          <w:sz w:val="24"/>
          <w:highlight w:val="none"/>
        </w:rPr>
        <w:t>规定编制安全技术措施或者专项施工方案，</w:t>
      </w:r>
      <w:r>
        <w:rPr>
          <w:rFonts w:hint="eastAsia" w:ascii="宋体" w:hAnsi="宋体" w:eastAsia="宋体" w:cs="宋体"/>
          <w:color w:val="auto"/>
          <w:spacing w:val="0"/>
          <w:position w:val="0"/>
          <w:sz w:val="24"/>
          <w:highlight w:val="none"/>
        </w:rPr>
        <w:t>建立安全生产责任制度、治安保卫制度及安全生产教育培训制度，并</w:t>
      </w:r>
      <w:r>
        <w:rPr>
          <w:rFonts w:hint="eastAsia" w:ascii="宋体" w:hAnsi="宋体" w:eastAsia="宋体" w:cs="宋体"/>
          <w:color w:val="auto"/>
          <w:spacing w:val="0"/>
          <w:kern w:val="0"/>
          <w:position w:val="0"/>
          <w:sz w:val="24"/>
          <w:highlight w:val="none"/>
        </w:rPr>
        <w:t>按安全生产法律规定及合同约定履行安全职责，如实</w:t>
      </w:r>
      <w:r>
        <w:rPr>
          <w:rFonts w:hint="eastAsia" w:ascii="宋体" w:hAnsi="宋体" w:eastAsia="宋体" w:cs="宋体"/>
          <w:color w:val="auto"/>
          <w:spacing w:val="0"/>
          <w:position w:val="0"/>
          <w:sz w:val="24"/>
          <w:highlight w:val="none"/>
        </w:rPr>
        <w:t>编制工程安全生产的有关记录，</w:t>
      </w:r>
      <w:r>
        <w:rPr>
          <w:rFonts w:hint="eastAsia" w:ascii="宋体" w:hAnsi="宋体" w:eastAsia="宋体" w:cs="宋体"/>
          <w:color w:val="auto"/>
          <w:spacing w:val="0"/>
          <w:kern w:val="0"/>
          <w:position w:val="0"/>
          <w:sz w:val="24"/>
          <w:highlight w:val="none"/>
        </w:rPr>
        <w:t>接受发包人、监理人及政府安全监督部门的检查与监督。</w:t>
      </w:r>
    </w:p>
    <w:p w14:paraId="0D0BE04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6.1.3特别安全生产事项</w:t>
      </w:r>
    </w:p>
    <w:p w14:paraId="2718E841">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381B53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5345F4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A069E6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需单独编制危险性较大分部分项专项工程施工方案的，及要求进行专家论证的超过一定规模的危险性较大的分部分项工程，承包人应及时编制和组织论证。</w:t>
      </w:r>
    </w:p>
    <w:p w14:paraId="0A38E02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6.1.4 治安保卫</w:t>
      </w:r>
    </w:p>
    <w:p w14:paraId="4AACDFD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除专用合同条款另有约定外，发包人应与当地公安部门协商，在现场建立治安管理机构或联防组织，统一管理施工场地的治安保卫事项，履行合同工程的治安保卫职责。</w:t>
      </w:r>
    </w:p>
    <w:p w14:paraId="325D792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发包人和承包人除应协助现场治安管理机构或联防组织维护施工场地的社会治安外，还应做好包括生活区在内的各自管辖区的治安保卫工作。</w:t>
      </w:r>
    </w:p>
    <w:p w14:paraId="580EA30E">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4A660E5">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6.1.5 文明施工</w:t>
      </w:r>
    </w:p>
    <w:p w14:paraId="13C20E9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8284BD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E763250">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6.1.6 安全文明施工费</w:t>
      </w:r>
    </w:p>
    <w:p w14:paraId="697676F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2890CCC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118A5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8030E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F7899A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6.1.7 紧急情况处理</w:t>
      </w:r>
    </w:p>
    <w:p w14:paraId="50DA87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ECC7A8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6.1.8 事故处理</w:t>
      </w:r>
    </w:p>
    <w:p w14:paraId="2E8ABED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113B5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 安全生产责任</w:t>
      </w:r>
    </w:p>
    <w:p w14:paraId="4701FC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6.1.9.1 发包人的安全责任</w:t>
      </w:r>
    </w:p>
    <w:p w14:paraId="5FF0C9EF">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发包人应负责赔偿以下各种情况造成的损失：</w:t>
      </w:r>
    </w:p>
    <w:p w14:paraId="5EB16B97">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（1）工程或工程的任何部分对土地的占用所造成的第三者财产损失；</w:t>
      </w:r>
    </w:p>
    <w:p w14:paraId="5B38681F">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（2）由于发包人原因在施工场地及其毗邻地带造成的第三者人身伤亡和财产损失；</w:t>
      </w:r>
    </w:p>
    <w:p w14:paraId="0F5F2BC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（3）由于发包人原因对承包人、监理人造成的人员人身伤亡和财产损失；</w:t>
      </w:r>
    </w:p>
    <w:p w14:paraId="18813AE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（4）由于发包人原因造成的发包人自身人员的人身伤害以及财产损失。</w:t>
      </w:r>
    </w:p>
    <w:p w14:paraId="0C2D77F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6.1.9.2 承包人的安全责任</w:t>
      </w:r>
    </w:p>
    <w:p w14:paraId="2653763C">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由于承包人原因在施工场地内及其毗邻地带造成的发包人、监理人以及第三者人员伤亡和财产损失，由承包人负责赔偿。</w:t>
      </w:r>
    </w:p>
    <w:p w14:paraId="26E4AB6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1" w:name="_Toc351203540"/>
      <w:r>
        <w:rPr>
          <w:rFonts w:hint="eastAsia" w:ascii="宋体" w:hAnsi="宋体" w:eastAsia="宋体" w:cs="宋体"/>
          <w:b w:val="0"/>
          <w:color w:val="auto"/>
          <w:spacing w:val="0"/>
          <w:position w:val="0"/>
          <w:sz w:val="24"/>
          <w:szCs w:val="24"/>
          <w:highlight w:val="none"/>
        </w:rPr>
        <w:t>6</w:t>
      </w:r>
      <w:bookmarkStart w:id="252" w:name="_Toc337558765"/>
      <w:r>
        <w:rPr>
          <w:rFonts w:hint="eastAsia" w:ascii="宋体" w:hAnsi="宋体" w:eastAsia="宋体" w:cs="宋体"/>
          <w:b w:val="0"/>
          <w:color w:val="auto"/>
          <w:spacing w:val="0"/>
          <w:position w:val="0"/>
          <w:sz w:val="24"/>
          <w:szCs w:val="24"/>
          <w:highlight w:val="none"/>
        </w:rPr>
        <w:t>.2 职业健康</w:t>
      </w:r>
      <w:bookmarkEnd w:id="251"/>
    </w:p>
    <w:bookmarkEnd w:id="252"/>
    <w:p w14:paraId="1450545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6.2.1 劳动保护</w:t>
      </w:r>
    </w:p>
    <w:p w14:paraId="74F130F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366179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8F7518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AF4F1C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6.2.2 生活条件</w:t>
      </w:r>
    </w:p>
    <w:p w14:paraId="5BFC303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BCABA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3" w:name="_Toc351203541"/>
      <w:r>
        <w:rPr>
          <w:rFonts w:hint="eastAsia" w:ascii="宋体" w:hAnsi="宋体" w:eastAsia="宋体" w:cs="宋体"/>
          <w:b w:val="0"/>
          <w:color w:val="auto"/>
          <w:spacing w:val="0"/>
          <w:position w:val="0"/>
          <w:sz w:val="24"/>
          <w:szCs w:val="24"/>
          <w:highlight w:val="none"/>
        </w:rPr>
        <w:t>6</w:t>
      </w:r>
      <w:bookmarkStart w:id="254" w:name="_Toc337558766"/>
      <w:r>
        <w:rPr>
          <w:rFonts w:hint="eastAsia" w:ascii="宋体" w:hAnsi="宋体" w:eastAsia="宋体" w:cs="宋体"/>
          <w:b w:val="0"/>
          <w:color w:val="auto"/>
          <w:spacing w:val="0"/>
          <w:position w:val="0"/>
          <w:sz w:val="24"/>
          <w:szCs w:val="24"/>
          <w:highlight w:val="none"/>
        </w:rPr>
        <w:t>.3 环境保护</w:t>
      </w:r>
      <w:bookmarkEnd w:id="253"/>
    </w:p>
    <w:bookmarkEnd w:id="254"/>
    <w:p w14:paraId="0BCC67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E87DB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承包人应当承担因其原因引起的环境污染侵权损害赔偿责任，因上述环境污染引起纠纷而导致暂停施工的，由此增加的费用和（或）延误的工期由承包人承担。</w:t>
      </w:r>
    </w:p>
    <w:p w14:paraId="0393694F">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55" w:name="_Toc351203542"/>
      <w:r>
        <w:rPr>
          <w:rFonts w:hint="eastAsia" w:ascii="宋体" w:hAnsi="宋体" w:eastAsia="宋体" w:cs="宋体"/>
          <w:b w:val="0"/>
          <w:color w:val="auto"/>
          <w:spacing w:val="0"/>
          <w:position w:val="0"/>
          <w:sz w:val="24"/>
          <w:szCs w:val="24"/>
          <w:highlight w:val="none"/>
        </w:rPr>
        <w:t>7</w:t>
      </w:r>
      <w:bookmarkStart w:id="256" w:name="_Toc337558767"/>
      <w:r>
        <w:rPr>
          <w:rFonts w:hint="eastAsia" w:ascii="宋体" w:hAnsi="宋体" w:eastAsia="宋体" w:cs="宋体"/>
          <w:b w:val="0"/>
          <w:color w:val="auto"/>
          <w:spacing w:val="0"/>
          <w:position w:val="0"/>
          <w:sz w:val="24"/>
          <w:szCs w:val="24"/>
          <w:highlight w:val="none"/>
        </w:rPr>
        <w:t>. 工期和进度</w:t>
      </w:r>
      <w:bookmarkEnd w:id="255"/>
    </w:p>
    <w:bookmarkEnd w:id="256"/>
    <w:p w14:paraId="0F35222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7" w:name="_Toc351203543"/>
      <w:r>
        <w:rPr>
          <w:rFonts w:hint="eastAsia" w:ascii="宋体" w:hAnsi="宋体" w:eastAsia="宋体" w:cs="宋体"/>
          <w:b w:val="0"/>
          <w:color w:val="auto"/>
          <w:spacing w:val="0"/>
          <w:position w:val="0"/>
          <w:sz w:val="24"/>
          <w:szCs w:val="24"/>
          <w:highlight w:val="none"/>
        </w:rPr>
        <w:t>7</w:t>
      </w:r>
      <w:bookmarkStart w:id="258" w:name="_Toc337558768"/>
      <w:bookmarkStart w:id="259" w:name="_Toc296503066"/>
      <w:bookmarkStart w:id="260" w:name="_Toc296346567"/>
      <w:r>
        <w:rPr>
          <w:rFonts w:hint="eastAsia" w:ascii="宋体" w:hAnsi="宋体" w:eastAsia="宋体" w:cs="宋体"/>
          <w:b w:val="0"/>
          <w:color w:val="auto"/>
          <w:spacing w:val="0"/>
          <w:position w:val="0"/>
          <w:sz w:val="24"/>
          <w:szCs w:val="24"/>
          <w:highlight w:val="none"/>
        </w:rPr>
        <w:t>.1施工组织设计</w:t>
      </w:r>
      <w:bookmarkEnd w:id="257"/>
    </w:p>
    <w:bookmarkEnd w:id="258"/>
    <w:p w14:paraId="1E42ECD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 xml:space="preserve">7.1.1 </w:t>
      </w:r>
      <w:r>
        <w:rPr>
          <w:rFonts w:hint="eastAsia" w:ascii="宋体" w:hAnsi="宋体" w:eastAsia="宋体" w:cs="宋体"/>
          <w:color w:val="auto"/>
          <w:spacing w:val="0"/>
          <w:kern w:val="0"/>
          <w:position w:val="0"/>
          <w:sz w:val="24"/>
          <w:highlight w:val="none"/>
        </w:rPr>
        <w:t>施工组织设计的内容</w:t>
      </w:r>
    </w:p>
    <w:p w14:paraId="53F3F70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施工组织设计应包含以下内容：</w:t>
      </w:r>
    </w:p>
    <w:p w14:paraId="40D355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（1）施工方案； </w:t>
      </w:r>
    </w:p>
    <w:p w14:paraId="0563E0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（2）施工现场平面布置图；</w:t>
      </w:r>
    </w:p>
    <w:p w14:paraId="53482D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（3）施工进度计划和保证措施； </w:t>
      </w:r>
    </w:p>
    <w:p w14:paraId="0EA3BA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（4）劳动力及材料供应计划；</w:t>
      </w:r>
    </w:p>
    <w:p w14:paraId="0A57409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（5）施工机械设备的选用；</w:t>
      </w:r>
    </w:p>
    <w:p w14:paraId="5B0B861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（6）质量保证体系及措施；</w:t>
      </w:r>
    </w:p>
    <w:p w14:paraId="58AFF54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（7）安全生产、文明施工措施；</w:t>
      </w:r>
    </w:p>
    <w:p w14:paraId="30698B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（8）环境保护、成本控制措施；</w:t>
      </w:r>
    </w:p>
    <w:p w14:paraId="7A3C81E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（9）合同当事人约定的其他内容。</w:t>
      </w:r>
    </w:p>
    <w:p w14:paraId="64956AC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 xml:space="preserve">7.1.2 </w:t>
      </w:r>
      <w:r>
        <w:rPr>
          <w:rFonts w:hint="eastAsia" w:ascii="宋体" w:hAnsi="宋体" w:eastAsia="宋体" w:cs="宋体"/>
          <w:color w:val="auto"/>
          <w:spacing w:val="0"/>
          <w:kern w:val="0"/>
          <w:position w:val="0"/>
          <w:sz w:val="24"/>
          <w:highlight w:val="none"/>
        </w:rPr>
        <w:t>施工组织设计的提交和修改</w:t>
      </w:r>
    </w:p>
    <w:p w14:paraId="1F7D0CE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8AD893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施工进度计划的编制和修改按照第7.2款〔施工进度计划〕执行。</w:t>
      </w:r>
    </w:p>
    <w:p w14:paraId="5447D32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1" w:name="_Toc351203544"/>
      <w:r>
        <w:rPr>
          <w:rFonts w:hint="eastAsia" w:ascii="宋体" w:hAnsi="宋体" w:eastAsia="宋体" w:cs="宋体"/>
          <w:b w:val="0"/>
          <w:color w:val="auto"/>
          <w:spacing w:val="0"/>
          <w:position w:val="0"/>
          <w:sz w:val="24"/>
          <w:szCs w:val="24"/>
          <w:highlight w:val="none"/>
        </w:rPr>
        <w:t>7</w:t>
      </w:r>
      <w:bookmarkStart w:id="262" w:name="_Toc337558769"/>
      <w:r>
        <w:rPr>
          <w:rFonts w:hint="eastAsia" w:ascii="宋体" w:hAnsi="宋体" w:eastAsia="宋体" w:cs="宋体"/>
          <w:b w:val="0"/>
          <w:color w:val="auto"/>
          <w:spacing w:val="0"/>
          <w:position w:val="0"/>
          <w:sz w:val="24"/>
          <w:szCs w:val="24"/>
          <w:highlight w:val="none"/>
        </w:rPr>
        <w:t>.2 施工进度计划</w:t>
      </w:r>
      <w:bookmarkEnd w:id="261"/>
    </w:p>
    <w:bookmarkEnd w:id="262"/>
    <w:p w14:paraId="77E08B4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7.2.1 施工进度计划的编制</w:t>
      </w:r>
    </w:p>
    <w:p w14:paraId="13553E4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CED9A8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7.2.2 施工进度计划的修订</w:t>
      </w:r>
    </w:p>
    <w:p w14:paraId="35C0B7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40638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3" w:name="_Toc351203545"/>
      <w:r>
        <w:rPr>
          <w:rFonts w:hint="eastAsia" w:ascii="宋体" w:hAnsi="宋体" w:eastAsia="宋体" w:cs="宋体"/>
          <w:b w:val="0"/>
          <w:color w:val="auto"/>
          <w:spacing w:val="0"/>
          <w:position w:val="0"/>
          <w:sz w:val="24"/>
          <w:szCs w:val="24"/>
          <w:highlight w:val="none"/>
        </w:rPr>
        <w:t>7</w:t>
      </w:r>
      <w:bookmarkStart w:id="264" w:name="_Toc337558770"/>
      <w:r>
        <w:rPr>
          <w:rFonts w:hint="eastAsia" w:ascii="宋体" w:hAnsi="宋体" w:eastAsia="宋体" w:cs="宋体"/>
          <w:b w:val="0"/>
          <w:color w:val="auto"/>
          <w:spacing w:val="0"/>
          <w:position w:val="0"/>
          <w:sz w:val="24"/>
          <w:szCs w:val="24"/>
          <w:highlight w:val="none"/>
        </w:rPr>
        <w:t>.3 开工</w:t>
      </w:r>
      <w:bookmarkEnd w:id="263"/>
    </w:p>
    <w:p w14:paraId="178A585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7.3.1 开工准备</w:t>
      </w:r>
    </w:p>
    <w:p w14:paraId="1004F1F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54F8B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除专用合同条款另有约定外，合同当事人应按约定完成开工准备工作。</w:t>
      </w:r>
    </w:p>
    <w:p w14:paraId="56613F1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7.3.2 开工通知</w:t>
      </w:r>
    </w:p>
    <w:bookmarkEnd w:id="264"/>
    <w:p w14:paraId="59A7CAA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63B537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B4E1D7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5" w:name="_Toc351203546"/>
      <w:r>
        <w:rPr>
          <w:rFonts w:hint="eastAsia" w:ascii="宋体" w:hAnsi="宋体" w:eastAsia="宋体" w:cs="宋体"/>
          <w:b w:val="0"/>
          <w:color w:val="auto"/>
          <w:spacing w:val="0"/>
          <w:position w:val="0"/>
          <w:sz w:val="24"/>
          <w:szCs w:val="24"/>
          <w:highlight w:val="none"/>
        </w:rPr>
        <w:t>7.4测量放线</w:t>
      </w:r>
      <w:bookmarkEnd w:id="265"/>
    </w:p>
    <w:p w14:paraId="734D16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EFFC3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6FE325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EC248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施工过程中对施工现场内水准点等测量标志物的保护工作由承包人负责。</w:t>
      </w:r>
      <w:bookmarkStart w:id="266" w:name="_Toc351203547"/>
    </w:p>
    <w:p w14:paraId="224FDA1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7</w:t>
      </w:r>
      <w:bookmarkEnd w:id="259"/>
      <w:bookmarkEnd w:id="260"/>
      <w:bookmarkStart w:id="267" w:name="_Toc296503073"/>
      <w:bookmarkStart w:id="268" w:name="_Toc337558772"/>
      <w:bookmarkStart w:id="269" w:name="_Toc296346574"/>
      <w:r>
        <w:rPr>
          <w:rFonts w:hint="eastAsia" w:ascii="宋体" w:hAnsi="宋体" w:eastAsia="宋体" w:cs="宋体"/>
          <w:b w:val="0"/>
          <w:color w:val="auto"/>
          <w:spacing w:val="0"/>
          <w:position w:val="0"/>
          <w:sz w:val="24"/>
          <w:szCs w:val="24"/>
          <w:highlight w:val="none"/>
        </w:rPr>
        <w:t>.5 工期延误</w:t>
      </w:r>
      <w:bookmarkEnd w:id="266"/>
    </w:p>
    <w:bookmarkEnd w:id="267"/>
    <w:bookmarkEnd w:id="268"/>
    <w:bookmarkEnd w:id="269"/>
    <w:p w14:paraId="1091B9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7.5.1 因发包人原因导致工期延误</w:t>
      </w:r>
    </w:p>
    <w:p w14:paraId="09ACDB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在合同履行过程中，因下列情况导致工期延误和（或）费用增加的，由发包人承担由此延误的工期和（或）增加的费用，且发包人应支付承包人合理的利润： </w:t>
      </w:r>
    </w:p>
    <w:p w14:paraId="1941F2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（1）发包人未能按合同约定提供图纸或所提供图纸不符合合同约定的；</w:t>
      </w:r>
    </w:p>
    <w:p w14:paraId="4B98624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（2）发包人未能按合同约定提供施工现场、施工条件、基础资料、许可、批准等开工条件的；</w:t>
      </w:r>
    </w:p>
    <w:p w14:paraId="4AFD743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（3）发包人提供的测量基准点、基准线和水准点及其书面资料存在错误或疏漏的；</w:t>
      </w:r>
    </w:p>
    <w:p w14:paraId="57F1701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（4）发包人未能在计划开工日期之日起7天内同意下达开工通知的；</w:t>
      </w:r>
    </w:p>
    <w:p w14:paraId="04FBDAB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（5）发包人未能按合同约定日期支付工程预付款、进度款或竣工结算款的；</w:t>
      </w:r>
    </w:p>
    <w:p w14:paraId="71CF56F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（6）监理人未按合同约定发出指示、批准等文件的；</w:t>
      </w:r>
    </w:p>
    <w:p w14:paraId="3F4D64F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（7）专用合同条款中约定的其他情形。</w:t>
      </w:r>
    </w:p>
    <w:p w14:paraId="3B423FA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BAB170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7.5.2 因承包人原因导致工期延误</w:t>
      </w:r>
    </w:p>
    <w:p w14:paraId="31F0440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bookmarkStart w:id="270" w:name="_Toc296346577"/>
      <w:bookmarkStart w:id="271" w:name="_Toc296503076"/>
      <w:r>
        <w:rPr>
          <w:rFonts w:hint="eastAsia" w:ascii="宋体" w:hAnsi="宋体" w:eastAsia="宋体" w:cs="宋体"/>
          <w:color w:val="auto"/>
          <w:spacing w:val="0"/>
          <w:kern w:val="0"/>
          <w:position w:val="0"/>
          <w:sz w:val="24"/>
          <w:highlight w:val="none"/>
        </w:rPr>
        <w:t>因</w:t>
      </w:r>
      <w:bookmarkEnd w:id="270"/>
      <w:bookmarkEnd w:id="271"/>
      <w:r>
        <w:rPr>
          <w:rFonts w:hint="eastAsia" w:ascii="宋体" w:hAnsi="宋体" w:eastAsia="宋体" w:cs="宋体"/>
          <w:color w:val="auto"/>
          <w:spacing w:val="0"/>
          <w:kern w:val="0"/>
          <w:positio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CB06CE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72" w:name="_Toc351203548"/>
      <w:r>
        <w:rPr>
          <w:rFonts w:hint="eastAsia" w:ascii="宋体" w:hAnsi="宋体" w:eastAsia="宋体" w:cs="宋体"/>
          <w:b w:val="0"/>
          <w:color w:val="auto"/>
          <w:spacing w:val="0"/>
          <w:position w:val="0"/>
          <w:sz w:val="24"/>
          <w:szCs w:val="24"/>
          <w:highlight w:val="none"/>
        </w:rPr>
        <w:t>7</w:t>
      </w:r>
      <w:bookmarkStart w:id="273" w:name="_Toc296503074"/>
      <w:bookmarkStart w:id="274" w:name="_Toc337558773"/>
      <w:bookmarkStart w:id="275" w:name="_Toc296346575"/>
      <w:bookmarkStart w:id="276" w:name="_Toc296503077"/>
      <w:bookmarkStart w:id="277" w:name="_Toc296346578"/>
      <w:r>
        <w:rPr>
          <w:rFonts w:hint="eastAsia" w:ascii="宋体" w:hAnsi="宋体" w:eastAsia="宋体" w:cs="宋体"/>
          <w:b w:val="0"/>
          <w:color w:val="auto"/>
          <w:spacing w:val="0"/>
          <w:position w:val="0"/>
          <w:sz w:val="24"/>
          <w:szCs w:val="24"/>
          <w:highlight w:val="none"/>
        </w:rPr>
        <w:t>.6 不利物质条件</w:t>
      </w:r>
      <w:bookmarkEnd w:id="272"/>
    </w:p>
    <w:bookmarkEnd w:id="273"/>
    <w:bookmarkEnd w:id="274"/>
    <w:bookmarkEnd w:id="275"/>
    <w:p w14:paraId="7C3E51B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5B1745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7C4537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78" w:name="_Toc351203549"/>
      <w:r>
        <w:rPr>
          <w:rFonts w:hint="eastAsia" w:ascii="宋体" w:hAnsi="宋体" w:eastAsia="宋体" w:cs="宋体"/>
          <w:b w:val="0"/>
          <w:color w:val="auto"/>
          <w:spacing w:val="0"/>
          <w:position w:val="0"/>
          <w:sz w:val="24"/>
          <w:szCs w:val="24"/>
          <w:highlight w:val="none"/>
        </w:rPr>
        <w:t>7</w:t>
      </w:r>
      <w:bookmarkStart w:id="279" w:name="_Toc296346576"/>
      <w:bookmarkStart w:id="280" w:name="_Toc337558774"/>
      <w:bookmarkStart w:id="281" w:name="_Toc296503075"/>
      <w:r>
        <w:rPr>
          <w:rFonts w:hint="eastAsia" w:ascii="宋体" w:hAnsi="宋体" w:eastAsia="宋体" w:cs="宋体"/>
          <w:b w:val="0"/>
          <w:color w:val="auto"/>
          <w:spacing w:val="0"/>
          <w:position w:val="0"/>
          <w:sz w:val="24"/>
          <w:szCs w:val="24"/>
          <w:highlight w:val="none"/>
        </w:rPr>
        <w:t>.7 异常恶劣的气候条件</w:t>
      </w:r>
      <w:bookmarkEnd w:id="278"/>
    </w:p>
    <w:bookmarkEnd w:id="279"/>
    <w:bookmarkEnd w:id="280"/>
    <w:bookmarkEnd w:id="281"/>
    <w:p w14:paraId="4D07B9C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C906CD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2" w:name="_Toc351203550"/>
    </w:p>
    <w:p w14:paraId="62A1DB2E">
      <w:pPr>
        <w:shd w:val="clear"/>
        <w:autoSpaceDE w:val="0"/>
        <w:autoSpaceDN w:val="0"/>
        <w:adjustRightInd w:val="0"/>
        <w:spacing w:line="312" w:lineRule="auto"/>
        <w:ind w:firstLine="480" w:firstLineChars="200"/>
        <w:jc w:val="left"/>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7</w:t>
      </w:r>
      <w:bookmarkStart w:id="283" w:name="_Toc337558775"/>
      <w:r>
        <w:rPr>
          <w:rFonts w:hint="eastAsia" w:ascii="宋体" w:hAnsi="宋体" w:eastAsia="宋体" w:cs="宋体"/>
          <w:bCs/>
          <w:color w:val="auto"/>
          <w:spacing w:val="0"/>
          <w:position w:val="0"/>
          <w:sz w:val="24"/>
          <w:highlight w:val="none"/>
        </w:rPr>
        <w:t>.8 暂停施工</w:t>
      </w:r>
      <w:bookmarkEnd w:id="282"/>
    </w:p>
    <w:bookmarkEnd w:id="276"/>
    <w:bookmarkEnd w:id="277"/>
    <w:bookmarkEnd w:id="283"/>
    <w:p w14:paraId="2657792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7.8.1发包人原因引起的暂停施工</w:t>
      </w:r>
    </w:p>
    <w:p w14:paraId="4F82B91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7F88CAE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因发包人原因引起的暂停施工，发包人应承担由此增加的费用和（或）延误的工期，并支付承包人合理的利润。</w:t>
      </w:r>
    </w:p>
    <w:p w14:paraId="2403D3E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7.8.2 承包人原因引起的暂停施工</w:t>
      </w:r>
    </w:p>
    <w:p w14:paraId="5F88C8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41308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7.8.3 指示暂停施工</w:t>
      </w:r>
    </w:p>
    <w:p w14:paraId="3C08FAE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监理人认为有必要时，并经发包人批准后，可向承包人作出暂停施工的指示，承包人应按监理人指示暂停施工。</w:t>
      </w:r>
    </w:p>
    <w:p w14:paraId="0A4D133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7.8.4 紧急情况下的暂停施工</w:t>
      </w:r>
    </w:p>
    <w:p w14:paraId="5B5A373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543BC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7.8.5 暂停施工后的复工</w:t>
      </w:r>
    </w:p>
    <w:p w14:paraId="081BC84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E87D0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承包人无故拖延和拒绝复工的，承包人承担由此增加的费用和（或）延误的工期；因发包人原因无法按时复工的，按照第7.5.1项〔因发包人原因导致工期延误〕约定办理。</w:t>
      </w:r>
    </w:p>
    <w:p w14:paraId="33675D5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7.8.6 暂停施工持续56天以上</w:t>
      </w:r>
    </w:p>
    <w:p w14:paraId="2644AEAC">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DFD822">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C8D9FF2">
      <w:pPr>
        <w:shd w:val="clear"/>
        <w:spacing w:line="312" w:lineRule="auto"/>
        <w:ind w:left="16"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7.8.7 暂停施工期间的工程照管</w:t>
      </w:r>
    </w:p>
    <w:p w14:paraId="5280584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暂停施工期间，承包人应负责妥善照管工程并提供安全保障，由此增加的费用由责任方承担。</w:t>
      </w:r>
    </w:p>
    <w:p w14:paraId="0EC186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7.8.8 暂停施工的措施</w:t>
      </w:r>
    </w:p>
    <w:p w14:paraId="0F0BAE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暂停施工期间，发包人和承包人均应采取必要的措施确保工程质量及安全，防止因暂停施工扩大损失。</w:t>
      </w:r>
    </w:p>
    <w:p w14:paraId="35F09CB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84" w:name="_Toc351203551"/>
      <w:r>
        <w:rPr>
          <w:rFonts w:hint="eastAsia" w:ascii="宋体" w:hAnsi="宋体" w:eastAsia="宋体" w:cs="宋体"/>
          <w:b w:val="0"/>
          <w:color w:val="auto"/>
          <w:spacing w:val="0"/>
          <w:position w:val="0"/>
          <w:sz w:val="24"/>
          <w:szCs w:val="24"/>
          <w:highlight w:val="none"/>
        </w:rPr>
        <w:t>7.9提前竣工</w:t>
      </w:r>
      <w:bookmarkEnd w:id="284"/>
    </w:p>
    <w:p w14:paraId="2CE97B5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8E87ED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7.9.2 发包人要求承包人提前竣工，或承包人提出提前竣工的建议能够给发包人带来效益的，合同当事人可以在专用合同条款中约定提前竣工的奖励。</w:t>
      </w:r>
    </w:p>
    <w:p w14:paraId="28AB99CD">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85" w:name="_Toc351203552"/>
      <w:r>
        <w:rPr>
          <w:rFonts w:hint="eastAsia" w:ascii="宋体" w:hAnsi="宋体" w:eastAsia="宋体" w:cs="宋体"/>
          <w:b w:val="0"/>
          <w:color w:val="auto"/>
          <w:spacing w:val="0"/>
          <w:position w:val="0"/>
          <w:sz w:val="24"/>
          <w:szCs w:val="24"/>
          <w:highlight w:val="none"/>
        </w:rPr>
        <w:t>8</w:t>
      </w:r>
      <w:bookmarkStart w:id="286" w:name="_Toc337558776"/>
      <w:bookmarkStart w:id="287" w:name="_Toc296346559"/>
      <w:bookmarkStart w:id="288" w:name="_Toc296503058"/>
      <w:r>
        <w:rPr>
          <w:rFonts w:hint="eastAsia" w:ascii="宋体" w:hAnsi="宋体" w:eastAsia="宋体" w:cs="宋体"/>
          <w:b w:val="0"/>
          <w:color w:val="auto"/>
          <w:spacing w:val="0"/>
          <w:position w:val="0"/>
          <w:sz w:val="24"/>
          <w:szCs w:val="24"/>
          <w:highlight w:val="none"/>
        </w:rPr>
        <w:t>. 材料与设备</w:t>
      </w:r>
      <w:bookmarkEnd w:id="285"/>
    </w:p>
    <w:bookmarkEnd w:id="286"/>
    <w:bookmarkEnd w:id="287"/>
    <w:bookmarkEnd w:id="288"/>
    <w:p w14:paraId="01739A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89" w:name="_Toc351203553"/>
      <w:r>
        <w:rPr>
          <w:rFonts w:hint="eastAsia" w:ascii="宋体" w:hAnsi="宋体" w:eastAsia="宋体" w:cs="宋体"/>
          <w:b w:val="0"/>
          <w:color w:val="auto"/>
          <w:spacing w:val="0"/>
          <w:position w:val="0"/>
          <w:sz w:val="24"/>
          <w:szCs w:val="24"/>
          <w:highlight w:val="none"/>
        </w:rPr>
        <w:t>8</w:t>
      </w:r>
      <w:bookmarkStart w:id="290" w:name="_Toc337558777"/>
      <w:bookmarkStart w:id="291" w:name="_Toc296503059"/>
      <w:bookmarkStart w:id="292" w:name="_Toc296346560"/>
      <w:bookmarkStart w:id="293" w:name="_Toc468936960"/>
      <w:r>
        <w:rPr>
          <w:rFonts w:hint="eastAsia" w:ascii="宋体" w:hAnsi="宋体" w:eastAsia="宋体" w:cs="宋体"/>
          <w:b w:val="0"/>
          <w:color w:val="auto"/>
          <w:spacing w:val="0"/>
          <w:position w:val="0"/>
          <w:sz w:val="24"/>
          <w:szCs w:val="24"/>
          <w:highlight w:val="none"/>
        </w:rPr>
        <w:t>.1发包人供应材料与工程设备</w:t>
      </w:r>
      <w:bookmarkEnd w:id="289"/>
    </w:p>
    <w:bookmarkEnd w:id="290"/>
    <w:bookmarkEnd w:id="291"/>
    <w:bookmarkEnd w:id="292"/>
    <w:p w14:paraId="1E57C2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2BFB213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27EF62A">
      <w:pPr>
        <w:pStyle w:val="6"/>
        <w:shd w:val="clear"/>
        <w:spacing w:before="120" w:after="120" w:line="312" w:lineRule="auto"/>
        <w:ind w:firstLine="480" w:firstLineChars="200"/>
        <w:rPr>
          <w:rFonts w:ascii="宋体" w:hAnsi="宋体" w:eastAsia="宋体" w:cs="宋体"/>
          <w:color w:val="auto"/>
          <w:spacing w:val="0"/>
          <w:position w:val="0"/>
          <w:sz w:val="24"/>
          <w:szCs w:val="24"/>
          <w:highlight w:val="none"/>
        </w:rPr>
      </w:pPr>
      <w:bookmarkStart w:id="294" w:name="_Toc351203554"/>
      <w:r>
        <w:rPr>
          <w:rFonts w:hint="eastAsia" w:ascii="宋体" w:hAnsi="宋体" w:eastAsia="宋体" w:cs="宋体"/>
          <w:b w:val="0"/>
          <w:color w:val="auto"/>
          <w:spacing w:val="0"/>
          <w:position w:val="0"/>
          <w:sz w:val="24"/>
          <w:szCs w:val="24"/>
          <w:highlight w:val="none"/>
        </w:rPr>
        <w:t>8</w:t>
      </w:r>
      <w:bookmarkStart w:id="295" w:name="_Toc337558778"/>
      <w:bookmarkStart w:id="296" w:name="_Toc296346561"/>
      <w:bookmarkStart w:id="297" w:name="_Toc296503060"/>
      <w:r>
        <w:rPr>
          <w:rFonts w:hint="eastAsia" w:ascii="宋体" w:hAnsi="宋体" w:eastAsia="宋体" w:cs="宋体"/>
          <w:b w:val="0"/>
          <w:color w:val="auto"/>
          <w:spacing w:val="0"/>
          <w:position w:val="0"/>
          <w:sz w:val="24"/>
          <w:szCs w:val="24"/>
          <w:highlight w:val="none"/>
        </w:rPr>
        <w:t>.2承包人采购材料与工程设备</w:t>
      </w:r>
      <w:bookmarkEnd w:id="294"/>
    </w:p>
    <w:bookmarkEnd w:id="295"/>
    <w:bookmarkEnd w:id="296"/>
    <w:bookmarkEnd w:id="297"/>
    <w:p w14:paraId="5A8DFEA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982315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98" w:name="_Toc351203555"/>
      <w:r>
        <w:rPr>
          <w:rFonts w:hint="eastAsia" w:ascii="宋体" w:hAnsi="宋体" w:eastAsia="宋体" w:cs="宋体"/>
          <w:b w:val="0"/>
          <w:color w:val="auto"/>
          <w:spacing w:val="0"/>
          <w:position w:val="0"/>
          <w:sz w:val="24"/>
          <w:szCs w:val="24"/>
          <w:highlight w:val="none"/>
        </w:rPr>
        <w:t>8</w:t>
      </w:r>
      <w:bookmarkStart w:id="299" w:name="_Toc296346562"/>
      <w:bookmarkStart w:id="300" w:name="_Toc296503061"/>
      <w:bookmarkStart w:id="301" w:name="_Toc337558779"/>
      <w:r>
        <w:rPr>
          <w:rFonts w:hint="eastAsia" w:ascii="宋体" w:hAnsi="宋体" w:eastAsia="宋体" w:cs="宋体"/>
          <w:b w:val="0"/>
          <w:color w:val="auto"/>
          <w:spacing w:val="0"/>
          <w:position w:val="0"/>
          <w:sz w:val="24"/>
          <w:szCs w:val="24"/>
          <w:highlight w:val="none"/>
        </w:rPr>
        <w:t>.3材料与工程设备的接收与拒收</w:t>
      </w:r>
      <w:bookmarkEnd w:id="298"/>
    </w:p>
    <w:bookmarkEnd w:id="299"/>
    <w:bookmarkEnd w:id="300"/>
    <w:bookmarkEnd w:id="301"/>
    <w:p w14:paraId="4BAA618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4084E6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发包人提供的材料和工程设备的规格、数量或质量不符合合同约定的，或因发包人原因导致交货日期延误或交货地点变更等情况的，按照第16.1款〔发包人违约〕约定办理。</w:t>
      </w:r>
    </w:p>
    <w:p w14:paraId="11D3D0E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8.3.2 承包人采购的材料和工程设备，应保证产品质量合格，承包人应在材料和工程设备到货前24小时通知监理人检验。承</w:t>
      </w:r>
      <w:bookmarkStart w:id="302" w:name="_Toc250655469"/>
      <w:r>
        <w:rPr>
          <w:rFonts w:hint="eastAsia" w:ascii="宋体" w:hAnsi="宋体" w:eastAsia="宋体" w:cs="宋体"/>
          <w:color w:val="auto"/>
          <w:spacing w:val="0"/>
          <w:kern w:val="0"/>
          <w:position w:val="0"/>
          <w:sz w:val="24"/>
          <w:highlight w:val="none"/>
        </w:rPr>
        <w:t>包人进行永久设备、材料的制造和生产的，应符合相关质量标准，并向监理人提交材料的样本以及有关资料，并应在使用该材料或工程设备之前获得监理人同意。</w:t>
      </w:r>
    </w:p>
    <w:bookmarkEnd w:id="302"/>
    <w:p w14:paraId="3C7702E6">
      <w:pPr>
        <w:shd w:val="clear"/>
        <w:autoSpaceDE w:val="0"/>
        <w:autoSpaceDN w:val="0"/>
        <w:adjustRightInd w:val="0"/>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3379D8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3" w:name="_Toc351203556"/>
      <w:r>
        <w:rPr>
          <w:rFonts w:hint="eastAsia" w:ascii="宋体" w:hAnsi="宋体" w:eastAsia="宋体" w:cs="宋体"/>
          <w:b w:val="0"/>
          <w:color w:val="auto"/>
          <w:spacing w:val="0"/>
          <w:position w:val="0"/>
          <w:sz w:val="24"/>
          <w:szCs w:val="24"/>
          <w:highlight w:val="none"/>
        </w:rPr>
        <w:t>8</w:t>
      </w:r>
      <w:bookmarkStart w:id="304" w:name="_Toc296503062"/>
      <w:bookmarkStart w:id="305" w:name="_Toc296346563"/>
      <w:bookmarkStart w:id="306" w:name="_Toc337558780"/>
      <w:r>
        <w:rPr>
          <w:rFonts w:hint="eastAsia" w:ascii="宋体" w:hAnsi="宋体" w:eastAsia="宋体" w:cs="宋体"/>
          <w:b w:val="0"/>
          <w:color w:val="auto"/>
          <w:spacing w:val="0"/>
          <w:position w:val="0"/>
          <w:sz w:val="24"/>
          <w:szCs w:val="24"/>
          <w:highlight w:val="none"/>
        </w:rPr>
        <w:t>.4材料与工程设备的保管与使用</w:t>
      </w:r>
      <w:bookmarkEnd w:id="303"/>
    </w:p>
    <w:bookmarkEnd w:id="304"/>
    <w:bookmarkEnd w:id="305"/>
    <w:bookmarkEnd w:id="306"/>
    <w:p w14:paraId="024DE4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8.4.1 发包人供应</w:t>
      </w:r>
      <w:r>
        <w:rPr>
          <w:rFonts w:hint="eastAsia" w:ascii="宋体" w:hAnsi="宋体" w:eastAsia="宋体" w:cs="宋体"/>
          <w:color w:val="auto"/>
          <w:spacing w:val="0"/>
          <w:position w:val="0"/>
          <w:sz w:val="24"/>
          <w:highlight w:val="none"/>
        </w:rPr>
        <w:t>材料与</w:t>
      </w:r>
      <w:r>
        <w:rPr>
          <w:rFonts w:hint="eastAsia" w:ascii="宋体" w:hAnsi="宋体" w:eastAsia="宋体" w:cs="宋体"/>
          <w:color w:val="auto"/>
          <w:spacing w:val="0"/>
          <w:kern w:val="0"/>
          <w:position w:val="0"/>
          <w:sz w:val="24"/>
          <w:highlight w:val="none"/>
        </w:rPr>
        <w:t>工程</w:t>
      </w:r>
      <w:r>
        <w:rPr>
          <w:rFonts w:hint="eastAsia" w:ascii="宋体" w:hAnsi="宋体" w:eastAsia="宋体" w:cs="宋体"/>
          <w:color w:val="auto"/>
          <w:spacing w:val="0"/>
          <w:position w:val="0"/>
          <w:sz w:val="24"/>
          <w:highlight w:val="none"/>
        </w:rPr>
        <w:t>设备的保管与使用</w:t>
      </w:r>
    </w:p>
    <w:p w14:paraId="588EBF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203F8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发包人供应的材料和工程设备使用前，由承包人负责检验，检验费用由发包人承担，不合格的不得使用。</w:t>
      </w:r>
    </w:p>
    <w:p w14:paraId="13F9FD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8.4.2 承包人采购</w:t>
      </w:r>
      <w:r>
        <w:rPr>
          <w:rFonts w:hint="eastAsia" w:ascii="宋体" w:hAnsi="宋体" w:eastAsia="宋体" w:cs="宋体"/>
          <w:color w:val="auto"/>
          <w:spacing w:val="0"/>
          <w:position w:val="0"/>
          <w:sz w:val="24"/>
          <w:highlight w:val="none"/>
        </w:rPr>
        <w:t>材料与</w:t>
      </w:r>
      <w:r>
        <w:rPr>
          <w:rFonts w:hint="eastAsia" w:ascii="宋体" w:hAnsi="宋体" w:eastAsia="宋体" w:cs="宋体"/>
          <w:color w:val="auto"/>
          <w:spacing w:val="0"/>
          <w:kern w:val="0"/>
          <w:position w:val="0"/>
          <w:sz w:val="24"/>
          <w:highlight w:val="none"/>
        </w:rPr>
        <w:t>工程</w:t>
      </w:r>
      <w:r>
        <w:rPr>
          <w:rFonts w:hint="eastAsia" w:ascii="宋体" w:hAnsi="宋体" w:eastAsia="宋体" w:cs="宋体"/>
          <w:color w:val="auto"/>
          <w:spacing w:val="0"/>
          <w:position w:val="0"/>
          <w:sz w:val="24"/>
          <w:highlight w:val="none"/>
        </w:rPr>
        <w:t>设备的保管与使用</w:t>
      </w:r>
    </w:p>
    <w:p w14:paraId="62174C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B7CA1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A3D32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7" w:name="_Toc351203557"/>
      <w:r>
        <w:rPr>
          <w:rFonts w:hint="eastAsia" w:ascii="宋体" w:hAnsi="宋体" w:eastAsia="宋体" w:cs="宋体"/>
          <w:b w:val="0"/>
          <w:color w:val="auto"/>
          <w:spacing w:val="0"/>
          <w:position w:val="0"/>
          <w:sz w:val="24"/>
          <w:szCs w:val="24"/>
          <w:highlight w:val="none"/>
        </w:rPr>
        <w:t>8.5禁止使用不合格的材料和工程设备</w:t>
      </w:r>
      <w:bookmarkEnd w:id="307"/>
    </w:p>
    <w:p w14:paraId="625241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9037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8.5.2 监理人发现承包人使用了不合格的材料和工程设备，承包人应按照监理人的指示立即改正，并禁止在工程中继续使用不合格的材料和工程设备。</w:t>
      </w:r>
    </w:p>
    <w:p w14:paraId="6F1AA7E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8.5.3 发包人提供的材料或工程设备不符合合同要求的，承包人有权拒绝，并可要求发包人更换，由此增加的费用和（或）延误的工期由发包人承担，并支付承包人合理的利润。</w:t>
      </w:r>
    </w:p>
    <w:p w14:paraId="48FC79D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8" w:name="_Toc351203558"/>
      <w:r>
        <w:rPr>
          <w:rFonts w:hint="eastAsia" w:ascii="宋体" w:hAnsi="宋体" w:eastAsia="宋体" w:cs="宋体"/>
          <w:b w:val="0"/>
          <w:color w:val="auto"/>
          <w:spacing w:val="0"/>
          <w:position w:val="0"/>
          <w:sz w:val="24"/>
          <w:szCs w:val="24"/>
          <w:highlight w:val="none"/>
        </w:rPr>
        <w:t>8.6 样品</w:t>
      </w:r>
      <w:bookmarkEnd w:id="308"/>
    </w:p>
    <w:p w14:paraId="3AE48A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8.6.1</w:t>
      </w:r>
      <w:r>
        <w:rPr>
          <w:rFonts w:hint="eastAsia" w:ascii="宋体" w:hAnsi="宋体" w:eastAsia="宋体" w:cs="宋体"/>
          <w:color w:val="auto"/>
          <w:spacing w:val="0"/>
          <w:kern w:val="0"/>
          <w:position w:val="0"/>
          <w:sz w:val="24"/>
          <w:highlight w:val="none"/>
        </w:rPr>
        <w:tab/>
      </w:r>
      <w:r>
        <w:rPr>
          <w:rFonts w:hint="eastAsia" w:ascii="宋体" w:hAnsi="宋体" w:eastAsia="宋体" w:cs="宋体"/>
          <w:color w:val="auto"/>
          <w:spacing w:val="0"/>
          <w:kern w:val="0"/>
          <w:position w:val="0"/>
          <w:sz w:val="24"/>
          <w:highlight w:val="none"/>
        </w:rPr>
        <w:t>样品的报送与封存</w:t>
      </w:r>
    </w:p>
    <w:p w14:paraId="119678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需要承包人报送样品的材料或工程设备，样品的种类、名称、规格、数量等要求均应在专用合同条款中约定。样品的报送程序如下：</w:t>
      </w:r>
    </w:p>
    <w:p w14:paraId="76F2D6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E0F74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32E904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（3）经发包人和监理人审批确认的样品应按约定的方法封样，封存的样品作为检验工程相关部分的标准之一。承包人在施工过程中不得使用与样品不符的材料或工程设备。</w:t>
      </w:r>
    </w:p>
    <w:p w14:paraId="2C95A23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0909E4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8.6.2 样品的保管</w:t>
      </w:r>
    </w:p>
    <w:p w14:paraId="0A16BEF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经批准的样品应由监理人负责封存于现场，承包人应在现场为保存样品提供适当和固定的场所并保持适当和良好的存储环境条件。</w:t>
      </w:r>
    </w:p>
    <w:p w14:paraId="6C89CA3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9" w:name="_Toc351203559"/>
      <w:r>
        <w:rPr>
          <w:rFonts w:hint="eastAsia" w:ascii="宋体" w:hAnsi="宋体" w:eastAsia="宋体" w:cs="宋体"/>
          <w:b w:val="0"/>
          <w:color w:val="auto"/>
          <w:spacing w:val="0"/>
          <w:position w:val="0"/>
          <w:sz w:val="24"/>
          <w:szCs w:val="24"/>
          <w:highlight w:val="none"/>
        </w:rPr>
        <w:t>8.7材料与工程设备的替代</w:t>
      </w:r>
      <w:bookmarkEnd w:id="309"/>
    </w:p>
    <w:p w14:paraId="41A2449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8.7.1 出现下列情况需要使用替代材料和工程设备的，承包人应按照第8.7.2项约定的程序执行：</w:t>
      </w:r>
    </w:p>
    <w:p w14:paraId="480482B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（1）基准日期后生效的法律规定禁止使用的；</w:t>
      </w:r>
    </w:p>
    <w:p w14:paraId="410B30F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（2）发包人要求使用替代品的；</w:t>
      </w:r>
    </w:p>
    <w:p w14:paraId="165A80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（3）因其他原因必须使用替代品的。</w:t>
      </w:r>
    </w:p>
    <w:p w14:paraId="4717838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8.7.2 承包人应在使用替代材料和工程设备28天前书面通知监理人，并附下列文件：</w:t>
      </w:r>
    </w:p>
    <w:p w14:paraId="50960C9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（1）被替代的材料和工程设备的名称、数量、规格、型号、品牌、性能、价格及其他相关资料；</w:t>
      </w:r>
    </w:p>
    <w:p w14:paraId="14FD6E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（2）替代品的名称、数量、规格、型号、品牌、性能、价格及其他相关资料；</w:t>
      </w:r>
    </w:p>
    <w:p w14:paraId="68BD9FC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（3）替代品与被替代产品之间的差异以及使用替代品可能对工程产生的影响；</w:t>
      </w:r>
    </w:p>
    <w:p w14:paraId="3498B2D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（4）替代品与被替代产品的价格差异；</w:t>
      </w:r>
    </w:p>
    <w:p w14:paraId="0F5AAFE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（5）使用替代品的理由和原因说明；</w:t>
      </w:r>
    </w:p>
    <w:p w14:paraId="463A30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（6）监理人要求的其他文件。</w:t>
      </w:r>
    </w:p>
    <w:p w14:paraId="1708EF3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监理人应在收到通知后14天内向承包人发出经发包人签认的书面指示；监理人逾期发出书面指示的，视为发包人和监理人同意使用替代品。</w:t>
      </w:r>
    </w:p>
    <w:p w14:paraId="39EF420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621F58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0" w:name="_Toc351203560"/>
      <w:r>
        <w:rPr>
          <w:rFonts w:hint="eastAsia" w:ascii="宋体" w:hAnsi="宋体" w:eastAsia="宋体" w:cs="宋体"/>
          <w:b w:val="0"/>
          <w:color w:val="auto"/>
          <w:spacing w:val="0"/>
          <w:position w:val="0"/>
          <w:sz w:val="24"/>
          <w:szCs w:val="24"/>
          <w:highlight w:val="none"/>
        </w:rPr>
        <w:t>8.8施工设备和临时设施</w:t>
      </w:r>
      <w:bookmarkEnd w:id="310"/>
    </w:p>
    <w:p w14:paraId="2E30696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8.8.1 承包人提供的施工设备和临时设施</w:t>
      </w:r>
    </w:p>
    <w:p w14:paraId="3C44EBD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70149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除专用合同条款另有约定外，承包人应自行承担修建临时设施的费用，需要临时占地的，应由发包人办理申请手续并承担相应费用。</w:t>
      </w:r>
    </w:p>
    <w:p w14:paraId="652CAF5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8.8.2发包人提供的施工设备和临时设施</w:t>
      </w:r>
    </w:p>
    <w:p w14:paraId="2048DF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发包人提供的施工设备或临时设施在专用合同条款中约定。</w:t>
      </w:r>
    </w:p>
    <w:p w14:paraId="7A6CF8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8.8.3要求承包人增加或更换施工设备</w:t>
      </w:r>
    </w:p>
    <w:p w14:paraId="1B156A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A8788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1" w:name="_Toc351203561"/>
      <w:r>
        <w:rPr>
          <w:rFonts w:hint="eastAsia" w:ascii="宋体" w:hAnsi="宋体" w:eastAsia="宋体" w:cs="宋体"/>
          <w:b w:val="0"/>
          <w:color w:val="auto"/>
          <w:spacing w:val="0"/>
          <w:position w:val="0"/>
          <w:sz w:val="24"/>
          <w:szCs w:val="24"/>
          <w:highlight w:val="none"/>
        </w:rPr>
        <w:t>8</w:t>
      </w:r>
      <w:bookmarkStart w:id="312" w:name="_Toc337558781"/>
      <w:bookmarkStart w:id="313" w:name="_Toc296346564"/>
      <w:bookmarkStart w:id="314" w:name="_Toc296503063"/>
      <w:r>
        <w:rPr>
          <w:rFonts w:hint="eastAsia" w:ascii="宋体" w:hAnsi="宋体" w:eastAsia="宋体" w:cs="宋体"/>
          <w:b w:val="0"/>
          <w:color w:val="auto"/>
          <w:spacing w:val="0"/>
          <w:position w:val="0"/>
          <w:sz w:val="24"/>
          <w:szCs w:val="24"/>
          <w:highlight w:val="none"/>
        </w:rPr>
        <w:t>.9材料与设备专用</w:t>
      </w:r>
      <w:bookmarkEnd w:id="311"/>
      <w:r>
        <w:rPr>
          <w:rFonts w:hint="eastAsia" w:ascii="宋体" w:hAnsi="宋体" w:eastAsia="宋体" w:cs="宋体"/>
          <w:b w:val="0"/>
          <w:color w:val="auto"/>
          <w:spacing w:val="0"/>
          <w:position w:val="0"/>
          <w:sz w:val="24"/>
          <w:szCs w:val="24"/>
          <w:highlight w:val="none"/>
        </w:rPr>
        <w:t>要求</w:t>
      </w:r>
    </w:p>
    <w:bookmarkEnd w:id="312"/>
    <w:bookmarkEnd w:id="313"/>
    <w:bookmarkEnd w:id="314"/>
    <w:p w14:paraId="1B53708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hint="eastAsia" w:ascii="宋体" w:hAnsi="宋体" w:eastAsia="宋体" w:cs="宋体"/>
          <w:color w:val="auto"/>
          <w:spacing w:val="0"/>
          <w:kern w:val="0"/>
          <w:position w:val="0"/>
          <w:sz w:val="24"/>
          <w:highlight w:val="none"/>
        </w:rPr>
        <w:t>经发包人批准，承包人可以根据施工进度计划撤走闲置的施工设备和其他物品。</w:t>
      </w:r>
    </w:p>
    <w:p w14:paraId="70C69F11">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15" w:name="_Toc351203562"/>
      <w:r>
        <w:rPr>
          <w:rFonts w:hint="eastAsia" w:ascii="宋体" w:hAnsi="宋体" w:eastAsia="宋体" w:cs="宋体"/>
          <w:b w:val="0"/>
          <w:color w:val="auto"/>
          <w:spacing w:val="0"/>
          <w:position w:val="0"/>
          <w:sz w:val="24"/>
          <w:szCs w:val="24"/>
          <w:highlight w:val="none"/>
        </w:rPr>
        <w:t>9</w:t>
      </w:r>
      <w:bookmarkStart w:id="316" w:name="_Toc337558782"/>
      <w:bookmarkStart w:id="317" w:name="_Toc296346584"/>
      <w:bookmarkStart w:id="318" w:name="_Toc296503083"/>
      <w:r>
        <w:rPr>
          <w:rFonts w:hint="eastAsia" w:ascii="宋体" w:hAnsi="宋体" w:eastAsia="宋体" w:cs="宋体"/>
          <w:b w:val="0"/>
          <w:color w:val="auto"/>
          <w:spacing w:val="0"/>
          <w:position w:val="0"/>
          <w:sz w:val="24"/>
          <w:szCs w:val="24"/>
          <w:highlight w:val="none"/>
        </w:rPr>
        <w:t>. 试验与检验</w:t>
      </w:r>
      <w:bookmarkEnd w:id="315"/>
    </w:p>
    <w:bookmarkEnd w:id="316"/>
    <w:p w14:paraId="5BA6144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9" w:name="_Toc351203563"/>
      <w:r>
        <w:rPr>
          <w:rFonts w:hint="eastAsia" w:ascii="宋体" w:hAnsi="宋体" w:eastAsia="宋体" w:cs="宋体"/>
          <w:b w:val="0"/>
          <w:color w:val="auto"/>
          <w:spacing w:val="0"/>
          <w:position w:val="0"/>
          <w:sz w:val="24"/>
          <w:szCs w:val="24"/>
          <w:highlight w:val="none"/>
        </w:rPr>
        <w:t>9</w:t>
      </w:r>
      <w:bookmarkStart w:id="320" w:name="_Toc337558783"/>
      <w:r>
        <w:rPr>
          <w:rFonts w:hint="eastAsia" w:ascii="宋体" w:hAnsi="宋体" w:eastAsia="宋体" w:cs="宋体"/>
          <w:b w:val="0"/>
          <w:color w:val="auto"/>
          <w:spacing w:val="0"/>
          <w:position w:val="0"/>
          <w:sz w:val="24"/>
          <w:szCs w:val="24"/>
          <w:highlight w:val="none"/>
        </w:rPr>
        <w:t>.1试验设备与试验人员</w:t>
      </w:r>
      <w:bookmarkEnd w:id="319"/>
    </w:p>
    <w:bookmarkEnd w:id="320"/>
    <w:p w14:paraId="3AFFF2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2E2848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9.1.2 承包人应按专用合同条款的约定提供试验设备、取样装置、试验场所和试验条件，并向监理人提交相应进场计划表。</w:t>
      </w:r>
    </w:p>
    <w:p w14:paraId="430DBEE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承包人配置的试验设备要符合相应试验规程的要求并经过具有资质的检测单位检测，且在正式使用该试验设备前，需要经过监理人与承包人共同校定。</w:t>
      </w:r>
    </w:p>
    <w:p w14:paraId="57C270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171E0AB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1" w:name="_Toc351203564"/>
      <w:r>
        <w:rPr>
          <w:rFonts w:hint="eastAsia" w:ascii="宋体" w:hAnsi="宋体" w:eastAsia="宋体" w:cs="宋体"/>
          <w:b w:val="0"/>
          <w:color w:val="auto"/>
          <w:spacing w:val="0"/>
          <w:position w:val="0"/>
          <w:sz w:val="24"/>
          <w:szCs w:val="24"/>
          <w:highlight w:val="none"/>
        </w:rPr>
        <w:t>9</w:t>
      </w:r>
      <w:bookmarkStart w:id="322" w:name="_Toc337558784"/>
      <w:r>
        <w:rPr>
          <w:rFonts w:hint="eastAsia" w:ascii="宋体" w:hAnsi="宋体" w:eastAsia="宋体" w:cs="宋体"/>
          <w:b w:val="0"/>
          <w:color w:val="auto"/>
          <w:spacing w:val="0"/>
          <w:position w:val="0"/>
          <w:sz w:val="24"/>
          <w:szCs w:val="24"/>
          <w:highlight w:val="none"/>
        </w:rPr>
        <w:t>.2取样</w:t>
      </w:r>
      <w:bookmarkEnd w:id="321"/>
    </w:p>
    <w:bookmarkEnd w:id="322"/>
    <w:p w14:paraId="58AD0ED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试验属于自检性质的，承包人可以单独取样。试验属于监理人抽检性质的，可由监理人取样，也可由承包人的试验人员在监理人的监督下取样。</w:t>
      </w:r>
    </w:p>
    <w:p w14:paraId="6228666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3" w:name="_Toc351203565"/>
      <w:r>
        <w:rPr>
          <w:rFonts w:hint="eastAsia" w:ascii="宋体" w:hAnsi="宋体" w:eastAsia="宋体" w:cs="宋体"/>
          <w:b w:val="0"/>
          <w:color w:val="auto"/>
          <w:spacing w:val="0"/>
          <w:position w:val="0"/>
          <w:sz w:val="24"/>
          <w:szCs w:val="24"/>
          <w:highlight w:val="none"/>
        </w:rPr>
        <w:t>9</w:t>
      </w:r>
      <w:bookmarkStart w:id="324" w:name="_Toc337558785"/>
      <w:r>
        <w:rPr>
          <w:rFonts w:hint="eastAsia" w:ascii="宋体" w:hAnsi="宋体" w:eastAsia="宋体" w:cs="宋体"/>
          <w:b w:val="0"/>
          <w:color w:val="auto"/>
          <w:spacing w:val="0"/>
          <w:position w:val="0"/>
          <w:sz w:val="24"/>
          <w:szCs w:val="24"/>
          <w:highlight w:val="none"/>
        </w:rPr>
        <w:t>.3材料、工程设备和工程的试验和检验</w:t>
      </w:r>
      <w:bookmarkEnd w:id="323"/>
    </w:p>
    <w:bookmarkEnd w:id="324"/>
    <w:p w14:paraId="75C5603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E72CF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070F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17C933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5" w:name="_Toc351203566"/>
      <w:r>
        <w:rPr>
          <w:rFonts w:hint="eastAsia" w:ascii="宋体" w:hAnsi="宋体" w:eastAsia="宋体" w:cs="宋体"/>
          <w:b w:val="0"/>
          <w:color w:val="auto"/>
          <w:spacing w:val="0"/>
          <w:position w:val="0"/>
          <w:sz w:val="24"/>
          <w:szCs w:val="24"/>
          <w:highlight w:val="none"/>
        </w:rPr>
        <w:t>9</w:t>
      </w:r>
      <w:bookmarkStart w:id="326" w:name="_Toc337558786"/>
      <w:r>
        <w:rPr>
          <w:rFonts w:hint="eastAsia" w:ascii="宋体" w:hAnsi="宋体" w:eastAsia="宋体" w:cs="宋体"/>
          <w:b w:val="0"/>
          <w:color w:val="auto"/>
          <w:spacing w:val="0"/>
          <w:position w:val="0"/>
          <w:sz w:val="24"/>
          <w:szCs w:val="24"/>
          <w:highlight w:val="none"/>
        </w:rPr>
        <w:t>.4现场工艺试验</w:t>
      </w:r>
      <w:bookmarkEnd w:id="325"/>
    </w:p>
    <w:bookmarkEnd w:id="326"/>
    <w:p w14:paraId="3F65938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F0F028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27" w:name="_Toc351203567"/>
      <w:r>
        <w:rPr>
          <w:rFonts w:hint="eastAsia" w:ascii="宋体" w:hAnsi="宋体" w:eastAsia="宋体" w:cs="宋体"/>
          <w:b w:val="0"/>
          <w:color w:val="auto"/>
          <w:spacing w:val="0"/>
          <w:position w:val="0"/>
          <w:sz w:val="24"/>
          <w:szCs w:val="24"/>
          <w:highlight w:val="none"/>
        </w:rPr>
        <w:t>1</w:t>
      </w:r>
      <w:bookmarkStart w:id="328" w:name="_Toc337558787"/>
      <w:r>
        <w:rPr>
          <w:rFonts w:hint="eastAsia" w:ascii="宋体" w:hAnsi="宋体" w:eastAsia="宋体" w:cs="宋体"/>
          <w:b w:val="0"/>
          <w:color w:val="auto"/>
          <w:spacing w:val="0"/>
          <w:position w:val="0"/>
          <w:sz w:val="24"/>
          <w:szCs w:val="24"/>
          <w:highlight w:val="none"/>
        </w:rPr>
        <w:t>0. 变更</w:t>
      </w:r>
      <w:bookmarkEnd w:id="317"/>
      <w:bookmarkEnd w:id="318"/>
      <w:bookmarkEnd w:id="327"/>
    </w:p>
    <w:bookmarkEnd w:id="328"/>
    <w:p w14:paraId="1EC16F6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9" w:name="_Toc351203568"/>
      <w:r>
        <w:rPr>
          <w:rFonts w:hint="eastAsia" w:ascii="宋体" w:hAnsi="宋体" w:eastAsia="宋体" w:cs="宋体"/>
          <w:b w:val="0"/>
          <w:color w:val="auto"/>
          <w:spacing w:val="0"/>
          <w:position w:val="0"/>
          <w:sz w:val="24"/>
          <w:szCs w:val="24"/>
          <w:highlight w:val="none"/>
        </w:rPr>
        <w:t>1</w:t>
      </w:r>
      <w:bookmarkStart w:id="330" w:name="_Toc337558788"/>
      <w:bookmarkStart w:id="331" w:name="_Toc296503084"/>
      <w:bookmarkStart w:id="332" w:name="_Toc296346585"/>
      <w:r>
        <w:rPr>
          <w:rFonts w:hint="eastAsia" w:ascii="宋体" w:hAnsi="宋体" w:eastAsia="宋体" w:cs="宋体"/>
          <w:b w:val="0"/>
          <w:color w:val="auto"/>
          <w:spacing w:val="0"/>
          <w:position w:val="0"/>
          <w:sz w:val="24"/>
          <w:szCs w:val="24"/>
          <w:highlight w:val="none"/>
        </w:rPr>
        <w:t>0.1变更的范围</w:t>
      </w:r>
      <w:bookmarkEnd w:id="329"/>
    </w:p>
    <w:bookmarkEnd w:id="330"/>
    <w:bookmarkEnd w:id="331"/>
    <w:bookmarkEnd w:id="332"/>
    <w:p w14:paraId="5CD564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除专用合同条款另有约定外，合同履行过程中发生以下情形的，应按照本条约定进行变更：</w:t>
      </w:r>
    </w:p>
    <w:p w14:paraId="4ECE64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（1）增加或减少合同中任何工作，或追加额外的工作；</w:t>
      </w:r>
    </w:p>
    <w:p w14:paraId="57DC88C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（2）取消合同中任何工作，但转由他人实施的工作除外；</w:t>
      </w:r>
    </w:p>
    <w:p w14:paraId="18D1398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（3）改变合同中任何工作的质量标准或其他特性；</w:t>
      </w:r>
    </w:p>
    <w:p w14:paraId="7F8222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（4）改变工程的基线、标高、位置和尺寸；</w:t>
      </w:r>
    </w:p>
    <w:p w14:paraId="37A8894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（5）改变工程的时间安排或实施顺序。</w:t>
      </w:r>
    </w:p>
    <w:p w14:paraId="764B959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33" w:name="_Toc351203569"/>
      <w:r>
        <w:rPr>
          <w:rFonts w:hint="eastAsia" w:ascii="宋体" w:hAnsi="宋体" w:eastAsia="宋体" w:cs="宋体"/>
          <w:b w:val="0"/>
          <w:color w:val="auto"/>
          <w:spacing w:val="0"/>
          <w:position w:val="0"/>
          <w:sz w:val="24"/>
          <w:szCs w:val="24"/>
          <w:highlight w:val="none"/>
        </w:rPr>
        <w:t>1</w:t>
      </w:r>
      <w:bookmarkStart w:id="334" w:name="_Toc296503085"/>
      <w:bookmarkStart w:id="335" w:name="_Toc296346586"/>
      <w:bookmarkStart w:id="336" w:name="_Toc337558789"/>
      <w:r>
        <w:rPr>
          <w:rFonts w:hint="eastAsia" w:ascii="宋体" w:hAnsi="宋体" w:eastAsia="宋体" w:cs="宋体"/>
          <w:b w:val="0"/>
          <w:color w:val="auto"/>
          <w:spacing w:val="0"/>
          <w:position w:val="0"/>
          <w:sz w:val="24"/>
          <w:szCs w:val="24"/>
          <w:highlight w:val="none"/>
        </w:rPr>
        <w:t>0.2变更权</w:t>
      </w:r>
      <w:bookmarkEnd w:id="333"/>
    </w:p>
    <w:bookmarkEnd w:id="334"/>
    <w:bookmarkEnd w:id="335"/>
    <w:bookmarkEnd w:id="336"/>
    <w:p w14:paraId="31522B0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F49B0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涉及设计变更的，应由设计人提供变更后的图纸和说明。如变更超过原设计标准或批准的建设规模时，发包人应及时办理规划、设计变更等审批手续。</w:t>
      </w:r>
    </w:p>
    <w:p w14:paraId="3DF744F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37" w:name="_Toc351203570"/>
      <w:r>
        <w:rPr>
          <w:rFonts w:hint="eastAsia" w:ascii="宋体" w:hAnsi="宋体" w:eastAsia="宋体" w:cs="宋体"/>
          <w:b w:val="0"/>
          <w:color w:val="auto"/>
          <w:spacing w:val="0"/>
          <w:position w:val="0"/>
          <w:sz w:val="24"/>
          <w:szCs w:val="24"/>
          <w:highlight w:val="none"/>
        </w:rPr>
        <w:t>1</w:t>
      </w:r>
      <w:bookmarkStart w:id="338" w:name="_Toc296503086"/>
      <w:bookmarkStart w:id="339" w:name="_Toc296346587"/>
      <w:bookmarkStart w:id="340" w:name="_Toc337558790"/>
      <w:r>
        <w:rPr>
          <w:rFonts w:hint="eastAsia" w:ascii="宋体" w:hAnsi="宋体" w:eastAsia="宋体" w:cs="宋体"/>
          <w:b w:val="0"/>
          <w:color w:val="auto"/>
          <w:spacing w:val="0"/>
          <w:position w:val="0"/>
          <w:sz w:val="24"/>
          <w:szCs w:val="24"/>
          <w:highlight w:val="none"/>
        </w:rPr>
        <w:t>0.3变更程序</w:t>
      </w:r>
      <w:bookmarkEnd w:id="337"/>
    </w:p>
    <w:bookmarkEnd w:id="338"/>
    <w:bookmarkEnd w:id="339"/>
    <w:bookmarkEnd w:id="340"/>
    <w:p w14:paraId="317584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w:t>
      </w:r>
      <w:r>
        <w:rPr>
          <w:rFonts w:hint="eastAsia" w:ascii="宋体" w:hAnsi="宋体" w:eastAsia="宋体" w:cs="宋体"/>
          <w:color w:val="auto"/>
          <w:spacing w:val="0"/>
          <w:kern w:val="0"/>
          <w:position w:val="0"/>
          <w:sz w:val="24"/>
          <w:highlight w:val="none"/>
        </w:rPr>
        <w:t>.3.1 发包人提出变更</w:t>
      </w:r>
    </w:p>
    <w:p w14:paraId="1EA5255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发包人提出变更的，应通过监理人向承包人发出变更指示，变更指示应说明计划变更的工程范围和变更的内容。</w:t>
      </w:r>
    </w:p>
    <w:p w14:paraId="2A3EAC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w:t>
      </w:r>
      <w:r>
        <w:rPr>
          <w:rFonts w:hint="eastAsia" w:ascii="宋体" w:hAnsi="宋体" w:eastAsia="宋体" w:cs="宋体"/>
          <w:color w:val="auto"/>
          <w:spacing w:val="0"/>
          <w:kern w:val="0"/>
          <w:position w:val="0"/>
          <w:sz w:val="24"/>
          <w:highlight w:val="none"/>
        </w:rPr>
        <w:t>.3.2 监理人提出变更建议</w:t>
      </w:r>
    </w:p>
    <w:p w14:paraId="6E7543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1EFDE6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10.3.3 变更执行</w:t>
      </w:r>
    </w:p>
    <w:p w14:paraId="6EAF694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117AB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41" w:name="_Toc351203571"/>
      <w:r>
        <w:rPr>
          <w:rFonts w:hint="eastAsia" w:ascii="宋体" w:hAnsi="宋体" w:eastAsia="宋体" w:cs="宋体"/>
          <w:b w:val="0"/>
          <w:color w:val="auto"/>
          <w:spacing w:val="0"/>
          <w:position w:val="0"/>
          <w:sz w:val="24"/>
          <w:szCs w:val="24"/>
          <w:highlight w:val="none"/>
        </w:rPr>
        <w:t>1</w:t>
      </w:r>
      <w:bookmarkStart w:id="342" w:name="_Toc296503087"/>
      <w:bookmarkStart w:id="343" w:name="_Toc337558791"/>
      <w:bookmarkStart w:id="344" w:name="_Toc296346588"/>
      <w:r>
        <w:rPr>
          <w:rFonts w:hint="eastAsia" w:ascii="宋体" w:hAnsi="宋体" w:eastAsia="宋体" w:cs="宋体"/>
          <w:b w:val="0"/>
          <w:color w:val="auto"/>
          <w:spacing w:val="0"/>
          <w:position w:val="0"/>
          <w:sz w:val="24"/>
          <w:szCs w:val="24"/>
          <w:highlight w:val="none"/>
        </w:rPr>
        <w:t>0.4变更估价</w:t>
      </w:r>
      <w:bookmarkEnd w:id="341"/>
    </w:p>
    <w:bookmarkEnd w:id="342"/>
    <w:bookmarkEnd w:id="343"/>
    <w:bookmarkEnd w:id="344"/>
    <w:p w14:paraId="682FC04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10.4.1 变更估价原则</w:t>
      </w:r>
    </w:p>
    <w:p w14:paraId="64B2C7A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除专用合同条款另有约定外，变更估价按照本款约定处理：</w:t>
      </w:r>
    </w:p>
    <w:p w14:paraId="01C1CEE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（1）已标价工程量清单或预算书有相同项目的，按照相同项目单价认定；</w:t>
      </w:r>
    </w:p>
    <w:p w14:paraId="169A64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（2）已标价工程量清单或预算书中无相同项目，但有类似项目的，参照类似项目的单价认定；</w:t>
      </w:r>
    </w:p>
    <w:p w14:paraId="4B7CCA2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0223D6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10.4.2 变更估价程序</w:t>
      </w:r>
    </w:p>
    <w:p w14:paraId="7B8BDC8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17CC8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因变更引起的价格调整应计入最近一期的进度款中支付。</w:t>
      </w:r>
    </w:p>
    <w:p w14:paraId="792C23C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45" w:name="_Toc351203572"/>
      <w:r>
        <w:rPr>
          <w:rFonts w:hint="eastAsia" w:ascii="宋体" w:hAnsi="宋体" w:eastAsia="宋体" w:cs="宋体"/>
          <w:b w:val="0"/>
          <w:color w:val="auto"/>
          <w:spacing w:val="0"/>
          <w:position w:val="0"/>
          <w:sz w:val="24"/>
          <w:szCs w:val="24"/>
          <w:highlight w:val="none"/>
        </w:rPr>
        <w:t>1</w:t>
      </w:r>
      <w:bookmarkStart w:id="346" w:name="_Toc296503094"/>
      <w:bookmarkStart w:id="347" w:name="_Toc296346595"/>
      <w:bookmarkStart w:id="348" w:name="_Toc337558792"/>
      <w:r>
        <w:rPr>
          <w:rFonts w:hint="eastAsia" w:ascii="宋体" w:hAnsi="宋体" w:eastAsia="宋体" w:cs="宋体"/>
          <w:b w:val="0"/>
          <w:color w:val="auto"/>
          <w:spacing w:val="0"/>
          <w:position w:val="0"/>
          <w:sz w:val="24"/>
          <w:szCs w:val="24"/>
          <w:highlight w:val="none"/>
        </w:rPr>
        <w:t>0.5承包人的合理化建议</w:t>
      </w:r>
      <w:bookmarkEnd w:id="345"/>
    </w:p>
    <w:bookmarkEnd w:id="346"/>
    <w:bookmarkEnd w:id="347"/>
    <w:bookmarkEnd w:id="348"/>
    <w:p w14:paraId="396B588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承包人提出合理化建议的，应向监理人提交合理化建议说明，说明建议的内容和理由，以及实施该建议对合同价格和工期的影响。</w:t>
      </w:r>
    </w:p>
    <w:p w14:paraId="6EC9360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3F1D08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合理化建议降低了合同价格或者提高了工程经济效益的，发包人可对承包人给予奖励，奖励的方法和金额在专用合同条款中约定。</w:t>
      </w:r>
    </w:p>
    <w:p w14:paraId="5E6FD285">
      <w:pPr>
        <w:pStyle w:val="6"/>
        <w:shd w:val="clear"/>
        <w:spacing w:before="120" w:after="120" w:line="312" w:lineRule="auto"/>
        <w:ind w:firstLine="480" w:firstLineChars="200"/>
        <w:rPr>
          <w:rFonts w:ascii="宋体" w:hAnsi="宋体" w:eastAsia="宋体" w:cs="宋体"/>
          <w:color w:val="auto"/>
          <w:spacing w:val="0"/>
          <w:position w:val="0"/>
          <w:sz w:val="24"/>
          <w:szCs w:val="24"/>
          <w:highlight w:val="none"/>
        </w:rPr>
      </w:pPr>
      <w:bookmarkStart w:id="349" w:name="_Toc351203573"/>
      <w:r>
        <w:rPr>
          <w:rFonts w:hint="eastAsia" w:ascii="宋体" w:hAnsi="宋体" w:eastAsia="宋体" w:cs="宋体"/>
          <w:b w:val="0"/>
          <w:color w:val="auto"/>
          <w:spacing w:val="0"/>
          <w:position w:val="0"/>
          <w:sz w:val="24"/>
          <w:szCs w:val="24"/>
          <w:highlight w:val="none"/>
        </w:rPr>
        <w:t>1</w:t>
      </w:r>
      <w:bookmarkStart w:id="350" w:name="_Toc337558793"/>
      <w:r>
        <w:rPr>
          <w:rFonts w:hint="eastAsia" w:ascii="宋体" w:hAnsi="宋体" w:eastAsia="宋体" w:cs="宋体"/>
          <w:b w:val="0"/>
          <w:color w:val="auto"/>
          <w:spacing w:val="0"/>
          <w:position w:val="0"/>
          <w:sz w:val="24"/>
          <w:szCs w:val="24"/>
          <w:highlight w:val="none"/>
        </w:rPr>
        <w:t>0.6变更引起的工期调整</w:t>
      </w:r>
      <w:bookmarkEnd w:id="349"/>
      <w:r>
        <w:rPr>
          <w:rFonts w:hint="eastAsia" w:ascii="宋体" w:hAnsi="宋体" w:eastAsia="宋体" w:cs="宋体"/>
          <w:b w:val="0"/>
          <w:color w:val="auto"/>
          <w:spacing w:val="0"/>
          <w:position w:val="0"/>
          <w:sz w:val="24"/>
          <w:szCs w:val="24"/>
          <w:highlight w:val="none"/>
        </w:rPr>
        <w:t xml:space="preserve"> </w:t>
      </w:r>
      <w:bookmarkEnd w:id="350"/>
      <w:r>
        <w:rPr>
          <w:rFonts w:hint="eastAsia" w:ascii="宋体" w:hAnsi="宋体" w:eastAsia="宋体" w:cs="宋体"/>
          <w:b w:val="0"/>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 xml:space="preserve"> </w:t>
      </w:r>
    </w:p>
    <w:p w14:paraId="1F8F162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因变更引起工期变化的，合同当事人均可要求调整合同工期，由合同当事人按照第4.4款〔商定或确定〕并参考工程所在地的工期定额标准确定增减工期天数。</w:t>
      </w:r>
    </w:p>
    <w:p w14:paraId="7B9F9FE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1" w:name="_Toc351203574"/>
      <w:r>
        <w:rPr>
          <w:rFonts w:hint="eastAsia" w:ascii="宋体" w:hAnsi="宋体" w:eastAsia="宋体" w:cs="宋体"/>
          <w:b w:val="0"/>
          <w:color w:val="auto"/>
          <w:spacing w:val="0"/>
          <w:position w:val="0"/>
          <w:sz w:val="24"/>
          <w:szCs w:val="24"/>
          <w:highlight w:val="none"/>
        </w:rPr>
        <w:t>10.7暂估价</w:t>
      </w:r>
      <w:bookmarkEnd w:id="351"/>
    </w:p>
    <w:p w14:paraId="5D52E60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暂估价专业分包工程、服务、材料和工程设备的明细由合同当事人在专用合同条款中约定。</w:t>
      </w:r>
    </w:p>
    <w:p w14:paraId="326A71E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10.7.1</w:t>
      </w:r>
      <w:r>
        <w:rPr>
          <w:rFonts w:hint="eastAsia" w:ascii="宋体" w:hAnsi="宋体" w:eastAsia="宋体" w:cs="宋体"/>
          <w:color w:val="auto"/>
          <w:spacing w:val="0"/>
          <w:kern w:val="0"/>
          <w:position w:val="0"/>
          <w:sz w:val="24"/>
          <w:highlight w:val="none"/>
        </w:rPr>
        <w:t xml:space="preserve"> 依法必须招标的暂估价项目</w:t>
      </w:r>
    </w:p>
    <w:p w14:paraId="688C61E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对于依法必须招标的暂估价项目，采取以下第1种方式确定。合同当事人也可以在专用合同条款中选择其他招标方式。</w:t>
      </w:r>
    </w:p>
    <w:p w14:paraId="1069EA1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第1种方式：对于依法必须招标的暂估价项目，由承包人招标，对该暂估价项目的确认和批准按照以下约定执行：</w:t>
      </w:r>
    </w:p>
    <w:p w14:paraId="040C13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EEE0C9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2A792F">
      <w:pPr>
        <w:shd w:val="clear"/>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9FD45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3F03F9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10.7.2</w:t>
      </w:r>
      <w:r>
        <w:rPr>
          <w:rFonts w:hint="eastAsia" w:ascii="宋体" w:hAnsi="宋体" w:eastAsia="宋体" w:cs="宋体"/>
          <w:color w:val="auto"/>
          <w:spacing w:val="0"/>
          <w:kern w:val="0"/>
          <w:position w:val="0"/>
          <w:sz w:val="24"/>
          <w:highlight w:val="none"/>
        </w:rPr>
        <w:t>不属于依法必须招标的暂估价项目</w:t>
      </w:r>
    </w:p>
    <w:p w14:paraId="123E63A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除专用合同条款另有约定外，对于不属于依法必须招标的暂估价项目，采取以下第1种方式确定： </w:t>
      </w:r>
    </w:p>
    <w:p w14:paraId="15AFA32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第1种方式：对于不属于依法必须招标的暂估价项目，按本项约定确认和批准：</w:t>
      </w:r>
    </w:p>
    <w:p w14:paraId="0918763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CC102C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（2）发包人认为承包人确定的供应商、分包人无法满足工程质量或合同要求的，发包人可以要求承包人重新确定暂估价项目的供应商、分包人;</w:t>
      </w:r>
    </w:p>
    <w:p w14:paraId="057B287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（3）承包人应当在签订暂估价合同后7天内，将暂估价合同副本报送发包人留存。</w:t>
      </w:r>
    </w:p>
    <w:p w14:paraId="3B61F38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第2种方式：承包人按照第10.7.1项〔依法必须招标的暂估价项目〕约定的第1种方式确定暂估价项目。</w:t>
      </w:r>
    </w:p>
    <w:p w14:paraId="034619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第3种方式：</w:t>
      </w:r>
      <w:r>
        <w:rPr>
          <w:rFonts w:hint="eastAsia" w:ascii="宋体" w:hAnsi="宋体" w:eastAsia="宋体" w:cs="宋体"/>
          <w:color w:val="auto"/>
          <w:spacing w:val="0"/>
          <w:kern w:val="0"/>
          <w:position w:val="0"/>
          <w:sz w:val="24"/>
          <w:highlight w:val="none"/>
        </w:rPr>
        <w:t>承包人直接实施的暂估价项目</w:t>
      </w:r>
    </w:p>
    <w:p w14:paraId="445C509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承包人具备实施暂估价项目的资格和条件的，经发包人和承包人协商一致后，可由承包人自行实施暂估价项目，合同当事人可以在专用合同条款约定具体事项。</w:t>
      </w:r>
    </w:p>
    <w:p w14:paraId="3BDD3F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A6244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2" w:name="_Toc351203575"/>
      <w:r>
        <w:rPr>
          <w:rFonts w:hint="eastAsia" w:ascii="宋体" w:hAnsi="宋体" w:eastAsia="宋体" w:cs="宋体"/>
          <w:b w:val="0"/>
          <w:color w:val="auto"/>
          <w:spacing w:val="0"/>
          <w:position w:val="0"/>
          <w:sz w:val="24"/>
          <w:szCs w:val="24"/>
          <w:highlight w:val="none"/>
        </w:rPr>
        <w:t>1</w:t>
      </w:r>
      <w:bookmarkStart w:id="353" w:name="_Toc337558794"/>
      <w:bookmarkStart w:id="354" w:name="_Toc296503090"/>
      <w:bookmarkStart w:id="355" w:name="_Toc296346591"/>
      <w:bookmarkStart w:id="356" w:name="_Toc322522561"/>
      <w:r>
        <w:rPr>
          <w:rFonts w:hint="eastAsia" w:ascii="宋体" w:hAnsi="宋体" w:eastAsia="宋体" w:cs="宋体"/>
          <w:b w:val="0"/>
          <w:color w:val="auto"/>
          <w:spacing w:val="0"/>
          <w:position w:val="0"/>
          <w:sz w:val="24"/>
          <w:szCs w:val="24"/>
          <w:highlight w:val="none"/>
        </w:rPr>
        <w:t>0.8暂列金额</w:t>
      </w:r>
      <w:bookmarkEnd w:id="352"/>
    </w:p>
    <w:bookmarkEnd w:id="353"/>
    <w:p w14:paraId="395AFC0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暂列金额应按照发包人的要求使用，发包人的要求应通过监理人发出。合同当事人可以在专用合同条款中协商确定有关事项。</w:t>
      </w:r>
    </w:p>
    <w:bookmarkEnd w:id="354"/>
    <w:bookmarkEnd w:id="355"/>
    <w:bookmarkEnd w:id="356"/>
    <w:p w14:paraId="0E6F413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7" w:name="_Toc351203576"/>
      <w:r>
        <w:rPr>
          <w:rFonts w:hint="eastAsia" w:ascii="宋体" w:hAnsi="宋体" w:eastAsia="宋体" w:cs="宋体"/>
          <w:b w:val="0"/>
          <w:color w:val="auto"/>
          <w:spacing w:val="0"/>
          <w:position w:val="0"/>
          <w:sz w:val="24"/>
          <w:szCs w:val="24"/>
          <w:highlight w:val="none"/>
        </w:rPr>
        <w:t>1</w:t>
      </w:r>
      <w:bookmarkStart w:id="358" w:name="_Toc296503091"/>
      <w:bookmarkStart w:id="359" w:name="_Toc296346592"/>
      <w:bookmarkStart w:id="360" w:name="_Toc337558796"/>
      <w:r>
        <w:rPr>
          <w:rFonts w:hint="eastAsia" w:ascii="宋体" w:hAnsi="宋体" w:eastAsia="宋体" w:cs="宋体"/>
          <w:b w:val="0"/>
          <w:color w:val="auto"/>
          <w:spacing w:val="0"/>
          <w:position w:val="0"/>
          <w:sz w:val="24"/>
          <w:szCs w:val="24"/>
          <w:highlight w:val="none"/>
        </w:rPr>
        <w:t>0.9计日工</w:t>
      </w:r>
      <w:bookmarkEnd w:id="357"/>
      <w:r>
        <w:rPr>
          <w:rFonts w:hint="eastAsia" w:ascii="宋体" w:hAnsi="宋体" w:eastAsia="宋体" w:cs="宋体"/>
          <w:b w:val="0"/>
          <w:color w:val="auto"/>
          <w:spacing w:val="0"/>
          <w:position w:val="0"/>
          <w:sz w:val="24"/>
          <w:szCs w:val="24"/>
          <w:highlight w:val="none"/>
        </w:rPr>
        <w:t xml:space="preserve"> </w:t>
      </w:r>
      <w:bookmarkEnd w:id="358"/>
      <w:bookmarkEnd w:id="359"/>
      <w:bookmarkEnd w:id="360"/>
    </w:p>
    <w:p w14:paraId="47FAAE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0E52729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采用计日工计价的任何一项工作，承包人应在该项工作实施过程中，每天提交以下报表和有关凭证报送监理人审查：</w:t>
      </w:r>
    </w:p>
    <w:p w14:paraId="0E8F3FD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（1）工作名称、内容和数量；</w:t>
      </w:r>
    </w:p>
    <w:p w14:paraId="1CCE424D">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（2）投入该工作的所有人员的姓名、专业、工种、级别和耗用工时；</w:t>
      </w:r>
    </w:p>
    <w:p w14:paraId="1100EFD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（3）投入该工作的材料类别和数量；</w:t>
      </w:r>
    </w:p>
    <w:p w14:paraId="3330A321">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（4）投入该工作的施工设备型号、台数和耗用台时；</w:t>
      </w:r>
    </w:p>
    <w:p w14:paraId="207029B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（5）其他有关资料和凭证。</w:t>
      </w:r>
    </w:p>
    <w:p w14:paraId="5866504F">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计日工由承包人汇总后，列入最近一期进度付款申请单，由监理人审查并经发包人批准后列入进度付款。</w:t>
      </w:r>
      <w:bookmarkStart w:id="361" w:name="_Toc351203577"/>
    </w:p>
    <w:p w14:paraId="127F8256">
      <w:pPr>
        <w:numPr>
          <w:ilvl w:val="0"/>
          <w:numId w:val="9"/>
        </w:numPr>
        <w:shd w:val="clear"/>
        <w:spacing w:line="312" w:lineRule="auto"/>
        <w:ind w:firstLine="360" w:firstLineChars="15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价格调整</w:t>
      </w:r>
      <w:bookmarkEnd w:id="361"/>
      <w:bookmarkStart w:id="362" w:name="_Toc351203578"/>
      <w:bookmarkStart w:id="363" w:name="_Toc337558797"/>
      <w:bookmarkStart w:id="364" w:name="_Toc296503092"/>
      <w:bookmarkStart w:id="365" w:name="_Toc296346593"/>
    </w:p>
    <w:p w14:paraId="28EEBDA7">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11.1市场价格波动引起的调整</w:t>
      </w:r>
      <w:bookmarkEnd w:id="362"/>
    </w:p>
    <w:bookmarkEnd w:id="363"/>
    <w:bookmarkEnd w:id="364"/>
    <w:bookmarkEnd w:id="365"/>
    <w:p w14:paraId="7DF3683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F0846B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第1种方式：采用价格指数进行价格调整。</w:t>
      </w:r>
    </w:p>
    <w:p w14:paraId="336385BE">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（1）价格调整公式</w:t>
      </w:r>
    </w:p>
    <w:p w14:paraId="69CC23C7">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因人工、材料和设备等价格波动影响合同价格时，根据专用合同条款中约定的数据，按以下公式计算差额并调整合同价格：</w:t>
      </w:r>
    </w:p>
    <w:p w14:paraId="1A4BD1CB">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p>
    <w:p w14:paraId="562152C3">
      <w:pPr>
        <w:shd w:val="clear"/>
        <w:tabs>
          <w:tab w:val="left" w:pos="0"/>
          <w:tab w:val="left" w:pos="360"/>
          <w:tab w:val="left" w:pos="540"/>
        </w:tabs>
        <w:spacing w:line="312" w:lineRule="auto"/>
        <w:ind w:firstLine="600" w:firstLineChars="200"/>
        <w:rPr>
          <w:rFonts w:ascii="宋体" w:hAnsi="宋体" w:eastAsia="宋体" w:cs="宋体"/>
          <w:color w:val="auto"/>
          <w:spacing w:val="0"/>
          <w:position w:val="0"/>
          <w:sz w:val="24"/>
          <w:highlight w:val="none"/>
        </w:rPr>
      </w:pPr>
      <w:r>
        <w:rPr>
          <w:rFonts w:hint="eastAsia" w:ascii="Times New Roman" w:hAnsi="Times New Roman" w:eastAsia="仿宋_GB2312"/>
          <w:color w:val="auto"/>
          <w:spacing w:val="0"/>
          <w:position w:val="0"/>
          <w:sz w:val="30"/>
          <w:szCs w:val="32"/>
          <w:highlight w:val="none"/>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14:paraId="5B0209C6">
      <w:pPr>
        <w:shd w:val="clear"/>
        <w:tabs>
          <w:tab w:val="left" w:pos="0"/>
          <w:tab w:val="left" w:pos="360"/>
          <w:tab w:val="left" w:pos="540"/>
        </w:tabs>
        <w:spacing w:line="312" w:lineRule="auto"/>
        <w:ind w:firstLine="64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公式中：ΔP——需调整的价格差额；</w:t>
      </w:r>
    </w:p>
    <w:p w14:paraId="0412EDDB">
      <w:pPr>
        <w:shd w:val="clear"/>
        <w:tabs>
          <w:tab w:val="left" w:pos="0"/>
          <w:tab w:val="left" w:pos="360"/>
          <w:tab w:val="left" w:pos="540"/>
        </w:tabs>
        <w:spacing w:line="312" w:lineRule="auto"/>
        <w:ind w:firstLine="1440" w:firstLineChars="6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auto"/>
          <w:spacing w:val="0"/>
          <w:position w:val="0"/>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E16958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A——定值权重（即不调部分的权重）；</w:t>
      </w:r>
    </w:p>
    <w:p w14:paraId="0615ED62">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auto"/>
          <w:spacing w:val="0"/>
          <w:position w:val="0"/>
          <w:sz w:val="24"/>
          <w:highlight w:val="none"/>
        </w:rPr>
        <w:t>——各可调因子的变值权重（即可调部分的权重），为各可调因子在签约合同价中所占的比例；</w:t>
      </w:r>
    </w:p>
    <w:p w14:paraId="7C1F9B80">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auto"/>
          <w:spacing w:val="0"/>
          <w:position w:val="0"/>
          <w:sz w:val="24"/>
          <w:highlight w:val="none"/>
        </w:rPr>
        <w:t>——各可调因子的现行价格指数，指约定的付款证书相关周期最后一天的前42天的各可调因子的价格指数；</w:t>
      </w:r>
    </w:p>
    <w:p w14:paraId="602DA2C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auto"/>
          <w:spacing w:val="0"/>
          <w:position w:val="0"/>
          <w:sz w:val="24"/>
          <w:highlight w:val="none"/>
        </w:rPr>
        <w:t>——各可调因子的基本价格指数，指基准日期的各可调因子的价格指数。</w:t>
      </w:r>
    </w:p>
    <w:p w14:paraId="60E22B62">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131D28">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（2）暂时确定调整差额</w:t>
      </w:r>
    </w:p>
    <w:p w14:paraId="66A54036">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在计算调整差额时无现行价格指数的，合同当事人同意暂用前次价格指数计算。实际价格指数有调整的，合同当事人进行相应调整。</w:t>
      </w:r>
    </w:p>
    <w:p w14:paraId="3F410909">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（3）权重的调整</w:t>
      </w:r>
    </w:p>
    <w:p w14:paraId="3431498D">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因变更导致合同约定的权重不合理时，按照第4.4款〔商定或确定〕执行。</w:t>
      </w:r>
    </w:p>
    <w:p w14:paraId="2165278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（4）因承包人原因工期延误后的价格调整</w:t>
      </w:r>
    </w:p>
    <w:p w14:paraId="4AB71414">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E107480">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第2种方式：采用造价信息进行价格调整。</w:t>
      </w:r>
    </w:p>
    <w:p w14:paraId="0309836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83A597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E36761D">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（2）材料、工程设备价格变化的价款调整按照发包人提供的基准价格，按以下风险范围规定执行:</w:t>
      </w:r>
    </w:p>
    <w:p w14:paraId="2C5D504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D0AC8D7">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3A6A7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92D3E8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9E1F50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AF6094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（3）施工机械台班单价或施工机械使用费发生变化超过省级或行业建设主管部门或其授权的工程造价管理机构规定的范围时，按规定调整合同价格。</w:t>
      </w:r>
    </w:p>
    <w:p w14:paraId="414AE6A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第3种方式：专用合同条款约定的其他方式。</w:t>
      </w:r>
    </w:p>
    <w:p w14:paraId="165CF0E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66" w:name="_Toc351203579"/>
      <w:bookmarkStart w:id="367" w:name="_Toc337558798"/>
      <w:bookmarkStart w:id="368" w:name="_Toc296503093"/>
      <w:bookmarkStart w:id="369" w:name="_Toc296346594"/>
      <w:r>
        <w:rPr>
          <w:rFonts w:hint="eastAsia" w:ascii="宋体" w:hAnsi="宋体" w:eastAsia="宋体" w:cs="宋体"/>
          <w:b w:val="0"/>
          <w:color w:val="auto"/>
          <w:spacing w:val="0"/>
          <w:position w:val="0"/>
          <w:sz w:val="24"/>
          <w:szCs w:val="24"/>
          <w:highlight w:val="none"/>
        </w:rPr>
        <w:t>11.2法律变化引起的调整</w:t>
      </w:r>
      <w:bookmarkEnd w:id="366"/>
    </w:p>
    <w:bookmarkEnd w:id="367"/>
    <w:bookmarkEnd w:id="368"/>
    <w:bookmarkEnd w:id="369"/>
    <w:p w14:paraId="13A4EB75">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2629BAB">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因法律变化引起的合同价格和工期调整，合同当事人无法达成一致的，由总监理工程师按第4.4款〔商定或确定〕的约定处理。</w:t>
      </w:r>
    </w:p>
    <w:p w14:paraId="7C99094B">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因承包人原因造成工期延误，在工期延误期间出现法律变化的，由此增加的费用和（或）延误的工期由承包人承担。</w:t>
      </w:r>
    </w:p>
    <w:p w14:paraId="77F1B92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70" w:name="_Toc351203580"/>
      <w:bookmarkStart w:id="371" w:name="_Toc337558799"/>
      <w:bookmarkStart w:id="372" w:name="_Toc296503096"/>
      <w:bookmarkStart w:id="373" w:name="_Toc296346597"/>
      <w:r>
        <w:rPr>
          <w:rFonts w:hint="eastAsia" w:ascii="宋体" w:hAnsi="宋体" w:eastAsia="宋体" w:cs="宋体"/>
          <w:b w:val="0"/>
          <w:color w:val="auto"/>
          <w:spacing w:val="0"/>
          <w:position w:val="0"/>
          <w:sz w:val="24"/>
          <w:szCs w:val="24"/>
          <w:highlight w:val="none"/>
        </w:rPr>
        <w:t>12. 合同价格、计量与支付</w:t>
      </w:r>
      <w:bookmarkEnd w:id="370"/>
    </w:p>
    <w:bookmarkEnd w:id="371"/>
    <w:p w14:paraId="2DEA4B0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74" w:name="_Toc351203581"/>
      <w:bookmarkStart w:id="375" w:name="_Toc337558800"/>
      <w:r>
        <w:rPr>
          <w:rFonts w:hint="eastAsia" w:ascii="宋体" w:hAnsi="宋体" w:eastAsia="宋体" w:cs="宋体"/>
          <w:b w:val="0"/>
          <w:color w:val="auto"/>
          <w:spacing w:val="0"/>
          <w:position w:val="0"/>
          <w:sz w:val="24"/>
          <w:szCs w:val="24"/>
          <w:highlight w:val="none"/>
        </w:rPr>
        <w:t>12.1 合同价</w:t>
      </w:r>
      <w:bookmarkEnd w:id="372"/>
      <w:bookmarkEnd w:id="373"/>
      <w:r>
        <w:rPr>
          <w:rFonts w:hint="eastAsia" w:ascii="宋体" w:hAnsi="宋体" w:eastAsia="宋体" w:cs="宋体"/>
          <w:b w:val="0"/>
          <w:color w:val="auto"/>
          <w:spacing w:val="0"/>
          <w:position w:val="0"/>
          <w:sz w:val="24"/>
          <w:szCs w:val="24"/>
          <w:highlight w:val="none"/>
        </w:rPr>
        <w:t>格形式</w:t>
      </w:r>
      <w:bookmarkEnd w:id="374"/>
    </w:p>
    <w:bookmarkEnd w:id="375"/>
    <w:p w14:paraId="3ECF393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发包人和承包人应在合同协议书中选择下列一种合同价格形式： </w:t>
      </w:r>
    </w:p>
    <w:p w14:paraId="4CEC03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1、单价合同</w:t>
      </w:r>
    </w:p>
    <w:p w14:paraId="2BC01CA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pacing w:val="0"/>
          <w:position w:val="0"/>
          <w:sz w:val="24"/>
          <w:highlight w:val="none"/>
        </w:rPr>
        <w:t>在约定的范围内合同单价不作调整</w:t>
      </w:r>
      <w:r>
        <w:rPr>
          <w:rFonts w:hint="eastAsia" w:ascii="宋体" w:hAnsi="宋体" w:eastAsia="宋体" w:cs="宋体"/>
          <w:color w:val="auto"/>
          <w:spacing w:val="0"/>
          <w:kern w:val="0"/>
          <w:position w:val="0"/>
          <w:sz w:val="24"/>
          <w:highlight w:val="none"/>
        </w:rPr>
        <w:t>。合同当事人应在专用合同条款中约定综合单价包含的风险范围和风险费用的计算方法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kern w:val="0"/>
          <w:position w:val="0"/>
          <w:sz w:val="24"/>
          <w:highlight w:val="none"/>
        </w:rPr>
        <w:t>并约定风险范围以外的合同价格的调整方法，其中因市场价格波动引起的调整按第11.1款〔市场价格波动引起的调整〕约定执行。</w:t>
      </w:r>
    </w:p>
    <w:p w14:paraId="125C59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w:t>
      </w:r>
    </w:p>
    <w:p w14:paraId="2D121F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pacing w:val="0"/>
          <w:position w:val="0"/>
          <w:sz w:val="24"/>
          <w:highlight w:val="none"/>
        </w:rPr>
        <w:t>在约定的范围内合同总价不作调整</w:t>
      </w:r>
      <w:r>
        <w:rPr>
          <w:rFonts w:hint="eastAsia" w:ascii="宋体" w:hAnsi="宋体" w:eastAsia="宋体" w:cs="宋体"/>
          <w:color w:val="auto"/>
          <w:spacing w:val="0"/>
          <w:kern w:val="0"/>
          <w:positio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DDFC9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3、其它价格形式</w:t>
      </w:r>
    </w:p>
    <w:p w14:paraId="0BED86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合同当事人可在专用合同条款中约定其他合同价格形式。</w:t>
      </w:r>
    </w:p>
    <w:p w14:paraId="2C667CB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76" w:name="_Toc296346598"/>
      <w:bookmarkStart w:id="377" w:name="_Toc296503097"/>
      <w:bookmarkStart w:id="378" w:name="_Toc351203582"/>
      <w:bookmarkStart w:id="379" w:name="_Toc337558801"/>
      <w:r>
        <w:rPr>
          <w:rFonts w:hint="eastAsia" w:ascii="宋体" w:hAnsi="宋体" w:eastAsia="宋体" w:cs="宋体"/>
          <w:b w:val="0"/>
          <w:color w:val="auto"/>
          <w:spacing w:val="0"/>
          <w:position w:val="0"/>
          <w:sz w:val="24"/>
          <w:szCs w:val="24"/>
          <w:highlight w:val="none"/>
        </w:rPr>
        <w:t>12.2预</w:t>
      </w:r>
      <w:bookmarkEnd w:id="376"/>
      <w:bookmarkEnd w:id="377"/>
      <w:bookmarkStart w:id="380" w:name="_Toc296346601"/>
      <w:bookmarkStart w:id="381" w:name="_Toc296503100"/>
      <w:r>
        <w:rPr>
          <w:rFonts w:hint="eastAsia" w:ascii="宋体" w:hAnsi="宋体" w:eastAsia="宋体" w:cs="宋体"/>
          <w:b w:val="0"/>
          <w:color w:val="auto"/>
          <w:spacing w:val="0"/>
          <w:position w:val="0"/>
          <w:sz w:val="24"/>
          <w:szCs w:val="24"/>
          <w:highlight w:val="none"/>
        </w:rPr>
        <w:t>付款</w:t>
      </w:r>
      <w:bookmarkEnd w:id="378"/>
    </w:p>
    <w:bookmarkEnd w:id="379"/>
    <w:bookmarkEnd w:id="380"/>
    <w:bookmarkEnd w:id="381"/>
    <w:p w14:paraId="30ABDCA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12.2.</w:t>
      </w:r>
      <w:r>
        <w:rPr>
          <w:rFonts w:hint="eastAsia" w:ascii="宋体" w:hAnsi="宋体" w:eastAsia="宋体" w:cs="宋体"/>
          <w:color w:val="auto"/>
          <w:spacing w:val="0"/>
          <w:kern w:val="0"/>
          <w:position w:val="0"/>
          <w:sz w:val="24"/>
          <w:highlight w:val="none"/>
        </w:rPr>
        <w:t>1预付款的支付</w:t>
      </w:r>
    </w:p>
    <w:p w14:paraId="4E08384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6B2922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除专用合同条款另有约定外，预付款在进度付款中同比例扣回。在颁发工程接收证书前，提前解除合同的，尚未扣完的预付款应与合同价款一并结算。</w:t>
      </w:r>
    </w:p>
    <w:p w14:paraId="0071CF0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78CE42F9">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12.2.2 预付款担保</w:t>
      </w:r>
    </w:p>
    <w:p w14:paraId="0DC788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761AA1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发包人在工程款中逐期扣回预付款后，预付款担保额度应相应减少，但剩余的预付款担保金额不得低于未被扣回的预付款金额。</w:t>
      </w:r>
    </w:p>
    <w:p w14:paraId="44F718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2" w:name="_Toc351203583"/>
      <w:bookmarkStart w:id="383" w:name="_Toc337558802"/>
      <w:r>
        <w:rPr>
          <w:rFonts w:hint="eastAsia" w:ascii="宋体" w:hAnsi="宋体" w:eastAsia="宋体" w:cs="宋体"/>
          <w:b w:val="0"/>
          <w:color w:val="auto"/>
          <w:spacing w:val="0"/>
          <w:position w:val="0"/>
          <w:sz w:val="24"/>
          <w:szCs w:val="24"/>
          <w:highlight w:val="none"/>
        </w:rPr>
        <w:t>12.3计量</w:t>
      </w:r>
      <w:bookmarkEnd w:id="382"/>
    </w:p>
    <w:bookmarkEnd w:id="383"/>
    <w:p w14:paraId="389CA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12.3.1 计量原则</w:t>
      </w:r>
    </w:p>
    <w:p w14:paraId="2878B3F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56258DB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12.3.2 计量周期</w:t>
      </w:r>
    </w:p>
    <w:p w14:paraId="10C64C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除专用合同条款另有约定外，工程量的计量按月进行。</w:t>
      </w:r>
    </w:p>
    <w:p w14:paraId="2B90B4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12.3.3 单价合同的计量</w:t>
      </w:r>
    </w:p>
    <w:p w14:paraId="1B07276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除专用合同条款另有约定外，单价合同的计量按照本项约定执行：</w:t>
      </w:r>
    </w:p>
    <w:p w14:paraId="370AC5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（1）承包人应于每月25日向监理人报送上月20日至当月19日已完成的工程量报告，并附具进度付款申请单、已完成工程量报表和有关资料。</w:t>
      </w:r>
    </w:p>
    <w:p w14:paraId="0F31DBF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F31B4E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（3）监理人未在收到承包人提交的工程量报表后的7天内完成审核的，承包人报送的工程量报告中的工程量视为承包人实际完成的工程量，据此计算工程价款。</w:t>
      </w:r>
    </w:p>
    <w:p w14:paraId="71CBB54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12.3.4 总价合同的计量</w:t>
      </w:r>
    </w:p>
    <w:p w14:paraId="5EE5FE2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除专用合同条款另有约定外，按月计量支付的总价合同，按照本项约定执行：</w:t>
      </w:r>
    </w:p>
    <w:p w14:paraId="370C115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（1）承包人应于每月25日向监理人报送上月20日至当月19日已完成的工程量报告，并附具进度付款申请单、已完成工程量报表和有关资料。</w:t>
      </w:r>
    </w:p>
    <w:p w14:paraId="14D6E9F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EA83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（3）监理人未在收到承包人提交的工程量报表后的7天内完成复核的，承包人提交的工程量报告中的工程量视为承包人实际完成的工程量。</w:t>
      </w:r>
    </w:p>
    <w:p w14:paraId="33AECA4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12.3.5 总价合同采用支付分解表计量支付的，可以按照第12.3.4项〔总价合同的计量〕约定进行计量，但合同价款按照支付分解表进行支付。</w:t>
      </w:r>
    </w:p>
    <w:p w14:paraId="0402F21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12.3.6 其他价格形式合同的计量</w:t>
      </w:r>
    </w:p>
    <w:p w14:paraId="1A3FFBF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合同当事人可在专用合同条款中约定其他价格形式合同的计量方式和程序。</w:t>
      </w:r>
    </w:p>
    <w:p w14:paraId="572976C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4" w:name="_Toc296503101"/>
      <w:bookmarkStart w:id="385" w:name="_Toc296346602"/>
      <w:bookmarkStart w:id="386" w:name="_Toc351203584"/>
      <w:bookmarkStart w:id="387" w:name="_Toc337558803"/>
      <w:r>
        <w:rPr>
          <w:rFonts w:hint="eastAsia" w:ascii="宋体" w:hAnsi="宋体" w:eastAsia="宋体" w:cs="宋体"/>
          <w:b w:val="0"/>
          <w:color w:val="auto"/>
          <w:spacing w:val="0"/>
          <w:position w:val="0"/>
          <w:sz w:val="24"/>
          <w:szCs w:val="24"/>
          <w:highlight w:val="none"/>
        </w:rPr>
        <w:t>12.4工程进度款支</w:t>
      </w:r>
      <w:bookmarkEnd w:id="384"/>
      <w:bookmarkEnd w:id="385"/>
      <w:r>
        <w:rPr>
          <w:rFonts w:hint="eastAsia" w:ascii="宋体" w:hAnsi="宋体" w:eastAsia="宋体" w:cs="宋体"/>
          <w:b w:val="0"/>
          <w:color w:val="auto"/>
          <w:spacing w:val="0"/>
          <w:position w:val="0"/>
          <w:sz w:val="24"/>
          <w:szCs w:val="24"/>
          <w:highlight w:val="none"/>
        </w:rPr>
        <w:t>付</w:t>
      </w:r>
      <w:bookmarkEnd w:id="386"/>
    </w:p>
    <w:bookmarkEnd w:id="387"/>
    <w:p w14:paraId="34442A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.1 付款周期</w:t>
      </w:r>
    </w:p>
    <w:p w14:paraId="7FF6348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除专用合同条款另有约定外，付款周期应按照第12.3.2项〔计量周期〕的约定与计量周期保持一致。</w:t>
      </w:r>
    </w:p>
    <w:p w14:paraId="412624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.2 进度付款申请单的编制</w:t>
      </w:r>
    </w:p>
    <w:p w14:paraId="29F1E07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除专用合同条款另有约定外，进度付款申请单应包括下列内容：</w:t>
      </w:r>
    </w:p>
    <w:p w14:paraId="631226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（1）截至本次付款周期已完成工作对应的金额；</w:t>
      </w:r>
    </w:p>
    <w:p w14:paraId="1B53BE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（2）根据第10条〔变更〕应增加和扣减的变更金额；</w:t>
      </w:r>
    </w:p>
    <w:p w14:paraId="7BC83E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（3）根据第12.2款〔预付款〕约定应支付的预付款和扣减的返还预付款；</w:t>
      </w:r>
    </w:p>
    <w:p w14:paraId="1B048D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（4）根据第15.3款〔质量保证金〕约定应扣减的质量保证金；</w:t>
      </w:r>
    </w:p>
    <w:p w14:paraId="08928B9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（5）根据第19条〔索赔〕应增加和扣减的索赔金额；</w:t>
      </w:r>
    </w:p>
    <w:p w14:paraId="4E606F5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（6）对已签发的进度款支付证书中出现错误的修正，应在本次进度付款中支付或扣除的金额；</w:t>
      </w:r>
    </w:p>
    <w:p w14:paraId="74C0F4A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（7）根据合同约定应增加和扣减的其他金额。</w:t>
      </w:r>
    </w:p>
    <w:p w14:paraId="62DE59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12.4.3 进度付款申请单的提交</w:t>
      </w:r>
    </w:p>
    <w:p w14:paraId="408FCD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（1）单价合同进度付款申请单的提交</w:t>
      </w:r>
    </w:p>
    <w:p w14:paraId="1B549D1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81229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（2）总价合同进度付款申请单的提交</w:t>
      </w:r>
    </w:p>
    <w:p w14:paraId="112E68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总价合同按月计量支付的，承包人按照第12.3.4项〔总价合同的计量〕约定的时间按月向监理人提交进度付款申请单，并附上已完成工程量报表和有关资料。</w:t>
      </w:r>
    </w:p>
    <w:p w14:paraId="36FCB42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总价合同按支付分解表支付的，承包人应按照第12.4.6项〔支付分解表〕及第12.4.2项〔进度付款申请单的编制〕的约定向监理人提交进度付款申请单。</w:t>
      </w:r>
    </w:p>
    <w:p w14:paraId="2D9024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（3）其他价格形式合同的进度付款申请单的提交</w:t>
      </w:r>
    </w:p>
    <w:p w14:paraId="6881365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合同当事人可在专用合同条款中约定其他价格形式合同的进度付款申请单的编制和提交程序。</w:t>
      </w:r>
    </w:p>
    <w:p w14:paraId="621BBB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.4 进度款审核和支付</w:t>
      </w:r>
    </w:p>
    <w:p w14:paraId="6E800CD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77B1DB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06C10E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BBE25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（3）发包人签发进度款支付证书或临时进度款支付证书，不表明发包人已同意、批准或接受了承包人完成的相应部分的工作。</w:t>
      </w:r>
    </w:p>
    <w:p w14:paraId="4E79D22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12.4.5 进度付款的修正</w:t>
      </w:r>
    </w:p>
    <w:p w14:paraId="48E0E22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A188D0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12.4.6 支付分解表</w:t>
      </w:r>
    </w:p>
    <w:p w14:paraId="7C3759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1、支付分解表的编制要求</w:t>
      </w:r>
    </w:p>
    <w:p w14:paraId="53BF7B4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（1）支付分解表中所列的每期付款金额，应为第12.4.2项〔进度付款申请单的编制〕第（1）目的估算金额；</w:t>
      </w:r>
    </w:p>
    <w:p w14:paraId="39751DE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（2）实际进度与施工进度计划不一致的，合同当事人可按照第4.4款〔商定或确定〕修改支付分解表；</w:t>
      </w:r>
    </w:p>
    <w:p w14:paraId="5A9899F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（3）不采用支付分解表的，承包人应向发包人和监理人提交按季度编制的支付估算分解表，用于支付参考。</w:t>
      </w:r>
    </w:p>
    <w:p w14:paraId="483BAA0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2、总价合同支付分解表的编制与审批</w:t>
      </w:r>
    </w:p>
    <w:p w14:paraId="7DEF27F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25D3E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9E35BD3">
      <w:pPr>
        <w:shd w:val="clear"/>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（3）发包人逾期未完成支付分解表审批的，也未及时要求承包人进行修正和提供补充资料的，则承包人提交的支付分解表视为已经获得发包人批准。</w:t>
      </w:r>
    </w:p>
    <w:p w14:paraId="4487F46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3、单价合同的总价项目支付分解表的编制与审批</w:t>
      </w:r>
    </w:p>
    <w:p w14:paraId="4D771A4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831B6B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8" w:name="_Toc351203585"/>
      <w:r>
        <w:rPr>
          <w:rFonts w:hint="eastAsia" w:ascii="宋体" w:hAnsi="宋体" w:eastAsia="宋体" w:cs="宋体"/>
          <w:b w:val="0"/>
          <w:color w:val="auto"/>
          <w:spacing w:val="0"/>
          <w:position w:val="0"/>
          <w:sz w:val="24"/>
          <w:szCs w:val="24"/>
          <w:highlight w:val="none"/>
        </w:rPr>
        <w:t>12.5支付账户</w:t>
      </w:r>
      <w:bookmarkEnd w:id="388"/>
    </w:p>
    <w:p w14:paraId="6F0A5DA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发包人应将合同价款支付至合同协议书中约定的承包人账户。</w:t>
      </w:r>
    </w:p>
    <w:p w14:paraId="4E08546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89" w:name="_Toc351203586"/>
      <w:bookmarkStart w:id="390" w:name="_Toc322522574"/>
      <w:bookmarkStart w:id="391" w:name="_Toc337558804"/>
      <w:bookmarkStart w:id="392" w:name="_Toc296346607"/>
      <w:bookmarkStart w:id="393" w:name="_Toc296503106"/>
      <w:r>
        <w:rPr>
          <w:rFonts w:hint="eastAsia" w:ascii="宋体" w:hAnsi="宋体" w:eastAsia="宋体" w:cs="宋体"/>
          <w:b w:val="0"/>
          <w:color w:val="auto"/>
          <w:spacing w:val="0"/>
          <w:position w:val="0"/>
          <w:sz w:val="24"/>
          <w:szCs w:val="24"/>
          <w:highlight w:val="none"/>
        </w:rPr>
        <w:t>13. 验收和工程试车</w:t>
      </w:r>
      <w:bookmarkEnd w:id="389"/>
    </w:p>
    <w:bookmarkEnd w:id="390"/>
    <w:bookmarkEnd w:id="391"/>
    <w:bookmarkEnd w:id="392"/>
    <w:bookmarkEnd w:id="393"/>
    <w:p w14:paraId="5468FFE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94" w:name="_Toc351203587"/>
      <w:bookmarkStart w:id="395" w:name="_Toc337558805"/>
      <w:bookmarkStart w:id="396" w:name="_Toc296503110"/>
      <w:bookmarkStart w:id="397" w:name="_Toc296346611"/>
      <w:r>
        <w:rPr>
          <w:rFonts w:hint="eastAsia" w:ascii="宋体" w:hAnsi="宋体" w:eastAsia="宋体" w:cs="宋体"/>
          <w:b w:val="0"/>
          <w:color w:val="auto"/>
          <w:spacing w:val="0"/>
          <w:position w:val="0"/>
          <w:sz w:val="24"/>
          <w:szCs w:val="24"/>
          <w:highlight w:val="none"/>
        </w:rPr>
        <w:t>13.1分部分项工程验收</w:t>
      </w:r>
      <w:bookmarkEnd w:id="394"/>
    </w:p>
    <w:bookmarkEnd w:id="395"/>
    <w:p w14:paraId="15B9D10A">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13.1.1 分部分项工程质量应符合国家有关工程施工验收规范、标准及合同约定，承包人应按照施工组织设计的要求完成分部分项工程施工。</w:t>
      </w:r>
    </w:p>
    <w:p w14:paraId="6C869E3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spacing w:val="0"/>
          <w:kern w:val="0"/>
          <w:positio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pacing w:val="0"/>
          <w:position w:val="0"/>
          <w:sz w:val="24"/>
          <w:highlight w:val="none"/>
        </w:rPr>
        <w:t>分部分项工程未经验收的，不得进入下一道工序施工。</w:t>
      </w:r>
    </w:p>
    <w:p w14:paraId="5BA466B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分部分项工程的验收资料应当作为竣工资料的组成部分。</w:t>
      </w:r>
    </w:p>
    <w:p w14:paraId="36746EE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98" w:name="_Toc351203588"/>
      <w:bookmarkStart w:id="399" w:name="_Toc337558806"/>
      <w:r>
        <w:rPr>
          <w:rFonts w:hint="eastAsia" w:ascii="宋体" w:hAnsi="宋体" w:eastAsia="宋体" w:cs="宋体"/>
          <w:b w:val="0"/>
          <w:color w:val="auto"/>
          <w:spacing w:val="0"/>
          <w:position w:val="0"/>
          <w:sz w:val="24"/>
          <w:szCs w:val="24"/>
          <w:highlight w:val="none"/>
        </w:rPr>
        <w:t>13.2竣工验收</w:t>
      </w:r>
      <w:bookmarkEnd w:id="398"/>
    </w:p>
    <w:bookmarkEnd w:id="396"/>
    <w:bookmarkEnd w:id="397"/>
    <w:bookmarkEnd w:id="399"/>
    <w:p w14:paraId="1385A1B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13.2.1竣工验收条件</w:t>
      </w:r>
    </w:p>
    <w:p w14:paraId="3C0D63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工程具备以下条件的，承包人可以申请竣工验收：</w:t>
      </w:r>
    </w:p>
    <w:p w14:paraId="37FA0B5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（1）除发包人同意的甩项工作和缺陷修补工作外，合同范围内的全部工程以及有关工作，包括合同要求的试验、试运行以及检验均已完成，并符合合同要求；</w:t>
      </w:r>
    </w:p>
    <w:p w14:paraId="320AE97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（2）已按合同约定编制了甩项工作和缺陷修补工作清单以及相应的施工计划；</w:t>
      </w:r>
    </w:p>
    <w:p w14:paraId="34DF750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（3）已按合同约定的内容和份数备齐竣工资料。</w:t>
      </w:r>
    </w:p>
    <w:p w14:paraId="39DED52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13.2.2竣工验收程序</w:t>
      </w:r>
    </w:p>
    <w:p w14:paraId="56B7B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除专用合同条款另有约定外，承包人申请竣工验收的，应当按照以下程序进行：</w:t>
      </w:r>
    </w:p>
    <w:p w14:paraId="361C02C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5D163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051A8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6252B8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852E34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7195C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C26196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13.2.3竣工日期</w:t>
      </w:r>
    </w:p>
    <w:p w14:paraId="582655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0" w:name="#go14"/>
      <w:bookmarkEnd w:id="400"/>
      <w:r>
        <w:rPr>
          <w:rFonts w:hint="eastAsia" w:ascii="宋体" w:hAnsi="宋体" w:eastAsia="宋体" w:cs="宋体"/>
          <w:color w:val="auto"/>
          <w:spacing w:val="0"/>
          <w:kern w:val="0"/>
          <w:position w:val="0"/>
          <w:sz w:val="24"/>
          <w:highlight w:val="none"/>
        </w:rPr>
        <w:t>收申请报告的日期为实际竣工日期；工程未经竣工验收，发包人擅自使用的，以转移占有工程之日为实际竣工日期。</w:t>
      </w:r>
    </w:p>
    <w:p w14:paraId="1B596E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13.2.4 拒绝接收全部或部分工程</w:t>
      </w:r>
    </w:p>
    <w:p w14:paraId="73B955F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1ECFD5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13.2.5 移交、接收全部与部分工程</w:t>
      </w:r>
    </w:p>
    <w:p w14:paraId="786E04E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除专用合同条款另有约定外，合同当事人应当在颁发工程接收证书后7天内完成工程的移交。</w:t>
      </w:r>
    </w:p>
    <w:p w14:paraId="12381D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738BAF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BC59D5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1" w:name="_Toc351203589"/>
      <w:bookmarkStart w:id="402" w:name="_Toc296346612"/>
      <w:bookmarkStart w:id="403" w:name="_Toc296503111"/>
      <w:bookmarkStart w:id="404" w:name="_Toc337558807"/>
      <w:r>
        <w:rPr>
          <w:rFonts w:hint="eastAsia" w:ascii="宋体" w:hAnsi="宋体" w:eastAsia="宋体" w:cs="宋体"/>
          <w:b w:val="0"/>
          <w:color w:val="auto"/>
          <w:spacing w:val="0"/>
          <w:position w:val="0"/>
          <w:sz w:val="24"/>
          <w:szCs w:val="24"/>
          <w:highlight w:val="none"/>
        </w:rPr>
        <w:t>13.3工程试车</w:t>
      </w:r>
      <w:bookmarkEnd w:id="401"/>
    </w:p>
    <w:bookmarkEnd w:id="402"/>
    <w:bookmarkEnd w:id="403"/>
    <w:bookmarkEnd w:id="404"/>
    <w:p w14:paraId="312F95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13.3.1试车程序</w:t>
      </w:r>
    </w:p>
    <w:p w14:paraId="7A71292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工程需要试车的，除专用合同条款另有约定外，试车内容应与承包人承包范围相一致，试车费用由承包人承担。工程试车应按如下程序进行：</w:t>
      </w:r>
    </w:p>
    <w:p w14:paraId="02ADC32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F99A63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245172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4EF3AA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13.3.2 试车中的责任</w:t>
      </w:r>
    </w:p>
    <w:p w14:paraId="549632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64BDD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BA70F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13.3.3 投料试车</w:t>
      </w:r>
    </w:p>
    <w:p w14:paraId="643B2D9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0E22E3E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B2C4FB9">
      <w:pPr>
        <w:pStyle w:val="6"/>
        <w:shd w:val="clear"/>
        <w:spacing w:before="120" w:after="120" w:line="312" w:lineRule="auto"/>
        <w:rPr>
          <w:rFonts w:ascii="宋体" w:hAnsi="宋体" w:eastAsia="宋体" w:cs="宋体"/>
          <w:b w:val="0"/>
          <w:color w:val="auto"/>
          <w:spacing w:val="0"/>
          <w:position w:val="0"/>
          <w:sz w:val="24"/>
          <w:szCs w:val="24"/>
          <w:highlight w:val="none"/>
        </w:rPr>
      </w:pPr>
      <w:bookmarkStart w:id="405" w:name="_Toc337558808"/>
      <w:r>
        <w:rPr>
          <w:rFonts w:hint="eastAsia" w:ascii="宋体" w:hAnsi="宋体" w:eastAsia="宋体" w:cs="宋体"/>
          <w:b w:val="0"/>
          <w:color w:val="auto"/>
          <w:spacing w:val="0"/>
          <w:position w:val="0"/>
          <w:sz w:val="24"/>
          <w:szCs w:val="24"/>
          <w:highlight w:val="none"/>
        </w:rPr>
        <w:t xml:space="preserve">    </w:t>
      </w:r>
      <w:bookmarkStart w:id="406" w:name="_Toc351203590"/>
      <w:r>
        <w:rPr>
          <w:rFonts w:hint="eastAsia" w:ascii="宋体" w:hAnsi="宋体" w:eastAsia="宋体" w:cs="宋体"/>
          <w:b w:val="0"/>
          <w:color w:val="auto"/>
          <w:spacing w:val="0"/>
          <w:position w:val="0"/>
          <w:sz w:val="24"/>
          <w:szCs w:val="24"/>
          <w:highlight w:val="none"/>
        </w:rPr>
        <w:t>13.4提前交付单位工程的验收</w:t>
      </w:r>
      <w:bookmarkEnd w:id="406"/>
    </w:p>
    <w:bookmarkEnd w:id="405"/>
    <w:p w14:paraId="405828B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35337F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108010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13.4.2 发包人要求在工程竣工前交付单位工程，由此导致承包人费用增加和（或）工期延误的，由发包人承担由此增加的费用和（或）延误的工期，并支付承包人合理的利润。</w:t>
      </w:r>
    </w:p>
    <w:p w14:paraId="025E94B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7" w:name="_Toc351203591"/>
      <w:r>
        <w:rPr>
          <w:rFonts w:hint="eastAsia" w:ascii="宋体" w:hAnsi="宋体" w:eastAsia="宋体" w:cs="宋体"/>
          <w:b w:val="0"/>
          <w:color w:val="auto"/>
          <w:spacing w:val="0"/>
          <w:position w:val="0"/>
          <w:sz w:val="24"/>
          <w:szCs w:val="24"/>
          <w:highlight w:val="none"/>
        </w:rPr>
        <w:t>13.5 施工期运行</w:t>
      </w:r>
      <w:bookmarkEnd w:id="407"/>
    </w:p>
    <w:p w14:paraId="08405BF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F39B16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13.5.2 在施工期运行中发现工程或工程设备损坏或存在缺陷的，由承包人按第15.2款〔缺陷责任期〕约定进行修复。</w:t>
      </w:r>
    </w:p>
    <w:p w14:paraId="7947372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8" w:name="_Toc296346613"/>
      <w:bookmarkStart w:id="409" w:name="_Toc296503112"/>
      <w:bookmarkStart w:id="410" w:name="_Toc351203592"/>
      <w:bookmarkStart w:id="411" w:name="_Toc337558809"/>
      <w:r>
        <w:rPr>
          <w:rFonts w:hint="eastAsia" w:ascii="宋体" w:hAnsi="宋体" w:eastAsia="宋体" w:cs="宋体"/>
          <w:b w:val="0"/>
          <w:color w:val="auto"/>
          <w:spacing w:val="0"/>
          <w:position w:val="0"/>
          <w:sz w:val="24"/>
          <w:szCs w:val="24"/>
          <w:highlight w:val="none"/>
        </w:rPr>
        <w:t>13.6 竣工退</w:t>
      </w:r>
      <w:bookmarkEnd w:id="408"/>
      <w:bookmarkEnd w:id="409"/>
      <w:r>
        <w:rPr>
          <w:rFonts w:hint="eastAsia" w:ascii="宋体" w:hAnsi="宋体" w:eastAsia="宋体" w:cs="宋体"/>
          <w:b w:val="0"/>
          <w:color w:val="auto"/>
          <w:spacing w:val="0"/>
          <w:position w:val="0"/>
          <w:sz w:val="24"/>
          <w:szCs w:val="24"/>
          <w:highlight w:val="none"/>
        </w:rPr>
        <w:t>场</w:t>
      </w:r>
      <w:bookmarkEnd w:id="410"/>
    </w:p>
    <w:bookmarkEnd w:id="411"/>
    <w:p w14:paraId="4493677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13.6.1 竣工退场</w:t>
      </w:r>
    </w:p>
    <w:p w14:paraId="37802B3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颁发工程接收证书后，承包人应按以下要求对施工现场进行清理：</w:t>
      </w:r>
    </w:p>
    <w:p w14:paraId="6823C26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（1）施工现场内残留的垃圾已全部清除出场；</w:t>
      </w:r>
    </w:p>
    <w:p w14:paraId="0C7D691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（2）临时工程已拆除，场地已进行清理、平整或复原；</w:t>
      </w:r>
    </w:p>
    <w:p w14:paraId="111F394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（3）按合同约定应撤离的人员、承包人施工设备和剩余的材料，包括废弃的施工设备和材料，已按计划撤离施工现场；</w:t>
      </w:r>
    </w:p>
    <w:p w14:paraId="14119A1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（4）施工现场周边及其附近道路、河道的施工堆积物，已全部清理；</w:t>
      </w:r>
    </w:p>
    <w:p w14:paraId="290DC21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（5）施工现场其他场地清理工作已全部完成。</w:t>
      </w:r>
    </w:p>
    <w:p w14:paraId="0CDD7DF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A75F1F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13.6.2 地表还原</w:t>
      </w:r>
    </w:p>
    <w:p w14:paraId="077B5B2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CB916FC">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12" w:name="_Toc351203593"/>
      <w:bookmarkStart w:id="413" w:name="_Toc337558810"/>
      <w:bookmarkStart w:id="414" w:name="_Toc296503113"/>
      <w:bookmarkStart w:id="415" w:name="_Toc296346614"/>
      <w:r>
        <w:rPr>
          <w:rFonts w:hint="eastAsia" w:ascii="宋体" w:hAnsi="宋体" w:eastAsia="宋体" w:cs="宋体"/>
          <w:b w:val="0"/>
          <w:color w:val="auto"/>
          <w:spacing w:val="0"/>
          <w:position w:val="0"/>
          <w:sz w:val="24"/>
          <w:szCs w:val="24"/>
          <w:highlight w:val="none"/>
        </w:rPr>
        <w:t>14. 竣工结算</w:t>
      </w:r>
      <w:bookmarkEnd w:id="412"/>
    </w:p>
    <w:bookmarkEnd w:id="413"/>
    <w:p w14:paraId="08C60E2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16" w:name="_Toc351203594"/>
      <w:bookmarkStart w:id="417" w:name="_Toc337558811"/>
      <w:r>
        <w:rPr>
          <w:rFonts w:hint="eastAsia" w:ascii="宋体" w:hAnsi="宋体" w:eastAsia="宋体" w:cs="宋体"/>
          <w:b w:val="0"/>
          <w:color w:val="auto"/>
          <w:spacing w:val="0"/>
          <w:position w:val="0"/>
          <w:sz w:val="24"/>
          <w:szCs w:val="24"/>
          <w:highlight w:val="none"/>
        </w:rPr>
        <w:t>14.1 竣工结算申请</w:t>
      </w:r>
      <w:bookmarkEnd w:id="416"/>
    </w:p>
    <w:bookmarkEnd w:id="417"/>
    <w:p w14:paraId="41F2A2F3">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除专用合同条款另有约定外，</w:t>
      </w:r>
      <w:r>
        <w:rPr>
          <w:rFonts w:hint="eastAsia" w:ascii="宋体" w:hAnsi="宋体" w:eastAsia="宋体" w:cs="宋体"/>
          <w:color w:val="auto"/>
          <w:spacing w:val="0"/>
          <w:position w:val="0"/>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0C56D4C1">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除专用合同条款另有约定外，竣工结算申请单应包括以下内容：</w:t>
      </w:r>
    </w:p>
    <w:p w14:paraId="29DB08ED">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（1）竣工结算合同价格；</w:t>
      </w:r>
    </w:p>
    <w:p w14:paraId="4C0F468E">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（2）发包人已支付承包人的款项；</w:t>
      </w:r>
    </w:p>
    <w:p w14:paraId="3A2FA3EB">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（3）应扣留的质量保证金； </w:t>
      </w:r>
    </w:p>
    <w:p w14:paraId="719FE3A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（4）发包人应支付承包人的合同价款。</w:t>
      </w:r>
    </w:p>
    <w:p w14:paraId="4588628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18" w:name="_Toc351203595"/>
      <w:bookmarkStart w:id="419" w:name="_Toc337558812"/>
      <w:r>
        <w:rPr>
          <w:rFonts w:hint="eastAsia" w:ascii="宋体" w:hAnsi="宋体" w:eastAsia="宋体" w:cs="宋体"/>
          <w:b w:val="0"/>
          <w:color w:val="auto"/>
          <w:spacing w:val="0"/>
          <w:position w:val="0"/>
          <w:sz w:val="24"/>
          <w:szCs w:val="24"/>
          <w:highlight w:val="none"/>
        </w:rPr>
        <w:t>14.2 竣工结算审核</w:t>
      </w:r>
      <w:bookmarkEnd w:id="418"/>
    </w:p>
    <w:bookmarkEnd w:id="419"/>
    <w:p w14:paraId="0213760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pacing w:val="0"/>
          <w:position w:val="0"/>
          <w:sz w:val="24"/>
          <w:highlight w:val="none"/>
        </w:rPr>
        <w:t>发包人对竣工</w:t>
      </w:r>
      <w:r>
        <w:rPr>
          <w:rFonts w:hint="eastAsia" w:ascii="宋体" w:hAnsi="宋体" w:eastAsia="宋体" w:cs="宋体"/>
          <w:color w:val="auto"/>
          <w:spacing w:val="0"/>
          <w:kern w:val="0"/>
          <w:position w:val="0"/>
          <w:sz w:val="24"/>
          <w:highlight w:val="none"/>
        </w:rPr>
        <w:t>结算</w:t>
      </w:r>
      <w:r>
        <w:rPr>
          <w:rFonts w:hint="eastAsia" w:ascii="宋体" w:hAnsi="宋体" w:eastAsia="宋体" w:cs="宋体"/>
          <w:color w:val="auto"/>
          <w:spacing w:val="0"/>
          <w:position w:val="0"/>
          <w:sz w:val="24"/>
          <w:highlight w:val="none"/>
        </w:rPr>
        <w:t>申请单有异议的，有权要求承包人进行修正和提供补充资料，承包人应提交修正后的竣工</w:t>
      </w:r>
      <w:r>
        <w:rPr>
          <w:rFonts w:hint="eastAsia" w:ascii="宋体" w:hAnsi="宋体" w:eastAsia="宋体" w:cs="宋体"/>
          <w:color w:val="auto"/>
          <w:spacing w:val="0"/>
          <w:kern w:val="0"/>
          <w:position w:val="0"/>
          <w:sz w:val="24"/>
          <w:highlight w:val="none"/>
        </w:rPr>
        <w:t>结算</w:t>
      </w:r>
      <w:r>
        <w:rPr>
          <w:rFonts w:hint="eastAsia" w:ascii="宋体" w:hAnsi="宋体" w:eastAsia="宋体" w:cs="宋体"/>
          <w:color w:val="auto"/>
          <w:spacing w:val="0"/>
          <w:position w:val="0"/>
          <w:sz w:val="24"/>
          <w:highlight w:val="none"/>
        </w:rPr>
        <w:t>申请单。</w:t>
      </w:r>
    </w:p>
    <w:p w14:paraId="0CF13E6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DB1BC6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6F019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BC1EDC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0" w:name="_Toc351203596"/>
      <w:bookmarkStart w:id="421" w:name="_Toc337558813"/>
      <w:r>
        <w:rPr>
          <w:rFonts w:hint="eastAsia" w:ascii="宋体" w:hAnsi="宋体" w:eastAsia="宋体" w:cs="宋体"/>
          <w:b w:val="0"/>
          <w:color w:val="auto"/>
          <w:spacing w:val="0"/>
          <w:position w:val="0"/>
          <w:sz w:val="24"/>
          <w:szCs w:val="24"/>
          <w:highlight w:val="none"/>
        </w:rPr>
        <w:t>14.3 甩项竣工协议</w:t>
      </w:r>
      <w:bookmarkEnd w:id="420"/>
    </w:p>
    <w:bookmarkEnd w:id="421"/>
    <w:p w14:paraId="09E99DF0">
      <w:pPr>
        <w:shd w:val="clear"/>
        <w:autoSpaceDE w:val="0"/>
        <w:autoSpaceDN w:val="0"/>
        <w:adjustRightInd w:val="0"/>
        <w:spacing w:line="312" w:lineRule="auto"/>
        <w:ind w:firstLine="470" w:firstLineChars="196"/>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17EB79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2" w:name="_Toc351203597"/>
      <w:bookmarkStart w:id="423" w:name="_Toc337558814"/>
      <w:r>
        <w:rPr>
          <w:rFonts w:hint="eastAsia" w:ascii="宋体" w:hAnsi="宋体" w:eastAsia="宋体" w:cs="宋体"/>
          <w:b w:val="0"/>
          <w:color w:val="auto"/>
          <w:spacing w:val="0"/>
          <w:position w:val="0"/>
          <w:sz w:val="24"/>
          <w:szCs w:val="24"/>
          <w:highlight w:val="none"/>
        </w:rPr>
        <w:t>14.4 最终结清</w:t>
      </w:r>
      <w:bookmarkEnd w:id="422"/>
    </w:p>
    <w:bookmarkEnd w:id="423"/>
    <w:p w14:paraId="6DD774F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14.4.1 最终结清申请单</w:t>
      </w:r>
    </w:p>
    <w:p w14:paraId="09B3D7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（1）除专用合同条款另有约定外，承包人应在缺陷责任期终止证书颁发后7天内，按专用合同条款约定的份数向发包人提交最终结清申请单，并提供相关证明材料。</w:t>
      </w:r>
    </w:p>
    <w:p w14:paraId="35897FEA">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w:t>
      </w:r>
      <w:r>
        <w:rPr>
          <w:rFonts w:hint="eastAsia" w:ascii="宋体" w:hAnsi="宋体" w:eastAsia="宋体" w:cs="宋体"/>
          <w:color w:val="auto"/>
          <w:spacing w:val="0"/>
          <w:kern w:val="0"/>
          <w:position w:val="0"/>
          <w:sz w:val="24"/>
          <w:highlight w:val="none"/>
        </w:rPr>
        <w:t>最终结清申请单</w:t>
      </w:r>
      <w:r>
        <w:rPr>
          <w:rFonts w:hint="eastAsia" w:ascii="宋体" w:hAnsi="宋体" w:eastAsia="宋体" w:cs="宋体"/>
          <w:color w:val="auto"/>
          <w:spacing w:val="0"/>
          <w:position w:val="0"/>
          <w:sz w:val="24"/>
          <w:highlight w:val="none"/>
        </w:rPr>
        <w:t>应列明质量保证金、应扣除的质量保证金、缺陷责任期内发生的增减费用。</w:t>
      </w:r>
    </w:p>
    <w:p w14:paraId="3951BFB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（2）发包人对最终结清申请单内容有异议的，有权要求承包人进行修正和提供补充资料，承包人应向发包人提交修正后的最终结清申请单。</w:t>
      </w:r>
    </w:p>
    <w:p w14:paraId="7775A75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14.4.2 最终结清证书和支付</w:t>
      </w:r>
    </w:p>
    <w:p w14:paraId="147420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6EAEB7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418EC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（3）承包人对发包人颁发的最终结清证书有异议的，按第20条〔争议解决〕的约定办理。</w:t>
      </w:r>
    </w:p>
    <w:p w14:paraId="48272B8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24" w:name="_Toc351203598"/>
      <w:bookmarkStart w:id="425" w:name="_Toc337558815"/>
      <w:r>
        <w:rPr>
          <w:rFonts w:hint="eastAsia" w:ascii="宋体" w:hAnsi="宋体" w:eastAsia="宋体" w:cs="宋体"/>
          <w:b w:val="0"/>
          <w:color w:val="auto"/>
          <w:spacing w:val="0"/>
          <w:position w:val="0"/>
          <w:sz w:val="24"/>
          <w:szCs w:val="24"/>
          <w:highlight w:val="none"/>
        </w:rPr>
        <w:t>15. 缺陷责任与保修</w:t>
      </w:r>
      <w:bookmarkEnd w:id="424"/>
    </w:p>
    <w:bookmarkEnd w:id="414"/>
    <w:bookmarkEnd w:id="415"/>
    <w:bookmarkEnd w:id="425"/>
    <w:p w14:paraId="5B6E0A1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6" w:name="_Toc351203599"/>
      <w:bookmarkStart w:id="427" w:name="_Toc337558816"/>
      <w:bookmarkStart w:id="428" w:name="_Toc296503114"/>
      <w:bookmarkStart w:id="429" w:name="_Toc296346615"/>
      <w:r>
        <w:rPr>
          <w:rFonts w:hint="eastAsia" w:ascii="宋体" w:hAnsi="宋体" w:eastAsia="宋体" w:cs="宋体"/>
          <w:b w:val="0"/>
          <w:color w:val="auto"/>
          <w:spacing w:val="0"/>
          <w:position w:val="0"/>
          <w:sz w:val="24"/>
          <w:szCs w:val="24"/>
          <w:highlight w:val="none"/>
        </w:rPr>
        <w:t>15.1 工程保修的原则</w:t>
      </w:r>
      <w:bookmarkEnd w:id="426"/>
    </w:p>
    <w:bookmarkEnd w:id="427"/>
    <w:p w14:paraId="6F3BBA7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12750F0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0" w:name="_Toc351203600"/>
      <w:bookmarkStart w:id="431" w:name="_Toc337558817"/>
      <w:r>
        <w:rPr>
          <w:rFonts w:hint="eastAsia" w:ascii="宋体" w:hAnsi="宋体" w:eastAsia="宋体" w:cs="宋体"/>
          <w:b w:val="0"/>
          <w:color w:val="auto"/>
          <w:spacing w:val="0"/>
          <w:position w:val="0"/>
          <w:sz w:val="24"/>
          <w:szCs w:val="24"/>
          <w:highlight w:val="none"/>
        </w:rPr>
        <w:t>15.2 缺陷责任期</w:t>
      </w:r>
      <w:bookmarkEnd w:id="428"/>
      <w:bookmarkEnd w:id="429"/>
      <w:bookmarkEnd w:id="430"/>
    </w:p>
    <w:bookmarkEnd w:id="431"/>
    <w:p w14:paraId="74FEB4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15.2.1 缺陷责任期自实际竣工日期起计算，合同当事人应在专用合同条款约定缺陷责任期的具体期限，但该期限最长不超过24个月。</w:t>
      </w:r>
    </w:p>
    <w:p w14:paraId="1E9585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D1D97D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pacing w:val="0"/>
          <w:position w:val="0"/>
          <w:sz w:val="24"/>
          <w:highlight w:val="none"/>
        </w:rPr>
        <w:t>包人延长缺陷责任期，</w:t>
      </w:r>
      <w:r>
        <w:rPr>
          <w:rFonts w:hint="eastAsia" w:ascii="宋体" w:hAnsi="宋体" w:eastAsia="宋体" w:cs="宋体"/>
          <w:color w:val="auto"/>
          <w:spacing w:val="0"/>
          <w:kern w:val="0"/>
          <w:position w:val="0"/>
          <w:sz w:val="24"/>
          <w:highlight w:val="none"/>
        </w:rPr>
        <w:t>并应在原缺陷责任期届满前发出延长通知，</w:t>
      </w:r>
      <w:r>
        <w:rPr>
          <w:rFonts w:hint="eastAsia" w:ascii="宋体" w:hAnsi="宋体" w:eastAsia="宋体" w:cs="宋体"/>
          <w:bCs/>
          <w:color w:val="auto"/>
          <w:spacing w:val="0"/>
          <w:position w:val="0"/>
          <w:sz w:val="24"/>
          <w:highlight w:val="none"/>
        </w:rPr>
        <w:t>但缺陷责任期最长</w:t>
      </w:r>
      <w:r>
        <w:rPr>
          <w:rFonts w:hint="eastAsia" w:ascii="宋体" w:hAnsi="宋体" w:eastAsia="宋体" w:cs="宋体"/>
          <w:color w:val="auto"/>
          <w:spacing w:val="0"/>
          <w:kern w:val="0"/>
          <w:position w:val="0"/>
          <w:sz w:val="24"/>
          <w:highlight w:val="none"/>
        </w:rPr>
        <w:t>不能超过24个月。</w:t>
      </w:r>
    </w:p>
    <w:p w14:paraId="1232425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0ABF09C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CCE6BB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2" w:name="_Toc351203601"/>
      <w:bookmarkStart w:id="433" w:name="_Toc337558818"/>
      <w:bookmarkStart w:id="434" w:name="_Toc296503115"/>
      <w:bookmarkStart w:id="435" w:name="_Toc296346616"/>
      <w:r>
        <w:rPr>
          <w:rFonts w:hint="eastAsia" w:ascii="宋体" w:hAnsi="宋体" w:eastAsia="宋体" w:cs="宋体"/>
          <w:b w:val="0"/>
          <w:color w:val="auto"/>
          <w:spacing w:val="0"/>
          <w:position w:val="0"/>
          <w:sz w:val="24"/>
          <w:szCs w:val="24"/>
          <w:highlight w:val="none"/>
        </w:rPr>
        <w:t>15.3 质量保证金</w:t>
      </w:r>
      <w:bookmarkEnd w:id="432"/>
    </w:p>
    <w:bookmarkEnd w:id="433"/>
    <w:p w14:paraId="0AC2F24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经合同当事人协商一致扣留质量保证金的，应在专用合同条款中予以明确。</w:t>
      </w:r>
    </w:p>
    <w:p w14:paraId="338F32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15.3.1 承包人提供质量保证金的方式</w:t>
      </w:r>
    </w:p>
    <w:p w14:paraId="40067D4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承包人提供质量保证金有以下三种方式：</w:t>
      </w:r>
    </w:p>
    <w:p w14:paraId="14DF264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（1）质量保证金保函； </w:t>
      </w:r>
    </w:p>
    <w:p w14:paraId="5DC6440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（2）相应比例的工程款；</w:t>
      </w:r>
    </w:p>
    <w:p w14:paraId="52C282A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（3）双方约定的其他方式。</w:t>
      </w:r>
    </w:p>
    <w:p w14:paraId="77BC5CE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除专用合同条款另有约定外，质量保证金原则上采用上述第（1）种方式。</w:t>
      </w:r>
    </w:p>
    <w:p w14:paraId="691DA3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15.3.2 质量保证金的扣留</w:t>
      </w:r>
    </w:p>
    <w:p w14:paraId="138374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质量保证金的扣留有以下三种方式：</w:t>
      </w:r>
    </w:p>
    <w:p w14:paraId="7541531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（1）在支付工程进度款时逐次扣留，在此情形下，质量保证金的计算基数不包括预付款的支付、扣回以及价格调整的金额；</w:t>
      </w:r>
    </w:p>
    <w:p w14:paraId="1EB089B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（2）工</w:t>
      </w:r>
      <w:bookmarkStart w:id="436" w:name="#go6"/>
      <w:bookmarkEnd w:id="436"/>
      <w:r>
        <w:rPr>
          <w:rFonts w:hint="eastAsia" w:ascii="宋体" w:hAnsi="宋体" w:eastAsia="宋体" w:cs="宋体"/>
          <w:color w:val="auto"/>
          <w:spacing w:val="0"/>
          <w:kern w:val="0"/>
          <w:position w:val="0"/>
          <w:sz w:val="24"/>
          <w:highlight w:val="none"/>
        </w:rPr>
        <w:t>程竣工结算时一次性扣留质量保证金；</w:t>
      </w:r>
    </w:p>
    <w:p w14:paraId="311EB5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（3）双方约定的其他扣留方式。</w:t>
      </w:r>
    </w:p>
    <w:p w14:paraId="72828D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除专用合同条款另有约定外，质量保证金的扣留原则上采用上述第（1）种方式。</w:t>
      </w:r>
    </w:p>
    <w:p w14:paraId="4A4D8F8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w:t>
      </w:r>
      <w:bookmarkStart w:id="437" w:name="#go4"/>
      <w:bookmarkEnd w:id="437"/>
      <w:r>
        <w:rPr>
          <w:rFonts w:hint="eastAsia" w:ascii="宋体" w:hAnsi="宋体" w:eastAsia="宋体" w:cs="宋体"/>
          <w:color w:val="auto"/>
          <w:spacing w:val="0"/>
          <w:kern w:val="0"/>
          <w:positio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082EC6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15.3.3 </w:t>
      </w:r>
      <w:r>
        <w:rPr>
          <w:rFonts w:hint="eastAsia" w:ascii="宋体" w:hAnsi="宋体" w:eastAsia="宋体" w:cs="宋体"/>
          <w:color w:val="auto"/>
          <w:spacing w:val="0"/>
          <w:position w:val="0"/>
          <w:sz w:val="24"/>
          <w:highlight w:val="none"/>
        </w:rPr>
        <w:t>质量保证金</w:t>
      </w:r>
      <w:r>
        <w:rPr>
          <w:rFonts w:hint="eastAsia" w:ascii="宋体" w:hAnsi="宋体" w:eastAsia="宋体" w:cs="宋体"/>
          <w:color w:val="auto"/>
          <w:spacing w:val="0"/>
          <w:kern w:val="0"/>
          <w:position w:val="0"/>
          <w:sz w:val="24"/>
          <w:highlight w:val="none"/>
        </w:rPr>
        <w:t>的退还</w:t>
      </w:r>
    </w:p>
    <w:p w14:paraId="15630D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发包人应按14.4款〔最终结清〕的约定退还质量保证金。</w:t>
      </w:r>
    </w:p>
    <w:p w14:paraId="03F7988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8" w:name="_Toc351203602"/>
      <w:bookmarkStart w:id="439" w:name="_Toc337558819"/>
      <w:r>
        <w:rPr>
          <w:rFonts w:hint="eastAsia" w:ascii="宋体" w:hAnsi="宋体" w:eastAsia="宋体" w:cs="宋体"/>
          <w:b w:val="0"/>
          <w:color w:val="auto"/>
          <w:spacing w:val="0"/>
          <w:position w:val="0"/>
          <w:sz w:val="24"/>
          <w:szCs w:val="24"/>
          <w:highlight w:val="none"/>
        </w:rPr>
        <w:t>15.4 保修</w:t>
      </w:r>
      <w:bookmarkEnd w:id="438"/>
    </w:p>
    <w:bookmarkEnd w:id="434"/>
    <w:bookmarkEnd w:id="435"/>
    <w:bookmarkEnd w:id="439"/>
    <w:p w14:paraId="69AFBE7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15.4.1保修责任</w:t>
      </w:r>
    </w:p>
    <w:p w14:paraId="5C26323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456DDB5">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发包人未经竣工验收擅自使用工程的，保修期自</w:t>
      </w:r>
      <w:r>
        <w:rPr>
          <w:rFonts w:hint="eastAsia" w:ascii="宋体" w:hAnsi="宋体" w:eastAsia="宋体" w:cs="宋体"/>
          <w:color w:val="auto"/>
          <w:spacing w:val="0"/>
          <w:kern w:val="0"/>
          <w:position w:val="0"/>
          <w:sz w:val="24"/>
          <w:highlight w:val="none"/>
        </w:rPr>
        <w:t>转移占有之日起算</w:t>
      </w:r>
      <w:r>
        <w:rPr>
          <w:rFonts w:hint="eastAsia" w:ascii="宋体" w:hAnsi="宋体" w:eastAsia="宋体" w:cs="宋体"/>
          <w:color w:val="auto"/>
          <w:spacing w:val="0"/>
          <w:position w:val="0"/>
          <w:sz w:val="24"/>
          <w:highlight w:val="none"/>
        </w:rPr>
        <w:t>。</w:t>
      </w:r>
    </w:p>
    <w:p w14:paraId="6E411A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15.4.2 修复费用</w:t>
      </w:r>
    </w:p>
    <w:p w14:paraId="6D80FD1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保修期内，修复的费用按照以下约定处理：</w:t>
      </w:r>
    </w:p>
    <w:p w14:paraId="4369EA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（1）保修期内，因承包人原因造成工程的缺陷、损坏，承包人应负责修复，并承担修复的费用以及因工程的缺陷、损坏造成的人身伤害和财产损失；</w:t>
      </w:r>
    </w:p>
    <w:p w14:paraId="78141E2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（2）保修期内，因发包人使用不当造成工程的缺陷、损坏，可以委托承包人修复，但发包人应承担修复的费用，并支付承包人合理利润；</w:t>
      </w:r>
    </w:p>
    <w:p w14:paraId="345140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11941A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15.4.3 修复通知</w:t>
      </w:r>
    </w:p>
    <w:p w14:paraId="2B0DC0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DD78B1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15.4.4 未能修复</w:t>
      </w:r>
    </w:p>
    <w:p w14:paraId="74FB6ED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C0E945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15.4.5 承包人出入权</w:t>
      </w:r>
    </w:p>
    <w:p w14:paraId="20A2CB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0CA2A91">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40" w:name="_Toc351203603"/>
      <w:bookmarkStart w:id="441" w:name="_Toc337558820"/>
      <w:r>
        <w:rPr>
          <w:rFonts w:hint="eastAsia" w:ascii="宋体" w:hAnsi="宋体" w:eastAsia="宋体" w:cs="宋体"/>
          <w:b w:val="0"/>
          <w:color w:val="auto"/>
          <w:spacing w:val="0"/>
          <w:position w:val="0"/>
          <w:sz w:val="24"/>
          <w:szCs w:val="24"/>
          <w:highlight w:val="none"/>
        </w:rPr>
        <w:t>16. 违约</w:t>
      </w:r>
      <w:bookmarkEnd w:id="440"/>
    </w:p>
    <w:bookmarkEnd w:id="441"/>
    <w:p w14:paraId="79E2AB4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42" w:name="_Toc296503129"/>
      <w:bookmarkStart w:id="443" w:name="_Toc296346630"/>
      <w:bookmarkStart w:id="444" w:name="_Toc351203604"/>
      <w:bookmarkStart w:id="445" w:name="_Toc337558821"/>
      <w:r>
        <w:rPr>
          <w:rFonts w:hint="eastAsia" w:ascii="宋体" w:hAnsi="宋体" w:eastAsia="宋体" w:cs="宋体"/>
          <w:b w:val="0"/>
          <w:color w:val="auto"/>
          <w:spacing w:val="0"/>
          <w:position w:val="0"/>
          <w:sz w:val="24"/>
          <w:szCs w:val="24"/>
          <w:highlight w:val="none"/>
        </w:rPr>
        <w:t>16.1 发</w:t>
      </w:r>
      <w:bookmarkEnd w:id="442"/>
      <w:bookmarkEnd w:id="443"/>
      <w:r>
        <w:rPr>
          <w:rFonts w:hint="eastAsia" w:ascii="宋体" w:hAnsi="宋体" w:eastAsia="宋体" w:cs="宋体"/>
          <w:b w:val="0"/>
          <w:color w:val="auto"/>
          <w:spacing w:val="0"/>
          <w:position w:val="0"/>
          <w:sz w:val="24"/>
          <w:szCs w:val="24"/>
          <w:highlight w:val="none"/>
        </w:rPr>
        <w:t>包人违约</w:t>
      </w:r>
      <w:bookmarkEnd w:id="444"/>
    </w:p>
    <w:bookmarkEnd w:id="445"/>
    <w:p w14:paraId="5911A60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16.1.1 发包人违约的情形</w:t>
      </w:r>
    </w:p>
    <w:p w14:paraId="4C8F17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在合同履行过程中发生的下列情形，属于发包人违约：</w:t>
      </w:r>
    </w:p>
    <w:p w14:paraId="1E48CAB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（1）因发包人原因未能在计划开工日期前7天内下达开工通知的；</w:t>
      </w:r>
    </w:p>
    <w:p w14:paraId="24FC7E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（2）因发包人原因未能按合同约定支付合同价款的；</w:t>
      </w:r>
    </w:p>
    <w:p w14:paraId="699327F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（3）发包人违反第10.1款〔变更的范围〕第（2）项约定，自行实施被取消的工作或转由他人实施的；</w:t>
      </w:r>
    </w:p>
    <w:p w14:paraId="0A2D21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（4）发包人提供的材料、工程设备的规格、数量或质量不符合合同约定，或因发包人原因导致交货日期延误或交货地点变更等情况的；</w:t>
      </w:r>
    </w:p>
    <w:p w14:paraId="21E154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（5）因发包人违反合同约定造成暂停施工的；</w:t>
      </w:r>
    </w:p>
    <w:p w14:paraId="0E059EF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（6）发包人无正当理由没有在约定期限内发出复工指示，导致承包人无法复工的；</w:t>
      </w:r>
    </w:p>
    <w:p w14:paraId="4CEF1E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（7）发包人明确表示或者以其行为表明不履行合同主要义务的；</w:t>
      </w:r>
    </w:p>
    <w:p w14:paraId="6FE3706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（8）发包人未能按照合同约定履行其他义务的。</w:t>
      </w:r>
    </w:p>
    <w:p w14:paraId="18B75EA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28BC3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16.1.2 发包人违约的责任</w:t>
      </w:r>
    </w:p>
    <w:p w14:paraId="331D08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E359F7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16.1.3 因发包人违约解除合同</w:t>
      </w:r>
    </w:p>
    <w:p w14:paraId="36B24A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121A0DA">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16.1.4 因发包人违约解除合同后的付款</w:t>
      </w:r>
    </w:p>
    <w:p w14:paraId="458F74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承包人按照本款约定解除合同的，发包人应在解除合同后28天内支付下列款项，并解除履约担保：</w:t>
      </w:r>
    </w:p>
    <w:p w14:paraId="4924416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（1）合同解除前所完成工作的价款；</w:t>
      </w:r>
    </w:p>
    <w:p w14:paraId="39458F5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（2）承包人为工程施工订购并已付款的材料、工程设备和其他物品的价款；</w:t>
      </w:r>
    </w:p>
    <w:p w14:paraId="6516A42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（3）承包人撤离施工现场以及遣散承包人人员的款项；</w:t>
      </w:r>
    </w:p>
    <w:p w14:paraId="04D19FE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（4）按照合同约定在合同解除前应支付的违约金；</w:t>
      </w:r>
    </w:p>
    <w:p w14:paraId="7FC8B7F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（5）按照合同约定应当支付给承包人的其他款项；</w:t>
      </w:r>
    </w:p>
    <w:p w14:paraId="0D5F14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（6）按照合同约定应退还的质量保证金；</w:t>
      </w:r>
    </w:p>
    <w:p w14:paraId="05A09C1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（7）因解除合同给承包人造成的损失。</w:t>
      </w:r>
    </w:p>
    <w:p w14:paraId="4BD6E9E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合同当事人未能就解除合同后的结清达成一致的，按照第20条〔争议解决〕的约定处理。</w:t>
      </w:r>
    </w:p>
    <w:p w14:paraId="2E8FF43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承包人应妥善做好已完工程和与工程有关的已购材料、工程设备的保护和移交工作，并将施工设备和人员撤出施工现场，发包人应为承包人撤出提供必要条件。</w:t>
      </w:r>
    </w:p>
    <w:p w14:paraId="405054E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46" w:name="_Toc351203605"/>
      <w:bookmarkStart w:id="447" w:name="_Toc296346632"/>
      <w:bookmarkStart w:id="448" w:name="_Toc296503131"/>
      <w:bookmarkStart w:id="449" w:name="_Toc337558822"/>
      <w:r>
        <w:rPr>
          <w:rFonts w:hint="eastAsia" w:ascii="宋体" w:hAnsi="宋体" w:eastAsia="宋体" w:cs="宋体"/>
          <w:b w:val="0"/>
          <w:color w:val="auto"/>
          <w:spacing w:val="0"/>
          <w:position w:val="0"/>
          <w:sz w:val="24"/>
          <w:szCs w:val="24"/>
          <w:highlight w:val="none"/>
        </w:rPr>
        <w:t>16.2 承包人违约</w:t>
      </w:r>
      <w:bookmarkEnd w:id="446"/>
    </w:p>
    <w:bookmarkEnd w:id="447"/>
    <w:bookmarkEnd w:id="448"/>
    <w:bookmarkEnd w:id="449"/>
    <w:p w14:paraId="3D6F78B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16.2.1 承包人违约的情形</w:t>
      </w:r>
    </w:p>
    <w:p w14:paraId="0887B1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在合同履行过程中发生的下列情形，属于承包人违约：</w:t>
      </w:r>
    </w:p>
    <w:p w14:paraId="3B67A2A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（1）承包人违反合同约定进行转包或违法分包的；</w:t>
      </w:r>
    </w:p>
    <w:p w14:paraId="5DF668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（2）承包人违反合同约定采购和使用不合格的材料和工程设备的；</w:t>
      </w:r>
    </w:p>
    <w:p w14:paraId="716BCD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（3）因承包人原因导致工程质量不符合合同要求的； </w:t>
      </w:r>
    </w:p>
    <w:p w14:paraId="2377B39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（4）承包人违反第8.9款〔材料与设备专用要求〕的约定，未经批准，私自将已按照合同约定进入施工现场的材料或设备撤离施工现场的；</w:t>
      </w:r>
    </w:p>
    <w:p w14:paraId="7724FE8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（5）承包人未能按施工进度计划及时完成合同约定的工作，造成工期延误的；</w:t>
      </w:r>
    </w:p>
    <w:p w14:paraId="4749EAA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（6）承包人在缺陷责任期及保修期内，未能在合理期限对工程缺陷进行修复，或拒绝按发包人要求进行修复的；</w:t>
      </w:r>
    </w:p>
    <w:p w14:paraId="12E7190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（7）承包人明确表示或者以其行为表明不履行合同主要义务的；</w:t>
      </w:r>
    </w:p>
    <w:p w14:paraId="3138BF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（8）承包人未能按照合同约定履行其他义务的。</w:t>
      </w:r>
    </w:p>
    <w:p w14:paraId="12CD51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承包人发生除本项第（7）目约定以外的其他违约情况时，监理人可向承包人发出整改通知，要求其在指定的期限内改正。</w:t>
      </w:r>
    </w:p>
    <w:p w14:paraId="655E0A1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16.2.2 承包人违约的责任</w:t>
      </w:r>
    </w:p>
    <w:p w14:paraId="0BD6EA3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承包人应承担因其违约行为而增加的费用和（或）延误的工期。此外，合同当事人可在专用合同条款中另行约定承包人违约责任的承担方式和计算方法。</w:t>
      </w:r>
    </w:p>
    <w:p w14:paraId="2D2A94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16.2.3 因承包人违约解除合同</w:t>
      </w:r>
    </w:p>
    <w:p w14:paraId="2C00A4D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12DAD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16.2.4因承包人违约解除合同后的处理</w:t>
      </w:r>
    </w:p>
    <w:p w14:paraId="5418D5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因承包人原因导致合同解除的，则合同当事人应在合同解除后28天内完成估价、付款和清算，并按以下约定执行：</w:t>
      </w:r>
    </w:p>
    <w:p w14:paraId="4CACE2E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（1）合同解除后，按第4.4款〔商定或确定〕商定或确定承包人实际完成工作对应的合同价款，以及承包人已提供的材料、工程设备、施工设备和临时工程等的价值；</w:t>
      </w:r>
    </w:p>
    <w:p w14:paraId="7A0FA2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（2）合同解除后，承包人应支付的违约金；</w:t>
      </w:r>
    </w:p>
    <w:p w14:paraId="2800A9C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（3）合同解除后，因解除合同给发包人造成的损失；</w:t>
      </w:r>
    </w:p>
    <w:p w14:paraId="157036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（4）合同解除后，承包人应按照发包人要求和监理人的指示完成现场的清理和撤离；</w:t>
      </w:r>
    </w:p>
    <w:p w14:paraId="72E355A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（5）发包人和承包人应在合同解除后进行清算，出具最终结清付款证书，结清全部款项。</w:t>
      </w:r>
    </w:p>
    <w:p w14:paraId="24C369D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16272F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16.2.5采购合同权益转让</w:t>
      </w:r>
    </w:p>
    <w:p w14:paraId="539A4DC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9137D9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0" w:name="_Toc351203606"/>
      <w:r>
        <w:rPr>
          <w:rFonts w:hint="eastAsia" w:ascii="宋体" w:hAnsi="宋体" w:eastAsia="宋体" w:cs="宋体"/>
          <w:b w:val="0"/>
          <w:color w:val="auto"/>
          <w:spacing w:val="0"/>
          <w:position w:val="0"/>
          <w:sz w:val="24"/>
          <w:szCs w:val="24"/>
          <w:highlight w:val="none"/>
        </w:rPr>
        <w:t>16.3 第三人造成的违约</w:t>
      </w:r>
      <w:bookmarkEnd w:id="450"/>
    </w:p>
    <w:p w14:paraId="480C53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在履行合同过程中，一方当事人因第三人的原因造成违约的，应当向对方当事人承担违约责任。一方当事人和第三人之间的纠纷，依照法律规定或者按照约定解决。</w:t>
      </w:r>
    </w:p>
    <w:p w14:paraId="49DC28C6">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51" w:name="_Toc351203607"/>
      <w:bookmarkStart w:id="452" w:name="_Toc296346617"/>
      <w:bookmarkStart w:id="453" w:name="_Toc296503116"/>
      <w:bookmarkStart w:id="454" w:name="_Toc337558823"/>
      <w:r>
        <w:rPr>
          <w:rFonts w:hint="eastAsia" w:ascii="宋体" w:hAnsi="宋体" w:eastAsia="宋体" w:cs="宋体"/>
          <w:b w:val="0"/>
          <w:color w:val="auto"/>
          <w:spacing w:val="0"/>
          <w:position w:val="0"/>
          <w:sz w:val="24"/>
          <w:szCs w:val="24"/>
          <w:highlight w:val="none"/>
        </w:rPr>
        <w:t>17. 不可抗力</w:t>
      </w:r>
      <w:bookmarkEnd w:id="451"/>
      <w:r>
        <w:rPr>
          <w:rFonts w:hint="eastAsia" w:ascii="宋体" w:hAnsi="宋体" w:eastAsia="宋体" w:cs="宋体"/>
          <w:b w:val="0"/>
          <w:color w:val="auto"/>
          <w:spacing w:val="0"/>
          <w:position w:val="0"/>
          <w:sz w:val="24"/>
          <w:szCs w:val="24"/>
          <w:highlight w:val="none"/>
        </w:rPr>
        <w:t xml:space="preserve"> </w:t>
      </w:r>
      <w:bookmarkEnd w:id="452"/>
      <w:bookmarkEnd w:id="453"/>
      <w:bookmarkEnd w:id="454"/>
    </w:p>
    <w:p w14:paraId="6458A42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5" w:name="_Toc351203608"/>
      <w:bookmarkStart w:id="456" w:name="_Toc296346618"/>
      <w:bookmarkStart w:id="457" w:name="_Toc337558824"/>
      <w:bookmarkStart w:id="458" w:name="_Toc296503117"/>
      <w:r>
        <w:rPr>
          <w:rFonts w:hint="eastAsia" w:ascii="宋体" w:hAnsi="宋体" w:eastAsia="宋体" w:cs="宋体"/>
          <w:b w:val="0"/>
          <w:color w:val="auto"/>
          <w:spacing w:val="0"/>
          <w:position w:val="0"/>
          <w:sz w:val="24"/>
          <w:szCs w:val="24"/>
          <w:highlight w:val="none"/>
        </w:rPr>
        <w:t>17.1 不可抗力的确认</w:t>
      </w:r>
      <w:bookmarkEnd w:id="455"/>
    </w:p>
    <w:bookmarkEnd w:id="456"/>
    <w:bookmarkEnd w:id="457"/>
    <w:bookmarkEnd w:id="458"/>
    <w:p w14:paraId="5357E7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8A590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2DD3E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9" w:name="_Toc351203609"/>
      <w:bookmarkStart w:id="460" w:name="_Toc296503118"/>
      <w:bookmarkStart w:id="461" w:name="_Toc296346619"/>
      <w:bookmarkStart w:id="462" w:name="_Toc337558825"/>
      <w:r>
        <w:rPr>
          <w:rFonts w:hint="eastAsia" w:ascii="宋体" w:hAnsi="宋体" w:eastAsia="宋体" w:cs="宋体"/>
          <w:b w:val="0"/>
          <w:color w:val="auto"/>
          <w:spacing w:val="0"/>
          <w:position w:val="0"/>
          <w:sz w:val="24"/>
          <w:szCs w:val="24"/>
          <w:highlight w:val="none"/>
        </w:rPr>
        <w:t>17.2 不可抗力的通知</w:t>
      </w:r>
      <w:bookmarkEnd w:id="459"/>
    </w:p>
    <w:bookmarkEnd w:id="460"/>
    <w:bookmarkEnd w:id="461"/>
    <w:bookmarkEnd w:id="462"/>
    <w:p w14:paraId="0455A19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合同一方当事人遇到不可抗力事件，使其履行合同义务受到阻碍时，应立即通知合同另一方当事人和监理人，书面说明不可抗力和受阻碍的详细情况，并提供必要的证明。</w:t>
      </w:r>
    </w:p>
    <w:p w14:paraId="00F9330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382A33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63" w:name="_Toc351203610"/>
      <w:bookmarkStart w:id="464" w:name="_Toc296503119"/>
      <w:bookmarkStart w:id="465" w:name="_Toc296346620"/>
      <w:bookmarkStart w:id="466" w:name="_Toc337558826"/>
      <w:r>
        <w:rPr>
          <w:rFonts w:hint="eastAsia" w:ascii="宋体" w:hAnsi="宋体" w:eastAsia="宋体" w:cs="宋体"/>
          <w:b w:val="0"/>
          <w:color w:val="auto"/>
          <w:spacing w:val="0"/>
          <w:position w:val="0"/>
          <w:sz w:val="24"/>
          <w:szCs w:val="24"/>
          <w:highlight w:val="none"/>
        </w:rPr>
        <w:t>17.3 不可抗力后果的承担</w:t>
      </w:r>
      <w:bookmarkEnd w:id="463"/>
    </w:p>
    <w:bookmarkEnd w:id="464"/>
    <w:bookmarkEnd w:id="465"/>
    <w:bookmarkEnd w:id="466"/>
    <w:p w14:paraId="4EEDF12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17.3.1 不可抗力引起的后果及造成的损失由合同当事人按照法律规定及合同约定各自承担。不可抗力发生前已完成的工程应当按照合同约定进行计量支付。</w:t>
      </w:r>
    </w:p>
    <w:p w14:paraId="383D52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17.3.2 不可抗力导致的人员伤亡、财产损失、费用增加和（或）工期延误等后果，由合同当事人按以下原则承担：</w:t>
      </w:r>
    </w:p>
    <w:p w14:paraId="52543C3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（1）永久工程、已运至施工现场的材料和工程设备的损坏，以及因工程损坏造成的第三人人员伤亡和财产损失由发包人承担；</w:t>
      </w:r>
    </w:p>
    <w:p w14:paraId="33F93A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（2）承包人施工设备的损坏由承包人承担；</w:t>
      </w:r>
    </w:p>
    <w:p w14:paraId="34ABFB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（3）发包人和承包人承担各自人员伤亡和财产的损失；</w:t>
      </w:r>
    </w:p>
    <w:p w14:paraId="409C73B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037B54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（5）因不可抗力引起或将引起工期延误，发包人要求赶工的，由此增加的赶工费用由发包人承担；</w:t>
      </w:r>
    </w:p>
    <w:p w14:paraId="1815928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（6）承包人在停工期间按照发包人要求照管、清理和修复工程的费用由发包人承担。</w:t>
      </w:r>
    </w:p>
    <w:p w14:paraId="31BBA45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不可抗力发生后，合同当事人均应采取措施尽量避免和减少损失的扩大，任何一方当事人没有采取有效措施导致损失扩大的，应对扩大的损失承担责任。</w:t>
      </w:r>
    </w:p>
    <w:p w14:paraId="641EBD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因合同一方迟延履行合同义务，在迟延履行期间遭遇不可抗力的，不免除其违约责任。</w:t>
      </w:r>
    </w:p>
    <w:p w14:paraId="4E9F969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67" w:name="_Toc351203611"/>
      <w:bookmarkStart w:id="468" w:name="_Toc337558827"/>
      <w:r>
        <w:rPr>
          <w:rFonts w:hint="eastAsia" w:ascii="宋体" w:hAnsi="宋体" w:eastAsia="宋体" w:cs="宋体"/>
          <w:b w:val="0"/>
          <w:color w:val="auto"/>
          <w:spacing w:val="0"/>
          <w:position w:val="0"/>
          <w:sz w:val="24"/>
          <w:szCs w:val="24"/>
          <w:highlight w:val="none"/>
        </w:rPr>
        <w:t>17.4 因不可抗力解除合同</w:t>
      </w:r>
      <w:bookmarkEnd w:id="467"/>
    </w:p>
    <w:bookmarkEnd w:id="468"/>
    <w:p w14:paraId="5B203C6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29E6C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（1）合同解除前承包人已完成工作的价款；</w:t>
      </w:r>
    </w:p>
    <w:p w14:paraId="42981DD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（2）承包人为工程订购的并已交付给承包人，或承包人有责任接受交付的材料、工程设备和其他物品的价款；</w:t>
      </w:r>
    </w:p>
    <w:p w14:paraId="7E8A190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（3）发包人要求承包人退货或解除订货合同而产生的费用，或因不能退货或解除合同而产生的损失；</w:t>
      </w:r>
    </w:p>
    <w:p w14:paraId="7AAE1C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（4）承包人撤离施工现场以及遣散承包人人员的费用；</w:t>
      </w:r>
    </w:p>
    <w:p w14:paraId="4B7648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（5）按照合同约定在合同解除前应支付给承包人的其他款项；</w:t>
      </w:r>
    </w:p>
    <w:p w14:paraId="0A2F971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（6）扣减承包人按照合同约定应向发包人支付的款项；</w:t>
      </w:r>
    </w:p>
    <w:p w14:paraId="074923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（7）双方商定或确定的其他款项。</w:t>
      </w:r>
    </w:p>
    <w:p w14:paraId="72F2A99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除专用合同条款另有约定外，合同解除后，发包人应在商定或确定上述款项后28天内完成上述款项的支付。</w:t>
      </w:r>
    </w:p>
    <w:p w14:paraId="3892E35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69" w:name="_Toc351203612"/>
      <w:bookmarkStart w:id="470" w:name="_Toc296346621"/>
      <w:bookmarkStart w:id="471" w:name="_Toc296503120"/>
      <w:bookmarkStart w:id="472" w:name="_Toc337558828"/>
      <w:r>
        <w:rPr>
          <w:rFonts w:hint="eastAsia" w:ascii="宋体" w:hAnsi="宋体" w:eastAsia="宋体" w:cs="宋体"/>
          <w:b w:val="0"/>
          <w:color w:val="auto"/>
          <w:spacing w:val="0"/>
          <w:position w:val="0"/>
          <w:sz w:val="24"/>
          <w:szCs w:val="24"/>
          <w:highlight w:val="none"/>
        </w:rPr>
        <w:t>18. 保险</w:t>
      </w:r>
      <w:bookmarkEnd w:id="469"/>
    </w:p>
    <w:bookmarkEnd w:id="470"/>
    <w:bookmarkEnd w:id="471"/>
    <w:bookmarkEnd w:id="472"/>
    <w:p w14:paraId="2CCFD8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73" w:name="_Toc351203613"/>
      <w:bookmarkStart w:id="474" w:name="_Toc337558829"/>
      <w:bookmarkStart w:id="475" w:name="_Toc296503121"/>
      <w:bookmarkStart w:id="476" w:name="_Toc296346622"/>
      <w:r>
        <w:rPr>
          <w:rFonts w:hint="eastAsia" w:ascii="宋体" w:hAnsi="宋体" w:eastAsia="宋体" w:cs="宋体"/>
          <w:b w:val="0"/>
          <w:color w:val="auto"/>
          <w:spacing w:val="0"/>
          <w:position w:val="0"/>
          <w:sz w:val="24"/>
          <w:szCs w:val="24"/>
          <w:highlight w:val="none"/>
        </w:rPr>
        <w:t>18.1 工程保险</w:t>
      </w:r>
      <w:bookmarkEnd w:id="473"/>
    </w:p>
    <w:bookmarkEnd w:id="474"/>
    <w:bookmarkEnd w:id="475"/>
    <w:bookmarkEnd w:id="476"/>
    <w:p w14:paraId="66E20F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除专用合同条款另有约定外，发包人应投保建筑工程一切险或安装工程一切险；发包人委托承包人投保的，因投保产生的保险费和其他相关费用由发包人承担。</w:t>
      </w:r>
    </w:p>
    <w:p w14:paraId="0FCA715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77" w:name="_Toc351203614"/>
      <w:bookmarkStart w:id="478" w:name="_Toc296503122"/>
      <w:bookmarkStart w:id="479" w:name="_Toc296346623"/>
      <w:bookmarkStart w:id="480" w:name="_Toc337558830"/>
      <w:r>
        <w:rPr>
          <w:rFonts w:hint="eastAsia" w:ascii="宋体" w:hAnsi="宋体" w:eastAsia="宋体" w:cs="宋体"/>
          <w:b w:val="0"/>
          <w:color w:val="auto"/>
          <w:spacing w:val="0"/>
          <w:position w:val="0"/>
          <w:sz w:val="24"/>
          <w:szCs w:val="24"/>
          <w:highlight w:val="none"/>
        </w:rPr>
        <w:t>18.2 工伤保险</w:t>
      </w:r>
      <w:bookmarkEnd w:id="477"/>
    </w:p>
    <w:bookmarkEnd w:id="478"/>
    <w:bookmarkEnd w:id="479"/>
    <w:bookmarkEnd w:id="480"/>
    <w:p w14:paraId="484EA6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18.2.1 发包人应依照法律规定参加工伤保险。</w:t>
      </w:r>
    </w:p>
    <w:p w14:paraId="14B84D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310726A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1" w:name="_Toc351203615"/>
      <w:bookmarkStart w:id="482" w:name="_Toc337558831"/>
      <w:bookmarkStart w:id="483" w:name="_Toc296346626"/>
      <w:bookmarkStart w:id="484" w:name="_Toc296503125"/>
      <w:r>
        <w:rPr>
          <w:rFonts w:hint="eastAsia" w:ascii="宋体" w:hAnsi="宋体" w:eastAsia="宋体" w:cs="宋体"/>
          <w:b w:val="0"/>
          <w:color w:val="auto"/>
          <w:spacing w:val="0"/>
          <w:position w:val="0"/>
          <w:sz w:val="24"/>
          <w:szCs w:val="24"/>
          <w:highlight w:val="none"/>
        </w:rPr>
        <w:t>18.3其他保险</w:t>
      </w:r>
      <w:bookmarkEnd w:id="481"/>
    </w:p>
    <w:bookmarkEnd w:id="482"/>
    <w:bookmarkEnd w:id="483"/>
    <w:bookmarkEnd w:id="484"/>
    <w:p w14:paraId="136A89DA">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发包人和承包人可以为其施工现场的全部人员办理意外伤害保险并支付保险费，包括其员工及为履行合同聘请的第三方的人员，具体事项由合同当事人在专用合同条款约定。</w:t>
      </w:r>
    </w:p>
    <w:p w14:paraId="21BE401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除专用合同条款另有约定外，承包人应为其施工设备等办理财产保险。</w:t>
      </w:r>
    </w:p>
    <w:p w14:paraId="51CA376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5" w:name="_Toc351203616"/>
      <w:r>
        <w:rPr>
          <w:rFonts w:hint="eastAsia" w:ascii="宋体" w:hAnsi="宋体" w:eastAsia="宋体" w:cs="宋体"/>
          <w:b w:val="0"/>
          <w:color w:val="auto"/>
          <w:spacing w:val="0"/>
          <w:position w:val="0"/>
          <w:sz w:val="24"/>
          <w:szCs w:val="24"/>
          <w:highlight w:val="none"/>
        </w:rPr>
        <w:t>18.4持续保险</w:t>
      </w:r>
      <w:bookmarkEnd w:id="485"/>
    </w:p>
    <w:p w14:paraId="55516571">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合同当事人应与保险人保持联系，使保险人能够随时了解工程实施中的变动，并确保按保险合同条款要求持续保险。</w:t>
      </w:r>
    </w:p>
    <w:p w14:paraId="05FD45C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6" w:name="_Toc351203617"/>
      <w:bookmarkStart w:id="487" w:name="_Toc296503126"/>
      <w:bookmarkStart w:id="488" w:name="_Toc296346627"/>
      <w:bookmarkStart w:id="489" w:name="_Toc337558832"/>
      <w:r>
        <w:rPr>
          <w:rFonts w:hint="eastAsia" w:ascii="宋体" w:hAnsi="宋体" w:eastAsia="宋体" w:cs="宋体"/>
          <w:b w:val="0"/>
          <w:color w:val="auto"/>
          <w:spacing w:val="0"/>
          <w:position w:val="0"/>
          <w:sz w:val="24"/>
          <w:szCs w:val="24"/>
          <w:highlight w:val="none"/>
        </w:rPr>
        <w:t>18.5 保险凭证</w:t>
      </w:r>
      <w:bookmarkEnd w:id="486"/>
    </w:p>
    <w:bookmarkEnd w:id="487"/>
    <w:bookmarkEnd w:id="488"/>
    <w:bookmarkEnd w:id="489"/>
    <w:p w14:paraId="39E9702B">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合同当事人应及时向另一方当事人提交其已投保的各项保险的凭证和保险单复印件。</w:t>
      </w:r>
    </w:p>
    <w:p w14:paraId="68328D7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90" w:name="_Toc351203618"/>
      <w:bookmarkStart w:id="491" w:name="_Toc337558833"/>
      <w:bookmarkStart w:id="492" w:name="_Toc296346628"/>
      <w:bookmarkStart w:id="493" w:name="_Toc296503127"/>
      <w:r>
        <w:rPr>
          <w:rFonts w:hint="eastAsia" w:ascii="宋体" w:hAnsi="宋体" w:eastAsia="宋体" w:cs="宋体"/>
          <w:b w:val="0"/>
          <w:color w:val="auto"/>
          <w:spacing w:val="0"/>
          <w:position w:val="0"/>
          <w:sz w:val="24"/>
          <w:szCs w:val="24"/>
          <w:highlight w:val="none"/>
        </w:rPr>
        <w:t>18.6 未按约定投保的补救</w:t>
      </w:r>
      <w:bookmarkEnd w:id="490"/>
    </w:p>
    <w:bookmarkEnd w:id="491"/>
    <w:bookmarkEnd w:id="492"/>
    <w:bookmarkEnd w:id="493"/>
    <w:p w14:paraId="54EB84B1">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2BD84A2E">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C03167B">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94" w:name="_Toc351203619"/>
      <w:bookmarkStart w:id="495" w:name="_Toc337558834"/>
      <w:r>
        <w:rPr>
          <w:rFonts w:hint="eastAsia" w:ascii="宋体" w:hAnsi="宋体" w:eastAsia="宋体" w:cs="宋体"/>
          <w:b w:val="0"/>
          <w:color w:val="auto"/>
          <w:spacing w:val="0"/>
          <w:position w:val="0"/>
          <w:sz w:val="24"/>
          <w:szCs w:val="24"/>
          <w:highlight w:val="none"/>
        </w:rPr>
        <w:t>18.7 通知义务</w:t>
      </w:r>
      <w:bookmarkEnd w:id="494"/>
    </w:p>
    <w:bookmarkEnd w:id="495"/>
    <w:p w14:paraId="3F964528">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036214">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保险事故发生时，投保人应按照保险合同规定的条件和期限及时向保险人报告。发包人和承包人应当在知道保险事故发生后及时通知对方。</w:t>
      </w:r>
    </w:p>
    <w:p w14:paraId="795EB8C7">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96" w:name="_Toc351203620"/>
      <w:bookmarkStart w:id="497" w:name="_Toc296503140"/>
      <w:bookmarkStart w:id="498" w:name="_Toc337558835"/>
      <w:bookmarkStart w:id="499" w:name="_Toc296346641"/>
      <w:r>
        <w:rPr>
          <w:rFonts w:hint="eastAsia" w:ascii="宋体" w:hAnsi="宋体" w:eastAsia="宋体" w:cs="宋体"/>
          <w:b w:val="0"/>
          <w:color w:val="auto"/>
          <w:spacing w:val="0"/>
          <w:position w:val="0"/>
          <w:sz w:val="24"/>
          <w:szCs w:val="24"/>
          <w:highlight w:val="none"/>
        </w:rPr>
        <w:t>19. 索赔</w:t>
      </w:r>
      <w:bookmarkEnd w:id="496"/>
    </w:p>
    <w:bookmarkEnd w:id="497"/>
    <w:bookmarkEnd w:id="498"/>
    <w:bookmarkEnd w:id="499"/>
    <w:p w14:paraId="47EDFAD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0" w:name="_Toc351203621"/>
      <w:bookmarkStart w:id="501" w:name="_Toc337558836"/>
      <w:bookmarkStart w:id="502" w:name="_Toc296503141"/>
      <w:bookmarkStart w:id="503" w:name="_Toc296346642"/>
      <w:r>
        <w:rPr>
          <w:rFonts w:hint="eastAsia" w:ascii="宋体" w:hAnsi="宋体" w:eastAsia="宋体" w:cs="宋体"/>
          <w:b w:val="0"/>
          <w:color w:val="auto"/>
          <w:spacing w:val="0"/>
          <w:position w:val="0"/>
          <w:sz w:val="24"/>
          <w:szCs w:val="24"/>
          <w:highlight w:val="none"/>
        </w:rPr>
        <w:t>19.1承包人的索赔</w:t>
      </w:r>
      <w:bookmarkEnd w:id="500"/>
    </w:p>
    <w:bookmarkEnd w:id="501"/>
    <w:bookmarkEnd w:id="502"/>
    <w:bookmarkEnd w:id="503"/>
    <w:p w14:paraId="34EF539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根据合同约定，承包人认为有权得到追加付款和（或）延长工期的，应按以下程序向发包人提出索赔：</w:t>
      </w:r>
    </w:p>
    <w:p w14:paraId="52420B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8E4D4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68B8C5B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（3）索赔事件具有持续影响的，承包人应按合理时间间隔继续递交延续索赔通知，说明持续影响的实际情况和记录，列出累计的追加付款金额和（或）工期延长天数；</w:t>
      </w:r>
    </w:p>
    <w:p w14:paraId="6608A33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（4）在索赔事件影响结束后28天内，承包人应向监理人递交最终索赔报告，说明最终要求索赔的追加付款金额和（或）延长的工期，并附必要的记录和证明材料。</w:t>
      </w:r>
    </w:p>
    <w:p w14:paraId="4AD1BC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4" w:name="_Toc351203622"/>
      <w:bookmarkStart w:id="505" w:name="_Toc296346643"/>
      <w:bookmarkStart w:id="506" w:name="_Toc296503142"/>
      <w:bookmarkStart w:id="507" w:name="_Toc337558837"/>
      <w:r>
        <w:rPr>
          <w:rFonts w:hint="eastAsia" w:ascii="宋体" w:hAnsi="宋体" w:eastAsia="宋体" w:cs="宋体"/>
          <w:b w:val="0"/>
          <w:color w:val="auto"/>
          <w:spacing w:val="0"/>
          <w:position w:val="0"/>
          <w:sz w:val="24"/>
          <w:szCs w:val="24"/>
          <w:highlight w:val="none"/>
        </w:rPr>
        <w:t>19.2 对承包人索赔的处理</w:t>
      </w:r>
      <w:bookmarkEnd w:id="504"/>
    </w:p>
    <w:bookmarkEnd w:id="505"/>
    <w:bookmarkEnd w:id="506"/>
    <w:bookmarkEnd w:id="507"/>
    <w:p w14:paraId="6239B1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对承包人索赔的处理如下：</w:t>
      </w:r>
    </w:p>
    <w:p w14:paraId="12122B6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（1）监理人应在收到索赔报告后14天内完成审查并报送发包人。监理人对索赔报告存在异议的，有权要求承包人提交全部原始记录副本；</w:t>
      </w:r>
    </w:p>
    <w:p w14:paraId="7045FC1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66F5A8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（3）承包人接受索赔处理结果的，索赔款项在当期进度款中进行支付；承包人不接受索赔处理结果的，按照第20条〔争议解决〕约定处理。</w:t>
      </w:r>
    </w:p>
    <w:p w14:paraId="135C90E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8" w:name="_Toc351203623"/>
      <w:bookmarkStart w:id="509" w:name="_Toc296503143"/>
      <w:bookmarkStart w:id="510" w:name="_Toc337558838"/>
      <w:bookmarkStart w:id="511" w:name="_Toc296346644"/>
      <w:r>
        <w:rPr>
          <w:rFonts w:hint="eastAsia" w:ascii="宋体" w:hAnsi="宋体" w:eastAsia="宋体" w:cs="宋体"/>
          <w:b w:val="0"/>
          <w:color w:val="auto"/>
          <w:spacing w:val="0"/>
          <w:position w:val="0"/>
          <w:sz w:val="24"/>
          <w:szCs w:val="24"/>
          <w:highlight w:val="none"/>
        </w:rPr>
        <w:t>19.3发包人的索赔</w:t>
      </w:r>
      <w:bookmarkEnd w:id="508"/>
    </w:p>
    <w:bookmarkEnd w:id="509"/>
    <w:bookmarkEnd w:id="510"/>
    <w:bookmarkEnd w:id="511"/>
    <w:p w14:paraId="7C1A8E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根据合同约定，发包人认为有权得到赔付金额和（或）延长缺陷责任期的，监理人应向承包人发出通知并附有详细的证明。</w:t>
      </w:r>
    </w:p>
    <w:p w14:paraId="5221C4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6EEAF6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12" w:name="_Toc351203624"/>
      <w:bookmarkStart w:id="513" w:name="_Toc296346645"/>
      <w:bookmarkStart w:id="514" w:name="_Toc296503144"/>
      <w:bookmarkStart w:id="515" w:name="_Toc337558839"/>
      <w:r>
        <w:rPr>
          <w:rFonts w:hint="eastAsia" w:ascii="宋体" w:hAnsi="宋体" w:eastAsia="宋体" w:cs="宋体"/>
          <w:b w:val="0"/>
          <w:color w:val="auto"/>
          <w:spacing w:val="0"/>
          <w:position w:val="0"/>
          <w:sz w:val="24"/>
          <w:szCs w:val="24"/>
          <w:highlight w:val="none"/>
        </w:rPr>
        <w:t>19.4 对发包人索赔的处理</w:t>
      </w:r>
      <w:bookmarkEnd w:id="512"/>
    </w:p>
    <w:bookmarkEnd w:id="513"/>
    <w:bookmarkEnd w:id="514"/>
    <w:bookmarkEnd w:id="515"/>
    <w:p w14:paraId="1DA515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对发包人索赔的处理如下：</w:t>
      </w:r>
    </w:p>
    <w:p w14:paraId="2FB847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（1）承包人收到发包人提交的索赔报告后，应及时审查索赔报告的内容、查验发包人证明材料；</w:t>
      </w:r>
    </w:p>
    <w:p w14:paraId="61CE1BC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0FACEB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（3）承包人接受索赔处理结果的，发包人可从应支付给承包人的合同价款中扣除赔付的金额或延长缺陷责任期；发包人不接受索赔处理结果的，按第20条〔争议解决〕约定处理。</w:t>
      </w:r>
    </w:p>
    <w:p w14:paraId="157862D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16" w:name="_Toc351203625"/>
      <w:r>
        <w:rPr>
          <w:rFonts w:hint="eastAsia" w:ascii="宋体" w:hAnsi="宋体" w:eastAsia="宋体" w:cs="宋体"/>
          <w:b w:val="0"/>
          <w:color w:val="auto"/>
          <w:spacing w:val="0"/>
          <w:position w:val="0"/>
          <w:sz w:val="24"/>
          <w:szCs w:val="24"/>
          <w:highlight w:val="none"/>
        </w:rPr>
        <w:t>19.5 提出索赔的期限</w:t>
      </w:r>
      <w:bookmarkEnd w:id="516"/>
    </w:p>
    <w:p w14:paraId="7D7BFD8E">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（1）承包人按第14.2款〔竣工结算审核〕约定接收竣工付款证书后，应被视为已无权再提出在工程接收证书颁发前所发生的任何索赔。</w:t>
      </w:r>
    </w:p>
    <w:p w14:paraId="2E332761">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（2）承包人按第14.4款〔最终结清〕提交的最终结清申请单中，只限于提出工程接收证书颁发后发生的索赔。提出索赔的期限自接受最终结清证书时终止。</w:t>
      </w:r>
    </w:p>
    <w:p w14:paraId="11E53A95">
      <w:pPr>
        <w:pStyle w:val="5"/>
        <w:shd w:val="clear"/>
        <w:spacing w:before="120" w:after="120" w:line="288" w:lineRule="auto"/>
        <w:rPr>
          <w:rFonts w:ascii="宋体" w:hAnsi="宋体" w:eastAsia="宋体" w:cs="宋体"/>
          <w:b w:val="0"/>
          <w:color w:val="auto"/>
          <w:spacing w:val="0"/>
          <w:position w:val="0"/>
          <w:sz w:val="24"/>
          <w:szCs w:val="24"/>
          <w:highlight w:val="none"/>
        </w:rPr>
      </w:pPr>
      <w:bookmarkStart w:id="517" w:name="_Toc351203626"/>
      <w:r>
        <w:rPr>
          <w:rFonts w:hint="eastAsia" w:ascii="宋体" w:hAnsi="宋体" w:eastAsia="宋体" w:cs="宋体"/>
          <w:b w:val="0"/>
          <w:color w:val="auto"/>
          <w:spacing w:val="0"/>
          <w:position w:val="0"/>
          <w:sz w:val="24"/>
          <w:szCs w:val="24"/>
          <w:highlight w:val="none"/>
        </w:rPr>
        <w:t>20</w:t>
      </w:r>
      <w:bookmarkStart w:id="518" w:name="_Toc337558840"/>
      <w:bookmarkStart w:id="519" w:name="_Toc296346647"/>
      <w:bookmarkStart w:id="520" w:name="_Toc296503146"/>
      <w:r>
        <w:rPr>
          <w:rFonts w:hint="eastAsia" w:ascii="宋体" w:hAnsi="宋体" w:eastAsia="宋体" w:cs="宋体"/>
          <w:b w:val="0"/>
          <w:color w:val="auto"/>
          <w:spacing w:val="0"/>
          <w:position w:val="0"/>
          <w:sz w:val="24"/>
          <w:szCs w:val="24"/>
          <w:highlight w:val="none"/>
        </w:rPr>
        <w:t>. 争议解决</w:t>
      </w:r>
      <w:bookmarkEnd w:id="517"/>
    </w:p>
    <w:bookmarkEnd w:id="518"/>
    <w:bookmarkEnd w:id="519"/>
    <w:bookmarkEnd w:id="520"/>
    <w:p w14:paraId="5505166D">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1" w:name="_Toc351203627"/>
      <w:bookmarkStart w:id="522" w:name="_Toc296503147"/>
      <w:bookmarkStart w:id="523" w:name="_Toc296346648"/>
      <w:bookmarkStart w:id="524" w:name="_Toc337558841"/>
      <w:r>
        <w:rPr>
          <w:rFonts w:hint="eastAsia" w:ascii="宋体" w:hAnsi="宋体" w:eastAsia="宋体" w:cs="宋体"/>
          <w:b w:val="0"/>
          <w:color w:val="auto"/>
          <w:spacing w:val="0"/>
          <w:position w:val="0"/>
          <w:sz w:val="24"/>
          <w:szCs w:val="24"/>
          <w:highlight w:val="none"/>
        </w:rPr>
        <w:t>20.1和解</w:t>
      </w:r>
      <w:bookmarkEnd w:id="521"/>
    </w:p>
    <w:bookmarkEnd w:id="522"/>
    <w:bookmarkEnd w:id="523"/>
    <w:bookmarkEnd w:id="524"/>
    <w:p w14:paraId="5661018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合同当事人可以就争议自行和解，自行和解达成协议的经双方签字并盖章后作为合同补充文件，双方均应遵照执行。</w:t>
      </w:r>
    </w:p>
    <w:p w14:paraId="7A696C31">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5" w:name="_Toc351203628"/>
      <w:r>
        <w:rPr>
          <w:rFonts w:hint="eastAsia" w:ascii="宋体" w:hAnsi="宋体" w:eastAsia="宋体" w:cs="宋体"/>
          <w:b w:val="0"/>
          <w:color w:val="auto"/>
          <w:spacing w:val="0"/>
          <w:position w:val="0"/>
          <w:sz w:val="24"/>
          <w:szCs w:val="24"/>
          <w:highlight w:val="none"/>
        </w:rPr>
        <w:t>20</w:t>
      </w:r>
      <w:bookmarkStart w:id="526" w:name="_Toc296503148"/>
      <w:bookmarkStart w:id="527" w:name="_Toc337558842"/>
      <w:bookmarkStart w:id="528" w:name="_Toc296346649"/>
      <w:r>
        <w:rPr>
          <w:rFonts w:hint="eastAsia" w:ascii="宋体" w:hAnsi="宋体" w:eastAsia="宋体" w:cs="宋体"/>
          <w:b w:val="0"/>
          <w:color w:val="auto"/>
          <w:spacing w:val="0"/>
          <w:position w:val="0"/>
          <w:sz w:val="24"/>
          <w:szCs w:val="24"/>
          <w:highlight w:val="none"/>
        </w:rPr>
        <w:t>.2调解</w:t>
      </w:r>
      <w:bookmarkEnd w:id="525"/>
    </w:p>
    <w:bookmarkEnd w:id="526"/>
    <w:bookmarkEnd w:id="527"/>
    <w:bookmarkEnd w:id="528"/>
    <w:p w14:paraId="5BA63E99">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合同当事人可以就争议请求建设行政主管部门、行业协会或其他第三方进行调解，调解达成协议的，经双方签字并盖章后作为合同补充文件，双方均应遵照执行。</w:t>
      </w:r>
    </w:p>
    <w:p w14:paraId="67C204A0">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9" w:name="_Toc351203629"/>
      <w:bookmarkStart w:id="530" w:name="_Toc296503149"/>
      <w:bookmarkStart w:id="531" w:name="_Toc296346650"/>
      <w:bookmarkStart w:id="532" w:name="_Toc337558843"/>
      <w:r>
        <w:rPr>
          <w:rFonts w:hint="eastAsia" w:ascii="宋体" w:hAnsi="宋体" w:eastAsia="宋体" w:cs="宋体"/>
          <w:b w:val="0"/>
          <w:color w:val="auto"/>
          <w:spacing w:val="0"/>
          <w:position w:val="0"/>
          <w:sz w:val="24"/>
          <w:szCs w:val="24"/>
          <w:highlight w:val="none"/>
        </w:rPr>
        <w:t>20.3争议评审</w:t>
      </w:r>
      <w:bookmarkEnd w:id="529"/>
    </w:p>
    <w:bookmarkEnd w:id="530"/>
    <w:bookmarkEnd w:id="531"/>
    <w:bookmarkEnd w:id="532"/>
    <w:p w14:paraId="388E6B3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合同当事人在专用合同条款中约定采取争议评审方式解决争议以及评审规则，并按下列约定执行： </w:t>
      </w:r>
    </w:p>
    <w:p w14:paraId="1C55D8C2">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20.3.1 争议评审小组的确定</w:t>
      </w:r>
    </w:p>
    <w:p w14:paraId="0DC4659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167A04A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68BCF8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除专用合同条款另有约定外，评审员报酬由发包人和承包人各承担一半。</w:t>
      </w:r>
    </w:p>
    <w:p w14:paraId="519A849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20.3.2 争议评审小组的决定</w:t>
      </w:r>
    </w:p>
    <w:p w14:paraId="1BCBE4FA">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053A1A">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20.3.3 争议评审小组决定的效力</w:t>
      </w:r>
    </w:p>
    <w:p w14:paraId="13E83E77">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争议评审小组作出的书面决定经合同当事人签字确认后，对双方具有约束力，双方应遵照执行。</w:t>
      </w:r>
    </w:p>
    <w:p w14:paraId="3A40A06C">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任何一方当事人不接受争议评审小组决定或不履行争议评审小组决定的，双方可选择采用其他争议解决方式。</w:t>
      </w:r>
    </w:p>
    <w:p w14:paraId="4FB8DE93">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33" w:name="_Toc351203630"/>
      <w:bookmarkStart w:id="534" w:name="_Toc296503150"/>
      <w:bookmarkStart w:id="535" w:name="_Toc337558844"/>
      <w:bookmarkStart w:id="536" w:name="_Toc296346651"/>
      <w:r>
        <w:rPr>
          <w:rFonts w:hint="eastAsia" w:ascii="宋体" w:hAnsi="宋体" w:eastAsia="宋体" w:cs="宋体"/>
          <w:b w:val="0"/>
          <w:color w:val="auto"/>
          <w:spacing w:val="0"/>
          <w:position w:val="0"/>
          <w:sz w:val="24"/>
          <w:szCs w:val="24"/>
          <w:highlight w:val="none"/>
        </w:rPr>
        <w:t>20.4仲裁或诉讼</w:t>
      </w:r>
      <w:bookmarkEnd w:id="533"/>
    </w:p>
    <w:bookmarkEnd w:id="534"/>
    <w:bookmarkEnd w:id="535"/>
    <w:bookmarkEnd w:id="536"/>
    <w:p w14:paraId="4BD3BB19">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因合同及合同有关事项产生的争议，合同当事人可以在专用合同条款中约定以下一种方式解决争议：</w:t>
      </w:r>
    </w:p>
    <w:p w14:paraId="65418BA3">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（1）向约定的仲裁委员会申请仲裁；</w:t>
      </w:r>
    </w:p>
    <w:p w14:paraId="3E4FA727">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（2）向有管辖权的人民法院起诉。</w:t>
      </w:r>
    </w:p>
    <w:p w14:paraId="09435DBD">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37" w:name="_Toc351203631"/>
      <w:bookmarkStart w:id="538" w:name="_Toc337558845"/>
      <w:bookmarkStart w:id="539" w:name="_Toc296503152"/>
      <w:bookmarkStart w:id="540" w:name="_Toc296346653"/>
      <w:r>
        <w:rPr>
          <w:rFonts w:hint="eastAsia" w:ascii="宋体" w:hAnsi="宋体" w:eastAsia="宋体" w:cs="宋体"/>
          <w:b w:val="0"/>
          <w:color w:val="auto"/>
          <w:spacing w:val="0"/>
          <w:position w:val="0"/>
          <w:sz w:val="24"/>
          <w:szCs w:val="24"/>
          <w:highlight w:val="none"/>
        </w:rPr>
        <w:t>20.5争议解决条款效力</w:t>
      </w:r>
      <w:bookmarkEnd w:id="537"/>
    </w:p>
    <w:bookmarkEnd w:id="538"/>
    <w:bookmarkEnd w:id="539"/>
    <w:bookmarkEnd w:id="540"/>
    <w:p w14:paraId="50F32D0A">
      <w:pPr>
        <w:shd w:val="clear"/>
        <w:autoSpaceDE w:val="0"/>
        <w:autoSpaceDN w:val="0"/>
        <w:adjustRightInd w:val="0"/>
        <w:spacing w:line="288" w:lineRule="auto"/>
        <w:ind w:firstLine="480" w:firstLineChars="200"/>
        <w:jc w:val="lef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合同有关争议解决的条款独立存在，合同的变更、解除、终止、无效或者被撤销均不影响其效力。 </w:t>
      </w:r>
    </w:p>
    <w:p w14:paraId="7FED0FC0">
      <w:pPr>
        <w:pStyle w:val="16"/>
        <w:shd w:val="clear"/>
        <w:rPr>
          <w:rFonts w:hint="eastAsia" w:ascii="宋体" w:hAnsi="宋体" w:eastAsia="宋体" w:cs="宋体"/>
          <w:color w:val="auto"/>
          <w:spacing w:val="0"/>
          <w:kern w:val="0"/>
          <w:position w:val="0"/>
          <w:sz w:val="24"/>
          <w:highlight w:val="none"/>
        </w:rPr>
      </w:pPr>
    </w:p>
    <w:p w14:paraId="135F5BAC">
      <w:pPr>
        <w:pStyle w:val="16"/>
        <w:shd w:val="clear"/>
        <w:rPr>
          <w:rFonts w:hint="eastAsia" w:ascii="宋体" w:hAnsi="宋体" w:eastAsia="宋体" w:cs="宋体"/>
          <w:color w:val="auto"/>
          <w:spacing w:val="0"/>
          <w:kern w:val="0"/>
          <w:position w:val="0"/>
          <w:sz w:val="24"/>
          <w:highlight w:val="none"/>
        </w:rPr>
      </w:pPr>
    </w:p>
    <w:p w14:paraId="6DAFA3C8">
      <w:pPr>
        <w:pStyle w:val="16"/>
        <w:shd w:val="clear"/>
        <w:rPr>
          <w:rFonts w:hint="eastAsia" w:ascii="宋体" w:hAnsi="宋体" w:eastAsia="宋体" w:cs="宋体"/>
          <w:color w:val="auto"/>
          <w:spacing w:val="0"/>
          <w:kern w:val="0"/>
          <w:position w:val="0"/>
          <w:sz w:val="24"/>
          <w:highlight w:val="none"/>
        </w:rPr>
      </w:pPr>
    </w:p>
    <w:p w14:paraId="25E91B0B">
      <w:pPr>
        <w:pStyle w:val="16"/>
        <w:shd w:val="clear"/>
        <w:rPr>
          <w:rFonts w:hint="eastAsia" w:ascii="宋体" w:hAnsi="宋体" w:eastAsia="宋体" w:cs="宋体"/>
          <w:color w:val="auto"/>
          <w:spacing w:val="0"/>
          <w:kern w:val="0"/>
          <w:position w:val="0"/>
          <w:sz w:val="24"/>
          <w:highlight w:val="none"/>
        </w:rPr>
      </w:pPr>
    </w:p>
    <w:p w14:paraId="1F2B1999">
      <w:pPr>
        <w:pStyle w:val="16"/>
        <w:shd w:val="clear"/>
        <w:rPr>
          <w:rFonts w:hint="eastAsia" w:ascii="宋体" w:hAnsi="宋体" w:eastAsia="宋体" w:cs="宋体"/>
          <w:color w:val="auto"/>
          <w:spacing w:val="0"/>
          <w:kern w:val="0"/>
          <w:position w:val="0"/>
          <w:sz w:val="24"/>
          <w:highlight w:val="none"/>
        </w:rPr>
      </w:pPr>
    </w:p>
    <w:p w14:paraId="5F67BB5C">
      <w:pPr>
        <w:pStyle w:val="16"/>
        <w:shd w:val="clear"/>
        <w:rPr>
          <w:rFonts w:hint="eastAsia" w:ascii="宋体" w:hAnsi="宋体" w:eastAsia="宋体" w:cs="宋体"/>
          <w:color w:val="auto"/>
          <w:spacing w:val="0"/>
          <w:kern w:val="0"/>
          <w:position w:val="0"/>
          <w:sz w:val="24"/>
          <w:highlight w:val="none"/>
        </w:rPr>
      </w:pPr>
    </w:p>
    <w:p w14:paraId="50D24473">
      <w:pPr>
        <w:pStyle w:val="16"/>
        <w:shd w:val="clear"/>
        <w:rPr>
          <w:rFonts w:hint="eastAsia" w:ascii="宋体" w:hAnsi="宋体" w:eastAsia="宋体" w:cs="宋体"/>
          <w:color w:val="auto"/>
          <w:spacing w:val="0"/>
          <w:kern w:val="0"/>
          <w:position w:val="0"/>
          <w:sz w:val="24"/>
          <w:highlight w:val="none"/>
        </w:rPr>
      </w:pPr>
    </w:p>
    <w:p w14:paraId="196FE993">
      <w:pPr>
        <w:pStyle w:val="16"/>
        <w:shd w:val="clear"/>
        <w:rPr>
          <w:rFonts w:hint="eastAsia" w:ascii="宋体" w:hAnsi="宋体" w:eastAsia="宋体" w:cs="宋体"/>
          <w:color w:val="auto"/>
          <w:spacing w:val="0"/>
          <w:kern w:val="0"/>
          <w:position w:val="0"/>
          <w:sz w:val="24"/>
          <w:highlight w:val="none"/>
        </w:rPr>
      </w:pPr>
    </w:p>
    <w:p w14:paraId="3372DF78">
      <w:pPr>
        <w:pStyle w:val="16"/>
        <w:shd w:val="clear"/>
        <w:rPr>
          <w:rFonts w:hint="eastAsia" w:ascii="宋体" w:hAnsi="宋体" w:eastAsia="宋体" w:cs="宋体"/>
          <w:color w:val="auto"/>
          <w:spacing w:val="0"/>
          <w:kern w:val="0"/>
          <w:position w:val="0"/>
          <w:sz w:val="24"/>
          <w:highlight w:val="none"/>
        </w:rPr>
      </w:pPr>
    </w:p>
    <w:p w14:paraId="53E49358">
      <w:pPr>
        <w:pStyle w:val="16"/>
        <w:shd w:val="clear"/>
        <w:rPr>
          <w:rFonts w:hint="eastAsia" w:ascii="宋体" w:hAnsi="宋体" w:eastAsia="宋体" w:cs="宋体"/>
          <w:color w:val="auto"/>
          <w:spacing w:val="0"/>
          <w:kern w:val="0"/>
          <w:position w:val="0"/>
          <w:sz w:val="24"/>
          <w:highlight w:val="none"/>
        </w:rPr>
      </w:pPr>
    </w:p>
    <w:p w14:paraId="1347F1DE">
      <w:pPr>
        <w:pStyle w:val="16"/>
        <w:shd w:val="clear"/>
        <w:rPr>
          <w:rFonts w:hint="eastAsia" w:ascii="宋体" w:hAnsi="宋体" w:eastAsia="宋体" w:cs="宋体"/>
          <w:color w:val="auto"/>
          <w:spacing w:val="0"/>
          <w:kern w:val="0"/>
          <w:position w:val="0"/>
          <w:sz w:val="24"/>
          <w:highlight w:val="none"/>
        </w:rPr>
      </w:pPr>
    </w:p>
    <w:p w14:paraId="5A6DFD57">
      <w:pPr>
        <w:pStyle w:val="16"/>
        <w:shd w:val="clear"/>
        <w:rPr>
          <w:rFonts w:hint="eastAsia" w:ascii="宋体" w:hAnsi="宋体" w:eastAsia="宋体" w:cs="宋体"/>
          <w:color w:val="auto"/>
          <w:spacing w:val="0"/>
          <w:kern w:val="0"/>
          <w:position w:val="0"/>
          <w:sz w:val="24"/>
          <w:highlight w:val="none"/>
        </w:rPr>
      </w:pPr>
    </w:p>
    <w:p w14:paraId="3B15F668">
      <w:pPr>
        <w:pStyle w:val="2"/>
        <w:keepNext w:val="0"/>
        <w:keepLines w:val="0"/>
        <w:shd w:val="clear"/>
        <w:spacing w:line="312" w:lineRule="auto"/>
        <w:jc w:val="center"/>
        <w:rPr>
          <w:rFonts w:ascii="宋体" w:hAnsi="宋体" w:eastAsia="宋体" w:cs="宋体"/>
          <w:color w:val="auto"/>
          <w:spacing w:val="0"/>
          <w:position w:val="0"/>
          <w:sz w:val="30"/>
          <w:szCs w:val="30"/>
          <w:highlight w:val="none"/>
        </w:rPr>
      </w:pPr>
      <w:r>
        <w:rPr>
          <w:rFonts w:hint="eastAsia" w:ascii="宋体" w:hAnsi="宋体" w:eastAsia="宋体" w:cs="宋体"/>
          <w:color w:val="auto"/>
          <w:spacing w:val="0"/>
          <w:position w:val="0"/>
          <w:sz w:val="30"/>
          <w:szCs w:val="30"/>
          <w:highlight w:val="none"/>
        </w:rPr>
        <w:t>第三部分 专用合同条款</w:t>
      </w:r>
      <w:bookmarkEnd w:id="104"/>
      <w:bookmarkEnd w:id="105"/>
      <w:bookmarkEnd w:id="106"/>
      <w:bookmarkEnd w:id="108"/>
      <w:bookmarkEnd w:id="109"/>
      <w:bookmarkEnd w:id="110"/>
      <w:bookmarkEnd w:id="111"/>
      <w:bookmarkEnd w:id="112"/>
      <w:bookmarkEnd w:id="113"/>
    </w:p>
    <w:p w14:paraId="6C3E61DB">
      <w:pPr>
        <w:shd w:val="clear"/>
        <w:spacing w:line="312" w:lineRule="auto"/>
        <w:rPr>
          <w:color w:val="auto"/>
          <w:spacing w:val="0"/>
          <w:position w:val="0"/>
          <w:highlight w:val="none"/>
        </w:rPr>
      </w:pPr>
    </w:p>
    <w:p w14:paraId="065ABDEA">
      <w:pPr>
        <w:pStyle w:val="3"/>
        <w:shd w:val="clear"/>
        <w:adjustRightInd w:val="0"/>
        <w:snapToGrid w:val="0"/>
        <w:spacing w:line="360" w:lineRule="auto"/>
        <w:rPr>
          <w:rFonts w:ascii="宋体" w:hAnsi="宋体" w:eastAsia="宋体" w:cs="宋体"/>
          <w:color w:val="auto"/>
          <w:spacing w:val="0"/>
          <w:position w:val="0"/>
          <w:sz w:val="24"/>
          <w:szCs w:val="40"/>
          <w:highlight w:val="none"/>
        </w:rPr>
      </w:pPr>
      <w:bookmarkStart w:id="541" w:name="_Toc373227692"/>
      <w:bookmarkStart w:id="542" w:name="_Toc14784"/>
      <w:bookmarkStart w:id="543" w:name="_Toc373478339"/>
      <w:bookmarkStart w:id="544" w:name="_Toc389065258"/>
      <w:bookmarkStart w:id="545" w:name="_Toc14791"/>
      <w:bookmarkStart w:id="546" w:name="_Toc461982826"/>
      <w:bookmarkStart w:id="547" w:name="_Toc351203633"/>
      <w:bookmarkStart w:id="548" w:name="_Toc439779031"/>
      <w:bookmarkStart w:id="549" w:name="_Toc296346657"/>
      <w:bookmarkStart w:id="550" w:name="_Toc296891196"/>
      <w:bookmarkStart w:id="551" w:name="_Toc296347155"/>
      <w:bookmarkStart w:id="552" w:name="_Toc292559361"/>
      <w:bookmarkStart w:id="553" w:name="_Toc296944495"/>
      <w:bookmarkStart w:id="554" w:name="_Toc292559866"/>
      <w:bookmarkStart w:id="555" w:name="_Toc296890984"/>
      <w:bookmarkStart w:id="556" w:name="_Toc296503156"/>
      <w:bookmarkStart w:id="557" w:name="_Toc297120456"/>
      <w:bookmarkStart w:id="558" w:name="_Toc297048342"/>
      <w:r>
        <w:rPr>
          <w:rFonts w:hint="eastAsia" w:ascii="宋体" w:hAnsi="宋体" w:eastAsia="宋体" w:cs="宋体"/>
          <w:color w:val="auto"/>
          <w:spacing w:val="0"/>
          <w:position w:val="0"/>
          <w:sz w:val="24"/>
          <w:szCs w:val="40"/>
          <w:highlight w:val="none"/>
        </w:rPr>
        <w:t>一. 一般约定</w:t>
      </w:r>
      <w:bookmarkEnd w:id="541"/>
      <w:bookmarkEnd w:id="542"/>
      <w:bookmarkEnd w:id="543"/>
      <w:bookmarkEnd w:id="544"/>
      <w:bookmarkEnd w:id="545"/>
      <w:bookmarkEnd w:id="546"/>
      <w:bookmarkEnd w:id="547"/>
      <w:bookmarkEnd w:id="548"/>
    </w:p>
    <w:bookmarkEnd w:id="549"/>
    <w:bookmarkEnd w:id="550"/>
    <w:bookmarkEnd w:id="551"/>
    <w:bookmarkEnd w:id="552"/>
    <w:bookmarkEnd w:id="553"/>
    <w:bookmarkEnd w:id="554"/>
    <w:bookmarkEnd w:id="555"/>
    <w:bookmarkEnd w:id="556"/>
    <w:bookmarkEnd w:id="557"/>
    <w:bookmarkEnd w:id="558"/>
    <w:p w14:paraId="3DFA1D8B">
      <w:pPr>
        <w:pStyle w:val="4"/>
        <w:shd w:val="clear"/>
        <w:adjustRightInd w:val="0"/>
        <w:snapToGrid w:val="0"/>
        <w:rPr>
          <w:rFonts w:ascii="宋体" w:hAnsi="宋体" w:eastAsia="宋体" w:cs="宋体"/>
          <w:color w:val="auto"/>
          <w:spacing w:val="0"/>
          <w:position w:val="0"/>
          <w:sz w:val="24"/>
          <w:szCs w:val="40"/>
          <w:highlight w:val="none"/>
        </w:rPr>
      </w:pPr>
      <w:bookmarkStart w:id="559" w:name="_Toc389065259"/>
      <w:bookmarkStart w:id="560" w:name="_Toc461982827"/>
      <w:bookmarkStart w:id="561" w:name="_Toc373227693"/>
      <w:bookmarkStart w:id="562" w:name="_Toc16308"/>
      <w:bookmarkStart w:id="563" w:name="_Toc373478340"/>
      <w:bookmarkStart w:id="564" w:name="_Toc439779032"/>
      <w:bookmarkStart w:id="565" w:name="_Toc20097"/>
      <w:r>
        <w:rPr>
          <w:rFonts w:hint="eastAsia" w:ascii="宋体" w:hAnsi="宋体" w:eastAsia="宋体" w:cs="宋体"/>
          <w:color w:val="auto"/>
          <w:spacing w:val="0"/>
          <w:position w:val="0"/>
          <w:sz w:val="24"/>
          <w:szCs w:val="40"/>
          <w:highlight w:val="none"/>
        </w:rPr>
        <w:t>1.1 词语定义</w:t>
      </w:r>
      <w:bookmarkEnd w:id="559"/>
      <w:bookmarkEnd w:id="560"/>
      <w:bookmarkEnd w:id="561"/>
      <w:bookmarkEnd w:id="562"/>
      <w:bookmarkEnd w:id="563"/>
      <w:bookmarkEnd w:id="564"/>
      <w:bookmarkEnd w:id="565"/>
    </w:p>
    <w:p w14:paraId="367EB7A9">
      <w:pPr>
        <w:shd w:val="clear"/>
        <w:adjustRightInd w:val="0"/>
        <w:snapToGrid w:val="0"/>
        <w:spacing w:line="360" w:lineRule="auto"/>
        <w:ind w:firstLine="480" w:firstLineChars="200"/>
        <w:outlineLvl w:val="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 合同</w:t>
      </w:r>
    </w:p>
    <w:p w14:paraId="2639DFC1">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1.1.1.10 其他合同文件包括：</w:t>
      </w:r>
      <w:r>
        <w:rPr>
          <w:rFonts w:hint="eastAsia" w:ascii="宋体" w:hAnsi="宋体" w:cs="宋体"/>
          <w:color w:val="auto"/>
          <w:spacing w:val="0"/>
          <w:position w:val="0"/>
          <w:sz w:val="24"/>
          <w:highlight w:val="none"/>
          <w:u w:val="single"/>
          <w:lang w:val="en-US" w:eastAsia="zh-CN"/>
        </w:rPr>
        <w:t>响应</w:t>
      </w:r>
      <w:r>
        <w:rPr>
          <w:rFonts w:hint="eastAsia" w:ascii="宋体" w:hAnsi="宋体" w:eastAsia="宋体" w:cs="宋体"/>
          <w:color w:val="auto"/>
          <w:spacing w:val="0"/>
          <w:position w:val="0"/>
          <w:sz w:val="24"/>
          <w:highlight w:val="none"/>
          <w:u w:val="single"/>
        </w:rPr>
        <w:t>文件及其附件，</w:t>
      </w:r>
      <w:r>
        <w:rPr>
          <w:rFonts w:hint="eastAsia" w:ascii="宋体" w:hAnsi="宋体" w:cs="宋体"/>
          <w:color w:val="auto"/>
          <w:spacing w:val="0"/>
          <w:position w:val="0"/>
          <w:sz w:val="24"/>
          <w:highlight w:val="none"/>
          <w:u w:val="single"/>
          <w:lang w:val="en-US" w:eastAsia="zh-CN"/>
        </w:rPr>
        <w:t>竞争性磋商</w:t>
      </w:r>
      <w:r>
        <w:rPr>
          <w:rFonts w:hint="eastAsia" w:ascii="宋体" w:hAnsi="宋体" w:eastAsia="宋体" w:cs="宋体"/>
          <w:color w:val="auto"/>
          <w:spacing w:val="0"/>
          <w:position w:val="0"/>
          <w:sz w:val="24"/>
          <w:highlight w:val="none"/>
          <w:u w:val="single"/>
        </w:rPr>
        <w:t xml:space="preserve">文件（含补充通知和答疑），履约保证经缴纳证明，履约过程中双方法定代表人（或双方工地代表人）书面确认的对合同内容有实质性影响的会议纪要、签证、设计变更等资料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0"/>
          <w:position w:val="0"/>
          <w:sz w:val="24"/>
          <w:highlight w:val="none"/>
        </w:rPr>
        <w:t>。</w:t>
      </w:r>
    </w:p>
    <w:p w14:paraId="3ED9A5E5">
      <w:pPr>
        <w:pStyle w:val="4"/>
        <w:shd w:val="clear"/>
        <w:adjustRightInd w:val="0"/>
        <w:snapToGrid w:val="0"/>
        <w:rPr>
          <w:rFonts w:ascii="宋体" w:hAnsi="宋体" w:eastAsia="宋体" w:cs="宋体"/>
          <w:color w:val="auto"/>
          <w:spacing w:val="0"/>
          <w:position w:val="0"/>
          <w:sz w:val="24"/>
          <w:szCs w:val="40"/>
          <w:highlight w:val="none"/>
        </w:rPr>
      </w:pPr>
      <w:bookmarkStart w:id="566" w:name="_Toc373478343"/>
      <w:bookmarkStart w:id="567" w:name="_Toc373227696"/>
      <w:bookmarkStart w:id="568" w:name="_Toc26377"/>
      <w:bookmarkStart w:id="569" w:name="_Toc439779035"/>
      <w:bookmarkStart w:id="570" w:name="_Toc25240"/>
      <w:bookmarkStart w:id="571" w:name="_Toc461982830"/>
      <w:bookmarkStart w:id="572" w:name="_Toc389065262"/>
      <w:r>
        <w:rPr>
          <w:rFonts w:hint="eastAsia" w:ascii="宋体" w:hAnsi="宋体" w:eastAsia="宋体" w:cs="宋体"/>
          <w:color w:val="auto"/>
          <w:spacing w:val="0"/>
          <w:position w:val="0"/>
          <w:sz w:val="24"/>
          <w:szCs w:val="40"/>
          <w:highlight w:val="none"/>
        </w:rPr>
        <w:t>1.4 合同文件的优先顺序</w:t>
      </w:r>
      <w:bookmarkEnd w:id="566"/>
      <w:bookmarkEnd w:id="567"/>
      <w:bookmarkEnd w:id="568"/>
      <w:bookmarkEnd w:id="569"/>
      <w:bookmarkEnd w:id="570"/>
      <w:bookmarkEnd w:id="571"/>
      <w:bookmarkEnd w:id="572"/>
    </w:p>
    <w:p w14:paraId="1FE44F54">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合同文件组成及优先顺序为：</w:t>
      </w:r>
    </w:p>
    <w:p w14:paraId="63CABEC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w:t>
      </w:r>
      <w:r>
        <w:rPr>
          <w:rFonts w:hint="eastAsia" w:ascii="宋体" w:hAnsi="宋体" w:cs="宋体"/>
          <w:color w:val="auto"/>
          <w:spacing w:val="0"/>
          <w:kern w:val="0"/>
          <w:position w:val="0"/>
          <w:sz w:val="24"/>
          <w:highlight w:val="none"/>
          <w:lang w:val="en-US" w:eastAsia="zh-CN"/>
        </w:rPr>
        <w:t>成交</w:t>
      </w:r>
      <w:r>
        <w:rPr>
          <w:rFonts w:hint="eastAsia" w:ascii="宋体" w:hAnsi="宋体" w:eastAsia="宋体" w:cs="宋体"/>
          <w:color w:val="auto"/>
          <w:spacing w:val="0"/>
          <w:kern w:val="0"/>
          <w:position w:val="0"/>
          <w:sz w:val="24"/>
          <w:highlight w:val="none"/>
        </w:rPr>
        <w:t>通知书；</w:t>
      </w:r>
    </w:p>
    <w:p w14:paraId="0DE1A5A1">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（2）投标函及其附录；</w:t>
      </w:r>
    </w:p>
    <w:p w14:paraId="0FDEF63D">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（3）专用合同条款及其附件；</w:t>
      </w:r>
    </w:p>
    <w:p w14:paraId="5D628F0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（4）通用合同条款；</w:t>
      </w:r>
    </w:p>
    <w:p w14:paraId="6B5D05C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w:t>
      </w:r>
      <w:r>
        <w:rPr>
          <w:rFonts w:hint="eastAsia" w:ascii="宋体" w:hAnsi="宋体" w:eastAsia="宋体" w:cs="宋体"/>
          <w:color w:val="auto"/>
          <w:spacing w:val="0"/>
          <w:kern w:val="0"/>
          <w:position w:val="0"/>
          <w:sz w:val="24"/>
          <w:highlight w:val="none"/>
          <w:u w:val="single"/>
        </w:rPr>
        <w:t xml:space="preserve"> 技术标准和要求          </w:t>
      </w:r>
      <w:r>
        <w:rPr>
          <w:rFonts w:hint="eastAsia" w:ascii="宋体" w:hAnsi="宋体" w:eastAsia="宋体" w:cs="宋体"/>
          <w:color w:val="auto"/>
          <w:spacing w:val="0"/>
          <w:kern w:val="0"/>
          <w:position w:val="0"/>
          <w:sz w:val="24"/>
          <w:highlight w:val="none"/>
        </w:rPr>
        <w:t>；</w:t>
      </w:r>
    </w:p>
    <w:p w14:paraId="7B871559">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w:t>
      </w:r>
      <w:r>
        <w:rPr>
          <w:rFonts w:hint="eastAsia" w:ascii="宋体" w:hAnsi="宋体" w:eastAsia="宋体" w:cs="宋体"/>
          <w:color w:val="auto"/>
          <w:spacing w:val="0"/>
          <w:kern w:val="0"/>
          <w:position w:val="0"/>
          <w:sz w:val="24"/>
          <w:highlight w:val="none"/>
          <w:u w:val="single"/>
        </w:rPr>
        <w:t xml:space="preserve"> 施工图纸                </w:t>
      </w:r>
      <w:r>
        <w:rPr>
          <w:rFonts w:hint="eastAsia" w:ascii="宋体" w:hAnsi="宋体" w:eastAsia="宋体" w:cs="宋体"/>
          <w:color w:val="auto"/>
          <w:spacing w:val="0"/>
          <w:kern w:val="0"/>
          <w:position w:val="0"/>
          <w:sz w:val="24"/>
          <w:highlight w:val="none"/>
        </w:rPr>
        <w:t>；</w:t>
      </w:r>
    </w:p>
    <w:p w14:paraId="663533CA">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w:t>
      </w:r>
      <w:r>
        <w:rPr>
          <w:rFonts w:hint="eastAsia" w:ascii="宋体" w:hAnsi="宋体" w:eastAsia="宋体" w:cs="宋体"/>
          <w:color w:val="auto"/>
          <w:spacing w:val="0"/>
          <w:kern w:val="0"/>
          <w:position w:val="0"/>
          <w:sz w:val="24"/>
          <w:highlight w:val="none"/>
          <w:u w:val="single"/>
        </w:rPr>
        <w:t xml:space="preserve"> 已标价的工程量清单（投标文件）</w:t>
      </w:r>
      <w:r>
        <w:rPr>
          <w:rFonts w:hint="eastAsia" w:ascii="宋体" w:hAnsi="宋体" w:eastAsia="宋体" w:cs="宋体"/>
          <w:color w:val="auto"/>
          <w:spacing w:val="0"/>
          <w:kern w:val="0"/>
          <w:position w:val="0"/>
          <w:sz w:val="24"/>
          <w:highlight w:val="none"/>
        </w:rPr>
        <w:t>；</w:t>
      </w:r>
    </w:p>
    <w:p w14:paraId="35697FF9">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w:t>
      </w:r>
      <w:r>
        <w:rPr>
          <w:rFonts w:hint="eastAsia" w:ascii="宋体" w:hAnsi="宋体" w:eastAsia="宋体" w:cs="宋体"/>
          <w:color w:val="auto"/>
          <w:spacing w:val="0"/>
          <w:kern w:val="0"/>
          <w:position w:val="0"/>
          <w:sz w:val="24"/>
          <w:highlight w:val="none"/>
          <w:u w:val="single"/>
        </w:rPr>
        <w:t xml:space="preserve"> 其他合同文件、设计变更等文件  </w:t>
      </w:r>
      <w:r>
        <w:rPr>
          <w:rFonts w:hint="eastAsia" w:ascii="宋体" w:hAnsi="宋体" w:eastAsia="宋体" w:cs="宋体"/>
          <w:color w:val="auto"/>
          <w:spacing w:val="0"/>
          <w:kern w:val="0"/>
          <w:position w:val="0"/>
          <w:sz w:val="24"/>
          <w:highlight w:val="none"/>
        </w:rPr>
        <w:t>。</w:t>
      </w:r>
    </w:p>
    <w:p w14:paraId="6A52187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（9）《建设工程工程量清单计价规范（GB5050-2013）》及其广西实施细则、《建设工程工程量清单计算规范（GB5854~50862-2013）》及其广西实施细则。</w:t>
      </w:r>
    </w:p>
    <w:p w14:paraId="42E4197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说明：（6）、（7）、（8）填空内容分别限于技术标准和要求、图纸、已标价工程量清单或预算书、其他合同文件四者之一，其优先顺序可根据采取的不同合同方式由双方约定。</w:t>
      </w:r>
    </w:p>
    <w:p w14:paraId="3D28C67A">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语言文字和适用法律、标准及规范</w:t>
      </w:r>
    </w:p>
    <w:p w14:paraId="61A50AC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3.1本合同除使用汉语外，还使用</w:t>
      </w:r>
      <w:r>
        <w:rPr>
          <w:rFonts w:hint="eastAsia" w:ascii="宋体" w:hAnsi="宋体" w:eastAsia="宋体" w:cs="宋体"/>
          <w:color w:val="auto"/>
          <w:spacing w:val="0"/>
          <w:position w:val="0"/>
          <w:sz w:val="24"/>
          <w:szCs w:val="32"/>
          <w:highlight w:val="none"/>
          <w:u w:val="single"/>
        </w:rPr>
        <w:t xml:space="preserve"> 无其他 </w:t>
      </w:r>
      <w:r>
        <w:rPr>
          <w:rFonts w:hint="eastAsia" w:ascii="宋体" w:hAnsi="宋体" w:eastAsia="宋体" w:cs="宋体"/>
          <w:color w:val="auto"/>
          <w:spacing w:val="0"/>
          <w:position w:val="0"/>
          <w:sz w:val="24"/>
          <w:szCs w:val="32"/>
          <w:highlight w:val="none"/>
        </w:rPr>
        <w:t>语言文字</w:t>
      </w:r>
    </w:p>
    <w:p w14:paraId="08F16A6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3.2法律和法规</w:t>
      </w:r>
    </w:p>
    <w:p w14:paraId="6B948A0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  需要明示的法律、行政法规：</w:t>
      </w:r>
      <w:r>
        <w:rPr>
          <w:rFonts w:hint="eastAsia" w:ascii="宋体" w:hAnsi="宋体" w:eastAsia="宋体" w:cs="宋体"/>
          <w:color w:val="auto"/>
          <w:spacing w:val="0"/>
          <w:position w:val="0"/>
          <w:sz w:val="24"/>
          <w:szCs w:val="32"/>
          <w:highlight w:val="none"/>
          <w:u w:val="single"/>
        </w:rPr>
        <w:t xml:space="preserve"> 按合同签订时国家现行法律、行政法规及工程所在地政府的有关法规和规章。</w:t>
      </w:r>
    </w:p>
    <w:p w14:paraId="2DDDD28E">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发包人提供标准、规范时间：</w:t>
      </w:r>
      <w:r>
        <w:rPr>
          <w:rFonts w:hint="eastAsia" w:ascii="宋体" w:hAnsi="宋体" w:eastAsia="宋体" w:cs="宋体"/>
          <w:color w:val="auto"/>
          <w:spacing w:val="0"/>
          <w:position w:val="0"/>
          <w:sz w:val="24"/>
          <w:szCs w:val="32"/>
          <w:highlight w:val="none"/>
          <w:u w:val="single"/>
        </w:rPr>
        <w:t xml:space="preserve"> 无 。</w:t>
      </w:r>
    </w:p>
    <w:p w14:paraId="07AAD1D1">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国内没有相应的标准、规范时的约定：</w:t>
      </w:r>
      <w:r>
        <w:rPr>
          <w:rFonts w:hint="eastAsia" w:ascii="宋体" w:hAnsi="宋体" w:eastAsia="宋体" w:cs="宋体"/>
          <w:color w:val="auto"/>
          <w:spacing w:val="0"/>
          <w:position w:val="0"/>
          <w:sz w:val="24"/>
          <w:szCs w:val="32"/>
          <w:highlight w:val="none"/>
          <w:u w:val="single"/>
        </w:rPr>
        <w:t xml:space="preserve"> 无。</w:t>
      </w:r>
    </w:p>
    <w:p w14:paraId="1EF4943C">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图纸</w:t>
      </w:r>
    </w:p>
    <w:p w14:paraId="1DAEB567">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4.1发包人向承包人提供图纸日期和套数：</w:t>
      </w:r>
      <w:r>
        <w:rPr>
          <w:rFonts w:hint="eastAsia" w:ascii="宋体" w:hAnsi="宋体" w:eastAsia="宋体" w:cs="宋体"/>
          <w:color w:val="auto"/>
          <w:spacing w:val="0"/>
          <w:position w:val="0"/>
          <w:sz w:val="24"/>
          <w:szCs w:val="32"/>
          <w:highlight w:val="none"/>
          <w:u w:val="single"/>
        </w:rPr>
        <w:t xml:space="preserve"> 签订合同起5个工作日内提供一式肆份设计图纸。</w:t>
      </w:r>
    </w:p>
    <w:p w14:paraId="2A9018A7">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4.2发包人对图纸的保密要求：</w:t>
      </w:r>
      <w:r>
        <w:rPr>
          <w:rFonts w:hint="eastAsia" w:ascii="宋体" w:hAnsi="宋体" w:eastAsia="宋体" w:cs="宋体"/>
          <w:color w:val="auto"/>
          <w:spacing w:val="0"/>
          <w:position w:val="0"/>
          <w:sz w:val="24"/>
          <w:szCs w:val="32"/>
          <w:highlight w:val="none"/>
          <w:u w:val="single"/>
        </w:rPr>
        <w:t xml:space="preserve"> 未经发包人同意，承包人不得将图纸转借给第三人。</w:t>
      </w:r>
    </w:p>
    <w:p w14:paraId="2F125CBE">
      <w:pPr>
        <w:numPr>
          <w:ilvl w:val="0"/>
          <w:numId w:val="11"/>
        </w:numPr>
        <w:shd w:val="clear"/>
        <w:adjustRightInd w:val="0"/>
        <w:snapToGrid w:val="0"/>
        <w:spacing w:line="360" w:lineRule="auto"/>
        <w:rPr>
          <w:rFonts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双方一般权利和义务</w:t>
      </w:r>
    </w:p>
    <w:p w14:paraId="4BC19D72">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工程师：</w:t>
      </w:r>
    </w:p>
    <w:p w14:paraId="16869423">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  5.1监理单位：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37A6BF8D">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委派的工程师姓名：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职务：</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电话：</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34DEF3A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发包人委托是职权：</w:t>
      </w:r>
      <w:r>
        <w:rPr>
          <w:rFonts w:hint="eastAsia" w:ascii="宋体" w:hAnsi="宋体" w:eastAsia="宋体" w:cs="宋体"/>
          <w:color w:val="auto"/>
          <w:spacing w:val="0"/>
          <w:position w:val="0"/>
          <w:sz w:val="24"/>
          <w:szCs w:val="32"/>
          <w:highlight w:val="none"/>
          <w:u w:val="single"/>
        </w:rPr>
        <w:t xml:space="preserve"> 按本工程委托监理合同 </w:t>
      </w:r>
    </w:p>
    <w:p w14:paraId="325D546E">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需要取得发包人批准才能行使的职权：</w:t>
      </w:r>
      <w:r>
        <w:rPr>
          <w:rFonts w:hint="eastAsia" w:ascii="宋体" w:hAnsi="宋体" w:eastAsia="宋体" w:cs="宋体"/>
          <w:color w:val="auto"/>
          <w:spacing w:val="0"/>
          <w:position w:val="0"/>
          <w:sz w:val="24"/>
          <w:szCs w:val="32"/>
          <w:highlight w:val="none"/>
          <w:u w:val="single"/>
        </w:rPr>
        <w:t xml:space="preserve">  按本合同委托监理合同 。</w:t>
      </w:r>
    </w:p>
    <w:p w14:paraId="4D332184">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5.2发包人派驻的工程师</w:t>
      </w:r>
    </w:p>
    <w:p w14:paraId="40FBAE7A">
      <w:pPr>
        <w:shd w:val="clear"/>
        <w:adjustRightInd w:val="0"/>
        <w:snapToGrid w:val="0"/>
        <w:spacing w:line="360" w:lineRule="auto"/>
        <w:ind w:firstLine="240" w:firstLineChars="100"/>
        <w:rPr>
          <w:rFonts w:hint="default"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rPr>
        <w:t>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电话：</w:t>
      </w:r>
      <w:r>
        <w:rPr>
          <w:rFonts w:hint="eastAsia" w:ascii="宋体" w:hAnsi="宋体" w:eastAsia="宋体" w:cs="宋体"/>
          <w:color w:val="auto"/>
          <w:spacing w:val="0"/>
          <w:position w:val="0"/>
          <w:sz w:val="24"/>
          <w:szCs w:val="32"/>
          <w:highlight w:val="none"/>
          <w:u w:val="single"/>
          <w:lang w:val="en-US" w:eastAsia="zh-CN"/>
        </w:rPr>
        <w:t xml:space="preserve">     </w:t>
      </w:r>
    </w:p>
    <w:p w14:paraId="118BB957">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职权：</w:t>
      </w:r>
      <w:r>
        <w:rPr>
          <w:rFonts w:hint="eastAsia" w:ascii="宋体" w:hAnsi="宋体" w:eastAsia="宋体" w:cs="宋体"/>
          <w:color w:val="auto"/>
          <w:spacing w:val="0"/>
          <w:position w:val="0"/>
          <w:sz w:val="24"/>
          <w:szCs w:val="32"/>
          <w:highlight w:val="none"/>
          <w:u w:val="single"/>
        </w:rPr>
        <w:t xml:space="preserve"> 负责工程施工的协调工作，负责施工工程有关验收、签证、结算、工程资料审查等工作。</w:t>
      </w:r>
    </w:p>
    <w:p w14:paraId="678C34C2">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5.3不实行监理的，工程师的职权：</w:t>
      </w:r>
      <w:r>
        <w:rPr>
          <w:rFonts w:hint="eastAsia" w:ascii="宋体" w:hAnsi="宋体" w:eastAsia="宋体" w:cs="宋体"/>
          <w:color w:val="auto"/>
          <w:spacing w:val="0"/>
          <w:position w:val="0"/>
          <w:sz w:val="24"/>
          <w:szCs w:val="32"/>
          <w:highlight w:val="none"/>
          <w:u w:val="single"/>
        </w:rPr>
        <w:t xml:space="preserve">  无 </w:t>
      </w:r>
      <w:r>
        <w:rPr>
          <w:rFonts w:hint="eastAsia" w:ascii="宋体" w:hAnsi="宋体" w:eastAsia="宋体" w:cs="宋体"/>
          <w:color w:val="auto"/>
          <w:spacing w:val="0"/>
          <w:position w:val="0"/>
          <w:sz w:val="24"/>
          <w:szCs w:val="32"/>
          <w:highlight w:val="none"/>
        </w:rPr>
        <w:t xml:space="preserve"> 。</w:t>
      </w:r>
    </w:p>
    <w:p w14:paraId="2F78A3BD">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项目经理</w:t>
      </w:r>
    </w:p>
    <w:p w14:paraId="031459F4">
      <w:pPr>
        <w:shd w:val="clear"/>
        <w:adjustRightInd w:val="0"/>
        <w:snapToGrid w:val="0"/>
        <w:spacing w:line="360" w:lineRule="auto"/>
        <w:ind w:firstLine="480" w:firstLineChars="200"/>
        <w:rPr>
          <w:rFonts w:hint="eastAsia"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职务：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055A67AD">
      <w:pPr>
        <w:shd w:val="clear"/>
        <w:adjustRightInd w:val="0"/>
        <w:snapToGrid w:val="0"/>
        <w:spacing w:line="360" w:lineRule="auto"/>
        <w:ind w:firstLine="480" w:firstLineChars="200"/>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项目经理须</w:t>
      </w:r>
      <w:r>
        <w:rPr>
          <w:rFonts w:hint="eastAsia" w:ascii="宋体" w:hAnsi="宋体" w:eastAsia="宋体" w:cs="宋体"/>
          <w:color w:val="auto"/>
          <w:spacing w:val="0"/>
          <w:position w:val="0"/>
          <w:sz w:val="24"/>
          <w:szCs w:val="32"/>
          <w:highlight w:val="none"/>
          <w:lang w:val="en-US" w:eastAsia="zh-CN"/>
        </w:rPr>
        <w:t>无在建项目、已中标或者已列为其他项目中标候选人第一名的建造师作为项目经理。 100万元以下的小型项目（同一行政区域内）</w:t>
      </w:r>
      <w:r>
        <w:rPr>
          <w:rFonts w:hint="eastAsia" w:ascii="宋体" w:hAnsi="宋体" w:cs="宋体"/>
          <w:color w:val="auto"/>
          <w:spacing w:val="0"/>
          <w:position w:val="0"/>
          <w:sz w:val="24"/>
          <w:szCs w:val="32"/>
          <w:highlight w:val="none"/>
          <w:lang w:val="en-US" w:eastAsia="zh-CN"/>
        </w:rPr>
        <w:t>，</w:t>
      </w:r>
      <w:r>
        <w:rPr>
          <w:rFonts w:hint="eastAsia" w:ascii="宋体" w:hAnsi="宋体" w:eastAsia="宋体" w:cs="宋体"/>
          <w:color w:val="auto"/>
          <w:spacing w:val="0"/>
          <w:position w:val="0"/>
          <w:sz w:val="24"/>
          <w:szCs w:val="32"/>
          <w:highlight w:val="none"/>
          <w:lang w:val="en-US" w:eastAsia="zh-CN"/>
        </w:rPr>
        <w:t>拟派的项目经理不得参与超过两个在建或中标项目。</w:t>
      </w:r>
    </w:p>
    <w:p w14:paraId="7F7263B6">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8、发包人工作</w:t>
      </w:r>
    </w:p>
    <w:p w14:paraId="5CE3F56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8.1发包人应按约定的时间和要求完成以下工作：</w:t>
      </w:r>
    </w:p>
    <w:p w14:paraId="12D25E73">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施工场地具备施工条件的要求及完成的时间：</w:t>
      </w:r>
      <w:r>
        <w:rPr>
          <w:rFonts w:hint="eastAsia" w:ascii="宋体" w:hAnsi="宋体" w:eastAsia="宋体" w:cs="宋体"/>
          <w:color w:val="auto"/>
          <w:spacing w:val="0"/>
          <w:position w:val="0"/>
          <w:sz w:val="24"/>
          <w:szCs w:val="32"/>
          <w:highlight w:val="none"/>
          <w:u w:val="single"/>
        </w:rPr>
        <w:t xml:space="preserve"> 开工前7日，发包人移交施工工地等工作。</w:t>
      </w:r>
    </w:p>
    <w:p w14:paraId="6A9C92FB">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将施工所需的水、电、电讯线路接至施工场地的时间、地点和供应要求：</w:t>
      </w:r>
      <w:r>
        <w:rPr>
          <w:rFonts w:hint="eastAsia" w:ascii="宋体" w:hAnsi="宋体" w:eastAsia="宋体" w:cs="宋体"/>
          <w:color w:val="auto"/>
          <w:spacing w:val="0"/>
          <w:position w:val="0"/>
          <w:sz w:val="24"/>
          <w:szCs w:val="32"/>
          <w:highlight w:val="none"/>
          <w:u w:val="single"/>
        </w:rPr>
        <w:t>协调提供水、电接口；电讯线路由承包人自行处理。水、电、通讯费用由承包人支付。</w:t>
      </w:r>
    </w:p>
    <w:p w14:paraId="31E99206">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施工场地与公共道路的通道开通时间和要求：</w:t>
      </w:r>
      <w:r>
        <w:rPr>
          <w:rFonts w:hint="eastAsia" w:ascii="宋体" w:hAnsi="宋体" w:eastAsia="宋体" w:cs="宋体"/>
          <w:color w:val="auto"/>
          <w:spacing w:val="0"/>
          <w:position w:val="0"/>
          <w:sz w:val="24"/>
          <w:szCs w:val="32"/>
          <w:highlight w:val="none"/>
          <w:u w:val="single"/>
        </w:rPr>
        <w:t xml:space="preserve"> 开工前7天做到施工现场周围道路畅通，并满足施工运输需要。</w:t>
      </w:r>
    </w:p>
    <w:p w14:paraId="0048CAD9">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工程地质和地下管线资料的提供时间：</w:t>
      </w:r>
      <w:r>
        <w:rPr>
          <w:rFonts w:hint="eastAsia" w:ascii="宋体" w:hAnsi="宋体" w:eastAsia="宋体" w:cs="宋体"/>
          <w:color w:val="auto"/>
          <w:spacing w:val="0"/>
          <w:position w:val="0"/>
          <w:sz w:val="24"/>
          <w:szCs w:val="32"/>
          <w:highlight w:val="none"/>
          <w:u w:val="single"/>
        </w:rPr>
        <w:t>与开工前7天提供一套完整、准确的地质资料（应含有地下管线的走向及所埋深度等内容）。</w:t>
      </w:r>
    </w:p>
    <w:p w14:paraId="291A9C00">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由发包人办理的施工所需证件、批件的名称和完成时间：</w:t>
      </w:r>
      <w:r>
        <w:rPr>
          <w:rFonts w:hint="eastAsia" w:ascii="宋体" w:hAnsi="宋体" w:eastAsia="宋体" w:cs="宋体"/>
          <w:color w:val="auto"/>
          <w:spacing w:val="0"/>
          <w:position w:val="0"/>
          <w:sz w:val="24"/>
          <w:szCs w:val="32"/>
          <w:highlight w:val="none"/>
          <w:u w:val="single"/>
        </w:rPr>
        <w:t>开工7日前办理好施工许可证和临时用地证等开工所需的全部证件和批件。</w:t>
      </w:r>
    </w:p>
    <w:p w14:paraId="71104E83">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水准点与坐标控制点交验要求：</w:t>
      </w:r>
      <w:r>
        <w:rPr>
          <w:rFonts w:hint="eastAsia" w:ascii="宋体" w:hAnsi="宋体" w:eastAsia="宋体" w:cs="宋体"/>
          <w:color w:val="auto"/>
          <w:spacing w:val="0"/>
          <w:position w:val="0"/>
          <w:sz w:val="24"/>
          <w:szCs w:val="32"/>
          <w:highlight w:val="none"/>
          <w:u w:val="single"/>
        </w:rPr>
        <w:t xml:space="preserve"> 发包人在开工前以书面形式交给承包人，并双方在现场进行交验。</w:t>
      </w:r>
    </w:p>
    <w:p w14:paraId="35C26C9E">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图纸会审和设计交底时间：</w:t>
      </w:r>
      <w:r>
        <w:rPr>
          <w:rFonts w:hint="eastAsia" w:ascii="宋体" w:hAnsi="宋体" w:eastAsia="宋体" w:cs="宋体"/>
          <w:color w:val="auto"/>
          <w:spacing w:val="0"/>
          <w:position w:val="0"/>
          <w:sz w:val="24"/>
          <w:szCs w:val="32"/>
          <w:highlight w:val="none"/>
          <w:u w:val="single"/>
        </w:rPr>
        <w:t>于开工前7天，组织承包人、设计、地质勘探、监理等相关单位进行图纸会审和设计交底。</w:t>
      </w:r>
    </w:p>
    <w:p w14:paraId="686E776F">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position w:val="0"/>
          <w:sz w:val="24"/>
          <w:szCs w:val="32"/>
          <w:highlight w:val="none"/>
          <w:u w:val="single"/>
        </w:rPr>
        <w:t>由发包人负责协调，承包人负责保护，费用由发包人承担。</w:t>
      </w:r>
    </w:p>
    <w:p w14:paraId="590437CE">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双方约定发包人应做的其他工作： </w:t>
      </w:r>
      <w:r>
        <w:rPr>
          <w:rFonts w:hint="eastAsia" w:ascii="宋体" w:hAnsi="宋体" w:eastAsia="宋体" w:cs="宋体"/>
          <w:color w:val="auto"/>
          <w:spacing w:val="0"/>
          <w:position w:val="0"/>
          <w:sz w:val="24"/>
          <w:szCs w:val="32"/>
          <w:highlight w:val="none"/>
          <w:u w:val="single"/>
        </w:rPr>
        <w:t>无 。</w:t>
      </w:r>
    </w:p>
    <w:p w14:paraId="16249E54">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8.2发包人委托承包人办理的工作：</w:t>
      </w:r>
      <w:r>
        <w:rPr>
          <w:rFonts w:hint="eastAsia" w:ascii="宋体" w:hAnsi="宋体" w:eastAsia="宋体" w:cs="宋体"/>
          <w:color w:val="auto"/>
          <w:spacing w:val="0"/>
          <w:position w:val="0"/>
          <w:sz w:val="24"/>
          <w:szCs w:val="32"/>
          <w:highlight w:val="none"/>
          <w:u w:val="single"/>
        </w:rPr>
        <w:t xml:space="preserve"> 无 。</w:t>
      </w:r>
    </w:p>
    <w:p w14:paraId="1B209968">
      <w:pPr>
        <w:numPr>
          <w:ilvl w:val="0"/>
          <w:numId w:val="13"/>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承包人工作</w:t>
      </w:r>
    </w:p>
    <w:p w14:paraId="24A4B1D4">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9.1承包人应按约定时间和要求，完成以下工作：</w:t>
      </w:r>
    </w:p>
    <w:p w14:paraId="03222B1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需由设计资质等级和业务范围允许的承包人完成的设计文件提交时间：</w:t>
      </w:r>
      <w:r>
        <w:rPr>
          <w:rFonts w:hint="eastAsia" w:ascii="宋体" w:hAnsi="宋体" w:eastAsia="宋体" w:cs="宋体"/>
          <w:color w:val="auto"/>
          <w:spacing w:val="0"/>
          <w:position w:val="0"/>
          <w:sz w:val="24"/>
          <w:szCs w:val="32"/>
          <w:highlight w:val="none"/>
          <w:u w:val="single"/>
        </w:rPr>
        <w:t xml:space="preserve"> 无。</w:t>
      </w:r>
    </w:p>
    <w:p w14:paraId="3F5658F4">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应提供计划、报表的名称及完成时间：</w:t>
      </w:r>
      <w:r>
        <w:rPr>
          <w:rFonts w:hint="eastAsia" w:ascii="宋体" w:hAnsi="宋体" w:eastAsia="宋体" w:cs="宋体"/>
          <w:color w:val="auto"/>
          <w:spacing w:val="0"/>
          <w:position w:val="0"/>
          <w:sz w:val="24"/>
          <w:szCs w:val="32"/>
          <w:highlight w:val="none"/>
          <w:u w:val="single"/>
        </w:rPr>
        <w:t>每月25日提供当月完成工程量报表、次月计划完成工程量报表各两份。</w:t>
      </w:r>
    </w:p>
    <w:p w14:paraId="23B382C7">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承担施工安全保卫工作及非夜间施工照明的责任和要求：</w:t>
      </w:r>
      <w:r>
        <w:rPr>
          <w:rFonts w:hint="eastAsia" w:ascii="宋体" w:hAnsi="宋体" w:eastAsia="宋体" w:cs="宋体"/>
          <w:color w:val="auto"/>
          <w:spacing w:val="0"/>
          <w:position w:val="0"/>
          <w:sz w:val="24"/>
          <w:szCs w:val="32"/>
          <w:highlight w:val="none"/>
          <w:u w:val="single"/>
        </w:rPr>
        <w:t>提供和维修非夜间施工使用的照明、围栏设施，并负责安全保卫。</w:t>
      </w:r>
    </w:p>
    <w:p w14:paraId="5A2EDD32">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已完工程品保护的特殊要求及费用承担：</w:t>
      </w:r>
      <w:r>
        <w:rPr>
          <w:rFonts w:hint="eastAsia" w:ascii="宋体" w:hAnsi="宋体" w:eastAsia="宋体" w:cs="宋体"/>
          <w:color w:val="auto"/>
          <w:spacing w:val="0"/>
          <w:position w:val="0"/>
          <w:sz w:val="24"/>
          <w:szCs w:val="32"/>
          <w:highlight w:val="none"/>
          <w:u w:val="single"/>
        </w:rPr>
        <w:t>在竣工验收移交全部工程前，由承包人负责采取保护措施，并承担费用。</w:t>
      </w:r>
    </w:p>
    <w:p w14:paraId="2C56DB5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position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3EDE34B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施工场地清洁卫生的要求：</w:t>
      </w:r>
      <w:r>
        <w:rPr>
          <w:rFonts w:hint="eastAsia" w:ascii="宋体" w:hAnsi="宋体" w:eastAsia="宋体" w:cs="宋体"/>
          <w:color w:val="auto"/>
          <w:spacing w:val="0"/>
          <w:position w:val="0"/>
          <w:sz w:val="24"/>
          <w:szCs w:val="32"/>
          <w:highlight w:val="none"/>
          <w:u w:val="single"/>
        </w:rPr>
        <w:t>承包人保证施工场地清洁符合环境卫生管理的有关规定，交工前清理现场做到工完场清，并承担因自身原因违反有关规定造成损失和罚款。</w:t>
      </w:r>
    </w:p>
    <w:p w14:paraId="6DA8E625">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双方约定承包人应做的其他工作：</w:t>
      </w:r>
      <w:r>
        <w:rPr>
          <w:rFonts w:hint="eastAsia" w:ascii="宋体" w:hAnsi="宋体" w:eastAsia="宋体" w:cs="宋体"/>
          <w:color w:val="auto"/>
          <w:spacing w:val="0"/>
          <w:position w:val="0"/>
          <w:sz w:val="24"/>
          <w:szCs w:val="32"/>
          <w:highlight w:val="none"/>
          <w:u w:val="single"/>
        </w:rPr>
        <w:t>无。</w:t>
      </w:r>
    </w:p>
    <w:p w14:paraId="3C13EB66">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施工组织设计个工期</w:t>
      </w:r>
    </w:p>
    <w:p w14:paraId="2D4A86C3">
      <w:pPr>
        <w:numPr>
          <w:ilvl w:val="0"/>
          <w:numId w:val="13"/>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进度计划</w:t>
      </w:r>
    </w:p>
    <w:p w14:paraId="1175CC9B">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10.1承包人提供施工组织设计（施工方案）和进度计划的时间：</w:t>
      </w:r>
      <w:r>
        <w:rPr>
          <w:rFonts w:hint="eastAsia" w:ascii="宋体" w:hAnsi="宋体" w:eastAsia="宋体" w:cs="宋体"/>
          <w:color w:val="auto"/>
          <w:spacing w:val="0"/>
          <w:position w:val="0"/>
          <w:sz w:val="24"/>
          <w:szCs w:val="32"/>
          <w:highlight w:val="none"/>
          <w:u w:val="single"/>
        </w:rPr>
        <w:t>合同签订之日起15日内，并全面动工建设。</w:t>
      </w:r>
    </w:p>
    <w:p w14:paraId="069A31B6">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工程师确认的时间：</w:t>
      </w:r>
      <w:r>
        <w:rPr>
          <w:rFonts w:hint="eastAsia" w:ascii="宋体" w:hAnsi="宋体" w:eastAsia="宋体" w:cs="宋体"/>
          <w:color w:val="auto"/>
          <w:spacing w:val="0"/>
          <w:position w:val="0"/>
          <w:sz w:val="24"/>
          <w:szCs w:val="32"/>
          <w:highlight w:val="none"/>
          <w:u w:val="single"/>
        </w:rPr>
        <w:t>于收到之日起5日内批复。</w:t>
      </w:r>
    </w:p>
    <w:p w14:paraId="752C9E6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10.2群体工程中有关进度计划的要求：</w:t>
      </w:r>
      <w:r>
        <w:rPr>
          <w:rFonts w:hint="eastAsia" w:ascii="宋体" w:hAnsi="宋体" w:eastAsia="宋体" w:cs="宋体"/>
          <w:color w:val="auto"/>
          <w:spacing w:val="0"/>
          <w:position w:val="0"/>
          <w:sz w:val="24"/>
          <w:szCs w:val="32"/>
          <w:highlight w:val="none"/>
          <w:u w:val="single"/>
        </w:rPr>
        <w:t>按投标文件计划。</w:t>
      </w:r>
    </w:p>
    <w:p w14:paraId="61743CE7">
      <w:pPr>
        <w:numPr>
          <w:ilvl w:val="0"/>
          <w:numId w:val="15"/>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工期延误</w:t>
      </w:r>
    </w:p>
    <w:p w14:paraId="7171EB0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13.1双方约定工期顺延的其他情况：</w:t>
      </w:r>
      <w:r>
        <w:rPr>
          <w:rFonts w:hint="eastAsia" w:ascii="宋体" w:hAnsi="宋体" w:eastAsia="宋体" w:cs="宋体"/>
          <w:color w:val="auto"/>
          <w:spacing w:val="0"/>
          <w:position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717C88D3">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质量与验收</w:t>
      </w:r>
    </w:p>
    <w:p w14:paraId="0CE69033">
      <w:pPr>
        <w:numPr>
          <w:ilvl w:val="0"/>
          <w:numId w:val="16"/>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隐蔽工程和中间验收</w:t>
      </w:r>
    </w:p>
    <w:p w14:paraId="0BDAE42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17.1双方约定中间验收部位：</w:t>
      </w:r>
      <w:r>
        <w:rPr>
          <w:rFonts w:hint="eastAsia" w:ascii="宋体" w:hAnsi="宋体" w:eastAsia="宋体" w:cs="宋体"/>
          <w:color w:val="auto"/>
          <w:spacing w:val="0"/>
          <w:position w:val="0"/>
          <w:sz w:val="24"/>
          <w:szCs w:val="32"/>
          <w:highlight w:val="none"/>
          <w:u w:val="single"/>
        </w:rPr>
        <w:t xml:space="preserve">     /    。</w:t>
      </w:r>
    </w:p>
    <w:p w14:paraId="56C3A514">
      <w:pPr>
        <w:numPr>
          <w:ilvl w:val="0"/>
          <w:numId w:val="16"/>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工程试车</w:t>
      </w:r>
    </w:p>
    <w:p w14:paraId="30C9566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18.1试车费用的承担：</w:t>
      </w:r>
      <w:r>
        <w:rPr>
          <w:rFonts w:hint="eastAsia" w:ascii="宋体" w:hAnsi="宋体" w:eastAsia="宋体" w:cs="宋体"/>
          <w:color w:val="auto"/>
          <w:spacing w:val="0"/>
          <w:position w:val="0"/>
          <w:sz w:val="24"/>
          <w:szCs w:val="32"/>
          <w:highlight w:val="none"/>
          <w:u w:val="single"/>
        </w:rPr>
        <w:t>无。</w:t>
      </w:r>
    </w:p>
    <w:p w14:paraId="0B2937A6">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变更</w:t>
      </w:r>
    </w:p>
    <w:p w14:paraId="4276FCB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20.1变更的估价原则</w:t>
      </w:r>
    </w:p>
    <w:p w14:paraId="2A6D1810">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因变更引起的价格调整按照本款约定处理。</w:t>
      </w:r>
    </w:p>
    <w:p w14:paraId="33FAB975">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20.1.1已标价工程量清单中有使用于变更工作的子目的，采用该子目的单价。</w:t>
      </w:r>
    </w:p>
    <w:p w14:paraId="25C54811">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20.1.2已标价工程量清单中无适用于变更工作的子目的，但有类似子目的，可在合理范围内参照类似子目的单价。</w:t>
      </w:r>
    </w:p>
    <w:p w14:paraId="4DC5999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20.1.3已标价工程量清单中无适用或类似子目的单价，</w:t>
      </w:r>
      <w:r>
        <w:rPr>
          <w:rFonts w:hint="eastAsia" w:ascii="宋体" w:hAnsi="宋体" w:eastAsia="宋体" w:cs="宋体"/>
          <w:color w:val="auto"/>
          <w:spacing w:val="0"/>
          <w:position w:val="0"/>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477850B8">
      <w:pPr>
        <w:numPr>
          <w:ilvl w:val="0"/>
          <w:numId w:val="17"/>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价格调整</w:t>
      </w:r>
    </w:p>
    <w:p w14:paraId="60D994A1">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21.1</w:t>
      </w:r>
      <w:r>
        <w:rPr>
          <w:rFonts w:hint="eastAsia" w:ascii="宋体" w:hAnsi="宋体" w:eastAsia="宋体" w:cs="宋体"/>
          <w:color w:val="auto"/>
          <w:spacing w:val="0"/>
          <w:position w:val="0"/>
          <w:sz w:val="24"/>
          <w:szCs w:val="32"/>
          <w:highlight w:val="none"/>
        </w:rPr>
        <w:t>市场价格波动引起的调整</w:t>
      </w:r>
    </w:p>
    <w:p w14:paraId="67BC049A">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21.2</w:t>
      </w:r>
      <w:r>
        <w:rPr>
          <w:rFonts w:hint="eastAsia" w:ascii="宋体" w:hAnsi="宋体" w:eastAsia="宋体" w:cs="宋体"/>
          <w:color w:val="auto"/>
          <w:spacing w:val="0"/>
          <w:position w:val="0"/>
          <w:sz w:val="24"/>
          <w:szCs w:val="32"/>
          <w:highlight w:val="none"/>
        </w:rPr>
        <w:t>市场价格波动是否调整合同价格的约定：</w:t>
      </w:r>
      <w:r>
        <w:rPr>
          <w:rFonts w:hint="eastAsia" w:ascii="宋体" w:hAnsi="宋体" w:eastAsia="宋体" w:cs="宋体"/>
          <w:color w:val="auto"/>
          <w:spacing w:val="0"/>
          <w:position w:val="0"/>
          <w:sz w:val="24"/>
          <w:szCs w:val="32"/>
          <w:highlight w:val="none"/>
          <w:u w:val="single"/>
        </w:rPr>
        <w:t xml:space="preserve">   是   </w:t>
      </w:r>
      <w:r>
        <w:rPr>
          <w:rFonts w:hint="eastAsia" w:ascii="宋体" w:hAnsi="宋体" w:eastAsia="宋体" w:cs="宋体"/>
          <w:color w:val="auto"/>
          <w:spacing w:val="0"/>
          <w:position w:val="0"/>
          <w:sz w:val="24"/>
          <w:szCs w:val="32"/>
          <w:highlight w:val="none"/>
        </w:rPr>
        <w:t>。</w:t>
      </w:r>
    </w:p>
    <w:p w14:paraId="5EADC107">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w:t>
      </w:r>
      <w:r>
        <w:rPr>
          <w:rFonts w:hint="eastAsia" w:ascii="宋体" w:hAnsi="宋体" w:eastAsia="宋体" w:cs="宋体"/>
          <w:color w:val="auto"/>
          <w:spacing w:val="0"/>
          <w:position w:val="0"/>
          <w:sz w:val="24"/>
          <w:szCs w:val="32"/>
          <w:highlight w:val="none"/>
        </w:rPr>
        <w:t>因市场价格波动调整合同价格，采用以下第</w:t>
      </w:r>
      <w:r>
        <w:rPr>
          <w:rFonts w:hint="eastAsia" w:ascii="宋体" w:hAnsi="宋体" w:eastAsia="宋体" w:cs="宋体"/>
          <w:color w:val="auto"/>
          <w:spacing w:val="0"/>
          <w:position w:val="0"/>
          <w:sz w:val="24"/>
          <w:szCs w:val="32"/>
          <w:highlight w:val="none"/>
          <w:u w:val="single"/>
        </w:rPr>
        <w:t xml:space="preserve">  2  </w:t>
      </w:r>
      <w:r>
        <w:rPr>
          <w:rFonts w:hint="eastAsia" w:ascii="宋体" w:hAnsi="宋体" w:eastAsia="宋体" w:cs="宋体"/>
          <w:color w:val="auto"/>
          <w:spacing w:val="0"/>
          <w:position w:val="0"/>
          <w:sz w:val="24"/>
          <w:szCs w:val="32"/>
          <w:highlight w:val="none"/>
        </w:rPr>
        <w:t>种方式对合同价格进行调整：</w:t>
      </w:r>
    </w:p>
    <w:p w14:paraId="7A6BA78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21.3.1</w:t>
      </w:r>
      <w:r>
        <w:rPr>
          <w:rFonts w:hint="eastAsia" w:ascii="宋体" w:hAnsi="宋体" w:eastAsia="宋体" w:cs="宋体"/>
          <w:color w:val="auto"/>
          <w:spacing w:val="0"/>
          <w:position w:val="0"/>
          <w:sz w:val="24"/>
          <w:szCs w:val="32"/>
          <w:highlight w:val="none"/>
        </w:rPr>
        <w:t>第1种方式：采用价格指数进行价格调整。</w:t>
      </w:r>
    </w:p>
    <w:p w14:paraId="7DC9C83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关于各可调因子、定值和变值权重，以及基本价格指数及其来源的约定：施工期间主要材料（包括钢材、水泥、砂、碎石、塑木地板等）的价格在合同实施期间，如市场价格发生变化，按主要材料在施工期间到现场的平均价格（必须由发包方、施工方、监理方共同签字确认）与招标上限控制价当期信息价比较，涨跌幅度在5%以内的（含5%）不予调整；涨跌幅度在5%以上的，调整超过5%以上的材料价差，调整的方式在单价分析中只调整材料价差部分。工地市场价由发包方、监理方、施工方三方共同签章确认 。  </w:t>
      </w:r>
    </w:p>
    <w:p w14:paraId="001A200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21.3.2</w:t>
      </w:r>
      <w:r>
        <w:rPr>
          <w:rFonts w:hint="eastAsia" w:ascii="宋体" w:hAnsi="宋体" w:eastAsia="宋体" w:cs="宋体"/>
          <w:color w:val="auto"/>
          <w:spacing w:val="0"/>
          <w:position w:val="0"/>
          <w:sz w:val="24"/>
          <w:szCs w:val="32"/>
          <w:highlight w:val="none"/>
        </w:rPr>
        <w:t>第2种方式：采用造价信息进行价格调整。</w:t>
      </w:r>
    </w:p>
    <w:p w14:paraId="75398E1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关于基准价格的约定：按浦北县财政评审中心审定招标控制价所采用的当期钦州市建设工程造价浦北信息价(当期钦州市建设工程造价没有浦北信息价的，按钦州市建设工程造价信息价；没有钦州市建设工程造价信息价的，按南宁市或相邻县的信息价；以上均无信息价的由发包人组织监理人、承包人等相关单位进行市场询价） 。</w:t>
      </w:r>
    </w:p>
    <w:p w14:paraId="7621512C">
      <w:pPr>
        <w:numPr>
          <w:ilvl w:val="0"/>
          <w:numId w:val="11"/>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材料、工程设备价格变化的价款调整按照发包人提供的基准价格，按以下风险范围规定执行：</w:t>
      </w:r>
    </w:p>
    <w:p w14:paraId="6D5088F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①承包人在已标价工程量清单或预算书中载明的主要材料、工程设备单价低于基准价格的：合同履行期间材料单价涨幅以基准价格为基础超过5%时，或材料单价跌幅以在已标价工程量清单或预算书中载明的主要材料、工程设备单价为基础超过 5% 时，其超过部分据实调整。价格上涨价差＝确认价-基准价×（1＋风险系数5%）价格下跌价差＝确认价－投标报价×（1-风险系数5%） 。  </w:t>
      </w:r>
    </w:p>
    <w:p w14:paraId="59F11B4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②包人在已标价工程量清单或预算书中载明的主要材料、工程设备单价高于基准价格的：合同履行期间材料单价跌幅以基准价格为基础超过5%时，材料单价涨幅以在已标价工程量清单或预算书中载明材料单价为基础超过5%时，其超过部分据实调整。价差计算公式：价格上涨价差＝确认价-投标报价×（1＋风险系数5%），价格下跌价差＝确认价－基准价×（1-风险系数5%） 。  </w:t>
      </w:r>
    </w:p>
    <w:p w14:paraId="680CF85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③承包人在已标价工程量清单或预算书中载明的主要材料、工程设备单价等于基准价格的：合同履行期间材料单价涨跌幅以基准价格为基础超过±5%时，其超过部分据实调整。价格下跌价差＝确认价-基准单价×（1-风险系数5%） 。  </w:t>
      </w:r>
    </w:p>
    <w:p w14:paraId="76137AC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④承包人应在采购材料前将采购数量和新的材料单价报发包人核对，发包人确认用于工程时，发包人应确认采购材料的数量和单价。未经发包人事先书面核对，承包人自行采购材料的，发包人有权不予调整合同价格。发包人同意的，可以调整合同价格 。  </w:t>
      </w:r>
    </w:p>
    <w:p w14:paraId="531C37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因发包人需要变更或不可抗力因素变更建设内容，本合同约定施工期内或外由发包人按上述约定调整价款。</w:t>
      </w:r>
    </w:p>
    <w:p w14:paraId="6EEF1A2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专用合同条款①承包人在已标价工程量清单或预算书中载明的材料单价低于基准价格的：专用合同条款合同履行期间材料单价涨幅以基准价格为基础超过  5  %时，或材料单价跌幅以已标价工程量清单或预算书中载明材料单价为基础超过  5  %时，其超过部分据实调整。</w:t>
      </w:r>
    </w:p>
    <w:p w14:paraId="7FDCAE8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②承包人在已标价工程量清单或预算书中载明的材料单价高于基准价格的：专用合同条款合同履行期间材料单价跌幅以基准价格为基础超过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p>
    <w:p w14:paraId="2C0E00D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③承包人在已标价工程量清单或预算书中载明的材料单价等于基准单价的：专用合同条款合同履行期间材料单价涨跌幅以基准单价为基础超过±  5  %时，其超过部分据实调整。</w:t>
      </w:r>
    </w:p>
    <w:p w14:paraId="50CDC3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color w:val="auto"/>
          <w:spacing w:val="0"/>
          <w:position w:val="0"/>
          <w:sz w:val="28"/>
          <w:szCs w:val="36"/>
          <w:highlight w:val="none"/>
        </w:rPr>
      </w:pPr>
      <w:r>
        <w:rPr>
          <w:rFonts w:hint="eastAsia" w:ascii="宋体" w:hAnsi="宋体" w:eastAsia="宋体" w:cs="宋体"/>
          <w:color w:val="auto"/>
          <w:spacing w:val="0"/>
          <w:position w:val="0"/>
          <w:sz w:val="24"/>
          <w:szCs w:val="32"/>
          <w:highlight w:val="none"/>
        </w:rPr>
        <w:t>第3种方式：其他价格调整方式：对钢筋、混凝土的市场价格波动以及人工费政策性调整。具体调整方式：以《钦州市建设工程造价信息》2024 年第8期浦北县下半月材料信息价中的钢筋及混凝土信息价作为材料基准价，以实际施工期的各期信息价作为材料市场价，当市场价格波动超过基准价±5%时，按照发包人审定的每期计量工程量，只对超出部分进行材差调整，否则不予调整。因承包人原因导致进度滞后的，超出合同约定工期或发包人批准的工期以外施工期间合同价格下调的，按合同约定调价方式据实计算；如遇人工费政策性调整可按照相关规定予以调整 。</w:t>
      </w:r>
    </w:p>
    <w:p w14:paraId="610C5BAF">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合同价款及调整</w:t>
      </w:r>
    </w:p>
    <w:p w14:paraId="0D627D3D">
      <w:pPr>
        <w:pStyle w:val="6"/>
        <w:shd w:val="clear"/>
        <w:spacing w:before="120" w:after="120" w:line="312" w:lineRule="auto"/>
        <w:ind w:firstLine="482" w:firstLineChars="200"/>
        <w:rPr>
          <w:rFonts w:ascii="宋体" w:hAnsi="宋体" w:eastAsia="宋体" w:cs="宋体"/>
          <w:b w:val="0"/>
          <w:color w:val="auto"/>
          <w:spacing w:val="0"/>
          <w:position w:val="0"/>
          <w:sz w:val="24"/>
          <w:szCs w:val="24"/>
          <w:highlight w:val="none"/>
        </w:rPr>
      </w:pPr>
      <w:r>
        <w:rPr>
          <w:rFonts w:hint="eastAsia" w:ascii="宋体" w:hAnsi="宋体" w:eastAsia="宋体" w:cs="宋体"/>
          <w:color w:val="auto"/>
          <w:spacing w:val="0"/>
          <w:position w:val="0"/>
          <w:sz w:val="24"/>
          <w:szCs w:val="32"/>
          <w:highlight w:val="none"/>
        </w:rPr>
        <w:t>23.</w:t>
      </w:r>
      <w:r>
        <w:rPr>
          <w:rFonts w:hint="eastAsia" w:ascii="宋体" w:hAnsi="宋体" w:eastAsia="宋体" w:cs="宋体"/>
          <w:b w:val="0"/>
          <w:color w:val="auto"/>
          <w:spacing w:val="0"/>
          <w:position w:val="0"/>
          <w:sz w:val="24"/>
          <w:szCs w:val="24"/>
          <w:highlight w:val="none"/>
          <w:lang w:val="en-US" w:eastAsia="zh-CN"/>
        </w:rPr>
        <w:t>1</w:t>
      </w:r>
      <w:r>
        <w:rPr>
          <w:rFonts w:hint="eastAsia" w:ascii="宋体" w:hAnsi="宋体" w:eastAsia="宋体" w:cs="宋体"/>
          <w:b w:val="0"/>
          <w:color w:val="auto"/>
          <w:spacing w:val="0"/>
          <w:position w:val="0"/>
          <w:sz w:val="24"/>
          <w:szCs w:val="24"/>
          <w:highlight w:val="none"/>
        </w:rPr>
        <w:t>预付款</w:t>
      </w:r>
    </w:p>
    <w:p w14:paraId="46E3C7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lang w:val="en-US" w:eastAsia="zh-CN"/>
        </w:rPr>
        <w:t>23</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kern w:val="0"/>
          <w:position w:val="0"/>
          <w:sz w:val="24"/>
          <w:highlight w:val="none"/>
        </w:rPr>
        <w:t>1</w:t>
      </w:r>
      <w:r>
        <w:rPr>
          <w:rFonts w:hint="eastAsia" w:ascii="宋体" w:hAnsi="宋体" w:eastAsia="宋体" w:cs="宋体"/>
          <w:color w:val="auto"/>
          <w:spacing w:val="0"/>
          <w:kern w:val="0"/>
          <w:position w:val="0"/>
          <w:sz w:val="24"/>
          <w:highlight w:val="none"/>
          <w:lang w:val="en-US" w:eastAsia="zh-CN"/>
        </w:rPr>
        <w:t>.1</w:t>
      </w:r>
      <w:r>
        <w:rPr>
          <w:rFonts w:hint="eastAsia" w:ascii="宋体" w:hAnsi="宋体" w:eastAsia="宋体" w:cs="宋体"/>
          <w:color w:val="auto"/>
          <w:spacing w:val="0"/>
          <w:kern w:val="0"/>
          <w:position w:val="0"/>
          <w:sz w:val="24"/>
          <w:highlight w:val="none"/>
        </w:rPr>
        <w:t>预付款的支付</w:t>
      </w:r>
    </w:p>
    <w:p w14:paraId="45D4378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 xml:space="preserve">工程预付款的总金额为签约合同价的30%,一次性支付予承包人。 </w:t>
      </w:r>
    </w:p>
    <w:p w14:paraId="16BA257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 xml:space="preserve">预付款付款时间为： </w:t>
      </w:r>
    </w:p>
    <w:p w14:paraId="4863BE7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在合同协议书签订和承包人依据经监理人出具开工令进场开工后，承包人将预付款申请材料报送发包人审核批准后予以支付。</w:t>
      </w:r>
    </w:p>
    <w:p w14:paraId="5CE56CDD">
      <w:pPr>
        <w:shd w:val="clear"/>
        <w:adjustRightInd w:val="0"/>
        <w:snapToGrid w:val="0"/>
        <w:spacing w:line="360" w:lineRule="auto"/>
        <w:ind w:firstLine="480" w:firstLineChars="2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lang w:val="en-US" w:eastAsia="zh-CN"/>
        </w:rPr>
        <w:t>23.1.2.</w:t>
      </w:r>
      <w:r>
        <w:rPr>
          <w:rFonts w:hint="eastAsia" w:ascii="宋体" w:hAnsi="宋体" w:eastAsia="宋体" w:cs="宋体"/>
          <w:color w:val="auto"/>
          <w:spacing w:val="0"/>
          <w:position w:val="0"/>
          <w:sz w:val="24"/>
          <w:szCs w:val="32"/>
          <w:highlight w:val="none"/>
        </w:rPr>
        <w:t>本合同价款采用</w:t>
      </w:r>
      <w:r>
        <w:rPr>
          <w:rFonts w:hint="eastAsia" w:ascii="宋体" w:hAnsi="宋体" w:eastAsia="宋体" w:cs="宋体"/>
          <w:color w:val="auto"/>
          <w:spacing w:val="0"/>
          <w:position w:val="0"/>
          <w:sz w:val="24"/>
          <w:szCs w:val="32"/>
          <w:highlight w:val="none"/>
          <w:u w:val="single"/>
        </w:rPr>
        <w:t xml:space="preserve"> 固定综合单价（指工程量清单所包含的内容） </w:t>
      </w:r>
      <w:r>
        <w:rPr>
          <w:rFonts w:hint="eastAsia" w:ascii="宋体" w:hAnsi="宋体" w:eastAsia="宋体" w:cs="宋体"/>
          <w:color w:val="auto"/>
          <w:spacing w:val="0"/>
          <w:position w:val="0"/>
          <w:sz w:val="24"/>
          <w:szCs w:val="32"/>
          <w:highlight w:val="none"/>
        </w:rPr>
        <w:t>合同方式确定。</w:t>
      </w:r>
    </w:p>
    <w:p w14:paraId="621AF551">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风险费用的计算方式：</w:t>
      </w:r>
      <w:r>
        <w:rPr>
          <w:rFonts w:hint="eastAsia" w:ascii="宋体" w:hAnsi="宋体" w:eastAsia="宋体" w:cs="宋体"/>
          <w:color w:val="auto"/>
          <w:spacing w:val="0"/>
          <w:position w:val="0"/>
          <w:sz w:val="24"/>
          <w:szCs w:val="32"/>
          <w:highlight w:val="none"/>
          <w:u w:val="single"/>
        </w:rPr>
        <w:t>无。</w:t>
      </w:r>
    </w:p>
    <w:p w14:paraId="6490C77D">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采用可调价格合同，合同价款调整方式：</w:t>
      </w:r>
      <w:r>
        <w:rPr>
          <w:rFonts w:hint="eastAsia" w:ascii="宋体" w:hAnsi="宋体" w:eastAsia="宋体" w:cs="宋体"/>
          <w:color w:val="auto"/>
          <w:spacing w:val="0"/>
          <w:position w:val="0"/>
          <w:sz w:val="24"/>
          <w:szCs w:val="32"/>
          <w:highlight w:val="none"/>
          <w:u w:val="single"/>
        </w:rPr>
        <w:t>无。</w:t>
      </w:r>
    </w:p>
    <w:p w14:paraId="03A3454A">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采用成本加酬金合同，有关成本和酬金的约定：</w:t>
      </w:r>
      <w:r>
        <w:rPr>
          <w:rFonts w:hint="eastAsia" w:ascii="宋体" w:hAnsi="宋体" w:eastAsia="宋体" w:cs="宋体"/>
          <w:color w:val="auto"/>
          <w:spacing w:val="0"/>
          <w:position w:val="0"/>
          <w:sz w:val="24"/>
          <w:szCs w:val="32"/>
          <w:highlight w:val="none"/>
          <w:u w:val="single"/>
        </w:rPr>
        <w:t>无。</w:t>
      </w:r>
    </w:p>
    <w:p w14:paraId="667E2906">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23.2双方约定合同价款及其他调整因素：</w:t>
      </w:r>
      <w:r>
        <w:rPr>
          <w:rFonts w:hint="eastAsia" w:ascii="宋体" w:hAnsi="宋体" w:eastAsia="宋体" w:cs="宋体"/>
          <w:color w:val="auto"/>
          <w:spacing w:val="0"/>
          <w:position w:val="0"/>
          <w:sz w:val="24"/>
          <w:szCs w:val="32"/>
          <w:highlight w:val="none"/>
          <w:u w:val="single"/>
        </w:rPr>
        <w:t>工程量清单所包含的内容以外部分。</w:t>
      </w:r>
    </w:p>
    <w:p w14:paraId="2E22D2A5">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工程款付款</w:t>
      </w:r>
    </w:p>
    <w:p w14:paraId="15789530">
      <w:pPr>
        <w:shd w:val="clear"/>
        <w:adjustRightInd w:val="0"/>
        <w:snapToGrid w:val="0"/>
        <w:spacing w:line="360" w:lineRule="auto"/>
        <w:rPr>
          <w:rFonts w:hint="eastAsia" w:ascii="宋体" w:hAnsi="宋体" w:cs="宋体"/>
          <w:color w:val="auto"/>
          <w:spacing w:val="0"/>
          <w:position w:val="0"/>
          <w:sz w:val="24"/>
          <w:szCs w:val="32"/>
          <w:highlight w:val="none"/>
          <w:u w:val="single"/>
          <w:lang w:val="en-US" w:eastAsia="zh-CN"/>
        </w:rPr>
      </w:pPr>
      <w:r>
        <w:rPr>
          <w:rFonts w:hint="eastAsia" w:ascii="宋体" w:hAnsi="宋体" w:eastAsia="宋体" w:cs="宋体"/>
          <w:color w:val="auto"/>
          <w:spacing w:val="0"/>
          <w:position w:val="0"/>
          <w:sz w:val="24"/>
          <w:szCs w:val="32"/>
          <w:highlight w:val="none"/>
        </w:rPr>
        <w:t>发包人向承包人预付工程款的时间和金额或占合同价款总额的比例：</w:t>
      </w:r>
      <w:r>
        <w:rPr>
          <w:rFonts w:hint="eastAsia" w:ascii="宋体" w:hAnsi="宋体" w:eastAsia="宋体" w:cs="宋体"/>
          <w:color w:val="auto"/>
          <w:spacing w:val="0"/>
          <w:position w:val="0"/>
          <w:sz w:val="24"/>
          <w:szCs w:val="32"/>
          <w:highlight w:val="none"/>
          <w:u w:val="single"/>
          <w:lang w:val="en-US" w:eastAsia="zh-CN"/>
        </w:rPr>
        <w:t>签约合同价的</w:t>
      </w:r>
      <w:r>
        <w:rPr>
          <w:rFonts w:hint="eastAsia" w:ascii="宋体" w:hAnsi="宋体" w:cs="宋体"/>
          <w:color w:val="auto"/>
          <w:spacing w:val="0"/>
          <w:position w:val="0"/>
          <w:sz w:val="24"/>
          <w:szCs w:val="32"/>
          <w:highlight w:val="none"/>
          <w:u w:val="single"/>
          <w:lang w:val="en-US" w:eastAsia="zh-CN"/>
        </w:rPr>
        <w:t>30%</w:t>
      </w:r>
    </w:p>
    <w:p w14:paraId="053AE6F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扣回工程款的时间、比例：</w:t>
      </w:r>
      <w:r>
        <w:rPr>
          <w:rFonts w:hint="eastAsia" w:ascii="宋体" w:hAnsi="宋体" w:eastAsia="宋体" w:cs="宋体"/>
          <w:color w:val="auto"/>
          <w:spacing w:val="0"/>
          <w:position w:val="0"/>
          <w:sz w:val="24"/>
          <w:szCs w:val="32"/>
          <w:highlight w:val="none"/>
          <w:u w:val="single"/>
        </w:rPr>
        <w:t>第一次申请进度款时扣回30%预付款。</w:t>
      </w:r>
    </w:p>
    <w:p w14:paraId="5E81A183">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工程量确认</w:t>
      </w:r>
    </w:p>
    <w:p w14:paraId="4AF977A5">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25.1承包人向工程师提交已完工程量报告的时间：</w:t>
      </w:r>
      <w:r>
        <w:rPr>
          <w:rFonts w:hint="eastAsia" w:ascii="宋体" w:hAnsi="宋体" w:eastAsia="宋体" w:cs="宋体"/>
          <w:color w:val="auto"/>
          <w:spacing w:val="0"/>
          <w:position w:val="0"/>
          <w:sz w:val="24"/>
          <w:szCs w:val="32"/>
          <w:highlight w:val="none"/>
          <w:u w:val="single"/>
        </w:rPr>
        <w:t>每月25日。</w:t>
      </w:r>
    </w:p>
    <w:p w14:paraId="7A012218">
      <w:pPr>
        <w:pStyle w:val="4"/>
        <w:shd w:val="clear"/>
        <w:adjustRightInd w:val="0"/>
        <w:snapToGrid w:val="0"/>
        <w:rPr>
          <w:rFonts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26、工程款（进度款）支付</w:t>
      </w:r>
    </w:p>
    <w:p w14:paraId="0F261849">
      <w:pPr>
        <w:shd w:val="clear"/>
        <w:adjustRightInd w:val="0"/>
        <w:snapToGrid w:val="0"/>
        <w:spacing w:line="360" w:lineRule="auto"/>
        <w:rPr>
          <w:rFonts w:hint="eastAsia" w:ascii="宋体" w:hAnsi="宋体" w:eastAsia="宋体" w:cs="宋体"/>
          <w:color w:val="auto"/>
          <w:spacing w:val="0"/>
          <w:position w:val="0"/>
          <w:sz w:val="24"/>
          <w:szCs w:val="32"/>
          <w:highlight w:val="none"/>
          <w:u w:val="single"/>
          <w:lang w:val="en-US" w:eastAsia="zh-CN"/>
        </w:rPr>
      </w:pPr>
      <w:r>
        <w:rPr>
          <w:rFonts w:hint="eastAsia" w:ascii="宋体" w:hAnsi="宋体" w:eastAsia="宋体" w:cs="宋体"/>
          <w:b w:val="0"/>
          <w:bCs w:val="0"/>
          <w:color w:val="auto"/>
          <w:spacing w:val="0"/>
          <w:position w:val="0"/>
          <w:sz w:val="24"/>
          <w:highlight w:val="none"/>
        </w:rPr>
        <w:t>双方约定的工程款（进度款）的支付方式和时间：</w:t>
      </w:r>
      <w:r>
        <w:rPr>
          <w:rFonts w:hint="eastAsia" w:ascii="宋体" w:hAnsi="宋体" w:cs="宋体"/>
          <w:color w:val="auto"/>
          <w:spacing w:val="0"/>
          <w:position w:val="0"/>
          <w:sz w:val="24"/>
          <w:szCs w:val="32"/>
          <w:highlight w:val="none"/>
          <w:u w:val="single"/>
          <w:lang w:val="en-US" w:eastAsia="zh-CN"/>
        </w:rPr>
        <w:t>合同内进度款支付限额为已完成工程量的90%</w:t>
      </w:r>
      <w:r>
        <w:rPr>
          <w:rFonts w:hint="eastAsia" w:ascii="宋体" w:hAnsi="宋体" w:eastAsia="宋体" w:cs="宋体"/>
          <w:color w:val="auto"/>
          <w:spacing w:val="0"/>
          <w:position w:val="0"/>
          <w:sz w:val="24"/>
          <w:szCs w:val="32"/>
          <w:highlight w:val="none"/>
          <w:u w:val="single"/>
          <w:lang w:val="en-US" w:eastAsia="zh-CN"/>
        </w:rPr>
        <w:t>；县级竣工初步验收合格后工程款可支付至合同价的90%。工程完工验收达到质量要求，结算经有资质审计机构审定后，</w:t>
      </w:r>
      <w:r>
        <w:rPr>
          <w:rFonts w:hint="eastAsia" w:ascii="宋体" w:hAnsi="宋体" w:cs="宋体"/>
          <w:color w:val="auto"/>
          <w:spacing w:val="0"/>
          <w:position w:val="0"/>
          <w:sz w:val="24"/>
          <w:szCs w:val="32"/>
          <w:highlight w:val="none"/>
          <w:u w:val="single"/>
          <w:lang w:val="en-US" w:eastAsia="zh-CN"/>
        </w:rPr>
        <w:t>承包人缴纳结算金额3%的工程质量保证金，</w:t>
      </w:r>
      <w:r>
        <w:rPr>
          <w:rFonts w:hint="eastAsia" w:ascii="宋体" w:hAnsi="宋体" w:eastAsia="宋体" w:cs="宋体"/>
          <w:color w:val="auto"/>
          <w:spacing w:val="0"/>
          <w:position w:val="0"/>
          <w:sz w:val="24"/>
          <w:szCs w:val="32"/>
          <w:highlight w:val="none"/>
          <w:u w:val="single"/>
          <w:lang w:val="en-US" w:eastAsia="zh-CN"/>
        </w:rPr>
        <w:t>工程款支付至结算总价的100 %。</w:t>
      </w:r>
    </w:p>
    <w:p w14:paraId="75EE474E">
      <w:pPr>
        <w:shd w:val="clear"/>
        <w:adjustRightInd w:val="0"/>
        <w:snapToGrid w:val="0"/>
        <w:spacing w:line="360" w:lineRule="auto"/>
        <w:ind w:firstLine="480" w:firstLineChars="200"/>
        <w:rPr>
          <w:rFonts w:ascii="宋体" w:hAnsi="宋体" w:eastAsia="宋体" w:cs="宋体"/>
          <w:b w:val="0"/>
          <w:bCs w:val="0"/>
          <w:color w:val="auto"/>
          <w:spacing w:val="0"/>
          <w:position w:val="0"/>
          <w:sz w:val="24"/>
          <w:highlight w:val="none"/>
          <w:u w:val="single"/>
        </w:rPr>
      </w:pPr>
    </w:p>
    <w:p w14:paraId="140D50BC">
      <w:pPr>
        <w:pStyle w:val="3"/>
        <w:shd w:val="clear"/>
        <w:adjustRightInd w:val="0"/>
        <w:snapToGrid w:val="0"/>
        <w:spacing w:line="360" w:lineRule="auto"/>
        <w:rPr>
          <w:rFonts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七、材料设备供应</w:t>
      </w:r>
    </w:p>
    <w:p w14:paraId="0017F5DD">
      <w:pPr>
        <w:pStyle w:val="3"/>
        <w:shd w:val="clear"/>
        <w:adjustRightInd w:val="0"/>
        <w:snapToGrid w:val="0"/>
        <w:spacing w:line="360" w:lineRule="auto"/>
        <w:rPr>
          <w:rFonts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27、发包人供应材料设备：</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b w:val="0"/>
          <w:bCs w:val="0"/>
          <w:color w:val="auto"/>
          <w:spacing w:val="0"/>
          <w:position w:val="0"/>
          <w:sz w:val="24"/>
          <w:szCs w:val="24"/>
          <w:highlight w:val="none"/>
          <w:u w:val="single"/>
        </w:rPr>
        <w:t xml:space="preserve"> 无  </w:t>
      </w:r>
      <w:r>
        <w:rPr>
          <w:rFonts w:hint="eastAsia" w:ascii="宋体" w:hAnsi="宋体" w:eastAsia="宋体" w:cs="宋体"/>
          <w:b w:val="0"/>
          <w:bCs w:val="0"/>
          <w:color w:val="auto"/>
          <w:spacing w:val="0"/>
          <w:position w:val="0"/>
          <w:sz w:val="24"/>
          <w:szCs w:val="24"/>
          <w:highlight w:val="none"/>
        </w:rPr>
        <w:t xml:space="preserve"> 。</w:t>
      </w:r>
    </w:p>
    <w:p w14:paraId="3364DBF8">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27.4发包人供应的材料设备与一览表不符时，双方约定发包人承担责任如下：</w:t>
      </w:r>
    </w:p>
    <w:p w14:paraId="6DE3405D">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材料设备单价与一览表不符：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B4E7C5A">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材料设备的品种、规格、型号、质量等级与一览表不符：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05927AD8">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承包人可代为调剂串换的材料：</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F3BDF8D">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到货地点与一览表不符：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7C11BE48">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供应数量与一览表不符：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1B4D2F36">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到货时间与一览表不符：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0D35537A">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27.6发包人供应材料设备的</w:t>
      </w:r>
      <w:r>
        <w:rPr>
          <w:rFonts w:hint="eastAsia" w:ascii="宋体" w:hAnsi="宋体" w:eastAsia="宋体" w:cs="宋体"/>
          <w:bCs/>
          <w:color w:val="auto"/>
          <w:spacing w:val="0"/>
          <w:position w:val="0"/>
          <w:sz w:val="24"/>
          <w:highlight w:val="none"/>
        </w:rPr>
        <w:t>结算方法：</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6F59DF2B">
      <w:pPr>
        <w:numPr>
          <w:ilvl w:val="0"/>
          <w:numId w:val="21"/>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承包人采购</w:t>
      </w:r>
      <w:r>
        <w:rPr>
          <w:rFonts w:hint="eastAsia" w:ascii="宋体" w:hAnsi="宋体" w:eastAsia="宋体" w:cs="宋体"/>
          <w:color w:val="auto"/>
          <w:spacing w:val="0"/>
          <w:position w:val="0"/>
          <w:sz w:val="24"/>
          <w:highlight w:val="none"/>
        </w:rPr>
        <w:t>材料设备</w:t>
      </w:r>
    </w:p>
    <w:p w14:paraId="465A98D6">
      <w:pPr>
        <w:shd w:val="clear"/>
        <w:tabs>
          <w:tab w:val="left" w:pos="463"/>
        </w:tabs>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 xml:space="preserve">28.1 </w:t>
      </w:r>
      <w:r>
        <w:rPr>
          <w:rFonts w:hint="eastAsia" w:ascii="宋体" w:hAnsi="宋体" w:eastAsia="宋体" w:cs="宋体"/>
          <w:color w:val="auto"/>
          <w:spacing w:val="0"/>
          <w:kern w:val="0"/>
          <w:position w:val="0"/>
          <w:sz w:val="24"/>
          <w:highlight w:val="none"/>
        </w:rPr>
        <w:t>承包人采购</w:t>
      </w:r>
      <w:r>
        <w:rPr>
          <w:rFonts w:hint="eastAsia" w:ascii="宋体" w:hAnsi="宋体" w:eastAsia="宋体" w:cs="宋体"/>
          <w:color w:val="auto"/>
          <w:spacing w:val="0"/>
          <w:position w:val="0"/>
          <w:sz w:val="24"/>
          <w:highlight w:val="none"/>
        </w:rPr>
        <w:t>材料设备的约定：</w:t>
      </w:r>
      <w:r>
        <w:rPr>
          <w:rFonts w:hint="eastAsia" w:ascii="宋体" w:hAnsi="宋体" w:eastAsia="宋体" w:cs="宋体"/>
          <w:color w:val="auto"/>
          <w:spacing w:val="0"/>
          <w:position w:val="0"/>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602AC7C1">
      <w:p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八、工程变更</w:t>
      </w:r>
    </w:p>
    <w:p w14:paraId="3638097D">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按《通用条款》10.1、10.2、10.3、10.4款执行。</w:t>
      </w:r>
    </w:p>
    <w:p w14:paraId="5DAFEB21">
      <w:pPr>
        <w:numPr>
          <w:ilvl w:val="0"/>
          <w:numId w:val="22"/>
        </w:num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竣工验收与结算</w:t>
      </w:r>
    </w:p>
    <w:p w14:paraId="5679834A">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竣工验收</w:t>
      </w:r>
    </w:p>
    <w:p w14:paraId="4A78801A">
      <w:pPr>
        <w:shd w:val="clear"/>
        <w:tabs>
          <w:tab w:val="left" w:pos="463"/>
        </w:tabs>
        <w:adjustRightInd w:val="0"/>
        <w:snapToGrid w:val="0"/>
        <w:spacing w:line="360" w:lineRule="auto"/>
        <w:rPr>
          <w:rFonts w:ascii="宋体" w:hAnsi="宋体" w:eastAsia="宋体" w:cs="宋体"/>
          <w:bCs/>
          <w:color w:val="auto"/>
          <w:spacing w:val="0"/>
          <w:position w:val="0"/>
          <w:sz w:val="24"/>
          <w:highlight w:val="none"/>
          <w:u w:val="single"/>
        </w:rPr>
      </w:pPr>
      <w:r>
        <w:rPr>
          <w:rFonts w:hint="eastAsia" w:ascii="宋体" w:hAnsi="宋体" w:eastAsia="宋体" w:cs="宋体"/>
          <w:color w:val="auto"/>
          <w:spacing w:val="0"/>
          <w:position w:val="0"/>
          <w:sz w:val="24"/>
          <w:highlight w:val="none"/>
        </w:rPr>
        <w:t>32.1承包人</w:t>
      </w:r>
      <w:r>
        <w:rPr>
          <w:rFonts w:hint="eastAsia" w:ascii="宋体" w:hAnsi="宋体" w:eastAsia="宋体" w:cs="宋体"/>
          <w:bCs/>
          <w:color w:val="auto"/>
          <w:spacing w:val="0"/>
          <w:position w:val="0"/>
          <w:sz w:val="24"/>
          <w:highlight w:val="none"/>
        </w:rPr>
        <w:t>提供竣工图的约定：</w:t>
      </w:r>
      <w:r>
        <w:rPr>
          <w:rFonts w:hint="eastAsia" w:ascii="宋体" w:hAnsi="宋体" w:eastAsia="宋体" w:cs="宋体"/>
          <w:bCs/>
          <w:color w:val="auto"/>
          <w:spacing w:val="0"/>
          <w:position w:val="0"/>
          <w:sz w:val="24"/>
          <w:highlight w:val="none"/>
          <w:u w:val="single"/>
        </w:rPr>
        <w:t>项目完工后，承包人按工程竣工验收有关规定要先进行自验，并在合同期后6个月内向发包人提交完整竣工资料、自验报告和申请初验。</w:t>
      </w:r>
    </w:p>
    <w:p w14:paraId="1D756D04">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32.6中间交工工程的范围和竣工时间：</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4A3F44E7">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竣工结算</w:t>
      </w:r>
    </w:p>
    <w:p w14:paraId="5B96D457">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rPr>
        <w:t>工程款</w:t>
      </w:r>
      <w:r>
        <w:rPr>
          <w:rFonts w:hint="eastAsia" w:ascii="宋体" w:hAnsi="宋体" w:cs="宋体"/>
          <w:color w:val="auto"/>
          <w:spacing w:val="0"/>
          <w:position w:val="0"/>
          <w:sz w:val="24"/>
          <w:highlight w:val="none"/>
          <w:u w:val="single"/>
          <w:lang w:val="en-US" w:eastAsia="zh-CN"/>
        </w:rPr>
        <w:t>100</w:t>
      </w:r>
      <w:r>
        <w:rPr>
          <w:rFonts w:hint="eastAsia" w:ascii="宋体" w:hAnsi="宋体" w:eastAsia="宋体" w:cs="宋体"/>
          <w:color w:val="auto"/>
          <w:spacing w:val="0"/>
          <w:position w:val="0"/>
          <w:sz w:val="24"/>
          <w:highlight w:val="none"/>
          <w:u w:val="single"/>
        </w:rPr>
        <w:t>%在工程竣工验收合格并结算审计后2个月内付清（无息）。</w:t>
      </w:r>
    </w:p>
    <w:p w14:paraId="4D115E00">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w:t>
      </w:r>
    </w:p>
    <w:p w14:paraId="33858681">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质量保修书的主要内容包括：</w:t>
      </w:r>
    </w:p>
    <w:p w14:paraId="46F66DC6">
      <w:pPr>
        <w:shd w:val="clear"/>
        <w:tabs>
          <w:tab w:val="left" w:pos="463"/>
        </w:tabs>
        <w:adjustRightInd w:val="0"/>
        <w:snapToGrid w:val="0"/>
        <w:spacing w:line="360" w:lineRule="auto"/>
        <w:ind w:firstLine="480" w:firstLineChars="200"/>
        <w:rPr>
          <w:rFonts w:hint="eastAsia" w:ascii="宋体" w:hAnsi="宋体" w:eastAsia="宋体" w:cs="宋体"/>
          <w:color w:val="auto"/>
          <w:spacing w:val="0"/>
          <w:position w:val="0"/>
          <w:sz w:val="24"/>
          <w:highlight w:val="none"/>
          <w:u w:val="single"/>
        </w:rPr>
      </w:pPr>
      <w:r>
        <w:rPr>
          <w:rFonts w:hint="eastAsia" w:ascii="宋体" w:hAnsi="宋体" w:cs="宋体"/>
          <w:color w:val="auto"/>
          <w:spacing w:val="0"/>
          <w:position w:val="0"/>
          <w:sz w:val="24"/>
          <w:highlight w:val="none"/>
          <w:u w:val="single"/>
          <w:lang w:val="en-US" w:eastAsia="zh-CN"/>
        </w:rPr>
        <w:t>详见附件1。</w:t>
      </w:r>
    </w:p>
    <w:p w14:paraId="4A68FB6D">
      <w:pPr>
        <w:numPr>
          <w:ilvl w:val="0"/>
          <w:numId w:val="22"/>
        </w:num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违约、索赔和争议</w:t>
      </w:r>
    </w:p>
    <w:p w14:paraId="48B0806D">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违约</w:t>
      </w:r>
    </w:p>
    <w:p w14:paraId="12436506">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35.1本合同中关于发包人违约的具体责任如下：</w:t>
      </w:r>
    </w:p>
    <w:p w14:paraId="67EDAB77">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本合同通用条款第24条约定发包人违约应承担的违约责任：</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3F066491">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本合同通用条款第26.4款约定发包人违约应承担的违约责任：</w:t>
      </w:r>
      <w:r>
        <w:rPr>
          <w:rFonts w:hint="eastAsia" w:ascii="宋体" w:hAnsi="宋体" w:eastAsia="宋体" w:cs="宋体"/>
          <w:color w:val="auto"/>
          <w:spacing w:val="0"/>
          <w:position w:val="0"/>
          <w:sz w:val="24"/>
          <w:highlight w:val="none"/>
          <w:u w:val="single"/>
        </w:rPr>
        <w:t>按通用条款第26.4款执行。</w:t>
      </w:r>
    </w:p>
    <w:p w14:paraId="322B440E">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本合同通用条款第33.3款约定发包人违约应承担的违约责任：</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BC4AD1D">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双方约定的发包人其他违约责任：</w:t>
      </w:r>
      <w:r>
        <w:rPr>
          <w:rFonts w:hint="eastAsia" w:ascii="宋体" w:hAnsi="宋体" w:eastAsia="宋体" w:cs="宋体"/>
          <w:color w:val="auto"/>
          <w:spacing w:val="0"/>
          <w:position w:val="0"/>
          <w:sz w:val="24"/>
          <w:highlight w:val="none"/>
          <w:u w:val="single"/>
        </w:rPr>
        <w:t>按通用条款执行。</w:t>
      </w:r>
    </w:p>
    <w:p w14:paraId="5A71FCD8">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35.2本合同中关于承包人违约的具体责任如下：</w:t>
      </w:r>
    </w:p>
    <w:p w14:paraId="452F711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双方约定的承包人其他违约责任：</w:t>
      </w:r>
      <w:r>
        <w:rPr>
          <w:rFonts w:hint="eastAsia" w:ascii="宋体" w:hAnsi="宋体" w:eastAsia="宋体" w:cs="宋体"/>
          <w:color w:val="auto"/>
          <w:spacing w:val="0"/>
          <w:position w:val="0"/>
          <w:sz w:val="24"/>
          <w:highlight w:val="none"/>
          <w:u w:val="single"/>
        </w:rPr>
        <w:t>按通用条款执行。</w:t>
      </w:r>
    </w:p>
    <w:p w14:paraId="2B13A693">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在工程项目实施过程中不得无故更换投标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193BE81B">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37、争议</w:t>
      </w:r>
    </w:p>
    <w:p w14:paraId="0DF129E2">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37.1本合同在履行过程中发生的争议，由双方当事人协商解决，协商不成的按下列</w:t>
      </w:r>
      <w:r>
        <w:rPr>
          <w:rFonts w:hint="eastAsia" w:ascii="宋体" w:hAnsi="宋体" w:eastAsia="宋体" w:cs="宋体"/>
          <w:color w:val="auto"/>
          <w:spacing w:val="0"/>
          <w:position w:val="0"/>
          <w:sz w:val="24"/>
          <w:highlight w:val="none"/>
          <w:u w:val="single"/>
        </w:rPr>
        <w:t>第（二）</w:t>
      </w:r>
      <w:r>
        <w:rPr>
          <w:rFonts w:hint="eastAsia" w:ascii="宋体" w:hAnsi="宋体" w:eastAsia="宋体" w:cs="宋体"/>
          <w:color w:val="auto"/>
          <w:spacing w:val="0"/>
          <w:position w:val="0"/>
          <w:sz w:val="24"/>
          <w:highlight w:val="none"/>
        </w:rPr>
        <w:t>种方式解决：</w:t>
      </w:r>
    </w:p>
    <w:p w14:paraId="5193C2A2">
      <w:pPr>
        <w:numPr>
          <w:ilvl w:val="0"/>
          <w:numId w:val="24"/>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向</w:t>
      </w:r>
      <w:r>
        <w:rPr>
          <w:rFonts w:hint="eastAsia" w:ascii="宋体" w:hAnsi="宋体" w:eastAsia="宋体" w:cs="宋体"/>
          <w:color w:val="auto"/>
          <w:spacing w:val="0"/>
          <w:position w:val="0"/>
          <w:sz w:val="24"/>
          <w:highlight w:val="none"/>
          <w:u w:val="single"/>
        </w:rPr>
        <w:t>约定的</w:t>
      </w:r>
      <w:r>
        <w:rPr>
          <w:rFonts w:hint="eastAsia" w:ascii="宋体" w:hAnsi="宋体" w:eastAsia="宋体" w:cs="宋体"/>
          <w:color w:val="auto"/>
          <w:spacing w:val="0"/>
          <w:position w:val="0"/>
          <w:sz w:val="24"/>
          <w:highlight w:val="none"/>
        </w:rPr>
        <w:t>仲裁委员会申请仲裁：</w:t>
      </w:r>
    </w:p>
    <w:p w14:paraId="1385666B">
      <w:pPr>
        <w:numPr>
          <w:ilvl w:val="0"/>
          <w:numId w:val="24"/>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依法向发包人所在地人民法院起诉。</w:t>
      </w:r>
    </w:p>
    <w:p w14:paraId="71E4ED08">
      <w:pPr>
        <w:numPr>
          <w:ilvl w:val="0"/>
          <w:numId w:val="22"/>
        </w:numPr>
        <w:shd w:val="clear"/>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其他</w:t>
      </w:r>
    </w:p>
    <w:p w14:paraId="4C3FB2BC">
      <w:pPr>
        <w:numPr>
          <w:ilvl w:val="0"/>
          <w:numId w:val="25"/>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工程分包</w:t>
      </w:r>
    </w:p>
    <w:p w14:paraId="739FEA2B">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38.1本工程发包人同意承包人分包的工程：</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151A86FA">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分包施工单位为</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2838D37">
      <w:pPr>
        <w:numPr>
          <w:ilvl w:val="0"/>
          <w:numId w:val="25"/>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不可抗力</w:t>
      </w:r>
    </w:p>
    <w:p w14:paraId="276AC713">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39.1双方关于不可抗力的约定：</w:t>
      </w:r>
    </w:p>
    <w:p w14:paraId="3CC6E030">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按《通用条款》第39款执行。</w:t>
      </w:r>
    </w:p>
    <w:p w14:paraId="762BDAA0">
      <w:pPr>
        <w:numPr>
          <w:ilvl w:val="0"/>
          <w:numId w:val="25"/>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保险</w:t>
      </w:r>
    </w:p>
    <w:p w14:paraId="4C3059CC">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40.6本工程双方约定投保内容如下：</w:t>
      </w:r>
    </w:p>
    <w:p w14:paraId="420AB9A6">
      <w:pPr>
        <w:numPr>
          <w:ilvl w:val="0"/>
          <w:numId w:val="26"/>
        </w:num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发包人投保内容：</w:t>
      </w:r>
      <w:r>
        <w:rPr>
          <w:rFonts w:hint="eastAsia" w:ascii="宋体" w:hAnsi="宋体" w:eastAsia="宋体" w:cs="宋体"/>
          <w:color w:val="auto"/>
          <w:spacing w:val="0"/>
          <w:position w:val="0"/>
          <w:sz w:val="24"/>
          <w:highlight w:val="none"/>
          <w:u w:val="single"/>
        </w:rPr>
        <w:t>按国家政策自行办理。</w:t>
      </w:r>
    </w:p>
    <w:p w14:paraId="25698ED4">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发包人委托承包人办理的保险事项：</w:t>
      </w:r>
      <w:r>
        <w:rPr>
          <w:rFonts w:hint="eastAsia" w:ascii="宋体" w:hAnsi="宋体" w:eastAsia="宋体" w:cs="宋体"/>
          <w:color w:val="auto"/>
          <w:spacing w:val="0"/>
          <w:position w:val="0"/>
          <w:sz w:val="24"/>
          <w:highlight w:val="none"/>
          <w:u w:val="single"/>
        </w:rPr>
        <w:t xml:space="preserve"> 无 。</w:t>
      </w:r>
    </w:p>
    <w:p w14:paraId="6425EB3D">
      <w:pPr>
        <w:numPr>
          <w:ilvl w:val="0"/>
          <w:numId w:val="26"/>
        </w:num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承包人投保内容：</w:t>
      </w:r>
      <w:r>
        <w:rPr>
          <w:rFonts w:hint="eastAsia" w:ascii="宋体" w:hAnsi="宋体" w:eastAsia="宋体" w:cs="宋体"/>
          <w:color w:val="auto"/>
          <w:spacing w:val="0"/>
          <w:position w:val="0"/>
          <w:sz w:val="24"/>
          <w:highlight w:val="none"/>
          <w:u w:val="single"/>
        </w:rPr>
        <w:t>承包人应按有关规定自行投保施工人员的人身事故保险，该保险应不属于储蓄险等。承包人应于签订全同之日起10日内按有关规定自行办理。</w:t>
      </w:r>
    </w:p>
    <w:p w14:paraId="74797843">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41、担保</w:t>
      </w:r>
    </w:p>
    <w:p w14:paraId="0EAF2712">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41.3本工程双方约定担保内容如下：</w:t>
      </w:r>
    </w:p>
    <w:p w14:paraId="78D7657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（1）发包人向承包人提供支付担保，担保方式为：</w:t>
      </w:r>
      <w:r>
        <w:rPr>
          <w:rFonts w:hint="eastAsia" w:ascii="宋体" w:hAnsi="宋体" w:eastAsia="宋体" w:cs="宋体"/>
          <w:color w:val="auto"/>
          <w:spacing w:val="0"/>
          <w:position w:val="0"/>
          <w:sz w:val="24"/>
          <w:highlight w:val="none"/>
          <w:u w:val="single"/>
        </w:rPr>
        <w:t xml:space="preserve"> 无 。</w:t>
      </w:r>
    </w:p>
    <w:p w14:paraId="109E80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（2）承包人向发包人提供履约担保，担保方式为：</w:t>
      </w:r>
      <w:r>
        <w:rPr>
          <w:rFonts w:hint="eastAsia" w:ascii="宋体" w:hAnsi="宋体" w:eastAsia="宋体" w:cs="宋体"/>
          <w:color w:val="auto"/>
          <w:spacing w:val="0"/>
          <w:position w:val="0"/>
          <w:sz w:val="24"/>
          <w:highlight w:val="none"/>
          <w:u w:val="single"/>
        </w:rPr>
        <w:t xml:space="preserve"> 在签订合同时向</w:t>
      </w:r>
      <w:r>
        <w:rPr>
          <w:rFonts w:hint="eastAsia" w:ascii="宋体" w:hAnsi="宋体" w:eastAsia="宋体" w:cs="宋体"/>
          <w:color w:val="auto"/>
          <w:spacing w:val="0"/>
          <w:position w:val="0"/>
          <w:sz w:val="24"/>
          <w:highlight w:val="none"/>
          <w:u w:val="single"/>
          <w:lang w:eastAsia="zh-CN"/>
        </w:rPr>
        <w:t>财政部门</w:t>
      </w:r>
      <w:r>
        <w:rPr>
          <w:rFonts w:hint="eastAsia" w:ascii="宋体" w:hAnsi="宋体" w:eastAsia="宋体" w:cs="宋体"/>
          <w:color w:val="auto"/>
          <w:spacing w:val="0"/>
          <w:position w:val="0"/>
          <w:sz w:val="24"/>
          <w:highlight w:val="none"/>
          <w:u w:val="single"/>
        </w:rPr>
        <w:t>交中标价的</w:t>
      </w:r>
      <w:r>
        <w:rPr>
          <w:rFonts w:hint="eastAsia" w:ascii="宋体" w:hAnsi="宋体" w:cs="宋体"/>
          <w:color w:val="auto"/>
          <w:spacing w:val="0"/>
          <w:position w:val="0"/>
          <w:sz w:val="24"/>
          <w:highlight w:val="none"/>
          <w:u w:val="single"/>
          <w:lang w:val="en-US" w:eastAsia="zh-CN"/>
        </w:rPr>
        <w:t>2</w:t>
      </w:r>
      <w:r>
        <w:rPr>
          <w:rFonts w:hint="eastAsia" w:ascii="宋体" w:hAnsi="宋体" w:eastAsia="宋体" w:cs="宋体"/>
          <w:color w:val="auto"/>
          <w:spacing w:val="0"/>
          <w:position w:val="0"/>
          <w:sz w:val="24"/>
          <w:highlight w:val="none"/>
          <w:u w:val="single"/>
        </w:rPr>
        <w:t>%履约保证金，项目审计结算后无息返回。</w:t>
      </w:r>
    </w:p>
    <w:p w14:paraId="647C64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lang w:val="en-US" w:eastAsia="zh-CN"/>
        </w:rPr>
        <w:t>承包人</w:t>
      </w:r>
      <w:r>
        <w:rPr>
          <w:rFonts w:hint="eastAsia" w:ascii="宋体" w:hAnsi="宋体" w:eastAsia="宋体" w:cs="宋体"/>
          <w:color w:val="auto"/>
          <w:spacing w:val="0"/>
          <w:position w:val="0"/>
          <w:sz w:val="24"/>
          <w:highlight w:val="none"/>
          <w:u w:val="single"/>
        </w:rPr>
        <w:t>提供虚假材料造成流标、废标的，扣除投标保证金，提交了履约保证金的一并扣除，造成其他损失的由投标人承担。</w:t>
      </w:r>
    </w:p>
    <w:p w14:paraId="7157265A">
      <w:pPr>
        <w:ind w:firstLine="480" w:firstLineChars="200"/>
        <w:rPr>
          <w:rFonts w:hint="eastAsia" w:ascii="宋体" w:hAnsi="宋体" w:eastAsia="宋体" w:cs="宋体"/>
          <w:color w:val="auto"/>
          <w:spacing w:val="0"/>
          <w:position w:val="0"/>
          <w:sz w:val="24"/>
          <w:highlight w:val="none"/>
          <w:u w:val="single"/>
          <w:lang w:val="en-US" w:eastAsia="zh-CN"/>
        </w:rPr>
      </w:pPr>
    </w:p>
    <w:p w14:paraId="3DEC9158">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46、合同份数</w:t>
      </w:r>
    </w:p>
    <w:p w14:paraId="790C8BB5">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46.1双方约定合同份数：</w:t>
      </w:r>
      <w:r>
        <w:rPr>
          <w:rFonts w:hint="eastAsia" w:ascii="宋体" w:hAnsi="宋体"/>
          <w:color w:val="auto"/>
          <w:sz w:val="24"/>
          <w:szCs w:val="24"/>
          <w:highlight w:val="none"/>
        </w:rPr>
        <w:t>本合同一式</w:t>
      </w:r>
      <w:r>
        <w:rPr>
          <w:rFonts w:hint="eastAsia" w:ascii="宋体" w:hAnsi="宋体"/>
          <w:color w:val="auto"/>
          <w:sz w:val="24"/>
          <w:szCs w:val="24"/>
          <w:highlight w:val="none"/>
          <w:lang w:eastAsia="zh-CN"/>
        </w:rPr>
        <w:t>陆</w:t>
      </w:r>
      <w:r>
        <w:rPr>
          <w:rFonts w:hint="eastAsia" w:ascii="宋体" w:hAnsi="宋体"/>
          <w:color w:val="auto"/>
          <w:sz w:val="24"/>
          <w:szCs w:val="24"/>
          <w:highlight w:val="none"/>
        </w:rPr>
        <w:t>份，发包人执</w:t>
      </w:r>
      <w:r>
        <w:rPr>
          <w:rFonts w:hint="eastAsia" w:ascii="宋体" w:hAnsi="宋体"/>
          <w:color w:val="auto"/>
          <w:sz w:val="24"/>
          <w:szCs w:val="24"/>
          <w:highlight w:val="none"/>
          <w:lang w:val="en-US" w:eastAsia="zh-CN"/>
        </w:rPr>
        <w:t>叁</w:t>
      </w:r>
      <w:r>
        <w:rPr>
          <w:rFonts w:hint="eastAsia" w:ascii="宋体" w:hAnsi="宋体"/>
          <w:color w:val="auto"/>
          <w:sz w:val="24"/>
          <w:szCs w:val="24"/>
          <w:highlight w:val="none"/>
        </w:rPr>
        <w:t>份，承包人执</w:t>
      </w:r>
      <w:r>
        <w:rPr>
          <w:rFonts w:hint="eastAsia" w:ascii="宋体" w:hAnsi="宋体"/>
          <w:color w:val="auto"/>
          <w:sz w:val="24"/>
          <w:szCs w:val="24"/>
          <w:highlight w:val="none"/>
          <w:lang w:val="en-US" w:eastAsia="zh-CN"/>
        </w:rPr>
        <w:t>叁</w:t>
      </w:r>
      <w:r>
        <w:rPr>
          <w:rFonts w:hint="eastAsia" w:ascii="宋体" w:hAnsi="宋体"/>
          <w:color w:val="auto"/>
          <w:sz w:val="24"/>
          <w:szCs w:val="24"/>
          <w:highlight w:val="none"/>
        </w:rPr>
        <w:t>份</w:t>
      </w:r>
    </w:p>
    <w:p w14:paraId="03486B0C">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47、本合同工程签证事项双方同意按《浦北县国有资金投资建设项目签证管理暂行办法》的规定执行。</w:t>
      </w:r>
    </w:p>
    <w:p w14:paraId="4B763371">
      <w:pPr>
        <w:shd w:val="clear"/>
        <w:tabs>
          <w:tab w:val="left" w:pos="463"/>
        </w:tabs>
        <w:spacing w:line="360" w:lineRule="auto"/>
        <w:rPr>
          <w:rFonts w:ascii="宋体" w:hAnsi="宋体" w:eastAsia="宋体" w:cs="宋体"/>
          <w:color w:val="auto"/>
          <w:spacing w:val="0"/>
          <w:position w:val="0"/>
          <w:sz w:val="24"/>
          <w:highlight w:val="none"/>
        </w:rPr>
      </w:pPr>
    </w:p>
    <w:p w14:paraId="66491292">
      <w:pPr>
        <w:shd w:val="clear"/>
        <w:tabs>
          <w:tab w:val="left" w:pos="463"/>
        </w:tabs>
        <w:spacing w:line="360" w:lineRule="auto"/>
        <w:rPr>
          <w:rFonts w:ascii="宋体" w:hAnsi="宋体" w:eastAsia="宋体" w:cs="宋体"/>
          <w:color w:val="auto"/>
          <w:spacing w:val="0"/>
          <w:position w:val="0"/>
          <w:sz w:val="30"/>
          <w:szCs w:val="30"/>
          <w:highlight w:val="none"/>
        </w:rPr>
      </w:pPr>
    </w:p>
    <w:p w14:paraId="30BEC5BF">
      <w:pPr>
        <w:shd w:val="clear"/>
        <w:tabs>
          <w:tab w:val="left" w:pos="463"/>
        </w:tabs>
        <w:spacing w:line="360" w:lineRule="auto"/>
        <w:rPr>
          <w:rFonts w:ascii="宋体" w:hAnsi="宋体" w:eastAsia="宋体" w:cs="宋体"/>
          <w:color w:val="auto"/>
          <w:spacing w:val="0"/>
          <w:position w:val="0"/>
          <w:sz w:val="30"/>
          <w:szCs w:val="30"/>
          <w:highlight w:val="none"/>
        </w:rPr>
      </w:pPr>
    </w:p>
    <w:p w14:paraId="5ECEE13F">
      <w:pPr>
        <w:pStyle w:val="16"/>
        <w:shd w:val="clear"/>
        <w:rPr>
          <w:rFonts w:ascii="宋体" w:hAnsi="宋体" w:eastAsia="宋体" w:cs="宋体"/>
          <w:color w:val="auto"/>
          <w:spacing w:val="0"/>
          <w:position w:val="0"/>
          <w:sz w:val="30"/>
          <w:szCs w:val="30"/>
          <w:highlight w:val="none"/>
        </w:rPr>
      </w:pPr>
    </w:p>
    <w:p w14:paraId="4D5C2D07">
      <w:pPr>
        <w:shd w:val="clear"/>
        <w:spacing w:beforeLines="50" w:afterLines="50"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附件1</w:t>
      </w:r>
    </w:p>
    <w:p w14:paraId="54B0C6CF">
      <w:pPr>
        <w:shd w:val="clear"/>
        <w:spacing w:beforeLines="50" w:afterLines="50" w:line="360" w:lineRule="auto"/>
        <w:jc w:val="center"/>
        <w:rPr>
          <w:rFonts w:ascii="宋体" w:hAnsi="宋体" w:eastAsia="宋体" w:cs="宋体"/>
          <w:b/>
          <w:bCs/>
          <w:color w:val="auto"/>
          <w:spacing w:val="0"/>
          <w:position w:val="0"/>
          <w:sz w:val="36"/>
          <w:szCs w:val="36"/>
          <w:highlight w:val="none"/>
        </w:rPr>
      </w:pPr>
      <w:r>
        <w:rPr>
          <w:rFonts w:hint="eastAsia" w:ascii="宋体" w:hAnsi="宋体" w:eastAsia="宋体" w:cs="宋体"/>
          <w:b/>
          <w:bCs/>
          <w:color w:val="auto"/>
          <w:spacing w:val="0"/>
          <w:position w:val="0"/>
          <w:sz w:val="40"/>
          <w:szCs w:val="40"/>
          <w:highlight w:val="none"/>
        </w:rPr>
        <w:t>工程质量保修书</w:t>
      </w:r>
    </w:p>
    <w:p w14:paraId="111B3AB7">
      <w:pPr>
        <w:shd w:val="clear"/>
        <w:spacing w:beforeLines="50" w:afterLines="50" w:line="360" w:lineRule="auto"/>
        <w:jc w:val="center"/>
        <w:rPr>
          <w:rFonts w:ascii="宋体" w:hAnsi="宋体" w:eastAsia="宋体" w:cs="宋体"/>
          <w:b/>
          <w:bCs/>
          <w:color w:val="auto"/>
          <w:spacing w:val="0"/>
          <w:position w:val="0"/>
          <w:sz w:val="36"/>
          <w:szCs w:val="36"/>
          <w:highlight w:val="none"/>
        </w:rPr>
      </w:pPr>
    </w:p>
    <w:p w14:paraId="699515CF">
      <w:pPr>
        <w:shd w:val="clear"/>
        <w:adjustRightInd w:val="0"/>
        <w:snapToGrid w:val="0"/>
        <w:spacing w:beforeLines="50" w:afterLines="50"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46A56C3E">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3FB27A43">
      <w:pPr>
        <w:shd w:val="clear"/>
        <w:adjustRightInd w:val="0"/>
        <w:snapToGrid w:val="0"/>
        <w:spacing w:line="360" w:lineRule="auto"/>
        <w:ind w:firstLine="42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签订工程质量保修书。</w:t>
      </w:r>
    </w:p>
    <w:p w14:paraId="7958CE48">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1、工程质量保修范围和内容</w:t>
      </w:r>
    </w:p>
    <w:p w14:paraId="5E51D75B">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承包人在质量保修期内，按照有关法律、法规、规章的管理规定和双方约定，承担工程质量保修责任。</w:t>
      </w:r>
    </w:p>
    <w:p w14:paraId="12286AE8">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FCE45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rPr>
        <w:t xml:space="preserve"> 质量保修范围包括</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工程等承包人施工的项目  </w:t>
      </w:r>
      <w:r>
        <w:rPr>
          <w:rFonts w:hint="eastAsia" w:ascii="宋体" w:hAnsi="宋体" w:eastAsia="宋体" w:cs="宋体"/>
          <w:color w:val="auto"/>
          <w:spacing w:val="0"/>
          <w:position w:val="0"/>
          <w:sz w:val="24"/>
          <w:highlight w:val="none"/>
        </w:rPr>
        <w:t>。</w:t>
      </w:r>
    </w:p>
    <w:p w14:paraId="0B2B34A8">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非承包人施工的项目或非承包人购买的材料、设备，不在保修范围内；因承包人之外的原因造成该部分材料、设备返修的经济支出，不由承包人承担。 </w:t>
      </w:r>
    </w:p>
    <w:p w14:paraId="7C3E2523">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因使用不当或者第三方造成质量缺陷的，承包人不负担责任 。 </w:t>
      </w:r>
    </w:p>
    <w:p w14:paraId="36A0E31F">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因不可抗力造成质量缺陷的，承包人不负担责任 。 </w:t>
      </w:r>
    </w:p>
    <w:p w14:paraId="12319F92">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2、质量保修期</w:t>
      </w:r>
    </w:p>
    <w:p w14:paraId="1C30E66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根据《建设工程质量管理条例》及有关规定，约定本工程的质量保修期如下：</w:t>
      </w:r>
    </w:p>
    <w:p w14:paraId="5BBD9DAB">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主本工程为设计文件规定的该工程合理使用年限。</w:t>
      </w:r>
    </w:p>
    <w:p w14:paraId="067A93FA">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其他工程项目保修期</w:t>
      </w:r>
      <w:r>
        <w:rPr>
          <w:rFonts w:hint="eastAsia" w:ascii="宋体" w:hAnsi="宋体" w:eastAsia="宋体" w:cs="宋体"/>
          <w:color w:val="auto"/>
          <w:spacing w:val="0"/>
          <w:position w:val="0"/>
          <w:sz w:val="24"/>
          <w:highlight w:val="none"/>
          <w:u w:val="single"/>
        </w:rPr>
        <w:t xml:space="preserve">  1  </w:t>
      </w:r>
      <w:r>
        <w:rPr>
          <w:rFonts w:hint="eastAsia" w:ascii="宋体" w:hAnsi="宋体" w:eastAsia="宋体" w:cs="宋体"/>
          <w:color w:val="auto"/>
          <w:spacing w:val="0"/>
          <w:position w:val="0"/>
          <w:sz w:val="24"/>
          <w:highlight w:val="none"/>
        </w:rPr>
        <w:t>年。</w:t>
      </w:r>
    </w:p>
    <w:p w14:paraId="3514F2CE">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质量保修期自工程竣工验收合格之日起计算器。</w:t>
      </w:r>
    </w:p>
    <w:p w14:paraId="25D66E44">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3、质量保修责任</w:t>
      </w:r>
    </w:p>
    <w:p w14:paraId="1D039293">
      <w:pPr>
        <w:shd w:val="clear"/>
        <w:adjustRightInd w:val="0"/>
        <w:snapToGrid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1．属于保修范围、内容的项目，承包人应当在接到保修通知之日起</w:t>
      </w:r>
      <w:r>
        <w:rPr>
          <w:rFonts w:hint="eastAsia" w:ascii="宋体" w:hAnsi="宋体" w:eastAsia="宋体" w:cs="宋体"/>
          <w:color w:val="auto"/>
          <w:spacing w:val="0"/>
          <w:position w:val="0"/>
          <w:sz w:val="24"/>
          <w:highlight w:val="none"/>
          <w:u w:val="single"/>
        </w:rPr>
        <w:t xml:space="preserve">  7    </w:t>
      </w:r>
      <w:r>
        <w:rPr>
          <w:rFonts w:hint="eastAsia" w:ascii="宋体" w:hAnsi="宋体" w:eastAsia="宋体" w:cs="宋体"/>
          <w:color w:val="auto"/>
          <w:spacing w:val="0"/>
          <w:position w:val="0"/>
          <w:sz w:val="24"/>
          <w:highlight w:val="none"/>
        </w:rPr>
        <w:t>天内派人保修。承包人不在约定期限内派人保修的，发包人可以委托他人修理，发生费用由承包人承担。</w:t>
      </w:r>
    </w:p>
    <w:p w14:paraId="7AD9B66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2．发生须紧急抢修事故的，承包人在接到事故通知后，应当立即到达事故现场抢修。</w:t>
      </w:r>
    </w:p>
    <w:p w14:paraId="2F2B236E">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9B24DA4">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4．质量保修完成后，由发包人组织验收。</w:t>
      </w:r>
    </w:p>
    <w:p w14:paraId="039EF735">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4、保修费用</w:t>
      </w:r>
    </w:p>
    <w:p w14:paraId="12381730">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保修费用由造成质量缺陷的责任方承担。</w:t>
      </w:r>
    </w:p>
    <w:p w14:paraId="66DDC587">
      <w:pPr>
        <w:numPr>
          <w:ilvl w:val="0"/>
          <w:numId w:val="28"/>
        </w:numPr>
        <w:shd w:val="clear"/>
        <w:adjustRightInd w:val="0"/>
        <w:snapToGrid w:val="0"/>
        <w:spacing w:line="360" w:lineRule="auto"/>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其他</w:t>
      </w:r>
    </w:p>
    <w:p w14:paraId="142EBFB5">
      <w:pPr>
        <w:shd w:val="clear"/>
        <w:adjustRightInd w:val="0"/>
        <w:snapToGrid w:val="0"/>
        <w:spacing w:line="360" w:lineRule="auto"/>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双方约定的其他工程质量保修事项：</w:t>
      </w:r>
      <w:r>
        <w:rPr>
          <w:rFonts w:hint="eastAsia" w:ascii="宋体" w:hAnsi="宋体" w:eastAsia="宋体" w:cs="宋体"/>
          <w:color w:val="auto"/>
          <w:spacing w:val="0"/>
          <w:position w:val="0"/>
          <w:sz w:val="24"/>
          <w:highlight w:val="none"/>
          <w:u w:val="single"/>
        </w:rPr>
        <w:t xml:space="preserve">  在工程保修期内，发包人可以根据国家有关规定和合同规定的金额，扣取保修金，保修金为：结算金额3%。发包人在工程质量保修满壹年之日起经复核合格后15个工作日内全部退回保修金给承包人（无息）</w:t>
      </w:r>
      <w:r>
        <w:rPr>
          <w:rFonts w:hint="eastAsia" w:ascii="宋体" w:hAnsi="宋体" w:eastAsia="宋体" w:cs="宋体"/>
          <w:color w:val="auto"/>
          <w:spacing w:val="0"/>
          <w:position w:val="0"/>
          <w:sz w:val="24"/>
          <w:highlight w:val="none"/>
        </w:rPr>
        <w:t>。</w:t>
      </w:r>
    </w:p>
    <w:p w14:paraId="4075CE62">
      <w:pPr>
        <w:shd w:val="clear"/>
        <w:adjustRightInd w:val="0"/>
        <w:snapToGrid w:val="0"/>
        <w:spacing w:line="360" w:lineRule="auto"/>
        <w:ind w:firstLine="456" w:firstLineChars="19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本工程质量保修书，由施工合同发包人、承包人双方在竣工验收前共同签署，作为施工合同附件，其有效期限至保修期满。</w:t>
      </w:r>
    </w:p>
    <w:p w14:paraId="7E9A9D65">
      <w:pPr>
        <w:shd w:val="clear"/>
        <w:adjustRightInd w:val="0"/>
        <w:snapToGrid w:val="0"/>
        <w:spacing w:line="360" w:lineRule="auto"/>
        <w:rPr>
          <w:rFonts w:ascii="宋体" w:hAnsi="宋体" w:eastAsia="宋体" w:cs="宋体"/>
          <w:color w:val="auto"/>
          <w:spacing w:val="0"/>
          <w:position w:val="0"/>
          <w:sz w:val="24"/>
          <w:highlight w:val="none"/>
        </w:rPr>
      </w:pPr>
    </w:p>
    <w:p w14:paraId="46EBC65A">
      <w:pPr>
        <w:shd w:val="clear"/>
        <w:adjustRightInd w:val="0"/>
        <w:snapToGrid w:val="0"/>
        <w:spacing w:line="360" w:lineRule="auto"/>
        <w:rPr>
          <w:rFonts w:ascii="宋体" w:hAnsi="宋体" w:eastAsia="宋体" w:cs="宋体"/>
          <w:color w:val="auto"/>
          <w:spacing w:val="0"/>
          <w:position w:val="0"/>
          <w:sz w:val="24"/>
          <w:highlight w:val="none"/>
        </w:rPr>
      </w:pPr>
    </w:p>
    <w:p w14:paraId="10759356">
      <w:pPr>
        <w:shd w:val="clear"/>
        <w:adjustRightInd w:val="0"/>
        <w:snapToGrid w:val="0"/>
        <w:spacing w:line="360" w:lineRule="auto"/>
        <w:ind w:firstLine="720" w:firstLineChars="3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发包人（公章）                        承包人（公章）</w:t>
      </w:r>
    </w:p>
    <w:p w14:paraId="534791E7">
      <w:pPr>
        <w:shd w:val="clear"/>
        <w:adjustRightInd w:val="0"/>
        <w:snapToGrid w:val="0"/>
        <w:spacing w:line="360" w:lineRule="auto"/>
        <w:rPr>
          <w:rFonts w:ascii="宋体" w:hAnsi="宋体" w:eastAsia="宋体" w:cs="宋体"/>
          <w:color w:val="auto"/>
          <w:spacing w:val="0"/>
          <w:position w:val="0"/>
          <w:sz w:val="24"/>
          <w:highlight w:val="none"/>
          <w:u w:val="single"/>
        </w:rPr>
      </w:pPr>
    </w:p>
    <w:p w14:paraId="3A8153BA">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法定代表人：</w:t>
      </w:r>
      <w:r>
        <w:rPr>
          <w:rFonts w:hint="eastAsia" w:ascii="宋体" w:hAnsi="宋体" w:eastAsia="宋体" w:cs="宋体"/>
          <w:color w:val="auto"/>
          <w:spacing w:val="0"/>
          <w:position w:val="0"/>
          <w:sz w:val="24"/>
          <w:highlight w:val="none"/>
          <w:u w:val="single"/>
        </w:rPr>
        <w:t xml:space="preserve">         </w:t>
      </w:r>
    </w:p>
    <w:p w14:paraId="40D6941C">
      <w:pPr>
        <w:shd w:val="clear"/>
        <w:adjustRightInd w:val="0"/>
        <w:snapToGrid w:val="0"/>
        <w:spacing w:line="360" w:lineRule="auto"/>
        <w:rPr>
          <w:rFonts w:ascii="宋体" w:hAnsi="宋体" w:eastAsia="宋体" w:cs="宋体"/>
          <w:color w:val="auto"/>
          <w:spacing w:val="0"/>
          <w:position w:val="0"/>
          <w:sz w:val="24"/>
          <w:highlight w:val="none"/>
          <w:u w:val="single"/>
        </w:rPr>
      </w:pPr>
    </w:p>
    <w:p w14:paraId="1E65B28F">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2E015D24">
      <w:pPr>
        <w:shd w:val="clear"/>
        <w:adjustRightInd w:val="0"/>
        <w:snapToGrid w:val="0"/>
        <w:spacing w:line="400" w:lineRule="exact"/>
        <w:rPr>
          <w:rFonts w:ascii="宋体" w:hAnsi="宋体" w:eastAsia="宋体" w:cs="宋体"/>
          <w:color w:val="auto"/>
          <w:spacing w:val="0"/>
          <w:position w:val="0"/>
          <w:sz w:val="24"/>
          <w:highlight w:val="none"/>
          <w:u w:val="single"/>
        </w:rPr>
      </w:pPr>
    </w:p>
    <w:p w14:paraId="084905DA">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52091FAA">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13B05075">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5DBEEA3F">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0996A8E2">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3F3BA97E">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6BE1ED3C">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454A8BCC">
      <w:pPr>
        <w:shd w:val="clear"/>
        <w:spacing w:beforeLines="50" w:afterLines="50" w:line="360" w:lineRule="auto"/>
        <w:rPr>
          <w:rFonts w:hint="default"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附件2</w:t>
      </w:r>
    </w:p>
    <w:p w14:paraId="2F20F8D3">
      <w:pPr>
        <w:shd w:val="clear"/>
        <w:spacing w:line="480" w:lineRule="auto"/>
        <w:jc w:val="center"/>
        <w:outlineLvl w:val="3"/>
        <w:rPr>
          <w:rFonts w:hint="eastAsia" w:ascii="宋体" w:hAnsi="宋体" w:eastAsia="宋体" w:cs="宋体"/>
          <w:b/>
          <w:bCs/>
          <w:color w:val="auto"/>
          <w:spacing w:val="0"/>
          <w:kern w:val="1"/>
          <w:position w:val="0"/>
          <w:sz w:val="24"/>
          <w:szCs w:val="24"/>
          <w:highlight w:val="none"/>
        </w:rPr>
      </w:pPr>
      <w:r>
        <w:rPr>
          <w:rFonts w:hint="eastAsia" w:ascii="宋体" w:hAnsi="宋体" w:eastAsia="宋体" w:cs="宋体"/>
          <w:b/>
          <w:bCs/>
          <w:color w:val="auto"/>
          <w:spacing w:val="0"/>
          <w:position w:val="0"/>
          <w:sz w:val="24"/>
          <w:szCs w:val="24"/>
          <w:highlight w:val="none"/>
        </w:rPr>
        <w:t>安全生产合同</w:t>
      </w:r>
    </w:p>
    <w:p w14:paraId="4846F0C5">
      <w:pPr>
        <w:shd w:val="clear"/>
        <w:rPr>
          <w:rFonts w:hint="eastAsia" w:ascii="宋体" w:hAnsi="宋体" w:eastAsia="宋体" w:cs="宋体"/>
          <w:color w:val="auto"/>
          <w:spacing w:val="0"/>
          <w:kern w:val="1"/>
          <w:position w:val="0"/>
          <w:sz w:val="24"/>
          <w:szCs w:val="24"/>
          <w:highlight w:val="none"/>
        </w:rPr>
      </w:pPr>
    </w:p>
    <w:p w14:paraId="575D92E4">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为在</w:t>
      </w:r>
      <w:r>
        <w:rPr>
          <w:rFonts w:hint="eastAsia" w:ascii="宋体" w:hAnsi="宋体" w:eastAsia="宋体" w:cs="宋体"/>
          <w:b/>
          <w:color w:val="auto"/>
          <w:spacing w:val="0"/>
          <w:position w:val="0"/>
          <w:sz w:val="24"/>
          <w:szCs w:val="24"/>
          <w:highlight w:val="none"/>
          <w:u w:val="single"/>
          <w:lang w:val="en-US" w:eastAsia="zh-CN"/>
        </w:rPr>
        <w:t xml:space="preserve"> </w:t>
      </w:r>
      <w:r>
        <w:rPr>
          <w:rFonts w:hint="eastAsia" w:ascii="宋体" w:hAnsi="宋体" w:cs="宋体"/>
          <w:b/>
          <w:color w:val="auto"/>
          <w:spacing w:val="0"/>
          <w:position w:val="0"/>
          <w:sz w:val="24"/>
          <w:szCs w:val="24"/>
          <w:highlight w:val="none"/>
          <w:u w:val="single"/>
          <w:lang w:val="en-US" w:eastAsia="zh-CN"/>
        </w:rPr>
        <w:t xml:space="preserve">（工程名称）  </w:t>
      </w:r>
      <w:r>
        <w:rPr>
          <w:rFonts w:hint="eastAsia" w:ascii="宋体" w:hAnsi="宋体" w:eastAsia="宋体" w:cs="宋体"/>
          <w:color w:val="auto"/>
          <w:spacing w:val="0"/>
          <w:kern w:val="1"/>
          <w:position w:val="0"/>
          <w:sz w:val="24"/>
          <w:szCs w:val="24"/>
          <w:highlight w:val="none"/>
        </w:rPr>
        <w:t>的实施过程中创造安全、高效的施工环境，切实搞好本项目的安全管理工作，本项目业主</w:t>
      </w:r>
      <w:r>
        <w:rPr>
          <w:rFonts w:hint="eastAsia" w:ascii="宋体" w:hAnsi="宋体" w:eastAsia="宋体" w:cs="宋体"/>
          <w:color w:val="auto"/>
          <w:spacing w:val="0"/>
          <w:kern w:val="1"/>
          <w:position w:val="0"/>
          <w:sz w:val="24"/>
          <w:szCs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kern w:val="1"/>
          <w:position w:val="0"/>
          <w:sz w:val="24"/>
          <w:szCs w:val="24"/>
          <w:highlight w:val="none"/>
          <w:u w:val="single"/>
        </w:rPr>
        <w:t xml:space="preserve"> </w:t>
      </w:r>
      <w:r>
        <w:rPr>
          <w:rFonts w:hint="eastAsia" w:ascii="宋体" w:hAnsi="宋体" w:eastAsia="宋体" w:cs="宋体"/>
          <w:color w:val="auto"/>
          <w:spacing w:val="0"/>
          <w:kern w:val="1"/>
          <w:position w:val="0"/>
          <w:sz w:val="24"/>
          <w:szCs w:val="24"/>
          <w:highlight w:val="none"/>
        </w:rPr>
        <w:t>（以下简称“甲方”）与承包人</w:t>
      </w:r>
      <w:r>
        <w:rPr>
          <w:rFonts w:hint="eastAsia" w:ascii="宋体" w:hAnsi="宋体" w:eastAsia="宋体" w:cs="宋体"/>
          <w:b/>
          <w:bCs/>
          <w:color w:val="auto"/>
          <w:spacing w:val="0"/>
          <w:kern w:val="1"/>
          <w:position w:val="0"/>
          <w:sz w:val="24"/>
          <w:szCs w:val="24"/>
          <w:highlight w:val="none"/>
          <w:u w:val="single"/>
        </w:rPr>
        <w:t xml:space="preserve"> </w:t>
      </w:r>
      <w:r>
        <w:rPr>
          <w:rFonts w:hint="eastAsia" w:ascii="宋体" w:hAnsi="宋体" w:eastAsia="宋体" w:cs="宋体"/>
          <w:b w:val="0"/>
          <w:bCs w:val="0"/>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kern w:val="1"/>
          <w:position w:val="0"/>
          <w:sz w:val="24"/>
          <w:szCs w:val="24"/>
          <w:highlight w:val="none"/>
        </w:rPr>
        <w:t>（以下简称“乙方”）特此签订安全生产合同：</w:t>
      </w:r>
    </w:p>
    <w:p w14:paraId="332E88B4">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一、甲方职责</w:t>
      </w:r>
    </w:p>
    <w:p w14:paraId="4204CBA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 严格遵守国家有关安全生产的法律法规，认真执行工程承包合同中的有关安全要求。</w:t>
      </w:r>
    </w:p>
    <w:p w14:paraId="53DAEDCD">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2. 按照“安全第一、预防为主”和坚持“管生产必须管安全”的原则进行安全生产管理，做到生产与安全工作同时计划、布置、检查、总结和评比。</w:t>
      </w:r>
    </w:p>
    <w:p w14:paraId="15F0E8A6">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3. 重要的安全设施必须坚持与主体工程“三同时”的原则，即：同时设计、审批，同时施工，同时验收，投入使用。</w:t>
      </w:r>
    </w:p>
    <w:p w14:paraId="4100C69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4. 定期召开安全生产调度会，及时传达中央及地方有关安全生产的精神。</w:t>
      </w:r>
    </w:p>
    <w:p w14:paraId="01DEF9B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5. 组织对乙方施工现场安全生产检查，监督乙方及时处理发现的各种安全隐患。</w:t>
      </w:r>
    </w:p>
    <w:p w14:paraId="5EC222CD">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二、乙方职责</w:t>
      </w:r>
    </w:p>
    <w:p w14:paraId="4B594224">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 严格遵守国家有关安全生产的法律法规、农业农村部、水利部颁发的有关安全生产的规定，认真执行工程承包合同中的有关安全要求。</w:t>
      </w:r>
    </w:p>
    <w:p w14:paraId="123447F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1B00F1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ED7F48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4. 乙方在任何时候都应采取各种合理的预防措施，防止其员工发生任何违法、违禁、暴力或妨碍治安的行为。</w:t>
      </w:r>
    </w:p>
    <w:p w14:paraId="256B8A9C">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F5B13E9">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D19F9B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7. 操作人员上岗，必须按规定穿戴防护用品。施工负责人和安全检查员应随时检查劳动防护用品的穿戴情况，不按规定穿戴防护用品的人员不得上岗。</w:t>
      </w:r>
    </w:p>
    <w:p w14:paraId="4518FBD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DD98F12">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9. 施工中采用新技术、新工艺、新设备、新材料时，必须制定相应的安全技术措施，施工现场必须具有相关的安全标志牌。</w:t>
      </w:r>
    </w:p>
    <w:p w14:paraId="05E54E06">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7DC775F">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三、违约责任</w:t>
      </w:r>
    </w:p>
    <w:p w14:paraId="55D5C333">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如因甲方或乙方违约造成安全事故，将依法追究责任。</w:t>
      </w:r>
    </w:p>
    <w:p w14:paraId="09DB069A">
      <w:pPr>
        <w:shd w:val="clear"/>
        <w:adjustRightInd w:val="0"/>
        <w:snapToGrid w:val="0"/>
        <w:spacing w:line="360" w:lineRule="auto"/>
        <w:ind w:firstLine="720" w:firstLineChars="300"/>
        <w:rPr>
          <w:rFonts w:hint="eastAsia" w:ascii="宋体" w:hAnsi="宋体" w:eastAsia="宋体" w:cs="宋体"/>
          <w:color w:val="auto"/>
          <w:spacing w:val="0"/>
          <w:position w:val="0"/>
          <w:sz w:val="24"/>
          <w:highlight w:val="none"/>
        </w:rPr>
      </w:pPr>
    </w:p>
    <w:p w14:paraId="6444E8FA">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发包人（公章）                        承包人（公章）</w:t>
      </w:r>
    </w:p>
    <w:p w14:paraId="0C44DC2E">
      <w:pPr>
        <w:shd w:val="clear"/>
        <w:adjustRightInd w:val="0"/>
        <w:snapToGrid w:val="0"/>
        <w:spacing w:line="360" w:lineRule="auto"/>
        <w:rPr>
          <w:rFonts w:ascii="宋体" w:hAnsi="宋体" w:eastAsia="宋体" w:cs="宋体"/>
          <w:color w:val="auto"/>
          <w:spacing w:val="0"/>
          <w:position w:val="0"/>
          <w:sz w:val="24"/>
          <w:highlight w:val="none"/>
          <w:u w:val="single"/>
        </w:rPr>
      </w:pPr>
    </w:p>
    <w:p w14:paraId="334EC671">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62F3DDF0">
      <w:pPr>
        <w:shd w:val="clear"/>
        <w:adjustRightInd w:val="0"/>
        <w:snapToGrid w:val="0"/>
        <w:spacing w:line="360" w:lineRule="auto"/>
        <w:rPr>
          <w:rFonts w:ascii="宋体" w:hAnsi="宋体" w:eastAsia="宋体" w:cs="宋体"/>
          <w:color w:val="auto"/>
          <w:spacing w:val="0"/>
          <w:position w:val="0"/>
          <w:sz w:val="24"/>
          <w:highlight w:val="none"/>
          <w:u w:val="single"/>
        </w:rPr>
      </w:pPr>
    </w:p>
    <w:p w14:paraId="5F9F68D8">
      <w:pPr>
        <w:shd w:val="clear"/>
        <w:spacing w:line="360" w:lineRule="auto"/>
        <w:rPr>
          <w:rFonts w:hint="eastAsia" w:asciiTheme="minorEastAsia" w:hAnsiTheme="minorEastAsia" w:cstheme="minorEastAsia"/>
          <w:b/>
          <w:bCs/>
          <w:color w:val="auto"/>
          <w:spacing w:val="0"/>
          <w:position w:val="0"/>
          <w:sz w:val="36"/>
          <w:szCs w:val="36"/>
          <w:highlight w:val="none"/>
        </w:rPr>
      </w:pPr>
      <w:r>
        <w:rPr>
          <w:rFonts w:hint="eastAsia" w:ascii="宋体" w:hAnsi="宋体" w:eastAsia="宋体" w:cs="宋体"/>
          <w:color w:val="auto"/>
          <w:spacing w:val="0"/>
          <w:position w:val="0"/>
          <w:sz w:val="24"/>
          <w:highlight w:val="none"/>
        </w:rPr>
        <w:t>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p>
    <w:p w14:paraId="6FEE0DDF">
      <w:pPr>
        <w:shd w:val="clear"/>
        <w:spacing w:line="360" w:lineRule="auto"/>
        <w:jc w:val="center"/>
        <w:rPr>
          <w:rFonts w:asciiTheme="minorEastAsia" w:hAnsiTheme="minorEastAsia" w:cstheme="minorEastAsia"/>
          <w:b/>
          <w:bCs/>
          <w:color w:val="auto"/>
          <w:spacing w:val="0"/>
          <w:position w:val="0"/>
          <w:sz w:val="36"/>
          <w:szCs w:val="36"/>
          <w:highlight w:val="none"/>
        </w:rPr>
      </w:pPr>
      <w:r>
        <w:rPr>
          <w:rFonts w:hint="eastAsia" w:asciiTheme="minorEastAsia" w:hAnsiTheme="minorEastAsia" w:cstheme="minorEastAsia"/>
          <w:b/>
          <w:bCs/>
          <w:color w:val="auto"/>
          <w:spacing w:val="0"/>
          <w:position w:val="0"/>
          <w:sz w:val="36"/>
          <w:szCs w:val="36"/>
          <w:highlight w:val="none"/>
        </w:rPr>
        <w:t>施工合同补充协议书</w:t>
      </w:r>
    </w:p>
    <w:p w14:paraId="05EB3191">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甲方：</w:t>
      </w:r>
      <w:r>
        <w:rPr>
          <w:rFonts w:hint="eastAsia" w:ascii="宋体" w:hAnsi="宋体" w:cs="宋体"/>
          <w:color w:val="auto"/>
          <w:spacing w:val="0"/>
          <w:kern w:val="1"/>
          <w:position w:val="0"/>
          <w:sz w:val="24"/>
          <w:szCs w:val="24"/>
          <w:highlight w:val="none"/>
          <w:lang w:eastAsia="zh-CN"/>
        </w:rPr>
        <w:t>浦北县农业农村局</w:t>
      </w:r>
    </w:p>
    <w:p w14:paraId="65CCBA05">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乙方:</w:t>
      </w:r>
    </w:p>
    <w:p w14:paraId="3A51C6D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66B7ACA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1、乙方必须按规定到国有专业银行开设工人工资支付专用账户。</w:t>
      </w:r>
    </w:p>
    <w:p w14:paraId="2560243C">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2、双方约定该项目工资占工程款的比例是30%。</w:t>
      </w:r>
    </w:p>
    <w:p w14:paraId="32E9699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3、乙方按规程办理工程进度款手续后，向甲方申请工程进度款时，甲方按约定工资比例将工程款部分划入乙方提供的工人工资支付专用账户（账户名称：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lang w:eastAsia="zh-CN"/>
        </w:rPr>
        <w:t>农民工工资支付专用账户</w:t>
      </w:r>
      <w:r>
        <w:rPr>
          <w:rFonts w:hint="eastAsia" w:ascii="宋体" w:hAnsi="宋体" w:eastAsia="宋体" w:cs="宋体"/>
          <w:color w:val="auto"/>
          <w:spacing w:val="0"/>
          <w:kern w:val="1"/>
          <w:position w:val="0"/>
          <w:sz w:val="24"/>
          <w:szCs w:val="24"/>
          <w:highlight w:val="none"/>
        </w:rPr>
        <w:t>、开户银行：</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账号：</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）用于支付工人工资，余款划入乙方提供的账户（账户名称：</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开户银行：账号：</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）用于该工程的建设费用。</w:t>
      </w:r>
    </w:p>
    <w:p w14:paraId="19A9CD1E">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4、乙方没提交工人工资支付专用账户的，甲方有权不拨付工程进度款。</w:t>
      </w:r>
    </w:p>
    <w:p w14:paraId="25C3215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本合同一式</w:t>
      </w:r>
      <w:r>
        <w:rPr>
          <w:rFonts w:hint="eastAsia" w:ascii="宋体" w:hAnsi="宋体" w:cs="宋体"/>
          <w:color w:val="auto"/>
          <w:spacing w:val="0"/>
          <w:kern w:val="1"/>
          <w:position w:val="0"/>
          <w:sz w:val="24"/>
          <w:szCs w:val="24"/>
          <w:highlight w:val="none"/>
          <w:lang w:eastAsia="zh-CN"/>
        </w:rPr>
        <w:t>陆</w:t>
      </w:r>
      <w:r>
        <w:rPr>
          <w:rFonts w:hint="eastAsia" w:ascii="宋体" w:hAnsi="宋体" w:eastAsia="宋体" w:cs="宋体"/>
          <w:color w:val="auto"/>
          <w:spacing w:val="0"/>
          <w:kern w:val="1"/>
          <w:position w:val="0"/>
          <w:sz w:val="24"/>
          <w:szCs w:val="24"/>
          <w:highlight w:val="none"/>
        </w:rPr>
        <w:t>份，甲乙双方各执</w:t>
      </w:r>
      <w:r>
        <w:rPr>
          <w:rFonts w:hint="eastAsia" w:ascii="宋体" w:hAnsi="宋体" w:cs="宋体"/>
          <w:color w:val="auto"/>
          <w:spacing w:val="0"/>
          <w:kern w:val="1"/>
          <w:position w:val="0"/>
          <w:sz w:val="24"/>
          <w:szCs w:val="24"/>
          <w:highlight w:val="none"/>
          <w:lang w:eastAsia="zh-CN"/>
        </w:rPr>
        <w:t>叁</w:t>
      </w:r>
      <w:r>
        <w:rPr>
          <w:rFonts w:hint="eastAsia" w:ascii="宋体" w:hAnsi="宋体" w:eastAsia="宋体" w:cs="宋体"/>
          <w:color w:val="auto"/>
          <w:spacing w:val="0"/>
          <w:kern w:val="1"/>
          <w:position w:val="0"/>
          <w:sz w:val="24"/>
          <w:szCs w:val="24"/>
          <w:highlight w:val="none"/>
        </w:rPr>
        <w:t>份，并与原合同共同执行。</w:t>
      </w:r>
    </w:p>
    <w:p w14:paraId="35E2F812">
      <w:pPr>
        <w:shd w:val="clear"/>
        <w:spacing w:line="360" w:lineRule="auto"/>
        <w:rPr>
          <w:rFonts w:hint="eastAsia" w:ascii="宋体" w:hAnsi="宋体" w:eastAsia="宋体" w:cs="宋体"/>
          <w:color w:val="auto"/>
          <w:spacing w:val="0"/>
          <w:kern w:val="1"/>
          <w:position w:val="0"/>
          <w:sz w:val="24"/>
          <w:szCs w:val="24"/>
          <w:highlight w:val="none"/>
        </w:rPr>
      </w:pPr>
    </w:p>
    <w:p w14:paraId="592CAA2A">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甲方：                            乙方：</w:t>
      </w:r>
    </w:p>
    <w:p w14:paraId="5FE700B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代表签名：                        代表签名：</w:t>
      </w:r>
    </w:p>
    <w:p w14:paraId="408B2D20">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签订日期：                        签订日期：</w:t>
      </w:r>
    </w:p>
    <w:p w14:paraId="4406B1DB">
      <w:pPr>
        <w:spacing w:before="156" w:beforeLines="50" w:after="156" w:afterLines="50" w:line="440" w:lineRule="exact"/>
        <w:jc w:val="left"/>
        <w:rPr>
          <w:color w:val="auto"/>
          <w:spacing w:val="0"/>
          <w:position w:val="0"/>
          <w:highlight w:val="none"/>
        </w:rPr>
      </w:pPr>
    </w:p>
    <w:p w14:paraId="6F9C6465">
      <w:pPr>
        <w:pStyle w:val="10"/>
        <w:rPr>
          <w:color w:val="auto"/>
          <w:spacing w:val="0"/>
          <w:position w:val="0"/>
          <w:sz w:val="21"/>
          <w:szCs w:val="21"/>
          <w:highlight w:val="none"/>
        </w:rPr>
      </w:pPr>
    </w:p>
    <w:sectPr>
      <w:headerReference r:id="rId6" w:type="default"/>
      <w:footerReference r:id="rId7"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0000101010101"/>
    <w:charset w:val="86"/>
    <w:family w:val="modern"/>
    <w:pitch w:val="default"/>
    <w:sig w:usb0="00000000" w:usb1="00000000" w:usb2="00000012" w:usb3="00000000" w:csb0="00020001" w:csb1="00000000"/>
  </w:font>
  <w:font w:name="汉仪字典宋简">
    <w:altName w:val="宋体"/>
    <w:panose1 w:val="02010609000101010101"/>
    <w:charset w:val="86"/>
    <w:family w:val="modern"/>
    <w:pitch w:val="default"/>
    <w:sig w:usb0="00000000" w:usb1="00000000" w:usb2="00000012"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7E0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90D3">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572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09572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3727">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ABE02">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9ABE02">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FFF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3F2B">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EBFE40C"/>
    <w:multiLevelType w:val="singleLevel"/>
    <w:tmpl w:val="8EBFE40C"/>
    <w:lvl w:ilvl="0" w:tentative="0">
      <w:start w:val="1"/>
      <w:numFmt w:val="decimal"/>
      <w:suff w:val="nothing"/>
      <w:lvlText w:val="（%1）"/>
      <w:lvlJc w:val="left"/>
    </w:lvl>
  </w:abstractNum>
  <w:abstractNum w:abstractNumId="3">
    <w:nsid w:val="A052171C"/>
    <w:multiLevelType w:val="singleLevel"/>
    <w:tmpl w:val="A052171C"/>
    <w:lvl w:ilvl="0" w:tentative="0">
      <w:start w:val="28"/>
      <w:numFmt w:val="decimal"/>
      <w:suff w:val="nothing"/>
      <w:lvlText w:val="%1、"/>
      <w:lvlJc w:val="left"/>
    </w:lvl>
  </w:abstractNum>
  <w:abstractNum w:abstractNumId="4">
    <w:nsid w:val="A8BB11CC"/>
    <w:multiLevelType w:val="singleLevel"/>
    <w:tmpl w:val="A8BB11CC"/>
    <w:lvl w:ilvl="0" w:tentative="0">
      <w:start w:val="5"/>
      <w:numFmt w:val="decimal"/>
      <w:suff w:val="nothing"/>
      <w:lvlText w:val="%1、"/>
      <w:lvlJc w:val="left"/>
    </w:lvl>
  </w:abstractNum>
  <w:abstractNum w:abstractNumId="5">
    <w:nsid w:val="B44928D3"/>
    <w:multiLevelType w:val="singleLevel"/>
    <w:tmpl w:val="B44928D3"/>
    <w:lvl w:ilvl="0" w:tentative="0">
      <w:start w:val="7"/>
      <w:numFmt w:val="chineseCounting"/>
      <w:suff w:val="nothing"/>
      <w:lvlText w:val="%1、"/>
      <w:lvlJc w:val="left"/>
      <w:rPr>
        <w:rFonts w:hint="eastAsia"/>
      </w:rPr>
    </w:lvl>
  </w:abstractNum>
  <w:abstractNum w:abstractNumId="6">
    <w:nsid w:val="B8B0D4CC"/>
    <w:multiLevelType w:val="singleLevel"/>
    <w:tmpl w:val="B8B0D4CC"/>
    <w:lvl w:ilvl="0" w:tentative="0">
      <w:start w:val="1"/>
      <w:numFmt w:val="decimal"/>
      <w:suff w:val="nothing"/>
      <w:lvlText w:val="%1、"/>
      <w:lvlJc w:val="left"/>
    </w:lvl>
  </w:abstractNum>
  <w:abstractNum w:abstractNumId="7">
    <w:nsid w:val="CD797C19"/>
    <w:multiLevelType w:val="singleLevel"/>
    <w:tmpl w:val="CD797C19"/>
    <w:lvl w:ilvl="0" w:tentative="0">
      <w:start w:val="2"/>
      <w:numFmt w:val="chineseCounting"/>
      <w:suff w:val="nothing"/>
      <w:lvlText w:val="%1、"/>
      <w:lvlJc w:val="left"/>
      <w:rPr>
        <w:rFonts w:hint="eastAsia"/>
      </w:rPr>
    </w:lvl>
  </w:abstractNum>
  <w:abstractNum w:abstractNumId="8">
    <w:nsid w:val="D0A1F2BB"/>
    <w:multiLevelType w:val="singleLevel"/>
    <w:tmpl w:val="D0A1F2BB"/>
    <w:lvl w:ilvl="0" w:tentative="0">
      <w:start w:val="21"/>
      <w:numFmt w:val="decimal"/>
      <w:lvlText w:val="%1."/>
      <w:lvlJc w:val="left"/>
      <w:pPr>
        <w:tabs>
          <w:tab w:val="left" w:pos="312"/>
        </w:tabs>
      </w:pPr>
    </w:lvl>
  </w:abstractNum>
  <w:abstractNum w:abstractNumId="9">
    <w:nsid w:val="D370C4B2"/>
    <w:multiLevelType w:val="singleLevel"/>
    <w:tmpl w:val="D370C4B2"/>
    <w:lvl w:ilvl="0" w:tentative="0">
      <w:start w:val="1"/>
      <w:numFmt w:val="decimal"/>
      <w:suff w:val="nothing"/>
      <w:lvlText w:val="（%1）"/>
      <w:lvlJc w:val="left"/>
    </w:lvl>
  </w:abstractNum>
  <w:abstractNum w:abstractNumId="10">
    <w:nsid w:val="D44731D0"/>
    <w:multiLevelType w:val="singleLevel"/>
    <w:tmpl w:val="D44731D0"/>
    <w:lvl w:ilvl="0" w:tentative="0">
      <w:start w:val="17"/>
      <w:numFmt w:val="decimal"/>
      <w:suff w:val="nothing"/>
      <w:lvlText w:val="%1、"/>
      <w:lvlJc w:val="left"/>
    </w:lvl>
  </w:abstractNum>
  <w:abstractNum w:abstractNumId="11">
    <w:nsid w:val="E00284FE"/>
    <w:multiLevelType w:val="singleLevel"/>
    <w:tmpl w:val="E00284FE"/>
    <w:lvl w:ilvl="0" w:tentative="0">
      <w:start w:val="23"/>
      <w:numFmt w:val="decimal"/>
      <w:suff w:val="nothing"/>
      <w:lvlText w:val="%1、"/>
      <w:lvlJc w:val="left"/>
    </w:lvl>
  </w:abstractNum>
  <w:abstractNum w:abstractNumId="12">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3">
    <w:nsid w:val="00000006"/>
    <w:multiLevelType w:val="singleLevel"/>
    <w:tmpl w:val="00000006"/>
    <w:lvl w:ilvl="0" w:tentative="0">
      <w:start w:val="1"/>
      <w:numFmt w:val="decimal"/>
      <w:suff w:val="nothing"/>
      <w:lvlText w:val="（%1）"/>
      <w:lvlJc w:val="left"/>
    </w:lvl>
  </w:abstractNum>
  <w:abstractNum w:abstractNumId="14">
    <w:nsid w:val="006F8B25"/>
    <w:multiLevelType w:val="singleLevel"/>
    <w:tmpl w:val="006F8B25"/>
    <w:lvl w:ilvl="0" w:tentative="0">
      <w:start w:val="9"/>
      <w:numFmt w:val="decimal"/>
      <w:suff w:val="nothing"/>
      <w:lvlText w:val="%1、"/>
      <w:lvlJc w:val="left"/>
    </w:lvl>
  </w:abstractNum>
  <w:abstractNum w:abstractNumId="15">
    <w:nsid w:val="0A8D7890"/>
    <w:multiLevelType w:val="singleLevel"/>
    <w:tmpl w:val="0A8D7890"/>
    <w:lvl w:ilvl="0" w:tentative="0">
      <w:start w:val="1"/>
      <w:numFmt w:val="decimal"/>
      <w:lvlText w:val="%1."/>
      <w:lvlJc w:val="left"/>
      <w:pPr>
        <w:tabs>
          <w:tab w:val="left" w:pos="312"/>
        </w:tabs>
      </w:pPr>
    </w:lvl>
  </w:abstractNum>
  <w:abstractNum w:abstractNumId="16">
    <w:nsid w:val="21A205B0"/>
    <w:multiLevelType w:val="singleLevel"/>
    <w:tmpl w:val="21A205B0"/>
    <w:lvl w:ilvl="0" w:tentative="0">
      <w:start w:val="2"/>
      <w:numFmt w:val="chineseCounting"/>
      <w:suff w:val="space"/>
      <w:lvlText w:val="第%1章"/>
      <w:lvlJc w:val="left"/>
      <w:rPr>
        <w:rFonts w:hint="eastAsia"/>
      </w:rPr>
    </w:lvl>
  </w:abstractNum>
  <w:abstractNum w:abstractNumId="17">
    <w:nsid w:val="27E2D8D2"/>
    <w:multiLevelType w:val="singleLevel"/>
    <w:tmpl w:val="27E2D8D2"/>
    <w:lvl w:ilvl="0" w:tentative="0">
      <w:start w:val="1"/>
      <w:numFmt w:val="decimal"/>
      <w:suff w:val="nothing"/>
      <w:lvlText w:val="（%1）"/>
      <w:lvlJc w:val="left"/>
    </w:lvl>
  </w:abstractNum>
  <w:abstractNum w:abstractNumId="18">
    <w:nsid w:val="3B3D739F"/>
    <w:multiLevelType w:val="singleLevel"/>
    <w:tmpl w:val="3B3D739F"/>
    <w:lvl w:ilvl="0" w:tentative="0">
      <w:start w:val="1"/>
      <w:numFmt w:val="decimal"/>
      <w:suff w:val="nothing"/>
      <w:lvlText w:val="（%1）"/>
      <w:lvlJc w:val="left"/>
    </w:lvl>
  </w:abstractNum>
  <w:abstractNum w:abstractNumId="19">
    <w:nsid w:val="3C2A2CEB"/>
    <w:multiLevelType w:val="singleLevel"/>
    <w:tmpl w:val="3C2A2CEB"/>
    <w:lvl w:ilvl="0" w:tentative="0">
      <w:start w:val="32"/>
      <w:numFmt w:val="decimal"/>
      <w:suff w:val="nothing"/>
      <w:lvlText w:val="%1、"/>
      <w:lvlJc w:val="left"/>
    </w:lvl>
  </w:abstractNum>
  <w:abstractNum w:abstractNumId="20">
    <w:nsid w:val="407C2DE3"/>
    <w:multiLevelType w:val="singleLevel"/>
    <w:tmpl w:val="407C2DE3"/>
    <w:lvl w:ilvl="0" w:tentative="0">
      <w:start w:val="1"/>
      <w:numFmt w:val="decimal"/>
      <w:suff w:val="nothing"/>
      <w:lvlText w:val="%1）"/>
      <w:lvlJc w:val="left"/>
    </w:lvl>
  </w:abstractNum>
  <w:abstractNum w:abstractNumId="21">
    <w:nsid w:val="4FC6D619"/>
    <w:multiLevelType w:val="singleLevel"/>
    <w:tmpl w:val="4FC6D619"/>
    <w:lvl w:ilvl="0" w:tentative="0">
      <w:start w:val="1"/>
      <w:numFmt w:val="chineseCounting"/>
      <w:suff w:val="nothing"/>
      <w:lvlText w:val="（%1）"/>
      <w:lvlJc w:val="left"/>
      <w:rPr>
        <w:rFonts w:hint="eastAsia"/>
      </w:rPr>
    </w:lvl>
  </w:abstractNum>
  <w:abstractNum w:abstractNumId="22">
    <w:nsid w:val="56AE54E7"/>
    <w:multiLevelType w:val="singleLevel"/>
    <w:tmpl w:val="56AE54E7"/>
    <w:lvl w:ilvl="0" w:tentative="0">
      <w:start w:val="1"/>
      <w:numFmt w:val="decimal"/>
      <w:suff w:val="nothing"/>
      <w:lvlText w:val="（%1）"/>
      <w:lvlJc w:val="left"/>
    </w:lvl>
  </w:abstractNum>
  <w:abstractNum w:abstractNumId="23">
    <w:nsid w:val="595F8F47"/>
    <w:multiLevelType w:val="singleLevel"/>
    <w:tmpl w:val="595F8F47"/>
    <w:lvl w:ilvl="0" w:tentative="0">
      <w:start w:val="9"/>
      <w:numFmt w:val="chineseCounting"/>
      <w:suff w:val="nothing"/>
      <w:lvlText w:val="%1、"/>
      <w:lvlJc w:val="left"/>
      <w:rPr>
        <w:rFonts w:hint="eastAsia"/>
      </w:rPr>
    </w:lvl>
  </w:abstractNum>
  <w:abstractNum w:abstractNumId="24">
    <w:nsid w:val="5F06B9E5"/>
    <w:multiLevelType w:val="singleLevel"/>
    <w:tmpl w:val="5F06B9E5"/>
    <w:lvl w:ilvl="0" w:tentative="0">
      <w:start w:val="13"/>
      <w:numFmt w:val="decimal"/>
      <w:suff w:val="nothing"/>
      <w:lvlText w:val="%1、"/>
      <w:lvlJc w:val="left"/>
    </w:lvl>
  </w:abstractNum>
  <w:abstractNum w:abstractNumId="25">
    <w:nsid w:val="6A53F4EB"/>
    <w:multiLevelType w:val="singleLevel"/>
    <w:tmpl w:val="6A53F4EB"/>
    <w:lvl w:ilvl="0" w:tentative="0">
      <w:start w:val="11"/>
      <w:numFmt w:val="decimal"/>
      <w:suff w:val="space"/>
      <w:lvlText w:val="%1."/>
      <w:lvlJc w:val="left"/>
    </w:lvl>
  </w:abstractNum>
  <w:abstractNum w:abstractNumId="26">
    <w:nsid w:val="6BE70856"/>
    <w:multiLevelType w:val="singleLevel"/>
    <w:tmpl w:val="6BE70856"/>
    <w:lvl w:ilvl="0" w:tentative="0">
      <w:start w:val="38"/>
      <w:numFmt w:val="decimal"/>
      <w:suff w:val="nothing"/>
      <w:lvlText w:val="%1、"/>
      <w:lvlJc w:val="left"/>
    </w:lvl>
  </w:abstractNum>
  <w:abstractNum w:abstractNumId="27">
    <w:nsid w:val="6C688773"/>
    <w:multiLevelType w:val="singleLevel"/>
    <w:tmpl w:val="6C688773"/>
    <w:lvl w:ilvl="0" w:tentative="0">
      <w:start w:val="1"/>
      <w:numFmt w:val="decimal"/>
      <w:suff w:val="nothing"/>
      <w:lvlText w:val="（%1）"/>
      <w:lvlJc w:val="left"/>
    </w:lvl>
  </w:abstractNum>
  <w:num w:numId="1">
    <w:abstractNumId w:val="5"/>
  </w:num>
  <w:num w:numId="2">
    <w:abstractNumId w:val="16"/>
  </w:num>
  <w:num w:numId="3">
    <w:abstractNumId w:val="22"/>
  </w:num>
  <w:num w:numId="4">
    <w:abstractNumId w:val="20"/>
  </w:num>
  <w:num w:numId="5">
    <w:abstractNumId w:val="6"/>
  </w:num>
  <w:num w:numId="6">
    <w:abstractNumId w:val="1"/>
  </w:num>
  <w:num w:numId="7">
    <w:abstractNumId w:val="12"/>
  </w:num>
  <w:num w:numId="8">
    <w:abstractNumId w:val="13"/>
  </w:num>
  <w:num w:numId="9">
    <w:abstractNumId w:val="25"/>
  </w:num>
  <w:num w:numId="10">
    <w:abstractNumId w:val="0"/>
  </w:num>
  <w:num w:numId="11">
    <w:abstractNumId w:val="7"/>
  </w:num>
  <w:num w:numId="12">
    <w:abstractNumId w:val="2"/>
  </w:num>
  <w:num w:numId="13">
    <w:abstractNumId w:val="14"/>
  </w:num>
  <w:num w:numId="14">
    <w:abstractNumId w:val="17"/>
  </w:num>
  <w:num w:numId="15">
    <w:abstractNumId w:val="24"/>
  </w:num>
  <w:num w:numId="16">
    <w:abstractNumId w:val="10"/>
  </w:num>
  <w:num w:numId="17">
    <w:abstractNumId w:val="8"/>
  </w:num>
  <w:num w:numId="18">
    <w:abstractNumId w:val="11"/>
  </w:num>
  <w:num w:numId="19">
    <w:abstractNumId w:val="27"/>
  </w:num>
  <w:num w:numId="20">
    <w:abstractNumId w:val="18"/>
  </w:num>
  <w:num w:numId="21">
    <w:abstractNumId w:val="3"/>
  </w:num>
  <w:num w:numId="22">
    <w:abstractNumId w:val="23"/>
  </w:num>
  <w:num w:numId="23">
    <w:abstractNumId w:val="19"/>
  </w:num>
  <w:num w:numId="24">
    <w:abstractNumId w:val="21"/>
  </w:num>
  <w:num w:numId="25">
    <w:abstractNumId w:val="26"/>
  </w:num>
  <w:num w:numId="26">
    <w:abstractNumId w:val="9"/>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ThmNmZiNTE1M2EyZDcyNTNlMjhkZmQxNTY5ODM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037FE"/>
    <w:rsid w:val="004302EE"/>
    <w:rsid w:val="00430665"/>
    <w:rsid w:val="00446559"/>
    <w:rsid w:val="004B25EB"/>
    <w:rsid w:val="00511007"/>
    <w:rsid w:val="0055311E"/>
    <w:rsid w:val="005B2DE3"/>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640856"/>
    <w:rsid w:val="03A41F96"/>
    <w:rsid w:val="03BE5C4F"/>
    <w:rsid w:val="03C57F1D"/>
    <w:rsid w:val="03D3354B"/>
    <w:rsid w:val="043C2B7C"/>
    <w:rsid w:val="045D6149"/>
    <w:rsid w:val="04631E56"/>
    <w:rsid w:val="047553ED"/>
    <w:rsid w:val="04832496"/>
    <w:rsid w:val="048838BB"/>
    <w:rsid w:val="04924FE3"/>
    <w:rsid w:val="04A24CDA"/>
    <w:rsid w:val="04AF1326"/>
    <w:rsid w:val="04E74DBB"/>
    <w:rsid w:val="04FD0E31"/>
    <w:rsid w:val="050637A5"/>
    <w:rsid w:val="054769B3"/>
    <w:rsid w:val="05480B39"/>
    <w:rsid w:val="05571F68"/>
    <w:rsid w:val="05A0262C"/>
    <w:rsid w:val="05B64732"/>
    <w:rsid w:val="05F46366"/>
    <w:rsid w:val="061631B2"/>
    <w:rsid w:val="06191E33"/>
    <w:rsid w:val="061C3D5B"/>
    <w:rsid w:val="06352C8D"/>
    <w:rsid w:val="0636392C"/>
    <w:rsid w:val="06376F97"/>
    <w:rsid w:val="065A3ABE"/>
    <w:rsid w:val="06836237"/>
    <w:rsid w:val="06A7419D"/>
    <w:rsid w:val="06E35353"/>
    <w:rsid w:val="07245A59"/>
    <w:rsid w:val="0745028B"/>
    <w:rsid w:val="075A22F1"/>
    <w:rsid w:val="076C5607"/>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3942D8"/>
    <w:rsid w:val="094B34E5"/>
    <w:rsid w:val="0950282C"/>
    <w:rsid w:val="097148FC"/>
    <w:rsid w:val="099D12AF"/>
    <w:rsid w:val="09A5246B"/>
    <w:rsid w:val="09AD5E3C"/>
    <w:rsid w:val="09AF5ECF"/>
    <w:rsid w:val="09B12057"/>
    <w:rsid w:val="09C735AB"/>
    <w:rsid w:val="09D41DD9"/>
    <w:rsid w:val="09F233A5"/>
    <w:rsid w:val="09FB0360"/>
    <w:rsid w:val="0A26584E"/>
    <w:rsid w:val="0A312D88"/>
    <w:rsid w:val="0A443EE4"/>
    <w:rsid w:val="0A9C7D1B"/>
    <w:rsid w:val="0AA1539B"/>
    <w:rsid w:val="0ADB0DD6"/>
    <w:rsid w:val="0AF95B2E"/>
    <w:rsid w:val="0AFA3F41"/>
    <w:rsid w:val="0B163B89"/>
    <w:rsid w:val="0B1A6F5A"/>
    <w:rsid w:val="0B311F83"/>
    <w:rsid w:val="0B5934C2"/>
    <w:rsid w:val="0B7023F3"/>
    <w:rsid w:val="0B864464"/>
    <w:rsid w:val="0B9665C6"/>
    <w:rsid w:val="0BA17532"/>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274F29"/>
    <w:rsid w:val="0D3A395B"/>
    <w:rsid w:val="0D4357F1"/>
    <w:rsid w:val="0D6276FC"/>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985BE2"/>
    <w:rsid w:val="0FC73BE9"/>
    <w:rsid w:val="0FDD010F"/>
    <w:rsid w:val="0FEC00EE"/>
    <w:rsid w:val="0FEE6836"/>
    <w:rsid w:val="10051A3A"/>
    <w:rsid w:val="101A1FFE"/>
    <w:rsid w:val="10574280"/>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1F82031"/>
    <w:rsid w:val="121E0907"/>
    <w:rsid w:val="12417917"/>
    <w:rsid w:val="12423A2C"/>
    <w:rsid w:val="125C359D"/>
    <w:rsid w:val="12972A6D"/>
    <w:rsid w:val="12A03046"/>
    <w:rsid w:val="12F16C1F"/>
    <w:rsid w:val="137F578F"/>
    <w:rsid w:val="138A5D40"/>
    <w:rsid w:val="13AC5EC7"/>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6C736A"/>
    <w:rsid w:val="1574696E"/>
    <w:rsid w:val="15BD2C4B"/>
    <w:rsid w:val="15C15585"/>
    <w:rsid w:val="15C6474A"/>
    <w:rsid w:val="15D762E2"/>
    <w:rsid w:val="15E40E99"/>
    <w:rsid w:val="15F46539"/>
    <w:rsid w:val="15F815D5"/>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A941B6"/>
    <w:rsid w:val="17FB49D5"/>
    <w:rsid w:val="180C7126"/>
    <w:rsid w:val="181C7503"/>
    <w:rsid w:val="18236833"/>
    <w:rsid w:val="1830159B"/>
    <w:rsid w:val="18333BE2"/>
    <w:rsid w:val="18664E5B"/>
    <w:rsid w:val="18776039"/>
    <w:rsid w:val="188305B7"/>
    <w:rsid w:val="189F42C4"/>
    <w:rsid w:val="19002914"/>
    <w:rsid w:val="191912CB"/>
    <w:rsid w:val="191C7213"/>
    <w:rsid w:val="19813A83"/>
    <w:rsid w:val="19845EE9"/>
    <w:rsid w:val="199D157A"/>
    <w:rsid w:val="199D5C40"/>
    <w:rsid w:val="19A940E1"/>
    <w:rsid w:val="19BA6784"/>
    <w:rsid w:val="19E80221"/>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9B141D"/>
    <w:rsid w:val="1BC04FD1"/>
    <w:rsid w:val="1BD27D58"/>
    <w:rsid w:val="1BE54582"/>
    <w:rsid w:val="1BF84AF8"/>
    <w:rsid w:val="1BFB09A3"/>
    <w:rsid w:val="1C164185"/>
    <w:rsid w:val="1C262354"/>
    <w:rsid w:val="1C4D58A1"/>
    <w:rsid w:val="1C75643E"/>
    <w:rsid w:val="1C93342E"/>
    <w:rsid w:val="1C986933"/>
    <w:rsid w:val="1CB82578"/>
    <w:rsid w:val="1CBD2679"/>
    <w:rsid w:val="1CC31008"/>
    <w:rsid w:val="1CCC3CBC"/>
    <w:rsid w:val="1CD566D8"/>
    <w:rsid w:val="1CD974FA"/>
    <w:rsid w:val="1CDF3B2A"/>
    <w:rsid w:val="1CE4752C"/>
    <w:rsid w:val="1CE83302"/>
    <w:rsid w:val="1D0535BD"/>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EDF6D85"/>
    <w:rsid w:val="1EE7180F"/>
    <w:rsid w:val="1F5E1AA4"/>
    <w:rsid w:val="1F655403"/>
    <w:rsid w:val="1F807C45"/>
    <w:rsid w:val="1F86142A"/>
    <w:rsid w:val="1F8D47B9"/>
    <w:rsid w:val="1F8E2E26"/>
    <w:rsid w:val="1F9E53C0"/>
    <w:rsid w:val="1FAB4F33"/>
    <w:rsid w:val="1FE67D3D"/>
    <w:rsid w:val="1FE80522"/>
    <w:rsid w:val="1FE9475C"/>
    <w:rsid w:val="1FFC7D8E"/>
    <w:rsid w:val="20254C0F"/>
    <w:rsid w:val="203565E4"/>
    <w:rsid w:val="204E5A2F"/>
    <w:rsid w:val="20562D59"/>
    <w:rsid w:val="20664963"/>
    <w:rsid w:val="20724B38"/>
    <w:rsid w:val="20A9754C"/>
    <w:rsid w:val="20BA111E"/>
    <w:rsid w:val="20C454B5"/>
    <w:rsid w:val="20FE67E9"/>
    <w:rsid w:val="210A7A37"/>
    <w:rsid w:val="211441B8"/>
    <w:rsid w:val="211713ED"/>
    <w:rsid w:val="21241618"/>
    <w:rsid w:val="21460B4D"/>
    <w:rsid w:val="217617B7"/>
    <w:rsid w:val="219B7DE7"/>
    <w:rsid w:val="21BA18CA"/>
    <w:rsid w:val="21C4457A"/>
    <w:rsid w:val="21EC3353"/>
    <w:rsid w:val="21EF4865"/>
    <w:rsid w:val="21F05D61"/>
    <w:rsid w:val="21F3425F"/>
    <w:rsid w:val="22001A09"/>
    <w:rsid w:val="220737E8"/>
    <w:rsid w:val="221E50FA"/>
    <w:rsid w:val="222D1D02"/>
    <w:rsid w:val="22791936"/>
    <w:rsid w:val="227B4DAD"/>
    <w:rsid w:val="22B4097F"/>
    <w:rsid w:val="22B64134"/>
    <w:rsid w:val="22D15291"/>
    <w:rsid w:val="22F22FF9"/>
    <w:rsid w:val="22F97B13"/>
    <w:rsid w:val="23141D1B"/>
    <w:rsid w:val="231470B2"/>
    <w:rsid w:val="231D6147"/>
    <w:rsid w:val="23260413"/>
    <w:rsid w:val="23376C3B"/>
    <w:rsid w:val="236B31BC"/>
    <w:rsid w:val="236D4D88"/>
    <w:rsid w:val="237B3D5E"/>
    <w:rsid w:val="237D3953"/>
    <w:rsid w:val="23856F77"/>
    <w:rsid w:val="239177CA"/>
    <w:rsid w:val="239E0D49"/>
    <w:rsid w:val="23B633C0"/>
    <w:rsid w:val="23CB3857"/>
    <w:rsid w:val="23F35D0C"/>
    <w:rsid w:val="23F46EA8"/>
    <w:rsid w:val="23FA7E69"/>
    <w:rsid w:val="240A5A33"/>
    <w:rsid w:val="240F3CE2"/>
    <w:rsid w:val="244627A5"/>
    <w:rsid w:val="245323A6"/>
    <w:rsid w:val="2460107D"/>
    <w:rsid w:val="24756BA6"/>
    <w:rsid w:val="24B060A4"/>
    <w:rsid w:val="24B43F14"/>
    <w:rsid w:val="24E309A7"/>
    <w:rsid w:val="24E449CE"/>
    <w:rsid w:val="25116E92"/>
    <w:rsid w:val="25315EDA"/>
    <w:rsid w:val="2532575D"/>
    <w:rsid w:val="254D6050"/>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468F9"/>
    <w:rsid w:val="26E873DA"/>
    <w:rsid w:val="26EF1BA9"/>
    <w:rsid w:val="270933F2"/>
    <w:rsid w:val="27187560"/>
    <w:rsid w:val="272A0C68"/>
    <w:rsid w:val="27433C4E"/>
    <w:rsid w:val="27665E21"/>
    <w:rsid w:val="27736981"/>
    <w:rsid w:val="277C2603"/>
    <w:rsid w:val="27805808"/>
    <w:rsid w:val="278230B3"/>
    <w:rsid w:val="279961FC"/>
    <w:rsid w:val="27AE44D5"/>
    <w:rsid w:val="27D80610"/>
    <w:rsid w:val="27E77948"/>
    <w:rsid w:val="280944AF"/>
    <w:rsid w:val="282646EC"/>
    <w:rsid w:val="282C6E8B"/>
    <w:rsid w:val="28662581"/>
    <w:rsid w:val="28687751"/>
    <w:rsid w:val="286B4291"/>
    <w:rsid w:val="287D4694"/>
    <w:rsid w:val="289A528E"/>
    <w:rsid w:val="289E78DA"/>
    <w:rsid w:val="28A8460E"/>
    <w:rsid w:val="28C24CA3"/>
    <w:rsid w:val="28F63507"/>
    <w:rsid w:val="28FC1E02"/>
    <w:rsid w:val="290E23D9"/>
    <w:rsid w:val="29157609"/>
    <w:rsid w:val="291D6FAC"/>
    <w:rsid w:val="29267D5D"/>
    <w:rsid w:val="292C56FA"/>
    <w:rsid w:val="29311834"/>
    <w:rsid w:val="29347D47"/>
    <w:rsid w:val="29392138"/>
    <w:rsid w:val="29611F8B"/>
    <w:rsid w:val="296C7C2C"/>
    <w:rsid w:val="29944EB8"/>
    <w:rsid w:val="299F4685"/>
    <w:rsid w:val="29AB625B"/>
    <w:rsid w:val="29AD67F7"/>
    <w:rsid w:val="29DC62F2"/>
    <w:rsid w:val="2A021B3E"/>
    <w:rsid w:val="2A290BDC"/>
    <w:rsid w:val="2A351F7B"/>
    <w:rsid w:val="2A3E35AD"/>
    <w:rsid w:val="2A4D76CB"/>
    <w:rsid w:val="2A652BD4"/>
    <w:rsid w:val="2A6C420C"/>
    <w:rsid w:val="2A9D5456"/>
    <w:rsid w:val="2AB26607"/>
    <w:rsid w:val="2ACE4FC6"/>
    <w:rsid w:val="2AD94755"/>
    <w:rsid w:val="2AF77367"/>
    <w:rsid w:val="2B0A326E"/>
    <w:rsid w:val="2B2C5A4E"/>
    <w:rsid w:val="2B411857"/>
    <w:rsid w:val="2B54148E"/>
    <w:rsid w:val="2B5E61B8"/>
    <w:rsid w:val="2B7118BF"/>
    <w:rsid w:val="2B724E22"/>
    <w:rsid w:val="2B8818D0"/>
    <w:rsid w:val="2B8A1EA0"/>
    <w:rsid w:val="2B9E1E2E"/>
    <w:rsid w:val="2BE13188"/>
    <w:rsid w:val="2BE713FE"/>
    <w:rsid w:val="2C053476"/>
    <w:rsid w:val="2C1078DE"/>
    <w:rsid w:val="2C113654"/>
    <w:rsid w:val="2C1B212D"/>
    <w:rsid w:val="2C293F03"/>
    <w:rsid w:val="2C3E2C44"/>
    <w:rsid w:val="2C44674C"/>
    <w:rsid w:val="2C4531B0"/>
    <w:rsid w:val="2C517ADA"/>
    <w:rsid w:val="2C73502A"/>
    <w:rsid w:val="2C920372"/>
    <w:rsid w:val="2CDD2828"/>
    <w:rsid w:val="2D28535E"/>
    <w:rsid w:val="2D4D13D7"/>
    <w:rsid w:val="2D735A67"/>
    <w:rsid w:val="2DBA131A"/>
    <w:rsid w:val="2DBA5AC8"/>
    <w:rsid w:val="2DCB735A"/>
    <w:rsid w:val="2DD462C2"/>
    <w:rsid w:val="2DDD2134"/>
    <w:rsid w:val="2DDD4E5F"/>
    <w:rsid w:val="2DE60BE9"/>
    <w:rsid w:val="2E2668E4"/>
    <w:rsid w:val="2E3245B7"/>
    <w:rsid w:val="2E3B5ECD"/>
    <w:rsid w:val="2E451A7C"/>
    <w:rsid w:val="2E670275"/>
    <w:rsid w:val="2EAC3C4E"/>
    <w:rsid w:val="2ED36202"/>
    <w:rsid w:val="2EE13B2F"/>
    <w:rsid w:val="2EE15691"/>
    <w:rsid w:val="2F1F4FB0"/>
    <w:rsid w:val="2F4A5657"/>
    <w:rsid w:val="2F9C2E37"/>
    <w:rsid w:val="2FB000FC"/>
    <w:rsid w:val="2FC93316"/>
    <w:rsid w:val="2FCC5583"/>
    <w:rsid w:val="2FD61001"/>
    <w:rsid w:val="300852DE"/>
    <w:rsid w:val="30464020"/>
    <w:rsid w:val="305E4713"/>
    <w:rsid w:val="306B512F"/>
    <w:rsid w:val="306D5C41"/>
    <w:rsid w:val="30775584"/>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306A02"/>
    <w:rsid w:val="324D07E6"/>
    <w:rsid w:val="32757B61"/>
    <w:rsid w:val="32822213"/>
    <w:rsid w:val="328F2B5E"/>
    <w:rsid w:val="32981347"/>
    <w:rsid w:val="329F7A2B"/>
    <w:rsid w:val="3311647A"/>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4B04E81"/>
    <w:rsid w:val="35067A80"/>
    <w:rsid w:val="350E3B42"/>
    <w:rsid w:val="35125628"/>
    <w:rsid w:val="35166501"/>
    <w:rsid w:val="352100FF"/>
    <w:rsid w:val="352167CF"/>
    <w:rsid w:val="3566212E"/>
    <w:rsid w:val="356B276A"/>
    <w:rsid w:val="3570119F"/>
    <w:rsid w:val="358E654C"/>
    <w:rsid w:val="35965B9C"/>
    <w:rsid w:val="359F0A1F"/>
    <w:rsid w:val="35C43240"/>
    <w:rsid w:val="35D42CBE"/>
    <w:rsid w:val="36087E9A"/>
    <w:rsid w:val="361B3EDC"/>
    <w:rsid w:val="361F6493"/>
    <w:rsid w:val="36235E3A"/>
    <w:rsid w:val="365C025C"/>
    <w:rsid w:val="36626692"/>
    <w:rsid w:val="367242E0"/>
    <w:rsid w:val="3685501C"/>
    <w:rsid w:val="36897340"/>
    <w:rsid w:val="36D05609"/>
    <w:rsid w:val="36E35E9F"/>
    <w:rsid w:val="36EC24B8"/>
    <w:rsid w:val="36FF2B34"/>
    <w:rsid w:val="3712448B"/>
    <w:rsid w:val="37264D78"/>
    <w:rsid w:val="374051D2"/>
    <w:rsid w:val="374C0952"/>
    <w:rsid w:val="37A34A15"/>
    <w:rsid w:val="37A52ECC"/>
    <w:rsid w:val="37C64260"/>
    <w:rsid w:val="380051F6"/>
    <w:rsid w:val="38147925"/>
    <w:rsid w:val="382650F5"/>
    <w:rsid w:val="38282D9D"/>
    <w:rsid w:val="38473444"/>
    <w:rsid w:val="38496EE5"/>
    <w:rsid w:val="385308AB"/>
    <w:rsid w:val="387A76C0"/>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8B00B7"/>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337114"/>
    <w:rsid w:val="3C9A335A"/>
    <w:rsid w:val="3CBB635D"/>
    <w:rsid w:val="3CC05722"/>
    <w:rsid w:val="3CDC396E"/>
    <w:rsid w:val="3CF248ED"/>
    <w:rsid w:val="3D0D4A0D"/>
    <w:rsid w:val="3D312940"/>
    <w:rsid w:val="3D681D5A"/>
    <w:rsid w:val="3D6A1C0B"/>
    <w:rsid w:val="3D8D6ED1"/>
    <w:rsid w:val="3D8F3E21"/>
    <w:rsid w:val="3DA872AF"/>
    <w:rsid w:val="3DC31ADA"/>
    <w:rsid w:val="3DFD7731"/>
    <w:rsid w:val="3E0C733A"/>
    <w:rsid w:val="3E874902"/>
    <w:rsid w:val="3E921361"/>
    <w:rsid w:val="3EB06A0E"/>
    <w:rsid w:val="3EB31640"/>
    <w:rsid w:val="3EB54AE2"/>
    <w:rsid w:val="3EB92D62"/>
    <w:rsid w:val="3EF16D0C"/>
    <w:rsid w:val="3EFD51C3"/>
    <w:rsid w:val="3F15023A"/>
    <w:rsid w:val="3F2476CE"/>
    <w:rsid w:val="3F273217"/>
    <w:rsid w:val="3F2A77CA"/>
    <w:rsid w:val="3F5C67E0"/>
    <w:rsid w:val="3F6046C3"/>
    <w:rsid w:val="3F816C8A"/>
    <w:rsid w:val="3FA93691"/>
    <w:rsid w:val="3FB72F7A"/>
    <w:rsid w:val="3FC568AC"/>
    <w:rsid w:val="3FD0385B"/>
    <w:rsid w:val="3FE6347C"/>
    <w:rsid w:val="3FFF6DFE"/>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4508EB"/>
    <w:rsid w:val="415C5513"/>
    <w:rsid w:val="41661CEC"/>
    <w:rsid w:val="417304D2"/>
    <w:rsid w:val="41B67760"/>
    <w:rsid w:val="4200486D"/>
    <w:rsid w:val="42084854"/>
    <w:rsid w:val="420A4AA8"/>
    <w:rsid w:val="423C231C"/>
    <w:rsid w:val="424E5D3B"/>
    <w:rsid w:val="42894103"/>
    <w:rsid w:val="429A3BAB"/>
    <w:rsid w:val="42AD6535"/>
    <w:rsid w:val="42DA35EB"/>
    <w:rsid w:val="42DC1373"/>
    <w:rsid w:val="42E13A0E"/>
    <w:rsid w:val="42EB5F3F"/>
    <w:rsid w:val="433B4FAD"/>
    <w:rsid w:val="43494E83"/>
    <w:rsid w:val="434A1ED7"/>
    <w:rsid w:val="434B5F61"/>
    <w:rsid w:val="439452CD"/>
    <w:rsid w:val="43987C3E"/>
    <w:rsid w:val="439D019A"/>
    <w:rsid w:val="43DF168F"/>
    <w:rsid w:val="43F70347"/>
    <w:rsid w:val="44151500"/>
    <w:rsid w:val="44225771"/>
    <w:rsid w:val="442E2C0A"/>
    <w:rsid w:val="443415E8"/>
    <w:rsid w:val="44471AAC"/>
    <w:rsid w:val="447A1521"/>
    <w:rsid w:val="4491321B"/>
    <w:rsid w:val="449A2A3E"/>
    <w:rsid w:val="44C0114A"/>
    <w:rsid w:val="44CA2639"/>
    <w:rsid w:val="44D50E68"/>
    <w:rsid w:val="44E25F72"/>
    <w:rsid w:val="44E32866"/>
    <w:rsid w:val="44EB189F"/>
    <w:rsid w:val="44FD7B3F"/>
    <w:rsid w:val="451136F6"/>
    <w:rsid w:val="45127E77"/>
    <w:rsid w:val="451417BD"/>
    <w:rsid w:val="45180B52"/>
    <w:rsid w:val="45355F69"/>
    <w:rsid w:val="45387544"/>
    <w:rsid w:val="453975C8"/>
    <w:rsid w:val="453B0148"/>
    <w:rsid w:val="453B36EE"/>
    <w:rsid w:val="45681A93"/>
    <w:rsid w:val="459020E6"/>
    <w:rsid w:val="45EB5B41"/>
    <w:rsid w:val="45FC5122"/>
    <w:rsid w:val="4608625E"/>
    <w:rsid w:val="460E37F4"/>
    <w:rsid w:val="462E28FA"/>
    <w:rsid w:val="463D21F4"/>
    <w:rsid w:val="466574DD"/>
    <w:rsid w:val="46690BD8"/>
    <w:rsid w:val="46A9191C"/>
    <w:rsid w:val="46E17C2E"/>
    <w:rsid w:val="46E66176"/>
    <w:rsid w:val="46F618BC"/>
    <w:rsid w:val="47172FCE"/>
    <w:rsid w:val="472D20DA"/>
    <w:rsid w:val="47322751"/>
    <w:rsid w:val="473E0204"/>
    <w:rsid w:val="473E1081"/>
    <w:rsid w:val="475075B1"/>
    <w:rsid w:val="477301BF"/>
    <w:rsid w:val="47770F2B"/>
    <w:rsid w:val="47D9109A"/>
    <w:rsid w:val="47DF1EDE"/>
    <w:rsid w:val="47E32A44"/>
    <w:rsid w:val="48001EB1"/>
    <w:rsid w:val="485F067A"/>
    <w:rsid w:val="48A46FB5"/>
    <w:rsid w:val="48C63978"/>
    <w:rsid w:val="48D931CF"/>
    <w:rsid w:val="48DB1A95"/>
    <w:rsid w:val="48FC10D9"/>
    <w:rsid w:val="49095468"/>
    <w:rsid w:val="492B4F94"/>
    <w:rsid w:val="492E6967"/>
    <w:rsid w:val="494B51A2"/>
    <w:rsid w:val="49535B70"/>
    <w:rsid w:val="49A25D9E"/>
    <w:rsid w:val="49A96B07"/>
    <w:rsid w:val="49C51CAF"/>
    <w:rsid w:val="49F53957"/>
    <w:rsid w:val="49F92273"/>
    <w:rsid w:val="4A2057D5"/>
    <w:rsid w:val="4A2A06C4"/>
    <w:rsid w:val="4A3F1731"/>
    <w:rsid w:val="4A6819DC"/>
    <w:rsid w:val="4A8A479E"/>
    <w:rsid w:val="4A8F0E29"/>
    <w:rsid w:val="4A902D26"/>
    <w:rsid w:val="4AA5064D"/>
    <w:rsid w:val="4AC17322"/>
    <w:rsid w:val="4AEB7F8C"/>
    <w:rsid w:val="4B1506E1"/>
    <w:rsid w:val="4B182BCD"/>
    <w:rsid w:val="4B2E3F72"/>
    <w:rsid w:val="4B341A2A"/>
    <w:rsid w:val="4B375FBE"/>
    <w:rsid w:val="4B3B7B1E"/>
    <w:rsid w:val="4B414BEA"/>
    <w:rsid w:val="4B587F93"/>
    <w:rsid w:val="4B7103C2"/>
    <w:rsid w:val="4B812B8E"/>
    <w:rsid w:val="4B85737C"/>
    <w:rsid w:val="4B9F74CF"/>
    <w:rsid w:val="4BF54CBC"/>
    <w:rsid w:val="4C073223"/>
    <w:rsid w:val="4C1A464A"/>
    <w:rsid w:val="4C274913"/>
    <w:rsid w:val="4CA14D01"/>
    <w:rsid w:val="4CAC3D23"/>
    <w:rsid w:val="4CBB0999"/>
    <w:rsid w:val="4CCF792C"/>
    <w:rsid w:val="4CED7708"/>
    <w:rsid w:val="4CFB7F38"/>
    <w:rsid w:val="4CFE7AD0"/>
    <w:rsid w:val="4D033455"/>
    <w:rsid w:val="4D10719D"/>
    <w:rsid w:val="4D2211D8"/>
    <w:rsid w:val="4D583F97"/>
    <w:rsid w:val="4DB316D4"/>
    <w:rsid w:val="4DC002E1"/>
    <w:rsid w:val="4DC07059"/>
    <w:rsid w:val="4DD44A19"/>
    <w:rsid w:val="4DE75FC1"/>
    <w:rsid w:val="4E023D7D"/>
    <w:rsid w:val="4E0256F8"/>
    <w:rsid w:val="4E6E58E7"/>
    <w:rsid w:val="4EA551CE"/>
    <w:rsid w:val="4EA57992"/>
    <w:rsid w:val="4EC86811"/>
    <w:rsid w:val="4EE447AE"/>
    <w:rsid w:val="4F112BD8"/>
    <w:rsid w:val="4F2359D6"/>
    <w:rsid w:val="4F27534F"/>
    <w:rsid w:val="4F294344"/>
    <w:rsid w:val="4F3A6B04"/>
    <w:rsid w:val="4F6621C1"/>
    <w:rsid w:val="4F69181E"/>
    <w:rsid w:val="4F9A2167"/>
    <w:rsid w:val="4FD0029E"/>
    <w:rsid w:val="50596932"/>
    <w:rsid w:val="50833C49"/>
    <w:rsid w:val="50880633"/>
    <w:rsid w:val="508F5958"/>
    <w:rsid w:val="50A109DB"/>
    <w:rsid w:val="50A32944"/>
    <w:rsid w:val="50C83175"/>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B4CC5"/>
    <w:rsid w:val="52CB655F"/>
    <w:rsid w:val="52D0584F"/>
    <w:rsid w:val="52E23DAC"/>
    <w:rsid w:val="52EB770C"/>
    <w:rsid w:val="52F6441F"/>
    <w:rsid w:val="5309719A"/>
    <w:rsid w:val="53140C09"/>
    <w:rsid w:val="531E1115"/>
    <w:rsid w:val="53311A2E"/>
    <w:rsid w:val="5366484D"/>
    <w:rsid w:val="53731EF1"/>
    <w:rsid w:val="53733493"/>
    <w:rsid w:val="53912B90"/>
    <w:rsid w:val="53AC07DC"/>
    <w:rsid w:val="53C41B44"/>
    <w:rsid w:val="53E06252"/>
    <w:rsid w:val="53EF1683"/>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6017D"/>
    <w:rsid w:val="551E35E3"/>
    <w:rsid w:val="5520072C"/>
    <w:rsid w:val="55373ACE"/>
    <w:rsid w:val="556A2277"/>
    <w:rsid w:val="556F068E"/>
    <w:rsid w:val="558C0CA6"/>
    <w:rsid w:val="558D4430"/>
    <w:rsid w:val="559427CA"/>
    <w:rsid w:val="55C8191C"/>
    <w:rsid w:val="55C8432B"/>
    <w:rsid w:val="55D33DE7"/>
    <w:rsid w:val="561B07BD"/>
    <w:rsid w:val="56223544"/>
    <w:rsid w:val="56293EC2"/>
    <w:rsid w:val="562B0309"/>
    <w:rsid w:val="56320F1A"/>
    <w:rsid w:val="564D41A9"/>
    <w:rsid w:val="565E4274"/>
    <w:rsid w:val="5666031A"/>
    <w:rsid w:val="566A27F8"/>
    <w:rsid w:val="56803FF0"/>
    <w:rsid w:val="56815AFE"/>
    <w:rsid w:val="568F750C"/>
    <w:rsid w:val="569014CB"/>
    <w:rsid w:val="56925ED7"/>
    <w:rsid w:val="56B55995"/>
    <w:rsid w:val="56C91168"/>
    <w:rsid w:val="56E15BAE"/>
    <w:rsid w:val="56F43B0B"/>
    <w:rsid w:val="56FA0DF2"/>
    <w:rsid w:val="56FF0F11"/>
    <w:rsid w:val="5714339A"/>
    <w:rsid w:val="5717042A"/>
    <w:rsid w:val="571A1A7B"/>
    <w:rsid w:val="572E4DA3"/>
    <w:rsid w:val="572E781C"/>
    <w:rsid w:val="575952E3"/>
    <w:rsid w:val="5761265B"/>
    <w:rsid w:val="57842375"/>
    <w:rsid w:val="57866CAC"/>
    <w:rsid w:val="579B36BD"/>
    <w:rsid w:val="57B2220D"/>
    <w:rsid w:val="57C76DE6"/>
    <w:rsid w:val="57D165DD"/>
    <w:rsid w:val="57D80574"/>
    <w:rsid w:val="58097FE5"/>
    <w:rsid w:val="580A0E63"/>
    <w:rsid w:val="580E3A4B"/>
    <w:rsid w:val="5814779C"/>
    <w:rsid w:val="584357AA"/>
    <w:rsid w:val="58764BA4"/>
    <w:rsid w:val="588221AB"/>
    <w:rsid w:val="58870496"/>
    <w:rsid w:val="588A1876"/>
    <w:rsid w:val="588D71B2"/>
    <w:rsid w:val="58A01BFA"/>
    <w:rsid w:val="58A67A6A"/>
    <w:rsid w:val="58AC68EF"/>
    <w:rsid w:val="58BE53CF"/>
    <w:rsid w:val="58C007C6"/>
    <w:rsid w:val="58C41915"/>
    <w:rsid w:val="58E407EA"/>
    <w:rsid w:val="590649AC"/>
    <w:rsid w:val="591B616B"/>
    <w:rsid w:val="592D1F6B"/>
    <w:rsid w:val="59304CE8"/>
    <w:rsid w:val="59370159"/>
    <w:rsid w:val="59532C2C"/>
    <w:rsid w:val="596554D5"/>
    <w:rsid w:val="5981656F"/>
    <w:rsid w:val="59A06B52"/>
    <w:rsid w:val="59A26243"/>
    <w:rsid w:val="59C76055"/>
    <w:rsid w:val="59E75FD1"/>
    <w:rsid w:val="59F667CF"/>
    <w:rsid w:val="5A065F4B"/>
    <w:rsid w:val="5A0B1C28"/>
    <w:rsid w:val="5A2255E6"/>
    <w:rsid w:val="5A851E01"/>
    <w:rsid w:val="5A8F2EB6"/>
    <w:rsid w:val="5A970C15"/>
    <w:rsid w:val="5A9A651A"/>
    <w:rsid w:val="5AA15ABA"/>
    <w:rsid w:val="5AB06C76"/>
    <w:rsid w:val="5AB3646E"/>
    <w:rsid w:val="5AF63E2E"/>
    <w:rsid w:val="5B1128EC"/>
    <w:rsid w:val="5B29025F"/>
    <w:rsid w:val="5B3143F9"/>
    <w:rsid w:val="5B503CBD"/>
    <w:rsid w:val="5B725043"/>
    <w:rsid w:val="5BF21181"/>
    <w:rsid w:val="5BFA46DF"/>
    <w:rsid w:val="5BFD0432"/>
    <w:rsid w:val="5C1974E5"/>
    <w:rsid w:val="5C1C7E80"/>
    <w:rsid w:val="5C4828EE"/>
    <w:rsid w:val="5C983B6D"/>
    <w:rsid w:val="5CA72002"/>
    <w:rsid w:val="5CBD3C20"/>
    <w:rsid w:val="5CE075FF"/>
    <w:rsid w:val="5CE9518C"/>
    <w:rsid w:val="5D2166D8"/>
    <w:rsid w:val="5D272680"/>
    <w:rsid w:val="5D45468E"/>
    <w:rsid w:val="5D6B04DF"/>
    <w:rsid w:val="5D9B1497"/>
    <w:rsid w:val="5DDC51F6"/>
    <w:rsid w:val="5DE3422A"/>
    <w:rsid w:val="5E05130E"/>
    <w:rsid w:val="5E135B29"/>
    <w:rsid w:val="5E466F37"/>
    <w:rsid w:val="5E6A0CC2"/>
    <w:rsid w:val="5E845B3F"/>
    <w:rsid w:val="5E8D1899"/>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8F0CDE"/>
    <w:rsid w:val="619513BF"/>
    <w:rsid w:val="61A55E2E"/>
    <w:rsid w:val="61B90EE2"/>
    <w:rsid w:val="61C34C9F"/>
    <w:rsid w:val="61CF1FDD"/>
    <w:rsid w:val="61D2369A"/>
    <w:rsid w:val="61FA205F"/>
    <w:rsid w:val="620D15FF"/>
    <w:rsid w:val="624F2F20"/>
    <w:rsid w:val="626C2C39"/>
    <w:rsid w:val="627A61C5"/>
    <w:rsid w:val="62841CE0"/>
    <w:rsid w:val="628A45AF"/>
    <w:rsid w:val="62913539"/>
    <w:rsid w:val="62B524F7"/>
    <w:rsid w:val="62E513AE"/>
    <w:rsid w:val="62EA1067"/>
    <w:rsid w:val="62EF4D57"/>
    <w:rsid w:val="62F1602A"/>
    <w:rsid w:val="630E4B89"/>
    <w:rsid w:val="63203A10"/>
    <w:rsid w:val="6321699F"/>
    <w:rsid w:val="63360CF0"/>
    <w:rsid w:val="63554E4D"/>
    <w:rsid w:val="63652DBD"/>
    <w:rsid w:val="63687E84"/>
    <w:rsid w:val="63706486"/>
    <w:rsid w:val="637257E9"/>
    <w:rsid w:val="63951967"/>
    <w:rsid w:val="63B50F8C"/>
    <w:rsid w:val="63D22FCA"/>
    <w:rsid w:val="63FF5BED"/>
    <w:rsid w:val="640E61DB"/>
    <w:rsid w:val="641206A9"/>
    <w:rsid w:val="64545838"/>
    <w:rsid w:val="645F02B5"/>
    <w:rsid w:val="64681B01"/>
    <w:rsid w:val="64867FEE"/>
    <w:rsid w:val="649007B3"/>
    <w:rsid w:val="64AE06FA"/>
    <w:rsid w:val="64D401A5"/>
    <w:rsid w:val="65024685"/>
    <w:rsid w:val="652A7FEB"/>
    <w:rsid w:val="652B00E3"/>
    <w:rsid w:val="652F32A0"/>
    <w:rsid w:val="65535A5A"/>
    <w:rsid w:val="659D0DEE"/>
    <w:rsid w:val="65A6262A"/>
    <w:rsid w:val="65CD4116"/>
    <w:rsid w:val="65D219C2"/>
    <w:rsid w:val="65D21E1C"/>
    <w:rsid w:val="65DA54B3"/>
    <w:rsid w:val="65DE18EC"/>
    <w:rsid w:val="65FB4D18"/>
    <w:rsid w:val="660A7073"/>
    <w:rsid w:val="660E3C9E"/>
    <w:rsid w:val="66164CE6"/>
    <w:rsid w:val="66425F55"/>
    <w:rsid w:val="664E5D65"/>
    <w:rsid w:val="665C5C0C"/>
    <w:rsid w:val="66BF254A"/>
    <w:rsid w:val="66C46E1E"/>
    <w:rsid w:val="66C71B4A"/>
    <w:rsid w:val="66EE49DE"/>
    <w:rsid w:val="66F74326"/>
    <w:rsid w:val="67387EC5"/>
    <w:rsid w:val="676F09D5"/>
    <w:rsid w:val="67790849"/>
    <w:rsid w:val="67AA7DCF"/>
    <w:rsid w:val="67B34464"/>
    <w:rsid w:val="67BD22B9"/>
    <w:rsid w:val="67FE1162"/>
    <w:rsid w:val="681B0E12"/>
    <w:rsid w:val="6851192D"/>
    <w:rsid w:val="688F28E2"/>
    <w:rsid w:val="68A11DD7"/>
    <w:rsid w:val="68A50B3C"/>
    <w:rsid w:val="68A51FB8"/>
    <w:rsid w:val="68DB53E7"/>
    <w:rsid w:val="68EA3016"/>
    <w:rsid w:val="68EB7ABC"/>
    <w:rsid w:val="69062705"/>
    <w:rsid w:val="691B0B6B"/>
    <w:rsid w:val="69782CD3"/>
    <w:rsid w:val="697F5EFC"/>
    <w:rsid w:val="6981433F"/>
    <w:rsid w:val="698A7439"/>
    <w:rsid w:val="69936875"/>
    <w:rsid w:val="69964E32"/>
    <w:rsid w:val="69AE114D"/>
    <w:rsid w:val="69DC7E67"/>
    <w:rsid w:val="69E80350"/>
    <w:rsid w:val="69EF047B"/>
    <w:rsid w:val="6A1D56B2"/>
    <w:rsid w:val="6A2B6FC3"/>
    <w:rsid w:val="6A3A339B"/>
    <w:rsid w:val="6A3A5E65"/>
    <w:rsid w:val="6A671FD9"/>
    <w:rsid w:val="6A6F1C4C"/>
    <w:rsid w:val="6A7202DC"/>
    <w:rsid w:val="6AA74E35"/>
    <w:rsid w:val="6AC6225B"/>
    <w:rsid w:val="6B195216"/>
    <w:rsid w:val="6B4A41D9"/>
    <w:rsid w:val="6B505BBB"/>
    <w:rsid w:val="6B6333A7"/>
    <w:rsid w:val="6BCA5C39"/>
    <w:rsid w:val="6BD32C11"/>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01878"/>
    <w:rsid w:val="6CB93DB8"/>
    <w:rsid w:val="6CBC68B9"/>
    <w:rsid w:val="6CD66EDA"/>
    <w:rsid w:val="6CE10C19"/>
    <w:rsid w:val="6D0F3EEF"/>
    <w:rsid w:val="6D14024B"/>
    <w:rsid w:val="6D146CD3"/>
    <w:rsid w:val="6D1566D6"/>
    <w:rsid w:val="6D1C589C"/>
    <w:rsid w:val="6D5502AA"/>
    <w:rsid w:val="6D94212F"/>
    <w:rsid w:val="6DA31776"/>
    <w:rsid w:val="6DA45FD5"/>
    <w:rsid w:val="6DA65016"/>
    <w:rsid w:val="6DCB15BA"/>
    <w:rsid w:val="6DEF5697"/>
    <w:rsid w:val="6E290AC9"/>
    <w:rsid w:val="6E2E4332"/>
    <w:rsid w:val="6E366026"/>
    <w:rsid w:val="6E3C157B"/>
    <w:rsid w:val="6E4628B1"/>
    <w:rsid w:val="6E4A751A"/>
    <w:rsid w:val="6E6903A5"/>
    <w:rsid w:val="6E9905B2"/>
    <w:rsid w:val="6EB87125"/>
    <w:rsid w:val="6EBB6069"/>
    <w:rsid w:val="6EC11D71"/>
    <w:rsid w:val="6EC647CC"/>
    <w:rsid w:val="6EEB4982"/>
    <w:rsid w:val="6F1222C5"/>
    <w:rsid w:val="6F161214"/>
    <w:rsid w:val="6F317DD0"/>
    <w:rsid w:val="6F322D6E"/>
    <w:rsid w:val="6F3A0D2D"/>
    <w:rsid w:val="6F710F7D"/>
    <w:rsid w:val="6F757BA3"/>
    <w:rsid w:val="6F794E16"/>
    <w:rsid w:val="6F8E0F7C"/>
    <w:rsid w:val="6FA75E74"/>
    <w:rsid w:val="6FAF019B"/>
    <w:rsid w:val="6FB202FC"/>
    <w:rsid w:val="6FBA5851"/>
    <w:rsid w:val="6FD431BC"/>
    <w:rsid w:val="6FD64D8A"/>
    <w:rsid w:val="706E4EB9"/>
    <w:rsid w:val="709649ED"/>
    <w:rsid w:val="70A84AD3"/>
    <w:rsid w:val="70AE3508"/>
    <w:rsid w:val="70B351A6"/>
    <w:rsid w:val="70BF773C"/>
    <w:rsid w:val="70C41831"/>
    <w:rsid w:val="70E94F37"/>
    <w:rsid w:val="70FF757F"/>
    <w:rsid w:val="7117334E"/>
    <w:rsid w:val="711F7F62"/>
    <w:rsid w:val="712719C8"/>
    <w:rsid w:val="71336359"/>
    <w:rsid w:val="71492755"/>
    <w:rsid w:val="714B63FF"/>
    <w:rsid w:val="7179014E"/>
    <w:rsid w:val="717A4EBB"/>
    <w:rsid w:val="71A121E2"/>
    <w:rsid w:val="71AA47BF"/>
    <w:rsid w:val="71CD5454"/>
    <w:rsid w:val="71D5629F"/>
    <w:rsid w:val="71EB57C6"/>
    <w:rsid w:val="71F46524"/>
    <w:rsid w:val="71FB06B4"/>
    <w:rsid w:val="720D5D43"/>
    <w:rsid w:val="72112D0B"/>
    <w:rsid w:val="72144DE3"/>
    <w:rsid w:val="72196118"/>
    <w:rsid w:val="723C3D7F"/>
    <w:rsid w:val="724B0480"/>
    <w:rsid w:val="72736E18"/>
    <w:rsid w:val="728D1118"/>
    <w:rsid w:val="72B03A9F"/>
    <w:rsid w:val="72B25F6B"/>
    <w:rsid w:val="72B81190"/>
    <w:rsid w:val="72D22671"/>
    <w:rsid w:val="72ED61B5"/>
    <w:rsid w:val="72EF7206"/>
    <w:rsid w:val="73032A0D"/>
    <w:rsid w:val="731F3B82"/>
    <w:rsid w:val="734D21A1"/>
    <w:rsid w:val="73621D19"/>
    <w:rsid w:val="73836ECE"/>
    <w:rsid w:val="73A523DC"/>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572741"/>
    <w:rsid w:val="756A1040"/>
    <w:rsid w:val="75921044"/>
    <w:rsid w:val="75970512"/>
    <w:rsid w:val="759944E1"/>
    <w:rsid w:val="759B5199"/>
    <w:rsid w:val="75C6326E"/>
    <w:rsid w:val="761A6BC1"/>
    <w:rsid w:val="763E74B8"/>
    <w:rsid w:val="765C476B"/>
    <w:rsid w:val="765D6FD0"/>
    <w:rsid w:val="76764904"/>
    <w:rsid w:val="76952171"/>
    <w:rsid w:val="76BA690C"/>
    <w:rsid w:val="76EF17B7"/>
    <w:rsid w:val="76F275B7"/>
    <w:rsid w:val="77057570"/>
    <w:rsid w:val="770C71DA"/>
    <w:rsid w:val="773118FC"/>
    <w:rsid w:val="77313A2D"/>
    <w:rsid w:val="774A6DC8"/>
    <w:rsid w:val="77503EB2"/>
    <w:rsid w:val="77520375"/>
    <w:rsid w:val="77752D13"/>
    <w:rsid w:val="77953B9B"/>
    <w:rsid w:val="779F356A"/>
    <w:rsid w:val="77AD4764"/>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E73A5B"/>
    <w:rsid w:val="78FC2FBF"/>
    <w:rsid w:val="78FD5501"/>
    <w:rsid w:val="791467F0"/>
    <w:rsid w:val="791506CF"/>
    <w:rsid w:val="79430114"/>
    <w:rsid w:val="79430A37"/>
    <w:rsid w:val="795E7C16"/>
    <w:rsid w:val="795F01E3"/>
    <w:rsid w:val="79AC4C43"/>
    <w:rsid w:val="79AD6C40"/>
    <w:rsid w:val="79B10333"/>
    <w:rsid w:val="79B80486"/>
    <w:rsid w:val="79C95ADF"/>
    <w:rsid w:val="79EF0BCC"/>
    <w:rsid w:val="79F139E5"/>
    <w:rsid w:val="79FF02D1"/>
    <w:rsid w:val="7A0612C2"/>
    <w:rsid w:val="7A1833CE"/>
    <w:rsid w:val="7A1F3257"/>
    <w:rsid w:val="7A3C1967"/>
    <w:rsid w:val="7A60132A"/>
    <w:rsid w:val="7A6E2CF1"/>
    <w:rsid w:val="7A817696"/>
    <w:rsid w:val="7A846403"/>
    <w:rsid w:val="7A982578"/>
    <w:rsid w:val="7AA05017"/>
    <w:rsid w:val="7AA86BBE"/>
    <w:rsid w:val="7AC92660"/>
    <w:rsid w:val="7AC94AC1"/>
    <w:rsid w:val="7AC977F9"/>
    <w:rsid w:val="7AE11572"/>
    <w:rsid w:val="7AE31524"/>
    <w:rsid w:val="7AE70BEB"/>
    <w:rsid w:val="7B057C25"/>
    <w:rsid w:val="7B4C6C66"/>
    <w:rsid w:val="7B5C332E"/>
    <w:rsid w:val="7B6D7CFA"/>
    <w:rsid w:val="7B904C22"/>
    <w:rsid w:val="7B9E18EF"/>
    <w:rsid w:val="7BB9672E"/>
    <w:rsid w:val="7BDF765F"/>
    <w:rsid w:val="7C0471F8"/>
    <w:rsid w:val="7C0968F5"/>
    <w:rsid w:val="7C1235AA"/>
    <w:rsid w:val="7C160893"/>
    <w:rsid w:val="7C5622FF"/>
    <w:rsid w:val="7C571497"/>
    <w:rsid w:val="7CB95588"/>
    <w:rsid w:val="7CBA56FF"/>
    <w:rsid w:val="7CE64D15"/>
    <w:rsid w:val="7CF732D1"/>
    <w:rsid w:val="7D131D7B"/>
    <w:rsid w:val="7D1C7EE5"/>
    <w:rsid w:val="7D1E10B2"/>
    <w:rsid w:val="7D3D5EFF"/>
    <w:rsid w:val="7D435739"/>
    <w:rsid w:val="7D6912B5"/>
    <w:rsid w:val="7D691A28"/>
    <w:rsid w:val="7D93221A"/>
    <w:rsid w:val="7DA977AA"/>
    <w:rsid w:val="7DAC0454"/>
    <w:rsid w:val="7DED2A89"/>
    <w:rsid w:val="7DFA3D48"/>
    <w:rsid w:val="7E265C51"/>
    <w:rsid w:val="7E980733"/>
    <w:rsid w:val="7E9B4DC3"/>
    <w:rsid w:val="7EC57197"/>
    <w:rsid w:val="7EFB4248"/>
    <w:rsid w:val="7EFD7DC7"/>
    <w:rsid w:val="7F274E2A"/>
    <w:rsid w:val="7F2C2F55"/>
    <w:rsid w:val="7F335916"/>
    <w:rsid w:val="7F45439F"/>
    <w:rsid w:val="7F4A4D43"/>
    <w:rsid w:val="7F545830"/>
    <w:rsid w:val="7F590F20"/>
    <w:rsid w:val="7F8F3F40"/>
    <w:rsid w:val="7FA62478"/>
    <w:rsid w:val="7FB2257F"/>
    <w:rsid w:val="7FC5261C"/>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5"/>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2"/>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Chars="200"/>
    </w:pPr>
  </w:style>
  <w:style w:type="paragraph" w:styleId="17">
    <w:name w:val="Balloon Text"/>
    <w:basedOn w:val="1"/>
    <w:link w:val="5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unhideWhenUsed/>
    <w:qFormat/>
    <w:uiPriority w:val="39"/>
    <w:pPr>
      <w:ind w:left="420" w:leftChars="200"/>
    </w:pPr>
  </w:style>
  <w:style w:type="paragraph" w:styleId="2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4">
    <w:name w:val="Body Text 2"/>
    <w:basedOn w:val="1"/>
    <w:next w:val="1"/>
    <w:autoRedefine/>
    <w:qFormat/>
    <w:uiPriority w:val="0"/>
    <w:pPr>
      <w:spacing w:after="120" w:line="480" w:lineRule="auto"/>
    </w:pPr>
    <w:rPr>
      <w:kern w:val="0"/>
      <w:sz w:val="20"/>
    </w:rPr>
  </w:style>
  <w:style w:type="paragraph" w:styleId="25">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7">
    <w:name w:val="index 1"/>
    <w:basedOn w:val="1"/>
    <w:next w:val="1"/>
    <w:autoRedefine/>
    <w:qFormat/>
    <w:uiPriority w:val="0"/>
    <w:rPr>
      <w:lang w:eastAsia="en-US"/>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annotation subject"/>
    <w:basedOn w:val="9"/>
    <w:next w:val="9"/>
    <w:link w:val="56"/>
    <w:autoRedefine/>
    <w:qFormat/>
    <w:uiPriority w:val="0"/>
    <w:rPr>
      <w:b/>
      <w:bCs/>
    </w:rPr>
  </w:style>
  <w:style w:type="paragraph" w:styleId="30">
    <w:name w:val="Body Text First Indent"/>
    <w:basedOn w:val="10"/>
    <w:next w:val="31"/>
    <w:autoRedefine/>
    <w:qFormat/>
    <w:uiPriority w:val="0"/>
    <w:pPr>
      <w:ind w:firstLine="420" w:firstLineChars="100"/>
    </w:pPr>
    <w:rPr>
      <w:rFonts w:ascii="Times New Roman"/>
      <w:sz w:val="21"/>
      <w:szCs w:val="24"/>
    </w:rPr>
  </w:style>
  <w:style w:type="paragraph" w:styleId="31">
    <w:name w:val="Body Text First Indent 2"/>
    <w:basedOn w:val="11"/>
    <w:next w:val="30"/>
    <w:autoRedefine/>
    <w:qFormat/>
    <w:uiPriority w:val="0"/>
    <w:pPr>
      <w:spacing w:line="360" w:lineRule="auto"/>
      <w:ind w:firstLine="420" w:firstLineChars="200"/>
    </w:pPr>
    <w:rPr>
      <w:sz w:val="24"/>
      <w:szCs w:val="24"/>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style>
  <w:style w:type="character" w:styleId="37">
    <w:name w:val="FollowedHyperlink"/>
    <w:basedOn w:val="34"/>
    <w:autoRedefine/>
    <w:qFormat/>
    <w:uiPriority w:val="0"/>
    <w:rPr>
      <w:color w:val="800080"/>
      <w:u w:val="none"/>
    </w:rPr>
  </w:style>
  <w:style w:type="character" w:styleId="38">
    <w:name w:val="Emphasis"/>
    <w:basedOn w:val="34"/>
    <w:autoRedefine/>
    <w:qFormat/>
    <w:uiPriority w:val="0"/>
    <w:rPr>
      <w:b/>
      <w:bCs/>
    </w:rPr>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unhideWhenUsed/>
    <w:qFormat/>
    <w:uiPriority w:val="99"/>
    <w:rPr>
      <w:color w:val="0000FF"/>
      <w:u w:val="single"/>
    </w:rPr>
  </w:style>
  <w:style w:type="character" w:styleId="44">
    <w:name w:val="HTML Code"/>
    <w:basedOn w:val="34"/>
    <w:autoRedefine/>
    <w:qFormat/>
    <w:uiPriority w:val="0"/>
    <w:rPr>
      <w:rFonts w:ascii="monospace" w:hAnsi="monospace" w:eastAsia="monospace" w:cs="monospace"/>
      <w:sz w:val="20"/>
    </w:rPr>
  </w:style>
  <w:style w:type="character" w:styleId="45">
    <w:name w:val="annotation reference"/>
    <w:autoRedefine/>
    <w:qFormat/>
    <w:uiPriority w:val="0"/>
    <w:rPr>
      <w:sz w:val="21"/>
      <w:szCs w:val="21"/>
    </w:rPr>
  </w:style>
  <w:style w:type="character" w:styleId="46">
    <w:name w:val="HTML Cite"/>
    <w:basedOn w:val="34"/>
    <w:autoRedefine/>
    <w:qFormat/>
    <w:uiPriority w:val="0"/>
  </w:style>
  <w:style w:type="character" w:styleId="47">
    <w:name w:val="HTML Keyboard"/>
    <w:basedOn w:val="34"/>
    <w:autoRedefine/>
    <w:qFormat/>
    <w:uiPriority w:val="0"/>
    <w:rPr>
      <w:rFonts w:hint="default" w:ascii="monospace" w:hAnsi="monospace" w:eastAsia="monospace" w:cs="monospace"/>
      <w:sz w:val="20"/>
    </w:rPr>
  </w:style>
  <w:style w:type="character" w:styleId="48">
    <w:name w:val="HTML Sample"/>
    <w:basedOn w:val="34"/>
    <w:autoRedefine/>
    <w:qFormat/>
    <w:uiPriority w:val="0"/>
    <w:rPr>
      <w:rFonts w:hint="default" w:ascii="monospace" w:hAnsi="monospace" w:eastAsia="monospace" w:cs="monospace"/>
    </w:rPr>
  </w:style>
  <w:style w:type="paragraph" w:customStyle="1" w:styleId="49">
    <w:name w:val="Normal Indent1"/>
    <w:basedOn w:val="1"/>
    <w:autoRedefine/>
    <w:qFormat/>
    <w:uiPriority w:val="0"/>
    <w:pPr>
      <w:spacing w:line="660" w:lineRule="exact"/>
      <w:ind w:firstLine="720"/>
    </w:pPr>
    <w:rPr>
      <w:rFonts w:eastAsia="Cambria Math"/>
      <w:sz w:val="36"/>
      <w:szCs w:val="36"/>
    </w:rPr>
  </w:style>
  <w:style w:type="paragraph" w:customStyle="1" w:styleId="50">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51">
    <w:name w:val="表格文字"/>
    <w:basedOn w:val="11"/>
    <w:next w:val="10"/>
    <w:autoRedefine/>
    <w:qFormat/>
    <w:uiPriority w:val="99"/>
    <w:pPr>
      <w:spacing w:before="25" w:after="25"/>
      <w:jc w:val="left"/>
    </w:pPr>
    <w:rPr>
      <w:bCs/>
      <w:spacing w:val="10"/>
      <w:kern w:val="0"/>
      <w:sz w:val="24"/>
    </w:rPr>
  </w:style>
  <w:style w:type="paragraph" w:styleId="52">
    <w:name w:val="List Paragraph"/>
    <w:basedOn w:val="1"/>
    <w:autoRedefine/>
    <w:qFormat/>
    <w:uiPriority w:val="34"/>
    <w:pPr>
      <w:ind w:firstLine="420" w:firstLineChars="200"/>
    </w:pPr>
  </w:style>
  <w:style w:type="paragraph" w:customStyle="1" w:styleId="53">
    <w:name w:val="Plain Text1"/>
    <w:basedOn w:val="1"/>
    <w:autoRedefine/>
    <w:qFormat/>
    <w:uiPriority w:val="0"/>
    <w:rPr>
      <w:rFonts w:ascii="宋体" w:hAnsi="Courier New" w:cs="Courier New"/>
      <w:szCs w:val="21"/>
    </w:rPr>
  </w:style>
  <w:style w:type="paragraph" w:customStyle="1" w:styleId="54">
    <w:name w:val="Table Paragraph"/>
    <w:basedOn w:val="1"/>
    <w:autoRedefine/>
    <w:qFormat/>
    <w:uiPriority w:val="1"/>
    <w:rPr>
      <w:rFonts w:ascii="宋体" w:hAnsi="宋体" w:cs="宋体"/>
      <w:lang w:val="zh-CN" w:bidi="zh-CN"/>
    </w:rPr>
  </w:style>
  <w:style w:type="character" w:customStyle="1" w:styleId="55">
    <w:name w:val="批注文字 Char"/>
    <w:basedOn w:val="34"/>
    <w:link w:val="9"/>
    <w:autoRedefine/>
    <w:qFormat/>
    <w:uiPriority w:val="0"/>
    <w:rPr>
      <w:kern w:val="2"/>
      <w:sz w:val="21"/>
      <w:szCs w:val="24"/>
    </w:rPr>
  </w:style>
  <w:style w:type="character" w:customStyle="1" w:styleId="56">
    <w:name w:val="批注主题 Char"/>
    <w:basedOn w:val="55"/>
    <w:link w:val="29"/>
    <w:autoRedefine/>
    <w:qFormat/>
    <w:uiPriority w:val="0"/>
    <w:rPr>
      <w:b/>
      <w:bCs/>
      <w:kern w:val="2"/>
      <w:sz w:val="21"/>
      <w:szCs w:val="24"/>
    </w:rPr>
  </w:style>
  <w:style w:type="character" w:customStyle="1" w:styleId="57">
    <w:name w:val="批注框文本 Char"/>
    <w:basedOn w:val="34"/>
    <w:link w:val="17"/>
    <w:autoRedefine/>
    <w:qFormat/>
    <w:uiPriority w:val="0"/>
    <w:rPr>
      <w:kern w:val="2"/>
      <w:sz w:val="18"/>
      <w:szCs w:val="18"/>
    </w:rPr>
  </w:style>
  <w:style w:type="paragraph" w:customStyle="1" w:styleId="58">
    <w:name w:val="纯文本1"/>
    <w:basedOn w:val="1"/>
    <w:autoRedefine/>
    <w:qFormat/>
    <w:uiPriority w:val="0"/>
    <w:pPr>
      <w:suppressAutoHyphens/>
    </w:pPr>
    <w:rPr>
      <w:rFonts w:ascii="宋体" w:hAnsi="宋体" w:cs="Courier New"/>
      <w:szCs w:val="21"/>
      <w:lang w:eastAsia="ar-SA"/>
    </w:rPr>
  </w:style>
  <w:style w:type="paragraph" w:customStyle="1" w:styleId="5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60">
    <w:name w:val="textcontents"/>
    <w:basedOn w:val="34"/>
    <w:autoRedefine/>
    <w:qFormat/>
    <w:uiPriority w:val="0"/>
  </w:style>
  <w:style w:type="paragraph" w:customStyle="1" w:styleId="61">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2">
    <w:name w:val="WPSOffice手动目录 1"/>
    <w:autoRedefine/>
    <w:qFormat/>
    <w:uiPriority w:val="0"/>
    <w:pPr>
      <w:ind w:leftChars="0"/>
    </w:pPr>
    <w:rPr>
      <w:rFonts w:ascii="Times New Roman" w:hAnsi="Times New Roman" w:eastAsia="宋体" w:cs="Times New Roman"/>
      <w:sz w:val="20"/>
      <w:szCs w:val="20"/>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文本_0"/>
    <w:basedOn w:val="6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6">
    <w:name w:val="Normal_1"/>
    <w:autoRedefine/>
    <w:qFormat/>
    <w:uiPriority w:val="0"/>
    <w:rPr>
      <w:rFonts w:ascii="Times New Roman" w:hAnsi="Times New Roman" w:eastAsia="Times New Roman" w:cs="Times New Roman"/>
      <w:sz w:val="24"/>
      <w:szCs w:val="24"/>
    </w:rPr>
  </w:style>
  <w:style w:type="paragraph" w:customStyle="1" w:styleId="67">
    <w:name w:val="Body text|1_2"/>
    <w:basedOn w:val="64"/>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8">
    <w:name w:val="Other|1_2"/>
    <w:basedOn w:val="64"/>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9">
    <w:name w:val="标题 2_1"/>
    <w:basedOn w:val="64"/>
    <w:next w:val="64"/>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70">
    <w:name w:val="标题 3_2"/>
    <w:basedOn w:val="64"/>
    <w:next w:val="64"/>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1">
    <w:name w:val="标题 2_0"/>
    <w:basedOn w:val="72"/>
    <w:next w:val="7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72">
    <w:name w:val="正文_2"/>
    <w:basedOn w:val="73"/>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3">
    <w:name w:val="正文_3"/>
    <w:basedOn w:val="64"/>
    <w:autoRedefine/>
    <w:qFormat/>
    <w:uiPriority w:val="0"/>
    <w:rPr>
      <w:rFonts w:eastAsia="宋体"/>
      <w:lang w:eastAsia="zh-CN" w:bidi="ar-SA"/>
    </w:rPr>
  </w:style>
  <w:style w:type="paragraph" w:customStyle="1" w:styleId="74">
    <w:name w:val="标题 3_1"/>
    <w:basedOn w:val="72"/>
    <w:next w:val="7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5">
    <w:name w:val="Body text|1_1"/>
    <w:basedOn w:val="7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6">
    <w:name w:val="Body text|2_0"/>
    <w:basedOn w:val="72"/>
    <w:autoRedefine/>
    <w:qFormat/>
    <w:uiPriority w:val="0"/>
    <w:pPr>
      <w:spacing w:after="30"/>
      <w:ind w:firstLine="420"/>
    </w:pPr>
    <w:rPr>
      <w:rFonts w:eastAsia="宋体"/>
      <w:color w:val="auto"/>
      <w:sz w:val="20"/>
      <w:szCs w:val="20"/>
      <w:lang w:bidi="ar-SA"/>
    </w:rPr>
  </w:style>
  <w:style w:type="paragraph" w:customStyle="1" w:styleId="77">
    <w:name w:val="Other|1_1"/>
    <w:basedOn w:val="7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8">
    <w:name w:val="正文_2_0"/>
    <w:basedOn w:val="72"/>
    <w:autoRedefine/>
    <w:qFormat/>
    <w:uiPriority w:val="0"/>
    <w:rPr>
      <w:rFonts w:eastAsia="宋体"/>
      <w:lang w:eastAsia="zh-CN" w:bidi="ar-SA"/>
    </w:rPr>
  </w:style>
  <w:style w:type="character" w:customStyle="1" w:styleId="79">
    <w:name w:val="10"/>
    <w:autoRedefine/>
    <w:qFormat/>
    <w:uiPriority w:val="0"/>
    <w:rPr>
      <w:rFonts w:hint="default" w:ascii="Times New Roman" w:hAnsi="Times New Roman" w:eastAsia="Times New Roman" w:cs="Times New Roman"/>
      <w:lang w:eastAsia="en-US" w:bidi="en-US"/>
    </w:rPr>
  </w:style>
  <w:style w:type="paragraph" w:customStyle="1" w:styleId="80">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81">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82">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8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标题 3_0"/>
    <w:basedOn w:val="1"/>
    <w:next w:val="72"/>
    <w:autoRedefine/>
    <w:qFormat/>
    <w:uiPriority w:val="99"/>
    <w:rPr>
      <w:szCs w:val="20"/>
    </w:rPr>
  </w:style>
  <w:style w:type="paragraph" w:customStyle="1" w:styleId="85">
    <w:name w:val="纯文本_0"/>
    <w:basedOn w:val="1"/>
    <w:autoRedefine/>
    <w:qFormat/>
    <w:uiPriority w:val="99"/>
    <w:rPr>
      <w:szCs w:val="20"/>
    </w:rPr>
  </w:style>
  <w:style w:type="paragraph" w:customStyle="1" w:styleId="86">
    <w:name w:val="Normal_0"/>
    <w:autoRedefine/>
    <w:qFormat/>
    <w:uiPriority w:val="0"/>
    <w:rPr>
      <w:rFonts w:ascii="Times New Roman" w:hAnsi="Times New Roman" w:eastAsia="Times New Roman" w:cs="Times New Roman"/>
      <w:sz w:val="24"/>
      <w:szCs w:val="24"/>
    </w:rPr>
  </w:style>
  <w:style w:type="paragraph" w:customStyle="1" w:styleId="87">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hover1"/>
    <w:basedOn w:val="34"/>
    <w:autoRedefine/>
    <w:qFormat/>
    <w:uiPriority w:val="0"/>
    <w:rPr>
      <w:color w:val="2590EB"/>
    </w:rPr>
  </w:style>
  <w:style w:type="character" w:customStyle="1" w:styleId="89">
    <w:name w:val="hover2"/>
    <w:basedOn w:val="34"/>
    <w:autoRedefine/>
    <w:qFormat/>
    <w:uiPriority w:val="0"/>
    <w:rPr>
      <w:color w:val="2590EB"/>
    </w:rPr>
  </w:style>
  <w:style w:type="character" w:customStyle="1" w:styleId="90">
    <w:name w:val="hover3"/>
    <w:basedOn w:val="34"/>
    <w:autoRedefine/>
    <w:qFormat/>
    <w:uiPriority w:val="0"/>
  </w:style>
  <w:style w:type="character" w:customStyle="1" w:styleId="91">
    <w:name w:val="hover"/>
    <w:basedOn w:val="34"/>
    <w:autoRedefine/>
    <w:qFormat/>
    <w:uiPriority w:val="0"/>
    <w:rPr>
      <w:color w:val="2590EB"/>
    </w:rPr>
  </w:style>
  <w:style w:type="paragraph" w:customStyle="1" w:styleId="92">
    <w:name w:val="Char Char Char Char Char Char Char Char Char Char Char Char Char Char Char Char"/>
    <w:basedOn w:val="1"/>
    <w:qFormat/>
    <w:uiPriority w:val="0"/>
    <w:pPr>
      <w:tabs>
        <w:tab w:val="left" w:pos="360"/>
      </w:tabs>
      <w:spacing w:line="360" w:lineRule="auto"/>
      <w:ind w:left="482" w:firstLine="200" w:firstLineChars="200"/>
    </w:pPr>
    <w:rPr>
      <w:rFonts w:eastAsia="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127</Pages>
  <Words>87274</Words>
  <Characters>92095</Characters>
  <Lines>51</Lines>
  <Paragraphs>59</Paragraphs>
  <TotalTime>0</TotalTime>
  <ScaleCrop>false</ScaleCrop>
  <LinksUpToDate>false</LinksUpToDate>
  <CharactersWithSpaces>96419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资料</cp:lastModifiedBy>
  <cp:lastPrinted>2024-04-02T01:22:00Z</cp:lastPrinted>
  <dcterms:modified xsi:type="dcterms:W3CDTF">2025-04-27T04:30:42Z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8E761872D2C847AB82BD57C0E7BC17A8_13</vt:lpwstr>
  </property>
  <property fmtid="{D5CDD505-2E9C-101B-9397-08002B2CF9AE}" pid="4" name="KSOTemplateDocerSaveRecord">
    <vt:lpwstr>eyJoZGlkIjoiMDE1ZDJkZDJhOTYxYTMzZDIzZTY5YjU3MTYxNmMxOTQiLCJ1c2VySWQiOiIxMjEzMTkwMDMyIn0=</vt:lpwstr>
  </property>
</Properties>
</file>