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10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highlight w:val="none"/>
          <w:lang w:eastAsia="zh-CN"/>
        </w:rPr>
      </w:pPr>
      <w:bookmarkStart w:id="0" w:name="_Toc434315322"/>
      <w:r>
        <w:rPr>
          <w:rFonts w:hint="eastAsia" w:ascii="宋体" w:hAnsi="宋体" w:eastAsia="宋体" w:cs="宋体"/>
          <w:color w:val="000000"/>
          <w:highlight w:val="none"/>
          <w:lang w:eastAsia="zh-CN"/>
        </w:rPr>
        <w:drawing>
          <wp:inline distT="0" distB="0" distL="114300" distR="114300">
            <wp:extent cx="5940425" cy="8394700"/>
            <wp:effectExtent l="0" t="0" r="3175" b="6350"/>
            <wp:docPr id="1" name="图片 1" descr="采购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采购文件封面_00"/>
                    <pic:cNvPicPr>
                      <a:picLocks noChangeAspect="1"/>
                    </pic:cNvPicPr>
                  </pic:nvPicPr>
                  <pic:blipFill>
                    <a:blip r:embed="rId9"/>
                    <a:stretch>
                      <a:fillRect/>
                    </a:stretch>
                  </pic:blipFill>
                  <pic:spPr>
                    <a:xfrm>
                      <a:off x="0" y="0"/>
                      <a:ext cx="5940425" cy="8394700"/>
                    </a:xfrm>
                    <a:prstGeom prst="rect">
                      <a:avLst/>
                    </a:prstGeom>
                  </pic:spPr>
                </pic:pic>
              </a:graphicData>
            </a:graphic>
          </wp:inline>
        </w:drawing>
      </w:r>
    </w:p>
    <w:p w14:paraId="3AE3B2FC">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000000"/>
          <w:highlight w:val="none"/>
        </w:rPr>
        <w:sectPr>
          <w:headerReference r:id="rId3" w:type="default"/>
          <w:pgSz w:w="11906" w:h="16838"/>
          <w:pgMar w:top="1134" w:right="1134" w:bottom="1134" w:left="1417" w:header="850" w:footer="992" w:gutter="0"/>
          <w:cols w:space="720" w:num="1"/>
          <w:docGrid w:type="lines" w:linePitch="317" w:charSpace="0"/>
        </w:sectPr>
      </w:pPr>
    </w:p>
    <w:sdt>
      <w:sdtPr>
        <w:rPr>
          <w:rFonts w:ascii="宋体" w:hAnsi="宋体" w:eastAsia="宋体" w:cs="Times New Roman"/>
          <w:color w:val="auto"/>
          <w:kern w:val="2"/>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kern w:val="2"/>
          <w:sz w:val="28"/>
          <w:szCs w:val="40"/>
          <w:highlight w:val="none"/>
          <w:lang w:val="en-US" w:eastAsia="zh-CN" w:bidi="ar-SA"/>
        </w:rPr>
      </w:sdtEndPr>
      <w:sdtContent>
        <w:p w14:paraId="04D79E4A">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z w:val="44"/>
              <w:szCs w:val="44"/>
              <w:highlight w:val="none"/>
            </w:rPr>
          </w:pPr>
          <w:r>
            <w:rPr>
              <w:rFonts w:ascii="宋体" w:hAnsi="宋体" w:eastAsia="宋体"/>
              <w:b/>
              <w:bCs/>
              <w:color w:val="auto"/>
              <w:sz w:val="44"/>
              <w:szCs w:val="44"/>
              <w:highlight w:val="none"/>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14:paraId="0F4192B4">
          <w:pPr>
            <w:pStyle w:val="20"/>
            <w:tabs>
              <w:tab w:val="right" w:leader="dot" w:pos="9799"/>
            </w:tabs>
            <w:rPr>
              <w:rFonts w:hint="eastAsia" w:ascii="宋体" w:hAnsi="宋体" w:eastAsia="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18619B82">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_Toc29312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_Toc29312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5FC390A">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_Toc5416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pacing w:val="-14"/>
              <w:kern w:val="0"/>
              <w:position w:val="-6"/>
              <w:sz w:val="24"/>
              <w:szCs w:val="24"/>
              <w:highlight w:val="none"/>
            </w:rPr>
            <w:t xml:space="preserve">第二章 </w:t>
          </w:r>
          <w:r>
            <w:rPr>
              <w:rFonts w:hint="eastAsia" w:ascii="宋体" w:hAnsi="宋体" w:cs="宋体"/>
              <w:bCs/>
              <w:color w:val="auto"/>
              <w:spacing w:val="-14"/>
              <w:kern w:val="0"/>
              <w:position w:val="-6"/>
              <w:sz w:val="24"/>
              <w:szCs w:val="24"/>
              <w:highlight w:val="none"/>
              <w:lang w:val="en-US" w:eastAsia="zh-CN"/>
            </w:rPr>
            <w:t xml:space="preserve">  供应商</w:t>
          </w:r>
          <w:r>
            <w:rPr>
              <w:rFonts w:hint="eastAsia" w:ascii="宋体" w:hAnsi="宋体" w:eastAsia="宋体" w:cs="宋体"/>
              <w:bCs/>
              <w:color w:val="auto"/>
              <w:spacing w:val="-14"/>
              <w:kern w:val="0"/>
              <w:position w:val="-6"/>
              <w:sz w:val="24"/>
              <w:szCs w:val="24"/>
              <w:highlight w:val="none"/>
            </w:rPr>
            <w:t>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_Toc5416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2F2B25">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pacing w:val="-14"/>
              <w:kern w:val="0"/>
              <w:position w:val="-6"/>
              <w:sz w:val="24"/>
              <w:szCs w:val="24"/>
              <w:highlight w:val="none"/>
            </w:rPr>
            <w:t xml:space="preserve">第三章  </w:t>
          </w:r>
          <w:r>
            <w:rPr>
              <w:rFonts w:hint="eastAsia" w:ascii="宋体" w:hAnsi="宋体" w:cs="宋体"/>
              <w:bCs/>
              <w:color w:val="auto"/>
              <w:spacing w:val="-14"/>
              <w:kern w:val="0"/>
              <w:position w:val="-6"/>
              <w:sz w:val="24"/>
              <w:szCs w:val="24"/>
              <w:highlight w:val="none"/>
              <w:lang w:val="en-US" w:eastAsia="zh-CN"/>
            </w:rPr>
            <w:t xml:space="preserve"> </w:t>
          </w:r>
          <w:r>
            <w:rPr>
              <w:rFonts w:hint="eastAsia" w:ascii="宋体" w:hAnsi="宋体" w:eastAsia="宋体" w:cs="宋体"/>
              <w:bCs/>
              <w:color w:val="auto"/>
              <w:spacing w:val="-14"/>
              <w:kern w:val="0"/>
              <w:position w:val="-6"/>
              <w:sz w:val="24"/>
              <w:szCs w:val="24"/>
              <w:highlight w:val="none"/>
            </w:rPr>
            <w:t>项目基本情况及要求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6D25437">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0"/>
              <w:sz w:val="24"/>
              <w:szCs w:val="24"/>
              <w:highlight w:val="none"/>
              <w:lang w:val="en-US" w:eastAsia="zh-CN"/>
            </w:rPr>
            <w:t>第四章</w:t>
          </w:r>
          <w:r>
            <w:rPr>
              <w:rFonts w:hint="eastAsia" w:ascii="宋体" w:hAnsi="宋体" w:eastAsia="宋体" w:cs="宋体"/>
              <w:bCs/>
              <w:color w:val="auto"/>
              <w:kern w:val="0"/>
              <w:sz w:val="24"/>
              <w:szCs w:val="24"/>
              <w:highlight w:val="none"/>
            </w:rPr>
            <w:t xml:space="preserve"> </w:t>
          </w: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FD1CC8">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0"/>
              <w:sz w:val="24"/>
              <w:szCs w:val="24"/>
              <w:highlight w:val="none"/>
            </w:rPr>
            <w:t>第</w:t>
          </w:r>
          <w:r>
            <w:rPr>
              <w:rFonts w:hint="eastAsia" w:ascii="宋体" w:hAnsi="宋体" w:eastAsia="宋体" w:cs="宋体"/>
              <w:bCs/>
              <w:color w:val="auto"/>
              <w:kern w:val="0"/>
              <w:sz w:val="24"/>
              <w:szCs w:val="24"/>
              <w:highlight w:val="none"/>
              <w:lang w:val="en-US" w:eastAsia="zh-CN"/>
            </w:rPr>
            <w:t>五</w:t>
          </w:r>
          <w:r>
            <w:rPr>
              <w:rFonts w:hint="eastAsia" w:ascii="宋体" w:hAnsi="宋体" w:eastAsia="宋体" w:cs="宋体"/>
              <w:bCs/>
              <w:color w:val="auto"/>
              <w:kern w:val="0"/>
              <w:sz w:val="24"/>
              <w:szCs w:val="24"/>
              <w:highlight w:val="none"/>
            </w:rPr>
            <w:t>章</w:t>
          </w: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5B559D">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_Toc3612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4"/>
              <w:kern w:val="0"/>
              <w:position w:val="-6"/>
              <w:sz w:val="24"/>
              <w:szCs w:val="24"/>
              <w:highlight w:val="none"/>
            </w:rPr>
            <w:t xml:space="preserve">第六章 </w:t>
          </w:r>
          <w:r>
            <w:rPr>
              <w:rFonts w:hint="eastAsia" w:ascii="宋体" w:hAnsi="宋体" w:cs="宋体"/>
              <w:color w:val="auto"/>
              <w:spacing w:val="-14"/>
              <w:kern w:val="0"/>
              <w:position w:val="-6"/>
              <w:sz w:val="24"/>
              <w:szCs w:val="24"/>
              <w:highlight w:val="none"/>
              <w:lang w:val="en-US" w:eastAsia="zh-CN"/>
            </w:rPr>
            <w:t xml:space="preserve">  </w:t>
          </w:r>
          <w:r>
            <w:rPr>
              <w:rFonts w:hint="eastAsia" w:ascii="宋体" w:hAnsi="宋体" w:eastAsia="宋体" w:cs="宋体"/>
              <w:color w:val="auto"/>
              <w:spacing w:val="-14"/>
              <w:kern w:val="0"/>
              <w:position w:val="-6"/>
              <w:sz w:val="24"/>
              <w:szCs w:val="24"/>
              <w:highlight w:val="none"/>
            </w:rPr>
            <w:t>合同主要条款 (参考格式)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AF7DEE">
          <w:pPr>
            <w:pStyle w:val="20"/>
            <w:tabs>
              <w:tab w:val="right" w:leader="dot" w:pos="9799"/>
            </w:tabs>
            <w:spacing w:line="360" w:lineRule="auto"/>
            <w:rPr>
              <w:color w:val="auto"/>
              <w:sz w:val="20"/>
              <w:szCs w:val="22"/>
              <w:highlight w:val="none"/>
            </w:rPr>
          </w:pPr>
        </w:p>
        <w:p w14:paraId="411E1AF5">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lang w:eastAsia="zh-CN"/>
            </w:rPr>
            <w:tab/>
          </w:r>
        </w:p>
      </w:sdtContent>
    </w:sdt>
    <w:p w14:paraId="19B97563">
      <w:pPr>
        <w:pStyle w:val="10"/>
        <w:tabs>
          <w:tab w:val="left" w:pos="4386"/>
        </w:tabs>
        <w:autoSpaceDE/>
        <w:autoSpaceDN/>
        <w:adjustRightInd/>
        <w:spacing w:line="320" w:lineRule="exact"/>
        <w:jc w:val="left"/>
        <w:rPr>
          <w:rFonts w:hint="eastAsia" w:hAnsi="宋体" w:eastAsia="宋体" w:cs="宋体"/>
          <w:b/>
          <w:bCs/>
          <w:color w:val="auto"/>
          <w:spacing w:val="-14"/>
          <w:position w:val="-6"/>
          <w:sz w:val="36"/>
          <w:szCs w:val="36"/>
          <w:highlight w:val="none"/>
          <w:lang w:eastAsia="zh-CN"/>
        </w:rPr>
      </w:pPr>
      <w:r>
        <w:rPr>
          <w:rFonts w:hint="eastAsia" w:hAnsi="宋体" w:cs="宋体"/>
          <w:b/>
          <w:bCs/>
          <w:color w:val="auto"/>
          <w:spacing w:val="-14"/>
          <w:position w:val="-6"/>
          <w:sz w:val="36"/>
          <w:szCs w:val="36"/>
          <w:highlight w:val="none"/>
          <w:lang w:eastAsia="zh-CN"/>
        </w:rPr>
        <w:tab/>
      </w:r>
    </w:p>
    <w:p w14:paraId="167E7A05">
      <w:pPr>
        <w:tabs>
          <w:tab w:val="left" w:pos="6703"/>
        </w:tabs>
        <w:bidi w:val="0"/>
        <w:jc w:val="left"/>
        <w:rPr>
          <w:rFonts w:hint="eastAsia" w:eastAsia="宋体"/>
          <w:color w:val="auto"/>
          <w:highlight w:val="none"/>
          <w:lang w:eastAsia="zh-CN"/>
        </w:rPr>
        <w:sectPr>
          <w:headerReference r:id="rId4" w:type="default"/>
          <w:footerReference r:id="rId5" w:type="default"/>
          <w:pgSz w:w="11906" w:h="16838"/>
          <w:pgMar w:top="1440" w:right="1080" w:bottom="1440" w:left="460" w:header="851" w:footer="794" w:gutter="567"/>
          <w:pgNumType w:fmt="decimal" w:start="1"/>
          <w:cols w:space="720" w:num="1"/>
        </w:sectPr>
      </w:pPr>
      <w:r>
        <w:rPr>
          <w:rFonts w:hint="eastAsia"/>
          <w:color w:val="auto"/>
          <w:highlight w:val="none"/>
          <w:lang w:eastAsia="zh-CN"/>
        </w:rPr>
        <w:tab/>
      </w:r>
    </w:p>
    <w:p w14:paraId="13B42B45">
      <w:pPr>
        <w:pStyle w:val="26"/>
        <w:spacing w:beforeLines="0" w:afterLines="0"/>
        <w:outlineLvl w:val="9"/>
        <w:rPr>
          <w:rFonts w:hint="eastAsia" w:eastAsia="宋体" w:cs="Times New Roman"/>
          <w:sz w:val="44"/>
          <w:szCs w:val="44"/>
        </w:rPr>
      </w:pPr>
      <w:bookmarkStart w:id="1" w:name="_Toc29312"/>
    </w:p>
    <w:p w14:paraId="096D233F">
      <w:pPr>
        <w:pStyle w:val="26"/>
        <w:spacing w:beforeLines="0" w:afterLines="0"/>
        <w:outlineLvl w:val="9"/>
        <w:rPr>
          <w:rFonts w:hint="eastAsia" w:eastAsia="宋体" w:cs="Times New Roman"/>
          <w:sz w:val="44"/>
          <w:szCs w:val="44"/>
        </w:rPr>
      </w:pPr>
    </w:p>
    <w:p w14:paraId="4294A213">
      <w:pPr>
        <w:pStyle w:val="26"/>
        <w:spacing w:beforeLines="0" w:afterLines="0"/>
        <w:outlineLvl w:val="9"/>
        <w:rPr>
          <w:rFonts w:hint="eastAsia" w:eastAsia="宋体" w:cs="Times New Roman"/>
          <w:sz w:val="44"/>
          <w:szCs w:val="44"/>
        </w:rPr>
      </w:pPr>
    </w:p>
    <w:p w14:paraId="12675EC2">
      <w:pPr>
        <w:pStyle w:val="26"/>
        <w:spacing w:beforeLines="0" w:afterLines="0"/>
        <w:outlineLvl w:val="9"/>
        <w:rPr>
          <w:rFonts w:hint="eastAsia" w:eastAsia="宋体" w:cs="Times New Roman"/>
          <w:sz w:val="44"/>
          <w:szCs w:val="44"/>
        </w:rPr>
      </w:pPr>
    </w:p>
    <w:p w14:paraId="1267DBF0">
      <w:pPr>
        <w:pStyle w:val="26"/>
        <w:spacing w:beforeLines="0" w:afterLines="0"/>
        <w:outlineLvl w:val="9"/>
        <w:rPr>
          <w:rFonts w:hint="eastAsia" w:eastAsia="宋体" w:cs="Times New Roman"/>
          <w:sz w:val="44"/>
          <w:szCs w:val="44"/>
        </w:rPr>
      </w:pPr>
    </w:p>
    <w:p w14:paraId="2775A9F9">
      <w:pPr>
        <w:pStyle w:val="26"/>
        <w:spacing w:beforeLines="0" w:afterLines="0"/>
        <w:rPr>
          <w:rFonts w:hint="eastAsia" w:eastAsia="宋体" w:cs="Times New Roman"/>
          <w:sz w:val="44"/>
          <w:szCs w:val="44"/>
          <w:lang w:eastAsia="zh-CN"/>
        </w:rPr>
      </w:pPr>
      <w:r>
        <w:rPr>
          <w:rFonts w:hint="eastAsia" w:eastAsia="宋体" w:cs="Times New Roman"/>
          <w:sz w:val="44"/>
          <w:szCs w:val="44"/>
        </w:rPr>
        <w:t>第一章</w:t>
      </w:r>
      <w:bookmarkEnd w:id="0"/>
      <w:bookmarkEnd w:id="1"/>
      <w:bookmarkStart w:id="2" w:name="_Toc434315323"/>
      <w:r>
        <w:rPr>
          <w:rFonts w:hint="eastAsia" w:eastAsia="宋体" w:cs="Times New Roman"/>
          <w:sz w:val="44"/>
          <w:szCs w:val="44"/>
          <w:lang w:val="en-US" w:eastAsia="zh-CN"/>
        </w:rPr>
        <w:t xml:space="preserve">  竞争性</w:t>
      </w:r>
      <w:r>
        <w:rPr>
          <w:rFonts w:hint="eastAsia" w:eastAsia="宋体" w:cs="Times New Roman"/>
          <w:sz w:val="44"/>
          <w:szCs w:val="44"/>
          <w:lang w:eastAsia="zh-CN"/>
        </w:rPr>
        <w:t>磋商公告</w:t>
      </w:r>
    </w:p>
    <w:p w14:paraId="19E8FD2F">
      <w:pPr>
        <w:rPr>
          <w:rFonts w:hint="eastAsia" w:eastAsia="宋体" w:cs="Times New Roman"/>
          <w:sz w:val="44"/>
          <w:szCs w:val="44"/>
          <w:lang w:eastAsia="zh-CN"/>
        </w:rPr>
      </w:pPr>
      <w:r>
        <w:rPr>
          <w:rFonts w:hint="eastAsia" w:eastAsia="宋体" w:cs="Times New Roman"/>
          <w:sz w:val="44"/>
          <w:szCs w:val="44"/>
          <w:lang w:eastAsia="zh-CN"/>
        </w:rPr>
        <w:br w:type="page"/>
      </w:r>
    </w:p>
    <w:p w14:paraId="4BFD0B30">
      <w:pPr>
        <w:jc w:val="center"/>
        <w:rPr>
          <w:rFonts w:hint="eastAsia" w:ascii="华文新魏" w:hAnsi="宋体" w:eastAsia="华文新魏" w:cs="Times New Roman"/>
          <w:sz w:val="44"/>
          <w:szCs w:val="44"/>
          <w:lang w:val="en-US" w:eastAsia="zh-CN"/>
        </w:rPr>
      </w:pPr>
      <w:r>
        <w:rPr>
          <w:rFonts w:hint="eastAsia" w:ascii="华文新魏" w:hAnsi="宋体" w:eastAsia="华文新魏" w:cs="Times New Roman"/>
          <w:sz w:val="44"/>
          <w:szCs w:val="44"/>
          <w:lang w:val="en-US" w:eastAsia="zh-CN"/>
        </w:rPr>
        <w:t>广西中佰项目管理有限公司</w:t>
      </w:r>
      <w:bookmarkStart w:id="3" w:name="_Toc2948"/>
    </w:p>
    <w:p w14:paraId="00EB1192">
      <w:pPr>
        <w:jc w:val="center"/>
        <w:rPr>
          <w:rFonts w:hint="eastAsia" w:ascii="华文新魏" w:hAnsi="宋体" w:eastAsia="华文新魏" w:cs="Times New Roman"/>
          <w:sz w:val="44"/>
          <w:szCs w:val="44"/>
        </w:rPr>
      </w:pPr>
      <w:r>
        <w:rPr>
          <w:rFonts w:hint="eastAsia" w:ascii="华文新魏" w:hAnsi="宋体" w:eastAsia="华文新魏" w:cs="Times New Roman"/>
          <w:sz w:val="44"/>
          <w:szCs w:val="44"/>
          <w:lang w:val="en-US" w:eastAsia="zh-CN"/>
        </w:rPr>
        <w:t>竞争性</w:t>
      </w:r>
      <w:r>
        <w:rPr>
          <w:rFonts w:hint="eastAsia" w:ascii="华文新魏" w:hAnsi="宋体" w:eastAsia="华文新魏" w:cs="Times New Roman"/>
          <w:sz w:val="44"/>
          <w:szCs w:val="44"/>
          <w:lang w:eastAsia="zh-CN"/>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1935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4CED87B4">
            <w:pPr>
              <w:pageBreakBefore w:val="0"/>
              <w:kinsoku/>
              <w:wordWrap/>
              <w:overflowPunct/>
              <w:topLinePunct w:val="0"/>
              <w:bidi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14:paraId="5B662617">
            <w:pPr>
              <w:pageBreakBefore w:val="0"/>
              <w:kinsoku/>
              <w:wordWrap/>
              <w:overflowPunct/>
              <w:topLinePunct w:val="0"/>
              <w:bidi w:val="0"/>
              <w:spacing w:line="380" w:lineRule="exact"/>
              <w:ind w:firstLine="420" w:firstLineChars="200"/>
              <w:textAlignment w:val="auto"/>
              <w:rPr>
                <w:color w:val="auto"/>
                <w:highlight w:val="none"/>
              </w:rPr>
            </w:pPr>
            <w:r>
              <w:rPr>
                <w:rFonts w:hint="eastAsia" w:ascii="宋体" w:hAnsi="宋体" w:cs="宋体"/>
                <w:color w:val="auto"/>
                <w:szCs w:val="21"/>
                <w:highlight w:val="none"/>
                <w:u w:val="single"/>
                <w:lang w:val="en-US" w:eastAsia="zh-CN"/>
              </w:rPr>
              <w:t>2025年石埇镇石埇村委标准厂房建设项目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lang w:eastAsia="zh-CN"/>
              </w:rPr>
              <w:t>广西政府采购云平台</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https://www.gcy.zfcg.gxzf.gov.cn</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rPr>
              <w:t>获取</w:t>
            </w:r>
            <w:r>
              <w:rPr>
                <w:rFonts w:hint="eastAsia" w:ascii="宋体" w:hAnsi="宋体" w:cs="宋体"/>
                <w:color w:val="auto"/>
                <w:highlight w:val="none"/>
              </w:rPr>
              <w:t>采购文件</w:t>
            </w:r>
            <w:r>
              <w:rPr>
                <w:rFonts w:hint="eastAsia" w:ascii="宋体" w:hAnsi="宋体" w:cs="宋体"/>
                <w:color w:val="auto"/>
                <w:szCs w:val="21"/>
                <w:highlight w:val="none"/>
              </w:rPr>
              <w:t>，并于</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14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501E1E1F">
      <w:pPr>
        <w:pageBreakBefore w:val="0"/>
        <w:widowControl w:val="0"/>
        <w:kinsoku/>
        <w:wordWrap/>
        <w:overflowPunct/>
        <w:topLinePunct w:val="0"/>
        <w:bidi w:val="0"/>
        <w:adjustRightInd/>
        <w:spacing w:line="380" w:lineRule="exact"/>
        <w:textAlignment w:val="auto"/>
        <w:outlineLvl w:val="9"/>
        <w:rPr>
          <w:rFonts w:ascii="宋体" w:hAnsi="宋体" w:eastAsia="宋体" w:cs="宋体"/>
          <w:bCs w:val="0"/>
          <w:color w:val="auto"/>
          <w:sz w:val="21"/>
          <w:szCs w:val="21"/>
          <w:highlight w:val="none"/>
        </w:rPr>
      </w:pPr>
      <w:bookmarkStart w:id="4" w:name="_Toc28359012"/>
      <w:bookmarkStart w:id="5" w:name="_Toc35393629"/>
      <w:bookmarkStart w:id="6" w:name="_Toc28359089"/>
      <w:bookmarkStart w:id="7" w:name="_Toc35393798"/>
      <w:bookmarkStart w:id="8" w:name="_Toc31859"/>
      <w:bookmarkStart w:id="9" w:name="_Toc9324"/>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16336AC7">
      <w:pPr>
        <w:pageBreakBefore w:val="0"/>
        <w:widowControl w:val="0"/>
        <w:kinsoku/>
        <w:wordWrap/>
        <w:overflowPunct/>
        <w:topLinePunct w:val="0"/>
        <w:bidi w:val="0"/>
        <w:adjustRightInd/>
        <w:spacing w:line="380" w:lineRule="exact"/>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QZZC2025-C2-220054-GXZB</w:t>
      </w:r>
    </w:p>
    <w:p w14:paraId="2535CB0B">
      <w:pPr>
        <w:pageBreakBefore w:val="0"/>
        <w:widowControl w:val="0"/>
        <w:kinsoku/>
        <w:wordWrap/>
        <w:overflowPunct/>
        <w:topLinePunct w:val="0"/>
        <w:bidi w:val="0"/>
        <w:adjustRightInd/>
        <w:spacing w:line="380" w:lineRule="exact"/>
        <w:ind w:firstLine="420" w:firstLineChars="200"/>
        <w:textAlignment w:val="auto"/>
        <w:outlineLvl w:val="9"/>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none"/>
          <w:lang w:val="en-US" w:eastAsia="zh-CN"/>
        </w:rPr>
        <w:t>2025年石埇镇石埇村委标准厂房建设项目</w:t>
      </w:r>
    </w:p>
    <w:p w14:paraId="0FD80FC6">
      <w:pPr>
        <w:pageBreakBefore w:val="0"/>
        <w:widowControl w:val="0"/>
        <w:kinsoku/>
        <w:wordWrap/>
        <w:overflowPunct/>
        <w:topLinePunct w:val="0"/>
        <w:bidi w:val="0"/>
        <w:adjustRightInd/>
        <w:spacing w:line="380" w:lineRule="exact"/>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0722BFEC">
      <w:pPr>
        <w:pageBreakBefore w:val="0"/>
        <w:widowControl w:val="0"/>
        <w:kinsoku/>
        <w:wordWrap/>
        <w:overflowPunct/>
        <w:topLinePunct w:val="0"/>
        <w:bidi w:val="0"/>
        <w:adjustRightInd/>
        <w:spacing w:line="380" w:lineRule="exact"/>
        <w:ind w:firstLine="420" w:firstLineChars="200"/>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w:t>
      </w:r>
      <w:r>
        <w:rPr>
          <w:rFonts w:hint="eastAsia" w:ascii="宋体" w:hAnsi="宋体" w:cs="宋体"/>
          <w:color w:val="auto"/>
          <w:szCs w:val="21"/>
          <w:highlight w:val="none"/>
          <w:lang w:eastAsia="zh-CN"/>
        </w:rPr>
        <w:t>总</w:t>
      </w:r>
      <w:r>
        <w:rPr>
          <w:rFonts w:hint="eastAsia" w:ascii="宋体" w:hAnsi="宋体" w:cs="宋体"/>
          <w:color w:val="auto"/>
          <w:szCs w:val="21"/>
          <w:highlight w:val="none"/>
        </w:rPr>
        <w:t>金额（元）：2,050,000.00</w:t>
      </w:r>
      <w:r>
        <w:rPr>
          <w:rFonts w:hint="eastAsia" w:ascii="宋体" w:hAnsi="宋体" w:cs="宋体"/>
          <w:color w:val="auto"/>
          <w:szCs w:val="21"/>
          <w:highlight w:val="none"/>
          <w:lang w:val="en-US" w:eastAsia="zh-CN"/>
        </w:rPr>
        <w:t>元</w:t>
      </w:r>
    </w:p>
    <w:p w14:paraId="246DD0E7">
      <w:pPr>
        <w:pageBreakBefore w:val="0"/>
        <w:widowControl w:val="0"/>
        <w:kinsoku/>
        <w:wordWrap/>
        <w:overflowPunct/>
        <w:topLinePunct w:val="0"/>
        <w:bidi w:val="0"/>
        <w:adjustRightInd/>
        <w:spacing w:line="380" w:lineRule="exact"/>
        <w:ind w:firstLine="420" w:firstLineChars="20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采购需求：工程量清单及施工图纸</w:t>
      </w:r>
      <w:r>
        <w:rPr>
          <w:rFonts w:hint="eastAsia" w:ascii="宋体" w:hAnsi="宋体" w:cs="宋体"/>
          <w:color w:val="auto"/>
          <w:szCs w:val="21"/>
          <w:highlight w:val="none"/>
          <w:lang w:val="en-US" w:eastAsia="zh-CN"/>
        </w:rPr>
        <w:t>所包含内容。</w:t>
      </w:r>
    </w:p>
    <w:p w14:paraId="4B55487A">
      <w:pPr>
        <w:pageBreakBefore w:val="0"/>
        <w:widowControl w:val="0"/>
        <w:kinsoku/>
        <w:wordWrap/>
        <w:overflowPunct/>
        <w:topLinePunct w:val="0"/>
        <w:bidi w:val="0"/>
        <w:adjustRightInd/>
        <w:spacing w:line="380" w:lineRule="exact"/>
        <w:ind w:left="420" w:leftChars="200" w:firstLine="0" w:firstLineChars="0"/>
        <w:textAlignment w:val="auto"/>
        <w:outlineLvl w:val="9"/>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u w:val="none"/>
          <w:lang w:val="en-US" w:eastAsia="zh-CN"/>
        </w:rPr>
        <w:t>2025年石埇镇石埇村委标准厂房建设项目</w:t>
      </w:r>
    </w:p>
    <w:p w14:paraId="004CCEE8">
      <w:pPr>
        <w:pageBreakBefore w:val="0"/>
        <w:widowControl w:val="0"/>
        <w:kinsoku/>
        <w:wordWrap/>
        <w:overflowPunct/>
        <w:topLinePunct w:val="0"/>
        <w:bidi w:val="0"/>
        <w:adjustRightInd/>
        <w:spacing w:line="380" w:lineRule="exact"/>
        <w:ind w:left="420" w:leftChars="200" w:firstLine="0" w:firstLineChars="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数量:不限</w:t>
      </w:r>
    </w:p>
    <w:p w14:paraId="6E1C9976">
      <w:pPr>
        <w:pageBreakBefore w:val="0"/>
        <w:widowControl w:val="0"/>
        <w:kinsoku/>
        <w:wordWrap/>
        <w:overflowPunct/>
        <w:topLinePunct w:val="0"/>
        <w:bidi w:val="0"/>
        <w:adjustRightInd/>
        <w:spacing w:line="380" w:lineRule="exact"/>
        <w:ind w:left="420" w:leftChars="200" w:firstLine="0" w:firstLineChars="0"/>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2,050,000.00元</w:t>
      </w:r>
    </w:p>
    <w:p w14:paraId="2DD86CA0">
      <w:pPr>
        <w:pageBreakBefore w:val="0"/>
        <w:widowControl w:val="0"/>
        <w:kinsoku/>
        <w:wordWrap/>
        <w:overflowPunct/>
        <w:topLinePunct w:val="0"/>
        <w:bidi w:val="0"/>
        <w:adjustRightInd/>
        <w:spacing w:line="380" w:lineRule="exact"/>
        <w:ind w:left="420" w:leftChars="200" w:firstLine="0" w:firstLineChars="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u w:val="none"/>
          <w:lang w:val="en-US" w:eastAsia="zh-CN"/>
        </w:rPr>
        <w:t>2025年石埇镇石埇村委标准厂房建设项目堂土建、安装部分；具体内容详见施工图纸</w:t>
      </w:r>
      <w:r>
        <w:rPr>
          <w:rFonts w:hint="eastAsia" w:ascii="宋体" w:hAnsi="宋体" w:cs="宋体"/>
          <w:color w:val="auto"/>
          <w:szCs w:val="21"/>
          <w:highlight w:val="none"/>
          <w:lang w:val="en-US" w:eastAsia="zh-CN"/>
        </w:rPr>
        <w:t>。</w:t>
      </w:r>
    </w:p>
    <w:p w14:paraId="4979995E">
      <w:pPr>
        <w:pageBreakBefore w:val="0"/>
        <w:widowControl w:val="0"/>
        <w:kinsoku/>
        <w:wordWrap/>
        <w:overflowPunct/>
        <w:topLinePunct w:val="0"/>
        <w:bidi w:val="0"/>
        <w:adjustRightInd/>
        <w:spacing w:line="380" w:lineRule="exact"/>
        <w:ind w:firstLine="420" w:firstLineChars="200"/>
        <w:textAlignment w:val="auto"/>
        <w:outlineLvl w:val="9"/>
        <w:rPr>
          <w:rFonts w:hint="default" w:ascii="宋体" w:hAnsi="宋体" w:cs="宋体"/>
          <w:color w:val="auto"/>
          <w:szCs w:val="21"/>
          <w:highlight w:val="none"/>
          <w:lang w:val="en-US"/>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1,899,977.73元</w:t>
      </w:r>
    </w:p>
    <w:p w14:paraId="4C51DA55">
      <w:pPr>
        <w:pageBreakBefore w:val="0"/>
        <w:widowControl w:val="0"/>
        <w:tabs>
          <w:tab w:val="center" w:pos="4536"/>
        </w:tabs>
        <w:kinsoku/>
        <w:wordWrap/>
        <w:overflowPunct/>
        <w:topLinePunct w:val="0"/>
        <w:bidi w:val="0"/>
        <w:adjustRightInd/>
        <w:spacing w:line="380" w:lineRule="exact"/>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合同履约期限：</w:t>
      </w:r>
      <w:r>
        <w:rPr>
          <w:rFonts w:hint="eastAsia" w:ascii="宋体" w:hAnsi="宋体" w:cs="宋体"/>
          <w:color w:val="auto"/>
          <w:szCs w:val="21"/>
          <w:highlight w:val="none"/>
          <w:lang w:eastAsia="zh-CN"/>
        </w:rPr>
        <w:t>施工工期</w:t>
      </w:r>
      <w:r>
        <w:rPr>
          <w:rFonts w:hint="eastAsia" w:ascii="宋体" w:hAnsi="宋体" w:cs="宋体"/>
          <w:color w:val="auto"/>
          <w:szCs w:val="21"/>
          <w:highlight w:val="none"/>
          <w:lang w:val="en-US" w:eastAsia="zh-CN"/>
        </w:rPr>
        <w:t>210</w:t>
      </w:r>
      <w:r>
        <w:rPr>
          <w:rFonts w:hint="eastAsia" w:ascii="宋体" w:hAnsi="宋体" w:cs="宋体"/>
          <w:color w:val="auto"/>
          <w:szCs w:val="21"/>
          <w:highlight w:val="none"/>
          <w:lang w:eastAsia="zh-CN"/>
        </w:rPr>
        <w:t>日历天</w:t>
      </w:r>
      <w:r>
        <w:rPr>
          <w:rFonts w:hint="eastAsia" w:ascii="宋体" w:hAnsi="宋体" w:cs="宋体"/>
          <w:color w:val="auto"/>
          <w:szCs w:val="21"/>
          <w:highlight w:val="none"/>
          <w:lang w:eastAsia="zh-CN"/>
        </w:rPr>
        <w:tab/>
      </w:r>
    </w:p>
    <w:p w14:paraId="19A0B347">
      <w:pPr>
        <w:pageBreakBefore w:val="0"/>
        <w:widowControl w:val="0"/>
        <w:kinsoku/>
        <w:wordWrap/>
        <w:overflowPunct/>
        <w:topLinePunct w:val="0"/>
        <w:bidi w:val="0"/>
        <w:adjustRightInd/>
        <w:spacing w:line="380" w:lineRule="exact"/>
        <w:ind w:left="420" w:leftChars="200" w:firstLine="0" w:firstLineChars="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本标项（否）接受联合体投标</w:t>
      </w:r>
    </w:p>
    <w:p w14:paraId="48EA5CB5">
      <w:pPr>
        <w:pageBreakBefore w:val="0"/>
        <w:widowControl w:val="0"/>
        <w:kinsoku/>
        <w:wordWrap/>
        <w:overflowPunct/>
        <w:topLinePunct w:val="0"/>
        <w:bidi w:val="0"/>
        <w:adjustRightInd/>
        <w:spacing w:line="380" w:lineRule="exact"/>
        <w:ind w:left="420" w:leftChars="200" w:firstLine="0" w:firstLineChars="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备注：</w:t>
      </w:r>
      <w:r>
        <w:rPr>
          <w:rFonts w:hint="eastAsia" w:ascii="宋体" w:hAnsi="宋体" w:cs="宋体"/>
          <w:color w:val="auto"/>
          <w:szCs w:val="21"/>
          <w:highlight w:val="none"/>
          <w:lang w:eastAsia="zh-CN"/>
        </w:rPr>
        <w:t>无</w:t>
      </w:r>
    </w:p>
    <w:p w14:paraId="2DB13200">
      <w:pPr>
        <w:pageBreakBefore w:val="0"/>
        <w:widowControl w:val="0"/>
        <w:kinsoku/>
        <w:wordWrap/>
        <w:overflowPunct/>
        <w:topLinePunct w:val="0"/>
        <w:bidi w:val="0"/>
        <w:adjustRightInd/>
        <w:spacing w:line="380" w:lineRule="exact"/>
        <w:textAlignment w:val="auto"/>
        <w:outlineLvl w:val="9"/>
        <w:rPr>
          <w:rFonts w:ascii="宋体" w:hAnsi="宋体" w:eastAsia="宋体" w:cs="宋体"/>
          <w:bCs w:val="0"/>
          <w:color w:val="auto"/>
          <w:sz w:val="21"/>
          <w:szCs w:val="21"/>
          <w:highlight w:val="none"/>
        </w:rPr>
      </w:pPr>
      <w:bookmarkStart w:id="10" w:name="_Toc28359013"/>
      <w:bookmarkStart w:id="11" w:name="_Toc28359090"/>
      <w:bookmarkStart w:id="12" w:name="_Toc35393799"/>
      <w:bookmarkStart w:id="13" w:name="_Toc21513"/>
      <w:bookmarkStart w:id="14" w:name="_Toc35393630"/>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127A6FED">
      <w:pPr>
        <w:pageBreakBefore w:val="0"/>
        <w:widowControl w:val="0"/>
        <w:kinsoku/>
        <w:wordWrap/>
        <w:overflowPunct/>
        <w:topLinePunct w:val="0"/>
        <w:bidi w:val="0"/>
        <w:adjustRightInd/>
        <w:snapToGrid w:val="0"/>
        <w:spacing w:line="380" w:lineRule="exact"/>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1B5B4B30">
      <w:pPr>
        <w:pageBreakBefore w:val="0"/>
        <w:widowControl w:val="0"/>
        <w:kinsoku/>
        <w:wordWrap/>
        <w:overflowPunct/>
        <w:topLinePunct w:val="0"/>
        <w:bidi w:val="0"/>
        <w:adjustRightInd/>
        <w:spacing w:line="380" w:lineRule="exact"/>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本项目属于专门面向</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lang w:eastAsia="zh-CN"/>
        </w:rPr>
        <w:t>小微企业采购的项目，供应商须为</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lang w:eastAsia="zh-CN"/>
        </w:rPr>
        <w:t>小微企业或监狱企业或残疾人福利性单位。</w:t>
      </w:r>
    </w:p>
    <w:p w14:paraId="328F76C5">
      <w:pPr>
        <w:pStyle w:val="10"/>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bookmarkStart w:id="15" w:name="_Toc28359091"/>
      <w:bookmarkStart w:id="16" w:name="_Toc28359014"/>
      <w:r>
        <w:rPr>
          <w:rFonts w:hint="eastAsia" w:hAnsi="宋体" w:cs="宋体"/>
          <w:color w:val="auto"/>
          <w:sz w:val="21"/>
          <w:szCs w:val="21"/>
          <w:highlight w:val="none"/>
        </w:rPr>
        <w:t>3.本项目的特定资格要求：</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）竞标人须具备建筑工程施工总承包三级（含三级）以上资质以及有效的安全生产许可证，在人员、设备、资金等方面具备相应的施工能力</w:t>
      </w:r>
      <w:r>
        <w:rPr>
          <w:rFonts w:hint="eastAsia" w:hAnsi="宋体" w:cs="宋体"/>
          <w:color w:val="auto"/>
          <w:sz w:val="21"/>
          <w:szCs w:val="21"/>
          <w:highlight w:val="none"/>
          <w:lang w:val="en-US" w:eastAsia="zh-CN"/>
        </w:rPr>
        <w:t>。</w:t>
      </w:r>
      <w:r>
        <w:rPr>
          <w:rFonts w:hint="eastAsia" w:hAnsi="宋体" w:cs="宋体"/>
          <w:color w:val="auto"/>
          <w:kern w:val="0"/>
          <w:sz w:val="21"/>
          <w:szCs w:val="21"/>
          <w:highlight w:val="none"/>
          <w:lang w:val="en-US" w:eastAsia="zh-CN" w:bidi="ar-SA"/>
        </w:rPr>
        <w:t>（2）</w:t>
      </w:r>
      <w:r>
        <w:rPr>
          <w:rFonts w:hint="eastAsia" w:ascii="宋体" w:hAnsi="宋体" w:eastAsia="宋体" w:cs="宋体"/>
          <w:color w:val="auto"/>
          <w:sz w:val="21"/>
          <w:szCs w:val="21"/>
          <w:highlight w:val="none"/>
          <w:lang w:val="en-US" w:eastAsia="zh-CN"/>
        </w:rPr>
        <w:t>拟投入本工程的项目经理必须</w:t>
      </w:r>
      <w:r>
        <w:rPr>
          <w:rFonts w:hint="eastAsia" w:asciiTheme="minorEastAsia" w:hAnsiTheme="minorEastAsia" w:eastAsiaTheme="minorEastAsia" w:cstheme="minorEastAsia"/>
          <w:color w:val="auto"/>
          <w:sz w:val="21"/>
          <w:szCs w:val="21"/>
          <w:highlight w:val="none"/>
          <w:lang w:eastAsia="zh-CN"/>
        </w:rPr>
        <w:t>具备建筑工程专业二级（含二级）以上注册建造师执业资格，且具备有效的安全生产考核合格证书（B类）</w:t>
      </w:r>
      <w:r>
        <w:rPr>
          <w:rFonts w:hint="eastAsia" w:ascii="宋体" w:hAnsi="宋体" w:eastAsia="宋体" w:cs="宋体"/>
          <w:color w:val="auto"/>
          <w:sz w:val="21"/>
          <w:szCs w:val="21"/>
          <w:highlight w:val="none"/>
          <w:lang w:val="en-US" w:eastAsia="zh-CN"/>
        </w:rPr>
        <w:t>。</w:t>
      </w:r>
    </w:p>
    <w:p w14:paraId="68E08E32">
      <w:pPr>
        <w:pageBreakBefore w:val="0"/>
        <w:widowControl w:val="0"/>
        <w:kinsoku/>
        <w:wordWrap/>
        <w:overflowPunct/>
        <w:topLinePunct w:val="0"/>
        <w:bidi w:val="0"/>
        <w:adjustRightInd/>
        <w:spacing w:line="380" w:lineRule="exact"/>
        <w:textAlignment w:val="auto"/>
        <w:outlineLvl w:val="9"/>
        <w:rPr>
          <w:rFonts w:hint="eastAsia" w:ascii="宋体" w:hAnsi="宋体" w:eastAsia="宋体" w:cs="宋体"/>
          <w:bCs w:val="0"/>
          <w:color w:val="auto"/>
          <w:sz w:val="21"/>
          <w:szCs w:val="21"/>
          <w:highlight w:val="none"/>
        </w:rPr>
      </w:pPr>
      <w:bookmarkStart w:id="17" w:name="_Toc35393631"/>
      <w:bookmarkStart w:id="18" w:name="_Toc35393800"/>
      <w:bookmarkStart w:id="19" w:name="_Toc9125"/>
      <w:bookmarkStart w:id="20" w:name="_Toc13777"/>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79C55A21">
      <w:pPr>
        <w:pageBreakBefore w:val="0"/>
        <w:widowControl w:val="0"/>
        <w:kinsoku/>
        <w:wordWrap/>
        <w:overflowPunct/>
        <w:topLinePunct w:val="0"/>
        <w:bidi w:val="0"/>
        <w:adjustRightInd/>
        <w:spacing w:line="380" w:lineRule="exact"/>
        <w:ind w:firstLine="420" w:firstLineChars="200"/>
        <w:textAlignment w:val="auto"/>
        <w:outlineLvl w:val="9"/>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时间：</w:t>
      </w:r>
      <w:r>
        <w:rPr>
          <w:rFonts w:hint="eastAsia" w:ascii="宋体" w:hAnsi="宋体" w:cs="宋体"/>
          <w:color w:val="auto"/>
          <w:szCs w:val="21"/>
          <w:highlight w:val="none"/>
          <w:u w:val="none"/>
          <w:lang w:val="en-US" w:eastAsia="zh-CN"/>
        </w:rPr>
        <w:t>2025</w:t>
      </w:r>
      <w:r>
        <w:rPr>
          <w:rFonts w:hint="eastAsia" w:ascii="宋体" w:hAnsi="宋体" w:cs="宋体"/>
          <w:color w:val="auto"/>
          <w:szCs w:val="21"/>
          <w:highlight w:val="none"/>
          <w:u w:val="none"/>
          <w:lang w:eastAsia="zh-CN"/>
        </w:rPr>
        <w:t>年</w:t>
      </w:r>
      <w:r>
        <w:rPr>
          <w:rFonts w:hint="eastAsia" w:ascii="宋体" w:hAnsi="宋体" w:cs="宋体"/>
          <w:color w:val="auto"/>
          <w:szCs w:val="21"/>
          <w:highlight w:val="none"/>
          <w:u w:val="none"/>
          <w:lang w:val="en-US" w:eastAsia="zh-CN"/>
        </w:rPr>
        <w:t>4</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24</w:t>
      </w:r>
      <w:r>
        <w:rPr>
          <w:rFonts w:hint="eastAsia" w:ascii="宋体" w:hAnsi="宋体" w:cs="宋体"/>
          <w:color w:val="auto"/>
          <w:szCs w:val="21"/>
          <w:highlight w:val="none"/>
          <w:u w:val="none"/>
        </w:rPr>
        <w:t>日至</w:t>
      </w:r>
      <w:r>
        <w:rPr>
          <w:rFonts w:hint="eastAsia" w:ascii="宋体" w:hAnsi="宋体" w:cs="宋体"/>
          <w:color w:val="auto"/>
          <w:szCs w:val="21"/>
          <w:highlight w:val="none"/>
          <w:u w:val="none"/>
          <w:lang w:val="en-US" w:eastAsia="zh-CN"/>
        </w:rPr>
        <w:t>2025</w:t>
      </w:r>
      <w:r>
        <w:rPr>
          <w:rFonts w:hint="eastAsia" w:ascii="宋体" w:hAnsi="宋体" w:cs="宋体"/>
          <w:color w:val="auto"/>
          <w:szCs w:val="21"/>
          <w:highlight w:val="none"/>
          <w:u w:val="none"/>
          <w:lang w:eastAsia="zh-CN"/>
        </w:rPr>
        <w:t>年</w:t>
      </w:r>
      <w:r>
        <w:rPr>
          <w:rFonts w:hint="eastAsia" w:ascii="宋体" w:hAnsi="宋体" w:cs="宋体"/>
          <w:color w:val="auto"/>
          <w:szCs w:val="21"/>
          <w:highlight w:val="none"/>
          <w:u w:val="none"/>
          <w:lang w:val="en-US" w:eastAsia="zh-CN"/>
        </w:rPr>
        <w:t>4</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30</w:t>
      </w:r>
      <w:r>
        <w:rPr>
          <w:rFonts w:hint="eastAsia" w:ascii="宋体" w:hAnsi="宋体" w:cs="宋体"/>
          <w:color w:val="auto"/>
          <w:szCs w:val="21"/>
          <w:highlight w:val="none"/>
          <w:u w:val="none"/>
        </w:rPr>
        <w:t>日，每天上午8:00至12:00，下午</w:t>
      </w:r>
      <w:r>
        <w:rPr>
          <w:rFonts w:hint="eastAsia" w:ascii="宋体" w:hAnsi="宋体" w:cs="宋体"/>
          <w:color w:val="auto"/>
          <w:szCs w:val="21"/>
          <w:highlight w:val="none"/>
          <w:u w:val="none"/>
          <w:lang w:val="en-US" w:eastAsia="zh-CN"/>
        </w:rPr>
        <w:t>15</w:t>
      </w:r>
      <w:r>
        <w:rPr>
          <w:rFonts w:hint="eastAsia" w:ascii="宋体" w:hAnsi="宋体" w:cs="宋体"/>
          <w:color w:val="auto"/>
          <w:szCs w:val="21"/>
          <w:highlight w:val="none"/>
          <w:u w:val="none"/>
        </w:rPr>
        <w:t>:00至</w:t>
      </w:r>
      <w:r>
        <w:rPr>
          <w:rFonts w:hint="eastAsia" w:ascii="宋体" w:hAnsi="宋体" w:cs="宋体"/>
          <w:color w:val="auto"/>
          <w:szCs w:val="21"/>
          <w:highlight w:val="none"/>
          <w:u w:val="none"/>
          <w:lang w:val="en-US" w:eastAsia="zh-CN"/>
        </w:rPr>
        <w:t>18</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val="en-US" w:eastAsia="zh-CN"/>
        </w:rPr>
        <w:t>00</w:t>
      </w:r>
      <w:r>
        <w:rPr>
          <w:rFonts w:hint="eastAsia" w:ascii="宋体" w:hAnsi="宋体" w:cs="宋体"/>
          <w:color w:val="auto"/>
          <w:szCs w:val="21"/>
          <w:highlight w:val="none"/>
          <w:u w:val="none"/>
        </w:rPr>
        <w:t>（北京时间，法定节假日除外）</w:t>
      </w:r>
      <w:r>
        <w:rPr>
          <w:rFonts w:hint="eastAsia" w:ascii="宋体" w:hAnsi="宋体" w:cs="宋体"/>
          <w:color w:val="auto"/>
          <w:szCs w:val="21"/>
          <w:highlight w:val="none"/>
          <w:u w:val="none"/>
          <w:lang w:eastAsia="zh-CN"/>
        </w:rPr>
        <w:t>。</w:t>
      </w:r>
    </w:p>
    <w:p w14:paraId="7D799A01">
      <w:pPr>
        <w:keepNext w:val="0"/>
        <w:keepLines w:val="0"/>
        <w:pageBreakBefore w:val="0"/>
        <w:widowControl w:val="0"/>
        <w:kinsoku/>
        <w:wordWrap/>
        <w:overflowPunct/>
        <w:topLinePunct w:val="0"/>
        <w:autoSpaceDE/>
        <w:autoSpaceDN/>
        <w:bidi w:val="0"/>
        <w:adjustRightInd/>
        <w:spacing w:line="380" w:lineRule="exact"/>
        <w:ind w:left="0" w:leftChars="0" w:firstLine="367" w:firstLineChars="175"/>
        <w:textAlignment w:val="auto"/>
        <w:outlineLvl w:val="9"/>
        <w:rPr>
          <w:rFonts w:hint="eastAsia" w:ascii="宋体" w:hAnsi="宋体" w:eastAsia="宋体" w:cs="宋体"/>
          <w:iCs/>
          <w:color w:val="auto"/>
          <w:spacing w:val="0"/>
          <w:sz w:val="21"/>
          <w:szCs w:val="21"/>
          <w:highlight w:val="none"/>
          <w:u w:val="none"/>
          <w:lang w:eastAsia="zh-CN"/>
        </w:rPr>
      </w:pPr>
      <w:r>
        <w:rPr>
          <w:rFonts w:hint="eastAsia" w:ascii="宋体" w:hAnsi="宋体" w:eastAsia="宋体" w:cs="宋体"/>
          <w:color w:val="auto"/>
          <w:spacing w:val="0"/>
          <w:sz w:val="21"/>
          <w:szCs w:val="21"/>
          <w:highlight w:val="none"/>
          <w:u w:val="none"/>
        </w:rPr>
        <w:t>地</w:t>
      </w:r>
      <w:r>
        <w:rPr>
          <w:rFonts w:hint="eastAsia" w:ascii="宋体" w:hAnsi="宋体" w:cs="宋体"/>
          <w:color w:val="auto"/>
          <w:spacing w:val="0"/>
          <w:sz w:val="21"/>
          <w:szCs w:val="21"/>
          <w:highlight w:val="none"/>
          <w:u w:val="none"/>
          <w:lang w:eastAsia="zh-CN"/>
        </w:rPr>
        <w:t>点</w:t>
      </w:r>
      <w:r>
        <w:rPr>
          <w:rFonts w:hint="eastAsia" w:ascii="宋体" w:hAnsi="宋体" w:cs="宋体"/>
          <w:color w:val="auto"/>
          <w:spacing w:val="0"/>
          <w:sz w:val="21"/>
          <w:szCs w:val="21"/>
          <w:highlight w:val="none"/>
          <w:u w:val="none"/>
          <w:lang w:val="en-US" w:eastAsia="zh-CN"/>
        </w:rPr>
        <w:t>（网址）</w:t>
      </w:r>
      <w:r>
        <w:rPr>
          <w:rFonts w:hint="eastAsia" w:ascii="宋体" w:hAnsi="宋体" w:eastAsia="宋体" w:cs="宋体"/>
          <w:color w:val="auto"/>
          <w:spacing w:val="0"/>
          <w:sz w:val="21"/>
          <w:szCs w:val="21"/>
          <w:highlight w:val="none"/>
          <w:u w:val="none"/>
          <w:lang w:val="en-US" w:eastAsia="zh-CN"/>
        </w:rPr>
        <w:t>：</w:t>
      </w:r>
      <w:r>
        <w:rPr>
          <w:rFonts w:hint="eastAsia" w:ascii="宋体" w:hAnsi="宋体" w:cs="Times New Roman"/>
          <w:color w:val="auto"/>
          <w:szCs w:val="21"/>
          <w:highlight w:val="none"/>
          <w:u w:val="none"/>
          <w:lang w:eastAsia="zh-CN"/>
        </w:rPr>
        <w:t>广西政府采购云平台</w:t>
      </w:r>
      <w:r>
        <w:rPr>
          <w:rFonts w:hint="eastAsia" w:ascii="宋体" w:hAnsi="宋体" w:eastAsia="宋体" w:cs="Times New Roman"/>
          <w:color w:val="auto"/>
          <w:szCs w:val="21"/>
          <w:highlight w:val="none"/>
          <w:u w:val="none"/>
        </w:rPr>
        <w:t>（</w:t>
      </w:r>
      <w:r>
        <w:rPr>
          <w:rFonts w:hint="eastAsia" w:ascii="宋体" w:hAnsi="宋体" w:cs="Times New Roman"/>
          <w:color w:val="auto"/>
          <w:szCs w:val="21"/>
          <w:highlight w:val="none"/>
          <w:u w:val="none"/>
          <w:lang w:eastAsia="zh-CN"/>
        </w:rPr>
        <w:t>https://www.gcy.zfcg.gxzf.gov.cn</w:t>
      </w:r>
      <w:r>
        <w:rPr>
          <w:rFonts w:hint="eastAsia" w:ascii="宋体" w:hAnsi="宋体" w:eastAsia="宋体" w:cs="Times New Roman"/>
          <w:color w:val="auto"/>
          <w:szCs w:val="21"/>
          <w:highlight w:val="none"/>
          <w:u w:val="none"/>
        </w:rPr>
        <w:t>）</w:t>
      </w:r>
    </w:p>
    <w:p w14:paraId="25102CE5">
      <w:pPr>
        <w:keepNext w:val="0"/>
        <w:keepLines w:val="0"/>
        <w:pageBreakBefore w:val="0"/>
        <w:widowControl w:val="0"/>
        <w:kinsoku/>
        <w:wordWrap/>
        <w:overflowPunct/>
        <w:topLinePunct w:val="0"/>
        <w:autoSpaceDE/>
        <w:autoSpaceDN/>
        <w:bidi w:val="0"/>
        <w:adjustRightInd/>
        <w:snapToGrid w:val="0"/>
        <w:spacing w:line="380" w:lineRule="exact"/>
        <w:ind w:left="0" w:leftChars="0" w:firstLine="367" w:firstLineChars="175"/>
        <w:textAlignment w:val="auto"/>
        <w:outlineLvl w:val="9"/>
        <w:rPr>
          <w:color w:val="auto"/>
          <w:highlight w:val="none"/>
        </w:rPr>
      </w:pPr>
      <w:r>
        <w:rPr>
          <w:rFonts w:hint="eastAsia" w:ascii="宋体" w:hAnsi="宋体"/>
          <w:color w:val="auto"/>
          <w:szCs w:val="21"/>
          <w:highlight w:val="none"/>
        </w:rPr>
        <w:t>方式</w:t>
      </w:r>
      <w:r>
        <w:rPr>
          <w:rFonts w:hint="eastAsia" w:ascii="宋体" w:hAnsi="宋体"/>
          <w:color w:val="auto"/>
          <w:szCs w:val="21"/>
          <w:highlight w:val="none"/>
          <w:lang w:eastAsia="zh-CN"/>
        </w:rPr>
        <w:t>：请登录广西政府采购云平台（https://www.gcy.zfcg.gxzf.gov.cn/）进行报名并获取采购文件；未注册的供应商可在广西政府采购云平台完成注册后再行报名。如在操作过程中遇到问题或需技术支持，请致电广西政府采购云平台客服热线：95763。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8EF3409">
      <w:pPr>
        <w:pageBreakBefore w:val="0"/>
        <w:widowControl w:val="0"/>
        <w:kinsoku/>
        <w:wordWrap/>
        <w:overflowPunct/>
        <w:topLinePunct w:val="0"/>
        <w:bidi w:val="0"/>
        <w:adjustRightInd/>
        <w:spacing w:line="380" w:lineRule="exact"/>
        <w:textAlignment w:val="auto"/>
        <w:outlineLvl w:val="9"/>
        <w:rPr>
          <w:rFonts w:ascii="宋体" w:hAnsi="宋体" w:eastAsia="宋体" w:cs="宋体"/>
          <w:bCs w:val="0"/>
          <w:color w:val="auto"/>
          <w:sz w:val="21"/>
          <w:szCs w:val="21"/>
          <w:highlight w:val="none"/>
        </w:rPr>
      </w:pPr>
      <w:bookmarkStart w:id="21" w:name="_Toc18110"/>
      <w:bookmarkStart w:id="22" w:name="_Toc28359015"/>
      <w:bookmarkStart w:id="23" w:name="_Toc28359092"/>
      <w:bookmarkStart w:id="24" w:name="_Toc35393632"/>
      <w:bookmarkStart w:id="25" w:name="_Toc35393801"/>
      <w:bookmarkStart w:id="26" w:name="_Toc28970"/>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6EE263FA">
      <w:pPr>
        <w:keepNext w:val="0"/>
        <w:keepLines w:val="0"/>
        <w:pageBreakBefore w:val="0"/>
        <w:widowControl w:val="0"/>
        <w:kinsoku/>
        <w:wordWrap/>
        <w:overflowPunct/>
        <w:topLinePunct w:val="0"/>
        <w:autoSpaceDE/>
        <w:autoSpaceDN/>
        <w:bidi w:val="0"/>
        <w:adjustRightInd/>
        <w:spacing w:line="380" w:lineRule="exact"/>
        <w:ind w:left="0" w:leftChars="0" w:firstLine="367" w:firstLineChars="175"/>
        <w:textAlignment w:val="auto"/>
        <w:outlineLvl w:val="9"/>
        <w:rPr>
          <w:rFonts w:hint="eastAsia" w:ascii="宋体" w:hAnsi="宋体" w:eastAsia="宋体" w:cs="宋体"/>
          <w:color w:val="auto"/>
          <w:szCs w:val="21"/>
          <w:highlight w:val="none"/>
          <w:u w:val="none"/>
          <w:lang w:eastAsia="zh-CN"/>
        </w:rPr>
      </w:pPr>
      <w:r>
        <w:rPr>
          <w:rFonts w:hint="eastAsia" w:ascii="宋体" w:hAnsi="宋体"/>
          <w:bCs/>
          <w:color w:val="auto"/>
          <w:szCs w:val="21"/>
          <w:highlight w:val="none"/>
          <w:u w:val="none"/>
        </w:rPr>
        <w:t>截止时间：</w:t>
      </w:r>
      <w:r>
        <w:rPr>
          <w:rFonts w:hint="eastAsia" w:ascii="宋体" w:hAnsi="宋体" w:cs="宋体"/>
          <w:color w:val="auto"/>
          <w:szCs w:val="21"/>
          <w:highlight w:val="none"/>
          <w:u w:val="none"/>
          <w:lang w:eastAsia="zh-CN"/>
        </w:rPr>
        <w:t>2025年5月8日14 时30分</w:t>
      </w:r>
      <w:r>
        <w:rPr>
          <w:rFonts w:hint="eastAsia" w:ascii="宋体" w:hAnsi="宋体"/>
          <w:bCs/>
          <w:color w:val="auto"/>
          <w:szCs w:val="21"/>
          <w:highlight w:val="none"/>
          <w:u w:val="none"/>
        </w:rPr>
        <w:t>（北京时间）</w:t>
      </w:r>
    </w:p>
    <w:p w14:paraId="71461F1C">
      <w:pPr>
        <w:keepNext w:val="0"/>
        <w:keepLines w:val="0"/>
        <w:pageBreakBefore w:val="0"/>
        <w:widowControl w:val="0"/>
        <w:kinsoku/>
        <w:wordWrap/>
        <w:overflowPunct/>
        <w:topLinePunct w:val="0"/>
        <w:autoSpaceDE/>
        <w:autoSpaceDN/>
        <w:bidi w:val="0"/>
        <w:adjustRightInd/>
        <w:spacing w:line="380" w:lineRule="exact"/>
        <w:ind w:left="0" w:leftChars="0" w:firstLine="367" w:firstLineChars="175"/>
        <w:textAlignment w:val="auto"/>
        <w:outlineLvl w:val="9"/>
        <w:rPr>
          <w:rFonts w:ascii="宋体" w:hAnsi="宋体" w:cs="宋体"/>
          <w:bCs/>
          <w:color w:val="auto"/>
          <w:szCs w:val="21"/>
          <w:highlight w:val="none"/>
          <w:u w:val="none"/>
        </w:rPr>
      </w:pPr>
      <w:r>
        <w:rPr>
          <w:rFonts w:hint="eastAsia" w:ascii="宋体" w:hAnsi="宋体"/>
          <w:color w:val="auto"/>
          <w:szCs w:val="21"/>
          <w:highlight w:val="none"/>
          <w:u w:val="none"/>
        </w:rPr>
        <w:t>地点（网址）：</w:t>
      </w:r>
      <w:r>
        <w:rPr>
          <w:rFonts w:hint="eastAsia" w:ascii="宋体" w:hAnsi="宋体" w:cs="宋体"/>
          <w:bCs/>
          <w:color w:val="auto"/>
          <w:szCs w:val="21"/>
          <w:highlight w:val="none"/>
        </w:rPr>
        <w:t>通过</w:t>
      </w:r>
      <w:r>
        <w:rPr>
          <w:rFonts w:hint="eastAsia" w:ascii="宋体" w:hAnsi="宋体" w:cs="宋体"/>
          <w:color w:val="auto"/>
          <w:highlight w:val="none"/>
          <w:lang w:eastAsia="zh-CN"/>
        </w:rPr>
        <w:t>广西政府采购云平台</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https://www.gcy.zfcg.gxzf.gov.cn</w:t>
      </w:r>
      <w:r>
        <w:rPr>
          <w:rFonts w:hint="eastAsia" w:ascii="宋体" w:hAnsi="宋体" w:cs="宋体"/>
          <w:bCs/>
          <w:color w:val="auto"/>
          <w:szCs w:val="21"/>
          <w:highlight w:val="none"/>
        </w:rPr>
        <w:t>/）</w:t>
      </w:r>
      <w:r>
        <w:rPr>
          <w:rFonts w:hint="eastAsia" w:ascii="宋体" w:hAnsi="宋体" w:cs="宋体"/>
          <w:color w:val="auto"/>
          <w:szCs w:val="21"/>
          <w:highlight w:val="none"/>
        </w:rPr>
        <w:t>上传响应文件，并在线竞标。</w:t>
      </w:r>
    </w:p>
    <w:p w14:paraId="6C3697F6">
      <w:pPr>
        <w:pageBreakBefore w:val="0"/>
        <w:widowControl w:val="0"/>
        <w:kinsoku/>
        <w:wordWrap/>
        <w:overflowPunct/>
        <w:topLinePunct w:val="0"/>
        <w:bidi w:val="0"/>
        <w:adjustRightInd/>
        <w:spacing w:line="380" w:lineRule="exact"/>
        <w:textAlignment w:val="auto"/>
        <w:outlineLvl w:val="9"/>
        <w:rPr>
          <w:rFonts w:ascii="宋体" w:hAnsi="宋体" w:eastAsia="宋体" w:cs="宋体"/>
          <w:bCs w:val="0"/>
          <w:color w:val="auto"/>
          <w:sz w:val="21"/>
          <w:szCs w:val="21"/>
          <w:highlight w:val="none"/>
          <w:u w:val="none"/>
        </w:rPr>
      </w:pPr>
      <w:bookmarkStart w:id="27" w:name="_Toc35393802"/>
      <w:bookmarkStart w:id="28" w:name="_Toc3197"/>
      <w:bookmarkStart w:id="29" w:name="_Toc28359093"/>
      <w:bookmarkStart w:id="30" w:name="_Toc35393633"/>
      <w:bookmarkStart w:id="31" w:name="_Toc24973"/>
      <w:bookmarkStart w:id="32" w:name="_Toc28359016"/>
      <w:r>
        <w:rPr>
          <w:rFonts w:hint="eastAsia" w:ascii="宋体" w:hAnsi="宋体" w:eastAsia="宋体" w:cs="宋体"/>
          <w:bCs w:val="0"/>
          <w:color w:val="auto"/>
          <w:sz w:val="21"/>
          <w:szCs w:val="21"/>
          <w:highlight w:val="none"/>
          <w:u w:val="none"/>
        </w:rPr>
        <w:t>五、响应文件开启</w:t>
      </w:r>
      <w:bookmarkEnd w:id="27"/>
      <w:bookmarkEnd w:id="28"/>
      <w:bookmarkEnd w:id="29"/>
      <w:bookmarkEnd w:id="30"/>
      <w:bookmarkEnd w:id="31"/>
      <w:bookmarkEnd w:id="32"/>
    </w:p>
    <w:p w14:paraId="0D0F0588">
      <w:pPr>
        <w:keepNext w:val="0"/>
        <w:keepLines w:val="0"/>
        <w:pageBreakBefore w:val="0"/>
        <w:widowControl w:val="0"/>
        <w:kinsoku/>
        <w:wordWrap/>
        <w:overflowPunct/>
        <w:topLinePunct w:val="0"/>
        <w:autoSpaceDE/>
        <w:autoSpaceDN/>
        <w:bidi w:val="0"/>
        <w:adjustRightInd/>
        <w:spacing w:line="380" w:lineRule="exact"/>
        <w:ind w:left="0" w:leftChars="0" w:firstLine="367" w:firstLineChars="175"/>
        <w:textAlignment w:val="auto"/>
        <w:outlineLvl w:val="9"/>
        <w:rPr>
          <w:rFonts w:hint="eastAsia" w:ascii="宋体" w:hAnsi="宋体" w:eastAsia="宋体"/>
          <w:bCs/>
          <w:color w:val="auto"/>
          <w:szCs w:val="21"/>
          <w:highlight w:val="none"/>
          <w:u w:val="none"/>
          <w:lang w:eastAsia="zh-CN"/>
        </w:rPr>
      </w:pPr>
      <w:r>
        <w:rPr>
          <w:rFonts w:hint="eastAsia" w:ascii="宋体" w:hAnsi="宋体"/>
          <w:bCs/>
          <w:color w:val="auto"/>
          <w:szCs w:val="21"/>
          <w:highlight w:val="none"/>
          <w:u w:val="none"/>
        </w:rPr>
        <w:t>开启时间：</w:t>
      </w:r>
      <w:r>
        <w:rPr>
          <w:rFonts w:hint="eastAsia" w:ascii="宋体" w:hAnsi="宋体" w:cs="宋体"/>
          <w:color w:val="auto"/>
          <w:szCs w:val="21"/>
          <w:highlight w:val="none"/>
          <w:u w:val="none"/>
          <w:lang w:eastAsia="zh-CN"/>
        </w:rPr>
        <w:t>2025年5月8日14 时30分</w:t>
      </w:r>
      <w:r>
        <w:rPr>
          <w:rFonts w:hint="eastAsia" w:ascii="宋体" w:hAnsi="宋体"/>
          <w:bCs/>
          <w:color w:val="auto"/>
          <w:szCs w:val="21"/>
          <w:highlight w:val="none"/>
          <w:u w:val="none"/>
        </w:rPr>
        <w:t>（北京时间）</w:t>
      </w:r>
    </w:p>
    <w:p w14:paraId="681CB8A7">
      <w:pPr>
        <w:pageBreakBefore w:val="0"/>
        <w:widowControl w:val="0"/>
        <w:kinsoku/>
        <w:wordWrap/>
        <w:overflowPunct/>
        <w:topLinePunct w:val="0"/>
        <w:bidi w:val="0"/>
        <w:adjustRightInd/>
        <w:spacing w:line="380" w:lineRule="exact"/>
        <w:ind w:firstLine="420" w:firstLineChars="200"/>
        <w:textAlignment w:val="auto"/>
        <w:outlineLvl w:val="9"/>
        <w:rPr>
          <w:rFonts w:hint="eastAsia" w:ascii="宋体" w:hAnsi="宋体" w:eastAsia="宋体" w:cs="宋体"/>
          <w:bCs/>
          <w:color w:val="auto"/>
          <w:szCs w:val="21"/>
          <w:highlight w:val="none"/>
          <w:u w:val="none"/>
          <w:lang w:eastAsia="zh-CN"/>
        </w:rPr>
      </w:pPr>
      <w:r>
        <w:rPr>
          <w:rFonts w:hint="eastAsia" w:ascii="宋体" w:hAnsi="宋体"/>
          <w:bCs/>
          <w:color w:val="auto"/>
          <w:szCs w:val="21"/>
          <w:highlight w:val="none"/>
          <w:u w:val="none"/>
        </w:rPr>
        <w:t>地点：</w:t>
      </w:r>
      <w:r>
        <w:rPr>
          <w:rFonts w:hint="eastAsia" w:ascii="宋体" w:hAnsi="宋体"/>
          <w:bCs/>
          <w:color w:val="auto"/>
        </w:rPr>
        <w:t>广西政府采购云平台电子开标大厅</w:t>
      </w:r>
      <w:r>
        <w:rPr>
          <w:rFonts w:hint="eastAsia" w:ascii="宋体" w:hAnsi="宋体"/>
          <w:bCs/>
          <w:color w:val="auto"/>
          <w:szCs w:val="21"/>
          <w:highlight w:val="none"/>
          <w:u w:val="none"/>
        </w:rPr>
        <w:t> </w:t>
      </w:r>
    </w:p>
    <w:p w14:paraId="2F54DB3D">
      <w:pPr>
        <w:pageBreakBefore w:val="0"/>
        <w:widowControl w:val="0"/>
        <w:kinsoku/>
        <w:wordWrap/>
        <w:overflowPunct/>
        <w:topLinePunct w:val="0"/>
        <w:bidi w:val="0"/>
        <w:adjustRightInd/>
        <w:spacing w:line="380" w:lineRule="exact"/>
        <w:textAlignment w:val="auto"/>
        <w:outlineLvl w:val="9"/>
        <w:rPr>
          <w:rFonts w:ascii="宋体" w:hAnsi="宋体" w:eastAsia="宋体" w:cs="宋体"/>
          <w:bCs w:val="0"/>
          <w:color w:val="auto"/>
          <w:sz w:val="21"/>
          <w:szCs w:val="21"/>
          <w:highlight w:val="none"/>
          <w:u w:val="none"/>
        </w:rPr>
      </w:pPr>
      <w:bookmarkStart w:id="33" w:name="_Toc35393803"/>
      <w:bookmarkStart w:id="34" w:name="_Toc28359094"/>
      <w:bookmarkStart w:id="35" w:name="_Toc5452"/>
      <w:bookmarkStart w:id="36" w:name="_Toc28359017"/>
      <w:bookmarkStart w:id="37" w:name="_Toc35393634"/>
      <w:bookmarkStart w:id="38" w:name="_Toc17419"/>
      <w:r>
        <w:rPr>
          <w:rFonts w:hint="eastAsia" w:ascii="宋体" w:hAnsi="宋体" w:eastAsia="宋体" w:cs="宋体"/>
          <w:bCs w:val="0"/>
          <w:color w:val="auto"/>
          <w:sz w:val="21"/>
          <w:szCs w:val="21"/>
          <w:highlight w:val="none"/>
          <w:u w:val="none"/>
        </w:rPr>
        <w:t>六、公告期限</w:t>
      </w:r>
      <w:bookmarkEnd w:id="33"/>
      <w:bookmarkEnd w:id="34"/>
      <w:bookmarkEnd w:id="35"/>
      <w:bookmarkEnd w:id="36"/>
      <w:bookmarkEnd w:id="37"/>
      <w:bookmarkEnd w:id="38"/>
    </w:p>
    <w:p w14:paraId="64700ECC">
      <w:pPr>
        <w:pageBreakBefore w:val="0"/>
        <w:widowControl w:val="0"/>
        <w:kinsoku/>
        <w:wordWrap/>
        <w:overflowPunct/>
        <w:topLinePunct w:val="0"/>
        <w:bidi w:val="0"/>
        <w:adjustRightInd/>
        <w:spacing w:line="380" w:lineRule="exact"/>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5585E5A3">
      <w:pPr>
        <w:pageBreakBefore w:val="0"/>
        <w:widowControl w:val="0"/>
        <w:kinsoku/>
        <w:wordWrap/>
        <w:overflowPunct/>
        <w:topLinePunct w:val="0"/>
        <w:bidi w:val="0"/>
        <w:adjustRightInd/>
        <w:spacing w:line="380" w:lineRule="exact"/>
        <w:textAlignment w:val="auto"/>
        <w:outlineLvl w:val="9"/>
        <w:rPr>
          <w:rFonts w:ascii="宋体" w:hAnsi="宋体" w:eastAsia="宋体" w:cs="宋体"/>
          <w:bCs w:val="0"/>
          <w:color w:val="auto"/>
          <w:sz w:val="21"/>
          <w:szCs w:val="21"/>
          <w:highlight w:val="none"/>
        </w:rPr>
      </w:pPr>
      <w:bookmarkStart w:id="39" w:name="_Toc35393804"/>
      <w:bookmarkStart w:id="40" w:name="_Toc26297"/>
      <w:bookmarkStart w:id="41" w:name="_Toc321"/>
      <w:bookmarkStart w:id="42" w:name="_Toc35393635"/>
      <w:r>
        <w:rPr>
          <w:rFonts w:hint="eastAsia" w:ascii="宋体" w:hAnsi="宋体" w:eastAsia="宋体" w:cs="宋体"/>
          <w:bCs w:val="0"/>
          <w:color w:val="auto"/>
          <w:sz w:val="21"/>
          <w:szCs w:val="21"/>
          <w:highlight w:val="none"/>
        </w:rPr>
        <w:t>七、其他补充事宜</w:t>
      </w:r>
      <w:bookmarkEnd w:id="39"/>
      <w:bookmarkEnd w:id="40"/>
      <w:bookmarkEnd w:id="41"/>
      <w:bookmarkEnd w:id="42"/>
    </w:p>
    <w:p w14:paraId="2D743927">
      <w:pPr>
        <w:pageBreakBefore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bookmarkStart w:id="43" w:name="_Toc35393636"/>
      <w:bookmarkStart w:id="44" w:name="_Toc28359018"/>
      <w:bookmarkStart w:id="45" w:name="_Toc35393805"/>
      <w:bookmarkStart w:id="46" w:name="_Toc28359095"/>
      <w:r>
        <w:rPr>
          <w:rFonts w:hint="eastAsia" w:ascii="宋体" w:hAnsi="宋体" w:cs="宋体"/>
          <w:color w:val="auto"/>
          <w:szCs w:val="21"/>
          <w:highlight w:val="none"/>
        </w:rPr>
        <w:t>1.本项目为全流程电子化政府采购项目，供应商应按照本项目采购文件和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的要求编制、加密并提交电子响应文件。未完成</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供应商注册入驻并办理数字证书（CA认证）的供应商将无法参与本项目政府采购活动。供应商在使用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参与投标过程中遇到涉及平台使用的任何问题，</w:t>
      </w:r>
      <w:r>
        <w:rPr>
          <w:rFonts w:hint="eastAsia" w:ascii="宋体" w:hAnsi="宋体"/>
          <w:color w:val="auto"/>
          <w:szCs w:val="21"/>
          <w:highlight w:val="none"/>
        </w:rPr>
        <w:t>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4DD8CEB6">
      <w:pPr>
        <w:pageBreakBefore w:val="0"/>
        <w:kinsoku/>
        <w:wordWrap/>
        <w:overflowPunct/>
        <w:topLinePunct w:val="0"/>
        <w:bidi w:val="0"/>
        <w:spacing w:line="380" w:lineRule="exact"/>
        <w:ind w:firstLine="210" w:firstLineChars="1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（1）供应商应及时熟悉掌握电子标系统操作指南（见政采云电子卖场首页右上角—服务中心—帮助文档—项目采购）：https://service.zcygov.cn/#/knowledges/tree?tag=AG1DtGwBFdiHxlNdhY0r。</w:t>
      </w:r>
    </w:p>
    <w:p w14:paraId="17472111">
      <w:pPr>
        <w:pageBreakBefore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（2）供应商应及时完成</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供应商注册入驻和办理政采云CA证书申领和绑定（见广西壮族自治区政府采购网—办事服务—下载专区-政采云CA证书办理操作指南）。</w:t>
      </w:r>
    </w:p>
    <w:p w14:paraId="6BD5CC5D">
      <w:pPr>
        <w:pageBreakBefore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供应商须通过政采云供应商客户端软件制作电子响应文件，政采云供应商客户端软件请供应商自行前往下载并安装（见广西壮族自治区政府采购网—办事服务—下载专区-广西壮族自治区全流程电子招投标项目管理系统--供应商客户端）。</w:t>
      </w:r>
    </w:p>
    <w:p w14:paraId="0320F5A1">
      <w:pPr>
        <w:pageBreakBefore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766D0AD9">
      <w:pPr>
        <w:pageBreakBefore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0A98094F">
      <w:pPr>
        <w:pageBreakBefore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50B946DE">
      <w:pPr>
        <w:pageBreakBefore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2E028A2F">
      <w:pPr>
        <w:pageBreakBefore w:val="0"/>
        <w:kinsoku/>
        <w:wordWrap/>
        <w:overflowPunct/>
        <w:topLinePunct w:val="0"/>
        <w:bidi w:val="0"/>
        <w:spacing w:line="38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rPr>
        <w:t>（4）政府采购促</w:t>
      </w:r>
      <w:r>
        <w:rPr>
          <w:rFonts w:hint="eastAsia" w:ascii="宋体" w:hAnsi="宋体" w:eastAsia="宋体" w:cs="宋体"/>
          <w:color w:val="auto"/>
          <w:szCs w:val="21"/>
          <w:highlight w:val="none"/>
        </w:rPr>
        <w:t>进残疾人就业政策。</w:t>
      </w:r>
    </w:p>
    <w:p w14:paraId="3CDB88A9">
      <w:pPr>
        <w:pageBreakBefore w:val="0"/>
        <w:kinsoku/>
        <w:wordWrap/>
        <w:overflowPunct/>
        <w:topLinePunct w:val="0"/>
        <w:bidi w:val="0"/>
        <w:spacing w:line="38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（5）政府采购支持监狱企业发展。</w:t>
      </w:r>
    </w:p>
    <w:p w14:paraId="683EB298">
      <w:pPr>
        <w:pageBreakBefore w:val="0"/>
        <w:kinsoku/>
        <w:wordWrap/>
        <w:overflowPunct/>
        <w:topLinePunct w:val="0"/>
        <w:bidi w:val="0"/>
        <w:spacing w:line="38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3.网上查询地址</w:t>
      </w:r>
    </w:p>
    <w:p w14:paraId="10F5EF28">
      <w:pPr>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jc w:val="left"/>
        <w:textAlignment w:val="auto"/>
        <w:outlineLvl w:val="9"/>
        <w:rPr>
          <w:rFonts w:hint="eastAsia" w:ascii="宋体" w:hAnsi="宋体" w:cs="宋体"/>
          <w:color w:val="auto"/>
          <w:szCs w:val="21"/>
          <w:highlight w:val="none"/>
          <w:lang w:bidi="ar"/>
        </w:rPr>
      </w:pPr>
      <w:r>
        <w:rPr>
          <w:rFonts w:hint="eastAsia" w:ascii="宋体" w:hAnsi="宋体" w:cs="宋体"/>
          <w:color w:val="auto"/>
          <w:szCs w:val="21"/>
          <w:highlight w:val="none"/>
          <w:lang w:bidi="ar"/>
        </w:rPr>
        <w:t>广西壮族自治区政府采购网http://zfcg.gxzf.gov.cn/、全国公共资源交易平台 （广西.钦州）http://ggzy.jgswj.gxzf.gov.cn/qzggzy/ 、全国公共资源交易平台（广西·浦北）http://ggzy.jgswj.gxzf.gov.cn/pbggzy/。</w:t>
      </w:r>
    </w:p>
    <w:p w14:paraId="39F4B82E">
      <w:pPr>
        <w:pageBreakBefore w:val="0"/>
        <w:widowControl/>
        <w:kinsoku/>
        <w:wordWrap/>
        <w:overflowPunct/>
        <w:topLinePunct w:val="0"/>
        <w:bidi w:val="0"/>
        <w:spacing w:line="38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14:paraId="091E4B87">
      <w:pPr>
        <w:pageBreakBefore w:val="0"/>
        <w:widowControl w:val="0"/>
        <w:kinsoku/>
        <w:wordWrap/>
        <w:overflowPunct/>
        <w:topLinePunct w:val="0"/>
        <w:bidi w:val="0"/>
        <w:adjustRightInd/>
        <w:spacing w:line="380" w:lineRule="exact"/>
        <w:textAlignment w:val="auto"/>
        <w:outlineLvl w:val="9"/>
        <w:rPr>
          <w:rFonts w:hint="eastAsia" w:ascii="宋体" w:hAnsi="宋体" w:eastAsia="宋体" w:cs="宋体"/>
          <w:bCs w:val="0"/>
          <w:color w:val="auto"/>
          <w:sz w:val="21"/>
          <w:szCs w:val="21"/>
          <w:highlight w:val="none"/>
        </w:rPr>
      </w:pPr>
      <w:bookmarkStart w:id="47" w:name="_Toc227"/>
      <w:bookmarkStart w:id="48" w:name="_Toc23726"/>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0196874B">
      <w:pPr>
        <w:pageBreakBefore w:val="0"/>
        <w:widowControl w:val="0"/>
        <w:kinsoku/>
        <w:wordWrap/>
        <w:overflowPunct/>
        <w:topLinePunct w:val="0"/>
        <w:bidi w:val="0"/>
        <w:adjustRightInd/>
        <w:spacing w:line="380" w:lineRule="exact"/>
        <w:ind w:firstLine="630" w:firstLineChars="300"/>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49" w:name="_Toc28359096"/>
      <w:bookmarkStart w:id="50" w:name="_Toc35393806"/>
      <w:bookmarkStart w:id="51" w:name="_Toc28359019"/>
      <w:bookmarkStart w:id="52" w:name="_Toc35393637"/>
      <w:r>
        <w:rPr>
          <w:rFonts w:hint="eastAsia" w:asciiTheme="minorEastAsia" w:hAnsiTheme="minorEastAsia" w:eastAsiaTheme="minorEastAsia" w:cstheme="minorEastAsia"/>
          <w:b w:val="0"/>
          <w:bCs w:val="0"/>
          <w:color w:val="auto"/>
          <w:kern w:val="0"/>
          <w:sz w:val="21"/>
          <w:szCs w:val="21"/>
          <w:highlight w:val="none"/>
          <w:lang w:val="en-US" w:eastAsia="zh-CN" w:bidi="ar-SA"/>
        </w:rPr>
        <w:t>1.采购人信息</w:t>
      </w:r>
      <w:bookmarkEnd w:id="49"/>
      <w:bookmarkEnd w:id="50"/>
      <w:bookmarkEnd w:id="51"/>
      <w:bookmarkEnd w:id="52"/>
    </w:p>
    <w:p w14:paraId="70682652">
      <w:pPr>
        <w:pageBreakBefore w:val="0"/>
        <w:widowControl w:val="0"/>
        <w:kinsoku/>
        <w:wordWrap/>
        <w:overflowPunct/>
        <w:topLinePunct w:val="0"/>
        <w:bidi w:val="0"/>
        <w:adjustRightInd/>
        <w:spacing w:line="380" w:lineRule="exact"/>
        <w:ind w:left="1041" w:leftChars="371" w:hanging="262" w:hangingChars="125"/>
        <w:jc w:val="left"/>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名    称：浦北县石埇镇人民政府  </w:t>
      </w:r>
    </w:p>
    <w:p w14:paraId="1063A307">
      <w:pPr>
        <w:pageBreakBefore w:val="0"/>
        <w:widowControl w:val="0"/>
        <w:kinsoku/>
        <w:wordWrap/>
        <w:overflowPunct/>
        <w:topLinePunct w:val="0"/>
        <w:bidi w:val="0"/>
        <w:adjustRightInd/>
        <w:spacing w:line="380" w:lineRule="exact"/>
        <w:ind w:left="1041" w:leftChars="371" w:hanging="262" w:hangingChars="125"/>
        <w:jc w:val="left"/>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址：浦北县石埇镇越州路55号 </w:t>
      </w:r>
    </w:p>
    <w:p w14:paraId="65E597B0">
      <w:pPr>
        <w:pageBreakBefore w:val="0"/>
        <w:widowControl w:val="0"/>
        <w:kinsoku/>
        <w:wordWrap/>
        <w:overflowPunct/>
        <w:topLinePunct w:val="0"/>
        <w:bidi w:val="0"/>
        <w:adjustRightInd/>
        <w:spacing w:line="380" w:lineRule="exact"/>
        <w:ind w:left="1041" w:leftChars="371" w:hanging="262" w:hangingChars="125"/>
        <w:jc w:val="left"/>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项目联系人：薛炳刊</w:t>
      </w:r>
    </w:p>
    <w:p w14:paraId="66CC0CE1">
      <w:pPr>
        <w:pageBreakBefore w:val="0"/>
        <w:widowControl w:val="0"/>
        <w:kinsoku/>
        <w:wordWrap/>
        <w:overflowPunct/>
        <w:topLinePunct w:val="0"/>
        <w:bidi w:val="0"/>
        <w:adjustRightInd/>
        <w:spacing w:line="380" w:lineRule="exact"/>
        <w:ind w:left="1041" w:leftChars="371" w:hanging="262" w:hangingChars="125"/>
        <w:jc w:val="left"/>
        <w:textAlignment w:val="auto"/>
        <w:outlineLvl w:val="9"/>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项目联系方式： 0777-8618003 </w:t>
      </w:r>
    </w:p>
    <w:p w14:paraId="42332803">
      <w:pPr>
        <w:pageBreakBefore w:val="0"/>
        <w:widowControl w:val="0"/>
        <w:kinsoku/>
        <w:wordWrap/>
        <w:overflowPunct/>
        <w:topLinePunct w:val="0"/>
        <w:bidi w:val="0"/>
        <w:adjustRightInd/>
        <w:spacing w:line="380" w:lineRule="exact"/>
        <w:ind w:firstLine="630" w:firstLineChars="300"/>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53" w:name="_Toc28359097"/>
      <w:bookmarkStart w:id="54" w:name="_Toc35393638"/>
      <w:bookmarkStart w:id="55" w:name="_Toc28359020"/>
      <w:bookmarkStart w:id="56" w:name="_Toc35393807"/>
      <w:r>
        <w:rPr>
          <w:rFonts w:hint="eastAsia" w:asciiTheme="minorEastAsia" w:hAnsiTheme="minorEastAsia" w:eastAsiaTheme="minorEastAsia" w:cstheme="minorEastAsia"/>
          <w:b w:val="0"/>
          <w:bCs w:val="0"/>
          <w:color w:val="auto"/>
          <w:kern w:val="0"/>
          <w:sz w:val="21"/>
          <w:szCs w:val="21"/>
          <w:highlight w:val="none"/>
          <w:lang w:val="en-US" w:eastAsia="zh-CN" w:bidi="ar-SA"/>
        </w:rPr>
        <w:t>2.采购代理机构信息</w:t>
      </w:r>
      <w:bookmarkEnd w:id="53"/>
      <w:bookmarkEnd w:id="54"/>
      <w:bookmarkEnd w:id="55"/>
      <w:bookmarkEnd w:id="56"/>
    </w:p>
    <w:p w14:paraId="7D19582F">
      <w:pPr>
        <w:pageBreakBefore w:val="0"/>
        <w:widowControl w:val="0"/>
        <w:kinsoku/>
        <w:wordWrap/>
        <w:overflowPunct/>
        <w:topLinePunct w:val="0"/>
        <w:bidi w:val="0"/>
        <w:adjustRightInd/>
        <w:spacing w:line="380" w:lineRule="exact"/>
        <w:ind w:firstLine="840" w:firstLineChars="400"/>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名    称：广西中佰项目管理有限公司 </w:t>
      </w:r>
    </w:p>
    <w:p w14:paraId="26993C9B">
      <w:pPr>
        <w:pageBreakBefore w:val="0"/>
        <w:widowControl w:val="0"/>
        <w:kinsoku/>
        <w:wordWrap/>
        <w:overflowPunct/>
        <w:topLinePunct w:val="0"/>
        <w:bidi w:val="0"/>
        <w:adjustRightInd/>
        <w:spacing w:line="380" w:lineRule="exact"/>
        <w:ind w:firstLine="840" w:firstLineChars="400"/>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w:t>
      </w:r>
      <w:bookmarkStart w:id="57" w:name="_Toc35393639"/>
      <w:bookmarkStart w:id="58" w:name="_Toc35393808"/>
      <w:bookmarkStart w:id="59" w:name="_Toc28359098"/>
      <w:bookmarkStart w:id="60" w:name="_Toc28359021"/>
      <w:r>
        <w:rPr>
          <w:rFonts w:hint="eastAsia" w:asciiTheme="minorEastAsia" w:hAnsiTheme="minorEastAsia" w:eastAsiaTheme="minorEastAsia" w:cstheme="minorEastAsia"/>
          <w:b w:val="0"/>
          <w:bCs w:val="0"/>
          <w:color w:val="auto"/>
          <w:kern w:val="0"/>
          <w:sz w:val="21"/>
          <w:szCs w:val="21"/>
          <w:highlight w:val="none"/>
          <w:lang w:val="en-US" w:eastAsia="zh-CN" w:bidi="ar-SA"/>
        </w:rPr>
        <w:t>浦北县小江镇东滨路（东方丽园）9幢32号       </w:t>
      </w:r>
    </w:p>
    <w:p w14:paraId="2215D66E">
      <w:pPr>
        <w:pageBreakBefore w:val="0"/>
        <w:widowControl w:val="0"/>
        <w:kinsoku/>
        <w:wordWrap/>
        <w:overflowPunct/>
        <w:topLinePunct w:val="0"/>
        <w:bidi w:val="0"/>
        <w:adjustRightInd/>
        <w:spacing w:line="380" w:lineRule="exact"/>
        <w:ind w:firstLine="630" w:firstLineChars="300"/>
        <w:textAlignment w:val="auto"/>
        <w:outlineLvl w:val="9"/>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项目联系人：陈慧玲</w:t>
      </w:r>
      <w:r>
        <w:rPr>
          <w:rFonts w:hint="eastAsia" w:asciiTheme="minorEastAsia" w:hAnsiTheme="minorEastAsia" w:eastAsiaTheme="minorEastAsia" w:cstheme="minorEastAsia"/>
          <w:b w:val="0"/>
          <w:bCs w:val="0"/>
          <w:color w:val="auto"/>
          <w:kern w:val="0"/>
          <w:sz w:val="21"/>
          <w:szCs w:val="21"/>
          <w:highlight w:val="none"/>
          <w:lang w:val="en-US" w:eastAsia="zh-CN" w:bidi="ar-SA"/>
        </w:rPr>
        <w:tab/>
      </w:r>
    </w:p>
    <w:p w14:paraId="66CE5D3C">
      <w:pPr>
        <w:pageBreakBefore w:val="0"/>
        <w:widowControl w:val="0"/>
        <w:kinsoku/>
        <w:wordWrap/>
        <w:overflowPunct/>
        <w:topLinePunct w:val="0"/>
        <w:bidi w:val="0"/>
        <w:adjustRightInd/>
        <w:spacing w:line="380" w:lineRule="exact"/>
        <w:ind w:firstLine="630" w:firstLineChars="300"/>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项目联系方式：</w:t>
      </w:r>
      <w:bookmarkEnd w:id="57"/>
      <w:bookmarkEnd w:id="58"/>
      <w:bookmarkEnd w:id="59"/>
      <w:bookmarkEnd w:id="60"/>
      <w:r>
        <w:rPr>
          <w:rFonts w:hint="eastAsia" w:asciiTheme="minorEastAsia" w:hAnsiTheme="minorEastAsia" w:eastAsiaTheme="minorEastAsia" w:cstheme="minorEastAsia"/>
          <w:b w:val="0"/>
          <w:bCs w:val="0"/>
          <w:color w:val="auto"/>
          <w:kern w:val="0"/>
          <w:sz w:val="21"/>
          <w:szCs w:val="21"/>
          <w:highlight w:val="none"/>
          <w:lang w:val="en-US" w:eastAsia="zh-CN" w:bidi="ar-SA"/>
        </w:rPr>
        <w:t>0777-8331248</w:t>
      </w:r>
    </w:p>
    <w:p w14:paraId="4CD903B3">
      <w:pPr>
        <w:pStyle w:val="49"/>
        <w:pageBreakBefore w:val="0"/>
        <w:numPr>
          <w:ilvl w:val="0"/>
          <w:numId w:val="0"/>
        </w:numPr>
        <w:kinsoku/>
        <w:wordWrap/>
        <w:overflowPunct/>
        <w:topLinePunct w:val="0"/>
        <w:bidi w:val="0"/>
        <w:spacing w:line="380" w:lineRule="exact"/>
        <w:textAlignment w:val="auto"/>
        <w:outlineLvl w:val="9"/>
        <w:rPr>
          <w:rFonts w:hint="default"/>
          <w:color w:val="auto"/>
          <w:highlight w:val="none"/>
          <w:lang w:val="en-US" w:eastAsia="zh-CN"/>
        </w:rPr>
      </w:pPr>
    </w:p>
    <w:p w14:paraId="564297CB">
      <w:pPr>
        <w:pageBreakBefore w:val="0"/>
        <w:kinsoku/>
        <w:wordWrap/>
        <w:overflowPunct/>
        <w:topLinePunct w:val="0"/>
        <w:bidi w:val="0"/>
        <w:spacing w:line="380" w:lineRule="exact"/>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235DEAC3">
      <w:pPr>
        <w:pageBreakBefore w:val="0"/>
        <w:kinsoku/>
        <w:wordWrap/>
        <w:overflowPunct/>
        <w:topLinePunct w:val="0"/>
        <w:bidi w:val="0"/>
        <w:spacing w:line="380" w:lineRule="exact"/>
        <w:ind w:firstLine="420" w:firstLineChars="200"/>
        <w:jc w:val="center"/>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 xml:space="preserve">                                                     广西中佰项目管理有限公司 </w:t>
      </w:r>
    </w:p>
    <w:p w14:paraId="240A3498">
      <w:pPr>
        <w:pStyle w:val="10"/>
        <w:pageBreakBefore w:val="0"/>
        <w:kinsoku/>
        <w:wordWrap/>
        <w:overflowPunct/>
        <w:topLinePunct w:val="0"/>
        <w:bidi w:val="0"/>
        <w:spacing w:line="380" w:lineRule="exact"/>
        <w:ind w:firstLine="6930" w:firstLineChars="3300"/>
        <w:textAlignment w:val="auto"/>
        <w:outlineLvl w:val="9"/>
        <w:rPr>
          <w:rFonts w:hint="eastAsia" w:ascii="宋体" w:hAnsi="宋体" w:cs="宋体"/>
          <w:b/>
          <w:bCs/>
          <w:color w:val="auto"/>
          <w:spacing w:val="-14"/>
          <w:position w:val="-6"/>
          <w:sz w:val="28"/>
          <w:szCs w:val="28"/>
          <w:highlight w:val="none"/>
        </w:rPr>
      </w:pPr>
      <w:r>
        <w:rPr>
          <w:rFonts w:hint="eastAsia" w:hAnsi="宋体" w:cs="宋体"/>
          <w:color w:val="auto"/>
          <w:kern w:val="2"/>
          <w:sz w:val="21"/>
          <w:szCs w:val="24"/>
          <w:highlight w:val="none"/>
          <w:lang w:val="en-US" w:eastAsia="zh-CN" w:bidi="ar-SA"/>
        </w:rPr>
        <w:t>2025</w:t>
      </w:r>
      <w:r>
        <w:rPr>
          <w:rFonts w:hint="eastAsia" w:ascii="宋体" w:hAnsi="宋体" w:eastAsia="宋体" w:cs="宋体"/>
          <w:color w:val="auto"/>
          <w:kern w:val="2"/>
          <w:sz w:val="21"/>
          <w:szCs w:val="24"/>
          <w:highlight w:val="none"/>
          <w:lang w:val="en-US" w:eastAsia="zh-CN" w:bidi="ar-SA"/>
        </w:rPr>
        <w:t>年</w:t>
      </w:r>
      <w:r>
        <w:rPr>
          <w:rFonts w:hint="eastAsia"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月</w:t>
      </w:r>
      <w:r>
        <w:rPr>
          <w:rFonts w:hint="eastAsia" w:hAnsi="宋体" w:cs="宋体"/>
          <w:color w:val="auto"/>
          <w:kern w:val="2"/>
          <w:sz w:val="21"/>
          <w:szCs w:val="24"/>
          <w:highlight w:val="none"/>
          <w:lang w:val="en-US" w:eastAsia="zh-CN" w:bidi="ar-SA"/>
        </w:rPr>
        <w:t>24</w:t>
      </w:r>
      <w:r>
        <w:rPr>
          <w:rFonts w:hint="eastAsia" w:ascii="宋体" w:hAnsi="宋体" w:eastAsia="宋体" w:cs="宋体"/>
          <w:color w:val="auto"/>
          <w:kern w:val="2"/>
          <w:sz w:val="21"/>
          <w:szCs w:val="24"/>
          <w:highlight w:val="none"/>
          <w:lang w:val="en-US" w:eastAsia="zh-CN" w:bidi="ar-SA"/>
        </w:rPr>
        <w:t>日</w:t>
      </w:r>
    </w:p>
    <w:p w14:paraId="4B83590B">
      <w:pPr>
        <w:pStyle w:val="49"/>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46524042">
      <w:pPr>
        <w:pStyle w:val="49"/>
        <w:rPr>
          <w:rFonts w:hint="eastAsia" w:ascii="宋体" w:hAnsi="宋体" w:eastAsia="宋体" w:cs="宋体"/>
          <w:b w:val="0"/>
          <w:color w:val="auto"/>
          <w:sz w:val="21"/>
          <w:szCs w:val="21"/>
          <w:highlight w:val="none"/>
          <w:lang w:val="en-US" w:eastAsia="zh-CN"/>
        </w:rPr>
      </w:pPr>
    </w:p>
    <w:p w14:paraId="0F8F8C2E">
      <w:pPr>
        <w:pStyle w:val="49"/>
        <w:rPr>
          <w:rFonts w:hint="eastAsia" w:ascii="宋体" w:hAnsi="宋体" w:eastAsia="宋体" w:cs="宋体"/>
          <w:b w:val="0"/>
          <w:color w:val="auto"/>
          <w:sz w:val="21"/>
          <w:szCs w:val="21"/>
          <w:highlight w:val="none"/>
          <w:lang w:val="en-US" w:eastAsia="zh-CN"/>
        </w:rPr>
      </w:pPr>
    </w:p>
    <w:p w14:paraId="1411C71B">
      <w:pPr>
        <w:pStyle w:val="49"/>
        <w:rPr>
          <w:rFonts w:hint="eastAsia" w:ascii="宋体" w:hAnsi="宋体" w:eastAsia="宋体" w:cs="宋体"/>
          <w:b w:val="0"/>
          <w:color w:val="auto"/>
          <w:sz w:val="21"/>
          <w:szCs w:val="21"/>
          <w:highlight w:val="none"/>
          <w:lang w:val="en-US" w:eastAsia="zh-CN"/>
        </w:rPr>
      </w:pPr>
    </w:p>
    <w:p w14:paraId="52B85C43">
      <w:pPr>
        <w:pStyle w:val="49"/>
        <w:rPr>
          <w:rFonts w:hint="eastAsia" w:ascii="宋体" w:hAnsi="宋体" w:eastAsia="宋体" w:cs="宋体"/>
          <w:b w:val="0"/>
          <w:color w:val="auto"/>
          <w:sz w:val="21"/>
          <w:szCs w:val="21"/>
          <w:highlight w:val="none"/>
          <w:lang w:val="en-US" w:eastAsia="zh-CN"/>
        </w:rPr>
      </w:pPr>
    </w:p>
    <w:p w14:paraId="6FC20732">
      <w:pPr>
        <w:pStyle w:val="49"/>
        <w:rPr>
          <w:rFonts w:hint="default" w:ascii="宋体" w:hAnsi="宋体" w:eastAsia="宋体" w:cs="宋体"/>
          <w:b w:val="0"/>
          <w:color w:val="auto"/>
          <w:sz w:val="21"/>
          <w:szCs w:val="21"/>
          <w:highlight w:val="none"/>
          <w:lang w:val="en-US" w:eastAsia="zh-CN"/>
        </w:rPr>
      </w:pPr>
    </w:p>
    <w:p w14:paraId="54AF7E0D">
      <w:pPr>
        <w:pStyle w:val="49"/>
        <w:rPr>
          <w:rFonts w:hint="eastAsia" w:ascii="宋体" w:hAnsi="宋体"/>
          <w:color w:val="auto"/>
          <w:szCs w:val="21"/>
          <w:highlight w:val="none"/>
        </w:rPr>
      </w:pPr>
    </w:p>
    <w:p w14:paraId="5CA5610F">
      <w:pPr>
        <w:rPr>
          <w:rFonts w:hint="eastAsia" w:ascii="宋体" w:hAnsi="宋体"/>
          <w:color w:val="auto"/>
          <w:szCs w:val="21"/>
          <w:highlight w:val="none"/>
        </w:rPr>
      </w:pPr>
      <w:r>
        <w:rPr>
          <w:rFonts w:hint="eastAsia" w:ascii="宋体" w:hAnsi="宋体"/>
          <w:color w:val="auto"/>
          <w:szCs w:val="21"/>
          <w:highlight w:val="none"/>
        </w:rPr>
        <w:br w:type="page"/>
      </w:r>
    </w:p>
    <w:p w14:paraId="34D928BD">
      <w:pPr>
        <w:pStyle w:val="26"/>
        <w:spacing w:beforeLines="0" w:afterLines="0"/>
        <w:outlineLvl w:val="9"/>
        <w:rPr>
          <w:rFonts w:hint="eastAsia" w:cs="Times New Roman"/>
          <w:sz w:val="44"/>
          <w:szCs w:val="44"/>
          <w:lang w:val="en-US" w:eastAsia="zh-CN"/>
        </w:rPr>
      </w:pPr>
      <w:bookmarkStart w:id="61" w:name="_Toc5416"/>
    </w:p>
    <w:p w14:paraId="1739196D">
      <w:pPr>
        <w:pStyle w:val="26"/>
        <w:spacing w:beforeLines="0" w:afterLines="0"/>
        <w:outlineLvl w:val="9"/>
        <w:rPr>
          <w:rFonts w:hint="eastAsia" w:cs="Times New Roman"/>
          <w:sz w:val="44"/>
          <w:szCs w:val="44"/>
          <w:lang w:val="en-US" w:eastAsia="zh-CN"/>
        </w:rPr>
      </w:pPr>
    </w:p>
    <w:p w14:paraId="1BB42161">
      <w:pPr>
        <w:pStyle w:val="26"/>
        <w:spacing w:beforeLines="0" w:afterLines="0"/>
        <w:outlineLvl w:val="9"/>
        <w:rPr>
          <w:rFonts w:hint="eastAsia" w:cs="Times New Roman"/>
          <w:sz w:val="44"/>
          <w:szCs w:val="44"/>
          <w:lang w:val="en-US" w:eastAsia="zh-CN"/>
        </w:rPr>
      </w:pPr>
    </w:p>
    <w:p w14:paraId="2A994997">
      <w:pPr>
        <w:pStyle w:val="26"/>
        <w:spacing w:beforeLines="0" w:afterLines="0"/>
        <w:outlineLvl w:val="9"/>
        <w:rPr>
          <w:rFonts w:hint="eastAsia" w:cs="Times New Roman"/>
          <w:sz w:val="44"/>
          <w:szCs w:val="44"/>
          <w:lang w:val="en-US" w:eastAsia="zh-CN"/>
        </w:rPr>
      </w:pPr>
    </w:p>
    <w:p w14:paraId="37505496">
      <w:pPr>
        <w:pStyle w:val="26"/>
        <w:spacing w:beforeLines="0" w:afterLines="0"/>
        <w:outlineLvl w:val="9"/>
        <w:rPr>
          <w:rFonts w:hint="eastAsia" w:cs="Times New Roman"/>
          <w:sz w:val="44"/>
          <w:szCs w:val="44"/>
          <w:lang w:val="en-US" w:eastAsia="zh-CN"/>
        </w:rPr>
      </w:pPr>
    </w:p>
    <w:p w14:paraId="0EAF3EB5">
      <w:pPr>
        <w:pStyle w:val="26"/>
        <w:spacing w:beforeLines="0" w:afterLines="0"/>
        <w:rPr>
          <w:rFonts w:hint="eastAsia" w:eastAsia="宋体" w:cs="Times New Roman"/>
          <w:sz w:val="44"/>
          <w:szCs w:val="44"/>
        </w:rPr>
      </w:pPr>
      <w:r>
        <w:rPr>
          <w:rFonts w:hint="eastAsia" w:cs="Times New Roman"/>
          <w:sz w:val="44"/>
          <w:szCs w:val="44"/>
          <w:lang w:val="en-US" w:eastAsia="zh-CN"/>
        </w:rPr>
        <w:t xml:space="preserve">第二章  </w:t>
      </w:r>
      <w:r>
        <w:rPr>
          <w:rFonts w:hint="eastAsia" w:eastAsia="宋体" w:cs="Times New Roman"/>
          <w:sz w:val="44"/>
          <w:szCs w:val="44"/>
          <w:lang w:eastAsia="zh-CN"/>
        </w:rPr>
        <w:t>供应商</w:t>
      </w:r>
      <w:r>
        <w:rPr>
          <w:rFonts w:hint="eastAsia" w:eastAsia="宋体" w:cs="Times New Roman"/>
          <w:sz w:val="44"/>
          <w:szCs w:val="44"/>
        </w:rPr>
        <w:t>须知前附表</w:t>
      </w:r>
      <w:bookmarkEnd w:id="61"/>
    </w:p>
    <w:p w14:paraId="41D22AFA">
      <w:pPr>
        <w:rPr>
          <w:rFonts w:ascii="宋体" w:hAnsi="宋体" w:cs="宋体"/>
          <w:b/>
          <w:bCs/>
          <w:color w:val="auto"/>
          <w:spacing w:val="-14"/>
          <w:kern w:val="0"/>
          <w:position w:val="-6"/>
          <w:sz w:val="36"/>
          <w:szCs w:val="36"/>
          <w:highlight w:val="none"/>
        </w:rPr>
      </w:pPr>
      <w:r>
        <w:rPr>
          <w:rFonts w:hint="eastAsia" w:ascii="宋体" w:hAnsi="宋体" w:cs="宋体"/>
          <w:b/>
          <w:bCs/>
          <w:color w:val="auto"/>
          <w:spacing w:val="-14"/>
          <w:kern w:val="0"/>
          <w:position w:val="-6"/>
          <w:sz w:val="36"/>
          <w:szCs w:val="36"/>
          <w:highlight w:val="none"/>
        </w:rPr>
        <w:br w:type="page"/>
      </w:r>
    </w:p>
    <w:p w14:paraId="6D2437BC">
      <w:pPr>
        <w:numPr>
          <w:ilvl w:val="0"/>
          <w:numId w:val="0"/>
        </w:numPr>
        <w:jc w:val="center"/>
        <w:outlineLvl w:val="1"/>
        <w:rPr>
          <w:rFonts w:ascii="宋体" w:hAnsi="宋体" w:cs="宋体"/>
          <w:b/>
          <w:bCs/>
          <w:color w:val="auto"/>
          <w:spacing w:val="-14"/>
          <w:kern w:val="0"/>
          <w:position w:val="-6"/>
          <w:sz w:val="36"/>
          <w:szCs w:val="36"/>
          <w:highlight w:val="none"/>
        </w:rPr>
      </w:pPr>
      <w:r>
        <w:rPr>
          <w:rFonts w:hint="eastAsia" w:ascii="宋体" w:hAnsi="宋体" w:cs="宋体"/>
          <w:b/>
          <w:bCs/>
          <w:color w:val="auto"/>
          <w:spacing w:val="-14"/>
          <w:kern w:val="0"/>
          <w:position w:val="-6"/>
          <w:sz w:val="36"/>
          <w:szCs w:val="36"/>
          <w:highlight w:val="none"/>
        </w:rPr>
        <w:t>磋商供应商须知前附表</w:t>
      </w:r>
    </w:p>
    <w:bookmarkEnd w:id="2"/>
    <w:tbl>
      <w:tblPr>
        <w:tblStyle w:val="30"/>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1FDA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4A2D4DCB">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4CBC0C0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14D0D89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内容</w:t>
            </w:r>
          </w:p>
        </w:tc>
      </w:tr>
      <w:tr w14:paraId="04F9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0C0C44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992" w:type="dxa"/>
            <w:tcBorders>
              <w:top w:val="single" w:color="auto" w:sz="4" w:space="0"/>
              <w:left w:val="single" w:color="auto" w:sz="4" w:space="0"/>
              <w:bottom w:val="single" w:color="auto" w:sz="4" w:space="0"/>
              <w:right w:val="single" w:color="auto" w:sz="4" w:space="0"/>
            </w:tcBorders>
            <w:vAlign w:val="center"/>
          </w:tcPr>
          <w:p w14:paraId="6AFF9EE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7001A11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none"/>
                <w:lang w:val="en-US" w:eastAsia="zh-CN"/>
              </w:rPr>
              <w:t>2025年石埇镇石埇村委标准厂房建设项目</w:t>
            </w:r>
          </w:p>
          <w:p w14:paraId="0A78164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编号：</w:t>
            </w:r>
            <w:r>
              <w:rPr>
                <w:rFonts w:hint="eastAsia" w:ascii="宋体" w:hAnsi="宋体" w:cs="宋体"/>
                <w:color w:val="auto"/>
                <w:szCs w:val="21"/>
                <w:highlight w:val="none"/>
                <w:lang w:val="en-US" w:eastAsia="zh-CN"/>
              </w:rPr>
              <w:t>QZZC2025-C2-220054-GXZB</w:t>
            </w:r>
          </w:p>
        </w:tc>
      </w:tr>
      <w:tr w14:paraId="1ADF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614083A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992" w:type="dxa"/>
            <w:tcBorders>
              <w:top w:val="single" w:color="auto" w:sz="4" w:space="0"/>
              <w:left w:val="single" w:color="auto" w:sz="4" w:space="0"/>
              <w:bottom w:val="single" w:color="auto" w:sz="4" w:space="0"/>
              <w:right w:val="single" w:color="auto" w:sz="4" w:space="0"/>
            </w:tcBorders>
            <w:vAlign w:val="center"/>
          </w:tcPr>
          <w:p w14:paraId="4D378F5F">
            <w:pPr>
              <w:pStyle w:val="13"/>
              <w:keepNext w:val="0"/>
              <w:keepLines w:val="0"/>
              <w:pageBreakBefore w:val="0"/>
              <w:widowControl w:val="0"/>
              <w:kinsoku/>
              <w:wordWrap/>
              <w:overflowPunct/>
              <w:topLinePunct w:val="0"/>
              <w:autoSpaceDE/>
              <w:autoSpaceDN/>
              <w:bidi w:val="0"/>
              <w:adjustRightInd/>
              <w:spacing w:line="400" w:lineRule="exact"/>
              <w:jc w:val="center"/>
              <w:textAlignment w:val="auto"/>
              <w:rPr>
                <w:rFonts w:hAnsi="宋体" w:cs="宋体"/>
                <w:color w:val="auto"/>
                <w:highlight w:val="none"/>
              </w:rPr>
            </w:pPr>
            <w:r>
              <w:rPr>
                <w:rFonts w:hint="eastAsia"/>
                <w:color w:val="auto"/>
                <w:highlight w:val="none"/>
                <w:lang w:eastAsia="zh-CN"/>
              </w:rPr>
              <w:t>供应商</w:t>
            </w:r>
            <w:r>
              <w:rPr>
                <w:rFonts w:hint="eastAsia"/>
                <w:color w:val="auto"/>
                <w:highlight w:val="none"/>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0779A71C">
            <w:pPr>
              <w:keepNext w:val="0"/>
              <w:keepLines w:val="0"/>
              <w:pageBreakBefore w:val="0"/>
              <w:widowControl w:val="0"/>
              <w:kinsoku/>
              <w:wordWrap/>
              <w:overflowPunct/>
              <w:topLinePunct w:val="0"/>
              <w:autoSpaceDE/>
              <w:autoSpaceDN/>
              <w:bidi w:val="0"/>
              <w:adjustRightInd/>
              <w:spacing w:line="400" w:lineRule="exact"/>
              <w:jc w:val="left"/>
              <w:textAlignment w:val="auto"/>
              <w:rPr>
                <w:color w:val="auto"/>
                <w:highlight w:val="none"/>
              </w:rPr>
            </w:pPr>
            <w:bookmarkStart w:id="62" w:name="OLE_LINK8"/>
            <w:r>
              <w:rPr>
                <w:rFonts w:hint="eastAsia"/>
                <w:color w:val="auto"/>
                <w:highlight w:val="none"/>
                <w:lang w:eastAsia="zh-CN"/>
              </w:rPr>
              <w:t>供应商</w:t>
            </w:r>
            <w:r>
              <w:rPr>
                <w:rFonts w:hint="eastAsia"/>
                <w:color w:val="auto"/>
                <w:highlight w:val="none"/>
              </w:rPr>
              <w:t>资格</w:t>
            </w:r>
            <w:r>
              <w:rPr>
                <w:rFonts w:hint="eastAsia"/>
                <w:color w:val="auto"/>
                <w:highlight w:val="none"/>
                <w:lang w:eastAsia="zh-CN"/>
              </w:rPr>
              <w:t>要求</w:t>
            </w:r>
            <w:r>
              <w:rPr>
                <w:rFonts w:hint="eastAsia"/>
                <w:color w:val="auto"/>
                <w:highlight w:val="none"/>
              </w:rPr>
              <w:t>：</w:t>
            </w:r>
          </w:p>
          <w:bookmarkEnd w:id="62"/>
          <w:p w14:paraId="0670B0A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023CCD6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w:t>
            </w:r>
            <w:r>
              <w:rPr>
                <w:rFonts w:hint="eastAsia" w:ascii="宋体" w:hAnsi="宋体" w:cs="宋体"/>
                <w:color w:val="000000" w:themeColor="text1"/>
                <w:szCs w:val="21"/>
                <w:highlight w:val="none"/>
                <w:lang w:eastAsia="zh-CN"/>
                <w14:textFill>
                  <w14:solidFill>
                    <w14:schemeClr w14:val="tx1"/>
                  </w14:solidFill>
                </w14:textFill>
              </w:rPr>
              <w:t>本项目属于专门面向</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小微企业采购的项目，供应商须为</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小微企业或监狱企业或残疾人福利性单位。</w:t>
            </w:r>
          </w:p>
          <w:p w14:paraId="65EA6E25">
            <w:pPr>
              <w:pStyle w:val="10"/>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3.本项目的特定资格要求：</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1</w:t>
            </w:r>
            <w:r>
              <w:rPr>
                <w:rFonts w:hint="eastAsia" w:hAnsi="宋体" w:cs="宋体"/>
                <w:color w:val="000000" w:themeColor="text1"/>
                <w:sz w:val="21"/>
                <w:szCs w:val="21"/>
                <w:highlight w:val="none"/>
                <w:lang w:eastAsia="zh-CN"/>
                <w14:textFill>
                  <w14:solidFill>
                    <w14:schemeClr w14:val="tx1"/>
                  </w14:solidFill>
                </w14:textFill>
              </w:rPr>
              <w:t>）竞标人须具备建筑工程施工总承包三级（含三级）以上资质以及有效的安全生产许可证，在人员、设备、资金等方面具备相应的施工能力</w:t>
            </w:r>
            <w:r>
              <w:rPr>
                <w:rFonts w:hint="eastAsia" w:hAnsi="宋体" w:cs="宋体"/>
                <w:color w:val="000000" w:themeColor="text1"/>
                <w:sz w:val="21"/>
                <w:szCs w:val="21"/>
                <w:highlight w:val="none"/>
                <w:lang w:val="en-US" w:eastAsia="zh-CN"/>
                <w14:textFill>
                  <w14:solidFill>
                    <w14:schemeClr w14:val="tx1"/>
                  </w14:solidFill>
                </w14:textFill>
              </w:rPr>
              <w:t>。</w:t>
            </w:r>
            <w:r>
              <w:rPr>
                <w:rFonts w:hint="eastAsia"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具备建筑工程专业二级（含二级）以上注册建造师执业资格，且具备有效的安全生产考核合格证书（B类）</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784FD067">
            <w:pPr>
              <w:spacing w:line="360" w:lineRule="auto"/>
              <w:rPr>
                <w:rFonts w:ascii="宋体" w:hAnsi="宋体" w:cs="宋体"/>
                <w:color w:val="000000"/>
                <w:szCs w:val="21"/>
                <w:highlight w:val="none"/>
              </w:rPr>
            </w:pP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出现下列情形之一的，不得</w:t>
            </w:r>
            <w:r>
              <w:rPr>
                <w:rFonts w:hint="eastAsia" w:ascii="宋体" w:hAnsi="宋体" w:cs="宋体"/>
                <w:color w:val="000000"/>
                <w:szCs w:val="21"/>
                <w:highlight w:val="none"/>
              </w:rPr>
              <w:t>参加政府采购活动：</w:t>
            </w:r>
          </w:p>
          <w:p w14:paraId="761D6082">
            <w:pPr>
              <w:spacing w:line="360" w:lineRule="auto"/>
              <w:ind w:firstLine="420" w:firstLineChars="200"/>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单位负责人为同</w:t>
            </w:r>
            <w:r>
              <w:rPr>
                <w:rFonts w:hint="eastAsia" w:ascii="宋体" w:hAnsi="宋体" w:eastAsia="宋体" w:cs="宋体"/>
                <w:color w:val="00000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AB58DA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FB6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60BE43B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1992" w:type="dxa"/>
            <w:tcBorders>
              <w:top w:val="single" w:color="auto" w:sz="4" w:space="0"/>
              <w:left w:val="single" w:color="auto" w:sz="4" w:space="0"/>
              <w:bottom w:val="single" w:color="auto" w:sz="4" w:space="0"/>
              <w:right w:val="single" w:color="auto" w:sz="4" w:space="0"/>
            </w:tcBorders>
            <w:vAlign w:val="center"/>
          </w:tcPr>
          <w:p w14:paraId="34860191">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lang w:eastAsia="zh-CN"/>
              </w:rPr>
              <w:t>竞标</w:t>
            </w:r>
            <w:r>
              <w:rPr>
                <w:rFonts w:hint="eastAsia" w:ascii="宋体" w:hAnsi="宋体" w:cs="宋体"/>
                <w:color w:val="auto"/>
                <w:szCs w:val="21"/>
                <w:highlight w:val="none"/>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19A10E2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竞标</w:t>
            </w:r>
            <w:r>
              <w:rPr>
                <w:rFonts w:hint="eastAsia" w:ascii="宋体" w:hAnsi="宋体" w:cs="宋体"/>
                <w:color w:val="auto"/>
                <w:highlight w:val="none"/>
                <w:lang w:eastAsia="zh-CN"/>
              </w:rPr>
              <w:t>报价：</w:t>
            </w:r>
          </w:p>
          <w:p w14:paraId="549DCE1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1.供应商必须就所投项目的全部内容作完整唯一报价，漏项报价的或有选择的或有条件的报价，其磋商将视为无效。</w:t>
            </w:r>
          </w:p>
          <w:p w14:paraId="2A8EAD7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 xml:space="preserve">磋商报价为二次报价，第二次报价为最后报价。                            </w:t>
            </w:r>
          </w:p>
          <w:p w14:paraId="40B34C29">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highlight w:val="none"/>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0082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3146374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1992" w:type="dxa"/>
            <w:tcBorders>
              <w:top w:val="single" w:color="auto" w:sz="4" w:space="0"/>
              <w:left w:val="single" w:color="auto" w:sz="4" w:space="0"/>
              <w:bottom w:val="single" w:color="auto" w:sz="4" w:space="0"/>
              <w:right w:val="single" w:color="auto" w:sz="4" w:space="0"/>
            </w:tcBorders>
            <w:vAlign w:val="center"/>
          </w:tcPr>
          <w:p w14:paraId="3429E79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1A4F8E82">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FDF7EE0">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w:t>
            </w:r>
            <w:r>
              <w:rPr>
                <w:rFonts w:hint="eastAsia" w:ascii="宋体" w:hAnsi="宋体" w:cs="Courier New"/>
                <w:color w:val="auto"/>
                <w:szCs w:val="21"/>
                <w:highlight w:val="none"/>
                <w:lang w:eastAsia="zh-CN"/>
              </w:rPr>
              <w:t>递交</w:t>
            </w:r>
            <w:r>
              <w:rPr>
                <w:rFonts w:hint="eastAsia" w:ascii="宋体" w:hAnsi="宋体" w:cs="Courier New"/>
                <w:color w:val="auto"/>
                <w:szCs w:val="21"/>
                <w:highlight w:val="none"/>
              </w:rPr>
              <w:t>。</w:t>
            </w:r>
          </w:p>
        </w:tc>
      </w:tr>
      <w:tr w14:paraId="5634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782A132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631CED6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6F3B6609">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本项目不接受</w:t>
            </w:r>
            <w:r>
              <w:rPr>
                <w:color w:val="auto"/>
                <w:spacing w:val="-3"/>
                <w:sz w:val="21"/>
                <w:highlight w:val="none"/>
              </w:rPr>
              <w:t>电子备份响应文件</w:t>
            </w:r>
            <w:r>
              <w:rPr>
                <w:rFonts w:hint="eastAsia"/>
                <w:color w:val="auto"/>
                <w:spacing w:val="-3"/>
                <w:sz w:val="21"/>
                <w:highlight w:val="none"/>
                <w:lang w:eastAsia="zh-CN"/>
              </w:rPr>
              <w:t>。</w:t>
            </w:r>
          </w:p>
          <w:p w14:paraId="6DF7C816">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本项目接受</w:t>
            </w:r>
            <w:r>
              <w:rPr>
                <w:color w:val="auto"/>
                <w:spacing w:val="-3"/>
                <w:sz w:val="21"/>
                <w:highlight w:val="none"/>
              </w:rPr>
              <w:t>电子备份响应文件</w:t>
            </w:r>
            <w:r>
              <w:rPr>
                <w:rFonts w:hint="eastAsia" w:ascii="宋体" w:hAnsi="宋体"/>
                <w:color w:val="auto"/>
                <w:szCs w:val="21"/>
                <w:highlight w:val="none"/>
                <w:lang w:eastAsia="zh-CN"/>
              </w:rPr>
              <w:t>。</w:t>
            </w:r>
          </w:p>
          <w:p w14:paraId="55436A31">
            <w:pPr>
              <w:pStyle w:val="9"/>
              <w:keepNext w:val="0"/>
              <w:keepLines w:val="0"/>
              <w:pageBreakBefore w:val="0"/>
              <w:widowControl w:val="0"/>
              <w:kinsoku/>
              <w:wordWrap/>
              <w:overflowPunct/>
              <w:topLinePunct w:val="0"/>
              <w:autoSpaceDE/>
              <w:autoSpaceDN/>
              <w:bidi w:val="0"/>
              <w:adjustRightInd/>
              <w:spacing w:line="400" w:lineRule="exact"/>
              <w:ind w:left="0"/>
              <w:textAlignment w:val="auto"/>
              <w:rPr>
                <w:color w:val="auto"/>
                <w:spacing w:val="-3"/>
                <w:sz w:val="21"/>
                <w:highlight w:val="none"/>
              </w:rPr>
            </w:pPr>
            <w:r>
              <w:rPr>
                <w:color w:val="auto"/>
                <w:spacing w:val="-3"/>
                <w:sz w:val="21"/>
                <w:highlight w:val="none"/>
              </w:rPr>
              <w:t>供应商</w:t>
            </w:r>
            <w:r>
              <w:rPr>
                <w:rFonts w:hint="eastAsia"/>
                <w:color w:val="auto"/>
                <w:spacing w:val="-3"/>
                <w:sz w:val="21"/>
                <w:highlight w:val="none"/>
                <w:lang w:eastAsia="zh-CN"/>
              </w:rPr>
              <w:t>可根据自身情况自行准备</w:t>
            </w:r>
            <w:r>
              <w:rPr>
                <w:color w:val="auto"/>
                <w:spacing w:val="-3"/>
                <w:sz w:val="21"/>
                <w:highlight w:val="none"/>
              </w:rPr>
              <w:t xml:space="preserve">电子备份响应文件： </w:t>
            </w:r>
          </w:p>
          <w:p w14:paraId="6C48CCF6">
            <w:pPr>
              <w:pStyle w:val="9"/>
              <w:keepNext w:val="0"/>
              <w:keepLines w:val="0"/>
              <w:pageBreakBefore w:val="0"/>
              <w:widowControl w:val="0"/>
              <w:numPr>
                <w:ilvl w:val="0"/>
                <w:numId w:val="1"/>
              </w:numPr>
              <w:kinsoku/>
              <w:wordWrap/>
              <w:overflowPunct/>
              <w:topLinePunct w:val="0"/>
              <w:autoSpaceDE/>
              <w:autoSpaceDN/>
              <w:bidi w:val="0"/>
              <w:adjustRightInd/>
              <w:spacing w:line="400" w:lineRule="exact"/>
              <w:ind w:left="0"/>
              <w:textAlignment w:val="auto"/>
              <w:rPr>
                <w:rFonts w:ascii="Times New Roman" w:hAnsi="Times New Roman" w:eastAsia="宋体" w:cs="Times New Roman"/>
                <w:color w:val="auto"/>
                <w:spacing w:val="-3"/>
                <w:sz w:val="21"/>
                <w:highlight w:val="none"/>
              </w:rPr>
            </w:pPr>
            <w:r>
              <w:rPr>
                <w:color w:val="auto"/>
                <w:spacing w:val="-3"/>
                <w:sz w:val="21"/>
                <w:highlight w:val="none"/>
              </w:rPr>
              <w:t>电子备份响应文件</w:t>
            </w:r>
            <w:r>
              <w:rPr>
                <w:color w:val="auto"/>
                <w:spacing w:val="-7"/>
                <w:sz w:val="21"/>
                <w:highlight w:val="none"/>
              </w:rPr>
              <w:t>以</w:t>
            </w:r>
            <w:r>
              <w:rPr>
                <w:rFonts w:hint="eastAsia"/>
                <w:color w:val="auto"/>
                <w:spacing w:val="-7"/>
                <w:sz w:val="21"/>
                <w:highlight w:val="none"/>
                <w:lang w:eastAsia="zh-CN"/>
              </w:rPr>
              <w:t>邮件</w:t>
            </w:r>
            <w:r>
              <w:rPr>
                <w:color w:val="auto"/>
                <w:spacing w:val="-10"/>
                <w:sz w:val="21"/>
                <w:highlight w:val="none"/>
              </w:rPr>
              <w:t>形式提供。数量</w:t>
            </w:r>
            <w:r>
              <w:rPr>
                <w:rFonts w:ascii="Times New Roman" w:hAnsi="Times New Roman" w:eastAsia="宋体" w:cs="Times New Roman"/>
                <w:color w:val="auto"/>
                <w:spacing w:val="-3"/>
                <w:sz w:val="21"/>
                <w:highlight w:val="none"/>
              </w:rPr>
              <w:t>为1份。</w:t>
            </w:r>
          </w:p>
          <w:p w14:paraId="78745810">
            <w:pPr>
              <w:pStyle w:val="9"/>
              <w:keepNext w:val="0"/>
              <w:keepLines w:val="0"/>
              <w:pageBreakBefore w:val="0"/>
              <w:widowControl w:val="0"/>
              <w:numPr>
                <w:ilvl w:val="0"/>
                <w:numId w:val="1"/>
              </w:numPr>
              <w:kinsoku/>
              <w:wordWrap/>
              <w:overflowPunct/>
              <w:topLinePunct w:val="0"/>
              <w:autoSpaceDE/>
              <w:autoSpaceDN/>
              <w:bidi w:val="0"/>
              <w:adjustRightInd/>
              <w:spacing w:line="400" w:lineRule="exact"/>
              <w:ind w:left="0"/>
              <w:textAlignment w:val="auto"/>
              <w:rPr>
                <w:rFonts w:hint="eastAsia" w:cs="Times New Roman"/>
                <w:color w:val="auto"/>
                <w:spacing w:val="-3"/>
                <w:sz w:val="21"/>
                <w:highlight w:val="none"/>
                <w:lang w:eastAsia="zh-CN"/>
              </w:rPr>
            </w:pPr>
            <w:r>
              <w:rPr>
                <w:rFonts w:hint="eastAsia" w:cs="Times New Roman"/>
                <w:color w:val="auto"/>
                <w:spacing w:val="-3"/>
                <w:sz w:val="21"/>
                <w:highlight w:val="none"/>
                <w:lang w:eastAsia="zh-CN"/>
              </w:rPr>
              <w:t>电子备份响应文件接收邮箱：</w:t>
            </w:r>
            <w:r>
              <w:rPr>
                <w:rFonts w:hint="eastAsia" w:cs="Times New Roman"/>
                <w:color w:val="auto"/>
                <w:spacing w:val="-3"/>
                <w:sz w:val="21"/>
                <w:highlight w:val="none"/>
                <w:lang w:val="en-US" w:eastAsia="zh-CN"/>
              </w:rPr>
              <w:t>892224324@qq.com</w:t>
            </w:r>
            <w:r>
              <w:rPr>
                <w:rFonts w:hint="eastAsia" w:cs="Times New Roman"/>
                <w:color w:val="auto"/>
                <w:spacing w:val="-3"/>
                <w:sz w:val="21"/>
                <w:highlight w:val="none"/>
                <w:lang w:eastAsia="zh-CN"/>
              </w:rPr>
              <w:t>。</w:t>
            </w:r>
          </w:p>
          <w:p w14:paraId="47FE47AD">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Times New Roman" w:hAnsi="Times New Roman" w:eastAsia="宋体" w:cs="Times New Roman"/>
                <w:b w:val="0"/>
                <w:bCs w:val="0"/>
                <w:color w:val="auto"/>
                <w:spacing w:val="-3"/>
                <w:sz w:val="21"/>
                <w:highlight w:val="none"/>
                <w:lang w:eastAsia="zh-CN"/>
              </w:rPr>
            </w:pPr>
            <w:r>
              <w:rPr>
                <w:rFonts w:hint="eastAsia" w:ascii="Times New Roman" w:hAnsi="Times New Roman" w:eastAsia="宋体" w:cs="Times New Roman"/>
                <w:b w:val="0"/>
                <w:bCs w:val="0"/>
                <w:color w:val="auto"/>
                <w:spacing w:val="-3"/>
                <w:sz w:val="21"/>
                <w:highlight w:val="none"/>
                <w:lang w:eastAsia="zh-CN"/>
              </w:rPr>
              <w:t>（</w:t>
            </w:r>
            <w:r>
              <w:rPr>
                <w:rFonts w:hint="eastAsia" w:cs="Times New Roman"/>
                <w:b w:val="0"/>
                <w:bCs w:val="0"/>
                <w:color w:val="auto"/>
                <w:spacing w:val="-3"/>
                <w:sz w:val="21"/>
                <w:highlight w:val="none"/>
                <w:lang w:val="en-US" w:eastAsia="zh-CN"/>
              </w:rPr>
              <w:t>3</w:t>
            </w:r>
            <w:r>
              <w:rPr>
                <w:rFonts w:hint="eastAsia" w:ascii="Times New Roman" w:hAnsi="Times New Roman" w:eastAsia="宋体" w:cs="Times New Roman"/>
                <w:b w:val="0"/>
                <w:bCs w:val="0"/>
                <w:color w:val="auto"/>
                <w:spacing w:val="-3"/>
                <w:sz w:val="21"/>
                <w:highlight w:val="none"/>
                <w:lang w:eastAsia="zh-CN"/>
              </w:rPr>
              <w:t>）</w:t>
            </w:r>
            <w:r>
              <w:rPr>
                <w:rFonts w:hint="eastAsia" w:cs="Times New Roman"/>
                <w:color w:val="auto"/>
                <w:spacing w:val="-3"/>
                <w:sz w:val="21"/>
                <w:highlight w:val="none"/>
                <w:lang w:eastAsia="zh-CN"/>
              </w:rPr>
              <w:t>电子备份响应文件</w:t>
            </w:r>
            <w:r>
              <w:rPr>
                <w:rFonts w:hint="eastAsia" w:cs="Times New Roman"/>
                <w:b w:val="0"/>
                <w:bCs w:val="0"/>
                <w:color w:val="auto"/>
                <w:spacing w:val="-3"/>
                <w:sz w:val="21"/>
                <w:highlight w:val="none"/>
                <w:lang w:eastAsia="zh-CN"/>
              </w:rPr>
              <w:t>提交截止</w:t>
            </w:r>
            <w:r>
              <w:rPr>
                <w:rFonts w:hint="eastAsia" w:ascii="Times New Roman" w:hAnsi="Times New Roman" w:eastAsia="宋体" w:cs="Times New Roman"/>
                <w:b w:val="0"/>
                <w:bCs w:val="0"/>
                <w:color w:val="auto"/>
                <w:spacing w:val="-3"/>
                <w:sz w:val="21"/>
                <w:highlight w:val="none"/>
                <w:lang w:eastAsia="zh-CN"/>
              </w:rPr>
              <w:t>时间：</w:t>
            </w:r>
            <w:r>
              <w:rPr>
                <w:rFonts w:hint="eastAsia" w:cs="Times New Roman"/>
                <w:b w:val="0"/>
                <w:bCs w:val="0"/>
                <w:color w:val="auto"/>
                <w:spacing w:val="-3"/>
                <w:sz w:val="21"/>
                <w:highlight w:val="none"/>
                <w:lang w:eastAsia="zh-CN"/>
              </w:rPr>
              <w:t>与</w:t>
            </w:r>
            <w:r>
              <w:rPr>
                <w:rFonts w:hint="eastAsia" w:ascii="宋体" w:hAnsi="宋体" w:eastAsia="宋体" w:cs="宋体"/>
                <w:bCs w:val="0"/>
                <w:color w:val="auto"/>
                <w:sz w:val="21"/>
                <w:szCs w:val="21"/>
                <w:highlight w:val="none"/>
              </w:rPr>
              <w:t>响应文件提交</w:t>
            </w:r>
            <w:r>
              <w:rPr>
                <w:rFonts w:hint="eastAsia" w:ascii="宋体" w:hAnsi="宋体" w:eastAsia="宋体" w:cs="宋体"/>
                <w:bCs w:val="0"/>
                <w:color w:val="auto"/>
                <w:sz w:val="21"/>
                <w:szCs w:val="21"/>
                <w:highlight w:val="none"/>
                <w:lang w:eastAsia="zh-CN"/>
              </w:rPr>
              <w:t>截止时间一致，逾期提交的不予受理。</w:t>
            </w:r>
          </w:p>
          <w:p w14:paraId="6F4672CD">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cs="Times New Roman"/>
                <w:b w:val="0"/>
                <w:bCs w:val="0"/>
                <w:color w:val="auto"/>
                <w:szCs w:val="21"/>
                <w:highlight w:val="none"/>
                <w:lang w:val="en-US" w:eastAsia="zh-CN"/>
              </w:rPr>
              <w:t>4</w:t>
            </w:r>
            <w:r>
              <w:rPr>
                <w:rFonts w:hint="eastAsia" w:ascii="宋体" w:hAnsi="宋体" w:eastAsia="宋体" w:cs="Times New Roman"/>
                <w:b w:val="0"/>
                <w:bCs w:val="0"/>
                <w:color w:val="auto"/>
                <w:szCs w:val="21"/>
                <w:highlight w:val="none"/>
                <w:lang w:eastAsia="zh-CN"/>
              </w:rPr>
              <w:t>）供应商邮件发送的内容如下：</w:t>
            </w:r>
          </w:p>
          <w:p w14:paraId="22C65458">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eastAsia="zh-CN"/>
              </w:rPr>
              <w:t>项目名称：</w:t>
            </w:r>
            <w:r>
              <w:rPr>
                <w:rFonts w:hint="eastAsia" w:ascii="宋体" w:hAnsi="宋体" w:eastAsia="宋体" w:cs="宋体"/>
                <w:b w:val="0"/>
                <w:bCs w:val="0"/>
                <w:color w:val="auto"/>
                <w:spacing w:val="0"/>
                <w:sz w:val="21"/>
                <w:szCs w:val="21"/>
                <w:highlight w:val="none"/>
                <w:u w:val="single"/>
                <w:lang w:val="en-US" w:eastAsia="zh-CN"/>
              </w:rPr>
              <w:t xml:space="preserve">                 </w:t>
            </w:r>
          </w:p>
          <w:p w14:paraId="2A0F90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eastAsia="zh-CN"/>
              </w:rPr>
            </w:pPr>
            <w:r>
              <w:rPr>
                <w:rFonts w:hint="eastAsia" w:ascii="宋体" w:hAnsi="宋体" w:eastAsia="宋体" w:cs="宋体"/>
                <w:b w:val="0"/>
                <w:bCs w:val="0"/>
                <w:color w:val="auto"/>
                <w:spacing w:val="0"/>
                <w:sz w:val="21"/>
                <w:szCs w:val="21"/>
                <w:highlight w:val="none"/>
                <w:u w:val="none"/>
                <w:lang w:eastAsia="zh-CN"/>
              </w:rPr>
              <w:t>项目编号</w:t>
            </w:r>
            <w:r>
              <w:rPr>
                <w:rFonts w:hint="eastAsia" w:ascii="宋体" w:hAnsi="宋体" w:eastAsia="宋体" w:cs="宋体"/>
                <w:b w:val="0"/>
                <w:bCs w:val="0"/>
                <w:color w:val="auto"/>
                <w:spacing w:val="0"/>
                <w:sz w:val="21"/>
                <w:szCs w:val="21"/>
                <w:highlight w:val="none"/>
                <w:u w:val="single"/>
                <w:lang w:eastAsia="zh-CN"/>
              </w:rPr>
              <w:t>：</w:t>
            </w:r>
            <w:r>
              <w:rPr>
                <w:rFonts w:hint="eastAsia" w:ascii="宋体" w:hAnsi="宋体" w:eastAsia="宋体" w:cs="宋体"/>
                <w:b w:val="0"/>
                <w:bCs w:val="0"/>
                <w:color w:val="auto"/>
                <w:spacing w:val="0"/>
                <w:sz w:val="21"/>
                <w:szCs w:val="21"/>
                <w:highlight w:val="none"/>
                <w:u w:val="single"/>
                <w:lang w:val="en-US" w:eastAsia="zh-CN"/>
              </w:rPr>
              <w:t xml:space="preserve">                 </w:t>
            </w:r>
          </w:p>
          <w:p w14:paraId="5FB97D63">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eastAsia="zh-CN"/>
              </w:rPr>
            </w:pPr>
            <w:r>
              <w:rPr>
                <w:rFonts w:hint="eastAsia" w:ascii="宋体" w:hAnsi="宋体" w:cs="宋体"/>
                <w:b w:val="0"/>
                <w:bCs w:val="0"/>
                <w:color w:val="auto"/>
                <w:spacing w:val="0"/>
                <w:sz w:val="21"/>
                <w:szCs w:val="21"/>
                <w:highlight w:val="none"/>
                <w:u w:val="none"/>
                <w:lang w:eastAsia="zh-CN"/>
              </w:rPr>
              <w:t>分标号</w:t>
            </w:r>
            <w:r>
              <w:rPr>
                <w:rFonts w:hint="eastAsia" w:ascii="宋体" w:hAnsi="宋体" w:eastAsia="宋体" w:cs="宋体"/>
                <w:b w:val="0"/>
                <w:bCs w:val="0"/>
                <w:color w:val="auto"/>
                <w:spacing w:val="0"/>
                <w:sz w:val="21"/>
                <w:szCs w:val="21"/>
                <w:highlight w:val="none"/>
                <w:u w:val="none"/>
                <w:lang w:eastAsia="zh-CN"/>
              </w:rPr>
              <w:t>（如有）：</w:t>
            </w:r>
            <w:r>
              <w:rPr>
                <w:rFonts w:hint="eastAsia" w:ascii="宋体" w:hAnsi="宋体" w:eastAsia="宋体" w:cs="宋体"/>
                <w:b w:val="0"/>
                <w:bCs w:val="0"/>
                <w:color w:val="auto"/>
                <w:spacing w:val="0"/>
                <w:sz w:val="21"/>
                <w:szCs w:val="21"/>
                <w:highlight w:val="none"/>
                <w:u w:val="single"/>
                <w:lang w:val="en-US" w:eastAsia="zh-CN"/>
              </w:rPr>
              <w:t xml:space="preserve">                 </w:t>
            </w:r>
          </w:p>
          <w:p w14:paraId="1E9EF946">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eastAsia="zh-CN"/>
              </w:rPr>
              <w:t>供应商名称：</w:t>
            </w:r>
            <w:r>
              <w:rPr>
                <w:rFonts w:hint="eastAsia" w:ascii="宋体" w:hAnsi="宋体" w:eastAsia="宋体" w:cs="宋体"/>
                <w:b w:val="0"/>
                <w:bCs w:val="0"/>
                <w:color w:val="auto"/>
                <w:spacing w:val="0"/>
                <w:sz w:val="21"/>
                <w:szCs w:val="21"/>
                <w:highlight w:val="none"/>
                <w:u w:val="single"/>
                <w:lang w:val="en-US" w:eastAsia="zh-CN"/>
              </w:rPr>
              <w:t xml:space="preserve">                 </w:t>
            </w:r>
          </w:p>
          <w:p w14:paraId="56703A70">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val="en-US" w:eastAsia="zh-CN"/>
              </w:rPr>
              <w:t>法定代表人或其委托代理人姓名：</w:t>
            </w:r>
            <w:r>
              <w:rPr>
                <w:rFonts w:hint="eastAsia" w:ascii="宋体" w:hAnsi="宋体" w:eastAsia="宋体" w:cs="宋体"/>
                <w:b w:val="0"/>
                <w:bCs w:val="0"/>
                <w:color w:val="auto"/>
                <w:spacing w:val="0"/>
                <w:sz w:val="21"/>
                <w:szCs w:val="21"/>
                <w:highlight w:val="none"/>
                <w:u w:val="single"/>
                <w:lang w:val="en-US" w:eastAsia="zh-CN"/>
              </w:rPr>
              <w:t xml:space="preserve">                  </w:t>
            </w:r>
          </w:p>
          <w:p w14:paraId="26F834BA">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Times New Roman"/>
                <w:b w:val="0"/>
                <w:bCs w:val="0"/>
                <w:color w:val="auto"/>
                <w:szCs w:val="21"/>
                <w:highlight w:val="none"/>
                <w:u w:val="single"/>
                <w:lang w:eastAsia="zh-CN"/>
              </w:rPr>
            </w:pPr>
            <w:r>
              <w:rPr>
                <w:rFonts w:hint="eastAsia" w:ascii="宋体" w:hAnsi="宋体" w:eastAsia="宋体" w:cs="宋体"/>
                <w:b w:val="0"/>
                <w:bCs w:val="0"/>
                <w:color w:val="auto"/>
                <w:spacing w:val="0"/>
                <w:sz w:val="21"/>
                <w:szCs w:val="21"/>
                <w:highlight w:val="none"/>
                <w:u w:val="none"/>
                <w:lang w:val="en-US" w:eastAsia="zh-CN"/>
              </w:rPr>
              <w:t>法定代表人或其委托代理人手机号码：</w:t>
            </w:r>
            <w:r>
              <w:rPr>
                <w:rFonts w:hint="eastAsia" w:ascii="宋体" w:hAnsi="宋体" w:eastAsia="宋体" w:cs="宋体"/>
                <w:b w:val="0"/>
                <w:bCs w:val="0"/>
                <w:color w:val="auto"/>
                <w:spacing w:val="0"/>
                <w:sz w:val="21"/>
                <w:szCs w:val="21"/>
                <w:highlight w:val="none"/>
                <w:u w:val="single"/>
                <w:lang w:val="en-US" w:eastAsia="zh-CN"/>
              </w:rPr>
              <w:t xml:space="preserve">                  </w:t>
            </w:r>
          </w:p>
          <w:p w14:paraId="4AA9D1CC">
            <w:pPr>
              <w:pStyle w:val="9"/>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cs="宋体"/>
                <w:color w:val="auto"/>
                <w:szCs w:val="21"/>
                <w:highlight w:val="none"/>
              </w:rPr>
            </w:pPr>
            <w:r>
              <w:rPr>
                <w:rFonts w:hint="eastAsia" w:ascii="Times New Roman" w:hAnsi="Times New Roman" w:eastAsia="宋体" w:cs="Times New Roman"/>
                <w:b w:val="0"/>
                <w:bCs w:val="0"/>
                <w:color w:val="auto"/>
                <w:spacing w:val="-3"/>
                <w:sz w:val="21"/>
                <w:highlight w:val="none"/>
                <w:lang w:eastAsia="zh-CN"/>
              </w:rPr>
              <w:t>（</w:t>
            </w:r>
            <w:r>
              <w:rPr>
                <w:rFonts w:hint="eastAsia" w:cs="Times New Roman"/>
                <w:b w:val="0"/>
                <w:bCs w:val="0"/>
                <w:color w:val="auto"/>
                <w:spacing w:val="-3"/>
                <w:sz w:val="21"/>
                <w:highlight w:val="none"/>
                <w:lang w:val="en-US" w:eastAsia="zh-CN"/>
              </w:rPr>
              <w:t>5</w:t>
            </w:r>
            <w:r>
              <w:rPr>
                <w:rFonts w:hint="eastAsia" w:ascii="Times New Roman" w:hAnsi="Times New Roman" w:eastAsia="宋体" w:cs="Times New Roman"/>
                <w:b w:val="0"/>
                <w:bCs w:val="0"/>
                <w:color w:val="auto"/>
                <w:spacing w:val="-3"/>
                <w:sz w:val="21"/>
                <w:highlight w:val="none"/>
                <w:lang w:eastAsia="zh-CN"/>
              </w:rPr>
              <w:t>）</w:t>
            </w:r>
            <w:r>
              <w:rPr>
                <w:rFonts w:ascii="Times New Roman" w:hAnsi="Times New Roman" w:eastAsia="宋体" w:cs="Times New Roman"/>
                <w:b w:val="0"/>
                <w:bCs w:val="0"/>
                <w:color w:val="auto"/>
                <w:spacing w:val="-3"/>
                <w:sz w:val="21"/>
                <w:highlight w:val="none"/>
              </w:rPr>
              <w:t>响应文件启用顺序和效力：响应文件的启用，按先后顺位</w:t>
            </w:r>
            <w:r>
              <w:rPr>
                <w:rFonts w:ascii="Times New Roman" w:hAnsi="Times New Roman" w:eastAsia="宋体" w:cs="Times New Roman"/>
                <w:color w:val="auto"/>
                <w:spacing w:val="-3"/>
                <w:sz w:val="21"/>
                <w:highlight w:val="none"/>
              </w:rPr>
              <w:t>分别为</w:t>
            </w:r>
            <w:r>
              <w:rPr>
                <w:rFonts w:hint="eastAsia" w:cs="Times New Roman"/>
                <w:color w:val="auto"/>
                <w:spacing w:val="-3"/>
                <w:sz w:val="21"/>
                <w:highlight w:val="none"/>
                <w:lang w:eastAsia="zh-CN"/>
              </w:rPr>
              <w:t>广西政府采购云平台上传的加密</w:t>
            </w:r>
            <w:r>
              <w:rPr>
                <w:rFonts w:ascii="Times New Roman" w:hAnsi="Times New Roman" w:eastAsia="宋体" w:cs="Times New Roman"/>
                <w:color w:val="auto"/>
                <w:spacing w:val="-3"/>
                <w:sz w:val="21"/>
                <w:highlight w:val="none"/>
              </w:rPr>
              <w:t>电子响应文件、以</w:t>
            </w:r>
            <w:r>
              <w:rPr>
                <w:rFonts w:hint="eastAsia" w:cs="Times New Roman"/>
                <w:color w:val="auto"/>
                <w:spacing w:val="-3"/>
                <w:sz w:val="21"/>
                <w:highlight w:val="none"/>
                <w:lang w:eastAsia="zh-CN"/>
              </w:rPr>
              <w:t>邮件</w:t>
            </w:r>
            <w:r>
              <w:rPr>
                <w:rFonts w:ascii="Times New Roman" w:hAnsi="Times New Roman" w:eastAsia="宋体" w:cs="Times New Roman"/>
                <w:color w:val="auto"/>
                <w:spacing w:val="-3"/>
                <w:sz w:val="21"/>
                <w:highlight w:val="none"/>
              </w:rPr>
              <w:t>形式</w:t>
            </w:r>
            <w:r>
              <w:rPr>
                <w:rFonts w:hint="eastAsia" w:cs="Times New Roman"/>
                <w:color w:val="auto"/>
                <w:spacing w:val="-3"/>
                <w:sz w:val="21"/>
                <w:highlight w:val="none"/>
                <w:lang w:eastAsia="zh-CN"/>
              </w:rPr>
              <w:t>提交</w:t>
            </w:r>
            <w:r>
              <w:rPr>
                <w:rFonts w:ascii="Times New Roman" w:hAnsi="Times New Roman" w:eastAsia="宋体" w:cs="Times New Roman"/>
                <w:color w:val="auto"/>
                <w:spacing w:val="-3"/>
                <w:sz w:val="21"/>
                <w:highlight w:val="none"/>
              </w:rPr>
              <w:t>的电子备份响应文件。顺位在先的响应文件已按时解密的</w:t>
            </w:r>
            <w:r>
              <w:rPr>
                <w:rFonts w:hint="eastAsia" w:ascii="Times New Roman" w:hAnsi="Times New Roman" w:eastAsia="宋体" w:cs="Times New Roman"/>
                <w:color w:val="auto"/>
                <w:spacing w:val="-3"/>
                <w:sz w:val="21"/>
                <w:highlight w:val="none"/>
                <w:lang w:eastAsia="zh-CN"/>
              </w:rPr>
              <w:t>，</w:t>
            </w:r>
            <w:r>
              <w:rPr>
                <w:rFonts w:ascii="Times New Roman" w:hAnsi="Times New Roman" w:eastAsia="宋体" w:cs="Times New Roman"/>
                <w:color w:val="auto"/>
                <w:spacing w:val="-3"/>
                <w:sz w:val="21"/>
                <w:highlight w:val="none"/>
              </w:rPr>
              <w:t>下一顺位响应文件自动失效。在下一顺位的响应文件启用时，前一顺位的响应文件自动失效。</w:t>
            </w:r>
          </w:p>
        </w:tc>
      </w:tr>
      <w:tr w14:paraId="6622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2692637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7E5C1A5C">
            <w:pPr>
              <w:keepNext w:val="0"/>
              <w:keepLines w:val="0"/>
              <w:pageBreakBefore w:val="0"/>
              <w:widowControl w:val="0"/>
              <w:kinsoku/>
              <w:wordWrap/>
              <w:overflowPunct/>
              <w:topLinePunct w:val="0"/>
              <w:autoSpaceDE/>
              <w:autoSpaceDN/>
              <w:bidi w:val="0"/>
              <w:adjustRightInd/>
              <w:spacing w:line="400" w:lineRule="exact"/>
              <w:jc w:val="center"/>
              <w:textAlignment w:val="auto"/>
              <w:rPr>
                <w:color w:val="auto"/>
                <w:highlight w:val="none"/>
              </w:rPr>
            </w:pPr>
            <w:r>
              <w:rPr>
                <w:rFonts w:hint="eastAsia"/>
                <w:color w:val="auto"/>
                <w:highlight w:val="none"/>
                <w:lang w:eastAsia="zh-CN"/>
              </w:rPr>
              <w:t>竞标</w:t>
            </w:r>
            <w:r>
              <w:rPr>
                <w:rFonts w:hint="eastAsia"/>
                <w:color w:val="auto"/>
                <w:highlight w:val="none"/>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75375270">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color w:val="auto"/>
                <w:highlight w:val="none"/>
                <w:lang w:eastAsia="zh-CN"/>
              </w:rPr>
              <w:t>竞</w:t>
            </w:r>
            <w:r>
              <w:rPr>
                <w:rFonts w:hint="eastAsia" w:ascii="宋体" w:hAnsi="宋体" w:cs="宋体"/>
                <w:color w:val="auto"/>
                <w:szCs w:val="21"/>
                <w:highlight w:val="none"/>
                <w:lang w:eastAsia="zh-CN"/>
              </w:rPr>
              <w:t>标</w:t>
            </w:r>
            <w:r>
              <w:rPr>
                <w:rFonts w:hint="eastAsia" w:ascii="宋体" w:hAnsi="宋体" w:cs="宋体"/>
                <w:color w:val="auto"/>
                <w:szCs w:val="21"/>
                <w:highlight w:val="none"/>
              </w:rPr>
              <w:t>有效期：</w:t>
            </w:r>
            <w:r>
              <w:rPr>
                <w:rFonts w:hint="eastAsia"/>
                <w:color w:val="auto"/>
                <w:highlight w:val="none"/>
                <w:lang w:eastAsia="zh-CN"/>
              </w:rPr>
              <w:t>竞</w:t>
            </w:r>
            <w:r>
              <w:rPr>
                <w:rFonts w:hint="eastAsia" w:ascii="宋体" w:hAnsi="宋体" w:cs="宋体"/>
                <w:color w:val="auto"/>
                <w:szCs w:val="21"/>
                <w:highlight w:val="none"/>
                <w:lang w:eastAsia="zh-CN"/>
              </w:rPr>
              <w:t>标</w:t>
            </w:r>
            <w:r>
              <w:rPr>
                <w:rFonts w:hint="eastAsia" w:ascii="宋体" w:hAnsi="宋体" w:cs="宋体"/>
                <w:color w:val="auto"/>
                <w:szCs w:val="21"/>
                <w:highlight w:val="none"/>
              </w:rPr>
              <w:t>截止日期后60天</w:t>
            </w:r>
          </w:p>
        </w:tc>
      </w:tr>
      <w:tr w14:paraId="50E3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B21574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71F2629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533889A1">
            <w:pPr>
              <w:pStyle w:val="13"/>
              <w:spacing w:line="288" w:lineRule="auto"/>
              <w:rPr>
                <w:rFonts w:hint="default" w:hAnsi="宋体" w:cs="宋体"/>
                <w:color w:val="000000" w:themeColor="text1"/>
                <w:kern w:val="0"/>
                <w:szCs w:val="21"/>
                <w:highlight w:val="none"/>
                <w:lang w:val="en-US" w:eastAsia="zh-CN"/>
                <w14:textFill>
                  <w14:solidFill>
                    <w14:schemeClr w14:val="tx1"/>
                  </w14:solidFill>
                </w14:textFill>
              </w:rPr>
            </w:pPr>
            <w:r>
              <w:rPr>
                <w:rFonts w:hint="eastAsia" w:hAnsi="宋体" w:cs="宋体"/>
                <w:color w:val="000000" w:themeColor="text1"/>
                <w:kern w:val="0"/>
                <w:szCs w:val="21"/>
                <w:highlight w:val="none"/>
                <w:lang w:eastAsia="zh-CN"/>
                <w14:textFill>
                  <w14:solidFill>
                    <w14:schemeClr w14:val="tx1"/>
                  </w14:solidFill>
                </w14:textFill>
              </w:rPr>
              <w:t>本项目是否要求收取磋商保证金：</w:t>
            </w:r>
            <w:r>
              <w:rPr>
                <w:rFonts w:hint="eastAsia" w:hAnsi="宋体" w:cs="宋体"/>
                <w:color w:val="000000" w:themeColor="text1"/>
                <w:kern w:val="0"/>
                <w:szCs w:val="21"/>
                <w:highlight w:val="none"/>
                <w:lang w:val="en-US" w:eastAsia="zh-CN"/>
                <w14:textFill>
                  <w14:solidFill>
                    <w14:schemeClr w14:val="tx1"/>
                  </w14:solidFill>
                </w14:textFill>
              </w:rPr>
              <w:sym w:font="Wingdings" w:char="00A8"/>
            </w:r>
            <w:r>
              <w:rPr>
                <w:rFonts w:hint="eastAsia" w:hAnsi="宋体" w:cs="宋体"/>
                <w:color w:val="000000" w:themeColor="text1"/>
                <w:kern w:val="0"/>
                <w:szCs w:val="21"/>
                <w:highlight w:val="none"/>
                <w:lang w:val="en-US" w:eastAsia="zh-CN"/>
                <w14:textFill>
                  <w14:solidFill>
                    <w14:schemeClr w14:val="tx1"/>
                  </w14:solidFill>
                </w14:textFill>
              </w:rPr>
              <w:t xml:space="preserve">要求   </w:t>
            </w:r>
            <w:r>
              <w:rPr>
                <w:rFonts w:hint="eastAsia" w:hAnsi="宋体" w:cs="宋体"/>
                <w:color w:val="000000" w:themeColor="text1"/>
                <w:kern w:val="0"/>
                <w:szCs w:val="21"/>
                <w:highlight w:val="none"/>
                <w:lang w:val="en-US" w:eastAsia="zh-CN"/>
                <w14:textFill>
                  <w14:solidFill>
                    <w14:schemeClr w14:val="tx1"/>
                  </w14:solidFill>
                </w14:textFill>
              </w:rPr>
              <w:sym w:font="Wingdings" w:char="00FE"/>
            </w:r>
            <w:r>
              <w:rPr>
                <w:rFonts w:hint="eastAsia" w:hAnsi="宋体" w:cs="宋体"/>
                <w:color w:val="000000" w:themeColor="text1"/>
                <w:kern w:val="0"/>
                <w:szCs w:val="21"/>
                <w:highlight w:val="none"/>
                <w:lang w:val="en-US" w:eastAsia="zh-CN"/>
                <w14:textFill>
                  <w14:solidFill>
                    <w14:schemeClr w14:val="tx1"/>
                  </w14:solidFill>
                </w14:textFill>
              </w:rPr>
              <w:t>不要求</w:t>
            </w:r>
          </w:p>
          <w:p w14:paraId="7B0B509E">
            <w:pPr>
              <w:pStyle w:val="13"/>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lang w:eastAsia="zh-CN"/>
                <w14:textFill>
                  <w14:solidFill>
                    <w14:schemeClr w14:val="tx1"/>
                  </w14:solidFill>
                </w14:textFill>
              </w:rPr>
              <w:t>磋商</w:t>
            </w:r>
            <w:r>
              <w:rPr>
                <w:rFonts w:hint="eastAsia" w:hAnsi="宋体" w:cs="宋体"/>
                <w:color w:val="000000" w:themeColor="text1"/>
                <w:kern w:val="0"/>
                <w:szCs w:val="21"/>
                <w:highlight w:val="none"/>
                <w14:textFill>
                  <w14:solidFill>
                    <w14:schemeClr w14:val="tx1"/>
                  </w14:solidFill>
                </w14:textFill>
              </w:rPr>
              <w:t>保证金</w:t>
            </w:r>
            <w:bookmarkStart w:id="63" w:name="OLE_LINK18"/>
            <w:r>
              <w:rPr>
                <w:rFonts w:hint="eastAsia" w:hAnsi="宋体" w:cs="宋体"/>
                <w:color w:val="000000" w:themeColor="text1"/>
                <w:kern w:val="0"/>
                <w:szCs w:val="21"/>
                <w:highlight w:val="none"/>
                <w14:textFill>
                  <w14:solidFill>
                    <w14:schemeClr w14:val="tx1"/>
                  </w14:solidFill>
                </w14:textFill>
              </w:rPr>
              <w:t>:</w:t>
            </w:r>
            <w:bookmarkEnd w:id="63"/>
            <w:r>
              <w:rPr>
                <w:rFonts w:hint="eastAsia" w:hAnsi="宋体"/>
                <w:color w:val="000000" w:themeColor="text1"/>
                <w:szCs w:val="21"/>
                <w:highlight w:val="none"/>
                <w:lang w:val="en-US" w:eastAsia="zh-CN"/>
                <w14:textFill>
                  <w14:solidFill>
                    <w14:schemeClr w14:val="tx1"/>
                  </w14:solidFill>
                </w14:textFill>
              </w:rPr>
              <w:t>0元</w:t>
            </w:r>
            <w:r>
              <w:rPr>
                <w:rFonts w:hint="eastAsia" w:hAnsi="宋体" w:cs="宋体"/>
                <w:color w:val="000000" w:themeColor="text1"/>
                <w:kern w:val="0"/>
                <w:szCs w:val="21"/>
                <w:highlight w:val="none"/>
                <w14:textFill>
                  <w14:solidFill>
                    <w14:schemeClr w14:val="tx1"/>
                  </w14:solidFill>
                </w14:textFill>
              </w:rPr>
              <w:t>。</w:t>
            </w:r>
          </w:p>
          <w:p w14:paraId="09C20640">
            <w:pPr>
              <w:pStyle w:val="13"/>
              <w:spacing w:line="288" w:lineRule="auto"/>
              <w:rPr>
                <w:rFonts w:hAnsi="宋体" w:cs="宋体"/>
                <w:color w:val="000000" w:themeColor="text1"/>
                <w:kern w:val="0"/>
                <w:szCs w:val="21"/>
                <w:highlight w:val="none"/>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磋商</w:t>
            </w:r>
            <w:r>
              <w:rPr>
                <w:rFonts w:hint="eastAsia" w:hAnsi="宋体"/>
                <w:color w:val="000000" w:themeColor="text1"/>
                <w:szCs w:val="21"/>
                <w:highlight w:val="none"/>
                <w14:textFill>
                  <w14:solidFill>
                    <w14:schemeClr w14:val="tx1"/>
                  </w14:solidFill>
                </w14:textFill>
              </w:rPr>
              <w:t>保证金缴纳形式：银行转账、支票、汇票、本票或者银行、保险机构出具的保函，禁止采用现钞方式。</w:t>
            </w:r>
          </w:p>
          <w:p w14:paraId="70726854">
            <w:pPr>
              <w:pStyle w:val="13"/>
              <w:spacing w:line="288" w:lineRule="auto"/>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采用银行转账方式的，</w:t>
            </w:r>
            <w:r>
              <w:rPr>
                <w:rFonts w:hint="eastAsia" w:hAnsi="宋体" w:cs="宋体"/>
                <w:color w:val="000000" w:themeColor="text1"/>
                <w:kern w:val="0"/>
                <w:szCs w:val="21"/>
                <w:highlight w:val="none"/>
                <w:lang w:eastAsia="zh-CN"/>
                <w14:textFill>
                  <w14:solidFill>
                    <w14:schemeClr w14:val="tx1"/>
                  </w14:solidFill>
                </w14:textFill>
              </w:rPr>
              <w:t>竞</w:t>
            </w:r>
            <w:r>
              <w:rPr>
                <w:rFonts w:hint="eastAsia" w:hAnsi="宋体" w:cs="宋体"/>
                <w:color w:val="000000" w:themeColor="text1"/>
                <w:kern w:val="0"/>
                <w:szCs w:val="21"/>
                <w:highlight w:val="none"/>
                <w14:textFill>
                  <w14:solidFill>
                    <w14:schemeClr w14:val="tx1"/>
                  </w14:solidFill>
                </w14:textFill>
              </w:rPr>
              <w:t>标人将</w:t>
            </w:r>
            <w:r>
              <w:rPr>
                <w:rFonts w:hint="eastAsia" w:hAnsi="宋体" w:cs="宋体"/>
                <w:color w:val="000000" w:themeColor="text1"/>
                <w:kern w:val="0"/>
                <w:szCs w:val="21"/>
                <w:highlight w:val="none"/>
                <w:lang w:eastAsia="zh-CN"/>
                <w14:textFill>
                  <w14:solidFill>
                    <w14:schemeClr w14:val="tx1"/>
                  </w14:solidFill>
                </w14:textFill>
              </w:rPr>
              <w:t>磋商</w:t>
            </w:r>
            <w:r>
              <w:rPr>
                <w:rFonts w:hint="eastAsia" w:hAnsi="宋体" w:cs="宋体"/>
                <w:color w:val="000000" w:themeColor="text1"/>
                <w:kern w:val="0"/>
                <w:szCs w:val="21"/>
                <w:highlight w:val="none"/>
                <w14:textFill>
                  <w14:solidFill>
                    <w14:schemeClr w14:val="tx1"/>
                  </w14:solidFill>
                </w14:textFill>
              </w:rPr>
              <w:t>保证金从</w:t>
            </w:r>
            <w:r>
              <w:rPr>
                <w:rFonts w:hint="eastAsia" w:hAnsi="宋体" w:cs="宋体"/>
                <w:color w:val="000000" w:themeColor="text1"/>
                <w:kern w:val="0"/>
                <w:szCs w:val="21"/>
                <w:highlight w:val="none"/>
                <w:lang w:eastAsia="zh-CN"/>
                <w14:textFill>
                  <w14:solidFill>
                    <w14:schemeClr w14:val="tx1"/>
                  </w14:solidFill>
                </w14:textFill>
              </w:rPr>
              <w:t>竞</w:t>
            </w:r>
            <w:r>
              <w:rPr>
                <w:rFonts w:hint="eastAsia" w:hAnsi="宋体" w:cs="宋体"/>
                <w:color w:val="000000" w:themeColor="text1"/>
                <w:kern w:val="0"/>
                <w:szCs w:val="21"/>
                <w:highlight w:val="none"/>
                <w14:textFill>
                  <w14:solidFill>
                    <w14:schemeClr w14:val="tx1"/>
                  </w14:solidFill>
                </w14:textFill>
              </w:rPr>
              <w:t>标人基本账户转出交至以下指定的</w:t>
            </w:r>
            <w:r>
              <w:rPr>
                <w:rFonts w:hint="eastAsia" w:hAnsi="宋体" w:cs="宋体"/>
                <w:color w:val="000000" w:themeColor="text1"/>
                <w:kern w:val="0"/>
                <w:szCs w:val="21"/>
                <w:highlight w:val="none"/>
                <w:lang w:eastAsia="zh-CN"/>
                <w14:textFill>
                  <w14:solidFill>
                    <w14:schemeClr w14:val="tx1"/>
                  </w14:solidFill>
                </w14:textFill>
              </w:rPr>
              <w:t>磋商</w:t>
            </w:r>
            <w:r>
              <w:rPr>
                <w:rFonts w:hint="eastAsia" w:hAnsi="宋体" w:cs="宋体"/>
                <w:color w:val="000000" w:themeColor="text1"/>
                <w:kern w:val="0"/>
                <w:szCs w:val="21"/>
                <w:highlight w:val="none"/>
                <w14:textFill>
                  <w14:solidFill>
                    <w14:schemeClr w14:val="tx1"/>
                  </w14:solidFill>
                </w14:textFill>
              </w:rPr>
              <w:t>保证金专用账户，且提交到指定账户时间不得迟于</w:t>
            </w:r>
            <w:r>
              <w:rPr>
                <w:rFonts w:hint="eastAsia" w:hAnsi="宋体" w:cs="宋体"/>
                <w:color w:val="000000" w:themeColor="text1"/>
                <w:kern w:val="0"/>
                <w:szCs w:val="21"/>
                <w:highlight w:val="none"/>
                <w:lang w:eastAsia="zh-CN"/>
                <w14:textFill>
                  <w14:solidFill>
                    <w14:schemeClr w14:val="tx1"/>
                  </w14:solidFill>
                </w14:textFill>
              </w:rPr>
              <w:t>响应文件提交</w:t>
            </w:r>
            <w:r>
              <w:rPr>
                <w:rFonts w:hint="eastAsia" w:hAnsi="宋体" w:cs="宋体"/>
                <w:color w:val="000000" w:themeColor="text1"/>
                <w:kern w:val="0"/>
                <w:szCs w:val="21"/>
                <w:highlight w:val="none"/>
                <w14:textFill>
                  <w14:solidFill>
                    <w14:schemeClr w14:val="tx1"/>
                  </w14:solidFill>
                </w14:textFill>
              </w:rPr>
              <w:t>截止时间（以到账为准）:</w:t>
            </w:r>
          </w:p>
          <w:p w14:paraId="20807279">
            <w:pPr>
              <w:pStyle w:val="13"/>
              <w:spacing w:line="288" w:lineRule="auto"/>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开户行：</w:t>
            </w:r>
          </w:p>
          <w:p w14:paraId="4236D23E">
            <w:pPr>
              <w:pStyle w:val="13"/>
              <w:spacing w:line="288" w:lineRule="auto"/>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户名：</w:t>
            </w:r>
          </w:p>
          <w:p w14:paraId="7368D10F">
            <w:pPr>
              <w:pStyle w:val="13"/>
              <w:spacing w:line="288" w:lineRule="auto"/>
              <w:rPr>
                <w:rFonts w:hint="eastAsia" w:eastAsia="宋体"/>
                <w:color w:val="auto"/>
                <w:highlight w:val="none"/>
                <w:lang w:eastAsia="zh-CN"/>
              </w:rPr>
            </w:pPr>
            <w:r>
              <w:rPr>
                <w:rFonts w:hint="eastAsia" w:hAnsi="宋体" w:cs="宋体"/>
                <w:color w:val="000000" w:themeColor="text1"/>
                <w:kern w:val="0"/>
                <w:szCs w:val="21"/>
                <w:highlight w:val="none"/>
                <w14:textFill>
                  <w14:solidFill>
                    <w14:schemeClr w14:val="tx1"/>
                  </w14:solidFill>
                </w14:textFill>
              </w:rPr>
              <w:t xml:space="preserve">账号： </w:t>
            </w:r>
          </w:p>
        </w:tc>
      </w:tr>
      <w:tr w14:paraId="4F51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61B37ED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5695ADA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hAnsi="宋体" w:cs="宋体"/>
                <w:color w:val="auto"/>
                <w:highlight w:val="none"/>
                <w:lang w:eastAsia="zh-CN"/>
              </w:rPr>
              <w:t>响应</w:t>
            </w:r>
            <w:r>
              <w:rPr>
                <w:rFonts w:hint="eastAsia" w:hAnsi="宋体" w:cs="宋体"/>
                <w:color w:val="auto"/>
                <w:highlight w:val="none"/>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1C6233AB">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6250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66A7B6B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51C54D5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464E2F03">
            <w:pPr>
              <w:pStyle w:val="13"/>
              <w:keepNext w:val="0"/>
              <w:keepLines w:val="0"/>
              <w:pageBreakBefore w:val="0"/>
              <w:widowControl w:val="0"/>
              <w:kinsoku/>
              <w:wordWrap/>
              <w:overflowPunct/>
              <w:topLinePunct w:val="0"/>
              <w:autoSpaceDE/>
              <w:autoSpaceDN/>
              <w:bidi w:val="0"/>
              <w:adjustRightInd/>
              <w:spacing w:line="400" w:lineRule="exact"/>
              <w:jc w:val="left"/>
              <w:textAlignment w:val="auto"/>
              <w:rPr>
                <w:rFonts w:hAnsi="宋体" w:cs="宋体"/>
                <w:color w:val="auto"/>
                <w:highlight w:val="none"/>
              </w:rPr>
            </w:pPr>
            <w:r>
              <w:rPr>
                <w:rFonts w:hint="eastAsia" w:hAnsi="宋体" w:cs="宋体"/>
                <w:color w:val="auto"/>
                <w:highlight w:val="none"/>
              </w:rPr>
              <w:t>评标委员会构成：</w:t>
            </w:r>
            <w:r>
              <w:rPr>
                <w:rFonts w:hint="eastAsia" w:hAnsi="宋体" w:cs="宋体"/>
                <w:color w:val="auto"/>
                <w:highlight w:val="none"/>
                <w:lang w:val="en-US" w:eastAsia="zh-CN"/>
              </w:rPr>
              <w:t>3</w:t>
            </w:r>
            <w:r>
              <w:rPr>
                <w:rFonts w:hint="eastAsia" w:hAnsi="宋体" w:cs="宋体"/>
                <w:color w:val="auto"/>
                <w:highlight w:val="none"/>
              </w:rPr>
              <w:t>人，其中采购单位代表</w:t>
            </w:r>
            <w:r>
              <w:rPr>
                <w:rFonts w:hint="eastAsia" w:hAnsi="宋体" w:cs="宋体"/>
                <w:color w:val="auto"/>
                <w:highlight w:val="none"/>
                <w:lang w:val="en-US" w:eastAsia="zh-CN"/>
              </w:rPr>
              <w:t>1</w:t>
            </w:r>
            <w:r>
              <w:rPr>
                <w:rFonts w:hint="eastAsia" w:hAnsi="宋体" w:cs="宋体"/>
                <w:color w:val="auto"/>
                <w:highlight w:val="none"/>
              </w:rPr>
              <w:t>人，专家</w:t>
            </w:r>
            <w:r>
              <w:rPr>
                <w:rFonts w:hint="eastAsia" w:hAnsi="宋体" w:cs="宋体"/>
                <w:color w:val="auto"/>
                <w:highlight w:val="none"/>
                <w:lang w:val="en-US" w:eastAsia="zh-CN"/>
              </w:rPr>
              <w:t>2</w:t>
            </w:r>
            <w:r>
              <w:rPr>
                <w:rFonts w:hint="eastAsia" w:hAnsi="宋体" w:cs="宋体"/>
                <w:color w:val="auto"/>
                <w:highlight w:val="none"/>
              </w:rPr>
              <w:t>人；</w:t>
            </w:r>
          </w:p>
          <w:p w14:paraId="3608A632">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7E1E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7798248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7484F50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1E927647">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1743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0819E5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42FF213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44638315">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5E93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7F95AED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65BE6AB0">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53138AEA">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6BDB8AE6">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35F1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594D62F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57D24E8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370398B0">
            <w:pPr>
              <w:keepNext w:val="0"/>
              <w:keepLines w:val="0"/>
              <w:pageBreakBefore w:val="0"/>
              <w:widowControl w:val="0"/>
              <w:kinsoku/>
              <w:wordWrap/>
              <w:overflowPunct/>
              <w:topLinePunct w:val="0"/>
              <w:autoSpaceDE w:val="0"/>
              <w:autoSpaceDN w:val="0"/>
              <w:bidi w:val="0"/>
              <w:adjustRightInd/>
              <w:snapToGrid w:val="0"/>
              <w:spacing w:line="336"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本项目不收取履约保证金。</w:t>
            </w:r>
          </w:p>
          <w:p w14:paraId="72FA78E7">
            <w:pPr>
              <w:keepNext w:val="0"/>
              <w:keepLines w:val="0"/>
              <w:pageBreakBefore w:val="0"/>
              <w:widowControl w:val="0"/>
              <w:kinsoku/>
              <w:wordWrap/>
              <w:overflowPunct/>
              <w:topLinePunct w:val="0"/>
              <w:autoSpaceDE w:val="0"/>
              <w:autoSpaceDN w:val="0"/>
              <w:bidi w:val="0"/>
              <w:adjustRightInd/>
              <w:snapToGrid w:val="0"/>
              <w:spacing w:line="336"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本项目收取履约保证金，具体规定如下：</w:t>
            </w:r>
          </w:p>
          <w:p w14:paraId="4C8C7CA9">
            <w:pPr>
              <w:keepNext w:val="0"/>
              <w:keepLines w:val="0"/>
              <w:pageBreakBefore w:val="0"/>
              <w:widowControl w:val="0"/>
              <w:kinsoku/>
              <w:wordWrap/>
              <w:overflowPunct/>
              <w:topLinePunct w:val="0"/>
              <w:bidi w:val="0"/>
              <w:adjustRightInd/>
              <w:spacing w:line="336"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履约保证金金额：按成交金额的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%，成交供应商属于中小企业的按成交金额的</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（注：履约保证金不超过</w:t>
            </w:r>
            <w:r>
              <w:rPr>
                <w:rFonts w:hint="eastAsia"/>
                <w:b/>
                <w:color w:val="000000" w:themeColor="text1"/>
                <w:highlight w:val="none"/>
                <w14:textFill>
                  <w14:solidFill>
                    <w14:schemeClr w14:val="tx1"/>
                  </w14:solidFill>
                </w14:textFill>
              </w:rPr>
              <w:t>政府采购合同金额的</w:t>
            </w:r>
            <w:r>
              <w:rPr>
                <w:rFonts w:ascii="宋体" w:hAnsi="宋体" w:cs="宋体"/>
                <w:b/>
                <w:color w:val="000000" w:themeColor="text1"/>
                <w:szCs w:val="21"/>
                <w:highlight w:val="none"/>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%，对中小企业收取的履约保证金数额不得超过政府采购合同金额的2%。采购人可根据供应商的资信等情况减免履约保证金。）</w:t>
            </w:r>
          </w:p>
          <w:p w14:paraId="57CEA297">
            <w:pPr>
              <w:keepNext w:val="0"/>
              <w:keepLines w:val="0"/>
              <w:pageBreakBefore w:val="0"/>
              <w:widowControl w:val="0"/>
              <w:kinsoku/>
              <w:wordWrap/>
              <w:overflowPunct/>
              <w:topLinePunct w:val="0"/>
              <w:bidi w:val="0"/>
              <w:adjustRightInd/>
              <w:spacing w:line="336"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履约保证金指定账户：</w:t>
            </w:r>
          </w:p>
          <w:p w14:paraId="2F011832">
            <w:pPr>
              <w:keepNext w:val="0"/>
              <w:keepLines w:val="0"/>
              <w:pageBreakBefore w:val="0"/>
              <w:widowControl w:val="0"/>
              <w:kinsoku/>
              <w:wordWrap/>
              <w:overflowPunct/>
              <w:topLinePunct w:val="0"/>
              <w:bidi w:val="0"/>
              <w:adjustRightInd/>
              <w:spacing w:line="336" w:lineRule="auto"/>
              <w:contextualSpacing/>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开户名： </w:t>
            </w:r>
            <w:r>
              <w:rPr>
                <w:rFonts w:hint="eastAsia" w:ascii="宋体" w:hAnsi="宋体" w:cs="宋体"/>
                <w:color w:val="000000" w:themeColor="text1"/>
                <w:szCs w:val="21"/>
                <w:highlight w:val="none"/>
                <w:lang w:val="en-US" w:eastAsia="zh-CN"/>
                <w14:textFill>
                  <w14:solidFill>
                    <w14:schemeClr w14:val="tx1"/>
                  </w14:solidFill>
                </w14:textFill>
              </w:rPr>
              <w:t>/</w:t>
            </w:r>
          </w:p>
          <w:p w14:paraId="2771365A">
            <w:pPr>
              <w:keepNext w:val="0"/>
              <w:keepLines w:val="0"/>
              <w:pageBreakBefore w:val="0"/>
              <w:widowControl w:val="0"/>
              <w:kinsoku/>
              <w:wordWrap/>
              <w:overflowPunct/>
              <w:topLinePunct w:val="0"/>
              <w:bidi w:val="0"/>
              <w:adjustRightInd/>
              <w:spacing w:line="336" w:lineRule="auto"/>
              <w:contextualSpacing/>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开户行： </w:t>
            </w:r>
            <w:r>
              <w:rPr>
                <w:rFonts w:hint="eastAsia" w:ascii="宋体" w:hAnsi="宋体" w:cs="宋体"/>
                <w:color w:val="000000" w:themeColor="text1"/>
                <w:szCs w:val="21"/>
                <w:highlight w:val="none"/>
                <w:lang w:val="en-US" w:eastAsia="zh-CN"/>
                <w14:textFill>
                  <w14:solidFill>
                    <w14:schemeClr w14:val="tx1"/>
                  </w14:solidFill>
                </w14:textFill>
              </w:rPr>
              <w:t>/</w:t>
            </w:r>
          </w:p>
          <w:p w14:paraId="6BCBBEC1">
            <w:pPr>
              <w:keepNext w:val="0"/>
              <w:keepLines w:val="0"/>
              <w:pageBreakBefore w:val="0"/>
              <w:widowControl w:val="0"/>
              <w:kinsoku/>
              <w:wordWrap/>
              <w:overflowPunct/>
              <w:topLinePunct w:val="0"/>
              <w:bidi w:val="0"/>
              <w:adjustRightInd/>
              <w:spacing w:line="336" w:lineRule="auto"/>
              <w:contextualSpacing/>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lang w:val="en-US" w:eastAsia="zh-CN"/>
                <w14:textFill>
                  <w14:solidFill>
                    <w14:schemeClr w14:val="tx1"/>
                  </w14:solidFill>
                </w14:textFill>
              </w:rPr>
              <w:t>/</w:t>
            </w:r>
          </w:p>
          <w:p w14:paraId="01DEB1E3">
            <w:pPr>
              <w:keepNext w:val="0"/>
              <w:keepLines w:val="0"/>
              <w:pageBreakBefore w:val="0"/>
              <w:widowControl w:val="0"/>
              <w:kinsoku/>
              <w:wordWrap/>
              <w:overflowPunct/>
              <w:topLinePunct w:val="0"/>
              <w:bidi w:val="0"/>
              <w:adjustRightInd/>
              <w:spacing w:line="336" w:lineRule="auto"/>
              <w:contextualSpacing/>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银行行号：</w:t>
            </w:r>
            <w:r>
              <w:rPr>
                <w:rFonts w:hint="eastAsia" w:ascii="宋体" w:hAnsi="宋体" w:cs="宋体"/>
                <w:color w:val="000000" w:themeColor="text1"/>
                <w:szCs w:val="21"/>
                <w:highlight w:val="none"/>
                <w:lang w:val="en-US" w:eastAsia="zh-CN"/>
                <w14:textFill>
                  <w14:solidFill>
                    <w14:schemeClr w14:val="tx1"/>
                  </w14:solidFill>
                </w14:textFill>
              </w:rPr>
              <w:t>/</w:t>
            </w:r>
          </w:p>
        </w:tc>
      </w:tr>
      <w:tr w14:paraId="65E3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3EFBB87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4DFBF51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6C3E636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本项目采购预算价：</w:t>
            </w:r>
            <w:r>
              <w:rPr>
                <w:rFonts w:hint="eastAsia" w:ascii="宋体" w:hAnsi="宋体" w:cs="宋体"/>
                <w:color w:val="000000" w:themeColor="text1"/>
                <w:szCs w:val="21"/>
                <w:highlight w:val="none"/>
                <w:lang w:val="en-US" w:eastAsia="zh-CN"/>
                <w14:textFill>
                  <w14:solidFill>
                    <w14:schemeClr w14:val="tx1"/>
                  </w14:solidFill>
                </w14:textFill>
              </w:rPr>
              <w:t>1899977.73</w:t>
            </w:r>
            <w:r>
              <w:rPr>
                <w:rFonts w:hint="eastAsia" w:asciiTheme="minorEastAsia" w:hAnsiTheme="minorEastAsia" w:eastAsiaTheme="minorEastAsia" w:cstheme="minorEastAsia"/>
                <w:color w:val="000000" w:themeColor="text1"/>
                <w:spacing w:val="-3"/>
                <w:kern w:val="2"/>
                <w:sz w:val="21"/>
                <w:szCs w:val="21"/>
                <w:highlight w:val="none"/>
                <w:lang w:val="en-US" w:eastAsia="zh-CN"/>
                <w14:textFill>
                  <w14:solidFill>
                    <w14:schemeClr w14:val="tx1"/>
                  </w14:solidFill>
                </w14:textFill>
              </w:rPr>
              <w:t>元</w:t>
            </w:r>
          </w:p>
        </w:tc>
      </w:tr>
      <w:tr w14:paraId="32EB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5E541FF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DFD1EC6">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ascii="宋体" w:hAnsi="宋体"/>
                <w:color w:val="auto"/>
                <w:szCs w:val="21"/>
                <w:highlight w:val="none"/>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5BDC2D15">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ascii="宋体" w:hAnsi="宋体" w:cs="宋体"/>
                <w:color w:val="auto"/>
                <w:szCs w:val="21"/>
                <w:highlight w:val="none"/>
              </w:rPr>
            </w:pPr>
            <w:r>
              <w:rPr>
                <w:rFonts w:hint="eastAsia" w:ascii="宋体" w:hAnsi="宋体"/>
                <w:color w:val="auto"/>
                <w:szCs w:val="21"/>
                <w:highlight w:val="none"/>
              </w:rPr>
              <w:t>以书面形式</w:t>
            </w:r>
          </w:p>
        </w:tc>
      </w:tr>
      <w:tr w14:paraId="3AB9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E5FD95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77FA842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ascii="宋体" w:hAnsi="宋体"/>
                <w:color w:val="auto"/>
                <w:szCs w:val="21"/>
                <w:highlight w:val="none"/>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116CEE2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olor w:val="auto"/>
                <w:szCs w:val="21"/>
                <w:highlight w:val="none"/>
                <w:u w:val="none"/>
                <w:lang w:eastAsia="zh-CN"/>
              </w:rPr>
            </w:pPr>
            <w:r>
              <w:rPr>
                <w:rFonts w:hint="eastAsia" w:ascii="宋体" w:hAnsi="宋体"/>
                <w:color w:val="auto"/>
                <w:szCs w:val="21"/>
                <w:highlight w:val="none"/>
                <w:u w:val="none"/>
                <w:lang w:eastAsia="zh-CN"/>
              </w:rPr>
              <w:t xml:space="preserve">广西中佰项目管理有限公司 </w:t>
            </w:r>
          </w:p>
          <w:p w14:paraId="572C7C3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olor w:val="auto"/>
                <w:szCs w:val="21"/>
                <w:highlight w:val="none"/>
                <w:u w:val="none"/>
                <w:lang w:val="en-US" w:eastAsia="zh-CN"/>
              </w:rPr>
            </w:pPr>
            <w:r>
              <w:rPr>
                <w:rFonts w:ascii="宋体" w:hAnsi="宋体"/>
                <w:color w:val="auto"/>
                <w:szCs w:val="21"/>
                <w:highlight w:val="none"/>
                <w:u w:val="none"/>
              </w:rPr>
              <w:t>联系电话</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 xml:space="preserve">0777-8331248 </w:t>
            </w:r>
          </w:p>
          <w:p w14:paraId="44F049BB">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b/>
                <w:color w:val="auto"/>
                <w:highlight w:val="none"/>
              </w:rPr>
            </w:pPr>
            <w:r>
              <w:rPr>
                <w:rFonts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Times New Roman"/>
                <w:color w:val="auto"/>
                <w:szCs w:val="21"/>
                <w:highlight w:val="none"/>
                <w:u w:val="none"/>
                <w:lang w:eastAsia="zh-CN"/>
              </w:rPr>
              <w:t>浦北县小江镇东滨路（东方丽园）9幢32号</w:t>
            </w:r>
          </w:p>
        </w:tc>
      </w:tr>
      <w:tr w14:paraId="0A9F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754E581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0EAF370F">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hAnsi="宋体"/>
                <w:color w:val="auto"/>
                <w:highlight w:val="none"/>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31485E05">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6148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0809E4B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7EB8903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hAnsi="宋体"/>
                <w:color w:val="auto"/>
                <w:highlight w:val="none"/>
              </w:rPr>
            </w:pPr>
            <w:r>
              <w:rPr>
                <w:rFonts w:hint="eastAsia" w:ascii="宋体" w:hAnsi="宋体" w:cs="宋体"/>
                <w:color w:val="auto"/>
                <w:szCs w:val="21"/>
                <w:highlight w:val="none"/>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552A1180">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1.代理服务费：按国家计委计价格[2002]1980号和发改办[2003]857号文规定由招标代理机构向成交供应商收取。即按成交金额100万元以下为1.0%，100-500万元为0.7%，并且按差额定率累进法计算。</w:t>
            </w:r>
          </w:p>
          <w:p w14:paraId="57299BF3">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2. 代理服务费收取银行账户：</w:t>
            </w:r>
          </w:p>
          <w:p w14:paraId="33731051">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lang w:eastAsia="zh-CN"/>
              </w:rPr>
            </w:pPr>
            <w:r>
              <w:rPr>
                <w:rFonts w:hint="eastAsia" w:hAnsi="宋体"/>
                <w:color w:val="auto"/>
                <w:highlight w:val="none"/>
              </w:rPr>
              <w:t>账户名称：</w:t>
            </w:r>
            <w:r>
              <w:rPr>
                <w:rFonts w:hint="eastAsia" w:hAnsi="宋体"/>
                <w:color w:val="auto"/>
                <w:highlight w:val="none"/>
                <w:lang w:eastAsia="zh-CN"/>
              </w:rPr>
              <w:t xml:space="preserve">广西中佰项目管理有限公司 </w:t>
            </w:r>
          </w:p>
          <w:p w14:paraId="5C62D5DA">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lang w:eastAsia="zh-CN"/>
              </w:rPr>
            </w:pPr>
            <w:r>
              <w:rPr>
                <w:rFonts w:hint="eastAsia" w:hAnsi="宋体"/>
                <w:color w:val="auto"/>
                <w:highlight w:val="none"/>
              </w:rPr>
              <w:t>开户银行：</w:t>
            </w:r>
            <w:r>
              <w:rPr>
                <w:rFonts w:hint="eastAsia" w:hAnsi="宋体"/>
                <w:color w:val="auto"/>
                <w:highlight w:val="none"/>
                <w:lang w:val="en-US" w:eastAsia="zh-CN"/>
              </w:rPr>
              <w:t>中国建设银行股份有限公司浦北支行</w:t>
            </w:r>
          </w:p>
          <w:p w14:paraId="2995088E">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rPr>
            </w:pPr>
            <w:r>
              <w:rPr>
                <w:rFonts w:hint="eastAsia" w:hAnsi="宋体"/>
                <w:color w:val="auto"/>
                <w:highlight w:val="none"/>
              </w:rPr>
              <w:t>银行账号：</w:t>
            </w:r>
            <w:r>
              <w:rPr>
                <w:rFonts w:hint="eastAsia" w:hAnsi="宋体"/>
                <w:color w:val="auto"/>
                <w:highlight w:val="none"/>
                <w:lang w:val="en-US" w:eastAsia="zh-CN"/>
              </w:rPr>
              <w:t xml:space="preserve">4505 0110 1205 0000 1410 </w:t>
            </w:r>
          </w:p>
        </w:tc>
      </w:tr>
      <w:tr w14:paraId="3E9F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2343DE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6119E1A7">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hAnsi="宋体"/>
                <w:color w:val="auto"/>
                <w:highlight w:val="none"/>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5BEF8790">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b/>
                <w:color w:val="auto"/>
                <w:sz w:val="21"/>
                <w:highlight w:val="none"/>
                <w:lang w:val="en-US" w:eastAsia="zh-CN"/>
              </w:rPr>
            </w:pPr>
            <w:r>
              <w:rPr>
                <w:rFonts w:hint="eastAsia" w:hAnsi="宋体" w:cs="宋体"/>
                <w:b/>
                <w:color w:val="auto"/>
                <w:sz w:val="21"/>
                <w:highlight w:val="none"/>
                <w:lang w:val="en-US" w:eastAsia="zh-CN"/>
              </w:rPr>
              <w:t>解释权：</w:t>
            </w:r>
            <w:r>
              <w:rPr>
                <w:rFonts w:hAnsi="宋体" w:cs="宋体"/>
                <w:color w:val="auto"/>
                <w:sz w:val="21"/>
                <w:highlight w:val="none"/>
                <w:lang w:val="en-US" w:eastAsia="zh-CN"/>
              </w:rPr>
              <w:t>构成本</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的各个组成文件应互为解释，互为说明；除</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中有特别规定外，仅适用于</w:t>
            </w:r>
            <w:r>
              <w:rPr>
                <w:rFonts w:hint="eastAsia" w:hAnsi="宋体" w:cs="宋体"/>
                <w:color w:val="auto"/>
                <w:sz w:val="21"/>
                <w:highlight w:val="none"/>
                <w:lang w:val="en-US" w:eastAsia="zh-CN"/>
              </w:rPr>
              <w:t>竞标</w:t>
            </w:r>
            <w:r>
              <w:rPr>
                <w:rFonts w:hAnsi="宋体" w:cs="宋体"/>
                <w:color w:val="auto"/>
                <w:sz w:val="21"/>
                <w:highlight w:val="none"/>
                <w:lang w:val="en-US" w:eastAsia="zh-CN"/>
              </w:rPr>
              <w:t>阶段的规定，按</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w:t>
            </w:r>
            <w:r>
              <w:rPr>
                <w:rFonts w:hint="eastAsia" w:hAnsi="宋体" w:cs="宋体"/>
                <w:color w:val="auto"/>
                <w:sz w:val="21"/>
                <w:highlight w:val="none"/>
                <w:lang w:val="en-US" w:eastAsia="zh-CN"/>
              </w:rPr>
              <w:t>竞争性磋商</w:t>
            </w:r>
            <w:r>
              <w:rPr>
                <w:rFonts w:hAnsi="宋体" w:cs="宋体"/>
                <w:color w:val="auto"/>
                <w:sz w:val="21"/>
                <w:highlight w:val="none"/>
                <w:lang w:val="en-US" w:eastAsia="zh-CN"/>
              </w:rPr>
              <w:t>公告、</w:t>
            </w:r>
            <w:r>
              <w:rPr>
                <w:rFonts w:hint="eastAsia" w:hAnsi="宋体" w:cs="宋体"/>
                <w:color w:val="auto"/>
                <w:sz w:val="21"/>
                <w:highlight w:val="none"/>
                <w:lang w:val="en-US" w:eastAsia="zh-CN"/>
              </w:rPr>
              <w:t>供应商</w:t>
            </w:r>
            <w:r>
              <w:rPr>
                <w:rFonts w:hAnsi="宋体" w:cs="宋体"/>
                <w:color w:val="auto"/>
                <w:sz w:val="21"/>
                <w:highlight w:val="none"/>
                <w:lang w:val="en-US" w:eastAsia="zh-CN"/>
              </w:rPr>
              <w:t>须知</w:t>
            </w:r>
            <w:r>
              <w:rPr>
                <w:rFonts w:hint="eastAsia" w:hAnsi="宋体" w:cs="宋体"/>
                <w:color w:val="auto"/>
                <w:sz w:val="21"/>
                <w:highlight w:val="none"/>
                <w:lang w:val="en-US" w:eastAsia="zh-CN"/>
              </w:rPr>
              <w:t>、采购需求</w:t>
            </w:r>
            <w:r>
              <w:rPr>
                <w:rFonts w:hAnsi="宋体" w:cs="宋体"/>
                <w:color w:val="auto"/>
                <w:sz w:val="21"/>
                <w:highlight w:val="none"/>
                <w:lang w:val="en-US" w:eastAsia="zh-CN"/>
              </w:rPr>
              <w:t>、</w:t>
            </w:r>
            <w:r>
              <w:rPr>
                <w:rFonts w:hint="eastAsia" w:hAnsi="宋体" w:cs="宋体"/>
                <w:color w:val="auto"/>
                <w:sz w:val="21"/>
                <w:highlight w:val="none"/>
                <w:lang w:val="en-US" w:eastAsia="zh-CN"/>
              </w:rPr>
              <w:t>评审程序、评审方法和评审标准</w:t>
            </w:r>
            <w:r>
              <w:rPr>
                <w:rFonts w:hAnsi="宋体" w:cs="宋体"/>
                <w:color w:val="auto"/>
                <w:sz w:val="21"/>
                <w:highlight w:val="none"/>
                <w:lang w:val="en-US" w:eastAsia="zh-CN"/>
              </w:rPr>
              <w:t>、</w:t>
            </w:r>
            <w:r>
              <w:rPr>
                <w:rFonts w:hint="eastAsia" w:hAnsi="宋体" w:cs="宋体"/>
                <w:color w:val="auto"/>
                <w:sz w:val="21"/>
                <w:highlight w:val="none"/>
                <w:lang w:val="en-US" w:eastAsia="zh-CN"/>
              </w:rPr>
              <w:t>响应</w:t>
            </w:r>
            <w:r>
              <w:rPr>
                <w:rFonts w:hAnsi="宋体" w:cs="宋体"/>
                <w:color w:val="auto"/>
                <w:sz w:val="21"/>
                <w:highlight w:val="none"/>
                <w:lang w:val="en-US" w:eastAsia="zh-CN"/>
              </w:rPr>
              <w:t>文件格式</w:t>
            </w:r>
            <w:r>
              <w:rPr>
                <w:rFonts w:hint="eastAsia" w:hAnsi="宋体" w:cs="宋体"/>
                <w:color w:val="auto"/>
                <w:sz w:val="21"/>
                <w:highlight w:val="none"/>
                <w:lang w:val="en-US" w:eastAsia="zh-CN"/>
              </w:rPr>
              <w:t>、合同文本</w:t>
            </w:r>
            <w:r>
              <w:rPr>
                <w:rFonts w:hAnsi="宋体" w:cs="宋体"/>
                <w:color w:val="auto"/>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与同步更新的</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不一致时以</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为准。按本款前述规定仍不能形成结论的，</w:t>
            </w:r>
            <w:r>
              <w:rPr>
                <w:rFonts w:hAnsi="宋体" w:cs="宋体"/>
                <w:b/>
                <w:color w:val="auto"/>
                <w:sz w:val="21"/>
                <w:highlight w:val="none"/>
                <w:lang w:val="en-US" w:eastAsia="zh-CN"/>
              </w:rPr>
              <w:t>由</w:t>
            </w:r>
            <w:r>
              <w:rPr>
                <w:rFonts w:hint="eastAsia" w:hAnsi="宋体" w:cs="宋体"/>
                <w:b/>
                <w:color w:val="auto"/>
                <w:sz w:val="21"/>
                <w:highlight w:val="none"/>
                <w:lang w:val="en-US" w:eastAsia="zh-CN"/>
              </w:rPr>
              <w:t>采购</w:t>
            </w:r>
            <w:r>
              <w:rPr>
                <w:rFonts w:hAnsi="宋体" w:cs="宋体"/>
                <w:b/>
                <w:color w:val="auto"/>
                <w:sz w:val="21"/>
                <w:highlight w:val="none"/>
                <w:lang w:val="en-US" w:eastAsia="zh-CN"/>
              </w:rPr>
              <w:t>人</w:t>
            </w:r>
            <w:r>
              <w:rPr>
                <w:rFonts w:hint="eastAsia" w:hAnsi="宋体" w:cs="宋体"/>
                <w:b/>
                <w:color w:val="auto"/>
                <w:sz w:val="21"/>
                <w:highlight w:val="none"/>
                <w:lang w:val="en-US" w:eastAsia="zh-CN"/>
              </w:rPr>
              <w:t>或者采购代理机构</w:t>
            </w:r>
            <w:r>
              <w:rPr>
                <w:rFonts w:hAnsi="宋体" w:cs="宋体"/>
                <w:b/>
                <w:color w:val="auto"/>
                <w:sz w:val="21"/>
                <w:highlight w:val="none"/>
                <w:lang w:val="en-US" w:eastAsia="zh-CN"/>
              </w:rPr>
              <w:t>负责解释。</w:t>
            </w:r>
          </w:p>
          <w:p w14:paraId="2560A7A3">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highlight w:val="none"/>
                <w:lang w:val="en-US" w:eastAsia="zh-CN"/>
              </w:rPr>
            </w:pPr>
            <w:r>
              <w:rPr>
                <w:rFonts w:hint="eastAsia" w:hAnsi="宋体" w:cs="宋体"/>
                <w:b/>
                <w:color w:val="auto"/>
                <w:sz w:val="21"/>
                <w:highlight w:val="none"/>
                <w:lang w:val="en-US" w:eastAsia="zh-CN"/>
              </w:rPr>
              <w:t>法律责任：</w:t>
            </w:r>
            <w:r>
              <w:rPr>
                <w:rFonts w:hint="eastAsia" w:hAnsi="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3757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5B5418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0CF6597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7016A838">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AE259C1">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2.本磋商文件所称的“电子签章”、“电子签名”，是指经“政采云”平台认可的CA认证的电子签名数据为表现形式的印章，可用于签署电子响应文件，电子印章与实物印章具有同等法律效力，不因其采用电子化表现形式而否定其法律效力。</w:t>
            </w:r>
          </w:p>
          <w:p w14:paraId="61345132">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Ansi="宋体" w:cs="宋体"/>
                <w:color w:val="auto"/>
                <w:sz w:val="21"/>
                <w:highlight w:val="none"/>
                <w:lang w:val="en-US" w:eastAsia="zh-CN"/>
              </w:rPr>
            </w:pPr>
            <w:r>
              <w:rPr>
                <w:rFonts w:hint="eastAsia" w:hAnsi="宋体" w:cs="宋体"/>
                <w:color w:val="auto"/>
                <w:sz w:val="21"/>
                <w:highlight w:val="none"/>
                <w:lang w:val="en-US" w:eastAsia="zh-CN"/>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E40770C">
            <w:pPr>
              <w:pStyle w:val="13"/>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Ansi="宋体" w:cs="宋体"/>
                <w:color w:val="auto"/>
                <w:sz w:val="21"/>
                <w:highlight w:val="none"/>
                <w:lang w:val="en-US" w:eastAsia="zh-CN"/>
              </w:rPr>
            </w:pPr>
            <w:r>
              <w:rPr>
                <w:rFonts w:hint="eastAsia" w:hAnsi="宋体" w:cs="宋体"/>
                <w:color w:val="auto"/>
                <w:sz w:val="21"/>
                <w:highlight w:val="none"/>
                <w:lang w:val="en-US" w:eastAsia="zh-CN"/>
              </w:rPr>
              <w:t>4</w:t>
            </w:r>
            <w:r>
              <w:rPr>
                <w:rFonts w:hAnsi="宋体" w:cs="宋体"/>
                <w:color w:val="auto"/>
                <w:sz w:val="21"/>
                <w:highlight w:val="none"/>
                <w:lang w:val="en-US" w:eastAsia="zh-CN"/>
              </w:rPr>
              <w:t>.</w:t>
            </w:r>
            <w:r>
              <w:rPr>
                <w:rFonts w:hint="eastAsia" w:hAnsi="宋体" w:cs="宋体"/>
                <w:color w:val="auto"/>
                <w:sz w:val="21"/>
                <w:highlight w:val="none"/>
                <w:lang w:val="en-US" w:eastAsia="zh-CN"/>
              </w:rPr>
              <w:t>自然人竞标的，磋商文件规定盖公章处由自然人摁手指指印。</w:t>
            </w:r>
          </w:p>
          <w:p w14:paraId="4D7DA8C6">
            <w:pPr>
              <w:pStyle w:val="13"/>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5</w:t>
            </w:r>
            <w:r>
              <w:rPr>
                <w:rFonts w:hAnsi="宋体" w:cs="宋体"/>
                <w:color w:val="auto"/>
                <w:sz w:val="21"/>
                <w:highlight w:val="none"/>
                <w:lang w:val="en-US" w:eastAsia="zh-CN"/>
              </w:rPr>
              <w:t>.</w:t>
            </w:r>
            <w:r>
              <w:rPr>
                <w:rFonts w:hint="eastAsia" w:hAnsi="宋体" w:cs="宋体"/>
                <w:color w:val="auto"/>
                <w:sz w:val="21"/>
                <w:highlight w:val="none"/>
                <w:lang w:val="en-US" w:eastAsia="zh-CN"/>
              </w:rPr>
              <w:t>本磋商文件所称的“以上”“以下”“以内”“届满”，包括本数；所称的“不满”“超过”“以外”，不包括本数。</w:t>
            </w:r>
          </w:p>
        </w:tc>
      </w:tr>
      <w:tr w14:paraId="2AC2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50983E3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6FB1058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cs="宋体"/>
                <w:color w:val="auto"/>
                <w:szCs w:val="21"/>
                <w:highlight w:val="none"/>
              </w:rPr>
            </w:pPr>
            <w:r>
              <w:rPr>
                <w:rFonts w:hint="eastAsia" w:ascii="宋体" w:hAnsi="宋体" w:eastAsia="宋体" w:cs="宋体"/>
                <w:b/>
                <w:color w:val="auto"/>
                <w:spacing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18998738">
            <w:pPr>
              <w:pStyle w:val="13"/>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olor w:val="auto"/>
                <w:highlight w:val="none"/>
                <w:lang w:eastAsia="zh-CN"/>
              </w:rPr>
            </w:pPr>
            <w:r>
              <w:rPr>
                <w:rFonts w:hint="eastAsia"/>
                <w:color w:val="auto"/>
                <w:highlight w:val="none"/>
              </w:rPr>
              <w:t>（1）</w:t>
            </w:r>
            <w:r>
              <w:rPr>
                <w:rFonts w:hint="eastAsia"/>
                <w:color w:val="auto"/>
                <w:highlight w:val="none"/>
                <w:lang w:eastAsia="zh-CN"/>
              </w:rPr>
              <w:t>响应文件</w:t>
            </w:r>
            <w:r>
              <w:rPr>
                <w:rFonts w:hint="eastAsia"/>
                <w:color w:val="auto"/>
                <w:highlight w:val="none"/>
              </w:rPr>
              <w:t>中须加盖供应商公章位置均采用CA签章，并根据“政府采购项目电子交易管理操作指南-供应商”及本</w:t>
            </w:r>
            <w:r>
              <w:rPr>
                <w:rFonts w:hint="eastAsia"/>
                <w:color w:val="auto"/>
                <w:highlight w:val="none"/>
                <w:lang w:eastAsia="zh-CN"/>
              </w:rPr>
              <w:t>竞争性磋商文件</w:t>
            </w:r>
            <w:r>
              <w:rPr>
                <w:rFonts w:hint="eastAsia"/>
                <w:color w:val="auto"/>
                <w:highlight w:val="none"/>
              </w:rPr>
              <w:t>规定的</w:t>
            </w:r>
            <w:r>
              <w:rPr>
                <w:rFonts w:hint="eastAsia"/>
                <w:color w:val="auto"/>
                <w:highlight w:val="none"/>
                <w:lang w:eastAsia="zh-CN"/>
              </w:rPr>
              <w:t>要求</w:t>
            </w:r>
            <w:r>
              <w:rPr>
                <w:rFonts w:hint="eastAsia"/>
                <w:color w:val="auto"/>
                <w:highlight w:val="none"/>
              </w:rPr>
              <w:t>编制</w:t>
            </w:r>
            <w:r>
              <w:rPr>
                <w:rFonts w:hint="eastAsia"/>
                <w:color w:val="auto"/>
                <w:highlight w:val="none"/>
                <w:lang w:eastAsia="zh-CN"/>
              </w:rPr>
              <w:t>响应文件</w:t>
            </w:r>
            <w:r>
              <w:rPr>
                <w:rFonts w:hint="eastAsia"/>
                <w:color w:val="auto"/>
                <w:highlight w:val="none"/>
              </w:rPr>
              <w:t>并进行关联定位，以便</w:t>
            </w:r>
            <w:r>
              <w:rPr>
                <w:rFonts w:hint="eastAsia"/>
                <w:color w:val="auto"/>
                <w:highlight w:val="none"/>
                <w:lang w:eastAsia="zh-CN"/>
              </w:rPr>
              <w:t>磋商小组</w:t>
            </w:r>
            <w:r>
              <w:rPr>
                <w:rFonts w:hint="eastAsia"/>
                <w:color w:val="auto"/>
                <w:highlight w:val="none"/>
              </w:rPr>
              <w:t>在评审时，点击评分项可直接定位到该评分项内容。如对</w:t>
            </w:r>
            <w:r>
              <w:rPr>
                <w:rFonts w:hint="eastAsia"/>
                <w:color w:val="auto"/>
                <w:highlight w:val="none"/>
                <w:lang w:eastAsia="zh-CN"/>
              </w:rPr>
              <w:t>竞争性磋商文件</w:t>
            </w:r>
            <w:r>
              <w:rPr>
                <w:rFonts w:hint="eastAsia"/>
                <w:color w:val="auto"/>
                <w:highlight w:val="none"/>
              </w:rPr>
              <w:t>的某项要求，供应商的</w:t>
            </w:r>
            <w:r>
              <w:rPr>
                <w:rFonts w:hint="eastAsia"/>
                <w:color w:val="auto"/>
                <w:highlight w:val="none"/>
                <w:lang w:eastAsia="zh-CN"/>
              </w:rPr>
              <w:t>响应文件</w:t>
            </w:r>
            <w:r>
              <w:rPr>
                <w:rFonts w:hint="eastAsia"/>
                <w:color w:val="auto"/>
                <w:highlight w:val="none"/>
              </w:rPr>
              <w:t>未能关联定位提供相应的内容与其对应，</w:t>
            </w:r>
            <w:r>
              <w:rPr>
                <w:rFonts w:hint="eastAsia"/>
                <w:color w:val="auto"/>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6A9D7F98">
            <w:pPr>
              <w:pStyle w:val="13"/>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olor w:val="auto"/>
                <w:highlight w:val="none"/>
              </w:rPr>
            </w:pPr>
            <w:r>
              <w:rPr>
                <w:rFonts w:hint="eastAsia"/>
                <w:color w:val="auto"/>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highlight w:val="none"/>
              </w:rPr>
              <w:t>。</w:t>
            </w:r>
          </w:p>
          <w:p w14:paraId="7BF7755F">
            <w:pPr>
              <w:pStyle w:val="47"/>
              <w:keepNext w:val="0"/>
              <w:keepLines w:val="0"/>
              <w:pageBreakBefore w:val="0"/>
              <w:widowControl w:val="0"/>
              <w:kinsoku/>
              <w:wordWrap/>
              <w:overflowPunct/>
              <w:topLinePunct w:val="0"/>
              <w:autoSpaceDE/>
              <w:autoSpaceDN/>
              <w:bidi w:val="0"/>
              <w:adjustRightInd/>
              <w:snapToGrid/>
              <w:spacing w:before="0" w:after="0" w:line="380" w:lineRule="exact"/>
              <w:ind w:left="0" w:leftChars="0" w:firstLine="0" w:firstLineChars="0"/>
              <w:textAlignment w:val="auto"/>
              <w:rPr>
                <w:rFonts w:hint="eastAsia"/>
                <w:color w:val="auto"/>
                <w:highlight w:val="none"/>
                <w:lang w:val="en-US" w:eastAsia="zh-CN"/>
              </w:rPr>
            </w:pPr>
            <w:r>
              <w:rPr>
                <w:rFonts w:hint="eastAsia" w:ascii="Times New Roman" w:eastAsia="宋体" w:cs="Times New Roman"/>
                <w:bCs w:val="0"/>
                <w:color w:val="auto"/>
                <w:spacing w:val="0"/>
                <w:kern w:val="2"/>
                <w:sz w:val="21"/>
                <w:szCs w:val="24"/>
                <w:highlight w:val="none"/>
                <w:lang w:val="en-US" w:eastAsia="zh-CN" w:bidi="ar-SA"/>
              </w:rPr>
              <w:t>（3）补充事项：</w:t>
            </w:r>
            <w:r>
              <w:rPr>
                <w:rFonts w:hint="eastAsia" w:ascii="Times New Roman" w:hAnsi="Times New Roman" w:eastAsia="宋体" w:cs="Times New Roman"/>
                <w:bCs w:val="0"/>
                <w:color w:val="auto"/>
                <w:spacing w:val="0"/>
                <w:kern w:val="2"/>
                <w:sz w:val="21"/>
                <w:szCs w:val="24"/>
                <w:highlight w:val="none"/>
                <w:lang w:val="en-US" w:eastAsia="zh-CN" w:bidi="ar-SA"/>
              </w:rPr>
              <w:t>成交</w:t>
            </w:r>
            <w:r>
              <w:rPr>
                <w:rFonts w:hint="eastAsia" w:ascii="Times New Roman" w:eastAsia="宋体" w:cs="Times New Roman"/>
                <w:bCs w:val="0"/>
                <w:color w:val="auto"/>
                <w:spacing w:val="0"/>
                <w:kern w:val="2"/>
                <w:sz w:val="21"/>
                <w:szCs w:val="24"/>
                <w:highlight w:val="none"/>
                <w:lang w:val="en-US" w:eastAsia="zh-CN" w:bidi="ar-SA"/>
              </w:rPr>
              <w:t>供应商</w:t>
            </w:r>
            <w:r>
              <w:rPr>
                <w:rFonts w:hint="eastAsia" w:ascii="Times New Roman" w:hAnsi="Times New Roman" w:eastAsia="宋体" w:cs="Times New Roman"/>
                <w:bCs w:val="0"/>
                <w:color w:val="auto"/>
                <w:spacing w:val="0"/>
                <w:kern w:val="2"/>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sz w:val="21"/>
                <w:szCs w:val="24"/>
                <w:highlight w:val="none"/>
                <w:lang w:val="en-US" w:eastAsia="zh-CN" w:bidi="ar-SA"/>
              </w:rPr>
              <w:t>（一式三份）</w:t>
            </w:r>
            <w:r>
              <w:rPr>
                <w:rFonts w:hint="eastAsia" w:ascii="Times New Roman" w:hAnsi="Times New Roman" w:eastAsia="宋体" w:cs="Times New Roman"/>
                <w:bCs w:val="0"/>
                <w:color w:val="auto"/>
                <w:spacing w:val="0"/>
                <w:kern w:val="2"/>
                <w:sz w:val="21"/>
                <w:szCs w:val="24"/>
                <w:highlight w:val="none"/>
                <w:lang w:val="en-US" w:eastAsia="zh-CN" w:bidi="ar-SA"/>
              </w:rPr>
              <w:t>提供给代理机构，作为成果文件装订使用。</w:t>
            </w:r>
          </w:p>
        </w:tc>
      </w:tr>
    </w:tbl>
    <w:p w14:paraId="471878FC">
      <w:pPr>
        <w:rPr>
          <w:rFonts w:hint="eastAsia"/>
          <w:color w:val="auto"/>
          <w:highlight w:val="none"/>
          <w:lang w:val="en-US" w:eastAsia="zh-CN"/>
        </w:rPr>
      </w:pPr>
      <w:bookmarkStart w:id="64" w:name="_Toc16298"/>
      <w:bookmarkStart w:id="65" w:name="_Toc8441"/>
    </w:p>
    <w:p w14:paraId="3BA25021">
      <w:pPr>
        <w:pStyle w:val="15"/>
        <w:rPr>
          <w:rFonts w:hint="eastAsia"/>
          <w:highlight w:val="none"/>
          <w:lang w:val="en-US" w:eastAsia="zh-CN"/>
        </w:rPr>
      </w:pPr>
    </w:p>
    <w:p w14:paraId="6B951BFC">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outlineLvl w:val="1"/>
        <w:rPr>
          <w:rFonts w:ascii="宋体" w:hAnsi="宋体" w:cs="宋体"/>
          <w:b/>
          <w:bCs w:val="0"/>
          <w:color w:val="auto"/>
          <w:szCs w:val="21"/>
          <w:highlight w:val="none"/>
        </w:rPr>
      </w:pPr>
      <w:r>
        <w:rPr>
          <w:rFonts w:hint="eastAsia" w:ascii="宋体" w:hAnsi="宋体" w:cs="宋体"/>
          <w:b/>
          <w:bCs w:val="0"/>
          <w:color w:val="auto"/>
          <w:sz w:val="32"/>
          <w:szCs w:val="32"/>
          <w:highlight w:val="none"/>
          <w:lang w:val="en-US" w:eastAsia="zh-CN"/>
        </w:rPr>
        <w:t>供应商</w:t>
      </w:r>
      <w:r>
        <w:rPr>
          <w:rFonts w:hint="eastAsia" w:ascii="宋体" w:hAnsi="宋体" w:cs="宋体"/>
          <w:b/>
          <w:bCs w:val="0"/>
          <w:color w:val="auto"/>
          <w:sz w:val="32"/>
          <w:szCs w:val="32"/>
          <w:highlight w:val="none"/>
        </w:rPr>
        <w:t>须知</w:t>
      </w:r>
      <w:bookmarkEnd w:id="64"/>
      <w:bookmarkEnd w:id="65"/>
    </w:p>
    <w:p w14:paraId="00CDF6C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一、总则</w:t>
      </w:r>
    </w:p>
    <w:p w14:paraId="4D5806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2137453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6A7970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 本竞争性磋商文件适用于本项目的所有采购程序和环节 (法律、法规另有规定的，从其规定) 。</w:t>
      </w:r>
    </w:p>
    <w:p w14:paraId="3C4B8D7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2.定义</w:t>
      </w:r>
    </w:p>
    <w:p w14:paraId="412910B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3D7C387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 (以下简称采购代理机构) 是指集中采购机构以外、受采购人委托从事政府采购代理业务的社会中介机构。</w:t>
      </w:r>
    </w:p>
    <w:p w14:paraId="152E7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60C7D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705C3F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78675D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273CF1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411ED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2C9A6D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09BDF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58249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 (包括电报、电传、传真、电子数据交换和电子邮件) 等可以有形地表现所载内容的形式。</w:t>
      </w:r>
    </w:p>
    <w:p w14:paraId="75759E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2.12“首次报价”是指供应商提交的首次响应文件中的报价。                     </w:t>
      </w:r>
    </w:p>
    <w:p w14:paraId="52A0E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7E709D4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36746F5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D4DFA3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622066B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供应商应承担参与本次采购活动有关的所有费用，包括但不限于获取磋商文件、勘查现场、编制和提交响应文件、参加磋商与应答、签订合同等，不论磋商结果如何，均应自行承担。  </w:t>
      </w:r>
    </w:p>
    <w:p w14:paraId="62959DC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7899A24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5.1 本项目不接受联合体竞标。</w:t>
      </w:r>
    </w:p>
    <w:p w14:paraId="6322383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27F447F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6.1 本项目不允许转包。</w:t>
      </w:r>
    </w:p>
    <w:p w14:paraId="6D55547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0611B16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7.1 如果本磋商文件要求供应商提供资格、信誉、荣誉、业绩与企业认证等材料的，则供应商所提供的以上材料必须为供应商所拥有。</w:t>
      </w:r>
    </w:p>
    <w:p w14:paraId="3C02CDC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7.2 供应商应仔细阅读竞争性磋商文件的所有内容，按照竞争性磋商文件的要求提交响应文件，并对所提供的全部资料的真实性承担法律责任。</w:t>
      </w:r>
    </w:p>
    <w:p w14:paraId="1347CF7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29A55A7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7.4 在政府采购活动中，采购人员及相关人员与供应商有下列利害关系之一的，应当回避：</w:t>
      </w:r>
    </w:p>
    <w:p w14:paraId="61B66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参加采购活动前 3 年内与供应商存在劳动关系；</w:t>
      </w:r>
    </w:p>
    <w:p w14:paraId="3D64B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参加采购活动前 3 年内担任供应商的董事、监事；</w:t>
      </w:r>
    </w:p>
    <w:p w14:paraId="6B505D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参加采购活动前 3 年内是供应商的控股股东或者实际控制人；</w:t>
      </w:r>
    </w:p>
    <w:p w14:paraId="650350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与供应商的法定代表人或负责人有夫妻、直系血亲、三代以内旁系血亲或者近姻亲关系；</w:t>
      </w:r>
    </w:p>
    <w:p w14:paraId="31D23D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与供应商有其他可能影响政府采购活动公平、公正进行的关系。</w:t>
      </w:r>
    </w:p>
    <w:p w14:paraId="7AE3EB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6B50370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7.5 有下列情形之一的视为供应商相互串通竞标，响应文件将被视为无效：</w:t>
      </w:r>
    </w:p>
    <w:p w14:paraId="77E87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不同供应商的响应文件由同一单位或者个人编制；或者不同供应商报名的 IP地址一致的；</w:t>
      </w:r>
    </w:p>
    <w:p w14:paraId="10873B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不同供应商委托同一单位或者个人办理磋商事宜；</w:t>
      </w:r>
    </w:p>
    <w:p w14:paraId="4A08E8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不同的供应商的响应文件载明的项目管理员为同一个人；</w:t>
      </w:r>
    </w:p>
    <w:p w14:paraId="29EFD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不同供应商的响应文件异常一致或者报价呈规律性差异；</w:t>
      </w:r>
    </w:p>
    <w:p w14:paraId="2BB79D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不同供应商的响应文件相互混装；</w:t>
      </w:r>
    </w:p>
    <w:p w14:paraId="50605C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不同供应商的磋商保证金从同一单位或者个人账户转出。</w:t>
      </w:r>
    </w:p>
    <w:p w14:paraId="3BB4FD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7.6 供应商有下列情形之一的，属于恶意串通行为：</w:t>
      </w:r>
    </w:p>
    <w:p w14:paraId="0EC9C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供应商直接或者间接从采购人或者采购代理机构处获得其他供应商的相关信息并修改其响应文件；</w:t>
      </w:r>
    </w:p>
    <w:p w14:paraId="2FF54D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供应商按照采购人或者采购代理机构的授意撤换、修改响应文件；</w:t>
      </w:r>
    </w:p>
    <w:p w14:paraId="67B5E3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供应商之间协商报价、技术方案等响应文件或者响应文件的实质性内容；</w:t>
      </w:r>
    </w:p>
    <w:p w14:paraId="7413F5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属于同一集团、协会、商会等组织成员的供应商按照该组织要求协同参加政府采购活动；</w:t>
      </w:r>
    </w:p>
    <w:p w14:paraId="2BCC80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供应商之间事先约定一致抬高或者压低报价，或者在政府采购活动中事先约定轮流以高价位或者低价位成交，或者事先约定由某一特定供应商成交，然后再参加竞标；</w:t>
      </w:r>
    </w:p>
    <w:p w14:paraId="685617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供应商之间商定部分供应商放弃参加政府采购活动或者放弃成交；</w:t>
      </w:r>
    </w:p>
    <w:p w14:paraId="1F83E0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 供应商与采购人或者采购代理机构之间、供应商相互之间，为谋求特定供应商成交或者排斥其他供应商的其他串通行为。</w:t>
      </w:r>
    </w:p>
    <w:p w14:paraId="5D8A17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7.7 关联供应商不得参加同一合同项下政府采购活动，否则响应文件将被视为无效：</w:t>
      </w:r>
    </w:p>
    <w:p w14:paraId="601BD4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单位负责人为同一人或者存在直接控股、管理关系的不同的供应商，不得参加同一合同项下的政府采购活动。</w:t>
      </w:r>
    </w:p>
    <w:p w14:paraId="0B3A10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二、响应文件的编制</w:t>
      </w:r>
    </w:p>
    <w:p w14:paraId="45D453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8.响应文件的编制原则</w:t>
      </w:r>
    </w:p>
    <w:p w14:paraId="6ADB66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05C72F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 响应文件编制基本要求</w:t>
      </w:r>
    </w:p>
    <w:p w14:paraId="1E3C6A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9.1 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要求及本竞争性磋商采购文件要求制作、加密并递交。具体操作流程可参考《</w:t>
      </w:r>
      <w:r>
        <w:rPr>
          <w:rFonts w:hint="eastAsia" w:ascii="宋体" w:hAnsi="宋体" w:cs="宋体"/>
          <w:b w:val="0"/>
          <w:bCs/>
          <w:color w:val="auto"/>
          <w:szCs w:val="21"/>
          <w:highlight w:val="none"/>
          <w:lang w:val="en-US" w:eastAsia="zh-CN"/>
        </w:rPr>
        <w:t>政府采购项目电子交易管理操作指南-供应商</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指南可</w:t>
      </w:r>
      <w:r>
        <w:rPr>
          <w:rFonts w:hint="eastAsia" w:ascii="宋体" w:hAnsi="宋体" w:cs="宋体"/>
          <w:b w:val="0"/>
          <w:bCs/>
          <w:color w:val="auto"/>
          <w:szCs w:val="21"/>
          <w:highlight w:val="none"/>
        </w:rPr>
        <w:t>在“http://zfcg.gxzf.gov.cn/PurchaseAdvisory/ImportantNotice/2866753.html”下载。</w:t>
      </w:r>
    </w:p>
    <w:p w14:paraId="3E7EC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9.2 供应商提交的竞争性磋商响应文件以及供应商与</w:t>
      </w:r>
      <w:r>
        <w:rPr>
          <w:rFonts w:hint="eastAsia" w:ascii="宋体" w:hAnsi="宋体" w:cs="宋体"/>
          <w:b w:val="0"/>
          <w:bCs/>
          <w:color w:val="auto"/>
          <w:szCs w:val="21"/>
          <w:highlight w:val="none"/>
          <w:lang w:eastAsia="zh-CN"/>
        </w:rPr>
        <w:t xml:space="preserve">广西中佰项目管理有限公司 </w:t>
      </w:r>
      <w:r>
        <w:rPr>
          <w:rFonts w:hint="eastAsia" w:ascii="宋体" w:hAnsi="宋体" w:cs="宋体"/>
          <w:b w:val="0"/>
          <w:bCs/>
          <w:color w:val="auto"/>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413FD2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9.3 供应商应认真阅读、并充分理解本文件的全部内容 (包括所有的补充、修改内容)，承诺并履行本文件中各项条款规定及要求。</w:t>
      </w:r>
    </w:p>
    <w:p w14:paraId="5C3788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9.4 竞争性磋商响应文件必须按本文件的全部内容，包括所有的补充通知及附件进行编制。</w:t>
      </w:r>
    </w:p>
    <w:p w14:paraId="0C8CD2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9.5 如因供应商只填写和提供了本文件要求的部分内容和附件，而给评审造成困难，其可能导致的结果和责任由供应商自行承担。</w:t>
      </w:r>
    </w:p>
    <w:p w14:paraId="098B65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zCs w:val="21"/>
          <w:highlight w:val="none"/>
          <w:lang w:eastAsia="zh-CN"/>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9.6 响应文件的组成：响应文件应分为资格证明文件、报价文件、商务技术文件三个部分组成。</w:t>
      </w:r>
      <w:r>
        <w:rPr>
          <w:rFonts w:hint="eastAsia" w:ascii="宋体" w:hAnsi="宋体" w:cs="宋体"/>
          <w:b/>
          <w:bCs w:val="0"/>
          <w:color w:val="000000" w:themeColor="text1"/>
          <w:szCs w:val="21"/>
          <w:highlight w:val="none"/>
          <w:lang w:eastAsia="zh-CN"/>
          <w14:textFill>
            <w14:solidFill>
              <w14:schemeClr w14:val="tx1"/>
            </w14:solidFill>
          </w14:textFill>
        </w:rPr>
        <w:t>以下注明“</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val="0"/>
          <w:color w:val="000000" w:themeColor="text1"/>
          <w:szCs w:val="21"/>
          <w:highlight w:val="none"/>
          <w:lang w:eastAsia="zh-CN"/>
          <w14:textFill>
            <w14:solidFill>
              <w14:schemeClr w14:val="tx1"/>
            </w14:solidFill>
          </w14:textFill>
        </w:rPr>
        <w:t>”的必须提供，否则竞标无效。</w:t>
      </w:r>
    </w:p>
    <w:p w14:paraId="645038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1.资格证明文件</w:t>
      </w:r>
    </w:p>
    <w:p w14:paraId="4373A053">
      <w:pPr>
        <w:pStyle w:val="9"/>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供应商为法人或者其他组织的提供其营业执照等证明文件复印件（如营业执照或者事业单位法人证书或者执业许可证或者登记证书等）；</w:t>
      </w:r>
    </w:p>
    <w:p w14:paraId="7AB71414">
      <w:pPr>
        <w:spacing w:line="360" w:lineRule="auto"/>
        <w:ind w:firstLine="420" w:firstLineChars="200"/>
        <w:contextualSpacing/>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2</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供应商依法缴纳税收的相关材料（</w:t>
      </w:r>
      <w:r>
        <w:rPr>
          <w:rFonts w:hint="eastAsia" w:ascii="宋体" w:hAnsi="宋体" w:cs="宋体"/>
          <w:color w:val="000000" w:themeColor="text1"/>
          <w:szCs w:val="21"/>
          <w:highlight w:val="none"/>
          <w:u w:val="single"/>
          <w14:textFill>
            <w14:solidFill>
              <w14:schemeClr w14:val="tx1"/>
            </w14:solidFill>
          </w14:textFill>
        </w:rPr>
        <w:t xml:space="preserve"> 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eastAsia="zh-CN"/>
          <w14:textFill>
            <w14:solidFill>
              <w14:schemeClr w14:val="tx1"/>
            </w14:solidFill>
          </w14:textFill>
        </w:rPr>
        <w:t>以来</w:t>
      </w:r>
      <w:r>
        <w:rPr>
          <w:rFonts w:hint="eastAsia" w:ascii="宋体" w:hAnsi="宋体" w:cs="宋体"/>
          <w:color w:val="000000" w:themeColor="text1"/>
          <w:szCs w:val="21"/>
          <w:highlight w:val="none"/>
          <w14:textFill>
            <w14:solidFill>
              <w14:schemeClr w14:val="tx1"/>
            </w14:solidFill>
          </w14:textFill>
        </w:rPr>
        <w:t>任意</w:t>
      </w:r>
      <w:r>
        <w:rPr>
          <w:rFonts w:hint="eastAsia" w:ascii="宋体" w:hAnsi="宋体" w:cs="宋体"/>
          <w:color w:val="000000" w:themeColor="text1"/>
          <w:szCs w:val="21"/>
          <w:highlight w:val="none"/>
          <w:u w:val="singl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个月的依法缴纳税收的凭据复印件；</w:t>
      </w:r>
      <w:r>
        <w:rPr>
          <w:rFonts w:hint="eastAsia"/>
          <w:color w:val="000000" w:themeColor="text1"/>
          <w:highlight w:val="none"/>
          <w14:textFill>
            <w14:solidFill>
              <w14:schemeClr w14:val="tx1"/>
            </w14:solidFill>
          </w14:textFill>
        </w:rPr>
        <w:t>依法免税的，必须提供相应文件证明其依法免税。</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的依法缴纳税收</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p>
    <w:p w14:paraId="49DA10A6">
      <w:pPr>
        <w:spacing w:line="360" w:lineRule="auto"/>
        <w:ind w:firstLine="420" w:firstLineChars="200"/>
        <w:contextualSpacing/>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3</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供应商依法缴纳社会保障资金的相关材料</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2025 年1 月</w:t>
      </w:r>
      <w:r>
        <w:rPr>
          <w:rFonts w:hint="eastAsia" w:ascii="宋体" w:hAnsi="宋体" w:cs="宋体"/>
          <w:color w:val="000000" w:themeColor="text1"/>
          <w:szCs w:val="21"/>
          <w:highlight w:val="none"/>
          <w:lang w:eastAsia="zh-CN"/>
          <w14:textFill>
            <w14:solidFill>
              <w14:schemeClr w14:val="tx1"/>
            </w14:solidFill>
          </w14:textFill>
        </w:rPr>
        <w:t>以来</w:t>
      </w:r>
      <w:r>
        <w:rPr>
          <w:rFonts w:hint="eastAsia" w:ascii="宋体" w:hAnsi="宋体" w:cs="宋体"/>
          <w:color w:val="000000" w:themeColor="text1"/>
          <w:szCs w:val="21"/>
          <w:highlight w:val="none"/>
          <w14:textFill>
            <w14:solidFill>
              <w14:schemeClr w14:val="tx1"/>
            </w14:solidFill>
          </w14:textFill>
        </w:rPr>
        <w:t>任意</w:t>
      </w:r>
      <w:r>
        <w:rPr>
          <w:rFonts w:hint="eastAsia" w:ascii="宋体" w:hAnsi="宋体" w:cs="宋体"/>
          <w:color w:val="000000" w:themeColor="text1"/>
          <w:szCs w:val="21"/>
          <w:highlight w:val="none"/>
          <w:u w:val="singl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个月的依法缴纳社会保障资金的缴费凭证（专用收据或者社会保险缴纳清单）复印件；</w:t>
      </w:r>
      <w:r>
        <w:rPr>
          <w:rFonts w:hint="eastAsia"/>
          <w:color w:val="000000" w:themeColor="text1"/>
          <w:highlight w:val="none"/>
          <w14:textFill>
            <w14:solidFill>
              <w14:schemeClr w14:val="tx1"/>
            </w14:solidFill>
          </w14:textFill>
        </w:rPr>
        <w:t>依法不需要缴纳社会保障资金的，必须提供相应文件证明不需要缴纳社会保障资金。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的依法缴纳社会保障资金的</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p>
    <w:p w14:paraId="72C546B1">
      <w:pPr>
        <w:spacing w:line="360" w:lineRule="auto"/>
        <w:ind w:firstLine="420" w:firstLineChars="200"/>
        <w:contextualSpacing/>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4</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w:t>
      </w:r>
      <w:r>
        <w:rPr>
          <w:rFonts w:hint="eastAsia"/>
          <w:color w:val="000000" w:themeColor="text1"/>
          <w:szCs w:val="21"/>
          <w:highlight w:val="none"/>
          <w14:textFill>
            <w14:solidFill>
              <w14:schemeClr w14:val="tx1"/>
            </w14:solidFill>
          </w14:textFill>
        </w:rPr>
        <w:t>财务状况报告（</w:t>
      </w:r>
      <w:r>
        <w:rPr>
          <w:rFonts w:hint="eastAsia"/>
          <w:color w:val="000000" w:themeColor="text1"/>
          <w:szCs w:val="21"/>
          <w:highlight w:val="none"/>
          <w:u w:val="single"/>
          <w14:textFill>
            <w14:solidFill>
              <w14:schemeClr w14:val="tx1"/>
            </w14:solidFill>
          </w14:textFill>
        </w:rPr>
        <w:t>202</w:t>
      </w:r>
      <w:r>
        <w:rPr>
          <w:rFonts w:hint="eastAsia"/>
          <w:color w:val="000000" w:themeColor="text1"/>
          <w:szCs w:val="21"/>
          <w:highlight w:val="none"/>
          <w:u w:val="singl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年度财务报表复印件，或者银行出具的资信证明，或者中国人民银行征信中心出具的信用报告；供应商属于</w:t>
      </w:r>
      <w:r>
        <w:rPr>
          <w:rFonts w:hint="eastAsia"/>
          <w:color w:val="000000" w:themeColor="text1"/>
          <w:highlight w:val="none"/>
          <w14:textFill>
            <w14:solidFill>
              <w14:schemeClr w14:val="tx1"/>
            </w14:solidFill>
          </w14:textFill>
        </w:rPr>
        <w:t>成立时间</w:t>
      </w:r>
      <w:r>
        <w:rPr>
          <w:rFonts w:hint="eastAsia"/>
          <w:color w:val="000000" w:themeColor="text1"/>
          <w:kern w:val="0"/>
          <w:highlight w:val="none"/>
          <w14:textFill>
            <w14:solidFill>
              <w14:schemeClr w14:val="tx1"/>
            </w14:solidFill>
          </w14:textFill>
        </w:rPr>
        <w:t>在规定年度之后</w:t>
      </w:r>
      <w:r>
        <w:rPr>
          <w:rFonts w:hint="eastAsia"/>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法人或其他组织</w:t>
      </w:r>
      <w:r>
        <w:rPr>
          <w:rFonts w:hint="eastAsia"/>
          <w:color w:val="000000" w:themeColor="text1"/>
          <w:highlight w:val="none"/>
          <w14:textFill>
            <w14:solidFill>
              <w14:schemeClr w14:val="tx1"/>
            </w14:solidFill>
          </w14:textFill>
        </w:rPr>
        <w:t>，需提供成立之日起至响应文件提交截止时间前的月报表</w:t>
      </w:r>
      <w:r>
        <w:rPr>
          <w:rFonts w:hint="eastAsia"/>
          <w:color w:val="000000" w:themeColor="text1"/>
          <w:szCs w:val="21"/>
          <w:highlight w:val="none"/>
          <w14:textFill>
            <w14:solidFill>
              <w14:schemeClr w14:val="tx1"/>
            </w14:solidFill>
          </w14:textFill>
        </w:rPr>
        <w:t>或银行出具的资信证明或者中国人民银行征信中心出具的企业信用报告；资信证明应在有效期内，未注明有效期的，银行出具时间至响应文件提交截止时间不得超过一年）</w:t>
      </w:r>
      <w:r>
        <w:rPr>
          <w:rFonts w:hint="eastAsia" w:ascii="宋体" w:hAnsi="宋体" w:cs="宋体"/>
          <w:color w:val="000000" w:themeColor="text1"/>
          <w:szCs w:val="21"/>
          <w:highlight w:val="none"/>
          <w14:textFill>
            <w14:solidFill>
              <w14:schemeClr w14:val="tx1"/>
            </w14:solidFill>
          </w14:textFill>
        </w:rPr>
        <w:t>；</w:t>
      </w:r>
    </w:p>
    <w:p w14:paraId="4B160A07">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竞标声明（格式后附）；</w:t>
      </w:r>
    </w:p>
    <w:p w14:paraId="523F9DD1">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6</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供应商直接控股、管理关系信息表（格式后附）；</w:t>
      </w:r>
    </w:p>
    <w:p w14:paraId="0F6CDECA">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7</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本项目属于专门面向</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小微企业采购的项目，供应商须为</w:t>
      </w:r>
      <w:r>
        <w:rPr>
          <w:rFonts w:hint="eastAsia" w:ascii="宋体" w:hAnsi="宋体" w:cs="宋体"/>
          <w:color w:val="000000" w:themeColor="text1"/>
          <w:szCs w:val="21"/>
          <w:highlight w:val="none"/>
          <w:lang w:val="en-US" w:eastAsia="zh-CN"/>
          <w14:textFill>
            <w14:solidFill>
              <w14:schemeClr w14:val="tx1"/>
            </w14:solidFill>
          </w14:textFill>
        </w:rPr>
        <w:t>中</w:t>
      </w:r>
      <w:r>
        <w:rPr>
          <w:rFonts w:hint="eastAsia" w:ascii="宋体" w:hAnsi="宋体" w:cs="宋体"/>
          <w:color w:val="000000" w:themeColor="text1"/>
          <w:szCs w:val="21"/>
          <w:highlight w:val="none"/>
          <w:lang w:eastAsia="zh-CN"/>
          <w14:textFill>
            <w14:solidFill>
              <w14:schemeClr w14:val="tx1"/>
            </w14:solidFill>
          </w14:textFill>
        </w:rPr>
        <w:t>小微企业或监狱企业或残疾人福利性单位。</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供应商必须在响应文件中提供《</w:t>
      </w:r>
      <w:r>
        <w:rPr>
          <w:rFonts w:hint="eastAsia" w:ascii="宋体" w:hAnsi="宋体"/>
          <w:bCs/>
          <w:color w:val="000000" w:themeColor="text1"/>
          <w:szCs w:val="21"/>
          <w:highlight w:val="none"/>
          <w14:textFill>
            <w14:solidFill>
              <w14:schemeClr w14:val="tx1"/>
            </w14:solidFill>
          </w14:textFill>
        </w:rPr>
        <w:t>中小企业声明函（工程）</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2"/>
          <w:highlight w:val="none"/>
          <w14:textFill>
            <w14:solidFill>
              <w14:schemeClr w14:val="tx1"/>
            </w14:solidFill>
          </w14:textFill>
        </w:rPr>
        <w:t>或残疾人福利性单位声明函或监狱企业证明材料</w:t>
      </w:r>
      <w:r>
        <w:rPr>
          <w:rFonts w:hint="eastAsia"/>
          <w:color w:val="000000" w:themeColor="text1"/>
          <w:szCs w:val="22"/>
          <w:highlight w:val="none"/>
          <w:lang w:val="en-US" w:eastAsia="zh-CN"/>
          <w14:textFill>
            <w14:solidFill>
              <w14:schemeClr w14:val="tx1"/>
            </w14:solidFill>
          </w14:textFill>
        </w:rPr>
        <w:t>]；</w:t>
      </w:r>
    </w:p>
    <w:p w14:paraId="6FEC87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8</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特定资格证明材料：（</w:t>
      </w:r>
      <w:r>
        <w:rPr>
          <w:rFonts w:hint="eastAsia" w:ascii="宋体" w:hAnsi="宋体" w:cs="宋体"/>
          <w:b w:val="0"/>
          <w:bCs/>
          <w:color w:val="000000" w:themeColor="text1"/>
          <w:szCs w:val="21"/>
          <w:highlight w:val="none"/>
          <w:lang w:val="en-US" w:eastAsia="zh-CN"/>
          <w14:textFill>
            <w14:solidFill>
              <w14:schemeClr w14:val="tx1"/>
            </w14:solidFill>
          </w14:textFill>
        </w:rPr>
        <w:t>1</w:t>
      </w:r>
      <w:r>
        <w:rPr>
          <w:rFonts w:hint="eastAsia" w:ascii="宋体" w:hAnsi="宋体" w:cs="宋体"/>
          <w:b w:val="0"/>
          <w:bCs/>
          <w:color w:val="000000" w:themeColor="text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eastAsia="zh-CN"/>
          <w14:textFill>
            <w14:solidFill>
              <w14:schemeClr w14:val="tx1"/>
            </w14:solidFill>
          </w14:textFill>
        </w:rPr>
        <w:t>竞标人须具备建筑工程施工总承包三级（含三级）以上资质以及有效的安全生产许可证，在人员、设备、资金等方面具备相应的施工能力</w:t>
      </w:r>
      <w:r>
        <w:rPr>
          <w:rFonts w:hint="eastAsia" w:hAnsi="宋体" w:cs="宋体"/>
          <w:color w:val="000000" w:themeColor="text1"/>
          <w:sz w:val="21"/>
          <w:szCs w:val="21"/>
          <w:highlight w:val="none"/>
          <w:lang w:val="en-US" w:eastAsia="zh-CN"/>
          <w14:textFill>
            <w14:solidFill>
              <w14:schemeClr w14:val="tx1"/>
            </w14:solidFill>
          </w14:textFill>
        </w:rPr>
        <w:t>。</w:t>
      </w:r>
      <w:r>
        <w:rPr>
          <w:rFonts w:hint="eastAsia"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具备建筑工程专业二级（含二级）以上注册建造师执业资格，且具备有效的安全生产考核合格证书（B类）（</w:t>
      </w:r>
      <w:r>
        <w:rPr>
          <w:rFonts w:hint="eastAsia" w:ascii="宋体" w:hAnsi="宋体"/>
          <w:color w:val="000000" w:themeColor="text1"/>
          <w:szCs w:val="21"/>
          <w:highlight w:val="none"/>
          <w14:textFill>
            <w14:solidFill>
              <w14:schemeClr w14:val="tx1"/>
            </w14:solidFill>
          </w14:textFill>
        </w:rPr>
        <w:t>供应商必须在响应文件中提供</w:t>
      </w:r>
      <w:r>
        <w:rPr>
          <w:rFonts w:hint="eastAsia" w:ascii="宋体" w:hAnsi="宋体"/>
          <w:color w:val="000000" w:themeColor="text1"/>
          <w:szCs w:val="21"/>
          <w:highlight w:val="none"/>
          <w:lang w:eastAsia="zh-CN"/>
          <w14:textFill>
            <w14:solidFill>
              <w14:schemeClr w14:val="tx1"/>
            </w14:solidFill>
          </w14:textFill>
        </w:rPr>
        <w:t>上述有效证书复印件）；</w:t>
      </w:r>
    </w:p>
    <w:p w14:paraId="0AB4AD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9</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针对资格证明需要说明的其他证明文件和说明。(格式自拟)</w:t>
      </w:r>
    </w:p>
    <w:p w14:paraId="2A850A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val="en-US" w:eastAsia="zh-CN"/>
          <w14:textFill>
            <w14:solidFill>
              <w14:schemeClr w14:val="tx1"/>
            </w14:solidFill>
          </w14:textFill>
        </w:rPr>
        <w:t>2</w:t>
      </w:r>
      <w:r>
        <w:rPr>
          <w:rFonts w:hint="eastAsia" w:ascii="宋体" w:hAnsi="宋体" w:cs="宋体"/>
          <w:b/>
          <w:bCs w:val="0"/>
          <w:color w:val="000000" w:themeColor="text1"/>
          <w:szCs w:val="21"/>
          <w:highlight w:val="none"/>
          <w14:textFill>
            <w14:solidFill>
              <w14:schemeClr w14:val="tx1"/>
            </w14:solidFill>
          </w14:textFill>
        </w:rPr>
        <w:t>.报价文件</w:t>
      </w:r>
    </w:p>
    <w:p w14:paraId="302D28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(1)磋商函；</w:t>
      </w:r>
    </w:p>
    <w:p w14:paraId="3F8E58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(2)磋商函附录</w:t>
      </w:r>
      <w:r>
        <w:rPr>
          <w:rFonts w:hint="eastAsia" w:ascii="宋体" w:hAnsi="宋体" w:cs="宋体"/>
          <w:b/>
          <w:bCs w:val="0"/>
          <w:color w:val="000000" w:themeColor="text1"/>
          <w:szCs w:val="21"/>
          <w:highlight w:val="none"/>
          <w:lang w:eastAsia="zh-CN"/>
          <w14:textFill>
            <w14:solidFill>
              <w14:schemeClr w14:val="tx1"/>
            </w14:solidFill>
          </w14:textFill>
        </w:rPr>
        <w:t>；</w:t>
      </w:r>
    </w:p>
    <w:p w14:paraId="2D4BA9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(3)竞标报价表</w:t>
      </w:r>
      <w:r>
        <w:rPr>
          <w:rFonts w:hint="eastAsia" w:ascii="宋体" w:hAnsi="宋体" w:cs="宋体"/>
          <w:b w:val="0"/>
          <w:bCs/>
          <w:color w:val="000000" w:themeColor="text1"/>
          <w:szCs w:val="21"/>
          <w:highlight w:val="none"/>
          <w:lang w:eastAsia="zh-CN"/>
          <w14:textFill>
            <w14:solidFill>
              <w14:schemeClr w14:val="tx1"/>
            </w14:solidFill>
          </w14:textFill>
        </w:rPr>
        <w:t>；</w:t>
      </w:r>
    </w:p>
    <w:p w14:paraId="5FBF0E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4</w:t>
      </w:r>
      <w:r>
        <w:rPr>
          <w:rFonts w:hint="eastAsia" w:ascii="宋体" w:hAnsi="宋体" w:cs="宋体"/>
          <w:b w:val="0"/>
          <w:bCs/>
          <w:color w:val="000000" w:themeColor="text1"/>
          <w:szCs w:val="21"/>
          <w:highlight w:val="none"/>
          <w14:textFill>
            <w14:solidFill>
              <w14:schemeClr w14:val="tx1"/>
            </w14:solidFill>
          </w14:textFill>
        </w:rPr>
        <w:t>)已标价工程量清单；</w:t>
      </w:r>
    </w:p>
    <w:p w14:paraId="177E30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针对报价需要说明的其他文件和说明(格式自拟)</w:t>
      </w:r>
      <w:r>
        <w:rPr>
          <w:rFonts w:hint="eastAsia" w:ascii="宋体" w:hAnsi="宋体" w:cs="宋体"/>
          <w:b w:val="0"/>
          <w:bCs/>
          <w:color w:val="000000" w:themeColor="text1"/>
          <w:szCs w:val="21"/>
          <w:highlight w:val="none"/>
          <w:lang w:eastAsia="zh-CN"/>
          <w14:textFill>
            <w14:solidFill>
              <w14:schemeClr w14:val="tx1"/>
            </w14:solidFill>
          </w14:textFill>
        </w:rPr>
        <w:t>。</w:t>
      </w:r>
    </w:p>
    <w:p w14:paraId="50F2D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val="en-US" w:eastAsia="zh-CN"/>
          <w14:textFill>
            <w14:solidFill>
              <w14:schemeClr w14:val="tx1"/>
            </w14:solidFill>
          </w14:textFill>
        </w:rPr>
        <w:t>3</w:t>
      </w:r>
      <w:r>
        <w:rPr>
          <w:rFonts w:hint="eastAsia" w:ascii="宋体" w:hAnsi="宋体" w:cs="宋体"/>
          <w:b/>
          <w:bCs w:val="0"/>
          <w:color w:val="000000" w:themeColor="text1"/>
          <w:szCs w:val="21"/>
          <w:highlight w:val="none"/>
          <w14:textFill>
            <w14:solidFill>
              <w14:schemeClr w14:val="tx1"/>
            </w14:solidFill>
          </w14:textFill>
        </w:rPr>
        <w:t>.商务技术文件</w:t>
      </w:r>
    </w:p>
    <w:p w14:paraId="385806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(1)无串通竞标行为的承诺函（格式后附）；</w:t>
      </w:r>
    </w:p>
    <w:p w14:paraId="58EBAF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(2)法定代表人身份证明书及法定代表人有效身份证正反面复印件（格式后附）；</w:t>
      </w:r>
    </w:p>
    <w:p w14:paraId="71F3C1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b/>
          <w:bCs w:val="0"/>
          <w:color w:val="000000" w:themeColor="text1"/>
          <w:szCs w:val="21"/>
          <w:highlight w:val="none"/>
          <w14:textFill>
            <w14:solidFill>
              <w14:schemeClr w14:val="tx1"/>
            </w14:solidFill>
          </w14:textFill>
        </w:rPr>
        <w:t>（委托时必须提供）</w:t>
      </w:r>
    </w:p>
    <w:p w14:paraId="3F14F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4</w:t>
      </w:r>
      <w:r>
        <w:rPr>
          <w:rFonts w:hint="eastAsia" w:ascii="宋体" w:hAnsi="宋体" w:cs="宋体"/>
          <w:b w:val="0"/>
          <w:bCs/>
          <w:color w:val="000000" w:themeColor="text1"/>
          <w:szCs w:val="21"/>
          <w:highlight w:val="none"/>
          <w14:textFill>
            <w14:solidFill>
              <w14:schemeClr w14:val="tx1"/>
            </w14:solidFill>
          </w14:textFill>
        </w:rPr>
        <w:t>)施工组织设计；</w:t>
      </w:r>
    </w:p>
    <w:p w14:paraId="258C79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5</w:t>
      </w:r>
      <w:r>
        <w:rPr>
          <w:rFonts w:hint="eastAsia" w:ascii="宋体" w:hAnsi="宋体" w:cs="宋体"/>
          <w:b w:val="0"/>
          <w:bCs/>
          <w:color w:val="000000" w:themeColor="text1"/>
          <w:szCs w:val="21"/>
          <w:highlight w:val="none"/>
          <w14:textFill>
            <w14:solidFill>
              <w14:schemeClr w14:val="tx1"/>
            </w14:solidFill>
          </w14:textFill>
        </w:rPr>
        <w:t>)项目管理机构配备情况表；</w:t>
      </w:r>
    </w:p>
    <w:p w14:paraId="07709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6</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针对商务技术需要说明的其他文件和说明(格式自拟) ；</w:t>
      </w:r>
    </w:p>
    <w:p w14:paraId="3E54E6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特别说明：</w:t>
      </w:r>
      <w:r>
        <w:rPr>
          <w:rFonts w:hint="eastAsia" w:ascii="宋体" w:hAnsi="宋体" w:cs="宋体"/>
          <w:b/>
          <w:bCs w:val="0"/>
          <w:color w:val="000000" w:themeColor="text1"/>
          <w:szCs w:val="21"/>
          <w:highlight w:val="none"/>
          <w:lang w:eastAsia="zh-CN"/>
          <w14:textFill>
            <w14:solidFill>
              <w14:schemeClr w14:val="tx1"/>
            </w14:solidFill>
          </w14:textFill>
        </w:rPr>
        <w:t>①</w:t>
      </w:r>
      <w:r>
        <w:rPr>
          <w:rFonts w:hint="eastAsia" w:ascii="宋体" w:hAnsi="宋体" w:cs="宋体"/>
          <w:b/>
          <w:bCs w:val="0"/>
          <w:color w:val="000000" w:themeColor="text1"/>
          <w:szCs w:val="21"/>
          <w:highlight w:val="none"/>
          <w14:textFill>
            <w14:solidFill>
              <w14:schemeClr w14:val="tx1"/>
            </w14:solidFill>
          </w14:textFill>
        </w:rPr>
        <w:t>电子磋商响应文件中所</w:t>
      </w:r>
      <w:r>
        <w:rPr>
          <w:rFonts w:hint="eastAsia" w:ascii="宋体" w:hAnsi="宋体" w:cs="宋体"/>
          <w:b/>
          <w:bCs w:val="0"/>
          <w:i w:val="0"/>
          <w:iCs w:val="0"/>
          <w:color w:val="000000" w:themeColor="text1"/>
          <w:szCs w:val="21"/>
          <w:highlight w:val="none"/>
          <w14:textFill>
            <w14:solidFill>
              <w14:schemeClr w14:val="tx1"/>
            </w14:solidFill>
          </w14:textFill>
        </w:rPr>
        <w:t>须加盖公章部分均采用CA签章</w:t>
      </w:r>
      <w:r>
        <w:rPr>
          <w:rFonts w:hint="eastAsia" w:ascii="宋体" w:hAnsi="宋体" w:cs="宋体"/>
          <w:b/>
          <w:bCs w:val="0"/>
          <w:color w:val="000000" w:themeColor="text1"/>
          <w:szCs w:val="21"/>
          <w:highlight w:val="none"/>
          <w14:textFill>
            <w14:solidFill>
              <w14:schemeClr w14:val="tx1"/>
            </w14:solidFill>
          </w14:textFill>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1E0AC8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eastAsia="zh-CN"/>
          <w14:textFill>
            <w14:solidFill>
              <w14:schemeClr w14:val="tx1"/>
            </w14:solidFill>
          </w14:textFill>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cs="宋体"/>
          <w:b/>
          <w:bCs w:val="0"/>
          <w:color w:val="000000" w:themeColor="text1"/>
          <w:szCs w:val="21"/>
          <w:highlight w:val="none"/>
          <w14:textFill>
            <w14:solidFill>
              <w14:schemeClr w14:val="tx1"/>
            </w14:solidFill>
          </w14:textFill>
        </w:rPr>
        <w:t>。</w:t>
      </w:r>
    </w:p>
    <w:p w14:paraId="4CE35C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eastAsia="zh-CN"/>
          <w14:textFill>
            <w14:solidFill>
              <w14:schemeClr w14:val="tx1"/>
            </w14:solidFill>
          </w14:textFill>
        </w:rPr>
        <w:t>③</w:t>
      </w:r>
      <w:r>
        <w:rPr>
          <w:rFonts w:hint="eastAsia" w:ascii="宋体" w:hAnsi="宋体" w:cs="宋体"/>
          <w:b/>
          <w:bCs w:val="0"/>
          <w:color w:val="000000" w:themeColor="text1"/>
          <w:szCs w:val="21"/>
          <w:highlight w:val="none"/>
          <w14:textFill>
            <w14:solidFill>
              <w14:schemeClr w14:val="tx1"/>
            </w14:solidFill>
          </w14:textFill>
        </w:rPr>
        <w:t>竞争性磋商采购文件要求提供的各种复印件，须加盖供应商CA签章，否则其磋商无效。</w:t>
      </w:r>
    </w:p>
    <w:p w14:paraId="1013C8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9.7 响应文件有效期：见</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须知前附表。</w:t>
      </w:r>
    </w:p>
    <w:p w14:paraId="794C7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9.8 磋商保证金：见</w:t>
      </w:r>
      <w:r>
        <w:rPr>
          <w:rFonts w:hint="eastAsia" w:ascii="宋体" w:hAnsi="宋体" w:cs="宋体"/>
          <w:b w:val="0"/>
          <w:bCs/>
          <w:color w:val="000000" w:themeColor="text1"/>
          <w:szCs w:val="21"/>
          <w:highlight w:val="none"/>
          <w:lang w:eastAsia="zh-CN"/>
          <w14:textFill>
            <w14:solidFill>
              <w14:schemeClr w14:val="tx1"/>
            </w14:solidFill>
          </w14:textFill>
        </w:rPr>
        <w:t>供应商</w:t>
      </w:r>
      <w:r>
        <w:rPr>
          <w:rFonts w:hint="eastAsia" w:ascii="宋体" w:hAnsi="宋体" w:cs="宋体"/>
          <w:b w:val="0"/>
          <w:bCs/>
          <w:color w:val="000000" w:themeColor="text1"/>
          <w:szCs w:val="21"/>
          <w:highlight w:val="none"/>
          <w14:textFill>
            <w14:solidFill>
              <w14:schemeClr w14:val="tx1"/>
            </w14:solidFill>
          </w14:textFill>
        </w:rPr>
        <w:t>须知前附表。</w:t>
      </w:r>
    </w:p>
    <w:p w14:paraId="0327CC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10. 计量单位</w:t>
      </w:r>
    </w:p>
    <w:p w14:paraId="2A0D40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10.1 磋商文件已有明确规定的，使用磋商文件规定的计量单位；磋商文件没有规定的，应采用</w:t>
      </w:r>
      <w:r>
        <w:rPr>
          <w:rFonts w:hint="eastAsia" w:ascii="宋体" w:hAnsi="宋体" w:cs="宋体"/>
          <w:b w:val="0"/>
          <w:bCs/>
          <w:color w:val="auto"/>
          <w:szCs w:val="21"/>
          <w:highlight w:val="none"/>
          <w:lang w:eastAsia="zh-CN"/>
        </w:rPr>
        <w:t>国家</w:t>
      </w:r>
      <w:r>
        <w:rPr>
          <w:rFonts w:hint="eastAsia" w:ascii="宋体" w:hAnsi="宋体" w:cs="宋体"/>
          <w:b w:val="0"/>
          <w:bCs/>
          <w:color w:val="auto"/>
          <w:szCs w:val="21"/>
          <w:highlight w:val="none"/>
        </w:rPr>
        <w:t>法定计量单位，货币种类为人民币，否则视同未响应。</w:t>
      </w:r>
    </w:p>
    <w:p w14:paraId="468991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三、磋商报价及采购预算</w:t>
      </w:r>
    </w:p>
    <w:p w14:paraId="4308ED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7A8F38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11.2供应商必须就所磋商的采购项目的全部内容作完整唯一报价，漏项报价的或有选择的或有条件的报价，其竞标将视为无效。</w:t>
      </w:r>
    </w:p>
    <w:p w14:paraId="3427D1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11.3本项目磋商报价费用指按照采购需求完成该项目的所有服务工作的费用总和。</w:t>
      </w:r>
    </w:p>
    <w:p w14:paraId="4AB0DA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5DCE82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四、响应文件的份数、封装和递交</w:t>
      </w:r>
    </w:p>
    <w:p w14:paraId="4987B0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 竞争性磋商响应文件的份数：电子</w:t>
      </w:r>
      <w:r>
        <w:rPr>
          <w:rFonts w:hint="eastAsia" w:ascii="宋体" w:hAnsi="宋体" w:cs="宋体"/>
          <w:b w:val="0"/>
          <w:bCs/>
          <w:color w:val="auto"/>
          <w:szCs w:val="21"/>
          <w:highlight w:val="none"/>
          <w:lang w:eastAsia="zh-CN"/>
        </w:rPr>
        <w:t>加密</w:t>
      </w:r>
      <w:r>
        <w:rPr>
          <w:rFonts w:hint="eastAsia" w:ascii="宋体" w:hAnsi="宋体" w:cs="宋体"/>
          <w:b w:val="0"/>
          <w:bCs/>
          <w:color w:val="auto"/>
          <w:szCs w:val="21"/>
          <w:highlight w:val="none"/>
        </w:rPr>
        <w:t>响应文件一份</w:t>
      </w:r>
      <w:r>
        <w:rPr>
          <w:rFonts w:hint="eastAsia" w:ascii="宋体" w:hAnsi="宋体" w:cs="宋体"/>
          <w:b w:val="0"/>
          <w:bCs/>
          <w:color w:val="auto"/>
          <w:szCs w:val="21"/>
          <w:highlight w:val="none"/>
          <w:lang w:eastAsia="zh-CN"/>
        </w:rPr>
        <w:t>；</w:t>
      </w:r>
      <w:r>
        <w:rPr>
          <w:color w:val="auto"/>
          <w:spacing w:val="-3"/>
          <w:sz w:val="21"/>
          <w:highlight w:val="none"/>
        </w:rPr>
        <w:t>电子备份响应文件</w:t>
      </w:r>
      <w:r>
        <w:rPr>
          <w:rFonts w:hint="eastAsia"/>
          <w:color w:val="auto"/>
          <w:spacing w:val="-3"/>
          <w:sz w:val="21"/>
          <w:highlight w:val="none"/>
          <w:lang w:eastAsia="zh-CN"/>
        </w:rPr>
        <w:t>一份</w:t>
      </w:r>
      <w:r>
        <w:rPr>
          <w:rFonts w:hint="eastAsia" w:ascii="宋体" w:hAnsi="宋体" w:cs="宋体"/>
          <w:b w:val="0"/>
          <w:bCs/>
          <w:color w:val="auto"/>
          <w:szCs w:val="21"/>
          <w:highlight w:val="none"/>
        </w:rPr>
        <w:t>。</w:t>
      </w:r>
    </w:p>
    <w:p w14:paraId="49735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 位查找不到相关内容的，由供应商自行承担。</w:t>
      </w:r>
    </w:p>
    <w:p w14:paraId="3DEA4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 响应文件的递交</w:t>
      </w:r>
    </w:p>
    <w:p w14:paraId="1E58C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13.1 所有竞争性响应文件应于“第二章 磋商须知及前附表”中规定的截止时间前递交到规定地点。</w:t>
      </w:r>
    </w:p>
    <w:p w14:paraId="73524B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4177A1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13.2 迟交的响应文件</w:t>
      </w:r>
    </w:p>
    <w:p w14:paraId="7B745F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采购人或采购代理人按照规定有权拒绝或原封退回在其规定的递交响应文件截止时间之后收到的任何响应文件。</w:t>
      </w:r>
    </w:p>
    <w:p w14:paraId="79BFBD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五、竞争性磋商 (简称磋商) 与评审</w:t>
      </w:r>
    </w:p>
    <w:p w14:paraId="655303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14.磋商小组成立及响应文件的开启</w:t>
      </w:r>
    </w:p>
    <w:p w14:paraId="14B9AE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59E316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735A1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14.3 响应文件的开启：具体详见“供应商须知前附表”。</w:t>
      </w:r>
    </w:p>
    <w:p w14:paraId="64EB58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15.响应文件评审程序</w:t>
      </w:r>
    </w:p>
    <w:p w14:paraId="0EA402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 资格审查</w:t>
      </w:r>
    </w:p>
    <w:p w14:paraId="2A93A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15.1.1 响应文件开启后， 由磋商小组依法对供应商的资格证明文件进行审查。</w:t>
      </w:r>
    </w:p>
    <w:p w14:paraId="0B0436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15.1.2 通过资格审查的合格供应商不足3 家的，不得进入符合性审查环节，采购人或采购代理机构应当重新开展采购活动。</w:t>
      </w:r>
    </w:p>
    <w:p w14:paraId="7AB81E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 符合性审查</w:t>
      </w:r>
    </w:p>
    <w:p w14:paraId="4F2124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15.2.1 由磋商小组通过资格审查的合格供应商的响应文件的竞标报价、商务、技术等实质性要求进行符合性审查，以确定其是否满足竞争性磋商文件的实质性要求。</w:t>
      </w:r>
    </w:p>
    <w:p w14:paraId="0B747D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15.2.2 磋商小组在对响应文件进行符合性审查时，可以要求供应商对响应文件中含义不明确、同类问题表述不一致或者有明显文字和计算错误的内容等作出必要的澄清、说明或者更 正。供应商的澄清、说明或者更正不得超出响应文件的范围或者改变响应文件的实质性内容。</w:t>
      </w:r>
    </w:p>
    <w:p w14:paraId="344007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15.2.3 磋商小组要求供应商澄清、说明或者更正响应文件应当要求供应商在合理时间内 通过</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的方式形式作出。供应商的澄清、说明或者更正 必须通过</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磋商小组进行判定。供应商的澄清、说明或者更正必须由法定代表人或者其委托代理人签字或者加盖 CA 签章。 由委托代理人签字的，若委托代理人不是响应文件中授权的委托代理人时， 必须同时出示有效的法定代表人授权委托书原件。供应商为自然人的，必须由本人签字并附身 份证明。</w:t>
      </w:r>
    </w:p>
    <w:p w14:paraId="037258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15.2.4 首次响应文件中报价出现前后不一致的，按照下列规定修正：</w:t>
      </w:r>
    </w:p>
    <w:p w14:paraId="021965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响应文件中报价表内容与响应文件中相应内容不一致的，以报价表为准；</w:t>
      </w:r>
    </w:p>
    <w:p w14:paraId="6C9142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大写金额和小写金额不一致的，以大写金额为准；</w:t>
      </w:r>
    </w:p>
    <w:p w14:paraId="04613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单价金额小数点或者百分比有明显错位的，以报价表的总价为准，并修改单价；</w:t>
      </w:r>
    </w:p>
    <w:p w14:paraId="56982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 总价金额与按单价汇总金额不一致的，以单价金额计算结果为准。</w:t>
      </w:r>
    </w:p>
    <w:p w14:paraId="47AB39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同时出现两种以上不一致的，按照以上 (1) - (4) 规定的顺序逐条进行修正。修正后的报价经供应商确认后产生约束力，供应商不确认的，其响应文件按无效响应处理。</w:t>
      </w:r>
    </w:p>
    <w:p w14:paraId="364721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5C3326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15.2.6 通过符合性审查的合格供应商不足 3 家的，不得进入磋商环节，采购人或采购代理机构应当重新开展采购活动。</w:t>
      </w:r>
    </w:p>
    <w:p w14:paraId="512F38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16.磋商</w:t>
      </w:r>
    </w:p>
    <w:p w14:paraId="4C9FE8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16.1 磋商小组按照“供应商须知前附表”确定的顺序，集中与单一供应商分别进行磋商，并予所有参加磋商的供应商平等的磋商机会。符合磋商资格的供应商必须实时关注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rPr>
        <w:tab/>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开标信息，在接到磋商通知后规定时间内参加磋商，未在规定时间内参加磋商的视同放弃参加磋商权利，其响应文件按无效响应处理。</w:t>
      </w:r>
    </w:p>
    <w:p w14:paraId="15C6D6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0FB46F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16.3 对竞争性磋商文件作出的实质性变动是竞争性磋商文件的有效组成部分， 由磋商小组及时以书面形式同时通知所有参加磋商的供应商。</w:t>
      </w:r>
    </w:p>
    <w:p w14:paraId="506F0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16.4 供应商必须按照磋商文件的变动情况和磋商小组的要求重新提交响应文件，并由其法定代表人或者授权代表签字或者加盖 CA 签章在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25B6B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16.5 磋商中，磋商的任何一方不得透露与磋商有关的其他供应商的技术资料、价格和其他信息。</w:t>
      </w:r>
    </w:p>
    <w:p w14:paraId="3597CE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16.6 采购代理机构对磋商过程和重要磋商内容进行记录，磋商双方应在记录上签字确认。</w:t>
      </w:r>
    </w:p>
    <w:p w14:paraId="020CC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16.7 磋商过程中重新提交的响应文件，供应商可以在开启前补充、修改。</w:t>
      </w:r>
    </w:p>
    <w:p w14:paraId="502FDD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7D03B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16.9 对磋商过程提交的响应文件进行有效性、完整性和响应程度审查，通过审查的合格供应商不足 3 家的，除本须知正文第 16.8 条的情形外，采购人或采购代理机构应当重新开展采购活动。</w:t>
      </w:r>
    </w:p>
    <w:p w14:paraId="43AC23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16.10 本项目所有响应文件的首次报价及所有磋商报价均不公布。最后磋商结束后，磋商小组不得再与供应商进行任何形式的商谈。</w:t>
      </w:r>
    </w:p>
    <w:p w14:paraId="4DC0B0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17.最后报价</w:t>
      </w:r>
    </w:p>
    <w:p w14:paraId="77C5E1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17.1 磋商文件能够详细列明采购标的的技术、服务要求的，磋商结束后，由磋商小组要求所有继续参加磋商的供应商在规定时间内在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提交最后报价，提交最后报价的供应商不得少于 3 家，除本章第 4.3 条外，否则必须重新采购。</w:t>
      </w:r>
    </w:p>
    <w:p w14:paraId="346FD3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17.2 磋商文件不能详细列明采购标的的技术、服务要求，需经磋商由供应商提供最后设计方案或者解决方案的，磋商结束后， 由磋商小组按照少数服从多数的原则投票推荐 3 家以上供应商的设计方案或者解决方案，并要求其在规定时间内在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提交最后报价。</w:t>
      </w:r>
    </w:p>
    <w:p w14:paraId="57E09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①最后报价与首次报价相比无调整的：供应商提交的最后报价只须注明与首次报价相同。</w:t>
      </w:r>
    </w:p>
    <w:p w14:paraId="33A811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提交，逾期则最后报价无效，以首次报价为准。</w:t>
      </w:r>
    </w:p>
    <w:p w14:paraId="182FBA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111CB9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17.4 已经提交响应文件的供应商，在提交最后报价之前，可以根据磋商情况退出磋商，退出磋商的供应商的响应文件按无效响应处理。采购人、采购代理机构将退还退出磋商的供应商的保证金。</w:t>
      </w:r>
    </w:p>
    <w:p w14:paraId="02513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17.5 供应商未在规定时间内提交最后报价的，视同退出磋商。</w:t>
      </w:r>
    </w:p>
    <w:p w14:paraId="43147C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17.6 磋商小组收齐某一分标最后报价后统一开启，磋商小组对最后报价进行有效性、完整性和响应程度的审查。</w:t>
      </w:r>
    </w:p>
    <w:p w14:paraId="07233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17.7 响应文件最后报价出现前后不一致的，按照本正文第 25.2.4 条的规定修正。</w:t>
      </w:r>
    </w:p>
    <w:p w14:paraId="22271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17.8 修正后的报价出现下列情形的，按无效响应处理：</w:t>
      </w:r>
    </w:p>
    <w:p w14:paraId="06DE40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供应商不确认的；</w:t>
      </w:r>
    </w:p>
    <w:p w14:paraId="6F48C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经供应商确认修正后的竞标报价 (包含首次报价、最后报价) 超过所竞标规定的采购预算金额或者最高限价的 (如本项目公布了最高限价) ；</w:t>
      </w:r>
    </w:p>
    <w:p w14:paraId="334FCF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经供应商确认修正后的竞标报价 (包含首次报价、最后报价) 超过分项采购预算金额或者最高限价的 (如本项目公布了最高限价) 。</w:t>
      </w:r>
    </w:p>
    <w:p w14:paraId="28A2D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17.9 经供应商确认修正后的最后报价作为评审及签订合同的依据。</w:t>
      </w:r>
    </w:p>
    <w:p w14:paraId="4C933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17.10 最后报价结束后，磋商小组不得再与供应商进行任何形式的商谈。 </w:t>
      </w:r>
    </w:p>
    <w:p w14:paraId="30850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18.比较与评价</w:t>
      </w:r>
    </w:p>
    <w:p w14:paraId="4A1E71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18.1 评审方法：综合评分法。</w:t>
      </w:r>
    </w:p>
    <w:p w14:paraId="49F92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18.2 经磋商确定最终采购需求和提交最后报价的供应商后， 由磋商小组采用综合评分法对提交最后报价的供应商的响应文件和最后报价进行综合评分。详见第四章“评审程序、评审方法和评审标准”。</w:t>
      </w:r>
    </w:p>
    <w:p w14:paraId="4A5CEE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18.3 评审时，磋商小组各成员应当独立对每个有效的响应文件进行评价、打分，然后汇总每个供应商每项评分因素的得分。</w:t>
      </w:r>
    </w:p>
    <w:p w14:paraId="09DC21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磋商小组按照竞争性磋商文件中规定的评审标准计算各供应商的报价得分。项目评审过程中，不得去掉最后报价中的最高报价和最低报价。</w:t>
      </w:r>
    </w:p>
    <w:p w14:paraId="3526CB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各供应商的得分为磋商小组所有成员的有效评分的算术平均数。</w:t>
      </w:r>
    </w:p>
    <w:p w14:paraId="3C521D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18.4 评审价为供应商的最后报价进行政策性扣除后的价格，评审价只是作为评审时使用。最终成交供应商的成交金额等于最后报价 (如有修正，以确认修正后的最后报价为准) 。</w:t>
      </w:r>
    </w:p>
    <w:p w14:paraId="42C332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2AEB4A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8EBC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特别说明：政采云公司如对电子化磋商及评审程序有调整的，按调整后的程序操作。</w:t>
      </w:r>
    </w:p>
    <w:p w14:paraId="48533B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 采购过程中出现以下情形，导致电子交易平台无法正常运行，或者无法保证电子交 易的公平、公正和安全时，采购组织机构可中止电子交易活动：</w:t>
      </w:r>
    </w:p>
    <w:p w14:paraId="7FA130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18.6.1 电子交易平台发生故障而无法登录访问的；</w:t>
      </w:r>
    </w:p>
    <w:p w14:paraId="6A0AF4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18.6.2 电子交易平台应用或数据库出现错误，不能进行正常操作的；</w:t>
      </w:r>
    </w:p>
    <w:p w14:paraId="7D93C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18.6.3 电子交易平台发现严重安全漏洞，有潜在泄密危险的；</w:t>
      </w:r>
    </w:p>
    <w:p w14:paraId="36E728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18.6.4 病毒发作导致不能进行正常操作的；</w:t>
      </w:r>
    </w:p>
    <w:p w14:paraId="6A5EB0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18.6.5 其他无法保证电子交易的公平、公正和安全的情况。</w:t>
      </w:r>
    </w:p>
    <w:p w14:paraId="0EA3B5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0903F3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六、确定成交供应商办法及结果公告</w:t>
      </w:r>
    </w:p>
    <w:p w14:paraId="6B3702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BD9F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1790F6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AAA4F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E9DDB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七、履约保证金</w:t>
      </w:r>
    </w:p>
    <w:p w14:paraId="28A293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20.履约保证金：</w:t>
      </w:r>
      <w:r>
        <w:rPr>
          <w:rFonts w:hint="eastAsia" w:ascii="宋体" w:hAnsi="宋体" w:cs="宋体"/>
          <w:b w:val="0"/>
          <w:bCs/>
          <w:color w:val="auto"/>
          <w:szCs w:val="21"/>
          <w:highlight w:val="none"/>
          <w:lang w:val="en-US" w:eastAsia="zh-CN"/>
        </w:rPr>
        <w:t>详见须知前附表</w:t>
      </w:r>
      <w:r>
        <w:rPr>
          <w:rFonts w:hint="eastAsia" w:ascii="宋体" w:hAnsi="宋体" w:cs="宋体"/>
          <w:b w:val="0"/>
          <w:bCs/>
          <w:color w:val="auto"/>
          <w:szCs w:val="21"/>
          <w:highlight w:val="none"/>
        </w:rPr>
        <w:t>。</w:t>
      </w:r>
    </w:p>
    <w:p w14:paraId="6019C9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八、签订合同</w:t>
      </w:r>
    </w:p>
    <w:p w14:paraId="2A91B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s="宋体"/>
          <w:b w:val="0"/>
          <w:bCs/>
          <w:color w:val="auto"/>
          <w:szCs w:val="21"/>
          <w:highlight w:val="none"/>
        </w:rPr>
        <w:t>21.1 成交供应商在收到成交通知书后</w:t>
      </w:r>
      <w:r>
        <w:rPr>
          <w:rFonts w:hint="eastAsia" w:ascii="宋体" w:hAnsi="宋体" w:cs="宋体"/>
          <w:b w:val="0"/>
          <w:bCs/>
          <w:color w:val="auto"/>
          <w:szCs w:val="21"/>
          <w:highlight w:val="none"/>
          <w:lang w:val="en-US" w:eastAsia="zh-CN"/>
        </w:rPr>
        <w:t>25日内</w:t>
      </w:r>
      <w:r>
        <w:rPr>
          <w:rFonts w:hint="eastAsia" w:ascii="宋体" w:hAnsi="宋体" w:cs="宋体"/>
          <w:b w:val="0"/>
          <w:bCs/>
          <w:color w:val="auto"/>
          <w:szCs w:val="21"/>
          <w:highlight w:val="none"/>
        </w:rPr>
        <w:t>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2E345F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43656A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九、政府采购合同公告</w:t>
      </w:r>
    </w:p>
    <w:p w14:paraId="48A9C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8E2C7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十、适用法律</w:t>
      </w:r>
    </w:p>
    <w:p w14:paraId="1FAB8A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23.本项目适用于《中华人民共和国政府采购法》《中华人民共和国政府采购法实施条例》</w:t>
      </w:r>
    </w:p>
    <w:p w14:paraId="0D1255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45C338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十一、其他事项</w:t>
      </w:r>
    </w:p>
    <w:p w14:paraId="7C1BE3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24.1 招标代理服务费</w:t>
      </w:r>
    </w:p>
    <w:p w14:paraId="128847A1">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本项目的招标代理服务费按</w:t>
      </w:r>
      <w:r>
        <w:rPr>
          <w:rFonts w:hint="eastAsia" w:hAnsi="宋体" w:cs="宋体"/>
          <w:color w:val="auto"/>
          <w:sz w:val="21"/>
          <w:highlight w:val="none"/>
          <w:lang w:val="en-US" w:eastAsia="zh-CN"/>
        </w:rPr>
        <w:t>成交金额为计费额，按收费计算标准（工程类）采用差额定率累进法计算出收费基准价格，采购代理收费以收费基准价格计取，</w:t>
      </w:r>
      <w:r>
        <w:rPr>
          <w:rFonts w:hint="eastAsia" w:ascii="宋体" w:hAnsi="宋体" w:cs="宋体"/>
          <w:b w:val="0"/>
          <w:bCs/>
          <w:color w:val="auto"/>
          <w:szCs w:val="21"/>
          <w:highlight w:val="none"/>
        </w:rPr>
        <w:t>由成交人领取成交通知书前，向代理机构一次性付清。</w:t>
      </w:r>
    </w:p>
    <w:p w14:paraId="7556DB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代理服务费专用</w:t>
      </w: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户：</w:t>
      </w:r>
    </w:p>
    <w:p w14:paraId="5065B2E3">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 xml:space="preserve">开户名称：广西中佰项目管理有限公司 </w:t>
      </w:r>
    </w:p>
    <w:p w14:paraId="012B8423">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color w:val="auto"/>
          <w:sz w:val="21"/>
          <w:highlight w:val="none"/>
          <w:lang w:val="en-US" w:eastAsia="zh-CN"/>
        </w:rPr>
        <w:t>账</w:t>
      </w:r>
      <w:r>
        <w:rPr>
          <w:rFonts w:hint="eastAsia" w:hAnsi="宋体" w:cs="宋体"/>
          <w:color w:val="auto"/>
          <w:sz w:val="21"/>
          <w:highlight w:val="none"/>
          <w:lang w:val="en-US" w:eastAsia="zh-CN"/>
        </w:rPr>
        <w:t xml:space="preserve">  </w:t>
      </w:r>
      <w:r>
        <w:rPr>
          <w:rFonts w:hint="eastAsia" w:ascii="宋体" w:hAnsi="宋体" w:eastAsia="宋体" w:cs="宋体"/>
          <w:color w:val="auto"/>
          <w:sz w:val="21"/>
          <w:highlight w:val="none"/>
          <w:lang w:val="en-US" w:eastAsia="zh-CN"/>
        </w:rPr>
        <w:t>号：</w:t>
      </w:r>
      <w:r>
        <w:rPr>
          <w:rFonts w:hint="eastAsia" w:ascii="宋体" w:hAnsi="宋体" w:eastAsia="宋体" w:cs="宋体"/>
          <w:szCs w:val="24"/>
          <w:highlight w:val="none"/>
          <w:lang w:val="en-US" w:eastAsia="zh-CN"/>
        </w:rPr>
        <w:t>4505 0110 1205 0000 1410</w:t>
      </w:r>
    </w:p>
    <w:p w14:paraId="7C7A05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color w:val="auto"/>
          <w:sz w:val="21"/>
          <w:highlight w:val="none"/>
          <w:lang w:val="en-US" w:eastAsia="zh-CN"/>
        </w:rPr>
      </w:pPr>
      <w:r>
        <w:rPr>
          <w:rFonts w:hint="eastAsia" w:ascii="宋体" w:hAnsi="宋体" w:eastAsia="宋体" w:cs="宋体"/>
          <w:color w:val="auto"/>
          <w:sz w:val="21"/>
          <w:highlight w:val="none"/>
          <w:lang w:val="en-US" w:eastAsia="zh-CN"/>
        </w:rPr>
        <w:t>开户行：</w:t>
      </w:r>
      <w:r>
        <w:rPr>
          <w:rFonts w:hint="eastAsia" w:hAnsi="宋体" w:cs="宋体"/>
          <w:szCs w:val="24"/>
          <w:highlight w:val="none"/>
          <w:lang w:val="en-US" w:eastAsia="zh-CN"/>
        </w:rPr>
        <w:t>中国建设银行股份有限公司浦北支行</w:t>
      </w:r>
    </w:p>
    <w:p w14:paraId="0F6B40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代理服务费收费计算标准：</w:t>
      </w:r>
    </w:p>
    <w:tbl>
      <w:tblPr>
        <w:tblStyle w:val="6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52D49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14DFCEF1">
            <w:pPr>
              <w:keepNext w:val="0"/>
              <w:keepLines w:val="0"/>
              <w:pageBreakBefore w:val="0"/>
              <w:widowControl w:val="0"/>
              <w:kinsoku/>
              <w:wordWrap/>
              <w:overflowPunct/>
              <w:topLinePunct w:val="0"/>
              <w:autoSpaceDE/>
              <w:autoSpaceDN/>
              <w:bidi w:val="0"/>
              <w:adjustRightInd/>
              <w:snapToGrid/>
              <w:spacing w:line="400" w:lineRule="exact"/>
              <w:ind w:left="1702" w:firstLine="1040" w:firstLineChars="500"/>
              <w:jc w:val="left"/>
              <w:textAlignment w:val="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费率</w:t>
            </w:r>
          </w:p>
          <w:p w14:paraId="24285977">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金</w:t>
            </w:r>
            <w:r>
              <w:rPr>
                <w:rFonts w:ascii="宋体" w:hAnsi="宋体" w:eastAsia="宋体" w:cs="宋体"/>
                <w:color w:val="auto"/>
                <w:spacing w:val="3"/>
                <w:sz w:val="21"/>
                <w:szCs w:val="21"/>
                <w:highlight w:val="none"/>
              </w:rPr>
              <w:t>额</w:t>
            </w:r>
          </w:p>
        </w:tc>
        <w:tc>
          <w:tcPr>
            <w:tcW w:w="1579" w:type="dxa"/>
            <w:vAlign w:val="center"/>
          </w:tcPr>
          <w:p w14:paraId="10C37393">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货物类</w:t>
            </w:r>
          </w:p>
        </w:tc>
        <w:tc>
          <w:tcPr>
            <w:tcW w:w="1579" w:type="dxa"/>
            <w:vAlign w:val="center"/>
          </w:tcPr>
          <w:p w14:paraId="6CBE4E50">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服务</w:t>
            </w:r>
            <w:r>
              <w:rPr>
                <w:rFonts w:ascii="宋体" w:hAnsi="宋体" w:eastAsia="宋体" w:cs="宋体"/>
                <w:color w:val="auto"/>
                <w:spacing w:val="6"/>
                <w:sz w:val="21"/>
                <w:szCs w:val="21"/>
                <w:highlight w:val="none"/>
              </w:rPr>
              <w:t>类</w:t>
            </w:r>
          </w:p>
        </w:tc>
        <w:tc>
          <w:tcPr>
            <w:tcW w:w="1581" w:type="dxa"/>
            <w:vAlign w:val="center"/>
          </w:tcPr>
          <w:p w14:paraId="6F918F4B">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工程类</w:t>
            </w:r>
          </w:p>
        </w:tc>
      </w:tr>
      <w:tr w14:paraId="0C8D3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9C8A402">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0</w:t>
            </w:r>
            <w:r>
              <w:rPr>
                <w:rFonts w:ascii="宋体" w:hAnsi="宋体" w:eastAsia="宋体" w:cs="宋体"/>
                <w:color w:val="auto"/>
                <w:spacing w:val="-2"/>
                <w:sz w:val="21"/>
                <w:szCs w:val="21"/>
                <w:highlight w:val="none"/>
              </w:rPr>
              <w:t>0 万元以下</w:t>
            </w:r>
          </w:p>
        </w:tc>
        <w:tc>
          <w:tcPr>
            <w:tcW w:w="1579" w:type="dxa"/>
            <w:vAlign w:val="center"/>
          </w:tcPr>
          <w:p w14:paraId="193B32D4">
            <w:pPr>
              <w:spacing w:before="33" w:line="271"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1.5</w:t>
            </w:r>
            <w:r>
              <w:rPr>
                <w:rFonts w:ascii="宋体" w:hAnsi="宋体" w:eastAsia="宋体" w:cs="宋体"/>
                <w:color w:val="auto"/>
                <w:position w:val="1"/>
                <w:sz w:val="21"/>
                <w:szCs w:val="21"/>
                <w:highlight w:val="none"/>
              </w:rPr>
              <w:t>%</w:t>
            </w:r>
          </w:p>
        </w:tc>
        <w:tc>
          <w:tcPr>
            <w:tcW w:w="1579" w:type="dxa"/>
            <w:vAlign w:val="center"/>
          </w:tcPr>
          <w:p w14:paraId="4A227875">
            <w:pPr>
              <w:spacing w:before="33" w:line="271"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1.5</w:t>
            </w:r>
            <w:r>
              <w:rPr>
                <w:rFonts w:ascii="宋体" w:hAnsi="宋体" w:eastAsia="宋体" w:cs="宋体"/>
                <w:color w:val="auto"/>
                <w:position w:val="1"/>
                <w:sz w:val="21"/>
                <w:szCs w:val="21"/>
                <w:highlight w:val="none"/>
              </w:rPr>
              <w:t>%</w:t>
            </w:r>
          </w:p>
        </w:tc>
        <w:tc>
          <w:tcPr>
            <w:tcW w:w="1581" w:type="dxa"/>
            <w:vAlign w:val="center"/>
          </w:tcPr>
          <w:p w14:paraId="1B172FA9">
            <w:pPr>
              <w:spacing w:before="33" w:line="271" w:lineRule="exact"/>
              <w:ind w:left="342"/>
              <w:jc w:val="center"/>
              <w:rPr>
                <w:rFonts w:ascii="宋体" w:hAnsi="宋体" w:eastAsia="宋体" w:cs="宋体"/>
                <w:color w:val="auto"/>
                <w:sz w:val="21"/>
                <w:szCs w:val="21"/>
                <w:highlight w:val="none"/>
              </w:rPr>
            </w:pPr>
            <w:r>
              <w:rPr>
                <w:rFonts w:ascii="宋体" w:hAnsi="宋体" w:eastAsia="宋体" w:cs="宋体"/>
                <w:color w:val="auto"/>
                <w:spacing w:val="-2"/>
                <w:position w:val="1"/>
                <w:sz w:val="21"/>
                <w:szCs w:val="21"/>
                <w:highlight w:val="none"/>
              </w:rPr>
              <w:t>1</w:t>
            </w:r>
            <w:r>
              <w:rPr>
                <w:rFonts w:ascii="宋体" w:hAnsi="宋体" w:eastAsia="宋体" w:cs="宋体"/>
                <w:color w:val="auto"/>
                <w:spacing w:val="-1"/>
                <w:position w:val="1"/>
                <w:sz w:val="21"/>
                <w:szCs w:val="21"/>
                <w:highlight w:val="none"/>
              </w:rPr>
              <w:t>.0%</w:t>
            </w:r>
          </w:p>
        </w:tc>
      </w:tr>
      <w:tr w14:paraId="7081E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1C369F1">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1</w:t>
            </w:r>
            <w:r>
              <w:rPr>
                <w:rFonts w:ascii="宋体" w:hAnsi="宋体" w:eastAsia="宋体" w:cs="宋体"/>
                <w:color w:val="auto"/>
                <w:spacing w:val="8"/>
                <w:sz w:val="21"/>
                <w:szCs w:val="21"/>
                <w:highlight w:val="none"/>
              </w:rPr>
              <w:t>00</w:t>
            </w:r>
            <w:r>
              <w:rPr>
                <w:rFonts w:hint="eastAsia" w:ascii="宋体" w:hAnsi="宋体" w:cs="宋体"/>
                <w:color w:val="auto"/>
                <w:spacing w:val="8"/>
                <w:sz w:val="21"/>
                <w:szCs w:val="21"/>
                <w:highlight w:val="none"/>
                <w:lang w:eastAsia="zh-CN"/>
              </w:rPr>
              <w:t>～</w:t>
            </w:r>
            <w:r>
              <w:rPr>
                <w:rFonts w:ascii="宋体" w:hAnsi="宋体" w:eastAsia="宋体" w:cs="宋体"/>
                <w:color w:val="auto"/>
                <w:spacing w:val="8"/>
                <w:sz w:val="21"/>
                <w:szCs w:val="21"/>
                <w:highlight w:val="none"/>
              </w:rPr>
              <w:t>500 万元</w:t>
            </w:r>
          </w:p>
        </w:tc>
        <w:tc>
          <w:tcPr>
            <w:tcW w:w="1579" w:type="dxa"/>
            <w:vAlign w:val="center"/>
          </w:tcPr>
          <w:p w14:paraId="0242BD1B">
            <w:pPr>
              <w:spacing w:before="33" w:line="270"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1.1</w:t>
            </w:r>
            <w:r>
              <w:rPr>
                <w:rFonts w:ascii="宋体" w:hAnsi="宋体" w:eastAsia="宋体" w:cs="宋体"/>
                <w:color w:val="auto"/>
                <w:position w:val="1"/>
                <w:sz w:val="21"/>
                <w:szCs w:val="21"/>
                <w:highlight w:val="none"/>
              </w:rPr>
              <w:t>%</w:t>
            </w:r>
          </w:p>
        </w:tc>
        <w:tc>
          <w:tcPr>
            <w:tcW w:w="1579" w:type="dxa"/>
            <w:vAlign w:val="center"/>
          </w:tcPr>
          <w:p w14:paraId="2DA9C238">
            <w:pPr>
              <w:spacing w:before="33"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0.8</w:t>
            </w:r>
            <w:r>
              <w:rPr>
                <w:rFonts w:ascii="宋体" w:hAnsi="宋体" w:eastAsia="宋体" w:cs="宋体"/>
                <w:color w:val="auto"/>
                <w:spacing w:val="2"/>
                <w:position w:val="1"/>
                <w:sz w:val="21"/>
                <w:szCs w:val="21"/>
                <w:highlight w:val="none"/>
              </w:rPr>
              <w:t>%</w:t>
            </w:r>
          </w:p>
        </w:tc>
        <w:tc>
          <w:tcPr>
            <w:tcW w:w="1581" w:type="dxa"/>
            <w:vAlign w:val="center"/>
          </w:tcPr>
          <w:p w14:paraId="20871527">
            <w:pPr>
              <w:spacing w:before="33"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w:t>
            </w:r>
            <w:r>
              <w:rPr>
                <w:rFonts w:ascii="宋体" w:hAnsi="宋体" w:eastAsia="宋体" w:cs="宋体"/>
                <w:color w:val="auto"/>
                <w:spacing w:val="2"/>
                <w:position w:val="1"/>
                <w:sz w:val="21"/>
                <w:szCs w:val="21"/>
                <w:highlight w:val="none"/>
              </w:rPr>
              <w:t>.7%</w:t>
            </w:r>
          </w:p>
        </w:tc>
      </w:tr>
      <w:tr w14:paraId="0ED50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4A036CC">
            <w:pPr>
              <w:spacing w:before="32"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5</w:t>
            </w:r>
            <w:r>
              <w:rPr>
                <w:rFonts w:ascii="宋体" w:hAnsi="宋体" w:eastAsia="宋体" w:cs="宋体"/>
                <w:color w:val="auto"/>
                <w:spacing w:val="9"/>
                <w:sz w:val="21"/>
                <w:szCs w:val="21"/>
                <w:highlight w:val="none"/>
              </w:rPr>
              <w:t>00</w:t>
            </w:r>
            <w:r>
              <w:rPr>
                <w:rFonts w:hint="eastAsia" w:ascii="宋体" w:hAnsi="宋体" w:cs="宋体"/>
                <w:color w:val="auto"/>
                <w:spacing w:val="8"/>
                <w:sz w:val="21"/>
                <w:szCs w:val="21"/>
                <w:highlight w:val="none"/>
                <w:lang w:eastAsia="zh-CN"/>
              </w:rPr>
              <w:t>～</w:t>
            </w:r>
            <w:r>
              <w:rPr>
                <w:rFonts w:ascii="宋体" w:hAnsi="宋体" w:eastAsia="宋体" w:cs="宋体"/>
                <w:color w:val="auto"/>
                <w:spacing w:val="9"/>
                <w:sz w:val="21"/>
                <w:szCs w:val="21"/>
                <w:highlight w:val="none"/>
              </w:rPr>
              <w:t>1000 万元</w:t>
            </w:r>
          </w:p>
        </w:tc>
        <w:tc>
          <w:tcPr>
            <w:tcW w:w="1579" w:type="dxa"/>
            <w:vAlign w:val="center"/>
          </w:tcPr>
          <w:p w14:paraId="3C5C3973">
            <w:pPr>
              <w:spacing w:before="32"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0.8</w:t>
            </w:r>
            <w:r>
              <w:rPr>
                <w:rFonts w:ascii="宋体" w:hAnsi="宋体" w:eastAsia="宋体" w:cs="宋体"/>
                <w:color w:val="auto"/>
                <w:spacing w:val="2"/>
                <w:position w:val="1"/>
                <w:sz w:val="21"/>
                <w:szCs w:val="21"/>
                <w:highlight w:val="none"/>
              </w:rPr>
              <w:t>%</w:t>
            </w:r>
          </w:p>
        </w:tc>
        <w:tc>
          <w:tcPr>
            <w:tcW w:w="1579" w:type="dxa"/>
            <w:vAlign w:val="center"/>
          </w:tcPr>
          <w:p w14:paraId="31C076C7">
            <w:pPr>
              <w:spacing w:before="32"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0.45</w:t>
            </w:r>
            <w:r>
              <w:rPr>
                <w:rFonts w:ascii="宋体" w:hAnsi="宋体" w:eastAsia="宋体" w:cs="宋体"/>
                <w:color w:val="auto"/>
                <w:spacing w:val="2"/>
                <w:position w:val="1"/>
                <w:sz w:val="21"/>
                <w:szCs w:val="21"/>
                <w:highlight w:val="none"/>
              </w:rPr>
              <w:t>%</w:t>
            </w:r>
          </w:p>
        </w:tc>
        <w:tc>
          <w:tcPr>
            <w:tcW w:w="1581" w:type="dxa"/>
            <w:vAlign w:val="center"/>
          </w:tcPr>
          <w:p w14:paraId="3688C3C8">
            <w:pPr>
              <w:spacing w:before="32"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0.55</w:t>
            </w:r>
            <w:r>
              <w:rPr>
                <w:rFonts w:ascii="宋体" w:hAnsi="宋体" w:eastAsia="宋体" w:cs="宋体"/>
                <w:color w:val="auto"/>
                <w:spacing w:val="2"/>
                <w:position w:val="1"/>
                <w:sz w:val="21"/>
                <w:szCs w:val="21"/>
                <w:highlight w:val="none"/>
              </w:rPr>
              <w:t>%</w:t>
            </w:r>
          </w:p>
        </w:tc>
      </w:tr>
      <w:tr w14:paraId="1140A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2ED991C">
            <w:pPr>
              <w:spacing w:before="32"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1000</w:t>
            </w:r>
            <w:r>
              <w:rPr>
                <w:rFonts w:hint="eastAsia" w:ascii="宋体" w:hAnsi="宋体" w:cs="宋体"/>
                <w:color w:val="auto"/>
                <w:spacing w:val="8"/>
                <w:sz w:val="21"/>
                <w:szCs w:val="21"/>
                <w:highlight w:val="none"/>
                <w:lang w:eastAsia="zh-CN"/>
              </w:rPr>
              <w:t>～</w:t>
            </w:r>
            <w:r>
              <w:rPr>
                <w:rFonts w:ascii="宋体" w:hAnsi="宋体" w:eastAsia="宋体" w:cs="宋体"/>
                <w:color w:val="auto"/>
                <w:spacing w:val="8"/>
                <w:sz w:val="21"/>
                <w:szCs w:val="21"/>
                <w:highlight w:val="none"/>
              </w:rPr>
              <w:t>5000万</w:t>
            </w:r>
            <w:r>
              <w:rPr>
                <w:rFonts w:ascii="宋体" w:hAnsi="宋体" w:eastAsia="宋体" w:cs="宋体"/>
                <w:color w:val="auto"/>
                <w:spacing w:val="7"/>
                <w:sz w:val="21"/>
                <w:szCs w:val="21"/>
                <w:highlight w:val="none"/>
              </w:rPr>
              <w:t>元</w:t>
            </w:r>
          </w:p>
        </w:tc>
        <w:tc>
          <w:tcPr>
            <w:tcW w:w="1579" w:type="dxa"/>
            <w:vAlign w:val="center"/>
          </w:tcPr>
          <w:p w14:paraId="47AAC039">
            <w:pPr>
              <w:spacing w:before="32"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0.5</w:t>
            </w:r>
            <w:r>
              <w:rPr>
                <w:rFonts w:ascii="宋体" w:hAnsi="宋体" w:eastAsia="宋体" w:cs="宋体"/>
                <w:color w:val="auto"/>
                <w:spacing w:val="2"/>
                <w:position w:val="1"/>
                <w:sz w:val="21"/>
                <w:szCs w:val="21"/>
                <w:highlight w:val="none"/>
              </w:rPr>
              <w:t>%</w:t>
            </w:r>
          </w:p>
        </w:tc>
        <w:tc>
          <w:tcPr>
            <w:tcW w:w="1579" w:type="dxa"/>
            <w:vAlign w:val="center"/>
          </w:tcPr>
          <w:p w14:paraId="26568472">
            <w:pPr>
              <w:spacing w:before="32"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0.25</w:t>
            </w:r>
            <w:r>
              <w:rPr>
                <w:rFonts w:ascii="宋体" w:hAnsi="宋体" w:eastAsia="宋体" w:cs="宋体"/>
                <w:color w:val="auto"/>
                <w:spacing w:val="2"/>
                <w:position w:val="1"/>
                <w:sz w:val="21"/>
                <w:szCs w:val="21"/>
                <w:highlight w:val="none"/>
              </w:rPr>
              <w:t>%</w:t>
            </w:r>
          </w:p>
        </w:tc>
        <w:tc>
          <w:tcPr>
            <w:tcW w:w="1581" w:type="dxa"/>
            <w:vAlign w:val="center"/>
          </w:tcPr>
          <w:p w14:paraId="18479624">
            <w:pPr>
              <w:spacing w:before="32"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0.35</w:t>
            </w:r>
            <w:r>
              <w:rPr>
                <w:rFonts w:ascii="宋体" w:hAnsi="宋体" w:eastAsia="宋体" w:cs="宋体"/>
                <w:color w:val="auto"/>
                <w:spacing w:val="2"/>
                <w:position w:val="1"/>
                <w:sz w:val="21"/>
                <w:szCs w:val="21"/>
                <w:highlight w:val="none"/>
              </w:rPr>
              <w:t>%</w:t>
            </w:r>
          </w:p>
        </w:tc>
      </w:tr>
      <w:tr w14:paraId="57D6E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F443E61">
            <w:pPr>
              <w:spacing w:before="34"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5</w:t>
            </w:r>
            <w:r>
              <w:rPr>
                <w:rFonts w:ascii="宋体" w:hAnsi="宋体" w:eastAsia="宋体" w:cs="宋体"/>
                <w:color w:val="auto"/>
                <w:spacing w:val="5"/>
                <w:sz w:val="21"/>
                <w:szCs w:val="21"/>
                <w:highlight w:val="none"/>
              </w:rPr>
              <w:t>000万元</w:t>
            </w:r>
            <w:r>
              <w:rPr>
                <w:rFonts w:hint="eastAsia" w:ascii="宋体" w:hAnsi="宋体" w:cs="宋体"/>
                <w:color w:val="auto"/>
                <w:spacing w:val="8"/>
                <w:sz w:val="21"/>
                <w:szCs w:val="21"/>
                <w:highlight w:val="none"/>
                <w:lang w:eastAsia="zh-CN"/>
              </w:rPr>
              <w:t>～</w:t>
            </w:r>
            <w:r>
              <w:rPr>
                <w:rFonts w:ascii="宋体" w:hAnsi="宋体" w:eastAsia="宋体" w:cs="宋体"/>
                <w:color w:val="auto"/>
                <w:spacing w:val="5"/>
                <w:sz w:val="21"/>
                <w:szCs w:val="21"/>
                <w:highlight w:val="none"/>
              </w:rPr>
              <w:t>1亿元</w:t>
            </w:r>
          </w:p>
        </w:tc>
        <w:tc>
          <w:tcPr>
            <w:tcW w:w="1579" w:type="dxa"/>
            <w:vAlign w:val="center"/>
          </w:tcPr>
          <w:p w14:paraId="53311333">
            <w:pPr>
              <w:spacing w:before="34"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0.25</w:t>
            </w:r>
            <w:r>
              <w:rPr>
                <w:rFonts w:ascii="宋体" w:hAnsi="宋体" w:eastAsia="宋体" w:cs="宋体"/>
                <w:color w:val="auto"/>
                <w:spacing w:val="2"/>
                <w:position w:val="1"/>
                <w:sz w:val="21"/>
                <w:szCs w:val="21"/>
                <w:highlight w:val="none"/>
              </w:rPr>
              <w:t>%</w:t>
            </w:r>
          </w:p>
        </w:tc>
        <w:tc>
          <w:tcPr>
            <w:tcW w:w="1579" w:type="dxa"/>
            <w:vAlign w:val="center"/>
          </w:tcPr>
          <w:p w14:paraId="3DF808C0">
            <w:pPr>
              <w:spacing w:before="34"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0.1</w:t>
            </w:r>
            <w:r>
              <w:rPr>
                <w:rFonts w:ascii="宋体" w:hAnsi="宋体" w:eastAsia="宋体" w:cs="宋体"/>
                <w:color w:val="auto"/>
                <w:spacing w:val="2"/>
                <w:position w:val="1"/>
                <w:sz w:val="21"/>
                <w:szCs w:val="21"/>
                <w:highlight w:val="none"/>
              </w:rPr>
              <w:t>%</w:t>
            </w:r>
          </w:p>
        </w:tc>
        <w:tc>
          <w:tcPr>
            <w:tcW w:w="1581" w:type="dxa"/>
            <w:vAlign w:val="center"/>
          </w:tcPr>
          <w:p w14:paraId="313FDCD5">
            <w:pPr>
              <w:spacing w:before="34"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w:t>
            </w:r>
            <w:r>
              <w:rPr>
                <w:rFonts w:ascii="宋体" w:hAnsi="宋体" w:eastAsia="宋体" w:cs="宋体"/>
                <w:color w:val="auto"/>
                <w:spacing w:val="2"/>
                <w:position w:val="1"/>
                <w:sz w:val="21"/>
                <w:szCs w:val="21"/>
                <w:highlight w:val="none"/>
              </w:rPr>
              <w:t>.2%</w:t>
            </w:r>
          </w:p>
        </w:tc>
      </w:tr>
      <w:tr w14:paraId="7E005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1AA9F349">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1</w:t>
            </w:r>
            <w:r>
              <w:rPr>
                <w:rFonts w:hint="eastAsia" w:ascii="宋体" w:hAnsi="宋体" w:cs="宋体"/>
                <w:color w:val="auto"/>
                <w:spacing w:val="8"/>
                <w:sz w:val="21"/>
                <w:szCs w:val="21"/>
                <w:highlight w:val="none"/>
                <w:lang w:eastAsia="zh-CN"/>
              </w:rPr>
              <w:t>～</w:t>
            </w:r>
            <w:r>
              <w:rPr>
                <w:rFonts w:ascii="宋体" w:hAnsi="宋体" w:eastAsia="宋体" w:cs="宋体"/>
                <w:color w:val="auto"/>
                <w:spacing w:val="10"/>
                <w:sz w:val="21"/>
                <w:szCs w:val="21"/>
                <w:highlight w:val="none"/>
              </w:rPr>
              <w:t>5亿元</w:t>
            </w:r>
          </w:p>
        </w:tc>
        <w:tc>
          <w:tcPr>
            <w:tcW w:w="1579" w:type="dxa"/>
            <w:vAlign w:val="center"/>
          </w:tcPr>
          <w:p w14:paraId="60137CD3">
            <w:pPr>
              <w:spacing w:before="33" w:line="270"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c>
          <w:tcPr>
            <w:tcW w:w="1579" w:type="dxa"/>
            <w:vAlign w:val="center"/>
          </w:tcPr>
          <w:p w14:paraId="005FC676">
            <w:pPr>
              <w:spacing w:before="33" w:line="270"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c>
          <w:tcPr>
            <w:tcW w:w="1581" w:type="dxa"/>
            <w:vAlign w:val="center"/>
          </w:tcPr>
          <w:p w14:paraId="443FAB11">
            <w:pPr>
              <w:spacing w:before="33" w:line="270"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r>
      <w:tr w14:paraId="3AE16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4AF360A0">
            <w:pPr>
              <w:spacing w:before="36"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5</w:t>
            </w:r>
            <w:r>
              <w:rPr>
                <w:rFonts w:hint="eastAsia" w:ascii="宋体" w:hAnsi="宋体" w:cs="宋体"/>
                <w:color w:val="auto"/>
                <w:spacing w:val="8"/>
                <w:sz w:val="21"/>
                <w:szCs w:val="21"/>
                <w:highlight w:val="none"/>
                <w:lang w:eastAsia="zh-CN"/>
              </w:rPr>
              <w:t>～</w:t>
            </w:r>
            <w:r>
              <w:rPr>
                <w:rFonts w:ascii="宋体" w:hAnsi="宋体" w:eastAsia="宋体" w:cs="宋体"/>
                <w:color w:val="auto"/>
                <w:spacing w:val="11"/>
                <w:sz w:val="21"/>
                <w:szCs w:val="21"/>
                <w:highlight w:val="none"/>
              </w:rPr>
              <w:t>10亿元</w:t>
            </w:r>
          </w:p>
        </w:tc>
        <w:tc>
          <w:tcPr>
            <w:tcW w:w="1579" w:type="dxa"/>
            <w:vAlign w:val="center"/>
          </w:tcPr>
          <w:p w14:paraId="5E115F25">
            <w:pPr>
              <w:spacing w:before="36" w:line="270" w:lineRule="exact"/>
              <w:ind w:left="220"/>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c>
          <w:tcPr>
            <w:tcW w:w="1579" w:type="dxa"/>
            <w:vAlign w:val="center"/>
          </w:tcPr>
          <w:p w14:paraId="66D427E0">
            <w:pPr>
              <w:spacing w:before="36" w:line="270" w:lineRule="exact"/>
              <w:ind w:left="326"/>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c>
          <w:tcPr>
            <w:tcW w:w="1581" w:type="dxa"/>
            <w:vAlign w:val="center"/>
          </w:tcPr>
          <w:p w14:paraId="12ED942D">
            <w:pPr>
              <w:spacing w:before="36" w:line="270" w:lineRule="exact"/>
              <w:ind w:left="223"/>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r>
    </w:tbl>
    <w:p w14:paraId="57A03F8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注：招标代理服务收费按差额定率累进法计算。</w:t>
      </w:r>
    </w:p>
    <w:p w14:paraId="450B691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24.2.解释权</w:t>
      </w:r>
    </w:p>
    <w:p w14:paraId="40D7EBA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解释权属本采购代理机构。</w:t>
      </w:r>
    </w:p>
    <w:p w14:paraId="4E9E6BF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 询问、质疑和投诉</w:t>
      </w:r>
    </w:p>
    <w:p w14:paraId="5D060A5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24.3.1 供应商对政府采购活动事项有疑问的，可以向采购人、采购代理机构提出询问，采购人或者采购代理机构应当在 3个工作日内对供应商依法提出的询问作出答复。</w:t>
      </w:r>
    </w:p>
    <w:p w14:paraId="230F654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7266247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对可以质疑的竞争性磋商文件提出质疑的，为收到竞争性磋商文件之日或竞争性磋商公告期限届满之日；</w:t>
      </w:r>
    </w:p>
    <w:p w14:paraId="384469E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对采购过程提出质疑的，为各采购程序环节结束之日；</w:t>
      </w:r>
    </w:p>
    <w:p w14:paraId="132F24C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对成交结果提出质疑的，为成交结果公告期限届满之日。</w:t>
      </w:r>
    </w:p>
    <w:p w14:paraId="09432C1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5B0712E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5C15382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1CFA075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供应商提出质疑应当提交质疑函和必要的证明材料，针对同一采购程序环节的质疑必须在法定质疑期内一次性提出。质疑函应当包括下列内容：</w:t>
      </w:r>
    </w:p>
    <w:p w14:paraId="2463459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供应商的姓名或者名称、地址、邮编、联系人及联系电话；</w:t>
      </w:r>
    </w:p>
    <w:p w14:paraId="7166C7D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质疑项目的名称、编号；</w:t>
      </w:r>
    </w:p>
    <w:p w14:paraId="3068C91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具体、明确的质疑事项和与质疑事项相关的请求；</w:t>
      </w:r>
    </w:p>
    <w:p w14:paraId="76F38DA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 事实依据；</w:t>
      </w:r>
    </w:p>
    <w:p w14:paraId="4B2636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(5) 必要的法律依据；</w:t>
      </w:r>
    </w:p>
    <w:p w14:paraId="09DB90E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(6) 提出质疑的日期。</w:t>
      </w:r>
    </w:p>
    <w:p w14:paraId="2FBAE7E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供应商为自然人的，应当由本人签字；供应商为法人或者其他组织的，应当由法定代表人、主要负责人，或者其委托代理人签字或者盖章，并加盖公章。</w:t>
      </w:r>
    </w:p>
    <w:p w14:paraId="5062A43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24.3.5 采购人、采购代理机构认为供应商质疑不成立，或者成立但未对成交结果构成影响的，继续开展采购活动；认为供应商质疑成立且影响或者可能影响成交结果的，按照下列情况处理：</w:t>
      </w:r>
    </w:p>
    <w:p w14:paraId="22A7470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对竞争性磋商文件提出的质疑，依法通过澄清或者修改可以继续开展采购活动的，澄清或者修改竞争性磋商文件后继续开展采购活动；否则应当在修改竞争性磋商文件后重新开展采购活动。</w:t>
      </w:r>
    </w:p>
    <w:p w14:paraId="7FAF9BF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对采购过程、成交结果提出的质疑，合格供应商符合法定数量时，可以从合格的成交候选人中另行确定成交供应商的，应当依法另行确定成交供应商；否则应当重新开展采购活动。</w:t>
      </w:r>
    </w:p>
    <w:p w14:paraId="5D94543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质疑答复导致成交结果改变的，采购人或者采购代理机构应当将有关情况书面报告本级财政部门。</w:t>
      </w:r>
    </w:p>
    <w:p w14:paraId="00A133A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07BC041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所有与本磋商文件有关的函件请按下列通讯地址联系：</w:t>
      </w:r>
    </w:p>
    <w:p w14:paraId="26F908F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rPr>
        <w:t>通讯地址：</w:t>
      </w:r>
      <w:r>
        <w:rPr>
          <w:rFonts w:hint="eastAsia" w:ascii="宋体" w:hAnsi="宋体" w:cs="宋体"/>
          <w:b w:val="0"/>
          <w:bCs/>
          <w:color w:val="auto"/>
          <w:szCs w:val="21"/>
          <w:highlight w:val="none"/>
          <w:lang w:eastAsia="zh-CN"/>
        </w:rPr>
        <w:t>浦北县小江镇东滨路（东方丽园）9幢32号</w:t>
      </w:r>
    </w:p>
    <w:p w14:paraId="0411F50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rPr>
        <w:t xml:space="preserve">电话： </w:t>
      </w:r>
      <w:r>
        <w:rPr>
          <w:rFonts w:hint="eastAsia" w:ascii="宋体" w:hAnsi="宋体" w:cs="宋体"/>
          <w:b w:val="0"/>
          <w:bCs/>
          <w:color w:val="auto"/>
          <w:szCs w:val="21"/>
          <w:highlight w:val="none"/>
          <w:lang w:eastAsia="zh-CN"/>
        </w:rPr>
        <w:t>0777-</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lang w:eastAsia="zh-CN"/>
        </w:rPr>
        <w:t>331248</w:t>
      </w:r>
    </w:p>
    <w:p w14:paraId="4555E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zCs w:val="21"/>
          <w:highlight w:val="none"/>
        </w:rPr>
      </w:pPr>
    </w:p>
    <w:p w14:paraId="7626A023">
      <w:pPr>
        <w:pStyle w:val="15"/>
        <w:rPr>
          <w:rFonts w:ascii="宋体" w:hAnsi="宋体" w:cs="宋体"/>
          <w:b w:val="0"/>
          <w:bCs/>
          <w:color w:val="auto"/>
          <w:szCs w:val="21"/>
          <w:highlight w:val="none"/>
        </w:rPr>
      </w:pPr>
    </w:p>
    <w:p w14:paraId="517303D5">
      <w:pPr>
        <w:pStyle w:val="15"/>
        <w:rPr>
          <w:rFonts w:ascii="宋体" w:hAnsi="宋体" w:cs="宋体"/>
          <w:b w:val="0"/>
          <w:bCs/>
          <w:color w:val="auto"/>
          <w:szCs w:val="21"/>
          <w:highlight w:val="none"/>
        </w:rPr>
      </w:pPr>
    </w:p>
    <w:p w14:paraId="4BB7B2D4">
      <w:pPr>
        <w:pStyle w:val="15"/>
        <w:rPr>
          <w:rFonts w:ascii="宋体" w:hAnsi="宋体" w:cs="宋体"/>
          <w:b w:val="0"/>
          <w:bCs/>
          <w:color w:val="auto"/>
          <w:szCs w:val="21"/>
          <w:highlight w:val="none"/>
        </w:rPr>
      </w:pPr>
    </w:p>
    <w:p w14:paraId="7389FB21">
      <w:pPr>
        <w:pStyle w:val="15"/>
        <w:rPr>
          <w:rFonts w:ascii="宋体" w:hAnsi="宋体" w:cs="宋体"/>
          <w:b w:val="0"/>
          <w:bCs/>
          <w:color w:val="auto"/>
          <w:szCs w:val="21"/>
          <w:highlight w:val="none"/>
        </w:rPr>
      </w:pPr>
    </w:p>
    <w:p w14:paraId="76FB8F24">
      <w:pPr>
        <w:pStyle w:val="15"/>
        <w:rPr>
          <w:rFonts w:ascii="宋体" w:hAnsi="宋体" w:cs="宋体"/>
          <w:b w:val="0"/>
          <w:bCs/>
          <w:color w:val="auto"/>
          <w:szCs w:val="21"/>
          <w:highlight w:val="none"/>
        </w:rPr>
      </w:pPr>
    </w:p>
    <w:p w14:paraId="7070F220">
      <w:pPr>
        <w:pStyle w:val="15"/>
        <w:rPr>
          <w:rFonts w:ascii="宋体" w:hAnsi="宋体" w:cs="宋体"/>
          <w:b w:val="0"/>
          <w:bCs/>
          <w:color w:val="auto"/>
          <w:szCs w:val="21"/>
          <w:highlight w:val="none"/>
        </w:rPr>
      </w:pPr>
    </w:p>
    <w:p w14:paraId="20D2DADA">
      <w:pPr>
        <w:pStyle w:val="15"/>
        <w:rPr>
          <w:rFonts w:ascii="宋体" w:hAnsi="宋体" w:cs="宋体"/>
          <w:b w:val="0"/>
          <w:bCs/>
          <w:color w:val="auto"/>
          <w:szCs w:val="21"/>
          <w:highlight w:val="none"/>
        </w:rPr>
      </w:pPr>
    </w:p>
    <w:p w14:paraId="0BE4E75D">
      <w:pPr>
        <w:pStyle w:val="15"/>
        <w:rPr>
          <w:rFonts w:ascii="宋体" w:hAnsi="宋体" w:cs="宋体"/>
          <w:b w:val="0"/>
          <w:bCs/>
          <w:color w:val="auto"/>
          <w:szCs w:val="21"/>
          <w:highlight w:val="none"/>
        </w:rPr>
      </w:pPr>
    </w:p>
    <w:p w14:paraId="676E4296">
      <w:pPr>
        <w:pStyle w:val="15"/>
        <w:rPr>
          <w:rFonts w:ascii="宋体" w:hAnsi="宋体" w:cs="宋体"/>
          <w:b w:val="0"/>
          <w:bCs/>
          <w:color w:val="auto"/>
          <w:szCs w:val="21"/>
          <w:highlight w:val="none"/>
        </w:rPr>
      </w:pPr>
    </w:p>
    <w:p w14:paraId="5F8D3F78">
      <w:pPr>
        <w:jc w:val="center"/>
        <w:outlineLvl w:val="9"/>
        <w:rPr>
          <w:rFonts w:hint="eastAsia" w:ascii="宋体" w:hAnsi="宋体" w:cs="宋体"/>
          <w:b/>
          <w:bCs/>
          <w:color w:val="auto"/>
          <w:spacing w:val="-14"/>
          <w:kern w:val="0"/>
          <w:position w:val="-6"/>
          <w:sz w:val="36"/>
          <w:szCs w:val="36"/>
          <w:highlight w:val="none"/>
        </w:rPr>
      </w:pPr>
      <w:bookmarkStart w:id="66" w:name="_Toc26558"/>
    </w:p>
    <w:p w14:paraId="220E6807">
      <w:pPr>
        <w:jc w:val="center"/>
        <w:outlineLvl w:val="9"/>
        <w:rPr>
          <w:rFonts w:hint="eastAsia" w:ascii="宋体" w:hAnsi="宋体" w:cs="宋体"/>
          <w:b/>
          <w:bCs/>
          <w:color w:val="auto"/>
          <w:spacing w:val="-14"/>
          <w:kern w:val="0"/>
          <w:position w:val="-6"/>
          <w:sz w:val="36"/>
          <w:szCs w:val="36"/>
          <w:highlight w:val="none"/>
        </w:rPr>
      </w:pPr>
    </w:p>
    <w:p w14:paraId="32ADBA25">
      <w:pPr>
        <w:jc w:val="center"/>
        <w:outlineLvl w:val="9"/>
        <w:rPr>
          <w:rFonts w:hint="eastAsia" w:ascii="宋体" w:hAnsi="宋体" w:cs="宋体"/>
          <w:b/>
          <w:bCs/>
          <w:color w:val="auto"/>
          <w:spacing w:val="-14"/>
          <w:kern w:val="0"/>
          <w:position w:val="-6"/>
          <w:sz w:val="36"/>
          <w:szCs w:val="36"/>
          <w:highlight w:val="none"/>
        </w:rPr>
      </w:pPr>
    </w:p>
    <w:p w14:paraId="3068CD0F">
      <w:pPr>
        <w:jc w:val="center"/>
        <w:outlineLvl w:val="9"/>
        <w:rPr>
          <w:rFonts w:hint="eastAsia" w:ascii="宋体" w:hAnsi="宋体" w:cs="宋体"/>
          <w:b/>
          <w:bCs/>
          <w:color w:val="auto"/>
          <w:spacing w:val="-14"/>
          <w:kern w:val="0"/>
          <w:position w:val="-6"/>
          <w:sz w:val="36"/>
          <w:szCs w:val="36"/>
          <w:highlight w:val="none"/>
        </w:rPr>
      </w:pPr>
    </w:p>
    <w:p w14:paraId="65373547">
      <w:pPr>
        <w:jc w:val="center"/>
        <w:outlineLvl w:val="9"/>
        <w:rPr>
          <w:rFonts w:hint="eastAsia" w:ascii="宋体" w:hAnsi="宋体" w:cs="宋体"/>
          <w:b/>
          <w:bCs/>
          <w:color w:val="auto"/>
          <w:spacing w:val="-14"/>
          <w:kern w:val="0"/>
          <w:position w:val="-6"/>
          <w:sz w:val="36"/>
          <w:szCs w:val="36"/>
          <w:highlight w:val="none"/>
        </w:rPr>
      </w:pPr>
    </w:p>
    <w:p w14:paraId="55259021">
      <w:pPr>
        <w:jc w:val="center"/>
        <w:outlineLvl w:val="9"/>
        <w:rPr>
          <w:rFonts w:hint="eastAsia" w:ascii="宋体" w:hAnsi="宋体" w:cs="宋体"/>
          <w:b/>
          <w:bCs/>
          <w:color w:val="auto"/>
          <w:spacing w:val="-14"/>
          <w:kern w:val="0"/>
          <w:position w:val="-6"/>
          <w:sz w:val="36"/>
          <w:szCs w:val="36"/>
          <w:highlight w:val="none"/>
        </w:rPr>
      </w:pPr>
    </w:p>
    <w:p w14:paraId="4CCC4AD8">
      <w:pPr>
        <w:jc w:val="center"/>
        <w:outlineLvl w:val="9"/>
        <w:rPr>
          <w:rFonts w:hint="eastAsia" w:ascii="宋体" w:hAnsi="宋体" w:cs="宋体"/>
          <w:b/>
          <w:bCs/>
          <w:color w:val="auto"/>
          <w:spacing w:val="-14"/>
          <w:kern w:val="0"/>
          <w:position w:val="-6"/>
          <w:sz w:val="36"/>
          <w:szCs w:val="36"/>
          <w:highlight w:val="none"/>
        </w:rPr>
      </w:pPr>
    </w:p>
    <w:p w14:paraId="2E969DB6">
      <w:pPr>
        <w:pStyle w:val="26"/>
        <w:spacing w:beforeLines="0" w:afterLines="0"/>
        <w:rPr>
          <w:rFonts w:hint="eastAsia" w:cs="Times New Roman"/>
          <w:sz w:val="44"/>
          <w:szCs w:val="44"/>
          <w:lang w:val="en-US" w:eastAsia="zh-CN"/>
        </w:rPr>
      </w:pPr>
      <w:bookmarkStart w:id="575" w:name="_GoBack"/>
      <w:bookmarkEnd w:id="575"/>
      <w:r>
        <w:rPr>
          <w:rFonts w:hint="eastAsia" w:cs="Times New Roman"/>
          <w:sz w:val="44"/>
          <w:szCs w:val="44"/>
          <w:lang w:val="en-US" w:eastAsia="zh-CN"/>
        </w:rPr>
        <w:t>第三章  项目基本情况及要求</w:t>
      </w:r>
      <w:bookmarkEnd w:id="66"/>
    </w:p>
    <w:p w14:paraId="0AEDF462">
      <w:pPr>
        <w:rPr>
          <w:rFonts w:hint="eastAsia" w:ascii="宋体" w:hAnsi="宋体" w:cs="宋体"/>
          <w:color w:val="000000"/>
          <w:szCs w:val="21"/>
          <w:highlight w:val="none"/>
        </w:rPr>
      </w:pPr>
      <w:r>
        <w:rPr>
          <w:rFonts w:hint="eastAsia" w:ascii="宋体" w:hAnsi="宋体" w:cs="宋体"/>
          <w:color w:val="000000"/>
          <w:szCs w:val="21"/>
          <w:highlight w:val="none"/>
        </w:rPr>
        <w:br w:type="page"/>
      </w:r>
    </w:p>
    <w:p w14:paraId="37BA4EC6">
      <w:pPr>
        <w:spacing w:line="72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采购项目技术规格、参数及要求</w:t>
      </w:r>
    </w:p>
    <w:p w14:paraId="528C5AAB">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一、采购项目编号：2025年石埇镇石埇村委标准厂房建设项目</w:t>
      </w:r>
    </w:p>
    <w:p w14:paraId="00AA6C15">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二、采购项目类别：</w:t>
      </w:r>
      <w:r>
        <w:rPr>
          <w:rFonts w:hint="eastAsia" w:ascii="宋体" w:hAnsi="宋体" w:cs="宋体"/>
          <w:color w:val="000000"/>
          <w:szCs w:val="21"/>
          <w:highlight w:val="none"/>
          <w:lang w:val="en-US" w:eastAsia="zh-CN"/>
        </w:rPr>
        <w:t>工程</w:t>
      </w:r>
      <w:r>
        <w:rPr>
          <w:rFonts w:hint="eastAsia" w:ascii="宋体" w:hAnsi="宋体" w:cs="宋体"/>
          <w:color w:val="000000"/>
          <w:szCs w:val="21"/>
          <w:highlight w:val="none"/>
        </w:rPr>
        <w:t xml:space="preserve">类  </w:t>
      </w:r>
    </w:p>
    <w:p w14:paraId="7DC70B57">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三、采购需求一览表</w:t>
      </w:r>
    </w:p>
    <w:p w14:paraId="5CA15E8B">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说明：</w:t>
      </w:r>
    </w:p>
    <w:p w14:paraId="68FD380E">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1、本项目需求表中带有“▲”的技术参数或要求为实质性要求，必须满足，竞标响应不得低于该技术指标或要求。</w:t>
      </w:r>
    </w:p>
    <w:p w14:paraId="43221026">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2、供应商所竞标货物或服务如有国家相关标准、行业标准、地方标准或者其他标准、规范要求的按相关规定执行，若执行标准有修改或更新按最新版本执行。</w:t>
      </w:r>
    </w:p>
    <w:p w14:paraId="3D0562DD">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采购标的对应的中小企业划分标准所属行业：根据《关于印发中小企业划型标准规定的通知》（工信部联企业〔2011〕300号），本次采购标的属于：建筑业</w:t>
      </w:r>
    </w:p>
    <w:tbl>
      <w:tblPr>
        <w:tblStyle w:val="30"/>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1356"/>
        <w:gridCol w:w="124"/>
        <w:gridCol w:w="1499"/>
        <w:gridCol w:w="3546"/>
        <w:gridCol w:w="1625"/>
      </w:tblGrid>
      <w:tr w14:paraId="3D448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207" w:type="dxa"/>
            <w:noWrap w:val="0"/>
            <w:vAlign w:val="center"/>
          </w:tcPr>
          <w:p w14:paraId="562358D0">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480" w:type="dxa"/>
            <w:gridSpan w:val="2"/>
            <w:noWrap w:val="0"/>
            <w:vAlign w:val="center"/>
          </w:tcPr>
          <w:p w14:paraId="393CC5C2">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标的名称</w:t>
            </w:r>
          </w:p>
        </w:tc>
        <w:tc>
          <w:tcPr>
            <w:tcW w:w="1499" w:type="dxa"/>
            <w:noWrap w:val="0"/>
            <w:vAlign w:val="center"/>
          </w:tcPr>
          <w:p w14:paraId="5FC8058B">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数量及单位</w:t>
            </w:r>
          </w:p>
        </w:tc>
        <w:tc>
          <w:tcPr>
            <w:tcW w:w="3546" w:type="dxa"/>
            <w:noWrap w:val="0"/>
            <w:vAlign w:val="center"/>
          </w:tcPr>
          <w:p w14:paraId="63D31DCF">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具体</w:t>
            </w:r>
            <w:r>
              <w:rPr>
                <w:rFonts w:hint="eastAsia" w:ascii="宋体" w:hAnsi="宋体" w:cs="宋体"/>
                <w:color w:val="000000" w:themeColor="text1"/>
                <w:szCs w:val="21"/>
                <w:highlight w:val="none"/>
                <w14:textFill>
                  <w14:solidFill>
                    <w14:schemeClr w14:val="tx1"/>
                  </w14:solidFill>
                </w14:textFill>
              </w:rPr>
              <w:t>要求</w:t>
            </w:r>
          </w:p>
        </w:tc>
        <w:tc>
          <w:tcPr>
            <w:tcW w:w="1625" w:type="dxa"/>
            <w:noWrap w:val="0"/>
            <w:vAlign w:val="center"/>
          </w:tcPr>
          <w:p w14:paraId="6978714C">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最高限价（元）</w:t>
            </w:r>
          </w:p>
        </w:tc>
      </w:tr>
      <w:tr w14:paraId="09F4E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4" w:hRule="atLeast"/>
          <w:jc w:val="center"/>
        </w:trPr>
        <w:tc>
          <w:tcPr>
            <w:tcW w:w="1207" w:type="dxa"/>
            <w:noWrap w:val="0"/>
            <w:vAlign w:val="center"/>
          </w:tcPr>
          <w:p w14:paraId="409A7CE9">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80" w:type="dxa"/>
            <w:gridSpan w:val="2"/>
            <w:noWrap w:val="0"/>
            <w:vAlign w:val="center"/>
          </w:tcPr>
          <w:p w14:paraId="246659CD">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2025年石埇镇石埇村委标准厂房建设项目</w:t>
            </w:r>
            <w:r>
              <w:rPr>
                <w:rFonts w:hint="eastAsia" w:ascii="宋体" w:hAnsi="宋体" w:cs="宋体"/>
                <w:color w:val="000000" w:themeColor="text1"/>
                <w:szCs w:val="21"/>
                <w:highlight w:val="none"/>
                <w14:textFill>
                  <w14:solidFill>
                    <w14:schemeClr w14:val="tx1"/>
                  </w14:solidFill>
                </w14:textFill>
              </w:rPr>
              <w:t xml:space="preserve">      </w:t>
            </w:r>
          </w:p>
        </w:tc>
        <w:tc>
          <w:tcPr>
            <w:tcW w:w="1499" w:type="dxa"/>
            <w:noWrap w:val="0"/>
            <w:vAlign w:val="center"/>
          </w:tcPr>
          <w:p w14:paraId="3E3F3068">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3546" w:type="dxa"/>
            <w:noWrap w:val="0"/>
            <w:vAlign w:val="center"/>
          </w:tcPr>
          <w:p w14:paraId="4A20D2CD">
            <w:pPr>
              <w:pStyle w:val="50"/>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、工程概况：2025年石埇镇石埇村委标准厂房建设项目土建</w:t>
            </w:r>
            <w:r>
              <w:rPr>
                <w:rFonts w:hint="eastAsia" w:ascii="宋体" w:hAnsi="宋体" w:cs="宋体"/>
                <w:color w:val="000000" w:themeColor="text1"/>
                <w:szCs w:val="21"/>
                <w:highlight w:val="none"/>
                <w:lang w:eastAsia="zh-CN"/>
                <w14:textFill>
                  <w14:solidFill>
                    <w14:schemeClr w14:val="tx1"/>
                  </w14:solidFill>
                </w14:textFill>
              </w:rPr>
              <w:t>、拆除、安装</w:t>
            </w:r>
            <w:r>
              <w:rPr>
                <w:rFonts w:hint="eastAsia" w:ascii="宋体" w:hAnsi="宋体" w:eastAsia="宋体" w:cs="宋体"/>
                <w:color w:val="000000" w:themeColor="text1"/>
                <w:szCs w:val="21"/>
                <w:highlight w:val="none"/>
                <w14:textFill>
                  <w14:solidFill>
                    <w14:schemeClr w14:val="tx1"/>
                  </w14:solidFill>
                </w14:textFill>
              </w:rPr>
              <w:t>工程</w:t>
            </w:r>
            <w:r>
              <w:rPr>
                <w:rFonts w:hint="eastAsia" w:ascii="宋体" w:hAnsi="宋体" w:eastAsia="宋体" w:cs="宋体"/>
                <w:color w:val="000000" w:themeColor="text1"/>
                <w:szCs w:val="21"/>
                <w:highlight w:val="none"/>
                <w:lang w:eastAsia="zh-CN"/>
                <w14:textFill>
                  <w14:solidFill>
                    <w14:schemeClr w14:val="tx1"/>
                  </w14:solidFill>
                </w14:textFill>
              </w:rPr>
              <w:t>，包含施工图纸范围内的工程，</w:t>
            </w:r>
            <w:r>
              <w:rPr>
                <w:rFonts w:hint="eastAsia" w:ascii="宋体" w:hAnsi="宋体" w:eastAsia="宋体" w:cs="宋体"/>
                <w:color w:val="000000" w:themeColor="text1"/>
                <w:szCs w:val="21"/>
                <w:highlight w:val="none"/>
                <w14:textFill>
                  <w14:solidFill>
                    <w14:schemeClr w14:val="tx1"/>
                  </w14:solidFill>
                </w14:textFill>
              </w:rPr>
              <w:t>具体详见工程量清单及图纸。</w:t>
            </w:r>
          </w:p>
          <w:p w14:paraId="16A2057D">
            <w:pPr>
              <w:pStyle w:val="50"/>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、工程质量要求：达到国家施工验收规范合格标准要求。</w:t>
            </w:r>
          </w:p>
          <w:p w14:paraId="6E3639CF">
            <w:pPr>
              <w:pStyle w:val="50"/>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、具体需求</w:t>
            </w:r>
            <w:r>
              <w:rPr>
                <w:rFonts w:hint="eastAsia" w:ascii="宋体" w:hAnsi="宋体" w:cs="宋体"/>
                <w:color w:val="000000" w:themeColor="text1"/>
                <w:szCs w:val="21"/>
                <w:highlight w:val="none"/>
                <w14:textFill>
                  <w14:solidFill>
                    <w14:schemeClr w14:val="tx1"/>
                  </w14:solidFill>
                </w14:textFill>
              </w:rPr>
              <w:t>内容</w:t>
            </w:r>
            <w:r>
              <w:rPr>
                <w:rFonts w:hint="eastAsia" w:ascii="宋体" w:hAnsi="宋体" w:cs="宋体"/>
                <w:color w:val="000000" w:themeColor="text1"/>
                <w:szCs w:val="21"/>
                <w:highlight w:val="none"/>
                <w:lang w:eastAsia="zh-CN"/>
                <w14:textFill>
                  <w14:solidFill>
                    <w14:schemeClr w14:val="tx1"/>
                  </w14:solidFill>
                </w14:textFill>
              </w:rPr>
              <w:t>及</w:t>
            </w:r>
            <w:r>
              <w:rPr>
                <w:rFonts w:hint="eastAsia" w:ascii="宋体" w:hAnsi="宋体" w:cs="宋体"/>
                <w:color w:val="000000" w:themeColor="text1"/>
                <w:szCs w:val="21"/>
                <w:highlight w:val="none"/>
                <w14:textFill>
                  <w14:solidFill>
                    <w14:schemeClr w14:val="tx1"/>
                  </w14:solidFill>
                </w14:textFill>
              </w:rPr>
              <w:t>编制说明详见工程量清单（另册发放）</w:t>
            </w:r>
          </w:p>
        </w:tc>
        <w:tc>
          <w:tcPr>
            <w:tcW w:w="1625" w:type="dxa"/>
            <w:noWrap w:val="0"/>
            <w:vAlign w:val="center"/>
          </w:tcPr>
          <w:p w14:paraId="205DC012">
            <w:pPr>
              <w:pStyle w:val="50"/>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1899977.73</w:t>
            </w:r>
          </w:p>
        </w:tc>
      </w:tr>
      <w:tr w14:paraId="586BB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357" w:type="dxa"/>
            <w:gridSpan w:val="6"/>
            <w:tcBorders>
              <w:top w:val="single" w:color="auto" w:sz="4" w:space="0"/>
              <w:left w:val="single" w:color="auto" w:sz="4" w:space="0"/>
              <w:bottom w:val="single" w:color="auto" w:sz="4" w:space="0"/>
              <w:right w:val="single" w:color="auto" w:sz="4" w:space="0"/>
            </w:tcBorders>
            <w:noWrap w:val="0"/>
            <w:vAlign w:val="top"/>
          </w:tcPr>
          <w:p w14:paraId="48717E89">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商务要求</w:t>
            </w:r>
          </w:p>
        </w:tc>
      </w:tr>
      <w:tr w14:paraId="3D7CD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563" w:type="dxa"/>
            <w:gridSpan w:val="2"/>
            <w:tcBorders>
              <w:top w:val="single" w:color="auto" w:sz="4" w:space="0"/>
              <w:left w:val="single" w:color="auto" w:sz="4" w:space="0"/>
              <w:bottom w:val="single" w:color="auto" w:sz="4" w:space="0"/>
              <w:right w:val="single" w:color="auto" w:sz="4" w:space="0"/>
            </w:tcBorders>
            <w:noWrap w:val="0"/>
            <w:vAlign w:val="center"/>
          </w:tcPr>
          <w:p w14:paraId="73BA57F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合同履约期限</w:t>
            </w:r>
          </w:p>
        </w:tc>
        <w:tc>
          <w:tcPr>
            <w:tcW w:w="6794" w:type="dxa"/>
            <w:gridSpan w:val="4"/>
            <w:tcBorders>
              <w:top w:val="single" w:color="auto" w:sz="4" w:space="0"/>
              <w:left w:val="single" w:color="auto" w:sz="4" w:space="0"/>
              <w:bottom w:val="single" w:color="auto" w:sz="4" w:space="0"/>
              <w:right w:val="single" w:color="auto" w:sz="4" w:space="0"/>
            </w:tcBorders>
            <w:noWrap w:val="0"/>
            <w:vAlign w:val="center"/>
          </w:tcPr>
          <w:p w14:paraId="5D72B7E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宋体" w:hAnsi="宋体"/>
                <w:b/>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施工工期</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210</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日历天</w:t>
            </w:r>
          </w:p>
        </w:tc>
      </w:tr>
      <w:tr w14:paraId="37BBD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563" w:type="dxa"/>
            <w:gridSpan w:val="2"/>
            <w:tcBorders>
              <w:top w:val="single" w:color="auto" w:sz="4" w:space="0"/>
              <w:left w:val="single" w:color="auto" w:sz="4" w:space="0"/>
              <w:bottom w:val="single" w:color="auto" w:sz="4" w:space="0"/>
              <w:right w:val="single" w:color="auto" w:sz="4" w:space="0"/>
            </w:tcBorders>
            <w:noWrap w:val="0"/>
            <w:vAlign w:val="center"/>
          </w:tcPr>
          <w:p w14:paraId="20B9EB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建设地点</w:t>
            </w:r>
          </w:p>
        </w:tc>
        <w:tc>
          <w:tcPr>
            <w:tcW w:w="6794" w:type="dxa"/>
            <w:gridSpan w:val="4"/>
            <w:tcBorders>
              <w:top w:val="single" w:color="auto" w:sz="4" w:space="0"/>
              <w:left w:val="single" w:color="auto" w:sz="4" w:space="0"/>
              <w:bottom w:val="single" w:color="auto" w:sz="4" w:space="0"/>
              <w:right w:val="single" w:color="auto" w:sz="4" w:space="0"/>
            </w:tcBorders>
            <w:noWrap w:val="0"/>
            <w:vAlign w:val="center"/>
          </w:tcPr>
          <w:p w14:paraId="51C2752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s="宋体"/>
                <w:b w:val="0"/>
                <w:bCs w:val="0"/>
                <w:color w:val="000000" w:themeColor="text1"/>
                <w:kern w:val="0"/>
                <w:sz w:val="21"/>
                <w:szCs w:val="21"/>
                <w:highlight w:val="none"/>
                <w:lang w:eastAsia="zh-CN"/>
                <w14:textFill>
                  <w14:solidFill>
                    <w14:schemeClr w14:val="tx1"/>
                  </w14:solidFill>
                </w14:textFill>
              </w:rPr>
              <w:t>浦北县石埇镇</w:t>
            </w:r>
          </w:p>
        </w:tc>
      </w:tr>
      <w:tr w14:paraId="58E66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563" w:type="dxa"/>
            <w:gridSpan w:val="2"/>
            <w:tcBorders>
              <w:top w:val="single" w:color="auto" w:sz="4" w:space="0"/>
              <w:left w:val="single" w:color="auto" w:sz="4" w:space="0"/>
              <w:bottom w:val="single" w:color="auto" w:sz="4" w:space="0"/>
              <w:right w:val="single" w:color="auto" w:sz="4" w:space="0"/>
            </w:tcBorders>
            <w:noWrap w:val="0"/>
            <w:vAlign w:val="center"/>
          </w:tcPr>
          <w:p w14:paraId="6298F6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p>
        </w:tc>
        <w:tc>
          <w:tcPr>
            <w:tcW w:w="6794" w:type="dxa"/>
            <w:gridSpan w:val="4"/>
            <w:tcBorders>
              <w:top w:val="single" w:color="auto" w:sz="4" w:space="0"/>
              <w:left w:val="single" w:color="auto" w:sz="4" w:space="0"/>
              <w:bottom w:val="single" w:color="auto" w:sz="4" w:space="0"/>
              <w:right w:val="single" w:color="auto" w:sz="4" w:space="0"/>
            </w:tcBorders>
            <w:noWrap w:val="0"/>
            <w:vAlign w:val="center"/>
          </w:tcPr>
          <w:p w14:paraId="12102C4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自成交通知书发出之日起</w:t>
            </w:r>
            <w:r>
              <w:rPr>
                <w:rFonts w:hint="eastAsia" w:ascii="宋体" w:hAnsi="宋体"/>
                <w:color w:val="000000" w:themeColor="text1"/>
                <w:szCs w:val="21"/>
                <w:highlight w:val="none"/>
                <w:u w:val="single"/>
                <w14:textFill>
                  <w14:solidFill>
                    <w14:schemeClr w14:val="tx1"/>
                  </w14:solidFill>
                </w14:textFill>
              </w:rPr>
              <w:t xml:space="preserve">25 </w:t>
            </w:r>
            <w:r>
              <w:rPr>
                <w:rFonts w:hint="eastAsia" w:ascii="宋体" w:hAnsi="宋体"/>
                <w:color w:val="000000" w:themeColor="text1"/>
                <w:szCs w:val="21"/>
                <w:highlight w:val="none"/>
                <w14:textFill>
                  <w14:solidFill>
                    <w14:schemeClr w14:val="tx1"/>
                  </w14:solidFill>
                </w14:textFill>
              </w:rPr>
              <w:t>日内。</w:t>
            </w:r>
          </w:p>
        </w:tc>
      </w:tr>
      <w:tr w14:paraId="06567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2" w:hRule="atLeast"/>
          <w:jc w:val="center"/>
        </w:trPr>
        <w:tc>
          <w:tcPr>
            <w:tcW w:w="2563" w:type="dxa"/>
            <w:gridSpan w:val="2"/>
            <w:tcBorders>
              <w:top w:val="single" w:color="auto" w:sz="4" w:space="0"/>
              <w:left w:val="single" w:color="auto" w:sz="4" w:space="0"/>
              <w:bottom w:val="single" w:color="auto" w:sz="4" w:space="0"/>
              <w:right w:val="single" w:color="auto" w:sz="4" w:space="0"/>
            </w:tcBorders>
            <w:noWrap w:val="0"/>
            <w:vAlign w:val="center"/>
          </w:tcPr>
          <w:p w14:paraId="1CBDC60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付款条件（进度和方式）</w:t>
            </w:r>
          </w:p>
        </w:tc>
        <w:tc>
          <w:tcPr>
            <w:tcW w:w="6794" w:type="dxa"/>
            <w:gridSpan w:val="4"/>
            <w:tcBorders>
              <w:top w:val="single" w:color="auto" w:sz="4" w:space="0"/>
              <w:left w:val="single" w:color="auto" w:sz="4" w:space="0"/>
              <w:bottom w:val="single" w:color="auto" w:sz="4" w:space="0"/>
              <w:right w:val="single" w:color="auto" w:sz="4" w:space="0"/>
            </w:tcBorders>
            <w:noWrap w:val="0"/>
            <w:vAlign w:val="center"/>
          </w:tcPr>
          <w:p w14:paraId="59A20BB9">
            <w:pPr>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①项目实质性开工</w:t>
            </w:r>
            <w:r>
              <w:rPr>
                <w:rFonts w:hint="eastAsia" w:ascii="宋体" w:hAnsi="宋体"/>
                <w:color w:val="000000" w:themeColor="text1"/>
                <w:szCs w:val="21"/>
                <w:highlight w:val="none"/>
                <w:lang w:val="en-US" w:eastAsia="zh-CN"/>
                <w14:textFill>
                  <w14:solidFill>
                    <w14:schemeClr w14:val="tx1"/>
                  </w14:solidFill>
                </w14:textFill>
              </w:rPr>
              <w:t>7天</w:t>
            </w:r>
            <w:r>
              <w:rPr>
                <w:rFonts w:hint="eastAsia" w:ascii="宋体" w:hAnsi="宋体"/>
                <w:color w:val="000000" w:themeColor="text1"/>
                <w:szCs w:val="21"/>
                <w:highlight w:val="none"/>
                <w:lang w:eastAsia="zh-CN"/>
                <w14:textFill>
                  <w14:solidFill>
                    <w14:schemeClr w14:val="tx1"/>
                  </w14:solidFill>
                </w14:textFill>
              </w:rPr>
              <w:t>后，可以向财政申请不高于合同价</w:t>
            </w:r>
            <w:r>
              <w:rPr>
                <w:rFonts w:hint="eastAsia" w:ascii="宋体" w:hAnsi="宋体"/>
                <w:color w:val="000000" w:themeColor="text1"/>
                <w:szCs w:val="21"/>
                <w:highlight w:val="none"/>
                <w:lang w:val="en-US" w:eastAsia="zh-CN"/>
                <w14:textFill>
                  <w14:solidFill>
                    <w14:schemeClr w14:val="tx1"/>
                  </w14:solidFill>
                </w14:textFill>
              </w:rPr>
              <w:t>30%项目</w:t>
            </w:r>
            <w:r>
              <w:rPr>
                <w:rFonts w:hint="eastAsia" w:ascii="宋体" w:hAnsi="宋体"/>
                <w:color w:val="000000" w:themeColor="text1"/>
                <w:szCs w:val="21"/>
                <w:highlight w:val="none"/>
                <w:lang w:eastAsia="zh-CN"/>
                <w14:textFill>
                  <w14:solidFill>
                    <w14:schemeClr w14:val="tx1"/>
                  </w14:solidFill>
                </w14:textFill>
              </w:rPr>
              <w:t>预付款，预付款应当用于材料、工程设备、施工设备的采购及修建临时工程、组织施工队伍进场等。预付款在第一次进度付款中扣回。</w:t>
            </w:r>
          </w:p>
          <w:p w14:paraId="70E212E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②按实际已完成工程量的80%向财政部门申请工程进度款；（30万以下）备案工程的按60%向财政部门申请工程进度款；②竣工验收结算审计后向财政部门申请</w:t>
            </w:r>
            <w:r>
              <w:rPr>
                <w:rFonts w:hint="eastAsia" w:ascii="宋体" w:hAnsi="宋体"/>
                <w:color w:val="000000" w:themeColor="text1"/>
                <w:szCs w:val="21"/>
                <w:highlight w:val="none"/>
                <w:lang w:val="en-US" w:eastAsia="zh-CN"/>
                <w14:textFill>
                  <w14:solidFill>
                    <w14:schemeClr w14:val="tx1"/>
                  </w14:solidFill>
                </w14:textFill>
              </w:rPr>
              <w:t>100</w:t>
            </w:r>
            <w:r>
              <w:rPr>
                <w:rFonts w:hint="eastAsia" w:ascii="宋体" w:hAnsi="宋体"/>
                <w:color w:val="000000" w:themeColor="text1"/>
                <w:szCs w:val="21"/>
                <w:highlight w:val="none"/>
                <w:lang w:eastAsia="zh-CN"/>
                <w14:textFill>
                  <w14:solidFill>
                    <w14:schemeClr w14:val="tx1"/>
                  </w14:solidFill>
                </w14:textFill>
              </w:rPr>
              <w:t>%工程款</w:t>
            </w:r>
            <w:r>
              <w:rPr>
                <w:rFonts w:hint="eastAsia" w:ascii="宋体" w:hAnsi="宋体"/>
                <w:color w:val="000000" w:themeColor="text1"/>
                <w:szCs w:val="21"/>
                <w:highlight w:val="none"/>
                <w:lang w:val="en-US" w:eastAsia="zh-CN"/>
                <w14:textFill>
                  <w14:solidFill>
                    <w14:schemeClr w14:val="tx1"/>
                  </w14:solidFill>
                </w14:textFill>
              </w:rPr>
              <w:t>。</w:t>
            </w:r>
          </w:p>
          <w:p w14:paraId="4395D40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③签订合同后，成交人向采购人指定账户缴纳3%质量保证金，质保期后无息退还。</w:t>
            </w:r>
          </w:p>
        </w:tc>
      </w:tr>
      <w:tr w14:paraId="188F3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563" w:type="dxa"/>
            <w:gridSpan w:val="2"/>
            <w:tcBorders>
              <w:top w:val="single" w:color="auto" w:sz="4" w:space="0"/>
              <w:left w:val="single" w:color="auto" w:sz="4" w:space="0"/>
              <w:bottom w:val="single" w:color="auto" w:sz="4" w:space="0"/>
              <w:right w:val="single" w:color="auto" w:sz="4" w:space="0"/>
            </w:tcBorders>
            <w:noWrap w:val="0"/>
            <w:vAlign w:val="center"/>
          </w:tcPr>
          <w:p w14:paraId="672FF93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验收标准</w:t>
            </w:r>
          </w:p>
        </w:tc>
        <w:tc>
          <w:tcPr>
            <w:tcW w:w="6794" w:type="dxa"/>
            <w:gridSpan w:val="4"/>
            <w:tcBorders>
              <w:top w:val="single" w:color="auto" w:sz="4" w:space="0"/>
              <w:left w:val="single" w:color="auto" w:sz="4" w:space="0"/>
              <w:bottom w:val="single" w:color="auto" w:sz="4" w:space="0"/>
              <w:right w:val="single" w:color="auto" w:sz="4" w:space="0"/>
            </w:tcBorders>
            <w:noWrap w:val="0"/>
            <w:vAlign w:val="center"/>
          </w:tcPr>
          <w:p w14:paraId="1C897E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达到国家施工验收规范合格标准</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w:t>
            </w:r>
          </w:p>
        </w:tc>
      </w:tr>
    </w:tbl>
    <w:p w14:paraId="2B770679">
      <w:pPr>
        <w:rPr>
          <w:rFonts w:hint="eastAsia" w:ascii="黑体" w:hAnsi="宋体" w:eastAsia="黑体" w:cs="Times New Roman"/>
          <w:b/>
          <w:bCs/>
          <w:color w:val="auto"/>
          <w:kern w:val="0"/>
          <w:sz w:val="36"/>
          <w:szCs w:val="36"/>
          <w:highlight w:val="none"/>
          <w:lang w:val="en-US" w:eastAsia="zh-CN"/>
        </w:rPr>
      </w:pPr>
      <w:bookmarkStart w:id="67" w:name="_Toc20069"/>
      <w:r>
        <w:rPr>
          <w:rFonts w:hint="eastAsia" w:ascii="黑体" w:hAnsi="宋体" w:eastAsia="黑体" w:cs="Times New Roman"/>
          <w:b/>
          <w:bCs/>
          <w:color w:val="auto"/>
          <w:kern w:val="0"/>
          <w:sz w:val="36"/>
          <w:szCs w:val="36"/>
          <w:highlight w:val="none"/>
          <w:lang w:val="en-US" w:eastAsia="zh-CN"/>
        </w:rPr>
        <w:br w:type="page"/>
      </w:r>
    </w:p>
    <w:p w14:paraId="466ACA87">
      <w:pPr>
        <w:pStyle w:val="26"/>
        <w:spacing w:beforeLines="0" w:afterLines="0"/>
        <w:outlineLvl w:val="9"/>
        <w:rPr>
          <w:rFonts w:hint="eastAsia" w:cs="Times New Roman"/>
          <w:sz w:val="44"/>
          <w:szCs w:val="44"/>
          <w:lang w:val="en-US" w:eastAsia="zh-CN"/>
        </w:rPr>
      </w:pPr>
    </w:p>
    <w:p w14:paraId="06D45CF6">
      <w:pPr>
        <w:pStyle w:val="26"/>
        <w:spacing w:beforeLines="0" w:afterLines="0"/>
        <w:outlineLvl w:val="9"/>
        <w:rPr>
          <w:rFonts w:hint="eastAsia" w:cs="Times New Roman"/>
          <w:sz w:val="44"/>
          <w:szCs w:val="44"/>
          <w:lang w:val="en-US" w:eastAsia="zh-CN"/>
        </w:rPr>
      </w:pPr>
    </w:p>
    <w:p w14:paraId="77F21659">
      <w:pPr>
        <w:pStyle w:val="26"/>
        <w:spacing w:beforeLines="0" w:afterLines="0"/>
        <w:outlineLvl w:val="9"/>
        <w:rPr>
          <w:rFonts w:hint="eastAsia" w:cs="Times New Roman"/>
          <w:sz w:val="44"/>
          <w:szCs w:val="44"/>
          <w:lang w:val="en-US" w:eastAsia="zh-CN"/>
        </w:rPr>
      </w:pPr>
    </w:p>
    <w:p w14:paraId="0948CE80">
      <w:pPr>
        <w:pStyle w:val="26"/>
        <w:spacing w:beforeLines="0" w:afterLines="0"/>
        <w:outlineLvl w:val="9"/>
        <w:rPr>
          <w:rFonts w:hint="eastAsia" w:cs="Times New Roman"/>
          <w:sz w:val="44"/>
          <w:szCs w:val="44"/>
          <w:lang w:val="en-US" w:eastAsia="zh-CN"/>
        </w:rPr>
      </w:pPr>
    </w:p>
    <w:p w14:paraId="3E3DE80E">
      <w:pPr>
        <w:pStyle w:val="26"/>
        <w:spacing w:beforeLines="0" w:afterLines="0"/>
        <w:outlineLvl w:val="9"/>
        <w:rPr>
          <w:rFonts w:hint="eastAsia" w:cs="Times New Roman"/>
          <w:sz w:val="44"/>
          <w:szCs w:val="44"/>
          <w:lang w:val="en-US" w:eastAsia="zh-CN"/>
        </w:rPr>
      </w:pPr>
    </w:p>
    <w:p w14:paraId="47130B3F">
      <w:pPr>
        <w:pStyle w:val="26"/>
        <w:spacing w:beforeLines="0" w:afterLines="0"/>
        <w:outlineLvl w:val="9"/>
        <w:rPr>
          <w:rFonts w:hint="eastAsia" w:cs="Times New Roman"/>
          <w:sz w:val="44"/>
          <w:szCs w:val="44"/>
          <w:lang w:val="en-US" w:eastAsia="zh-CN"/>
        </w:rPr>
      </w:pPr>
    </w:p>
    <w:p w14:paraId="50144589">
      <w:pPr>
        <w:pStyle w:val="26"/>
        <w:spacing w:beforeLines="0" w:afterLines="0"/>
        <w:rPr>
          <w:rFonts w:hint="eastAsia" w:cs="Times New Roman"/>
          <w:sz w:val="44"/>
          <w:szCs w:val="44"/>
          <w:lang w:val="en-US" w:eastAsia="zh-CN"/>
        </w:rPr>
      </w:pPr>
      <w:r>
        <w:rPr>
          <w:rFonts w:hint="eastAsia" w:cs="Times New Roman"/>
          <w:sz w:val="44"/>
          <w:szCs w:val="44"/>
          <w:lang w:val="en-US" w:eastAsia="zh-CN"/>
        </w:rPr>
        <w:t>第四章 评审标准</w:t>
      </w:r>
      <w:bookmarkEnd w:id="67"/>
    </w:p>
    <w:p w14:paraId="5E28B017">
      <w:pPr>
        <w:rPr>
          <w:rFonts w:hint="eastAsia"/>
          <w:color w:val="auto"/>
          <w:sz w:val="24"/>
          <w:szCs w:val="24"/>
          <w:highlight w:val="none"/>
        </w:rPr>
      </w:pPr>
      <w:r>
        <w:rPr>
          <w:rFonts w:hint="eastAsia"/>
          <w:color w:val="auto"/>
          <w:sz w:val="24"/>
          <w:szCs w:val="24"/>
          <w:highlight w:val="none"/>
        </w:rPr>
        <w:br w:type="page"/>
      </w:r>
    </w:p>
    <w:p w14:paraId="722F64E1">
      <w:pPr>
        <w:widowControl w:val="0"/>
        <w:jc w:val="center"/>
        <w:rPr>
          <w:rFonts w:ascii="仿宋_GB2312" w:hAnsi="宋体" w:eastAsia="仿宋_GB2312" w:cs="Courier New"/>
          <w:b/>
          <w:kern w:val="0"/>
          <w:sz w:val="32"/>
          <w:szCs w:val="32"/>
          <w:lang w:val="en-US" w:eastAsia="zh-CN" w:bidi="ar-SA"/>
        </w:rPr>
      </w:pPr>
      <w:r>
        <w:rPr>
          <w:rFonts w:hint="eastAsia" w:ascii="仿宋_GB2312" w:hAnsi="宋体" w:eastAsia="仿宋_GB2312" w:cs="Courier New"/>
          <w:b/>
          <w:kern w:val="0"/>
          <w:sz w:val="32"/>
          <w:szCs w:val="32"/>
          <w:lang w:val="en-US" w:eastAsia="zh-CN" w:bidi="ar-SA"/>
        </w:rPr>
        <w:t>评标标准</w:t>
      </w:r>
    </w:p>
    <w:p w14:paraId="10A54E43">
      <w:pPr>
        <w:numPr>
          <w:ilvl w:val="0"/>
          <w:numId w:val="0"/>
        </w:numPr>
        <w:spacing w:line="360" w:lineRule="auto"/>
        <w:ind w:leftChars="0"/>
        <w:jc w:val="both"/>
        <w:outlineLvl w:val="9"/>
        <w:rPr>
          <w:rFonts w:hint="eastAsia"/>
          <w:color w:val="auto"/>
          <w:sz w:val="24"/>
          <w:szCs w:val="24"/>
          <w:highlight w:val="none"/>
        </w:rPr>
      </w:pPr>
      <w:r>
        <w:rPr>
          <w:rFonts w:hint="eastAsia"/>
          <w:color w:val="auto"/>
          <w:sz w:val="24"/>
          <w:szCs w:val="24"/>
          <w:highlight w:val="none"/>
        </w:rPr>
        <w:t>一、评审程序和评审方法</w:t>
      </w:r>
    </w:p>
    <w:p w14:paraId="1BB1D7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1.资格审查</w:t>
      </w:r>
    </w:p>
    <w:p w14:paraId="244FD5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1.1 响应文件开启后，磋商小组依法对供应商的资格证明文件进行审查。</w:t>
      </w:r>
    </w:p>
    <w:p w14:paraId="6CE2D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注：采购人或者采购代理机构在资格审查结束前，对供应商进行信用查询。</w:t>
      </w:r>
    </w:p>
    <w:p w14:paraId="2C79A2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( 1 ) 查询渠道：“信用中国 ” 网站 (www.creditchina.gov.cn) 、 中国政府采购网 (www.ccgp.gov.cn)。</w:t>
      </w:r>
    </w:p>
    <w:p w14:paraId="3760B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信用查询截止时点：资格审查结束前。</w:t>
      </w:r>
    </w:p>
    <w:p w14:paraId="60F393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查询记录和证据留存方式：在查询网站中直接打印查询记录，打印材料作为评审资料保存。</w:t>
      </w:r>
    </w:p>
    <w:p w14:paraId="73BD4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073F7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1.2 资格审查标准为本磋商文件中载明对供应商资格要求的条件。资格审查采用合格制，凡符合磋商文件规定的供应商资格要求的响应文件均通过资格审查。</w:t>
      </w:r>
    </w:p>
    <w:p w14:paraId="392BA2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1.3 供应商有下列情形之一的，资格审查不通过，其响应文件按无效响应处理：</w:t>
      </w:r>
    </w:p>
    <w:p w14:paraId="43746C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不具备磋商文件中规定的资格要求的；</w:t>
      </w:r>
    </w:p>
    <w:p w14:paraId="17C922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响应文件未提供任一项“供应商须知前附表”资格证明文件规定的“必须提供”的文件资料的；</w:t>
      </w:r>
    </w:p>
    <w:p w14:paraId="2A14C5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响应文件提供的资格证明文件出现任一项不符合“供应商须知前附表”资格证明文件规定的“必须提供”的文件资料要求或者无效的。</w:t>
      </w:r>
    </w:p>
    <w:p w14:paraId="7FEE16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1.4 通过资格审查的合格供应商不足 3 家的，不得进入符合性审查环节，采购人或者采购代理机构应当重新开展采购活动。</w:t>
      </w:r>
    </w:p>
    <w:p w14:paraId="311F09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2.符合性审查</w:t>
      </w:r>
    </w:p>
    <w:p w14:paraId="5674D8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2.1 由磋商小组对通过资格审查的合格供应商的响应文件的竞标报价、商务、技术等实质性要求进行符合性审查，以确定其是否满足磋商文件的实质性要求。</w:t>
      </w:r>
    </w:p>
    <w:p w14:paraId="0D9BE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D8F3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2.3 磋商小组要求供应商澄清、说明或者更正响应文件应当要求供应商在合理时间内通过</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的方式形式作出。供应商的澄清、说明或者更正必须 通过</w:t>
      </w:r>
      <w:r>
        <w:rPr>
          <w:rFonts w:hint="eastAsia"/>
          <w:color w:val="auto"/>
          <w:highlight w:val="none"/>
          <w:lang w:eastAsia="zh-CN"/>
        </w:rPr>
        <w:t>广西政府采购云平台</w:t>
      </w:r>
      <w:r>
        <w:rPr>
          <w:rFonts w:hint="eastAsia"/>
          <w:color w:val="auto"/>
          <w:highlight w:val="none"/>
        </w:rPr>
        <w:t>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14902C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 首次响应文件报价出现前后不一致的，按照下列规定修正：</w:t>
      </w:r>
    </w:p>
    <w:p w14:paraId="333660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响应文件中报价表内容与响应文件中相应内容不一致的，以报价表为准；</w:t>
      </w:r>
    </w:p>
    <w:p w14:paraId="2BAA3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大写金额和小写金额不一致的，以大写金额为准；</w:t>
      </w:r>
    </w:p>
    <w:p w14:paraId="346969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单价金额小数点或者百分比有明显错位的，以报价表的总价为准，并修改单价；</w:t>
      </w:r>
    </w:p>
    <w:p w14:paraId="2E13E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总价金额与按单价汇总金额不一致的，以单价金额计算结果为准。</w:t>
      </w:r>
    </w:p>
    <w:p w14:paraId="75D915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同时出现两种以上不一致的，按照以上 (1) - (4) 规定的顺序逐条进行修正。修正后的报价经供应商确认后产生约束力，供应商不确认的，其响应文件按无效响应处理。</w:t>
      </w:r>
    </w:p>
    <w:p w14:paraId="20A8C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2.5 商务技术报价评审</w:t>
      </w:r>
    </w:p>
    <w:p w14:paraId="54035D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在评审时，如发现下列情形之一的，将被视为响应文件无效处理：</w:t>
      </w:r>
    </w:p>
    <w:p w14:paraId="05BB6F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商务技术评审</w:t>
      </w:r>
    </w:p>
    <w:p w14:paraId="280CF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响应文件未按磋商文件要求签署、盖章；</w:t>
      </w:r>
    </w:p>
    <w:p w14:paraId="68312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委托代理人未能出具有效身份证明或者出具的身份证明与授权委托书中的信息不符；</w:t>
      </w:r>
    </w:p>
    <w:p w14:paraId="5ED0B0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2485B8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商务条款中标“▲”的条款发生负偏离的或者允许负偏离的条款数超过“供应商须知前附表”规定项数的或者标明实质性的要求发生负偏离；</w:t>
      </w:r>
    </w:p>
    <w:p w14:paraId="37B53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未对竞标有效期作出响应或者响应文件承诺的竞标有效期不满足磋商文件要求；</w:t>
      </w:r>
    </w:p>
    <w:p w14:paraId="09DB97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6) 响应文件的实质性内容未使用中文表述、使用计量单位不符合磋商文件要求；</w:t>
      </w:r>
    </w:p>
    <w:p w14:paraId="56ED9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7) 响应文件中的文件资料因填写不齐全或者内容虚假或者出现其他情形而导致被磋商小组认定无效；</w:t>
      </w:r>
    </w:p>
    <w:p w14:paraId="0515EB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8) 响应文件含有采购人不能接受的附加条件；</w:t>
      </w:r>
    </w:p>
    <w:p w14:paraId="691E0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9) 属于“供应商须知正文”第 7.7 条情形；</w:t>
      </w:r>
    </w:p>
    <w:p w14:paraId="19FC7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10) 技术需求允许负偏离的条款数超过“供应商须知前附表”规定项数；</w:t>
      </w:r>
    </w:p>
    <w:p w14:paraId="04DCBC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11) 虚假竞标，或者出现其他情形而导致被磋商小组认定无效；</w:t>
      </w:r>
    </w:p>
    <w:p w14:paraId="17BF1B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12) 竞标技术方案不明确，磋商文件未允许但响应文件中存在一个或者一个以上备选 (替代) 竞标方案；</w:t>
      </w:r>
    </w:p>
    <w:p w14:paraId="21502B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13)响应文件标注的项目名称或者项目编号与竞争性磋商文件标注的项目名称或者项目编号不一致的；</w:t>
      </w:r>
    </w:p>
    <w:p w14:paraId="21F605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14) 未响应磋商文件实质性要求；</w:t>
      </w:r>
    </w:p>
    <w:p w14:paraId="22FD9B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15) 法律、法规和磋商文件规定的其他无效情形。</w:t>
      </w:r>
    </w:p>
    <w:p w14:paraId="156B6C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报价评审</w:t>
      </w:r>
    </w:p>
    <w:p w14:paraId="11754A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响应文件未提供“供应商须知前附表” 报价商务技术文件中规定的；</w:t>
      </w:r>
    </w:p>
    <w:p w14:paraId="5E506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未采用人民币报价或者未按照磋商文件标明的币种报价；</w:t>
      </w:r>
    </w:p>
    <w:p w14:paraId="74E0E2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13844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磋商报价 (包含首次报价、最后报价) 超过的采购预算金额或者最高限价的 (如本项目公布了最高限价) ；磋商报价 (包含首次报价、最后报价) 超过磋商文件分项采购预算金额或者最高限价的 (如本项目公布了最高限价) ；</w:t>
      </w:r>
    </w:p>
    <w:p w14:paraId="4466BF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修正后的报价，供应商不确认的；或者经供应商确认修正后的磋商报价(包含首次报价、最后报价)超过所磋商分标规定的采购预算金额或者最高限价(如本项目公布了最高限价)；或者经供应商确认修正后磋商报价 (包含首次报价、最后报价) 超过磋商文件分项采购预算金额或者最高限价的 (如本项目公布了最高限价) 。</w:t>
      </w:r>
    </w:p>
    <w:p w14:paraId="1C54A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6) 响应文件响应的标的数量及单位与竞争性磋商采购文件要求实质性不一致的。</w:t>
      </w:r>
    </w:p>
    <w:p w14:paraId="734414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0BEB7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2.7 通过符合性审查的合格供应商不足3家的，不得进入磋商环节，采购人或者采购代理机构应当重新开展采购活动。</w:t>
      </w:r>
    </w:p>
    <w:p w14:paraId="27271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3.磋商程序</w:t>
      </w:r>
    </w:p>
    <w:p w14:paraId="0325D7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3.1 磋商小组按照“供应商须知前附表”确定的顺序，集中与单一供应商分别进行磋商，并给予所有参加磋商的供应商平等的磋商机会。符合磋商资格的供应商必须实时关注</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开标信息，在接到磋商通知后规定时间内参加磋商，未在规定时间内参加磋商的视同放弃参加磋商权利，其响应文件按无效响应处理。</w:t>
      </w:r>
    </w:p>
    <w:p w14:paraId="352E4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7DC7A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3.3 对磋商文件作出的实质性变动是磋商文件的有效组成部分，由磋商小组及时以书面形式同时通知所有参加磋商的供应商。</w:t>
      </w:r>
    </w:p>
    <w:p w14:paraId="54FE12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3.4 供应商必须按照磋商文件的变动情况和磋商小组的要求重新提交响应文件，并由其法定代表人或者授权代表签字或者加盖 CA 签章在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6F4D2C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3.5 磋商中，磋商的任何一方不得透露与磋商有关的其他供应商的技术资料、价格和其他信息。</w:t>
      </w:r>
    </w:p>
    <w:p w14:paraId="122B62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3.6 采购代理机构对磋商过程和重要磋商内容进行记录，磋商双方在记录上签字确认。</w:t>
      </w:r>
    </w:p>
    <w:p w14:paraId="3EEB3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3.7 磋商过程中重新提交的响应文件，供应商可以在开启前补充、修改。</w:t>
      </w:r>
    </w:p>
    <w:p w14:paraId="37DFFB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3.8 对磋商过程提交的响应文件进行有效性、完整性和响应程度审查，通过审查的合格供应商不足 3 家的，采购人或者采购代理机构应当重新开展采购活动。</w:t>
      </w:r>
    </w:p>
    <w:p w14:paraId="62461B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3.9 本项目所有响应文件的首次报价及所有磋商报价均不公布。最后磋商结束后，磋商小组不得再与供应商进行任何形式的商谈。</w:t>
      </w:r>
    </w:p>
    <w:p w14:paraId="129421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最后报价</w:t>
      </w:r>
    </w:p>
    <w:p w14:paraId="0E8C1E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4.1 磋商文件能够详细列明采购标的的技术、服务要求的，磋商结束后，由磋商小组要求所有继续参加磋商的供应商在规定时间内在</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提交最后报价，提交最后报价的供应商不得少于 3 家，除本章第 4.3 条外，否则必须重新采购。</w:t>
      </w:r>
    </w:p>
    <w:p w14:paraId="5DC471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提交最后报价。</w:t>
      </w:r>
    </w:p>
    <w:p w14:paraId="346204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①最后报价与首次报价相比无调整的：供应商提交的最后报价只须注明与首次报价相同。</w:t>
      </w:r>
    </w:p>
    <w:p w14:paraId="568056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highlight w:val="none"/>
          <w:lang w:eastAsia="zh-CN"/>
        </w:rPr>
        <w:t>广西政府采购云平台</w:t>
      </w:r>
      <w:r>
        <w:rPr>
          <w:rFonts w:hint="eastAsia"/>
          <w:color w:val="auto"/>
          <w:highlight w:val="none"/>
        </w:rPr>
        <w:t xml:space="preserve"> (</w:t>
      </w:r>
      <w:r>
        <w:rPr>
          <w:rFonts w:hint="eastAsia"/>
          <w:color w:val="auto"/>
          <w:highlight w:val="none"/>
          <w:lang w:eastAsia="zh-CN"/>
        </w:rPr>
        <w:t>https://www.gcy.zfcg.gxzf.gov.cn</w:t>
      </w:r>
      <w:r>
        <w:rPr>
          <w:rFonts w:hint="eastAsia"/>
          <w:color w:val="auto"/>
          <w:highlight w:val="none"/>
        </w:rPr>
        <w:t>/) 提交，逾期则最后报价无效，以首次报价为准。</w:t>
      </w:r>
    </w:p>
    <w:p w14:paraId="14CB34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3AA30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4.4 已经提交响应文件的供应商，在提交最后报价之前，可以根据磋商情况退出磋商，退出磋商的供应商的响应文件按无效响应处理。采购人、采购代理机构将退还退出磋商的供应商的保证金。</w:t>
      </w:r>
    </w:p>
    <w:p w14:paraId="14C10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4.5 供应商未在规定时间内提交最后报价的，视同退出磋商。</w:t>
      </w:r>
    </w:p>
    <w:p w14:paraId="7D21F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4.6 磋商小组收齐某一分标最后报价后统一开启，磋商小组对最后报价进行有效性、完整性和响应程度的审查。</w:t>
      </w:r>
    </w:p>
    <w:p w14:paraId="3ACA6D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4.7 响应文件最后报价出现前后不一致的，按照本正文第 25.2.4 条的规定修正。</w:t>
      </w:r>
    </w:p>
    <w:p w14:paraId="62136C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4.8 修正后的报价出现下列情形的，按无效响应处理：</w:t>
      </w:r>
    </w:p>
    <w:p w14:paraId="271E00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供应商不确认的；</w:t>
      </w:r>
    </w:p>
    <w:p w14:paraId="006285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经供应商确认修正后的竞标报价 (包含首次报价、最后报价) 超过所竞标规定的采购预算金额或者最高限价的 (如本项目公布了最高限价) ；</w:t>
      </w:r>
    </w:p>
    <w:p w14:paraId="7F3DB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经供应商确认修正后的竞标报价 (包含首次报价、最后报价) 超过分项采购预算金额或者最高限价的 (如本项目公布了最高限价) 。</w:t>
      </w:r>
    </w:p>
    <w:p w14:paraId="38C8E1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4.9 经供应商确认修正后的最后报价作为评审及签订合同的依据。</w:t>
      </w:r>
    </w:p>
    <w:p w14:paraId="2E3BC2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4.10 最后报价结束后，磋商小组不得再与供应商进行任何形式的商谈。</w:t>
      </w:r>
    </w:p>
    <w:p w14:paraId="37130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5.比较与评价</w:t>
      </w:r>
    </w:p>
    <w:p w14:paraId="21B273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5.1 评审方法：综合评分法。</w:t>
      </w:r>
    </w:p>
    <w:p w14:paraId="60EF73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5.2 经磋商确定最终采购需求和提交最后报价的供应商后，由磋商小组采用综合评分法对提交最后报价的供应商的响应文件和最后报价进行综合评分。</w:t>
      </w:r>
    </w:p>
    <w:p w14:paraId="53702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5.3 评审时，磋商小组各成员应当独立对每个有效响应的文件进行评价、打分，然后汇总每个供应商每项评分因素的得分。</w:t>
      </w:r>
    </w:p>
    <w:p w14:paraId="486601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磋商小组按照磋商文件中规定的评审标准计算各供应商的报价得分。项目评审过程中，不得去掉最后报价中的最高报价和最低报价。</w:t>
      </w:r>
    </w:p>
    <w:p w14:paraId="11F9E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各供应商的得分为磋商小组所有成员的有效评分的算术平均数。</w:t>
      </w:r>
    </w:p>
    <w:p w14:paraId="671047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5.4 评审价为供应商的最后报价进行政策性扣除后的价格，评审价只是作为评审时使用。最终成交供应商的成交金额等于最后报价 (如有修正，以确认修正后的最后报价为准) 。</w:t>
      </w:r>
    </w:p>
    <w:p w14:paraId="363842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7DAC40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F940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highlight w:val="none"/>
          <w:lang w:eastAsia="zh-CN"/>
        </w:rPr>
      </w:pPr>
      <w:r>
        <w:rPr>
          <w:rFonts w:hint="eastAsia"/>
          <w:b/>
          <w:bCs/>
          <w:color w:val="auto"/>
          <w:highlight w:val="none"/>
        </w:rPr>
        <w:t>二、评定标准</w:t>
      </w:r>
      <w:r>
        <w:rPr>
          <w:rFonts w:hint="eastAsia"/>
          <w:b/>
          <w:bCs/>
          <w:color w:val="auto"/>
          <w:highlight w:val="none"/>
          <w:lang w:eastAsia="zh-CN"/>
        </w:rPr>
        <w:t>（</w:t>
      </w:r>
      <w:r>
        <w:rPr>
          <w:rFonts w:hint="eastAsia"/>
          <w:b/>
          <w:bCs/>
          <w:color w:val="auto"/>
          <w:highlight w:val="none"/>
        </w:rPr>
        <w:t>综合评分法</w:t>
      </w:r>
      <w:r>
        <w:rPr>
          <w:rFonts w:hint="eastAsia"/>
          <w:b/>
          <w:bCs/>
          <w:color w:val="auto"/>
          <w:highlight w:val="none"/>
          <w:lang w:eastAsia="zh-CN"/>
        </w:rPr>
        <w:t>）</w:t>
      </w:r>
    </w:p>
    <w:p w14:paraId="2E0878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对进入详评的，磋商小组将以竞争性磋商文件 、响应文件为评定依据，采用百分制综合评分法；计分办法</w:t>
      </w:r>
      <w:r>
        <w:rPr>
          <w:rFonts w:hint="eastAsia"/>
          <w:color w:val="auto"/>
          <w:highlight w:val="none"/>
          <w:lang w:eastAsia="zh-CN"/>
        </w:rPr>
        <w:t>（按四舍五入取至百分位）</w:t>
      </w:r>
      <w:r>
        <w:rPr>
          <w:rFonts w:hint="eastAsia"/>
          <w:color w:val="auto"/>
          <w:highlight w:val="none"/>
        </w:rPr>
        <w:t>。</w:t>
      </w:r>
    </w:p>
    <w:tbl>
      <w:tblPr>
        <w:tblStyle w:val="30"/>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47"/>
        <w:gridCol w:w="6459"/>
        <w:gridCol w:w="851"/>
      </w:tblGrid>
      <w:tr w14:paraId="7966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6B811111">
            <w:pPr>
              <w:widowControl/>
              <w:spacing w:line="360" w:lineRule="auto"/>
              <w:jc w:val="center"/>
              <w:rPr>
                <w:rFonts w:ascii="宋体" w:hAnsi="宋体" w:cs="Tahoma"/>
                <w:b/>
                <w:bCs/>
                <w:color w:val="000000"/>
                <w:kern w:val="0"/>
                <w:szCs w:val="21"/>
                <w:highlight w:val="none"/>
              </w:rPr>
            </w:pPr>
            <w:r>
              <w:rPr>
                <w:rFonts w:hint="eastAsia" w:ascii="宋体" w:hAnsi="宋体" w:cs="Tahoma"/>
                <w:b/>
                <w:bCs/>
                <w:color w:val="000000"/>
                <w:kern w:val="0"/>
                <w:szCs w:val="21"/>
                <w:highlight w:val="none"/>
              </w:rPr>
              <w:t>序号</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5C7ABCC3">
            <w:pPr>
              <w:widowControl/>
              <w:spacing w:line="360" w:lineRule="auto"/>
              <w:jc w:val="center"/>
              <w:rPr>
                <w:rFonts w:ascii="宋体" w:hAnsi="宋体" w:cs="Tahoma"/>
                <w:b/>
                <w:bCs/>
                <w:color w:val="000000"/>
                <w:kern w:val="0"/>
                <w:szCs w:val="21"/>
                <w:highlight w:val="none"/>
              </w:rPr>
            </w:pPr>
            <w:r>
              <w:rPr>
                <w:rFonts w:hint="eastAsia" w:ascii="宋体" w:hAnsi="宋体" w:cs="Tahoma"/>
                <w:b/>
                <w:bCs/>
                <w:color w:val="000000"/>
                <w:kern w:val="0"/>
                <w:szCs w:val="21"/>
                <w:highlight w:val="none"/>
              </w:rPr>
              <w:t>评审因素</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599945BF">
            <w:pPr>
              <w:widowControl/>
              <w:spacing w:line="360" w:lineRule="auto"/>
              <w:jc w:val="center"/>
              <w:rPr>
                <w:rFonts w:ascii="宋体" w:hAnsi="宋体" w:cs="Tahoma"/>
                <w:b/>
                <w:bCs/>
                <w:color w:val="000000"/>
                <w:kern w:val="0"/>
                <w:szCs w:val="21"/>
                <w:highlight w:val="none"/>
              </w:rPr>
            </w:pPr>
            <w:r>
              <w:rPr>
                <w:rFonts w:hint="eastAsia" w:ascii="宋体" w:hAnsi="宋体" w:cs="Tahoma"/>
                <w:b/>
                <w:bCs/>
                <w:color w:val="000000"/>
                <w:kern w:val="0"/>
                <w:szCs w:val="21"/>
                <w:highlight w:val="none"/>
              </w:rPr>
              <w:t>评审因素具体内容</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3229919">
            <w:pPr>
              <w:widowControl/>
              <w:spacing w:line="360" w:lineRule="auto"/>
              <w:jc w:val="center"/>
              <w:rPr>
                <w:rFonts w:ascii="宋体" w:hAnsi="宋体" w:cs="Tahoma"/>
                <w:b/>
                <w:bCs/>
                <w:color w:val="000000"/>
                <w:kern w:val="0"/>
                <w:szCs w:val="21"/>
                <w:highlight w:val="none"/>
              </w:rPr>
            </w:pPr>
            <w:r>
              <w:rPr>
                <w:rFonts w:hint="eastAsia" w:ascii="宋体" w:hAnsi="宋体" w:cs="Tahoma"/>
                <w:b/>
                <w:bCs/>
                <w:color w:val="000000"/>
                <w:kern w:val="0"/>
                <w:szCs w:val="21"/>
                <w:highlight w:val="none"/>
              </w:rPr>
              <w:t>分值</w:t>
            </w:r>
          </w:p>
        </w:tc>
      </w:tr>
      <w:tr w14:paraId="5467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1A67E5E9">
            <w:pPr>
              <w:widowControl/>
              <w:spacing w:line="360" w:lineRule="auto"/>
              <w:jc w:val="center"/>
              <w:rPr>
                <w:rFonts w:ascii="宋体" w:hAnsi="宋体" w:cs="Tahoma"/>
                <w:b/>
                <w:bCs/>
                <w:color w:val="000000"/>
                <w:kern w:val="0"/>
                <w:szCs w:val="21"/>
                <w:highlight w:val="none"/>
              </w:rPr>
            </w:pPr>
            <w:r>
              <w:rPr>
                <w:rFonts w:hint="eastAsia" w:ascii="宋体" w:hAnsi="宋体" w:cs="Tahoma"/>
                <w:b/>
                <w:bCs/>
                <w:color w:val="000000"/>
                <w:kern w:val="0"/>
                <w:szCs w:val="21"/>
                <w:highlight w:val="none"/>
              </w:rPr>
              <w:t>1</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0D2A6232">
            <w:pPr>
              <w:widowControl/>
              <w:spacing w:line="360" w:lineRule="auto"/>
              <w:jc w:val="center"/>
              <w:rPr>
                <w:rFonts w:ascii="宋体" w:hAnsi="宋体" w:cs="Tahoma"/>
                <w:b/>
                <w:bCs/>
                <w:color w:val="000000"/>
                <w:kern w:val="0"/>
                <w:szCs w:val="21"/>
                <w:highlight w:val="none"/>
              </w:rPr>
            </w:pPr>
            <w:r>
              <w:rPr>
                <w:rFonts w:hint="eastAsia" w:ascii="宋体" w:hAnsi="宋体" w:cs="Tahoma"/>
                <w:b/>
                <w:bCs/>
                <w:color w:val="000000"/>
                <w:kern w:val="0"/>
                <w:szCs w:val="21"/>
                <w:highlight w:val="none"/>
              </w:rPr>
              <w:t>价格分</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0A1A7444">
            <w:pPr>
              <w:widowControl/>
              <w:spacing w:line="360" w:lineRule="auto"/>
              <w:jc w:val="center"/>
              <w:rPr>
                <w:rFonts w:hint="eastAsia" w:ascii="宋体" w:hAnsi="宋体" w:cs="Tahoma"/>
                <w:b/>
                <w:bCs/>
                <w:color w:val="000000"/>
                <w:kern w:val="0"/>
                <w:szCs w:val="21"/>
                <w:highlight w:val="none"/>
              </w:rPr>
            </w:pPr>
            <w:r>
              <w:rPr>
                <w:rFonts w:hint="eastAsia" w:ascii="宋体" w:hAnsi="宋体" w:cs="Tahoma"/>
                <w:b/>
                <w:bCs/>
                <w:color w:val="000000"/>
                <w:kern w:val="0"/>
                <w:szCs w:val="21"/>
                <w:highlight w:val="none"/>
              </w:rPr>
              <w:t>（1）本项目执行专门面向中小企业政策，不再执行价格扣除政策。</w:t>
            </w:r>
          </w:p>
          <w:p w14:paraId="78496D4E">
            <w:pPr>
              <w:widowControl/>
              <w:spacing w:line="360" w:lineRule="auto"/>
              <w:jc w:val="both"/>
              <w:rPr>
                <w:rFonts w:ascii="宋体" w:hAnsi="宋体" w:cs="Tahoma"/>
                <w:b/>
                <w:bCs/>
                <w:color w:val="000000"/>
                <w:kern w:val="0"/>
                <w:szCs w:val="21"/>
                <w:highlight w:val="none"/>
              </w:rPr>
            </w:pPr>
            <w:r>
              <w:rPr>
                <w:rFonts w:hint="eastAsia" w:ascii="宋体" w:hAnsi="宋体" w:cs="Tahoma"/>
                <w:b/>
                <w:bCs/>
                <w:color w:val="000000"/>
                <w:kern w:val="0"/>
                <w:szCs w:val="21"/>
                <w:highlight w:val="none"/>
              </w:rPr>
              <w:t>（2）以进入比较与评价环节的最低的评审价为基准价，基准价得分为</w:t>
            </w:r>
            <w:r>
              <w:rPr>
                <w:rFonts w:ascii="宋体" w:hAnsi="宋体" w:cs="Tahoma"/>
                <w:b/>
                <w:bCs/>
                <w:color w:val="000000"/>
                <w:kern w:val="0"/>
                <w:szCs w:val="21"/>
                <w:highlight w:val="none"/>
              </w:rPr>
              <w:t xml:space="preserve"> </w:t>
            </w:r>
            <w:r>
              <w:rPr>
                <w:rFonts w:hint="eastAsia" w:ascii="宋体" w:hAnsi="宋体" w:cs="Tahoma"/>
                <w:b/>
                <w:bCs/>
                <w:color w:val="000000"/>
                <w:kern w:val="0"/>
                <w:szCs w:val="21"/>
                <w:highlight w:val="none"/>
              </w:rPr>
              <w:t>30分 。</w:t>
            </w:r>
          </w:p>
          <w:p w14:paraId="20D532C1">
            <w:pPr>
              <w:widowControl/>
              <w:spacing w:line="360" w:lineRule="auto"/>
              <w:jc w:val="both"/>
              <w:rPr>
                <w:rFonts w:ascii="宋体" w:hAnsi="宋体" w:cs="Tahoma"/>
                <w:b/>
                <w:bCs/>
                <w:color w:val="000000"/>
                <w:kern w:val="0"/>
                <w:szCs w:val="21"/>
                <w:highlight w:val="none"/>
              </w:rPr>
            </w:pPr>
            <w:r>
              <w:rPr>
                <w:rFonts w:hint="eastAsia" w:ascii="宋体" w:hAnsi="宋体" w:cs="Tahoma"/>
                <w:b/>
                <w:bCs/>
                <w:color w:val="000000"/>
                <w:kern w:val="0"/>
                <w:szCs w:val="21"/>
                <w:highlight w:val="none"/>
              </w:rPr>
              <w:t>（3）价格分计算公式：</w:t>
            </w:r>
          </w:p>
          <w:p w14:paraId="187C4CEE">
            <w:pPr>
              <w:widowControl/>
              <w:spacing w:line="360" w:lineRule="auto"/>
              <w:jc w:val="center"/>
              <w:rPr>
                <w:rFonts w:ascii="宋体" w:hAnsi="宋体" w:cs="Tahoma"/>
                <w:b/>
                <w:bCs/>
                <w:color w:val="000000"/>
                <w:kern w:val="0"/>
                <w:szCs w:val="21"/>
                <w:highlight w:val="none"/>
              </w:rPr>
            </w:pPr>
            <w:r>
              <w:rPr>
                <w:rFonts w:hint="eastAsia" w:ascii="宋体" w:hAnsi="宋体" w:cs="Tahoma"/>
                <w:b/>
                <w:bCs/>
                <w:color w:val="000000"/>
                <w:kern w:val="0"/>
                <w:szCs w:val="21"/>
                <w:highlight w:val="none"/>
              </w:rPr>
              <w:t>报价得分=（基准价/最后报价）×</w:t>
            </w:r>
            <w:r>
              <w:rPr>
                <w:rFonts w:ascii="宋体" w:hAnsi="宋体" w:cs="Tahoma"/>
                <w:b/>
                <w:bCs/>
                <w:color w:val="000000"/>
                <w:kern w:val="0"/>
                <w:szCs w:val="21"/>
                <w:highlight w:val="none"/>
              </w:rPr>
              <w:t xml:space="preserve"> </w:t>
            </w:r>
            <w:r>
              <w:rPr>
                <w:rFonts w:hint="eastAsia" w:ascii="宋体" w:hAnsi="宋体" w:cs="Tahoma"/>
                <w:b/>
                <w:bCs/>
                <w:color w:val="000000"/>
                <w:kern w:val="0"/>
                <w:szCs w:val="21"/>
                <w:highlight w:val="none"/>
              </w:rPr>
              <w:t xml:space="preserve">30分 </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15D39B8">
            <w:pPr>
              <w:widowControl/>
              <w:spacing w:line="360" w:lineRule="auto"/>
              <w:jc w:val="center"/>
              <w:rPr>
                <w:rFonts w:ascii="宋体" w:hAnsi="宋体" w:cs="Tahoma"/>
                <w:b/>
                <w:bCs/>
                <w:color w:val="000000"/>
                <w:kern w:val="0"/>
                <w:szCs w:val="21"/>
                <w:highlight w:val="none"/>
              </w:rPr>
            </w:pPr>
            <w:r>
              <w:rPr>
                <w:rFonts w:hint="eastAsia" w:ascii="宋体" w:hAnsi="宋体" w:cs="Tahoma"/>
                <w:b/>
                <w:bCs/>
                <w:color w:val="000000"/>
                <w:kern w:val="0"/>
                <w:szCs w:val="21"/>
                <w:highlight w:val="none"/>
              </w:rPr>
              <w:t xml:space="preserve"> 30分</w:t>
            </w:r>
          </w:p>
        </w:tc>
      </w:tr>
      <w:tr w14:paraId="41DC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6962F597">
            <w:pPr>
              <w:widowControl/>
              <w:spacing w:line="360" w:lineRule="auto"/>
              <w:jc w:val="center"/>
              <w:rPr>
                <w:rFonts w:hint="eastAsia" w:ascii="宋体" w:hAnsi="宋体" w:cs="Tahoma"/>
                <w:color w:val="000000"/>
                <w:kern w:val="0"/>
                <w:szCs w:val="21"/>
                <w:highlight w:val="none"/>
              </w:rPr>
            </w:pPr>
            <w:r>
              <w:rPr>
                <w:rFonts w:hint="eastAsia" w:ascii="宋体" w:hAnsi="宋体"/>
                <w:bCs/>
                <w:color w:val="000000"/>
                <w:kern w:val="0"/>
                <w:szCs w:val="21"/>
                <w:highlight w:val="none"/>
              </w:rPr>
              <w:t>2</w:t>
            </w:r>
          </w:p>
        </w:tc>
        <w:tc>
          <w:tcPr>
            <w:tcW w:w="1247" w:type="dxa"/>
            <w:noWrap w:val="0"/>
            <w:vAlign w:val="center"/>
          </w:tcPr>
          <w:p w14:paraId="3852E31E">
            <w:pPr>
              <w:widowControl/>
              <w:spacing w:line="480" w:lineRule="exact"/>
              <w:jc w:val="center"/>
              <w:rPr>
                <w:rFonts w:hint="eastAsia" w:ascii="宋体" w:hAnsi="宋体" w:cs="Tahoma"/>
                <w:color w:val="000000"/>
                <w:kern w:val="0"/>
                <w:szCs w:val="21"/>
                <w:highlight w:val="none"/>
              </w:rPr>
            </w:pPr>
            <w:r>
              <w:rPr>
                <w:rFonts w:hint="eastAsia" w:ascii="宋体" w:hAnsi="宋体"/>
                <w:bCs/>
                <w:color w:val="000000"/>
                <w:kern w:val="0"/>
                <w:szCs w:val="21"/>
                <w:highlight w:val="none"/>
              </w:rPr>
              <w:t>技术分</w:t>
            </w:r>
          </w:p>
        </w:tc>
        <w:tc>
          <w:tcPr>
            <w:tcW w:w="7310" w:type="dxa"/>
            <w:gridSpan w:val="2"/>
            <w:noWrap w:val="0"/>
            <w:vAlign w:val="top"/>
          </w:tcPr>
          <w:p w14:paraId="2081BE61">
            <w:pPr>
              <w:widowControl/>
              <w:spacing w:line="480" w:lineRule="exact"/>
              <w:jc w:val="center"/>
              <w:rPr>
                <w:rFonts w:hint="eastAsia" w:ascii="宋体" w:hAnsi="宋体"/>
                <w:bCs/>
                <w:color w:val="000000"/>
                <w:szCs w:val="21"/>
                <w:highlight w:val="none"/>
              </w:rPr>
            </w:pPr>
            <w:r>
              <w:rPr>
                <w:rFonts w:hint="eastAsia" w:ascii="宋体" w:hAnsi="宋体"/>
                <w:bCs/>
                <w:color w:val="000000"/>
                <w:szCs w:val="21"/>
                <w:highlight w:val="none"/>
              </w:rPr>
              <w:t>评审因素</w:t>
            </w:r>
          </w:p>
        </w:tc>
      </w:tr>
      <w:tr w14:paraId="1340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4F0754B1">
            <w:pPr>
              <w:adjustRightInd w:val="0"/>
              <w:spacing w:line="360" w:lineRule="auto"/>
              <w:ind w:left="-105" w:leftChars="-50" w:right="-105" w:rightChars="-50"/>
              <w:jc w:val="center"/>
              <w:textAlignment w:val="baseline"/>
              <w:rPr>
                <w:rFonts w:ascii="宋体" w:hAnsi="宋体"/>
                <w:bCs/>
                <w:color w:val="000000"/>
                <w:kern w:val="0"/>
                <w:szCs w:val="21"/>
                <w:highlight w:val="none"/>
              </w:rPr>
            </w:pPr>
            <w:r>
              <w:rPr>
                <w:rFonts w:hint="eastAsia" w:ascii="宋体" w:hAnsi="宋体"/>
                <w:bCs/>
                <w:color w:val="000000"/>
                <w:kern w:val="0"/>
                <w:szCs w:val="21"/>
                <w:highlight w:val="none"/>
              </w:rPr>
              <w:t>2</w:t>
            </w:r>
            <w:r>
              <w:rPr>
                <w:rFonts w:ascii="宋体" w:hAnsi="宋体"/>
                <w:bCs/>
                <w:color w:val="000000"/>
                <w:kern w:val="0"/>
                <w:szCs w:val="21"/>
                <w:highlight w:val="none"/>
              </w:rPr>
              <w:t>.1</w:t>
            </w:r>
          </w:p>
        </w:tc>
        <w:tc>
          <w:tcPr>
            <w:tcW w:w="1247" w:type="dxa"/>
            <w:noWrap w:val="0"/>
            <w:vAlign w:val="center"/>
          </w:tcPr>
          <w:p w14:paraId="148310AF">
            <w:pPr>
              <w:adjustRightInd w:val="0"/>
              <w:spacing w:line="480" w:lineRule="exact"/>
              <w:jc w:val="center"/>
              <w:textAlignment w:val="baseline"/>
              <w:rPr>
                <w:rFonts w:ascii="宋体" w:hAnsi="宋体"/>
                <w:bCs/>
                <w:color w:val="000000"/>
                <w:kern w:val="0"/>
                <w:szCs w:val="21"/>
                <w:highlight w:val="none"/>
              </w:rPr>
            </w:pPr>
            <w:r>
              <w:rPr>
                <w:rFonts w:hint="eastAsia" w:ascii="宋体" w:hAnsi="宋体"/>
                <w:bCs/>
                <w:color w:val="000000"/>
                <w:kern w:val="0"/>
                <w:szCs w:val="21"/>
                <w:highlight w:val="none"/>
              </w:rPr>
              <w:t>技术分</w:t>
            </w:r>
          </w:p>
        </w:tc>
        <w:tc>
          <w:tcPr>
            <w:tcW w:w="6459" w:type="dxa"/>
            <w:noWrap w:val="0"/>
            <w:vAlign w:val="center"/>
          </w:tcPr>
          <w:p w14:paraId="12706D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highlight w:val="none"/>
              </w:rPr>
            </w:pP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1</w:t>
            </w:r>
            <w:r>
              <w:rPr>
                <w:rFonts w:hint="eastAsia" w:ascii="宋体" w:hAnsi="宋体" w:cs="宋体"/>
                <w:b/>
                <w:color w:val="000000"/>
                <w:szCs w:val="21"/>
                <w:highlight w:val="none"/>
              </w:rPr>
              <w:t>）</w:t>
            </w:r>
            <w:r>
              <w:rPr>
                <w:rFonts w:hint="eastAsia"/>
                <w:b/>
                <w:bCs/>
                <w:color w:val="auto"/>
                <w:highlight w:val="none"/>
              </w:rPr>
              <w:t>拟投入人员配备情况 (满分3分)</w:t>
            </w:r>
          </w:p>
          <w:p w14:paraId="596EF85F">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基本人员要求：拟派驻本项目的技术负责人应具有工程类中级及以上职称</w:t>
            </w:r>
            <w:r>
              <w:rPr>
                <w:rFonts w:hint="eastAsia" w:ascii="宋体" w:hAnsi="宋体" w:eastAsia="宋体" w:cs="宋体"/>
                <w:color w:val="000000"/>
                <w:szCs w:val="21"/>
                <w:highlight w:val="none"/>
                <w:lang w:eastAsia="zh-CN"/>
              </w:rPr>
              <w:t>证书</w:t>
            </w:r>
            <w:r>
              <w:rPr>
                <w:rFonts w:hint="eastAsia" w:ascii="宋体" w:hAnsi="宋体" w:eastAsia="宋体" w:cs="宋体"/>
                <w:color w:val="000000"/>
                <w:szCs w:val="21"/>
                <w:highlight w:val="none"/>
              </w:rPr>
              <w:t>，安全员、施工员、质检员、材料员应具有相应岗位资格证书，且拟投入的项目管理人员符合国家及广西壮族自治区的规定，否则不得分。</w:t>
            </w:r>
          </w:p>
          <w:p w14:paraId="1D95DFC1">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优(</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分)：投入人员齐备、搭配合理科学，完全满足施工需要。</w:t>
            </w:r>
          </w:p>
          <w:p w14:paraId="4A22C962">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良(</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分)：投入人员基本齐备、搭配合理，满足施工需要。</w:t>
            </w:r>
          </w:p>
          <w:p w14:paraId="1066DD9D">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中(1分)：投入人员基本齐备、搭配一般，基本满足施工需要。</w:t>
            </w:r>
          </w:p>
          <w:p w14:paraId="4AA81631">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差(</w:t>
            </w:r>
            <w:r>
              <w:rPr>
                <w:rFonts w:hint="eastAsia" w:ascii="宋体" w:hAnsi="宋体" w:eastAsia="宋体" w:cs="宋体"/>
                <w:color w:val="000000"/>
                <w:szCs w:val="21"/>
                <w:highlight w:val="none"/>
                <w:lang w:val="en-US" w:eastAsia="zh-CN"/>
              </w:rPr>
              <w:t>0</w:t>
            </w:r>
            <w:r>
              <w:rPr>
                <w:rFonts w:hint="eastAsia" w:ascii="宋体" w:hAnsi="宋体" w:eastAsia="宋体" w:cs="宋体"/>
                <w:color w:val="000000"/>
                <w:szCs w:val="21"/>
                <w:highlight w:val="none"/>
              </w:rPr>
              <w:t>分)：投入人员不齐备、不能满足施工需要。</w:t>
            </w:r>
          </w:p>
          <w:p w14:paraId="29B88A69">
            <w:pPr>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2</w:t>
            </w:r>
            <w:r>
              <w:rPr>
                <w:rFonts w:hint="eastAsia" w:ascii="宋体" w:hAnsi="宋体" w:cs="宋体"/>
                <w:b/>
                <w:color w:val="000000"/>
                <w:szCs w:val="21"/>
                <w:highlight w:val="none"/>
              </w:rPr>
              <w:t>）总体概述（满分</w:t>
            </w:r>
            <w:r>
              <w:rPr>
                <w:rFonts w:hint="eastAsia" w:ascii="宋体" w:hAnsi="宋体" w:cs="宋体"/>
                <w:b/>
                <w:color w:val="000000"/>
                <w:szCs w:val="21"/>
                <w:highlight w:val="none"/>
                <w:lang w:val="en-US" w:eastAsia="zh-CN"/>
              </w:rPr>
              <w:t>8</w:t>
            </w:r>
            <w:r>
              <w:rPr>
                <w:rFonts w:hint="eastAsia" w:ascii="宋体" w:hAnsi="宋体" w:cs="宋体"/>
                <w:b/>
                <w:color w:val="000000"/>
                <w:szCs w:val="21"/>
                <w:highlight w:val="none"/>
              </w:rPr>
              <w:t>分）</w:t>
            </w:r>
          </w:p>
          <w:p w14:paraId="48FEEC84">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优（</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分）：对项目总体有深刻认识，表述清晰、完整、严谨、合理，措施先进、具体、有效、成熟，采用了己论证的新技术、新工艺、新材料、新设备；施工段划分呼应总体表述，划分清晰、合理，符合规范要求。</w:t>
            </w:r>
          </w:p>
          <w:p w14:paraId="12348F25">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良（</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分）：对项目总体有一定认识，表述清晰、完整，措施具体有效；施工段划分呼应总体表述，划分清晰，符合规范要求。</w:t>
            </w:r>
          </w:p>
          <w:p w14:paraId="5B89DB5C">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中（</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分）：对项目总体有认识，有一定的措施但部分不具体；施工段划分较合理，符合规范要求。</w:t>
            </w:r>
          </w:p>
          <w:p w14:paraId="05569BA7">
            <w:pPr>
              <w:spacing w:line="400" w:lineRule="exact"/>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差(</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分)：对项目认识不足，表述不清晰，措施不具体；施工段划分不合理</w:t>
            </w:r>
            <w:r>
              <w:rPr>
                <w:rFonts w:hint="eastAsia" w:ascii="宋体" w:hAnsi="宋体" w:cs="宋体"/>
                <w:color w:val="000000"/>
                <w:szCs w:val="21"/>
                <w:highlight w:val="none"/>
                <w:lang w:val="en-US" w:eastAsia="zh-CN"/>
              </w:rPr>
              <w:t>。</w:t>
            </w:r>
          </w:p>
          <w:p w14:paraId="0BF9A0AB">
            <w:pPr>
              <w:numPr>
                <w:ilvl w:val="0"/>
                <w:numId w:val="1"/>
              </w:numPr>
              <w:spacing w:line="400" w:lineRule="exact"/>
              <w:ind w:left="0" w:leftChars="0" w:firstLine="0" w:firstLineChars="0"/>
              <w:rPr>
                <w:rFonts w:hint="eastAsia" w:ascii="宋体" w:hAnsi="宋体" w:cs="宋体"/>
                <w:b/>
                <w:color w:val="000000"/>
                <w:szCs w:val="21"/>
                <w:highlight w:val="none"/>
              </w:rPr>
            </w:pPr>
            <w:r>
              <w:rPr>
                <w:rFonts w:hint="eastAsia"/>
                <w:b/>
                <w:bCs/>
                <w:color w:val="auto"/>
                <w:highlight w:val="none"/>
              </w:rPr>
              <w:t>主要施工方法</w:t>
            </w:r>
            <w:r>
              <w:rPr>
                <w:rFonts w:hint="eastAsia" w:ascii="宋体" w:hAnsi="宋体" w:cs="宋体"/>
                <w:b/>
                <w:color w:val="000000"/>
                <w:szCs w:val="21"/>
                <w:highlight w:val="none"/>
              </w:rPr>
              <w:t>（满分8分）</w:t>
            </w:r>
          </w:p>
          <w:p w14:paraId="34461328">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优(</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分) ：各主要分部施工方法针对性强，施工技术方案详尽周密，工艺先进、方法科学、可行，能很好的指导具体施工并确保安全。</w:t>
            </w:r>
          </w:p>
          <w:p w14:paraId="140837CE">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良(</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分</w:t>
            </w:r>
            <w:r>
              <w:rPr>
                <w:rFonts w:hint="eastAsia" w:ascii="宋体" w:hAnsi="宋体" w:eastAsia="宋体" w:cs="宋体"/>
                <w:color w:val="000000"/>
                <w:szCs w:val="21"/>
                <w:highlight w:val="none"/>
              </w:rPr>
              <w:t>) ：各主要分部施工方法符合项目实际，施工技术方案齐全，工艺成熟、方法合理、可行，能指导具体施工并确保安全。</w:t>
            </w:r>
          </w:p>
          <w:p w14:paraId="29C23CB3">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分) ：各主要分部施工方法基本符合项目实际，施工技术方案基本齐全，方法基本合理、基本可行，基本能指导具体施工并确保安全。</w:t>
            </w:r>
          </w:p>
          <w:p w14:paraId="60C10A77">
            <w:pPr>
              <w:spacing w:line="400" w:lineRule="exact"/>
              <w:ind w:firstLine="420" w:firstLineChars="200"/>
              <w:rPr>
                <w:rFonts w:hint="eastAsia" w:ascii="宋体" w:hAnsi="宋体" w:cs="宋体"/>
                <w:b/>
                <w:color w:val="000000"/>
                <w:szCs w:val="21"/>
                <w:highlight w:val="none"/>
              </w:rPr>
            </w:pPr>
            <w:r>
              <w:rPr>
                <w:rFonts w:hint="eastAsia" w:ascii="宋体" w:hAnsi="宋体" w:eastAsia="宋体" w:cs="宋体"/>
                <w:color w:val="000000"/>
                <w:szCs w:val="21"/>
                <w:highlight w:val="none"/>
              </w:rPr>
              <w:t>差(</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 ：各主要分部施工方法针</w:t>
            </w:r>
            <w:r>
              <w:rPr>
                <w:rFonts w:hint="eastAsia"/>
                <w:color w:val="auto"/>
                <w:highlight w:val="none"/>
              </w:rPr>
              <w:t>对性差，施工技术方案差，工艺落后、方法不合理，不能指导具体施工和确保安全。</w:t>
            </w:r>
          </w:p>
          <w:p w14:paraId="01FC846D">
            <w:pPr>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4</w:t>
            </w:r>
            <w:r>
              <w:rPr>
                <w:rFonts w:hint="eastAsia" w:ascii="宋体" w:hAnsi="宋体" w:cs="宋体"/>
                <w:b/>
                <w:color w:val="000000"/>
                <w:szCs w:val="21"/>
                <w:highlight w:val="none"/>
              </w:rPr>
              <w:t>）劳动力和材料投入计划及其保证措施（满分7分）</w:t>
            </w:r>
          </w:p>
          <w:p w14:paraId="10DA3DF1">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优(7分)：投入计划与进度计划呼应，较好满足施工需要，调配投入计划合理、准确。</w:t>
            </w:r>
          </w:p>
          <w:p w14:paraId="5F92870D">
            <w:pPr>
              <w:spacing w:line="400" w:lineRule="exact"/>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良(5分)：投入计划与进度计划呼应，基本满足施工需要，调配投入计划基本合理、准确</w:t>
            </w:r>
            <w:r>
              <w:rPr>
                <w:rFonts w:hint="eastAsia" w:ascii="宋体" w:hAnsi="宋体" w:cs="宋体"/>
                <w:color w:val="000000"/>
                <w:szCs w:val="21"/>
                <w:highlight w:val="none"/>
                <w:lang w:val="en-US" w:eastAsia="zh-CN"/>
              </w:rPr>
              <w:t>。</w:t>
            </w:r>
          </w:p>
          <w:p w14:paraId="50196CAE">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中(3分)：投入计划与进度计划呼应，基本满足施工需要，调配投入计划基本合理。</w:t>
            </w:r>
          </w:p>
          <w:p w14:paraId="15C782DE">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差(1分)：投入计划与进度计划不呼应，调配投入计划不合理，不能满足施工需要。</w:t>
            </w:r>
          </w:p>
          <w:p w14:paraId="57441C0B">
            <w:pPr>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5</w:t>
            </w:r>
            <w:r>
              <w:rPr>
                <w:rFonts w:hint="eastAsia" w:ascii="宋体" w:hAnsi="宋体" w:cs="宋体"/>
                <w:b/>
                <w:color w:val="000000"/>
                <w:szCs w:val="21"/>
                <w:highlight w:val="none"/>
              </w:rPr>
              <w:t>）机械设备投入计划（满分</w:t>
            </w:r>
            <w:r>
              <w:rPr>
                <w:rFonts w:hint="eastAsia" w:ascii="宋体" w:hAnsi="宋体" w:cs="宋体"/>
                <w:b/>
                <w:color w:val="000000"/>
                <w:szCs w:val="21"/>
                <w:highlight w:val="none"/>
                <w:lang w:val="en-US" w:eastAsia="zh-CN"/>
              </w:rPr>
              <w:t>7</w:t>
            </w:r>
            <w:r>
              <w:rPr>
                <w:rFonts w:hint="eastAsia" w:ascii="宋体" w:hAnsi="宋体" w:cs="宋体"/>
                <w:b/>
                <w:color w:val="000000"/>
                <w:szCs w:val="21"/>
                <w:highlight w:val="none"/>
              </w:rPr>
              <w:t>分）</w:t>
            </w:r>
          </w:p>
          <w:p w14:paraId="528B3A40">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优(</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分)：投入计划与进度计划呼应，较好满足施工需要，采用先进机械设备。</w:t>
            </w:r>
          </w:p>
          <w:p w14:paraId="52EFF5BF">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良(</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分)：投入计划与进度计划呼应，满足施工需要。</w:t>
            </w:r>
          </w:p>
          <w:p w14:paraId="3DE56227">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中(3分)：投入计划与进度计划呼应，基本满足施工需要。</w:t>
            </w:r>
          </w:p>
          <w:p w14:paraId="34FEDEB9">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差(1分)：投入计划与进度计划不呼应，不能满足施工需要。</w:t>
            </w:r>
          </w:p>
          <w:p w14:paraId="0DB7A85A">
            <w:pPr>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6</w:t>
            </w:r>
            <w:r>
              <w:rPr>
                <w:rFonts w:hint="eastAsia" w:ascii="宋体" w:hAnsi="宋体" w:cs="宋体"/>
                <w:b/>
                <w:color w:val="000000"/>
                <w:szCs w:val="21"/>
                <w:highlight w:val="none"/>
              </w:rPr>
              <w:t>）施工平面布置和临时设施布置（满分8分）</w:t>
            </w:r>
          </w:p>
          <w:p w14:paraId="0AC213AF">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优(8分)：总体布置有针对性、合理，较好满足施工需要，符合安全、文明生产要求。</w:t>
            </w:r>
          </w:p>
          <w:p w14:paraId="16758C59">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良(6分)：总体布置合理，能满足施工需要，基本符合安全、文明生产要求。</w:t>
            </w:r>
          </w:p>
          <w:p w14:paraId="0047FAC2">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中(4分)：总体布置基本合理，基本满足施工需要。</w:t>
            </w:r>
          </w:p>
          <w:p w14:paraId="0898B3F9">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差(2分)：总体布置不合理，不符合安全、文明生产要求。</w:t>
            </w:r>
          </w:p>
          <w:p w14:paraId="78A4E785">
            <w:pPr>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7</w:t>
            </w:r>
            <w:r>
              <w:rPr>
                <w:rFonts w:hint="eastAsia" w:ascii="宋体" w:hAnsi="宋体" w:cs="宋体"/>
                <w:b/>
                <w:color w:val="000000"/>
                <w:szCs w:val="21"/>
                <w:highlight w:val="none"/>
              </w:rPr>
              <w:t>）关键施工技术、工艺及工程项目实施的重点、难点分析和解决方案（满分8分）</w:t>
            </w:r>
          </w:p>
          <w:p w14:paraId="3E218091">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优(8分)：对项目关键技术、工艺有深入的表述，对重点、难点有先进合理的施工措施并有可行的安全措施，解决方案完整、经济、安全、切实可行，措施得力。</w:t>
            </w:r>
          </w:p>
          <w:p w14:paraId="456EAD0C">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良(6分)：对项目关键技术、工艺有深入的表述，对重点、难点有合理的建议，解决方案经济、安全、基本可行。</w:t>
            </w:r>
          </w:p>
          <w:p w14:paraId="4E9CCD16">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中(4分)：对项目关键技术有一定了解，对重点、难点有建议，解决方案基本可行。</w:t>
            </w:r>
          </w:p>
          <w:p w14:paraId="7D1D4FBB">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差(2分)：对项目关键技术有表述，对重点、难点有建议，解诀方案不可行。</w:t>
            </w:r>
          </w:p>
          <w:p w14:paraId="6492A2FD">
            <w:pPr>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8</w:t>
            </w:r>
            <w:r>
              <w:rPr>
                <w:rFonts w:hint="eastAsia" w:ascii="宋体" w:hAnsi="宋体" w:cs="宋体"/>
                <w:b/>
                <w:color w:val="000000"/>
                <w:szCs w:val="21"/>
                <w:highlight w:val="none"/>
              </w:rPr>
              <w:t>）安全文明施工措施（满分8分）</w:t>
            </w:r>
          </w:p>
          <w:p w14:paraId="1612ED6A">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优(8分)：针对项目实际情况，有先进、具体、完整、可行的实施措施，采用规范正确、清晰。</w:t>
            </w:r>
          </w:p>
          <w:p w14:paraId="31BDCA05">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良(5分)：针对项目实际情况，有合理的措施且具体、完整，采用规范正确。</w:t>
            </w:r>
          </w:p>
          <w:p w14:paraId="31021AD8">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中(3分)：有基本合理的措施，采用规范正确。</w:t>
            </w:r>
          </w:p>
          <w:p w14:paraId="44BA61AF">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差(1分)：安全文明措施不得力，采用规范不正确。</w:t>
            </w:r>
          </w:p>
          <w:p w14:paraId="01501D50">
            <w:pPr>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9</w:t>
            </w:r>
            <w:r>
              <w:rPr>
                <w:rFonts w:hint="eastAsia" w:ascii="宋体" w:hAnsi="宋体" w:cs="宋体"/>
                <w:b/>
                <w:color w:val="000000"/>
                <w:szCs w:val="21"/>
                <w:highlight w:val="none"/>
              </w:rPr>
              <w:t>）质量保证（满分8分）</w:t>
            </w:r>
          </w:p>
          <w:p w14:paraId="7B727D91">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优(8分)：应用新技术、新工艺、新材料、新设备，针对项目实际提出先进、可行、具体的保证措施，超过招标文件的质量要求及施工验收规范要求。</w:t>
            </w:r>
          </w:p>
          <w:p w14:paraId="5FAFADA6">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良(5分)：针对项目实际提出先进、可行、具体的保证措施，满足招标文件的质量要求。</w:t>
            </w:r>
          </w:p>
          <w:p w14:paraId="45FB9784">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中(3分)：具体措施可行，满足招标文件的质量要求。</w:t>
            </w:r>
          </w:p>
          <w:p w14:paraId="3377CB02">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差(1分)：措施不可行，不能满足文件中质量要求。</w:t>
            </w:r>
          </w:p>
          <w:p w14:paraId="7EF8382B">
            <w:pPr>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10</w:t>
            </w:r>
            <w:r>
              <w:rPr>
                <w:rFonts w:hint="eastAsia" w:ascii="宋体" w:hAnsi="宋体" w:cs="宋体"/>
                <w:b/>
                <w:color w:val="000000"/>
                <w:szCs w:val="21"/>
                <w:highlight w:val="none"/>
              </w:rPr>
              <w:t>）违约责任承诺（满分</w:t>
            </w:r>
            <w:r>
              <w:rPr>
                <w:rFonts w:hint="eastAsia" w:ascii="宋体" w:hAnsi="宋体" w:cs="宋体"/>
                <w:b/>
                <w:color w:val="000000"/>
                <w:szCs w:val="21"/>
                <w:highlight w:val="none"/>
                <w:lang w:val="en-US" w:eastAsia="zh-CN"/>
              </w:rPr>
              <w:t>5</w:t>
            </w:r>
            <w:r>
              <w:rPr>
                <w:rFonts w:hint="eastAsia" w:ascii="宋体" w:hAnsi="宋体" w:cs="宋体"/>
                <w:b/>
                <w:color w:val="000000"/>
                <w:szCs w:val="21"/>
                <w:highlight w:val="none"/>
              </w:rPr>
              <w:t>分）</w:t>
            </w:r>
          </w:p>
          <w:p w14:paraId="577040CD">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优(</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分)：违约责任承诺</w:t>
            </w:r>
            <w:r>
              <w:rPr>
                <w:rFonts w:hint="eastAsia" w:ascii="宋体" w:hAnsi="宋体" w:cs="宋体"/>
                <w:color w:val="000000"/>
                <w:szCs w:val="21"/>
                <w:highlight w:val="none"/>
                <w:lang w:eastAsia="zh-CN"/>
              </w:rPr>
              <w:t>详细、完善</w:t>
            </w:r>
            <w:r>
              <w:rPr>
                <w:rFonts w:hint="eastAsia" w:ascii="宋体" w:hAnsi="宋体" w:cs="宋体"/>
                <w:color w:val="000000"/>
                <w:szCs w:val="21"/>
                <w:highlight w:val="none"/>
              </w:rPr>
              <w:t>。</w:t>
            </w:r>
          </w:p>
          <w:p w14:paraId="0C22B4C8">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良(</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分)：违约责任承诺</w:t>
            </w:r>
            <w:r>
              <w:rPr>
                <w:rFonts w:hint="eastAsia" w:ascii="宋体" w:hAnsi="宋体" w:cs="宋体"/>
                <w:color w:val="000000"/>
                <w:szCs w:val="21"/>
                <w:highlight w:val="none"/>
                <w:lang w:eastAsia="zh-CN"/>
              </w:rPr>
              <w:t>基本完整</w:t>
            </w:r>
            <w:r>
              <w:rPr>
                <w:rFonts w:hint="eastAsia" w:ascii="宋体" w:hAnsi="宋体" w:cs="宋体"/>
                <w:color w:val="000000"/>
                <w:szCs w:val="21"/>
                <w:highlight w:val="none"/>
              </w:rPr>
              <w:t xml:space="preserve">。 </w:t>
            </w:r>
          </w:p>
          <w:p w14:paraId="46A8D848">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中(</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分)：有违约责任承诺</w:t>
            </w:r>
            <w:r>
              <w:rPr>
                <w:rFonts w:hint="eastAsia" w:ascii="宋体" w:hAnsi="宋体" w:cs="宋体"/>
                <w:color w:val="000000"/>
                <w:szCs w:val="21"/>
                <w:highlight w:val="none"/>
                <w:lang w:eastAsia="zh-CN"/>
              </w:rPr>
              <w:t>，内容简单、不全面</w:t>
            </w:r>
            <w:r>
              <w:rPr>
                <w:rFonts w:hint="eastAsia" w:ascii="宋体" w:hAnsi="宋体" w:cs="宋体"/>
                <w:color w:val="000000"/>
                <w:szCs w:val="21"/>
                <w:highlight w:val="none"/>
              </w:rPr>
              <w:t>。</w:t>
            </w:r>
          </w:p>
          <w:p w14:paraId="5F0E35B0">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差(</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分)：无违约责任承诺。</w:t>
            </w:r>
          </w:p>
        </w:tc>
        <w:tc>
          <w:tcPr>
            <w:tcW w:w="851" w:type="dxa"/>
            <w:noWrap w:val="0"/>
            <w:vAlign w:val="center"/>
          </w:tcPr>
          <w:p w14:paraId="1B043507">
            <w:pPr>
              <w:spacing w:line="360" w:lineRule="auto"/>
              <w:jc w:val="center"/>
              <w:rPr>
                <w:rFonts w:ascii="宋体" w:hAnsi="宋体" w:cs="Tahoma"/>
                <w:color w:val="000000"/>
                <w:kern w:val="0"/>
                <w:szCs w:val="21"/>
                <w:highlight w:val="none"/>
              </w:rPr>
            </w:pPr>
            <w:r>
              <w:rPr>
                <w:rFonts w:hint="eastAsia" w:ascii="宋体" w:hAnsi="宋体" w:cs="Tahoma"/>
                <w:color w:val="000000"/>
                <w:kern w:val="0"/>
                <w:szCs w:val="21"/>
                <w:highlight w:val="none"/>
              </w:rPr>
              <w:t>70分</w:t>
            </w:r>
          </w:p>
        </w:tc>
      </w:tr>
      <w:tr w14:paraId="7B67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37F2CA30">
            <w:pPr>
              <w:pStyle w:val="13"/>
              <w:spacing w:line="360" w:lineRule="auto"/>
              <w:ind w:firstLine="420" w:firstLineChars="200"/>
              <w:rPr>
                <w:rFonts w:hAnsi="宋体" w:cs="Courier New"/>
                <w:bCs/>
                <w:color w:val="000000"/>
                <w:kern w:val="2"/>
                <w:sz w:val="21"/>
                <w:highlight w:val="none"/>
                <w:lang w:val="en-US" w:eastAsia="zh-CN"/>
              </w:rPr>
            </w:pPr>
            <w:r>
              <w:rPr>
                <w:rFonts w:hint="eastAsia" w:hAnsi="宋体" w:cs="Courier New"/>
                <w:bCs/>
                <w:color w:val="000000"/>
                <w:kern w:val="2"/>
                <w:sz w:val="21"/>
                <w:highlight w:val="none"/>
                <w:lang w:val="en-US" w:eastAsia="zh-CN"/>
              </w:rPr>
              <w:t>总得分＝1＋2</w:t>
            </w:r>
          </w:p>
        </w:tc>
        <w:tc>
          <w:tcPr>
            <w:tcW w:w="851" w:type="dxa"/>
            <w:noWrap w:val="0"/>
            <w:vAlign w:val="center"/>
          </w:tcPr>
          <w:p w14:paraId="7768BD27">
            <w:pPr>
              <w:widowControl/>
              <w:spacing w:line="360" w:lineRule="auto"/>
              <w:jc w:val="center"/>
              <w:rPr>
                <w:rFonts w:ascii="宋体" w:hAnsi="宋体" w:cs="Tahoma"/>
                <w:color w:val="000000"/>
                <w:kern w:val="0"/>
                <w:szCs w:val="21"/>
                <w:highlight w:val="none"/>
              </w:rPr>
            </w:pPr>
          </w:p>
        </w:tc>
      </w:tr>
    </w:tbl>
    <w:p w14:paraId="376549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30FEC1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三、成交候选供应商推荐原则</w:t>
      </w:r>
    </w:p>
    <w:p w14:paraId="3ED4E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7D4972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629A67B4">
      <w:pPr>
        <w:pStyle w:val="49"/>
        <w:rPr>
          <w:rFonts w:hint="eastAsia" w:ascii="黑体" w:hAnsi="宋体" w:eastAsia="黑体" w:cs="Times New Roman"/>
          <w:b/>
          <w:bCs/>
          <w:color w:val="auto"/>
          <w:kern w:val="0"/>
          <w:sz w:val="36"/>
          <w:szCs w:val="36"/>
          <w:highlight w:val="none"/>
        </w:rPr>
      </w:pPr>
    </w:p>
    <w:p w14:paraId="4B6E8664">
      <w:pPr>
        <w:pStyle w:val="49"/>
        <w:rPr>
          <w:rFonts w:hint="eastAsia" w:ascii="黑体" w:hAnsi="宋体" w:eastAsia="黑体" w:cs="Times New Roman"/>
          <w:b/>
          <w:bCs/>
          <w:color w:val="auto"/>
          <w:kern w:val="0"/>
          <w:sz w:val="36"/>
          <w:szCs w:val="36"/>
          <w:highlight w:val="none"/>
        </w:rPr>
      </w:pPr>
    </w:p>
    <w:p w14:paraId="4B54E56E">
      <w:pPr>
        <w:pStyle w:val="49"/>
        <w:rPr>
          <w:rFonts w:hint="eastAsia" w:ascii="黑体" w:hAnsi="宋体" w:eastAsia="黑体" w:cs="Times New Roman"/>
          <w:b/>
          <w:bCs/>
          <w:color w:val="auto"/>
          <w:kern w:val="0"/>
          <w:sz w:val="36"/>
          <w:szCs w:val="36"/>
          <w:highlight w:val="none"/>
        </w:rPr>
      </w:pPr>
    </w:p>
    <w:p w14:paraId="4DA68400">
      <w:pPr>
        <w:pStyle w:val="49"/>
        <w:rPr>
          <w:rFonts w:hint="eastAsia" w:ascii="黑体" w:hAnsi="宋体" w:eastAsia="黑体" w:cs="Times New Roman"/>
          <w:b/>
          <w:bCs/>
          <w:color w:val="auto"/>
          <w:kern w:val="0"/>
          <w:sz w:val="36"/>
          <w:szCs w:val="36"/>
          <w:highlight w:val="none"/>
        </w:rPr>
      </w:pPr>
    </w:p>
    <w:p w14:paraId="402CC85B">
      <w:pPr>
        <w:pStyle w:val="49"/>
        <w:rPr>
          <w:rFonts w:hint="eastAsia" w:ascii="黑体" w:hAnsi="宋体" w:eastAsia="黑体" w:cs="Times New Roman"/>
          <w:b/>
          <w:bCs/>
          <w:color w:val="auto"/>
          <w:kern w:val="0"/>
          <w:sz w:val="36"/>
          <w:szCs w:val="36"/>
          <w:highlight w:val="none"/>
        </w:rPr>
      </w:pPr>
    </w:p>
    <w:p w14:paraId="706AC786">
      <w:pPr>
        <w:pStyle w:val="13"/>
        <w:spacing w:line="400" w:lineRule="exact"/>
        <w:jc w:val="center"/>
        <w:outlineLvl w:val="9"/>
        <w:rPr>
          <w:rFonts w:hint="eastAsia" w:ascii="黑体" w:hAnsi="宋体" w:eastAsia="黑体" w:cs="Times New Roman"/>
          <w:b/>
          <w:bCs/>
          <w:color w:val="auto"/>
          <w:kern w:val="0"/>
          <w:sz w:val="36"/>
          <w:szCs w:val="36"/>
          <w:highlight w:val="none"/>
        </w:rPr>
      </w:pPr>
    </w:p>
    <w:p w14:paraId="3DECB937">
      <w:pPr>
        <w:rPr>
          <w:rFonts w:hint="eastAsia" w:ascii="黑体" w:hAnsi="宋体" w:eastAsia="黑体" w:cs="Times New Roman"/>
          <w:b/>
          <w:bCs/>
          <w:color w:val="auto"/>
          <w:kern w:val="0"/>
          <w:sz w:val="36"/>
          <w:szCs w:val="36"/>
          <w:highlight w:val="none"/>
        </w:rPr>
      </w:pPr>
      <w:bookmarkStart w:id="68" w:name="_Toc15543"/>
      <w:r>
        <w:rPr>
          <w:rFonts w:hint="eastAsia" w:ascii="黑体" w:hAnsi="宋体" w:eastAsia="黑体" w:cs="Times New Roman"/>
          <w:b/>
          <w:bCs/>
          <w:color w:val="auto"/>
          <w:kern w:val="0"/>
          <w:sz w:val="36"/>
          <w:szCs w:val="36"/>
          <w:highlight w:val="none"/>
        </w:rPr>
        <w:br w:type="page"/>
      </w:r>
    </w:p>
    <w:p w14:paraId="2EF232E3">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449DA95B">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1AE7EC45">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46DA571F">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262989AD">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687E97C5">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59F55523">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510BB4B6">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6CDE7129">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0C634F16">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3EE07A86">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宋体" w:eastAsia="黑体" w:cs="Times New Roman"/>
          <w:b/>
          <w:bCs/>
          <w:color w:val="auto"/>
          <w:kern w:val="0"/>
          <w:sz w:val="36"/>
          <w:szCs w:val="36"/>
          <w:highlight w:val="none"/>
        </w:rPr>
      </w:pPr>
    </w:p>
    <w:p w14:paraId="769324E3">
      <w:pPr>
        <w:pStyle w:val="26"/>
        <w:spacing w:beforeLines="0" w:afterLines="0"/>
        <w:rPr>
          <w:rFonts w:hint="eastAsia" w:cs="Times New Roman"/>
          <w:sz w:val="44"/>
          <w:szCs w:val="44"/>
          <w:lang w:val="en-US" w:eastAsia="zh-CN"/>
        </w:rPr>
      </w:pPr>
      <w:r>
        <w:rPr>
          <w:rFonts w:hint="eastAsia" w:cs="Times New Roman"/>
          <w:sz w:val="44"/>
          <w:szCs w:val="44"/>
          <w:lang w:val="en-US" w:eastAsia="zh-CN"/>
        </w:rPr>
        <w:t>第五章  响应文件（格式）</w:t>
      </w:r>
      <w:bookmarkEnd w:id="68"/>
    </w:p>
    <w:p w14:paraId="353E1B98">
      <w:pPr>
        <w:autoSpaceDE w:val="0"/>
        <w:autoSpaceDN w:val="0"/>
        <w:adjustRightInd w:val="0"/>
        <w:spacing w:line="360" w:lineRule="auto"/>
        <w:rPr>
          <w:rFonts w:ascii="宋体" w:cs="宋体"/>
          <w:color w:val="auto"/>
          <w:szCs w:val="21"/>
          <w:highlight w:val="none"/>
          <w:lang w:val="zh-CN"/>
        </w:rPr>
      </w:pPr>
    </w:p>
    <w:p w14:paraId="7749C86F">
      <w:pPr>
        <w:rPr>
          <w:rFonts w:hint="eastAsia"/>
          <w:b/>
          <w:color w:val="000000"/>
          <w:sz w:val="32"/>
          <w:szCs w:val="32"/>
          <w:highlight w:val="none"/>
        </w:rPr>
      </w:pPr>
      <w:bookmarkStart w:id="69" w:name="_Toc35611438"/>
      <w:bookmarkStart w:id="70" w:name="_Toc31728084"/>
      <w:bookmarkStart w:id="71" w:name="_Toc35611516"/>
      <w:bookmarkStart w:id="72" w:name="_Toc71366186"/>
      <w:bookmarkStart w:id="73" w:name="_Toc31723070"/>
      <w:bookmarkStart w:id="74" w:name="_Toc44229899"/>
      <w:r>
        <w:rPr>
          <w:rFonts w:hint="eastAsia"/>
          <w:b/>
          <w:color w:val="000000"/>
          <w:sz w:val="32"/>
          <w:szCs w:val="32"/>
          <w:highlight w:val="none"/>
        </w:rPr>
        <w:br w:type="page"/>
      </w:r>
    </w:p>
    <w:p w14:paraId="6F28BC5C">
      <w:pPr>
        <w:rPr>
          <w:rFonts w:hint="eastAsia"/>
          <w:b/>
          <w:color w:val="000000"/>
          <w:sz w:val="32"/>
          <w:szCs w:val="32"/>
          <w:highlight w:val="none"/>
        </w:rPr>
      </w:pPr>
      <w:r>
        <w:rPr>
          <w:rFonts w:hint="eastAsia"/>
          <w:b/>
          <w:color w:val="000000"/>
          <w:sz w:val="32"/>
          <w:szCs w:val="32"/>
          <w:highlight w:val="none"/>
        </w:rPr>
        <w:t>一、资格证明文件格式</w:t>
      </w:r>
      <w:bookmarkEnd w:id="69"/>
      <w:bookmarkEnd w:id="70"/>
      <w:bookmarkEnd w:id="71"/>
      <w:bookmarkEnd w:id="72"/>
      <w:bookmarkEnd w:id="73"/>
      <w:bookmarkEnd w:id="74"/>
    </w:p>
    <w:p w14:paraId="3C7F518D">
      <w:pPr>
        <w:snapToGrid w:val="0"/>
        <w:spacing w:before="156" w:beforeLines="50" w:after="50" w:line="360" w:lineRule="auto"/>
        <w:jc w:val="left"/>
        <w:rPr>
          <w:rFonts w:hint="eastAsia" w:ascii="宋体" w:hAnsi="宋体"/>
          <w:b/>
          <w:color w:val="000000"/>
          <w:sz w:val="24"/>
          <w:highlight w:val="none"/>
        </w:rPr>
      </w:pPr>
      <w:r>
        <w:rPr>
          <w:rFonts w:hint="eastAsia" w:ascii="宋体" w:hAnsi="宋体"/>
          <w:b/>
          <w:color w:val="000000"/>
          <w:sz w:val="32"/>
          <w:szCs w:val="32"/>
          <w:highlight w:val="none"/>
        </w:rPr>
        <w:t>1.资格证明文件封面格式：</w:t>
      </w:r>
      <w:r>
        <w:rPr>
          <w:rFonts w:hint="eastAsia" w:ascii="宋体" w:hAnsi="宋体"/>
          <w:b/>
          <w:color w:val="000000"/>
          <w:sz w:val="24"/>
          <w:highlight w:val="none"/>
        </w:rPr>
        <w:t xml:space="preserve"> </w:t>
      </w:r>
    </w:p>
    <w:p w14:paraId="0B307B56">
      <w:pPr>
        <w:snapToGrid w:val="0"/>
        <w:spacing w:before="156" w:beforeLines="50" w:after="50"/>
        <w:jc w:val="center"/>
        <w:rPr>
          <w:rFonts w:ascii="宋体" w:hAnsi="宋体"/>
          <w:color w:val="000000"/>
          <w:sz w:val="44"/>
          <w:szCs w:val="44"/>
          <w:highlight w:val="none"/>
        </w:rPr>
      </w:pPr>
    </w:p>
    <w:p w14:paraId="4868F987">
      <w:pPr>
        <w:snapToGrid w:val="0"/>
        <w:spacing w:before="156" w:beforeLines="50" w:after="50"/>
        <w:jc w:val="center"/>
        <w:rPr>
          <w:rFonts w:ascii="宋体" w:hAnsi="宋体"/>
          <w:color w:val="000000"/>
          <w:sz w:val="44"/>
          <w:szCs w:val="44"/>
          <w:highlight w:val="none"/>
        </w:rPr>
      </w:pPr>
      <w:r>
        <w:rPr>
          <w:rFonts w:hint="eastAsia" w:ascii="宋体" w:hAnsi="宋体"/>
          <w:color w:val="000000"/>
          <w:sz w:val="44"/>
          <w:szCs w:val="44"/>
          <w:highlight w:val="none"/>
        </w:rPr>
        <w:t>电 子 响 应 文 件</w:t>
      </w:r>
    </w:p>
    <w:p w14:paraId="68824A2A">
      <w:pPr>
        <w:snapToGrid w:val="0"/>
        <w:spacing w:before="156" w:beforeLines="50" w:after="50"/>
        <w:rPr>
          <w:rFonts w:hint="eastAsia" w:ascii="宋体" w:hAnsi="宋体"/>
          <w:color w:val="000000"/>
          <w:sz w:val="24"/>
          <w:szCs w:val="20"/>
          <w:highlight w:val="none"/>
        </w:rPr>
      </w:pPr>
    </w:p>
    <w:p w14:paraId="74C72FE7">
      <w:pPr>
        <w:snapToGrid w:val="0"/>
        <w:spacing w:before="156" w:beforeLines="50" w:after="50"/>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资  格  证  明  文  件</w:t>
      </w:r>
    </w:p>
    <w:p w14:paraId="54B125FA">
      <w:pPr>
        <w:snapToGrid w:val="0"/>
        <w:spacing w:before="156" w:beforeLines="50" w:after="50"/>
        <w:rPr>
          <w:rFonts w:hint="eastAsia" w:ascii="宋体" w:hAnsi="宋体"/>
          <w:bCs/>
          <w:color w:val="000000"/>
          <w:sz w:val="24"/>
          <w:szCs w:val="20"/>
          <w:highlight w:val="none"/>
        </w:rPr>
      </w:pPr>
    </w:p>
    <w:p w14:paraId="28AF8B3B">
      <w:pPr>
        <w:snapToGrid w:val="0"/>
        <w:spacing w:before="156" w:beforeLines="50" w:after="50"/>
        <w:rPr>
          <w:rFonts w:hint="eastAsia" w:ascii="宋体" w:hAnsi="宋体"/>
          <w:bCs/>
          <w:color w:val="000000"/>
          <w:sz w:val="24"/>
          <w:szCs w:val="20"/>
          <w:highlight w:val="none"/>
        </w:rPr>
      </w:pPr>
    </w:p>
    <w:p w14:paraId="4B412B3E">
      <w:pPr>
        <w:snapToGrid w:val="0"/>
        <w:spacing w:before="156" w:beforeLines="50" w:after="50"/>
        <w:rPr>
          <w:rFonts w:hint="eastAsia" w:ascii="宋体" w:hAnsi="宋体"/>
          <w:bCs/>
          <w:color w:val="000000"/>
          <w:sz w:val="24"/>
          <w:szCs w:val="20"/>
          <w:highlight w:val="none"/>
        </w:rPr>
      </w:pPr>
    </w:p>
    <w:p w14:paraId="7D989D66">
      <w:pPr>
        <w:snapToGrid w:val="0"/>
        <w:spacing w:before="156" w:beforeLines="50" w:after="50"/>
        <w:rPr>
          <w:rFonts w:hint="eastAsia" w:ascii="宋体" w:hAnsi="宋体"/>
          <w:bCs/>
          <w:color w:val="000000"/>
          <w:sz w:val="24"/>
          <w:szCs w:val="20"/>
          <w:highlight w:val="none"/>
        </w:rPr>
      </w:pPr>
    </w:p>
    <w:p w14:paraId="2F2862F3">
      <w:pPr>
        <w:snapToGrid w:val="0"/>
        <w:spacing w:before="156" w:beforeLines="50" w:after="50"/>
        <w:rPr>
          <w:rFonts w:hint="eastAsia" w:ascii="宋体" w:hAnsi="宋体"/>
          <w:bCs/>
          <w:color w:val="000000"/>
          <w:sz w:val="24"/>
          <w:szCs w:val="20"/>
          <w:highlight w:val="none"/>
        </w:rPr>
      </w:pPr>
    </w:p>
    <w:p w14:paraId="6775BC55">
      <w:pPr>
        <w:snapToGrid w:val="0"/>
        <w:spacing w:before="156" w:beforeLines="50" w:after="50"/>
        <w:ind w:firstLine="640" w:firstLineChars="200"/>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项目名称：</w:t>
      </w:r>
    </w:p>
    <w:p w14:paraId="2983AC61">
      <w:pPr>
        <w:snapToGrid w:val="0"/>
        <w:spacing w:before="156" w:beforeLines="50" w:after="50"/>
        <w:ind w:firstLine="720" w:firstLineChars="225"/>
        <w:rPr>
          <w:rFonts w:hint="eastAsia" w:ascii="宋体" w:hAnsi="宋体" w:cs="仿宋_GB2312"/>
          <w:bCs/>
          <w:color w:val="000000"/>
          <w:sz w:val="32"/>
          <w:szCs w:val="32"/>
          <w:highlight w:val="none"/>
        </w:rPr>
      </w:pPr>
    </w:p>
    <w:p w14:paraId="599181BF">
      <w:pPr>
        <w:snapToGrid w:val="0"/>
        <w:spacing w:before="156" w:beforeLines="50" w:after="50"/>
        <w:ind w:firstLine="640" w:firstLineChars="200"/>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项目编号：</w:t>
      </w:r>
    </w:p>
    <w:p w14:paraId="1A8859BB">
      <w:pPr>
        <w:snapToGrid w:val="0"/>
        <w:spacing w:before="156" w:beforeLines="50" w:after="50"/>
        <w:ind w:firstLine="720" w:firstLineChars="225"/>
        <w:rPr>
          <w:rFonts w:hint="eastAsia" w:ascii="宋体" w:hAnsi="宋体" w:cs="仿宋_GB2312"/>
          <w:bCs/>
          <w:color w:val="000000"/>
          <w:sz w:val="32"/>
          <w:szCs w:val="32"/>
          <w:highlight w:val="none"/>
        </w:rPr>
      </w:pPr>
    </w:p>
    <w:p w14:paraId="1720EB9C">
      <w:pPr>
        <w:pStyle w:val="8"/>
        <w:snapToGrid w:val="0"/>
        <w:spacing w:before="50" w:after="50"/>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供应商名称：</w:t>
      </w:r>
    </w:p>
    <w:p w14:paraId="0372CC56">
      <w:pPr>
        <w:pStyle w:val="8"/>
        <w:snapToGrid w:val="0"/>
        <w:spacing w:before="50" w:after="50"/>
        <w:rPr>
          <w:rFonts w:hint="eastAsia" w:ascii="宋体" w:hAnsi="宋体" w:cs="仿宋_GB2312"/>
          <w:bCs/>
          <w:color w:val="000000"/>
          <w:sz w:val="32"/>
          <w:szCs w:val="32"/>
          <w:highlight w:val="none"/>
        </w:rPr>
      </w:pPr>
    </w:p>
    <w:p w14:paraId="5EA4C494">
      <w:pPr>
        <w:pStyle w:val="8"/>
        <w:snapToGrid w:val="0"/>
        <w:spacing w:before="50" w:after="50"/>
        <w:rPr>
          <w:rFonts w:hint="eastAsia" w:ascii="宋体" w:hAnsi="宋体" w:eastAsia="宋体" w:cs="仿宋_GB2312"/>
          <w:bCs/>
          <w:color w:val="000000"/>
          <w:sz w:val="32"/>
          <w:szCs w:val="32"/>
          <w:highlight w:val="none"/>
          <w:lang w:eastAsia="zh-CN"/>
        </w:rPr>
      </w:pPr>
      <w:r>
        <w:rPr>
          <w:rFonts w:hint="eastAsia" w:ascii="宋体" w:hAnsi="宋体" w:cs="仿宋_GB2312"/>
          <w:bCs/>
          <w:color w:val="000000"/>
          <w:sz w:val="32"/>
          <w:szCs w:val="32"/>
          <w:highlight w:val="none"/>
          <w:lang w:eastAsia="zh-CN"/>
        </w:rPr>
        <w:t>供应商地址：</w:t>
      </w:r>
    </w:p>
    <w:p w14:paraId="0DB3D9A9">
      <w:pPr>
        <w:snapToGrid w:val="0"/>
        <w:spacing w:before="156" w:beforeLines="50" w:after="50"/>
        <w:ind w:firstLine="640" w:firstLineChars="200"/>
        <w:rPr>
          <w:rFonts w:hint="eastAsia" w:ascii="宋体" w:hAnsi="宋体" w:cs="仿宋_GB2312"/>
          <w:bCs/>
          <w:color w:val="000000"/>
          <w:sz w:val="32"/>
          <w:szCs w:val="32"/>
          <w:highlight w:val="none"/>
        </w:rPr>
      </w:pPr>
    </w:p>
    <w:p w14:paraId="2F27925B">
      <w:pPr>
        <w:pStyle w:val="8"/>
        <w:snapToGrid w:val="0"/>
        <w:spacing w:before="50" w:after="50"/>
        <w:ind w:firstLine="720" w:firstLineChars="225"/>
        <w:rPr>
          <w:rFonts w:hint="eastAsia" w:ascii="宋体" w:hAnsi="宋体" w:cs="仿宋_GB2312"/>
          <w:bCs/>
          <w:color w:val="000000"/>
          <w:sz w:val="32"/>
          <w:szCs w:val="32"/>
          <w:highlight w:val="none"/>
        </w:rPr>
      </w:pPr>
    </w:p>
    <w:p w14:paraId="322C3C8C">
      <w:pPr>
        <w:pStyle w:val="8"/>
        <w:snapToGrid w:val="0"/>
        <w:spacing w:before="50" w:after="50"/>
        <w:ind w:firstLine="1280" w:firstLineChars="400"/>
        <w:rPr>
          <w:rFonts w:hint="eastAsia" w:ascii="宋体" w:hAnsi="宋体" w:cs="仿宋_GB2312"/>
          <w:bCs/>
          <w:color w:val="000000"/>
          <w:sz w:val="32"/>
          <w:szCs w:val="32"/>
          <w:highlight w:val="none"/>
        </w:rPr>
      </w:pPr>
    </w:p>
    <w:p w14:paraId="38334DC2">
      <w:pPr>
        <w:snapToGrid w:val="0"/>
        <w:spacing w:before="156" w:beforeLines="50" w:after="50"/>
        <w:jc w:val="center"/>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年    月    日</w:t>
      </w:r>
    </w:p>
    <w:p w14:paraId="08E2EA18">
      <w:pPr>
        <w:snapToGrid w:val="0"/>
        <w:spacing w:before="156" w:beforeLines="50" w:after="50" w:line="360" w:lineRule="auto"/>
        <w:ind w:left="142"/>
        <w:jc w:val="left"/>
        <w:rPr>
          <w:rFonts w:hint="eastAsia" w:ascii="宋体" w:hAnsi="宋体"/>
          <w:b/>
          <w:bCs/>
          <w:color w:val="000000"/>
          <w:sz w:val="32"/>
          <w:szCs w:val="32"/>
          <w:highlight w:val="none"/>
        </w:rPr>
      </w:pPr>
      <w:r>
        <w:rPr>
          <w:rFonts w:ascii="宋体" w:hAnsi="宋体"/>
          <w:color w:val="000000"/>
          <w:sz w:val="24"/>
          <w:highlight w:val="none"/>
        </w:rPr>
        <w:br w:type="page"/>
      </w:r>
      <w:r>
        <w:rPr>
          <w:rFonts w:hint="eastAsia" w:ascii="宋体" w:hAnsi="宋体"/>
          <w:b/>
          <w:bCs/>
          <w:color w:val="000000"/>
          <w:sz w:val="32"/>
          <w:szCs w:val="32"/>
          <w:highlight w:val="none"/>
        </w:rPr>
        <w:t>2.资格证明文件目录</w:t>
      </w:r>
    </w:p>
    <w:p w14:paraId="1DCA3C98">
      <w:pPr>
        <w:snapToGrid w:val="0"/>
        <w:spacing w:before="156" w:beforeLines="50" w:after="50" w:line="360" w:lineRule="auto"/>
        <w:ind w:firstLine="645"/>
        <w:rPr>
          <w:rFonts w:ascii="宋体" w:hAnsi="宋体"/>
          <w:color w:val="000000"/>
          <w:sz w:val="32"/>
          <w:szCs w:val="32"/>
          <w:highlight w:val="none"/>
        </w:rPr>
      </w:pPr>
      <w:r>
        <w:rPr>
          <w:rFonts w:hint="eastAsia" w:ascii="宋体" w:hAnsi="宋体"/>
          <w:color w:val="000000"/>
          <w:sz w:val="32"/>
          <w:szCs w:val="32"/>
          <w:highlight w:val="none"/>
        </w:rPr>
        <w:t>根据磋商文件规定及供应商提供的材料自行编写目录（部分格式后附）。</w:t>
      </w:r>
    </w:p>
    <w:p w14:paraId="3019331A">
      <w:pPr>
        <w:snapToGrid w:val="0"/>
        <w:spacing w:before="156" w:beforeLines="50" w:after="50"/>
        <w:rPr>
          <w:rFonts w:ascii="宋体" w:hAnsi="宋体"/>
          <w:color w:val="000000"/>
          <w:sz w:val="24"/>
          <w:szCs w:val="20"/>
          <w:highlight w:val="none"/>
        </w:rPr>
      </w:pPr>
      <w:r>
        <w:rPr>
          <w:rFonts w:ascii="宋体" w:hAnsi="宋体"/>
          <w:color w:val="000000"/>
          <w:sz w:val="24"/>
          <w:szCs w:val="20"/>
          <w:highlight w:val="none"/>
        </w:rPr>
        <w:t xml:space="preserve"> </w:t>
      </w:r>
    </w:p>
    <w:p w14:paraId="140AED36">
      <w:pPr>
        <w:spacing w:line="300" w:lineRule="auto"/>
        <w:rPr>
          <w:rFonts w:hint="eastAsia" w:ascii="宋体" w:hAnsi="宋体"/>
          <w:color w:val="000000"/>
          <w:szCs w:val="21"/>
          <w:highlight w:val="none"/>
        </w:rPr>
      </w:pPr>
    </w:p>
    <w:p w14:paraId="6ACA2250">
      <w:pPr>
        <w:spacing w:line="300" w:lineRule="auto"/>
        <w:rPr>
          <w:rFonts w:hint="eastAsia" w:ascii="宋体" w:hAnsi="宋体"/>
          <w:color w:val="000000"/>
          <w:szCs w:val="21"/>
          <w:highlight w:val="none"/>
        </w:rPr>
      </w:pPr>
    </w:p>
    <w:p w14:paraId="2091442A">
      <w:pPr>
        <w:spacing w:line="300" w:lineRule="auto"/>
        <w:rPr>
          <w:rFonts w:hint="eastAsia" w:ascii="宋体" w:hAnsi="宋体"/>
          <w:color w:val="000000"/>
          <w:szCs w:val="21"/>
          <w:highlight w:val="none"/>
        </w:rPr>
      </w:pPr>
    </w:p>
    <w:p w14:paraId="60BBD88E">
      <w:pPr>
        <w:spacing w:line="300" w:lineRule="auto"/>
        <w:rPr>
          <w:rFonts w:hint="eastAsia" w:ascii="宋体" w:hAnsi="宋体"/>
          <w:color w:val="000000"/>
          <w:szCs w:val="21"/>
          <w:highlight w:val="none"/>
        </w:rPr>
      </w:pPr>
    </w:p>
    <w:p w14:paraId="6F0BBF82">
      <w:pPr>
        <w:spacing w:line="300" w:lineRule="auto"/>
        <w:rPr>
          <w:rFonts w:hint="eastAsia" w:ascii="宋体" w:hAnsi="宋体"/>
          <w:color w:val="000000"/>
          <w:szCs w:val="21"/>
          <w:highlight w:val="none"/>
        </w:rPr>
      </w:pPr>
    </w:p>
    <w:p w14:paraId="1FF6C42F">
      <w:pPr>
        <w:spacing w:line="300" w:lineRule="auto"/>
        <w:rPr>
          <w:rFonts w:hint="eastAsia" w:ascii="宋体" w:hAnsi="宋体"/>
          <w:color w:val="000000"/>
          <w:szCs w:val="21"/>
          <w:highlight w:val="none"/>
        </w:rPr>
      </w:pPr>
    </w:p>
    <w:p w14:paraId="3FBD7152">
      <w:pPr>
        <w:spacing w:line="300" w:lineRule="auto"/>
        <w:rPr>
          <w:rFonts w:hint="eastAsia" w:ascii="宋体" w:hAnsi="宋体"/>
          <w:color w:val="000000"/>
          <w:szCs w:val="21"/>
          <w:highlight w:val="none"/>
        </w:rPr>
      </w:pPr>
    </w:p>
    <w:p w14:paraId="1AE2CF94">
      <w:pPr>
        <w:spacing w:line="300" w:lineRule="auto"/>
        <w:rPr>
          <w:rFonts w:hint="eastAsia" w:ascii="宋体" w:hAnsi="宋体"/>
          <w:color w:val="000000"/>
          <w:szCs w:val="21"/>
          <w:highlight w:val="none"/>
        </w:rPr>
      </w:pPr>
    </w:p>
    <w:p w14:paraId="6BB5B104">
      <w:pPr>
        <w:spacing w:line="300" w:lineRule="auto"/>
        <w:rPr>
          <w:rFonts w:hint="eastAsia" w:ascii="宋体" w:hAnsi="宋体"/>
          <w:color w:val="000000"/>
          <w:szCs w:val="21"/>
          <w:highlight w:val="none"/>
        </w:rPr>
      </w:pPr>
    </w:p>
    <w:p w14:paraId="2A406409">
      <w:pPr>
        <w:spacing w:line="300" w:lineRule="auto"/>
        <w:rPr>
          <w:rFonts w:hint="eastAsia" w:ascii="宋体" w:hAnsi="宋体"/>
          <w:color w:val="000000"/>
          <w:szCs w:val="21"/>
          <w:highlight w:val="none"/>
        </w:rPr>
      </w:pPr>
    </w:p>
    <w:p w14:paraId="1BA60CFD">
      <w:pPr>
        <w:spacing w:line="300" w:lineRule="auto"/>
        <w:rPr>
          <w:rFonts w:hint="eastAsia" w:ascii="宋体" w:hAnsi="宋体"/>
          <w:color w:val="000000"/>
          <w:szCs w:val="21"/>
          <w:highlight w:val="none"/>
        </w:rPr>
      </w:pPr>
    </w:p>
    <w:p w14:paraId="36A064B7">
      <w:pPr>
        <w:spacing w:line="300" w:lineRule="auto"/>
        <w:rPr>
          <w:rFonts w:hint="eastAsia" w:ascii="宋体" w:hAnsi="宋体"/>
          <w:color w:val="000000"/>
          <w:szCs w:val="21"/>
          <w:highlight w:val="none"/>
        </w:rPr>
      </w:pPr>
    </w:p>
    <w:p w14:paraId="6074E45E">
      <w:pPr>
        <w:spacing w:line="300" w:lineRule="auto"/>
        <w:rPr>
          <w:rFonts w:hint="eastAsia" w:ascii="宋体" w:hAnsi="宋体"/>
          <w:color w:val="000000"/>
          <w:szCs w:val="21"/>
          <w:highlight w:val="none"/>
        </w:rPr>
      </w:pPr>
    </w:p>
    <w:p w14:paraId="2287A6EF">
      <w:pPr>
        <w:spacing w:line="300" w:lineRule="auto"/>
        <w:rPr>
          <w:rFonts w:hint="eastAsia" w:ascii="宋体" w:hAnsi="宋体"/>
          <w:color w:val="000000"/>
          <w:szCs w:val="21"/>
          <w:highlight w:val="none"/>
        </w:rPr>
      </w:pPr>
    </w:p>
    <w:p w14:paraId="3203D70B">
      <w:pPr>
        <w:spacing w:line="300" w:lineRule="auto"/>
        <w:rPr>
          <w:rFonts w:hint="eastAsia" w:ascii="宋体" w:hAnsi="宋体"/>
          <w:color w:val="000000"/>
          <w:szCs w:val="21"/>
          <w:highlight w:val="none"/>
        </w:rPr>
      </w:pPr>
    </w:p>
    <w:p w14:paraId="4F4AF687">
      <w:pPr>
        <w:spacing w:line="320" w:lineRule="exact"/>
        <w:jc w:val="center"/>
        <w:rPr>
          <w:rFonts w:hint="eastAsia" w:ascii="宋体" w:hAnsi="宋体"/>
          <w:b/>
          <w:color w:val="000000"/>
          <w:sz w:val="32"/>
          <w:szCs w:val="32"/>
          <w:highlight w:val="none"/>
        </w:rPr>
      </w:pPr>
      <w:r>
        <w:rPr>
          <w:rFonts w:ascii="宋体" w:hAnsi="宋体"/>
          <w:color w:val="000000"/>
          <w:szCs w:val="21"/>
          <w:highlight w:val="none"/>
        </w:rPr>
        <w:br w:type="page"/>
      </w:r>
      <w:r>
        <w:rPr>
          <w:rFonts w:hint="eastAsia" w:ascii="宋体" w:hAnsi="宋体"/>
          <w:b/>
          <w:color w:val="000000"/>
          <w:sz w:val="32"/>
          <w:szCs w:val="32"/>
          <w:highlight w:val="none"/>
        </w:rPr>
        <w:t>竞标声明</w:t>
      </w:r>
      <w:r>
        <w:rPr>
          <w:rFonts w:hint="eastAsia" w:ascii="宋体" w:hAnsi="宋体"/>
          <w:b/>
          <w:color w:val="000000"/>
          <w:sz w:val="32"/>
          <w:szCs w:val="32"/>
          <w:highlight w:val="none"/>
          <w:lang w:eastAsia="zh-CN"/>
        </w:rPr>
        <w:t>（格式）</w:t>
      </w:r>
    </w:p>
    <w:p w14:paraId="25731C56">
      <w:pPr>
        <w:spacing w:line="320" w:lineRule="exact"/>
        <w:jc w:val="center"/>
        <w:rPr>
          <w:rFonts w:hint="eastAsia" w:ascii="宋体" w:hAnsi="宋体"/>
          <w:color w:val="000000"/>
          <w:sz w:val="24"/>
          <w:szCs w:val="20"/>
          <w:highlight w:val="none"/>
        </w:rPr>
      </w:pPr>
    </w:p>
    <w:p w14:paraId="0620CD87">
      <w:pPr>
        <w:spacing w:line="360" w:lineRule="auto"/>
        <w:contextualSpacing/>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（采购人名称）</w:t>
      </w:r>
      <w:r>
        <w:rPr>
          <w:rFonts w:hint="eastAsia" w:ascii="宋体" w:hAnsi="宋体" w:cs="宋体"/>
          <w:color w:val="000000"/>
          <w:sz w:val="24"/>
          <w:highlight w:val="none"/>
        </w:rPr>
        <w:t>：</w:t>
      </w:r>
    </w:p>
    <w:p w14:paraId="6B5848A8">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我方</w:t>
      </w:r>
      <w:r>
        <w:rPr>
          <w:rFonts w:hint="eastAsia" w:ascii="宋体" w:hAnsi="宋体" w:cs="宋体"/>
          <w:color w:val="000000"/>
          <w:sz w:val="24"/>
          <w:highlight w:val="none"/>
          <w:u w:val="single"/>
        </w:rPr>
        <w:t>（供应商名称）</w:t>
      </w:r>
      <w:r>
        <w:rPr>
          <w:rFonts w:hint="eastAsia" w:ascii="宋体" w:hAnsi="宋体" w:cs="宋体"/>
          <w:color w:val="000000"/>
          <w:sz w:val="24"/>
          <w:highlight w:val="none"/>
        </w:rPr>
        <w:t>系中华人民共和国合法供应商，经营地址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74C5F740">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我方愿意参加贵方组织的</w:t>
      </w:r>
      <w:r>
        <w:rPr>
          <w:rFonts w:hint="eastAsia" w:ascii="宋体" w:hAnsi="宋体" w:cs="宋体"/>
          <w:color w:val="000000"/>
          <w:sz w:val="24"/>
          <w:highlight w:val="none"/>
          <w:u w:val="single"/>
        </w:rPr>
        <w:t>（项目名称）（项目编号）</w:t>
      </w:r>
      <w:r>
        <w:rPr>
          <w:rFonts w:hint="eastAsia" w:ascii="宋体" w:hAnsi="宋体" w:cs="宋体"/>
          <w:color w:val="000000"/>
          <w:sz w:val="24"/>
          <w:highlight w:val="none"/>
        </w:rPr>
        <w:t>项目的竞标，为便于贵方公正、择优地确定成交供应商及其服务，我方就本次竞标有关事项郑重声明如下：</w:t>
      </w:r>
    </w:p>
    <w:p w14:paraId="133AC18D">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1.我方向贵方提交的所有响应文件、资料都是准确的和真实的。</w:t>
      </w:r>
    </w:p>
    <w:p w14:paraId="09806487">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olor w:val="000000"/>
          <w:sz w:val="24"/>
          <w:highlight w:val="none"/>
        </w:rPr>
        <w:t>我方不是为本次采购项目提供整体设计、规范编制或者项目管理、监理、检测等服务的供应商</w:t>
      </w:r>
      <w:r>
        <w:rPr>
          <w:rFonts w:hint="eastAsia" w:ascii="宋体" w:hAnsi="宋体" w:cs="宋体"/>
          <w:color w:val="000000"/>
          <w:sz w:val="24"/>
          <w:highlight w:val="none"/>
        </w:rPr>
        <w:t>。</w:t>
      </w:r>
    </w:p>
    <w:p w14:paraId="6636DDE0">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3.在此，我方宣布同意如下：</w:t>
      </w:r>
    </w:p>
    <w:p w14:paraId="0EDE2A2F">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（1）将按磋商文件的约定履行合同责任和义务；</w:t>
      </w:r>
    </w:p>
    <w:p w14:paraId="648F9415">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（2）已详细审查全部磋商文件，包括澄清或者更正公告（如有）；</w:t>
      </w:r>
    </w:p>
    <w:p w14:paraId="6E1E6BC7">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（3）同意提供按照贵方可能要求的与磋商有关的一切数据或者资料；</w:t>
      </w:r>
    </w:p>
    <w:p w14:paraId="736ED44E">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（4）响应磋商文件规定的竞标有效期。</w:t>
      </w:r>
    </w:p>
    <w:p w14:paraId="293B524B">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4.我方承诺符合《中华人民共和国政府采购法》第二十二条规定：</w:t>
      </w:r>
    </w:p>
    <w:p w14:paraId="1AAB3D0F">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14:paraId="5AA9B6B9">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（2）具有良好的商业信誉和健全的财务会计制度；</w:t>
      </w:r>
    </w:p>
    <w:p w14:paraId="225338EC">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1D5AA491">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7C19AA00">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0129F92A">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（6）法律、行政法规规定的其他条件。</w:t>
      </w:r>
    </w:p>
    <w:p w14:paraId="37D78A52">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0CDB1D4">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EED57C9">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□我方本次响应文件</w:t>
      </w:r>
      <w:r>
        <w:rPr>
          <w:rFonts w:hint="eastAsia" w:ascii="宋体" w:hAnsi="宋体" w:cs="宋体"/>
          <w:color w:val="000000"/>
          <w:kern w:val="0"/>
          <w:sz w:val="24"/>
          <w:highlight w:val="none"/>
        </w:rPr>
        <w:t>内容中</w:t>
      </w:r>
      <w:r>
        <w:rPr>
          <w:rFonts w:hint="eastAsia" w:ascii="宋体" w:hAnsi="宋体" w:cs="宋体"/>
          <w:color w:val="000000"/>
          <w:sz w:val="24"/>
          <w:highlight w:val="none"/>
        </w:rPr>
        <w:t>未</w:t>
      </w:r>
      <w:r>
        <w:rPr>
          <w:rFonts w:hint="eastAsia" w:ascii="宋体" w:hAnsi="宋体" w:cs="宋体"/>
          <w:color w:val="000000"/>
          <w:kern w:val="0"/>
          <w:sz w:val="24"/>
          <w:highlight w:val="none"/>
        </w:rPr>
        <w:t>涉及商业秘密；</w:t>
      </w:r>
    </w:p>
    <w:p w14:paraId="165D7F1E">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□我方本次响应文件</w:t>
      </w:r>
      <w:r>
        <w:rPr>
          <w:rFonts w:hint="eastAsia" w:ascii="宋体" w:hAnsi="宋体" w:cs="宋体"/>
          <w:color w:val="000000"/>
          <w:kern w:val="0"/>
          <w:sz w:val="24"/>
          <w:highlight w:val="none"/>
        </w:rPr>
        <w:t>涉及商业秘密的内容有：</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5AF6C835">
      <w:pPr>
        <w:pStyle w:val="13"/>
        <w:spacing w:line="360" w:lineRule="auto"/>
        <w:ind w:firstLine="480" w:firstLineChars="200"/>
        <w:contextualSpacing/>
        <w:rPr>
          <w:rFonts w:hint="eastAsia" w:hAnsi="宋体" w:cs="宋体"/>
          <w:color w:val="000000"/>
          <w:sz w:val="24"/>
          <w:szCs w:val="24"/>
          <w:highlight w:val="none"/>
          <w:u w:val="single"/>
        </w:rPr>
      </w:pPr>
      <w:r>
        <w:rPr>
          <w:rFonts w:hint="eastAsia" w:hAnsi="宋体" w:cs="宋体"/>
          <w:color w:val="000000"/>
          <w:sz w:val="24"/>
          <w:szCs w:val="24"/>
          <w:highlight w:val="none"/>
        </w:rPr>
        <w:t>7.与本磋商有关的一切正式往来信函请寄：</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邮政编号：</w:t>
      </w:r>
      <w:r>
        <w:rPr>
          <w:rFonts w:hint="eastAsia" w:hAnsi="宋体" w:cs="宋体"/>
          <w:color w:val="000000"/>
          <w:sz w:val="24"/>
          <w:szCs w:val="24"/>
          <w:highlight w:val="none"/>
          <w:u w:val="single"/>
        </w:rPr>
        <w:t xml:space="preserve">        </w:t>
      </w:r>
    </w:p>
    <w:p w14:paraId="56F5E485">
      <w:pPr>
        <w:pStyle w:val="13"/>
        <w:spacing w:line="360" w:lineRule="auto"/>
        <w:ind w:firstLine="480" w:firstLineChars="200"/>
        <w:contextualSpacing/>
        <w:rPr>
          <w:rFonts w:hint="eastAsia" w:hAnsi="宋体" w:cs="宋体"/>
          <w:color w:val="000000"/>
          <w:sz w:val="24"/>
          <w:szCs w:val="24"/>
          <w:highlight w:val="none"/>
        </w:rPr>
      </w:pPr>
      <w:r>
        <w:rPr>
          <w:rFonts w:hint="eastAsia" w:hAnsi="宋体" w:cs="宋体"/>
          <w:color w:val="000000"/>
          <w:sz w:val="24"/>
          <w:szCs w:val="24"/>
          <w:highlight w:val="none"/>
        </w:rPr>
        <w:t>电话/传真：</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 xml:space="preserve"> 电子邮箱：</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 xml:space="preserve">    </w:t>
      </w:r>
    </w:p>
    <w:p w14:paraId="0C06061B">
      <w:pPr>
        <w:pStyle w:val="12"/>
        <w:tabs>
          <w:tab w:val="left" w:pos="939"/>
        </w:tabs>
        <w:spacing w:line="360" w:lineRule="auto"/>
        <w:ind w:left="141" w:leftChars="67" w:firstLine="360" w:firstLineChars="150"/>
        <w:rPr>
          <w:rFonts w:hint="eastAsia" w:ascii="宋体" w:hAnsi="宋体" w:cs="宋体"/>
          <w:color w:val="000000"/>
          <w:sz w:val="24"/>
          <w:highlight w:val="none"/>
        </w:rPr>
      </w:pPr>
      <w:r>
        <w:rPr>
          <w:rFonts w:hint="eastAsia" w:ascii="宋体" w:hAnsi="宋体" w:cs="宋体"/>
          <w:color w:val="000000"/>
          <w:sz w:val="24"/>
          <w:highlight w:val="none"/>
        </w:rPr>
        <w:t>开户银行：</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帐号：</w:t>
      </w:r>
      <w:r>
        <w:rPr>
          <w:rFonts w:hint="eastAsia" w:ascii="宋体" w:hAnsi="宋体" w:cs="宋体"/>
          <w:color w:val="000000"/>
          <w:sz w:val="24"/>
          <w:highlight w:val="none"/>
          <w:u w:val="single"/>
        </w:rPr>
        <w:t xml:space="preserve">                               </w:t>
      </w:r>
    </w:p>
    <w:p w14:paraId="62604B73">
      <w:pPr>
        <w:pStyle w:val="12"/>
        <w:tabs>
          <w:tab w:val="left" w:pos="939"/>
        </w:tabs>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rPr>
        <w:t>8.以上事项如有虚假或者隐瞒，我方愿意承担一切后果，并不再寻求任何旨在减轻或者免除法律责任的辩解。</w:t>
      </w:r>
    </w:p>
    <w:p w14:paraId="5235B1F6">
      <w:pPr>
        <w:pStyle w:val="12"/>
        <w:tabs>
          <w:tab w:val="left" w:pos="939"/>
        </w:tabs>
        <w:spacing w:line="360" w:lineRule="auto"/>
        <w:ind w:left="141" w:leftChars="67" w:firstLine="360" w:firstLineChars="150"/>
        <w:rPr>
          <w:rFonts w:hint="eastAsia" w:ascii="宋体" w:hAnsi="宋体" w:cs="宋体"/>
          <w:color w:val="000000"/>
          <w:sz w:val="24"/>
          <w:highlight w:val="none"/>
        </w:rPr>
      </w:pPr>
      <w:r>
        <w:rPr>
          <w:rFonts w:hint="eastAsia" w:ascii="宋体" w:hAnsi="宋体" w:cs="宋体"/>
          <w:color w:val="000000"/>
          <w:sz w:val="24"/>
          <w:highlight w:val="none"/>
        </w:rPr>
        <w:t>特此承诺。</w:t>
      </w:r>
    </w:p>
    <w:p w14:paraId="2E9BF98E">
      <w:pPr>
        <w:spacing w:line="360" w:lineRule="auto"/>
        <w:ind w:firstLine="482" w:firstLineChars="200"/>
        <w:contextualSpacing/>
        <w:jc w:val="left"/>
        <w:rPr>
          <w:rFonts w:hint="eastAsia" w:ascii="宋体" w:hAnsi="宋体"/>
          <w:b/>
          <w:color w:val="000000"/>
          <w:sz w:val="24"/>
          <w:highlight w:val="none"/>
        </w:rPr>
      </w:pPr>
      <w:r>
        <w:rPr>
          <w:rFonts w:hint="eastAsia" w:ascii="宋体" w:hAnsi="宋体" w:cs="宋体"/>
          <w:b/>
          <w:color w:val="000000"/>
          <w:sz w:val="24"/>
          <w:highlight w:val="none"/>
        </w:rPr>
        <w:t>注：</w:t>
      </w:r>
      <w:r>
        <w:rPr>
          <w:rFonts w:hint="eastAsia" w:ascii="宋体" w:hAnsi="宋体"/>
          <w:b/>
          <w:color w:val="000000"/>
          <w:sz w:val="24"/>
          <w:highlight w:val="none"/>
        </w:rPr>
        <w:t>如为联合体竞标，盖章处须加盖联合体牵头人电子签章并由联合体牵头人法定代表人分别签字或者盖章或者电子签名，否则响应文件按无效处理。</w:t>
      </w:r>
    </w:p>
    <w:p w14:paraId="336D7744">
      <w:pPr>
        <w:spacing w:line="360" w:lineRule="auto"/>
        <w:contextualSpacing/>
        <w:jc w:val="left"/>
        <w:rPr>
          <w:rFonts w:hint="eastAsia" w:ascii="宋体" w:hAnsi="宋体" w:cs="宋体"/>
          <w:color w:val="000000"/>
          <w:szCs w:val="21"/>
          <w:highlight w:val="none"/>
        </w:rPr>
      </w:pPr>
    </w:p>
    <w:p w14:paraId="474CC48A">
      <w:pPr>
        <w:spacing w:line="360" w:lineRule="auto"/>
        <w:ind w:firstLine="1800" w:firstLineChars="750"/>
        <w:contextualSpacing/>
        <w:rPr>
          <w:rFonts w:hint="eastAsia"/>
          <w:color w:val="000000"/>
          <w:sz w:val="24"/>
          <w:szCs w:val="24"/>
          <w:highlight w:val="none"/>
        </w:rPr>
      </w:pPr>
      <w:r>
        <w:rPr>
          <w:rFonts w:hint="eastAsia" w:ascii="宋体" w:hAnsi="宋体" w:eastAsia="宋体" w:cs="Times New Roman"/>
          <w:color w:val="000000"/>
          <w:sz w:val="24"/>
          <w:szCs w:val="24"/>
          <w:highlight w:val="none"/>
        </w:rPr>
        <w:t>法定代表人（签字或者盖章</w:t>
      </w:r>
      <w:r>
        <w:rPr>
          <w:rFonts w:hint="eastAsia" w:ascii="宋体" w:hAnsi="宋体"/>
          <w:color w:val="000000"/>
          <w:sz w:val="24"/>
          <w:szCs w:val="24"/>
          <w:highlight w:val="none"/>
        </w:rPr>
        <w:t>或者电子签名</w:t>
      </w:r>
      <w:r>
        <w:rPr>
          <w:rFonts w:hint="eastAsia"/>
          <w:color w:val="000000"/>
          <w:sz w:val="24"/>
          <w:szCs w:val="24"/>
          <w:highlight w:val="none"/>
        </w:rPr>
        <w:t>）：</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 xml:space="preserve">      </w:t>
      </w:r>
      <w:r>
        <w:rPr>
          <w:rFonts w:hint="eastAsia"/>
          <w:color w:val="000000"/>
          <w:sz w:val="24"/>
          <w:szCs w:val="24"/>
          <w:highlight w:val="none"/>
          <w:u w:val="single"/>
        </w:rPr>
        <w:t xml:space="preserve">        </w:t>
      </w:r>
      <w:r>
        <w:rPr>
          <w:rFonts w:hint="eastAsia"/>
          <w:color w:val="000000"/>
          <w:sz w:val="24"/>
          <w:szCs w:val="24"/>
          <w:highlight w:val="none"/>
        </w:rPr>
        <w:t xml:space="preserve">                                     </w:t>
      </w:r>
    </w:p>
    <w:p w14:paraId="641ED3BC">
      <w:pPr>
        <w:spacing w:line="360" w:lineRule="auto"/>
        <w:ind w:firstLine="4320" w:firstLineChars="1800"/>
        <w:contextualSpacing/>
        <w:rPr>
          <w:rFonts w:hint="eastAsia" w:ascii="宋体" w:hAnsi="宋体" w:cs="宋体"/>
          <w:color w:val="000000"/>
          <w:sz w:val="24"/>
          <w:szCs w:val="24"/>
          <w:highlight w:val="none"/>
          <w:u w:val="single"/>
        </w:rPr>
      </w:pPr>
      <w:r>
        <w:rPr>
          <w:rFonts w:hint="eastAsia" w:ascii="宋体" w:hAnsi="宋体" w:eastAsia="宋体" w:cs="Times New Roman"/>
          <w:color w:val="000000"/>
          <w:sz w:val="24"/>
          <w:szCs w:val="24"/>
          <w:highlight w:val="none"/>
        </w:rPr>
        <w:t>供应商（电子签章）</w:t>
      </w:r>
      <w:r>
        <w:rPr>
          <w:rFonts w:hint="eastAsia"/>
          <w:color w:val="000000"/>
          <w:sz w:val="24"/>
          <w:szCs w:val="24"/>
          <w:highlight w:val="none"/>
        </w:rPr>
        <w:t>：</w:t>
      </w:r>
      <w:r>
        <w:rPr>
          <w:rFonts w:hint="eastAsia"/>
          <w:color w:val="000000"/>
          <w:sz w:val="24"/>
          <w:szCs w:val="24"/>
          <w:highlight w:val="none"/>
          <w:u w:val="single"/>
        </w:rPr>
        <w:t xml:space="preserve">                    </w:t>
      </w:r>
      <w:r>
        <w:rPr>
          <w:rFonts w:hint="eastAsia"/>
          <w:color w:val="000000"/>
          <w:sz w:val="24"/>
          <w:szCs w:val="24"/>
          <w:highlight w:val="none"/>
        </w:rPr>
        <w:t xml:space="preserve">       </w:t>
      </w:r>
      <w:r>
        <w:rPr>
          <w:rFonts w:hint="eastAsia" w:ascii="宋体" w:hAnsi="宋体" w:cs="宋体"/>
          <w:color w:val="000000"/>
          <w:sz w:val="24"/>
          <w:szCs w:val="24"/>
          <w:highlight w:val="none"/>
        </w:rPr>
        <w:t xml:space="preserve">    </w:t>
      </w:r>
    </w:p>
    <w:p w14:paraId="0DD5B601">
      <w:pPr>
        <w:pStyle w:val="12"/>
        <w:tabs>
          <w:tab w:val="left" w:pos="939"/>
        </w:tabs>
        <w:spacing w:line="360" w:lineRule="auto"/>
        <w:ind w:left="0" w:leftChars="0" w:firstLine="480" w:firstLineChars="200"/>
        <w:rPr>
          <w:rFonts w:hint="eastAsia"/>
          <w:color w:val="000000"/>
          <w:sz w:val="24"/>
          <w:szCs w:val="24"/>
          <w:highlight w:val="none"/>
        </w:rPr>
      </w:pPr>
      <w:r>
        <w:rPr>
          <w:rFonts w:hint="eastAsia" w:ascii="宋体" w:hAnsi="宋体" w:cs="宋体"/>
          <w:color w:val="000000"/>
          <w:sz w:val="24"/>
          <w:szCs w:val="24"/>
          <w:highlight w:val="none"/>
        </w:rPr>
        <w:t xml:space="preserve">                                                        </w:t>
      </w:r>
      <w:r>
        <w:rPr>
          <w:rFonts w:hint="eastAsia"/>
          <w:color w:val="000000"/>
          <w:sz w:val="24"/>
          <w:szCs w:val="24"/>
          <w:highlight w:val="none"/>
        </w:rPr>
        <w:t xml:space="preserve"> 年    月    日</w:t>
      </w:r>
    </w:p>
    <w:p w14:paraId="5E6603D3">
      <w:pPr>
        <w:spacing w:line="320" w:lineRule="exact"/>
        <w:jc w:val="left"/>
        <w:rPr>
          <w:rFonts w:hint="eastAsia" w:ascii="宋体" w:hAnsi="宋体"/>
          <w:color w:val="000000"/>
          <w:szCs w:val="21"/>
          <w:highlight w:val="none"/>
        </w:rPr>
      </w:pPr>
    </w:p>
    <w:p w14:paraId="2F552986">
      <w:pPr>
        <w:spacing w:line="320" w:lineRule="exact"/>
        <w:jc w:val="center"/>
        <w:rPr>
          <w:rFonts w:hint="eastAsia" w:ascii="宋体" w:hAnsi="宋体"/>
          <w:b/>
          <w:color w:val="000000"/>
          <w:sz w:val="32"/>
          <w:szCs w:val="32"/>
          <w:highlight w:val="none"/>
        </w:rPr>
      </w:pPr>
    </w:p>
    <w:p w14:paraId="6185CB07">
      <w:pPr>
        <w:spacing w:line="320" w:lineRule="exact"/>
        <w:jc w:val="center"/>
        <w:rPr>
          <w:rFonts w:hint="eastAsia" w:ascii="宋体" w:hAnsi="宋体"/>
          <w:b/>
          <w:color w:val="000000"/>
          <w:sz w:val="32"/>
          <w:szCs w:val="32"/>
          <w:highlight w:val="none"/>
        </w:rPr>
      </w:pPr>
    </w:p>
    <w:p w14:paraId="22C8C599">
      <w:pPr>
        <w:spacing w:line="320" w:lineRule="exact"/>
        <w:jc w:val="center"/>
        <w:rPr>
          <w:rFonts w:hint="eastAsia" w:ascii="宋体" w:hAnsi="宋体"/>
          <w:b/>
          <w:color w:val="000000"/>
          <w:sz w:val="32"/>
          <w:szCs w:val="32"/>
          <w:highlight w:val="none"/>
        </w:rPr>
      </w:pPr>
    </w:p>
    <w:p w14:paraId="722BC0AF">
      <w:pPr>
        <w:spacing w:line="320" w:lineRule="exact"/>
        <w:jc w:val="center"/>
        <w:rPr>
          <w:rFonts w:hint="eastAsia" w:ascii="宋体" w:hAnsi="宋体"/>
          <w:b/>
          <w:color w:val="000000"/>
          <w:sz w:val="32"/>
          <w:szCs w:val="32"/>
          <w:highlight w:val="none"/>
        </w:rPr>
      </w:pPr>
    </w:p>
    <w:p w14:paraId="55CFC572">
      <w:pPr>
        <w:spacing w:line="320" w:lineRule="exact"/>
        <w:jc w:val="center"/>
        <w:rPr>
          <w:rFonts w:hint="eastAsia" w:ascii="宋体" w:hAnsi="宋体"/>
          <w:b/>
          <w:color w:val="000000"/>
          <w:sz w:val="32"/>
          <w:szCs w:val="32"/>
          <w:highlight w:val="none"/>
        </w:rPr>
      </w:pPr>
    </w:p>
    <w:p w14:paraId="4B56E7EA">
      <w:pPr>
        <w:spacing w:line="320" w:lineRule="exact"/>
        <w:jc w:val="center"/>
        <w:rPr>
          <w:rFonts w:hint="eastAsia" w:ascii="宋体" w:hAnsi="宋体"/>
          <w:b/>
          <w:color w:val="000000"/>
          <w:sz w:val="32"/>
          <w:szCs w:val="32"/>
          <w:highlight w:val="none"/>
        </w:rPr>
      </w:pPr>
    </w:p>
    <w:p w14:paraId="1A0CBCBD">
      <w:pPr>
        <w:spacing w:line="320" w:lineRule="exact"/>
        <w:jc w:val="center"/>
        <w:rPr>
          <w:rFonts w:hint="eastAsia" w:ascii="宋体" w:hAnsi="宋体"/>
          <w:b/>
          <w:color w:val="000000"/>
          <w:sz w:val="32"/>
          <w:szCs w:val="32"/>
          <w:highlight w:val="none"/>
        </w:rPr>
      </w:pPr>
    </w:p>
    <w:p w14:paraId="671C8777">
      <w:pPr>
        <w:spacing w:line="320" w:lineRule="exact"/>
        <w:jc w:val="center"/>
        <w:rPr>
          <w:rFonts w:hint="eastAsia" w:ascii="宋体" w:hAnsi="宋体"/>
          <w:b/>
          <w:color w:val="000000"/>
          <w:sz w:val="32"/>
          <w:szCs w:val="32"/>
          <w:highlight w:val="none"/>
        </w:rPr>
      </w:pPr>
    </w:p>
    <w:p w14:paraId="3C4A79EE">
      <w:pPr>
        <w:spacing w:line="320" w:lineRule="exact"/>
        <w:jc w:val="center"/>
        <w:rPr>
          <w:rFonts w:hint="eastAsia" w:ascii="宋体" w:hAnsi="宋体"/>
          <w:b/>
          <w:color w:val="000000"/>
          <w:sz w:val="32"/>
          <w:szCs w:val="32"/>
          <w:highlight w:val="none"/>
        </w:rPr>
      </w:pPr>
    </w:p>
    <w:p w14:paraId="0C7F13E0">
      <w:pPr>
        <w:spacing w:line="320" w:lineRule="exact"/>
        <w:jc w:val="center"/>
        <w:rPr>
          <w:rFonts w:hint="eastAsia" w:ascii="宋体" w:hAnsi="宋体"/>
          <w:b/>
          <w:color w:val="000000"/>
          <w:sz w:val="32"/>
          <w:szCs w:val="32"/>
          <w:highlight w:val="none"/>
        </w:rPr>
      </w:pPr>
    </w:p>
    <w:p w14:paraId="4D4ED6EB">
      <w:pPr>
        <w:spacing w:line="320" w:lineRule="exact"/>
        <w:jc w:val="center"/>
        <w:rPr>
          <w:rFonts w:hint="eastAsia" w:ascii="宋体" w:hAnsi="宋体"/>
          <w:b/>
          <w:color w:val="000000"/>
          <w:sz w:val="32"/>
          <w:szCs w:val="32"/>
          <w:highlight w:val="none"/>
        </w:rPr>
      </w:pPr>
    </w:p>
    <w:p w14:paraId="157A0ABB">
      <w:pPr>
        <w:spacing w:line="320" w:lineRule="exact"/>
        <w:jc w:val="center"/>
        <w:rPr>
          <w:rFonts w:hint="eastAsia" w:ascii="宋体" w:hAnsi="宋体"/>
          <w:b/>
          <w:color w:val="000000"/>
          <w:sz w:val="32"/>
          <w:szCs w:val="32"/>
          <w:highlight w:val="none"/>
        </w:rPr>
      </w:pPr>
    </w:p>
    <w:p w14:paraId="0A144F50">
      <w:pPr>
        <w:spacing w:line="320" w:lineRule="exact"/>
        <w:jc w:val="center"/>
        <w:rPr>
          <w:rFonts w:hint="eastAsia" w:ascii="宋体" w:hAnsi="宋体"/>
          <w:b/>
          <w:color w:val="000000"/>
          <w:sz w:val="32"/>
          <w:szCs w:val="32"/>
          <w:highlight w:val="none"/>
        </w:rPr>
      </w:pPr>
    </w:p>
    <w:p w14:paraId="31AB9D49">
      <w:pPr>
        <w:spacing w:line="320" w:lineRule="exact"/>
        <w:jc w:val="center"/>
        <w:rPr>
          <w:rFonts w:hint="eastAsia" w:ascii="宋体" w:hAnsi="宋体"/>
          <w:b/>
          <w:color w:val="000000"/>
          <w:sz w:val="32"/>
          <w:szCs w:val="32"/>
          <w:highlight w:val="none"/>
        </w:rPr>
      </w:pPr>
    </w:p>
    <w:p w14:paraId="0467D081">
      <w:pPr>
        <w:spacing w:line="320" w:lineRule="exact"/>
        <w:jc w:val="center"/>
        <w:rPr>
          <w:rFonts w:hint="eastAsia" w:ascii="宋体" w:hAnsi="宋体"/>
          <w:b/>
          <w:color w:val="000000"/>
          <w:sz w:val="32"/>
          <w:szCs w:val="32"/>
          <w:highlight w:val="none"/>
        </w:rPr>
      </w:pPr>
    </w:p>
    <w:p w14:paraId="1396E0F5">
      <w:pPr>
        <w:spacing w:line="320" w:lineRule="exact"/>
        <w:jc w:val="center"/>
        <w:rPr>
          <w:rFonts w:hint="eastAsia" w:ascii="宋体" w:hAnsi="宋体"/>
          <w:b/>
          <w:color w:val="000000"/>
          <w:sz w:val="32"/>
          <w:szCs w:val="32"/>
          <w:highlight w:val="none"/>
        </w:rPr>
      </w:pPr>
    </w:p>
    <w:p w14:paraId="643053E6">
      <w:pPr>
        <w:spacing w:line="320" w:lineRule="exact"/>
        <w:jc w:val="center"/>
        <w:rPr>
          <w:rFonts w:hint="eastAsia" w:ascii="宋体" w:hAnsi="宋体"/>
          <w:b/>
          <w:color w:val="000000"/>
          <w:sz w:val="32"/>
          <w:szCs w:val="32"/>
          <w:highlight w:val="none"/>
        </w:rPr>
      </w:pPr>
    </w:p>
    <w:p w14:paraId="3D833796">
      <w:pPr>
        <w:spacing w:line="320" w:lineRule="exact"/>
        <w:jc w:val="center"/>
        <w:rPr>
          <w:rFonts w:hint="eastAsia" w:ascii="宋体" w:hAnsi="宋体"/>
          <w:b/>
          <w:color w:val="000000"/>
          <w:sz w:val="32"/>
          <w:szCs w:val="32"/>
          <w:highlight w:val="none"/>
        </w:rPr>
      </w:pPr>
    </w:p>
    <w:p w14:paraId="5F6C796D">
      <w:pPr>
        <w:spacing w:line="320" w:lineRule="exact"/>
        <w:jc w:val="center"/>
        <w:rPr>
          <w:rFonts w:hint="eastAsia" w:ascii="宋体" w:hAnsi="宋体"/>
          <w:b/>
          <w:color w:val="000000"/>
          <w:sz w:val="32"/>
          <w:szCs w:val="32"/>
          <w:highlight w:val="none"/>
        </w:rPr>
      </w:pPr>
    </w:p>
    <w:p w14:paraId="7A7198E1">
      <w:pPr>
        <w:spacing w:line="320" w:lineRule="exact"/>
        <w:jc w:val="center"/>
        <w:rPr>
          <w:rFonts w:hint="eastAsia" w:ascii="宋体" w:hAnsi="宋体"/>
          <w:b/>
          <w:color w:val="000000"/>
          <w:sz w:val="32"/>
          <w:szCs w:val="32"/>
          <w:highlight w:val="none"/>
        </w:rPr>
      </w:pPr>
    </w:p>
    <w:p w14:paraId="29FC14AE">
      <w:pPr>
        <w:spacing w:line="320" w:lineRule="exact"/>
        <w:jc w:val="center"/>
        <w:rPr>
          <w:rFonts w:hint="eastAsia" w:ascii="宋体" w:hAnsi="宋体"/>
          <w:b/>
          <w:color w:val="000000"/>
          <w:sz w:val="32"/>
          <w:szCs w:val="32"/>
          <w:highlight w:val="none"/>
        </w:rPr>
      </w:pPr>
    </w:p>
    <w:p w14:paraId="00BBB961">
      <w:pPr>
        <w:spacing w:line="320" w:lineRule="exact"/>
        <w:jc w:val="center"/>
        <w:rPr>
          <w:rFonts w:hint="eastAsia" w:ascii="宋体" w:hAnsi="宋体"/>
          <w:b/>
          <w:color w:val="000000"/>
          <w:sz w:val="32"/>
          <w:szCs w:val="32"/>
          <w:highlight w:val="none"/>
        </w:rPr>
      </w:pPr>
    </w:p>
    <w:p w14:paraId="42B8299D">
      <w:pPr>
        <w:spacing w:line="320" w:lineRule="exact"/>
        <w:jc w:val="center"/>
        <w:rPr>
          <w:rFonts w:hint="eastAsia" w:ascii="宋体" w:hAnsi="宋体"/>
          <w:b/>
          <w:color w:val="000000"/>
          <w:sz w:val="32"/>
          <w:szCs w:val="32"/>
          <w:highlight w:val="none"/>
        </w:rPr>
      </w:pPr>
    </w:p>
    <w:p w14:paraId="5269BE70">
      <w:pPr>
        <w:spacing w:line="320" w:lineRule="exact"/>
        <w:jc w:val="center"/>
        <w:rPr>
          <w:rFonts w:hint="eastAsia" w:ascii="宋体" w:hAnsi="宋体"/>
          <w:b/>
          <w:color w:val="000000"/>
          <w:sz w:val="32"/>
          <w:szCs w:val="32"/>
          <w:highlight w:val="none"/>
        </w:rPr>
      </w:pPr>
    </w:p>
    <w:p w14:paraId="51959F75">
      <w:pPr>
        <w:spacing w:line="320" w:lineRule="exact"/>
        <w:jc w:val="center"/>
        <w:rPr>
          <w:rFonts w:hint="eastAsia" w:ascii="宋体" w:hAnsi="宋体"/>
          <w:b/>
          <w:color w:val="000000"/>
          <w:sz w:val="32"/>
          <w:szCs w:val="32"/>
          <w:highlight w:val="none"/>
        </w:rPr>
      </w:pPr>
    </w:p>
    <w:p w14:paraId="3B8EE233">
      <w:pPr>
        <w:spacing w:line="320" w:lineRule="exact"/>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供应商直接控股、管理关系信息表</w:t>
      </w:r>
      <w:r>
        <w:rPr>
          <w:rFonts w:hint="eastAsia" w:ascii="宋体" w:hAnsi="宋体"/>
          <w:b/>
          <w:color w:val="000000"/>
          <w:sz w:val="32"/>
          <w:szCs w:val="32"/>
          <w:highlight w:val="none"/>
          <w:lang w:eastAsia="zh-CN"/>
        </w:rPr>
        <w:t>（格式）</w:t>
      </w:r>
    </w:p>
    <w:p w14:paraId="5303AFE4">
      <w:pPr>
        <w:spacing w:line="360" w:lineRule="auto"/>
        <w:contextualSpacing/>
        <w:jc w:val="center"/>
        <w:rPr>
          <w:rFonts w:hint="eastAsia" w:ascii="宋体" w:hAnsi="宋体"/>
          <w:b/>
          <w:color w:val="000000"/>
          <w:sz w:val="32"/>
          <w:szCs w:val="32"/>
          <w:highlight w:val="none"/>
        </w:rPr>
      </w:pPr>
    </w:p>
    <w:p w14:paraId="3663479F">
      <w:pPr>
        <w:spacing w:line="360" w:lineRule="auto"/>
        <w:contextualSpacing/>
        <w:jc w:val="center"/>
        <w:rPr>
          <w:rFonts w:hint="eastAsia" w:ascii="宋体" w:hAnsi="宋体"/>
          <w:b/>
          <w:color w:val="000000"/>
          <w:sz w:val="32"/>
          <w:szCs w:val="32"/>
          <w:highlight w:val="none"/>
        </w:rPr>
      </w:pPr>
      <w:r>
        <w:rPr>
          <w:rFonts w:hint="eastAsia" w:ascii="宋体" w:hAnsi="宋体"/>
          <w:b/>
          <w:color w:val="000000"/>
          <w:sz w:val="32"/>
          <w:szCs w:val="32"/>
          <w:highlight w:val="none"/>
        </w:rPr>
        <w:t>供应商直接控股股东信息表</w:t>
      </w:r>
      <w:r>
        <w:rPr>
          <w:rFonts w:hint="eastAsia" w:ascii="宋体" w:hAnsi="宋体"/>
          <w:b/>
          <w:color w:val="000000"/>
          <w:sz w:val="32"/>
          <w:szCs w:val="32"/>
          <w:highlight w:val="none"/>
          <w:lang w:eastAsia="zh-CN"/>
        </w:rPr>
        <w:t>（格式）</w:t>
      </w:r>
    </w:p>
    <w:p w14:paraId="07E09C06">
      <w:pPr>
        <w:spacing w:line="360" w:lineRule="auto"/>
        <w:contextualSpacing/>
        <w:jc w:val="center"/>
        <w:rPr>
          <w:rFonts w:hint="eastAsia" w:ascii="宋体" w:hAnsi="宋体"/>
          <w:b/>
          <w:color w:val="00000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E78802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CAC83A">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CAF1EC">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BC166C">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6A2EF6">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E1B7C0">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3F601C5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EE622C">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F92850">
            <w:pPr>
              <w:widowControl/>
              <w:spacing w:line="360" w:lineRule="auto"/>
              <w:contextualSpacing/>
              <w:jc w:val="center"/>
              <w:rPr>
                <w:rFonts w:hint="eastAsia"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03B6EE">
            <w:pPr>
              <w:widowControl/>
              <w:spacing w:line="360" w:lineRule="auto"/>
              <w:contextualSpacing/>
              <w:jc w:val="center"/>
              <w:rPr>
                <w:rFonts w:hint="eastAsia"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22D97D">
            <w:pPr>
              <w:widowControl/>
              <w:spacing w:line="360" w:lineRule="auto"/>
              <w:contextualSpacing/>
              <w:jc w:val="center"/>
              <w:rPr>
                <w:rFonts w:hint="eastAsia"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9BCE9A">
            <w:pPr>
              <w:widowControl/>
              <w:spacing w:line="360" w:lineRule="auto"/>
              <w:contextualSpacing/>
              <w:jc w:val="center"/>
              <w:rPr>
                <w:rFonts w:hint="eastAsia" w:ascii="宋体" w:hAnsi="宋体" w:cs="宋体"/>
                <w:color w:val="000000"/>
                <w:kern w:val="0"/>
                <w:sz w:val="24"/>
                <w:highlight w:val="none"/>
              </w:rPr>
            </w:pPr>
          </w:p>
        </w:tc>
      </w:tr>
      <w:tr w14:paraId="08CA763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F19053">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3D923B">
            <w:pPr>
              <w:widowControl/>
              <w:spacing w:line="360" w:lineRule="auto"/>
              <w:contextualSpacing/>
              <w:jc w:val="center"/>
              <w:rPr>
                <w:rFonts w:hint="eastAsia"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F9E9E">
            <w:pPr>
              <w:widowControl/>
              <w:spacing w:line="360" w:lineRule="auto"/>
              <w:contextualSpacing/>
              <w:jc w:val="center"/>
              <w:rPr>
                <w:rFonts w:hint="eastAsia"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1BA993">
            <w:pPr>
              <w:widowControl/>
              <w:spacing w:line="360" w:lineRule="auto"/>
              <w:contextualSpacing/>
              <w:jc w:val="center"/>
              <w:rPr>
                <w:rFonts w:hint="eastAsia"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DD116E">
            <w:pPr>
              <w:widowControl/>
              <w:spacing w:line="360" w:lineRule="auto"/>
              <w:contextualSpacing/>
              <w:jc w:val="center"/>
              <w:rPr>
                <w:rFonts w:hint="eastAsia" w:ascii="宋体" w:hAnsi="宋体" w:cs="宋体"/>
                <w:color w:val="000000"/>
                <w:kern w:val="0"/>
                <w:sz w:val="24"/>
                <w:highlight w:val="none"/>
              </w:rPr>
            </w:pPr>
          </w:p>
        </w:tc>
      </w:tr>
      <w:tr w14:paraId="1071E1F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28FF1A">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67C3E4">
            <w:pPr>
              <w:widowControl/>
              <w:spacing w:line="360" w:lineRule="auto"/>
              <w:contextualSpacing/>
              <w:jc w:val="center"/>
              <w:rPr>
                <w:rFonts w:hint="eastAsia"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7FA68C">
            <w:pPr>
              <w:widowControl/>
              <w:spacing w:line="360" w:lineRule="auto"/>
              <w:contextualSpacing/>
              <w:jc w:val="center"/>
              <w:rPr>
                <w:rFonts w:hint="eastAsia"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B2497A">
            <w:pPr>
              <w:widowControl/>
              <w:spacing w:line="360" w:lineRule="auto"/>
              <w:contextualSpacing/>
              <w:jc w:val="center"/>
              <w:rPr>
                <w:rFonts w:hint="eastAsia"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5DB0A4">
            <w:pPr>
              <w:widowControl/>
              <w:spacing w:line="360" w:lineRule="auto"/>
              <w:contextualSpacing/>
              <w:jc w:val="center"/>
              <w:rPr>
                <w:rFonts w:hint="eastAsia" w:ascii="宋体" w:hAnsi="宋体" w:cs="宋体"/>
                <w:color w:val="000000"/>
                <w:kern w:val="0"/>
                <w:sz w:val="24"/>
                <w:highlight w:val="none"/>
              </w:rPr>
            </w:pPr>
          </w:p>
        </w:tc>
      </w:tr>
      <w:tr w14:paraId="67628BD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63189D">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6821F2">
            <w:pPr>
              <w:widowControl/>
              <w:spacing w:line="360" w:lineRule="auto"/>
              <w:contextualSpacing/>
              <w:jc w:val="center"/>
              <w:rPr>
                <w:rFonts w:hint="eastAsia"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322C05">
            <w:pPr>
              <w:widowControl/>
              <w:spacing w:line="360" w:lineRule="auto"/>
              <w:contextualSpacing/>
              <w:jc w:val="center"/>
              <w:rPr>
                <w:rFonts w:hint="eastAsia"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CA7E1B">
            <w:pPr>
              <w:widowControl/>
              <w:spacing w:line="360" w:lineRule="auto"/>
              <w:contextualSpacing/>
              <w:jc w:val="center"/>
              <w:rPr>
                <w:rFonts w:hint="eastAsia"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CF1902">
            <w:pPr>
              <w:widowControl/>
              <w:spacing w:line="360" w:lineRule="auto"/>
              <w:contextualSpacing/>
              <w:jc w:val="center"/>
              <w:rPr>
                <w:rFonts w:hint="eastAsia" w:ascii="宋体" w:hAnsi="宋体" w:cs="宋体"/>
                <w:color w:val="000000"/>
                <w:kern w:val="0"/>
                <w:sz w:val="24"/>
                <w:highlight w:val="none"/>
              </w:rPr>
            </w:pPr>
          </w:p>
        </w:tc>
      </w:tr>
    </w:tbl>
    <w:p w14:paraId="20FFFBD4">
      <w:pPr>
        <w:spacing w:line="360" w:lineRule="auto"/>
        <w:contextualSpacing/>
        <w:jc w:val="left"/>
        <w:rPr>
          <w:rFonts w:hint="eastAsia" w:ascii="宋体" w:hAnsi="宋体" w:cs="宋体"/>
          <w:color w:val="000000"/>
          <w:sz w:val="24"/>
          <w:highlight w:val="none"/>
        </w:rPr>
      </w:pPr>
      <w:r>
        <w:rPr>
          <w:rFonts w:hint="eastAsia" w:ascii="宋体" w:hAnsi="宋体" w:cs="宋体"/>
          <w:color w:val="000000"/>
          <w:sz w:val="24"/>
          <w:highlight w:val="none"/>
        </w:rPr>
        <w:t>注：</w:t>
      </w:r>
    </w:p>
    <w:p w14:paraId="42BD37F8">
      <w:pPr>
        <w:spacing w:line="360" w:lineRule="auto"/>
        <w:ind w:firstLine="480" w:firstLineChars="200"/>
        <w:contextualSpacing/>
        <w:jc w:val="left"/>
        <w:rPr>
          <w:rFonts w:hint="eastAsia" w:ascii="宋体" w:hAnsi="宋体" w:cs="宋体"/>
          <w:color w:val="000000"/>
          <w:sz w:val="24"/>
          <w:highlight w:val="none"/>
        </w:rPr>
      </w:pPr>
      <w:r>
        <w:rPr>
          <w:rFonts w:hint="eastAsia" w:ascii="宋体" w:hAnsi="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8B74779">
      <w:pPr>
        <w:spacing w:line="360" w:lineRule="auto"/>
        <w:ind w:firstLine="480" w:firstLineChars="200"/>
        <w:contextualSpacing/>
        <w:jc w:val="left"/>
        <w:rPr>
          <w:rFonts w:hint="eastAsia" w:ascii="宋体" w:hAnsi="宋体" w:cs="宋体"/>
          <w:color w:val="000000"/>
          <w:sz w:val="24"/>
          <w:highlight w:val="none"/>
        </w:rPr>
      </w:pPr>
      <w:r>
        <w:rPr>
          <w:rFonts w:hint="eastAsia" w:ascii="宋体" w:hAnsi="宋体" w:cs="宋体"/>
          <w:color w:val="000000"/>
          <w:sz w:val="24"/>
          <w:highlight w:val="none"/>
        </w:rPr>
        <w:t>2.本表所指的控股关系仅限于直接控股关系，不包括间接的控股关系。公司实际控制人与公司之间的关系不属于本表所指的直接控股关系。</w:t>
      </w:r>
    </w:p>
    <w:p w14:paraId="23422730">
      <w:pPr>
        <w:spacing w:line="360" w:lineRule="auto"/>
        <w:ind w:firstLine="480" w:firstLineChars="200"/>
        <w:contextualSpacing/>
        <w:jc w:val="left"/>
        <w:rPr>
          <w:rFonts w:ascii="宋体" w:hAnsi="宋体" w:cs="宋体"/>
          <w:color w:val="000000"/>
          <w:sz w:val="24"/>
          <w:highlight w:val="none"/>
        </w:rPr>
      </w:pPr>
      <w:r>
        <w:rPr>
          <w:rFonts w:hint="eastAsia" w:ascii="宋体" w:hAnsi="宋体" w:cs="宋体"/>
          <w:color w:val="000000"/>
          <w:sz w:val="24"/>
          <w:highlight w:val="none"/>
        </w:rPr>
        <w:t>3.供应商不存在直接控股股东的，</w:t>
      </w:r>
      <w:r>
        <w:rPr>
          <w:rFonts w:hint="eastAsia" w:ascii="宋体" w:hAnsi="宋体"/>
          <w:color w:val="000000"/>
          <w:sz w:val="24"/>
          <w:highlight w:val="none"/>
        </w:rPr>
        <w:t>则在“直接控股股东名称”填“无”</w:t>
      </w:r>
      <w:r>
        <w:rPr>
          <w:rFonts w:hint="eastAsia" w:ascii="宋体" w:hAnsi="宋体" w:cs="宋体"/>
          <w:color w:val="000000"/>
          <w:sz w:val="24"/>
          <w:highlight w:val="none"/>
        </w:rPr>
        <w:t>。</w:t>
      </w:r>
    </w:p>
    <w:p w14:paraId="0A84CC08">
      <w:pPr>
        <w:spacing w:line="360" w:lineRule="auto"/>
        <w:ind w:firstLine="420" w:firstLineChars="200"/>
        <w:contextualSpacing/>
        <w:jc w:val="left"/>
        <w:rPr>
          <w:rFonts w:ascii="宋体" w:hAnsi="宋体" w:cs="宋体"/>
          <w:color w:val="000000"/>
          <w:szCs w:val="21"/>
          <w:highlight w:val="none"/>
        </w:rPr>
      </w:pPr>
    </w:p>
    <w:p w14:paraId="525BB548">
      <w:pPr>
        <w:spacing w:line="360" w:lineRule="auto"/>
        <w:ind w:firstLine="560" w:firstLineChars="200"/>
        <w:contextualSpacing/>
        <w:jc w:val="left"/>
        <w:rPr>
          <w:rFonts w:hint="eastAsia" w:ascii="宋体" w:hAnsi="宋体" w:cs="宋体"/>
          <w:color w:val="000000"/>
          <w:sz w:val="28"/>
          <w:szCs w:val="28"/>
          <w:highlight w:val="none"/>
        </w:rPr>
      </w:pPr>
    </w:p>
    <w:p w14:paraId="1BEC0BFD">
      <w:pPr>
        <w:spacing w:line="360" w:lineRule="auto"/>
        <w:ind w:right="480"/>
        <w:contextualSpacing/>
        <w:jc w:val="center"/>
        <w:rPr>
          <w:rFonts w:hint="eastAsia" w:ascii="宋体" w:hAnsi="宋体" w:cs="宋体"/>
          <w:color w:val="000000"/>
          <w:sz w:val="24"/>
          <w:szCs w:val="24"/>
          <w:highlight w:val="none"/>
          <w:u w:val="single"/>
        </w:rPr>
      </w:pP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法定代表人或者委托代理人</w:t>
      </w:r>
      <w:r>
        <w:rPr>
          <w:rFonts w:hint="eastAsia" w:ascii="宋体" w:hAnsi="宋体"/>
          <w:color w:val="000000"/>
          <w:sz w:val="24"/>
          <w:szCs w:val="24"/>
          <w:highlight w:val="none"/>
        </w:rPr>
        <w:t>（签字或者电子签名）</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ascii="宋体" w:hAnsi="宋体" w:cs="宋体"/>
          <w:color w:val="000000"/>
          <w:sz w:val="24"/>
          <w:szCs w:val="24"/>
          <w:highlight w:val="none"/>
          <w:u w:val="single"/>
        </w:rPr>
        <w:t xml:space="preserve">                   </w:t>
      </w:r>
    </w:p>
    <w:p w14:paraId="3326F371">
      <w:pPr>
        <w:spacing w:line="360" w:lineRule="auto"/>
        <w:ind w:right="480" w:firstLine="3000" w:firstLineChars="1250"/>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供应商</w:t>
      </w:r>
      <w:r>
        <w:rPr>
          <w:rFonts w:hint="eastAsia" w:ascii="宋体" w:hAnsi="宋体"/>
          <w:color w:val="000000"/>
          <w:sz w:val="24"/>
          <w:szCs w:val="24"/>
          <w:highlight w:val="none"/>
        </w:rPr>
        <w:t>（电子签章）</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p>
    <w:p w14:paraId="0AE9FBB9">
      <w:pPr>
        <w:spacing w:line="360" w:lineRule="auto"/>
        <w:ind w:firstLine="480" w:firstLineChars="200"/>
        <w:contextualSpacing/>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年    月    日</w:t>
      </w:r>
    </w:p>
    <w:p w14:paraId="0C2EA4E4">
      <w:pPr>
        <w:snapToGrid w:val="0"/>
        <w:jc w:val="center"/>
        <w:rPr>
          <w:rFonts w:hint="eastAsia" w:ascii="宋体" w:hAnsi="宋体"/>
          <w:b/>
          <w:color w:val="000000"/>
          <w:sz w:val="28"/>
          <w:szCs w:val="28"/>
          <w:highlight w:val="none"/>
        </w:rPr>
      </w:pPr>
      <w:r>
        <w:rPr>
          <w:rFonts w:ascii="宋体" w:hAnsi="宋体"/>
          <w:b/>
          <w:color w:val="000000"/>
          <w:sz w:val="28"/>
          <w:szCs w:val="28"/>
          <w:highlight w:val="none"/>
        </w:rPr>
        <w:br w:type="page"/>
      </w:r>
    </w:p>
    <w:p w14:paraId="0B586207">
      <w:pPr>
        <w:spacing w:line="32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供应商直接管理关系信息表</w:t>
      </w:r>
      <w:r>
        <w:rPr>
          <w:rFonts w:hint="eastAsia" w:ascii="宋体" w:hAnsi="宋体"/>
          <w:b/>
          <w:color w:val="000000"/>
          <w:sz w:val="32"/>
          <w:szCs w:val="32"/>
          <w:highlight w:val="none"/>
          <w:lang w:eastAsia="zh-CN"/>
        </w:rPr>
        <w:t>（格式）</w:t>
      </w:r>
    </w:p>
    <w:p w14:paraId="21E3D29E">
      <w:pPr>
        <w:snapToGrid w:val="0"/>
        <w:spacing w:line="360" w:lineRule="auto"/>
        <w:jc w:val="center"/>
        <w:rPr>
          <w:rFonts w:hint="eastAsia" w:ascii="宋体" w:hAnsi="宋体"/>
          <w:b/>
          <w:color w:val="00000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FF9A216">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118C72">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3BE258">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29F920">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2995C5">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相互关系</w:t>
            </w:r>
          </w:p>
        </w:tc>
      </w:tr>
      <w:tr w14:paraId="685C2CE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B38C0E">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3CFFF6">
            <w:pPr>
              <w:widowControl/>
              <w:spacing w:line="360" w:lineRule="auto"/>
              <w:contextualSpacing/>
              <w:jc w:val="center"/>
              <w:rPr>
                <w:rFonts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435FB9">
            <w:pPr>
              <w:widowControl/>
              <w:spacing w:line="360" w:lineRule="auto"/>
              <w:contextualSpacing/>
              <w:jc w:val="center"/>
              <w:rPr>
                <w:rFonts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751E4F">
            <w:pPr>
              <w:widowControl/>
              <w:spacing w:line="360" w:lineRule="auto"/>
              <w:contextualSpacing/>
              <w:jc w:val="center"/>
              <w:rPr>
                <w:rFonts w:ascii="宋体" w:hAnsi="宋体" w:cs="宋体"/>
                <w:color w:val="000000"/>
                <w:kern w:val="0"/>
                <w:sz w:val="24"/>
                <w:highlight w:val="none"/>
              </w:rPr>
            </w:pPr>
          </w:p>
        </w:tc>
      </w:tr>
      <w:tr w14:paraId="5B3B53A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E3220">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2193EE">
            <w:pPr>
              <w:widowControl/>
              <w:spacing w:line="360" w:lineRule="auto"/>
              <w:contextualSpacing/>
              <w:jc w:val="center"/>
              <w:rPr>
                <w:rFonts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3875D9">
            <w:pPr>
              <w:widowControl/>
              <w:spacing w:line="360" w:lineRule="auto"/>
              <w:contextualSpacing/>
              <w:jc w:val="center"/>
              <w:rPr>
                <w:rFonts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C30DA5">
            <w:pPr>
              <w:widowControl/>
              <w:spacing w:line="360" w:lineRule="auto"/>
              <w:contextualSpacing/>
              <w:jc w:val="center"/>
              <w:rPr>
                <w:rFonts w:ascii="宋体" w:hAnsi="宋体" w:cs="宋体"/>
                <w:color w:val="000000"/>
                <w:kern w:val="0"/>
                <w:sz w:val="24"/>
                <w:highlight w:val="none"/>
              </w:rPr>
            </w:pPr>
          </w:p>
        </w:tc>
      </w:tr>
      <w:tr w14:paraId="0D735B6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36FF04">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515A22">
            <w:pPr>
              <w:widowControl/>
              <w:spacing w:line="360" w:lineRule="auto"/>
              <w:contextualSpacing/>
              <w:jc w:val="center"/>
              <w:rPr>
                <w:rFonts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661C66">
            <w:pPr>
              <w:widowControl/>
              <w:spacing w:line="360" w:lineRule="auto"/>
              <w:contextualSpacing/>
              <w:jc w:val="center"/>
              <w:rPr>
                <w:rFonts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2EF97F">
            <w:pPr>
              <w:widowControl/>
              <w:spacing w:line="360" w:lineRule="auto"/>
              <w:contextualSpacing/>
              <w:jc w:val="center"/>
              <w:rPr>
                <w:rFonts w:ascii="宋体" w:hAnsi="宋体" w:cs="宋体"/>
                <w:color w:val="000000"/>
                <w:kern w:val="0"/>
                <w:sz w:val="24"/>
                <w:highlight w:val="none"/>
              </w:rPr>
            </w:pPr>
          </w:p>
        </w:tc>
      </w:tr>
      <w:tr w14:paraId="056E8C8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96A6F5">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9EAFB0">
            <w:pPr>
              <w:widowControl/>
              <w:spacing w:line="360" w:lineRule="auto"/>
              <w:contextualSpacing/>
              <w:jc w:val="center"/>
              <w:rPr>
                <w:rFonts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B0A56B">
            <w:pPr>
              <w:widowControl/>
              <w:spacing w:line="360" w:lineRule="auto"/>
              <w:contextualSpacing/>
              <w:jc w:val="center"/>
              <w:rPr>
                <w:rFonts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316A59">
            <w:pPr>
              <w:widowControl/>
              <w:spacing w:line="360" w:lineRule="auto"/>
              <w:contextualSpacing/>
              <w:jc w:val="center"/>
              <w:rPr>
                <w:rFonts w:ascii="宋体" w:hAnsi="宋体" w:cs="宋体"/>
                <w:color w:val="000000"/>
                <w:kern w:val="0"/>
                <w:sz w:val="24"/>
                <w:highlight w:val="none"/>
              </w:rPr>
            </w:pPr>
          </w:p>
        </w:tc>
      </w:tr>
    </w:tbl>
    <w:p w14:paraId="4E917B5C">
      <w:pPr>
        <w:spacing w:line="360" w:lineRule="auto"/>
        <w:contextualSpacing/>
        <w:jc w:val="left"/>
        <w:rPr>
          <w:rFonts w:hint="eastAsia" w:ascii="宋体" w:hAnsi="宋体"/>
          <w:color w:val="000000"/>
          <w:sz w:val="24"/>
          <w:highlight w:val="none"/>
        </w:rPr>
      </w:pPr>
      <w:r>
        <w:rPr>
          <w:rFonts w:hint="eastAsia" w:ascii="宋体" w:hAnsi="宋体"/>
          <w:color w:val="000000"/>
          <w:sz w:val="24"/>
          <w:highlight w:val="none"/>
        </w:rPr>
        <w:t>注：</w:t>
      </w:r>
    </w:p>
    <w:p w14:paraId="11B48113">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1.管理关系：是指不具有出资持股关系的其他单位之间存在的管理与被管理关系，如一些上下级关系的事业单位和团体组织。</w:t>
      </w:r>
    </w:p>
    <w:p w14:paraId="1760C651">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pacing w:val="-6"/>
          <w:sz w:val="24"/>
          <w:highlight w:val="none"/>
        </w:rPr>
        <w:t>本表所指的管理关系仅限于直接管理关系，不包括间接的管理关系。</w:t>
      </w:r>
    </w:p>
    <w:p w14:paraId="2E69307C">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3.供应商不存在直接管理关系的，则在“直接管理关系单位名称”填“无”。</w:t>
      </w:r>
    </w:p>
    <w:p w14:paraId="28D91948">
      <w:pPr>
        <w:spacing w:line="360" w:lineRule="auto"/>
        <w:contextualSpacing/>
        <w:jc w:val="left"/>
        <w:rPr>
          <w:rFonts w:hint="eastAsia" w:ascii="宋体" w:hAnsi="宋体"/>
          <w:color w:val="000000"/>
          <w:sz w:val="28"/>
          <w:szCs w:val="28"/>
          <w:highlight w:val="none"/>
        </w:rPr>
      </w:pPr>
    </w:p>
    <w:p w14:paraId="61D08EED">
      <w:pPr>
        <w:spacing w:line="360" w:lineRule="auto"/>
        <w:contextualSpacing/>
        <w:jc w:val="left"/>
        <w:rPr>
          <w:rFonts w:hint="eastAsia" w:ascii="宋体" w:hAnsi="宋体"/>
          <w:color w:val="000000"/>
          <w:sz w:val="28"/>
          <w:szCs w:val="28"/>
          <w:highlight w:val="none"/>
        </w:rPr>
      </w:pPr>
    </w:p>
    <w:p w14:paraId="13B4BE31">
      <w:pPr>
        <w:spacing w:line="360" w:lineRule="auto"/>
        <w:contextualSpacing/>
        <w:jc w:val="left"/>
        <w:rPr>
          <w:rFonts w:hint="eastAsia"/>
          <w:color w:val="000000"/>
          <w:sz w:val="28"/>
          <w:szCs w:val="28"/>
          <w:highlight w:val="none"/>
        </w:rPr>
      </w:pPr>
    </w:p>
    <w:p w14:paraId="5D034059">
      <w:pPr>
        <w:spacing w:line="360" w:lineRule="auto"/>
        <w:contextualSpacing/>
        <w:jc w:val="left"/>
        <w:rPr>
          <w:rFonts w:hint="eastAsia" w:ascii="宋体" w:hAnsi="宋体"/>
          <w:color w:val="000000"/>
          <w:sz w:val="28"/>
          <w:szCs w:val="28"/>
          <w:highlight w:val="none"/>
        </w:rPr>
      </w:pPr>
    </w:p>
    <w:p w14:paraId="08DD03AE">
      <w:pPr>
        <w:spacing w:line="360" w:lineRule="auto"/>
        <w:ind w:right="480"/>
        <w:contextualSpacing/>
        <w:jc w:val="center"/>
        <w:rPr>
          <w:rFonts w:hint="eastAsia" w:ascii="宋体" w:hAnsi="宋体"/>
          <w:color w:val="000000"/>
          <w:sz w:val="24"/>
          <w:szCs w:val="24"/>
          <w:highlight w:val="none"/>
          <w:u w:val="single"/>
        </w:rPr>
      </w:pPr>
      <w:r>
        <w:rPr>
          <w:rFonts w:hint="eastAsia" w:ascii="宋体" w:hAnsi="宋体"/>
          <w:color w:val="000000"/>
          <w:sz w:val="24"/>
          <w:highlight w:val="none"/>
        </w:rPr>
        <w:t xml:space="preserve"> </w:t>
      </w:r>
      <w:r>
        <w:rPr>
          <w:rFonts w:ascii="宋体" w:hAnsi="宋体"/>
          <w:color w:val="000000"/>
          <w:sz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法定代表人或者委托代理人（签字或者电子签名）：</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14:paraId="4BAC8D5B">
      <w:pPr>
        <w:spacing w:line="360" w:lineRule="auto"/>
        <w:ind w:right="480" w:firstLine="3360" w:firstLineChars="1400"/>
        <w:contextualSpacing/>
        <w:rPr>
          <w:rFonts w:hint="eastAsia" w:ascii="宋体" w:hAnsi="宋体"/>
          <w:color w:val="000000"/>
          <w:sz w:val="24"/>
          <w:szCs w:val="24"/>
          <w:highlight w:val="none"/>
        </w:rPr>
      </w:pPr>
      <w:r>
        <w:rPr>
          <w:rFonts w:hint="eastAsia" w:ascii="宋体" w:hAnsi="宋体"/>
          <w:color w:val="000000"/>
          <w:sz w:val="24"/>
          <w:szCs w:val="24"/>
          <w:highlight w:val="none"/>
        </w:rPr>
        <w:t>供应商（电子签章）：</w:t>
      </w:r>
      <w:r>
        <w:rPr>
          <w:rFonts w:hint="eastAsia" w:ascii="宋体" w:hAnsi="宋体"/>
          <w:color w:val="000000"/>
          <w:sz w:val="24"/>
          <w:szCs w:val="24"/>
          <w:highlight w:val="none"/>
          <w:u w:val="single"/>
        </w:rPr>
        <w:t xml:space="preserve">                </w:t>
      </w:r>
    </w:p>
    <w:p w14:paraId="49F6F101">
      <w:pPr>
        <w:spacing w:line="360" w:lineRule="auto"/>
        <w:ind w:firstLine="480" w:firstLineChars="200"/>
        <w:contextualSpacing/>
        <w:jc w:val="left"/>
        <w:rPr>
          <w:rFonts w:ascii="宋体" w:hAnsi="宋体"/>
          <w:color w:val="000000"/>
          <w:sz w:val="24"/>
          <w:szCs w:val="24"/>
          <w:highlight w:val="none"/>
        </w:rPr>
      </w:pPr>
      <w:r>
        <w:rPr>
          <w:rFonts w:hint="eastAsia" w:ascii="宋体" w:hAnsi="宋体"/>
          <w:color w:val="000000"/>
          <w:sz w:val="24"/>
          <w:szCs w:val="24"/>
          <w:highlight w:val="none"/>
        </w:rPr>
        <w:t xml:space="preserve">                                        年    月    日</w:t>
      </w:r>
    </w:p>
    <w:p w14:paraId="6348A7A6">
      <w:pPr>
        <w:pStyle w:val="12"/>
        <w:tabs>
          <w:tab w:val="left" w:pos="939"/>
        </w:tabs>
        <w:spacing w:line="360" w:lineRule="auto"/>
        <w:ind w:left="0" w:leftChars="0" w:firstLine="560" w:firstLineChars="200"/>
        <w:rPr>
          <w:rFonts w:ascii="宋体" w:hAnsi="宋体"/>
          <w:color w:val="000000"/>
          <w:sz w:val="28"/>
          <w:szCs w:val="28"/>
          <w:highlight w:val="none"/>
        </w:rPr>
      </w:pPr>
    </w:p>
    <w:p w14:paraId="67C88686">
      <w:pPr>
        <w:pStyle w:val="12"/>
        <w:tabs>
          <w:tab w:val="left" w:pos="939"/>
        </w:tabs>
        <w:spacing w:line="360" w:lineRule="auto"/>
        <w:rPr>
          <w:rFonts w:ascii="宋体" w:hAnsi="宋体"/>
          <w:color w:val="000000"/>
          <w:sz w:val="28"/>
          <w:szCs w:val="28"/>
          <w:highlight w:val="none"/>
        </w:rPr>
      </w:pPr>
    </w:p>
    <w:p w14:paraId="1892A699">
      <w:pPr>
        <w:pStyle w:val="12"/>
        <w:tabs>
          <w:tab w:val="left" w:pos="939"/>
        </w:tabs>
        <w:spacing w:line="360" w:lineRule="auto"/>
        <w:rPr>
          <w:rFonts w:ascii="宋体" w:hAnsi="宋体"/>
          <w:color w:val="000000"/>
          <w:sz w:val="28"/>
          <w:szCs w:val="28"/>
          <w:highlight w:val="none"/>
        </w:rPr>
      </w:pPr>
    </w:p>
    <w:p w14:paraId="640A56FA">
      <w:pPr>
        <w:pStyle w:val="12"/>
        <w:tabs>
          <w:tab w:val="left" w:pos="939"/>
        </w:tabs>
        <w:spacing w:line="360" w:lineRule="auto"/>
        <w:rPr>
          <w:rFonts w:ascii="宋体" w:hAnsi="宋体"/>
          <w:color w:val="000000"/>
          <w:sz w:val="28"/>
          <w:szCs w:val="28"/>
          <w:highlight w:val="none"/>
        </w:rPr>
      </w:pPr>
    </w:p>
    <w:p w14:paraId="4082C187">
      <w:pPr>
        <w:pStyle w:val="12"/>
        <w:tabs>
          <w:tab w:val="left" w:pos="939"/>
        </w:tabs>
        <w:spacing w:line="360" w:lineRule="auto"/>
        <w:rPr>
          <w:rFonts w:ascii="宋体" w:hAnsi="宋体"/>
          <w:color w:val="000000"/>
          <w:sz w:val="28"/>
          <w:szCs w:val="28"/>
          <w:highlight w:val="none"/>
        </w:rPr>
      </w:pPr>
    </w:p>
    <w:p w14:paraId="66013978">
      <w:pPr>
        <w:pStyle w:val="12"/>
        <w:tabs>
          <w:tab w:val="left" w:pos="939"/>
        </w:tabs>
        <w:spacing w:line="360" w:lineRule="auto"/>
        <w:rPr>
          <w:rFonts w:ascii="宋体" w:hAnsi="宋体"/>
          <w:color w:val="000000"/>
          <w:sz w:val="28"/>
          <w:szCs w:val="28"/>
          <w:highlight w:val="none"/>
        </w:rPr>
      </w:pPr>
    </w:p>
    <w:p w14:paraId="3B7BF5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000000"/>
          <w:sz w:val="32"/>
          <w:szCs w:val="32"/>
          <w:highlight w:val="none"/>
        </w:rPr>
      </w:pPr>
      <w:bookmarkStart w:id="75" w:name="_Toc71365926"/>
      <w:r>
        <w:rPr>
          <w:rFonts w:hint="eastAsia" w:ascii="宋体" w:hAnsi="宋体" w:eastAsia="宋体" w:cs="Times New Roman"/>
          <w:b/>
          <w:color w:val="000000"/>
          <w:sz w:val="32"/>
          <w:szCs w:val="32"/>
          <w:highlight w:val="none"/>
        </w:rPr>
        <w:t>中小企业声明函（工程）</w:t>
      </w:r>
      <w:bookmarkEnd w:id="75"/>
    </w:p>
    <w:p w14:paraId="728D5473">
      <w:pPr>
        <w:pStyle w:val="10"/>
        <w:spacing w:line="500" w:lineRule="exact"/>
        <w:ind w:right="142" w:firstLine="705" w:firstLineChars="294"/>
        <w:rPr>
          <w:rFonts w:ascii="宋体" w:hAnsi="宋体"/>
          <w:color w:val="000000"/>
          <w:sz w:val="24"/>
          <w:highlight w:val="none"/>
        </w:rPr>
      </w:pPr>
    </w:p>
    <w:p w14:paraId="6C39BF39">
      <w:pPr>
        <w:pStyle w:val="10"/>
        <w:spacing w:line="500" w:lineRule="exact"/>
        <w:ind w:right="142" w:firstLine="705" w:firstLineChars="294"/>
        <w:rPr>
          <w:rFonts w:ascii="宋体" w:hAnsi="宋体"/>
          <w:color w:val="000000"/>
          <w:sz w:val="24"/>
          <w:highlight w:val="none"/>
        </w:rPr>
      </w:pPr>
      <w:r>
        <w:rPr>
          <w:rFonts w:ascii="宋体" w:hAnsi="宋体"/>
          <w:color w:val="000000"/>
          <w:sz w:val="24"/>
          <w:highlight w:val="none"/>
        </w:rPr>
        <w:t>本公司（联合体）郑重声明，根据《政府采购促进中小企业发展管理办法》（财库﹝2020﹞46号）的规定，本公司（联合体）参加</w:t>
      </w:r>
      <w:r>
        <w:rPr>
          <w:rFonts w:ascii="宋体" w:hAnsi="宋体"/>
          <w:color w:val="000000"/>
          <w:sz w:val="24"/>
          <w:highlight w:val="none"/>
          <w:u w:val="single"/>
        </w:rPr>
        <w:t>（单位名称）</w:t>
      </w:r>
      <w:r>
        <w:rPr>
          <w:rFonts w:ascii="宋体" w:hAnsi="宋体"/>
          <w:color w:val="000000"/>
          <w:sz w:val="24"/>
          <w:highlight w:val="none"/>
        </w:rPr>
        <w:t>的</w:t>
      </w:r>
      <w:r>
        <w:rPr>
          <w:rFonts w:ascii="宋体" w:hAnsi="宋体"/>
          <w:color w:val="000000"/>
          <w:sz w:val="24"/>
          <w:highlight w:val="none"/>
          <w:u w:val="single"/>
        </w:rPr>
        <w:t>（项目名称）</w:t>
      </w:r>
      <w:r>
        <w:rPr>
          <w:rFonts w:ascii="宋体" w:hAnsi="宋体"/>
          <w:color w:val="000000"/>
          <w:sz w:val="24"/>
          <w:highlight w:val="none"/>
        </w:rPr>
        <w:t>采购活动，</w:t>
      </w:r>
      <w:r>
        <w:rPr>
          <w:rFonts w:hint="eastAsia" w:ascii="宋体" w:hAnsi="宋体"/>
          <w:color w:val="000000"/>
          <w:sz w:val="24"/>
          <w:highlight w:val="none"/>
        </w:rPr>
        <w:t>工程的施工单位全部为符合政策要求的中小企业。相关企业（含联合体中的中小企业、签订分包意向协议的中小企业）的具体情况如下：</w:t>
      </w:r>
    </w:p>
    <w:p w14:paraId="6F682FBE">
      <w:pPr>
        <w:tabs>
          <w:tab w:val="left" w:pos="1384"/>
          <w:tab w:val="left" w:pos="4562"/>
          <w:tab w:val="left" w:pos="6803"/>
        </w:tabs>
        <w:spacing w:before="13" w:line="500" w:lineRule="exact"/>
        <w:ind w:right="142" w:firstLine="480" w:firstLineChars="200"/>
        <w:rPr>
          <w:rFonts w:ascii="宋体" w:hAnsi="宋体"/>
          <w:color w:val="000000"/>
          <w:sz w:val="24"/>
          <w:highlight w:val="none"/>
        </w:rPr>
      </w:pPr>
      <w:r>
        <w:rPr>
          <w:rFonts w:ascii="宋体" w:hAnsi="宋体"/>
          <w:color w:val="000000"/>
          <w:sz w:val="24"/>
          <w:highlight w:val="none"/>
        </w:rPr>
        <w:t>1.</w:t>
      </w:r>
      <w:r>
        <w:rPr>
          <w:rFonts w:ascii="宋体" w:hAnsi="宋体"/>
          <w:color w:val="000000"/>
          <w:sz w:val="24"/>
          <w:highlight w:val="none"/>
          <w:u w:val="single"/>
        </w:rPr>
        <w:t>（标的名称）</w:t>
      </w:r>
      <w:r>
        <w:rPr>
          <w:rFonts w:ascii="宋体" w:hAnsi="宋体"/>
          <w:color w:val="000000"/>
          <w:sz w:val="24"/>
          <w:highlight w:val="none"/>
        </w:rPr>
        <w:t>，属于</w:t>
      </w:r>
      <w:r>
        <w:rPr>
          <w:rFonts w:ascii="宋体" w:hAnsi="宋体"/>
          <w:color w:val="000000"/>
          <w:sz w:val="24"/>
          <w:highlight w:val="none"/>
          <w:u w:val="single"/>
        </w:rPr>
        <w:t>（采购文件中明确的所属</w:t>
      </w:r>
      <w:r>
        <w:rPr>
          <w:rFonts w:hint="eastAsia" w:ascii="宋体" w:hAnsi="宋体"/>
          <w:color w:val="000000"/>
          <w:sz w:val="24"/>
          <w:highlight w:val="none"/>
          <w:u w:val="single"/>
        </w:rPr>
        <w:t>行</w:t>
      </w:r>
      <w:r>
        <w:rPr>
          <w:rFonts w:ascii="宋体" w:hAnsi="宋体"/>
          <w:color w:val="000000"/>
          <w:sz w:val="24"/>
          <w:highlight w:val="none"/>
          <w:u w:val="single"/>
        </w:rPr>
        <w:t>业）</w:t>
      </w:r>
      <w:r>
        <w:rPr>
          <w:rFonts w:ascii="宋体" w:hAnsi="宋体"/>
          <w:color w:val="000000"/>
          <w:sz w:val="24"/>
          <w:highlight w:val="none"/>
        </w:rPr>
        <w:t>；</w:t>
      </w:r>
      <w:r>
        <w:rPr>
          <w:rFonts w:hint="eastAsia" w:ascii="宋体" w:hAnsi="宋体"/>
          <w:color w:val="000000"/>
          <w:sz w:val="24"/>
          <w:highlight w:val="none"/>
        </w:rPr>
        <w:t>承建企业为</w:t>
      </w:r>
      <w:r>
        <w:rPr>
          <w:rFonts w:hint="eastAsia" w:ascii="宋体" w:hAnsi="宋体"/>
          <w:color w:val="000000"/>
          <w:sz w:val="24"/>
          <w:highlight w:val="none"/>
          <w:u w:val="single"/>
        </w:rPr>
        <w:t>（企业名称）</w:t>
      </w:r>
      <w:r>
        <w:rPr>
          <w:rFonts w:hint="eastAsia" w:ascii="宋体" w:hAnsi="宋体"/>
          <w:color w:val="000000"/>
          <w:sz w:val="24"/>
          <w:highlight w:val="none"/>
        </w:rPr>
        <w:t>，从业人员</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人，营业收入为</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万元，资产总额为</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万元</w:t>
      </w:r>
      <w:r>
        <w:rPr>
          <w:rFonts w:ascii="宋体" w:hAnsi="宋体"/>
          <w:color w:val="000000"/>
          <w:sz w:val="24"/>
          <w:highlight w:val="none"/>
        </w:rPr>
        <w:t>，属于</w:t>
      </w:r>
      <w:r>
        <w:rPr>
          <w:rFonts w:ascii="宋体" w:hAnsi="宋体"/>
          <w:color w:val="000000"/>
          <w:sz w:val="24"/>
          <w:highlight w:val="none"/>
          <w:u w:val="single"/>
        </w:rPr>
        <w:t>（中型企业、</w:t>
      </w:r>
      <w:r>
        <w:rPr>
          <w:rFonts w:hint="eastAsia" w:ascii="宋体" w:hAnsi="宋体"/>
          <w:color w:val="000000"/>
          <w:sz w:val="24"/>
          <w:highlight w:val="none"/>
          <w:u w:val="single"/>
        </w:rPr>
        <w:t>小型企业、微型企业）</w:t>
      </w:r>
      <w:r>
        <w:rPr>
          <w:rFonts w:hint="eastAsia" w:ascii="宋体" w:hAnsi="宋体"/>
          <w:color w:val="000000"/>
          <w:sz w:val="24"/>
          <w:highlight w:val="none"/>
        </w:rPr>
        <w:t>；</w:t>
      </w:r>
    </w:p>
    <w:p w14:paraId="2C0F8620">
      <w:pPr>
        <w:tabs>
          <w:tab w:val="left" w:pos="1065"/>
          <w:tab w:val="left" w:pos="4262"/>
          <w:tab w:val="left" w:pos="6477"/>
        </w:tabs>
        <w:spacing w:before="20" w:line="500" w:lineRule="exact"/>
        <w:ind w:right="84" w:firstLine="480" w:firstLineChars="200"/>
        <w:rPr>
          <w:rFonts w:ascii="宋体" w:hAnsi="宋体"/>
          <w:color w:val="000000"/>
          <w:sz w:val="24"/>
          <w:highlight w:val="none"/>
          <w:u w:val="single"/>
        </w:rPr>
      </w:pPr>
      <w:r>
        <w:rPr>
          <w:rFonts w:ascii="宋体" w:hAnsi="宋体"/>
          <w:color w:val="000000"/>
          <w:sz w:val="24"/>
          <w:highlight w:val="none"/>
        </w:rPr>
        <w:t>2.</w:t>
      </w:r>
      <w:r>
        <w:rPr>
          <w:rFonts w:ascii="宋体" w:hAnsi="宋体"/>
          <w:color w:val="000000"/>
          <w:sz w:val="24"/>
          <w:highlight w:val="none"/>
          <w:u w:val="single"/>
        </w:rPr>
        <w:t>（标的名称）</w:t>
      </w:r>
      <w:r>
        <w:rPr>
          <w:rFonts w:ascii="宋体" w:hAnsi="宋体"/>
          <w:color w:val="000000"/>
          <w:sz w:val="24"/>
          <w:highlight w:val="none"/>
        </w:rPr>
        <w:t>，属于</w:t>
      </w:r>
      <w:r>
        <w:rPr>
          <w:rFonts w:ascii="宋体" w:hAnsi="宋体"/>
          <w:color w:val="000000"/>
          <w:sz w:val="24"/>
          <w:highlight w:val="none"/>
          <w:u w:val="single"/>
        </w:rPr>
        <w:t>（采购文件中明确的所属</w:t>
      </w:r>
      <w:r>
        <w:rPr>
          <w:rFonts w:hint="eastAsia" w:ascii="宋体" w:hAnsi="宋体"/>
          <w:color w:val="000000"/>
          <w:sz w:val="24"/>
          <w:highlight w:val="none"/>
          <w:u w:val="single"/>
        </w:rPr>
        <w:t>行业</w:t>
      </w:r>
      <w:r>
        <w:rPr>
          <w:rFonts w:ascii="宋体" w:hAnsi="宋体"/>
          <w:color w:val="000000"/>
          <w:sz w:val="24"/>
          <w:highlight w:val="none"/>
          <w:u w:val="single"/>
        </w:rPr>
        <w:t>）</w:t>
      </w:r>
      <w:r>
        <w:rPr>
          <w:rFonts w:ascii="宋体" w:hAnsi="宋体"/>
          <w:color w:val="000000"/>
          <w:sz w:val="24"/>
          <w:highlight w:val="none"/>
        </w:rPr>
        <w:t>；</w:t>
      </w:r>
      <w:r>
        <w:rPr>
          <w:rFonts w:hint="eastAsia" w:ascii="宋体" w:hAnsi="宋体"/>
          <w:color w:val="000000"/>
          <w:sz w:val="24"/>
          <w:highlight w:val="none"/>
        </w:rPr>
        <w:t>承建企业为</w:t>
      </w:r>
      <w:r>
        <w:rPr>
          <w:rFonts w:hint="eastAsia" w:ascii="宋体" w:hAnsi="宋体"/>
          <w:color w:val="000000"/>
          <w:sz w:val="24"/>
          <w:highlight w:val="none"/>
          <w:u w:val="single"/>
        </w:rPr>
        <w:t>（企业名称）</w:t>
      </w:r>
      <w:r>
        <w:rPr>
          <w:rFonts w:hint="eastAsia" w:ascii="宋体" w:hAnsi="宋体"/>
          <w:color w:val="000000"/>
          <w:sz w:val="24"/>
          <w:highlight w:val="none"/>
        </w:rPr>
        <w:t>，从业人员</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人，营业收入为</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万元，资产总额为</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万元</w:t>
      </w:r>
      <w:r>
        <w:rPr>
          <w:rFonts w:ascii="宋体" w:hAnsi="宋体"/>
          <w:color w:val="000000"/>
          <w:sz w:val="24"/>
          <w:highlight w:val="none"/>
        </w:rPr>
        <w:t>，属于</w:t>
      </w:r>
      <w:r>
        <w:rPr>
          <w:rFonts w:ascii="宋体" w:hAnsi="宋体"/>
          <w:color w:val="000000"/>
          <w:sz w:val="24"/>
          <w:highlight w:val="none"/>
          <w:u w:val="single"/>
        </w:rPr>
        <w:t>（中型企业、</w:t>
      </w:r>
      <w:r>
        <w:rPr>
          <w:rFonts w:hint="eastAsia" w:ascii="宋体" w:hAnsi="宋体"/>
          <w:color w:val="000000"/>
          <w:sz w:val="24"/>
          <w:highlight w:val="none"/>
          <w:u w:val="single"/>
        </w:rPr>
        <w:t>小型企业、微型企业）</w:t>
      </w:r>
      <w:r>
        <w:rPr>
          <w:rFonts w:hint="eastAsia" w:ascii="宋体" w:hAnsi="宋体"/>
          <w:color w:val="000000"/>
          <w:sz w:val="24"/>
          <w:highlight w:val="none"/>
        </w:rPr>
        <w:t>；</w:t>
      </w:r>
    </w:p>
    <w:p w14:paraId="484D5EC0">
      <w:pPr>
        <w:pStyle w:val="10"/>
        <w:spacing w:before="34" w:line="500" w:lineRule="exact"/>
        <w:ind w:right="142" w:firstLine="705" w:firstLineChars="294"/>
        <w:rPr>
          <w:rFonts w:ascii="宋体" w:hAnsi="宋体"/>
          <w:color w:val="000000"/>
          <w:sz w:val="24"/>
          <w:highlight w:val="none"/>
        </w:rPr>
      </w:pPr>
      <w:r>
        <w:rPr>
          <w:rFonts w:ascii="宋体" w:hAnsi="宋体"/>
          <w:color w:val="000000"/>
          <w:sz w:val="24"/>
          <w:highlight w:val="none"/>
        </w:rPr>
        <w:t xml:space="preserve">…… </w:t>
      </w:r>
    </w:p>
    <w:p w14:paraId="637BF21D">
      <w:pPr>
        <w:pStyle w:val="10"/>
        <w:spacing w:before="34" w:line="500" w:lineRule="exact"/>
        <w:ind w:right="142" w:firstLine="480" w:firstLineChars="200"/>
        <w:rPr>
          <w:rFonts w:ascii="宋体" w:hAnsi="宋体"/>
          <w:color w:val="000000"/>
          <w:sz w:val="24"/>
          <w:highlight w:val="none"/>
        </w:rPr>
      </w:pPr>
      <w:r>
        <w:rPr>
          <w:rFonts w:ascii="宋体" w:hAnsi="宋体"/>
          <w:color w:val="000000"/>
          <w:sz w:val="24"/>
          <w:highlight w:val="none"/>
        </w:rPr>
        <w:t>以上企业，不属于大企业的分支机构，不存在控股股东为大企业的情形，也不存在与大企业的负责人为同一人的情形。</w:t>
      </w:r>
    </w:p>
    <w:p w14:paraId="2E7ED8A7">
      <w:pPr>
        <w:pStyle w:val="10"/>
        <w:spacing w:before="25" w:line="500" w:lineRule="exact"/>
        <w:ind w:right="142" w:firstLine="480" w:firstLineChars="200"/>
        <w:rPr>
          <w:rFonts w:ascii="宋体" w:hAnsi="宋体"/>
          <w:color w:val="000000"/>
          <w:sz w:val="24"/>
          <w:highlight w:val="none"/>
        </w:rPr>
      </w:pPr>
      <w:r>
        <w:rPr>
          <w:rFonts w:ascii="宋体" w:hAnsi="宋体"/>
          <w:color w:val="000000"/>
          <w:sz w:val="24"/>
          <w:highlight w:val="none"/>
        </w:rPr>
        <w:t>本企业对上述声明内容的真实性负责。如有虚假，将依法承担相应责任。</w:t>
      </w:r>
    </w:p>
    <w:p w14:paraId="10A5B968">
      <w:pPr>
        <w:pStyle w:val="10"/>
        <w:spacing w:before="56" w:line="500" w:lineRule="exact"/>
        <w:ind w:right="1808" w:firstLine="705" w:firstLineChars="294"/>
        <w:rPr>
          <w:rFonts w:hint="eastAsia" w:ascii="宋体" w:hAnsi="宋体"/>
          <w:color w:val="000000"/>
          <w:sz w:val="24"/>
          <w:highlight w:val="none"/>
        </w:rPr>
      </w:pPr>
    </w:p>
    <w:p w14:paraId="56C7E942">
      <w:pPr>
        <w:pStyle w:val="10"/>
        <w:spacing w:before="56" w:line="500" w:lineRule="exact"/>
        <w:ind w:right="650" w:firstLine="5625" w:firstLineChars="2344"/>
        <w:rPr>
          <w:rFonts w:ascii="宋体" w:hAnsi="宋体"/>
          <w:color w:val="000000"/>
          <w:sz w:val="24"/>
          <w:highlight w:val="none"/>
        </w:rPr>
      </w:pPr>
      <w:r>
        <w:rPr>
          <w:rFonts w:ascii="宋体" w:hAnsi="宋体"/>
          <w:color w:val="000000"/>
          <w:sz w:val="24"/>
          <w:highlight w:val="none"/>
        </w:rPr>
        <w:t xml:space="preserve">企业名称（章）： </w:t>
      </w:r>
    </w:p>
    <w:p w14:paraId="0EDA41F6">
      <w:pPr>
        <w:pStyle w:val="10"/>
        <w:spacing w:before="56" w:line="500" w:lineRule="exact"/>
        <w:ind w:right="1808" w:firstLine="5625" w:firstLineChars="2344"/>
        <w:rPr>
          <w:rFonts w:ascii="宋体" w:hAnsi="宋体"/>
          <w:color w:val="000000"/>
          <w:sz w:val="24"/>
          <w:highlight w:val="none"/>
        </w:rPr>
      </w:pPr>
      <w:r>
        <w:rPr>
          <w:rFonts w:ascii="宋体" w:hAnsi="宋体"/>
          <w:color w:val="000000"/>
          <w:sz w:val="24"/>
          <w:highlight w:val="none"/>
        </w:rPr>
        <w:t>日 期：</w:t>
      </w:r>
    </w:p>
    <w:p w14:paraId="276F2DE3">
      <w:pPr>
        <w:pStyle w:val="10"/>
        <w:spacing w:before="56" w:line="500" w:lineRule="exact"/>
        <w:ind w:right="1808" w:firstLine="5625" w:firstLineChars="2344"/>
        <w:rPr>
          <w:rFonts w:ascii="宋体" w:hAnsi="宋体"/>
          <w:color w:val="000000"/>
          <w:sz w:val="24"/>
          <w:highlight w:val="none"/>
        </w:rPr>
      </w:pPr>
    </w:p>
    <w:p w14:paraId="26F39BAD">
      <w:pPr>
        <w:spacing w:line="520" w:lineRule="exact"/>
        <w:ind w:firstLine="480" w:firstLineChars="200"/>
        <w:jc w:val="left"/>
        <w:rPr>
          <w:rFonts w:hint="eastAsia" w:ascii="宋体" w:hAnsi="宋体" w:cs="仿宋_GB2312"/>
          <w:color w:val="000000"/>
          <w:sz w:val="24"/>
          <w:highlight w:val="none"/>
        </w:rPr>
      </w:pPr>
      <w:r>
        <w:rPr>
          <w:rFonts w:hint="eastAsia" w:ascii="宋体" w:hAnsi="宋体" w:cs="仿宋_GB2312"/>
          <w:color w:val="00000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411DE2D">
      <w:pPr>
        <w:rPr>
          <w:rFonts w:ascii="宋体" w:hAnsi="宋体"/>
          <w:color w:val="000000"/>
          <w:sz w:val="24"/>
          <w:highlight w:val="none"/>
        </w:rPr>
      </w:pPr>
      <w:r>
        <w:rPr>
          <w:rFonts w:ascii="宋体" w:hAnsi="宋体"/>
          <w:color w:val="000000"/>
          <w:sz w:val="24"/>
          <w:highlight w:val="none"/>
        </w:rPr>
        <w:br w:type="page"/>
      </w:r>
    </w:p>
    <w:p w14:paraId="17587339">
      <w:pPr>
        <w:spacing w:line="528" w:lineRule="exact"/>
        <w:ind w:firstLine="2400" w:firstLineChars="600"/>
        <w:rPr>
          <w:rFonts w:ascii="宋体" w:hAnsi="宋体" w:eastAsia="宋体" w:cs="Arial Unicode MS"/>
          <w:sz w:val="40"/>
          <w:szCs w:val="40"/>
        </w:rPr>
      </w:pPr>
      <w:r>
        <w:rPr>
          <w:rFonts w:hint="eastAsia" w:ascii="宋体" w:hAnsi="宋体" w:eastAsia="宋体" w:cs="微软雅黑"/>
          <w:sz w:val="40"/>
          <w:szCs w:val="40"/>
        </w:rPr>
        <w:t>中小微企业划型标准</w:t>
      </w:r>
    </w:p>
    <w:tbl>
      <w:tblPr>
        <w:tblStyle w:val="30"/>
        <w:tblW w:w="8591" w:type="dxa"/>
        <w:tblInd w:w="250" w:type="dxa"/>
        <w:tblLayout w:type="fixed"/>
        <w:tblCellMar>
          <w:top w:w="0" w:type="dxa"/>
          <w:left w:w="108" w:type="dxa"/>
          <w:bottom w:w="0" w:type="dxa"/>
          <w:right w:w="108" w:type="dxa"/>
        </w:tblCellMar>
      </w:tblPr>
      <w:tblGrid>
        <w:gridCol w:w="1831"/>
        <w:gridCol w:w="1489"/>
        <w:gridCol w:w="983"/>
        <w:gridCol w:w="1743"/>
        <w:gridCol w:w="1549"/>
        <w:gridCol w:w="996"/>
      </w:tblGrid>
      <w:tr w14:paraId="2B750F0C">
        <w:tblPrEx>
          <w:tblCellMar>
            <w:top w:w="0" w:type="dxa"/>
            <w:left w:w="108" w:type="dxa"/>
            <w:bottom w:w="0" w:type="dxa"/>
            <w:right w:w="108" w:type="dxa"/>
          </w:tblCellMar>
        </w:tblPrEx>
        <w:trPr>
          <w:trHeight w:val="287" w:hRule="atLeast"/>
        </w:trPr>
        <w:tc>
          <w:tcPr>
            <w:tcW w:w="1831" w:type="dxa"/>
            <w:tcBorders>
              <w:top w:val="single" w:color="auto" w:sz="4" w:space="0"/>
              <w:left w:val="single" w:color="auto" w:sz="4" w:space="0"/>
              <w:bottom w:val="single" w:color="auto" w:sz="4" w:space="0"/>
              <w:right w:val="single" w:color="auto" w:sz="4" w:space="0"/>
            </w:tcBorders>
            <w:noWrap w:val="0"/>
            <w:vAlign w:val="center"/>
          </w:tcPr>
          <w:p w14:paraId="7BE8DEE9">
            <w:pPr>
              <w:widowControl/>
              <w:jc w:val="left"/>
              <w:rPr>
                <w:rFonts w:ascii="宋体" w:hAnsi="宋体" w:eastAsia="宋体" w:cs="宋体"/>
                <w:b/>
                <w:kern w:val="0"/>
                <w:sz w:val="24"/>
              </w:rPr>
            </w:pPr>
            <w:r>
              <w:rPr>
                <w:rFonts w:hint="eastAsia" w:ascii="宋体" w:hAnsi="宋体" w:eastAsia="宋体" w:cs="宋体"/>
                <w:b/>
                <w:kern w:val="0"/>
                <w:sz w:val="24"/>
              </w:rPr>
              <w:t>行业名称</w:t>
            </w:r>
          </w:p>
        </w:tc>
        <w:tc>
          <w:tcPr>
            <w:tcW w:w="1489" w:type="dxa"/>
            <w:tcBorders>
              <w:top w:val="single" w:color="auto" w:sz="4" w:space="0"/>
              <w:left w:val="nil"/>
              <w:bottom w:val="single" w:color="auto" w:sz="4" w:space="0"/>
              <w:right w:val="single" w:color="auto" w:sz="4" w:space="0"/>
            </w:tcBorders>
            <w:noWrap w:val="0"/>
            <w:vAlign w:val="center"/>
          </w:tcPr>
          <w:p w14:paraId="2B8D2BDF">
            <w:pPr>
              <w:widowControl/>
              <w:jc w:val="left"/>
              <w:rPr>
                <w:rFonts w:hint="eastAsia" w:ascii="宋体" w:hAnsi="宋体" w:eastAsia="宋体" w:cs="宋体"/>
                <w:b/>
                <w:kern w:val="0"/>
                <w:sz w:val="24"/>
              </w:rPr>
            </w:pPr>
            <w:r>
              <w:rPr>
                <w:rFonts w:hint="eastAsia" w:ascii="宋体" w:hAnsi="宋体" w:eastAsia="宋体" w:cs="宋体"/>
                <w:b/>
                <w:kern w:val="0"/>
                <w:sz w:val="24"/>
              </w:rPr>
              <w:t>指标名称</w:t>
            </w:r>
          </w:p>
        </w:tc>
        <w:tc>
          <w:tcPr>
            <w:tcW w:w="983" w:type="dxa"/>
            <w:tcBorders>
              <w:top w:val="single" w:color="auto" w:sz="4" w:space="0"/>
              <w:left w:val="nil"/>
              <w:bottom w:val="single" w:color="auto" w:sz="4" w:space="0"/>
              <w:right w:val="single" w:color="auto" w:sz="4" w:space="0"/>
            </w:tcBorders>
            <w:noWrap w:val="0"/>
            <w:vAlign w:val="center"/>
          </w:tcPr>
          <w:p w14:paraId="33512EE3">
            <w:pPr>
              <w:widowControl/>
              <w:jc w:val="left"/>
              <w:rPr>
                <w:rFonts w:hint="eastAsia" w:ascii="宋体" w:hAnsi="宋体" w:eastAsia="宋体" w:cs="宋体"/>
                <w:b/>
                <w:kern w:val="0"/>
                <w:sz w:val="24"/>
              </w:rPr>
            </w:pPr>
            <w:r>
              <w:rPr>
                <w:rFonts w:hint="eastAsia" w:ascii="宋体" w:hAnsi="宋体" w:eastAsia="宋体" w:cs="宋体"/>
                <w:b/>
                <w:kern w:val="0"/>
                <w:sz w:val="24"/>
              </w:rPr>
              <w:t>计量单位</w:t>
            </w:r>
          </w:p>
        </w:tc>
        <w:tc>
          <w:tcPr>
            <w:tcW w:w="1743" w:type="dxa"/>
            <w:tcBorders>
              <w:top w:val="single" w:color="auto" w:sz="4" w:space="0"/>
              <w:left w:val="nil"/>
              <w:bottom w:val="single" w:color="auto" w:sz="4" w:space="0"/>
              <w:right w:val="single" w:color="auto" w:sz="4" w:space="0"/>
            </w:tcBorders>
            <w:noWrap w:val="0"/>
            <w:vAlign w:val="center"/>
          </w:tcPr>
          <w:p w14:paraId="414DD272">
            <w:pPr>
              <w:widowControl/>
              <w:jc w:val="left"/>
              <w:rPr>
                <w:rFonts w:hint="eastAsia" w:ascii="宋体" w:hAnsi="宋体" w:eastAsia="宋体" w:cs="宋体"/>
                <w:b/>
                <w:kern w:val="0"/>
                <w:sz w:val="24"/>
              </w:rPr>
            </w:pPr>
            <w:r>
              <w:rPr>
                <w:rFonts w:hint="eastAsia" w:ascii="宋体" w:hAnsi="宋体" w:eastAsia="宋体" w:cs="宋体"/>
                <w:b/>
                <w:kern w:val="0"/>
                <w:sz w:val="24"/>
              </w:rPr>
              <w:t>中型</w:t>
            </w:r>
          </w:p>
        </w:tc>
        <w:tc>
          <w:tcPr>
            <w:tcW w:w="1549" w:type="dxa"/>
            <w:tcBorders>
              <w:top w:val="single" w:color="auto" w:sz="4" w:space="0"/>
              <w:left w:val="nil"/>
              <w:bottom w:val="single" w:color="auto" w:sz="4" w:space="0"/>
              <w:right w:val="single" w:color="auto" w:sz="4" w:space="0"/>
            </w:tcBorders>
            <w:noWrap w:val="0"/>
            <w:vAlign w:val="center"/>
          </w:tcPr>
          <w:p w14:paraId="2954D77B">
            <w:pPr>
              <w:widowControl/>
              <w:jc w:val="left"/>
              <w:rPr>
                <w:rFonts w:hint="eastAsia" w:ascii="宋体" w:hAnsi="宋体" w:eastAsia="宋体" w:cs="宋体"/>
                <w:b/>
                <w:kern w:val="0"/>
                <w:sz w:val="24"/>
              </w:rPr>
            </w:pPr>
            <w:r>
              <w:rPr>
                <w:rFonts w:hint="eastAsia" w:ascii="宋体" w:hAnsi="宋体" w:eastAsia="宋体" w:cs="宋体"/>
                <w:b/>
                <w:kern w:val="0"/>
                <w:sz w:val="24"/>
              </w:rPr>
              <w:t>小型</w:t>
            </w:r>
          </w:p>
        </w:tc>
        <w:tc>
          <w:tcPr>
            <w:tcW w:w="996" w:type="dxa"/>
            <w:tcBorders>
              <w:top w:val="single" w:color="auto" w:sz="4" w:space="0"/>
              <w:left w:val="nil"/>
              <w:bottom w:val="single" w:color="auto" w:sz="4" w:space="0"/>
              <w:right w:val="single" w:color="auto" w:sz="4" w:space="0"/>
            </w:tcBorders>
            <w:noWrap w:val="0"/>
            <w:vAlign w:val="center"/>
          </w:tcPr>
          <w:p w14:paraId="4A394727">
            <w:pPr>
              <w:widowControl/>
              <w:jc w:val="left"/>
              <w:rPr>
                <w:rFonts w:hint="eastAsia" w:ascii="宋体" w:hAnsi="宋体" w:eastAsia="宋体" w:cs="宋体"/>
                <w:b/>
                <w:kern w:val="0"/>
                <w:sz w:val="24"/>
              </w:rPr>
            </w:pPr>
            <w:r>
              <w:rPr>
                <w:rFonts w:hint="eastAsia" w:ascii="宋体" w:hAnsi="宋体" w:eastAsia="宋体" w:cs="宋体"/>
                <w:b/>
                <w:kern w:val="0"/>
                <w:sz w:val="24"/>
              </w:rPr>
              <w:t>微型</w:t>
            </w:r>
          </w:p>
        </w:tc>
      </w:tr>
      <w:tr w14:paraId="08E144CA">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noWrap w:val="0"/>
            <w:vAlign w:val="bottom"/>
          </w:tcPr>
          <w:p w14:paraId="37AD61C2">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农、林、牧、渔</w:t>
            </w:r>
          </w:p>
        </w:tc>
        <w:tc>
          <w:tcPr>
            <w:tcW w:w="1489" w:type="dxa"/>
            <w:tcBorders>
              <w:top w:val="nil"/>
              <w:left w:val="nil"/>
              <w:bottom w:val="single" w:color="auto" w:sz="4" w:space="0"/>
              <w:right w:val="single" w:color="auto" w:sz="4" w:space="0"/>
            </w:tcBorders>
            <w:noWrap w:val="0"/>
            <w:vAlign w:val="center"/>
          </w:tcPr>
          <w:p w14:paraId="35C5E34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2D03181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5748496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549" w:type="dxa"/>
            <w:tcBorders>
              <w:top w:val="nil"/>
              <w:left w:val="nil"/>
              <w:bottom w:val="single" w:color="auto" w:sz="4" w:space="0"/>
              <w:right w:val="single" w:color="auto" w:sz="4" w:space="0"/>
            </w:tcBorders>
            <w:noWrap w:val="0"/>
            <w:vAlign w:val="center"/>
          </w:tcPr>
          <w:p w14:paraId="36344B1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50≤Y＜500</w:t>
            </w:r>
          </w:p>
        </w:tc>
        <w:tc>
          <w:tcPr>
            <w:tcW w:w="996" w:type="dxa"/>
            <w:tcBorders>
              <w:top w:val="nil"/>
              <w:left w:val="nil"/>
              <w:bottom w:val="single" w:color="auto" w:sz="4" w:space="0"/>
              <w:right w:val="single" w:color="auto" w:sz="4" w:space="0"/>
            </w:tcBorders>
            <w:noWrap w:val="0"/>
            <w:vAlign w:val="center"/>
          </w:tcPr>
          <w:p w14:paraId="19DD9C3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676021A6">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6C526DD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工业</w:t>
            </w:r>
          </w:p>
        </w:tc>
        <w:tc>
          <w:tcPr>
            <w:tcW w:w="1489" w:type="dxa"/>
            <w:tcBorders>
              <w:top w:val="nil"/>
              <w:left w:val="nil"/>
              <w:bottom w:val="single" w:color="auto" w:sz="4" w:space="0"/>
              <w:right w:val="single" w:color="auto" w:sz="4" w:space="0"/>
            </w:tcBorders>
            <w:noWrap w:val="0"/>
            <w:vAlign w:val="center"/>
          </w:tcPr>
          <w:p w14:paraId="0B7BD55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3D751C9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4F054A4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549" w:type="dxa"/>
            <w:tcBorders>
              <w:top w:val="nil"/>
              <w:left w:val="nil"/>
              <w:bottom w:val="single" w:color="auto" w:sz="4" w:space="0"/>
              <w:right w:val="single" w:color="auto" w:sz="4" w:space="0"/>
            </w:tcBorders>
            <w:noWrap w:val="0"/>
            <w:vAlign w:val="center"/>
          </w:tcPr>
          <w:p w14:paraId="7383167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96" w:type="dxa"/>
            <w:tcBorders>
              <w:top w:val="nil"/>
              <w:left w:val="nil"/>
              <w:bottom w:val="single" w:color="auto" w:sz="4" w:space="0"/>
              <w:right w:val="single" w:color="auto" w:sz="4" w:space="0"/>
            </w:tcBorders>
            <w:noWrap w:val="0"/>
            <w:vAlign w:val="center"/>
          </w:tcPr>
          <w:p w14:paraId="7A136B7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099F7B41">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77CDA33B">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1A698B6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40BD382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4899941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2000≤Y＜40000</w:t>
            </w:r>
          </w:p>
        </w:tc>
        <w:tc>
          <w:tcPr>
            <w:tcW w:w="1549" w:type="dxa"/>
            <w:tcBorders>
              <w:top w:val="nil"/>
              <w:left w:val="nil"/>
              <w:bottom w:val="single" w:color="auto" w:sz="4" w:space="0"/>
              <w:right w:val="single" w:color="auto" w:sz="4" w:space="0"/>
            </w:tcBorders>
            <w:noWrap w:val="0"/>
            <w:vAlign w:val="center"/>
          </w:tcPr>
          <w:p w14:paraId="091AB91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300≤Y＜2000</w:t>
            </w:r>
          </w:p>
        </w:tc>
        <w:tc>
          <w:tcPr>
            <w:tcW w:w="996" w:type="dxa"/>
            <w:tcBorders>
              <w:top w:val="nil"/>
              <w:left w:val="nil"/>
              <w:bottom w:val="single" w:color="auto" w:sz="4" w:space="0"/>
              <w:right w:val="single" w:color="auto" w:sz="4" w:space="0"/>
            </w:tcBorders>
            <w:noWrap w:val="0"/>
            <w:vAlign w:val="center"/>
          </w:tcPr>
          <w:p w14:paraId="7575BA5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348D867D">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53FF8AAB">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建筑业</w:t>
            </w:r>
          </w:p>
        </w:tc>
        <w:tc>
          <w:tcPr>
            <w:tcW w:w="1489" w:type="dxa"/>
            <w:tcBorders>
              <w:top w:val="nil"/>
              <w:left w:val="nil"/>
              <w:bottom w:val="single" w:color="auto" w:sz="4" w:space="0"/>
              <w:right w:val="single" w:color="auto" w:sz="4" w:space="0"/>
            </w:tcBorders>
            <w:noWrap w:val="0"/>
            <w:vAlign w:val="center"/>
          </w:tcPr>
          <w:p w14:paraId="2939B04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1A229CA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5E207F8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6000≤Y＜80000</w:t>
            </w:r>
          </w:p>
        </w:tc>
        <w:tc>
          <w:tcPr>
            <w:tcW w:w="1549" w:type="dxa"/>
            <w:tcBorders>
              <w:top w:val="nil"/>
              <w:left w:val="nil"/>
              <w:bottom w:val="single" w:color="auto" w:sz="4" w:space="0"/>
              <w:right w:val="single" w:color="auto" w:sz="4" w:space="0"/>
            </w:tcBorders>
            <w:noWrap w:val="0"/>
            <w:vAlign w:val="center"/>
          </w:tcPr>
          <w:p w14:paraId="64E33BB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300≤Y＜6000</w:t>
            </w:r>
          </w:p>
        </w:tc>
        <w:tc>
          <w:tcPr>
            <w:tcW w:w="996" w:type="dxa"/>
            <w:tcBorders>
              <w:top w:val="nil"/>
              <w:left w:val="nil"/>
              <w:bottom w:val="single" w:color="auto" w:sz="4" w:space="0"/>
              <w:right w:val="single" w:color="auto" w:sz="4" w:space="0"/>
            </w:tcBorders>
            <w:noWrap w:val="0"/>
            <w:vAlign w:val="center"/>
          </w:tcPr>
          <w:p w14:paraId="1CD59F5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1F4C2D4A">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07E6D43C">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406C34D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983" w:type="dxa"/>
            <w:tcBorders>
              <w:top w:val="nil"/>
              <w:left w:val="nil"/>
              <w:bottom w:val="single" w:color="auto" w:sz="4" w:space="0"/>
              <w:right w:val="single" w:color="auto" w:sz="4" w:space="0"/>
            </w:tcBorders>
            <w:noWrap w:val="0"/>
            <w:vAlign w:val="center"/>
          </w:tcPr>
          <w:p w14:paraId="3CDB488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3E2613B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5000≤Z＜80000</w:t>
            </w:r>
          </w:p>
        </w:tc>
        <w:tc>
          <w:tcPr>
            <w:tcW w:w="1549" w:type="dxa"/>
            <w:tcBorders>
              <w:top w:val="nil"/>
              <w:left w:val="nil"/>
              <w:bottom w:val="single" w:color="auto" w:sz="4" w:space="0"/>
              <w:right w:val="single" w:color="auto" w:sz="4" w:space="0"/>
            </w:tcBorders>
            <w:noWrap w:val="0"/>
            <w:vAlign w:val="center"/>
          </w:tcPr>
          <w:p w14:paraId="19E6A7D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300≤Z＜5000</w:t>
            </w:r>
          </w:p>
        </w:tc>
        <w:tc>
          <w:tcPr>
            <w:tcW w:w="996" w:type="dxa"/>
            <w:tcBorders>
              <w:top w:val="nil"/>
              <w:left w:val="nil"/>
              <w:bottom w:val="single" w:color="auto" w:sz="4" w:space="0"/>
              <w:right w:val="single" w:color="auto" w:sz="4" w:space="0"/>
            </w:tcBorders>
            <w:noWrap w:val="0"/>
            <w:vAlign w:val="center"/>
          </w:tcPr>
          <w:p w14:paraId="0C1C79B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Z＜300</w:t>
            </w:r>
          </w:p>
        </w:tc>
      </w:tr>
      <w:tr w14:paraId="7C263FC4">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7C13E28F">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批发业</w:t>
            </w:r>
          </w:p>
        </w:tc>
        <w:tc>
          <w:tcPr>
            <w:tcW w:w="1489" w:type="dxa"/>
            <w:tcBorders>
              <w:top w:val="nil"/>
              <w:left w:val="nil"/>
              <w:bottom w:val="single" w:color="auto" w:sz="4" w:space="0"/>
              <w:right w:val="single" w:color="auto" w:sz="4" w:space="0"/>
            </w:tcBorders>
            <w:noWrap w:val="0"/>
            <w:vAlign w:val="center"/>
          </w:tcPr>
          <w:p w14:paraId="0E55B99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33A3185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773E28E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20≤X＜200</w:t>
            </w:r>
          </w:p>
        </w:tc>
        <w:tc>
          <w:tcPr>
            <w:tcW w:w="1549" w:type="dxa"/>
            <w:tcBorders>
              <w:top w:val="nil"/>
              <w:left w:val="nil"/>
              <w:bottom w:val="single" w:color="auto" w:sz="4" w:space="0"/>
              <w:right w:val="single" w:color="auto" w:sz="4" w:space="0"/>
            </w:tcBorders>
            <w:noWrap w:val="0"/>
            <w:vAlign w:val="center"/>
          </w:tcPr>
          <w:p w14:paraId="3F69D2F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5≤X＜20</w:t>
            </w:r>
          </w:p>
        </w:tc>
        <w:tc>
          <w:tcPr>
            <w:tcW w:w="996" w:type="dxa"/>
            <w:tcBorders>
              <w:top w:val="nil"/>
              <w:left w:val="nil"/>
              <w:bottom w:val="single" w:color="auto" w:sz="4" w:space="0"/>
              <w:right w:val="single" w:color="auto" w:sz="4" w:space="0"/>
            </w:tcBorders>
            <w:noWrap w:val="0"/>
            <w:vAlign w:val="center"/>
          </w:tcPr>
          <w:p w14:paraId="58D8F84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X＜5</w:t>
            </w:r>
          </w:p>
        </w:tc>
      </w:tr>
      <w:tr w14:paraId="77D51942">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6A125FBB">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1F3F580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42B0ED9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1D7B4E7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5000≤Y＜40000</w:t>
            </w:r>
          </w:p>
        </w:tc>
        <w:tc>
          <w:tcPr>
            <w:tcW w:w="1549" w:type="dxa"/>
            <w:tcBorders>
              <w:top w:val="nil"/>
              <w:left w:val="nil"/>
              <w:bottom w:val="single" w:color="auto" w:sz="4" w:space="0"/>
              <w:right w:val="single" w:color="auto" w:sz="4" w:space="0"/>
            </w:tcBorders>
            <w:noWrap w:val="0"/>
            <w:vAlign w:val="center"/>
          </w:tcPr>
          <w:p w14:paraId="4130BB8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996" w:type="dxa"/>
            <w:tcBorders>
              <w:top w:val="nil"/>
              <w:left w:val="nil"/>
              <w:bottom w:val="single" w:color="auto" w:sz="4" w:space="0"/>
              <w:right w:val="single" w:color="auto" w:sz="4" w:space="0"/>
            </w:tcBorders>
            <w:noWrap w:val="0"/>
            <w:vAlign w:val="center"/>
          </w:tcPr>
          <w:p w14:paraId="7D3FBCC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Y＜1000</w:t>
            </w:r>
          </w:p>
        </w:tc>
      </w:tr>
      <w:tr w14:paraId="500C4D6C">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06127735">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零售业</w:t>
            </w:r>
          </w:p>
        </w:tc>
        <w:tc>
          <w:tcPr>
            <w:tcW w:w="1489" w:type="dxa"/>
            <w:tcBorders>
              <w:top w:val="nil"/>
              <w:left w:val="nil"/>
              <w:bottom w:val="single" w:color="auto" w:sz="4" w:space="0"/>
              <w:right w:val="single" w:color="auto" w:sz="4" w:space="0"/>
            </w:tcBorders>
            <w:noWrap w:val="0"/>
            <w:vAlign w:val="center"/>
          </w:tcPr>
          <w:p w14:paraId="1C5A702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2809016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66CB457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50≤X＜300</w:t>
            </w:r>
          </w:p>
        </w:tc>
        <w:tc>
          <w:tcPr>
            <w:tcW w:w="1549" w:type="dxa"/>
            <w:tcBorders>
              <w:top w:val="nil"/>
              <w:left w:val="nil"/>
              <w:bottom w:val="single" w:color="auto" w:sz="4" w:space="0"/>
              <w:right w:val="single" w:color="auto" w:sz="4" w:space="0"/>
            </w:tcBorders>
            <w:noWrap w:val="0"/>
            <w:vAlign w:val="center"/>
          </w:tcPr>
          <w:p w14:paraId="4274885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10≤X＜50</w:t>
            </w:r>
          </w:p>
        </w:tc>
        <w:tc>
          <w:tcPr>
            <w:tcW w:w="996" w:type="dxa"/>
            <w:tcBorders>
              <w:top w:val="nil"/>
              <w:left w:val="nil"/>
              <w:bottom w:val="single" w:color="auto" w:sz="4" w:space="0"/>
              <w:right w:val="single" w:color="auto" w:sz="4" w:space="0"/>
            </w:tcBorders>
            <w:noWrap w:val="0"/>
            <w:vAlign w:val="center"/>
          </w:tcPr>
          <w:p w14:paraId="2FE9AF1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1C068EEC">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27F00DAC">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6FD9F44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24ED7F0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387CC25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549" w:type="dxa"/>
            <w:tcBorders>
              <w:top w:val="nil"/>
              <w:left w:val="nil"/>
              <w:bottom w:val="single" w:color="auto" w:sz="4" w:space="0"/>
              <w:right w:val="single" w:color="auto" w:sz="4" w:space="0"/>
            </w:tcBorders>
            <w:noWrap w:val="0"/>
            <w:vAlign w:val="center"/>
          </w:tcPr>
          <w:p w14:paraId="5A5EEA3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100≤Y＜500</w:t>
            </w:r>
          </w:p>
        </w:tc>
        <w:tc>
          <w:tcPr>
            <w:tcW w:w="996" w:type="dxa"/>
            <w:tcBorders>
              <w:top w:val="nil"/>
              <w:left w:val="nil"/>
              <w:bottom w:val="single" w:color="auto" w:sz="4" w:space="0"/>
              <w:right w:val="single" w:color="auto" w:sz="4" w:space="0"/>
            </w:tcBorders>
            <w:noWrap w:val="0"/>
            <w:vAlign w:val="center"/>
          </w:tcPr>
          <w:p w14:paraId="769B76B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5B9D7F46">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055007A8">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交通运输业</w:t>
            </w:r>
          </w:p>
        </w:tc>
        <w:tc>
          <w:tcPr>
            <w:tcW w:w="1489" w:type="dxa"/>
            <w:tcBorders>
              <w:top w:val="nil"/>
              <w:left w:val="nil"/>
              <w:bottom w:val="single" w:color="auto" w:sz="4" w:space="0"/>
              <w:right w:val="single" w:color="auto" w:sz="4" w:space="0"/>
            </w:tcBorders>
            <w:noWrap w:val="0"/>
            <w:vAlign w:val="center"/>
          </w:tcPr>
          <w:p w14:paraId="1E2E680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5862097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1D351FC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549" w:type="dxa"/>
            <w:tcBorders>
              <w:top w:val="nil"/>
              <w:left w:val="nil"/>
              <w:bottom w:val="single" w:color="auto" w:sz="4" w:space="0"/>
              <w:right w:val="single" w:color="auto" w:sz="4" w:space="0"/>
            </w:tcBorders>
            <w:noWrap w:val="0"/>
            <w:vAlign w:val="center"/>
          </w:tcPr>
          <w:p w14:paraId="36EB736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96" w:type="dxa"/>
            <w:tcBorders>
              <w:top w:val="nil"/>
              <w:left w:val="nil"/>
              <w:bottom w:val="single" w:color="auto" w:sz="4" w:space="0"/>
              <w:right w:val="single" w:color="auto" w:sz="4" w:space="0"/>
            </w:tcBorders>
            <w:noWrap w:val="0"/>
            <w:vAlign w:val="center"/>
          </w:tcPr>
          <w:p w14:paraId="6C7143B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0904448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53980596">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78270C0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432C8FA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77F2934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3000≤Y＜30000</w:t>
            </w:r>
          </w:p>
        </w:tc>
        <w:tc>
          <w:tcPr>
            <w:tcW w:w="1549" w:type="dxa"/>
            <w:tcBorders>
              <w:top w:val="nil"/>
              <w:left w:val="nil"/>
              <w:bottom w:val="single" w:color="auto" w:sz="4" w:space="0"/>
              <w:right w:val="single" w:color="auto" w:sz="4" w:space="0"/>
            </w:tcBorders>
            <w:noWrap w:val="0"/>
            <w:vAlign w:val="center"/>
          </w:tcPr>
          <w:p w14:paraId="5280824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200≤Y＜3000</w:t>
            </w:r>
          </w:p>
        </w:tc>
        <w:tc>
          <w:tcPr>
            <w:tcW w:w="996" w:type="dxa"/>
            <w:tcBorders>
              <w:top w:val="nil"/>
              <w:left w:val="nil"/>
              <w:bottom w:val="single" w:color="auto" w:sz="4" w:space="0"/>
              <w:right w:val="single" w:color="auto" w:sz="4" w:space="0"/>
            </w:tcBorders>
            <w:noWrap w:val="0"/>
            <w:vAlign w:val="center"/>
          </w:tcPr>
          <w:p w14:paraId="581BD2E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w:t>
            </w:r>
          </w:p>
        </w:tc>
      </w:tr>
      <w:tr w14:paraId="34A7DF78">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709990AB">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仓储业</w:t>
            </w:r>
          </w:p>
        </w:tc>
        <w:tc>
          <w:tcPr>
            <w:tcW w:w="1489" w:type="dxa"/>
            <w:tcBorders>
              <w:top w:val="nil"/>
              <w:left w:val="nil"/>
              <w:bottom w:val="single" w:color="auto" w:sz="4" w:space="0"/>
              <w:right w:val="single" w:color="auto" w:sz="4" w:space="0"/>
            </w:tcBorders>
            <w:noWrap w:val="0"/>
            <w:vAlign w:val="center"/>
          </w:tcPr>
          <w:p w14:paraId="74081F0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55D223D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27861BC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w:t>
            </w:r>
          </w:p>
        </w:tc>
        <w:tc>
          <w:tcPr>
            <w:tcW w:w="1549" w:type="dxa"/>
            <w:tcBorders>
              <w:top w:val="nil"/>
              <w:left w:val="nil"/>
              <w:bottom w:val="single" w:color="auto" w:sz="4" w:space="0"/>
              <w:right w:val="single" w:color="auto" w:sz="4" w:space="0"/>
            </w:tcBorders>
            <w:noWrap w:val="0"/>
            <w:vAlign w:val="center"/>
          </w:tcPr>
          <w:p w14:paraId="11224F9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20≤X＜100</w:t>
            </w:r>
          </w:p>
        </w:tc>
        <w:tc>
          <w:tcPr>
            <w:tcW w:w="996" w:type="dxa"/>
            <w:tcBorders>
              <w:top w:val="nil"/>
              <w:left w:val="nil"/>
              <w:bottom w:val="single" w:color="auto" w:sz="4" w:space="0"/>
              <w:right w:val="single" w:color="auto" w:sz="4" w:space="0"/>
            </w:tcBorders>
            <w:noWrap w:val="0"/>
            <w:vAlign w:val="center"/>
          </w:tcPr>
          <w:p w14:paraId="0581494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55C845EC">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0A6500B9">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5205445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4DB3227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1658A49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1000≤Y＜30000</w:t>
            </w:r>
          </w:p>
        </w:tc>
        <w:tc>
          <w:tcPr>
            <w:tcW w:w="1549" w:type="dxa"/>
            <w:tcBorders>
              <w:top w:val="nil"/>
              <w:left w:val="nil"/>
              <w:bottom w:val="single" w:color="auto" w:sz="4" w:space="0"/>
              <w:right w:val="single" w:color="auto" w:sz="4" w:space="0"/>
            </w:tcBorders>
            <w:noWrap w:val="0"/>
            <w:vAlign w:val="center"/>
          </w:tcPr>
          <w:p w14:paraId="3089B02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96" w:type="dxa"/>
            <w:tcBorders>
              <w:top w:val="nil"/>
              <w:left w:val="nil"/>
              <w:bottom w:val="single" w:color="auto" w:sz="4" w:space="0"/>
              <w:right w:val="single" w:color="auto" w:sz="4" w:space="0"/>
            </w:tcBorders>
            <w:noWrap w:val="0"/>
            <w:vAlign w:val="center"/>
          </w:tcPr>
          <w:p w14:paraId="369D186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066E8C7E">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1E246F61">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邮政业</w:t>
            </w:r>
          </w:p>
        </w:tc>
        <w:tc>
          <w:tcPr>
            <w:tcW w:w="1489" w:type="dxa"/>
            <w:tcBorders>
              <w:top w:val="nil"/>
              <w:left w:val="nil"/>
              <w:bottom w:val="single" w:color="auto" w:sz="4" w:space="0"/>
              <w:right w:val="single" w:color="auto" w:sz="4" w:space="0"/>
            </w:tcBorders>
            <w:noWrap w:val="0"/>
            <w:vAlign w:val="center"/>
          </w:tcPr>
          <w:p w14:paraId="05E7D15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5ADC88E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612C137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549" w:type="dxa"/>
            <w:tcBorders>
              <w:top w:val="nil"/>
              <w:left w:val="nil"/>
              <w:bottom w:val="single" w:color="auto" w:sz="4" w:space="0"/>
              <w:right w:val="single" w:color="auto" w:sz="4" w:space="0"/>
            </w:tcBorders>
            <w:noWrap w:val="0"/>
            <w:vAlign w:val="center"/>
          </w:tcPr>
          <w:p w14:paraId="6D057DD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96" w:type="dxa"/>
            <w:tcBorders>
              <w:top w:val="nil"/>
              <w:left w:val="nil"/>
              <w:bottom w:val="single" w:color="auto" w:sz="4" w:space="0"/>
              <w:right w:val="single" w:color="auto" w:sz="4" w:space="0"/>
            </w:tcBorders>
            <w:noWrap w:val="0"/>
            <w:vAlign w:val="center"/>
          </w:tcPr>
          <w:p w14:paraId="6FE4AF9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52CF2F89">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4BC98396">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02606DC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610ED2E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6C5C716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2000≤Y＜30000</w:t>
            </w:r>
          </w:p>
        </w:tc>
        <w:tc>
          <w:tcPr>
            <w:tcW w:w="1549" w:type="dxa"/>
            <w:tcBorders>
              <w:top w:val="nil"/>
              <w:left w:val="nil"/>
              <w:bottom w:val="single" w:color="auto" w:sz="4" w:space="0"/>
              <w:right w:val="single" w:color="auto" w:sz="4" w:space="0"/>
            </w:tcBorders>
            <w:noWrap w:val="0"/>
            <w:vAlign w:val="center"/>
          </w:tcPr>
          <w:p w14:paraId="5013A38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96" w:type="dxa"/>
            <w:tcBorders>
              <w:top w:val="nil"/>
              <w:left w:val="nil"/>
              <w:bottom w:val="single" w:color="auto" w:sz="4" w:space="0"/>
              <w:right w:val="single" w:color="auto" w:sz="4" w:space="0"/>
            </w:tcBorders>
            <w:noWrap w:val="0"/>
            <w:vAlign w:val="center"/>
          </w:tcPr>
          <w:p w14:paraId="000B0A7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56207D1F">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1D1B824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住宿业</w:t>
            </w:r>
          </w:p>
        </w:tc>
        <w:tc>
          <w:tcPr>
            <w:tcW w:w="1489" w:type="dxa"/>
            <w:tcBorders>
              <w:top w:val="nil"/>
              <w:left w:val="nil"/>
              <w:bottom w:val="single" w:color="auto" w:sz="4" w:space="0"/>
              <w:right w:val="single" w:color="auto" w:sz="4" w:space="0"/>
            </w:tcBorders>
            <w:noWrap w:val="0"/>
            <w:vAlign w:val="center"/>
          </w:tcPr>
          <w:p w14:paraId="0DCA0AA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699FB0B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130C646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6DBA1E1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1395C1B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624F09AF">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28EE1B4A">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246A1C1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6941E49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5102DB4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549" w:type="dxa"/>
            <w:tcBorders>
              <w:top w:val="nil"/>
              <w:left w:val="nil"/>
              <w:bottom w:val="single" w:color="auto" w:sz="4" w:space="0"/>
              <w:right w:val="single" w:color="auto" w:sz="4" w:space="0"/>
            </w:tcBorders>
            <w:noWrap w:val="0"/>
            <w:vAlign w:val="center"/>
          </w:tcPr>
          <w:p w14:paraId="641A78B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96" w:type="dxa"/>
            <w:tcBorders>
              <w:top w:val="nil"/>
              <w:left w:val="nil"/>
              <w:bottom w:val="single" w:color="auto" w:sz="4" w:space="0"/>
              <w:right w:val="single" w:color="auto" w:sz="4" w:space="0"/>
            </w:tcBorders>
            <w:noWrap w:val="0"/>
            <w:vAlign w:val="center"/>
          </w:tcPr>
          <w:p w14:paraId="613424B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6C66E208">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3D8A3D2E">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餐饮业</w:t>
            </w:r>
          </w:p>
        </w:tc>
        <w:tc>
          <w:tcPr>
            <w:tcW w:w="1489" w:type="dxa"/>
            <w:tcBorders>
              <w:top w:val="nil"/>
              <w:left w:val="nil"/>
              <w:bottom w:val="single" w:color="auto" w:sz="4" w:space="0"/>
              <w:right w:val="single" w:color="auto" w:sz="4" w:space="0"/>
            </w:tcBorders>
            <w:noWrap w:val="0"/>
            <w:vAlign w:val="center"/>
          </w:tcPr>
          <w:p w14:paraId="2B36B6B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016D424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74AAEC2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4073831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68D9873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09298C3A">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1B1D1D8B">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0FB7302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553D0DF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2389300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549" w:type="dxa"/>
            <w:tcBorders>
              <w:top w:val="nil"/>
              <w:left w:val="nil"/>
              <w:bottom w:val="single" w:color="auto" w:sz="4" w:space="0"/>
              <w:right w:val="single" w:color="auto" w:sz="4" w:space="0"/>
            </w:tcBorders>
            <w:noWrap w:val="0"/>
            <w:vAlign w:val="center"/>
          </w:tcPr>
          <w:p w14:paraId="783C8C2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96" w:type="dxa"/>
            <w:tcBorders>
              <w:top w:val="nil"/>
              <w:left w:val="nil"/>
              <w:bottom w:val="single" w:color="auto" w:sz="4" w:space="0"/>
              <w:right w:val="single" w:color="auto" w:sz="4" w:space="0"/>
            </w:tcBorders>
            <w:noWrap w:val="0"/>
            <w:vAlign w:val="center"/>
          </w:tcPr>
          <w:p w14:paraId="5B8577D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60859434">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7ACF9C8F">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信息传输业</w:t>
            </w:r>
          </w:p>
        </w:tc>
        <w:tc>
          <w:tcPr>
            <w:tcW w:w="1489" w:type="dxa"/>
            <w:tcBorders>
              <w:top w:val="nil"/>
              <w:left w:val="nil"/>
              <w:bottom w:val="single" w:color="auto" w:sz="4" w:space="0"/>
              <w:right w:val="single" w:color="auto" w:sz="4" w:space="0"/>
            </w:tcBorders>
            <w:noWrap w:val="0"/>
            <w:vAlign w:val="center"/>
          </w:tcPr>
          <w:p w14:paraId="76D96A1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3E6AEC7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1345A61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100≤X＜2000</w:t>
            </w:r>
          </w:p>
        </w:tc>
        <w:tc>
          <w:tcPr>
            <w:tcW w:w="1549" w:type="dxa"/>
            <w:tcBorders>
              <w:top w:val="nil"/>
              <w:left w:val="nil"/>
              <w:bottom w:val="single" w:color="auto" w:sz="4" w:space="0"/>
              <w:right w:val="single" w:color="auto" w:sz="4" w:space="0"/>
            </w:tcBorders>
            <w:noWrap w:val="0"/>
            <w:vAlign w:val="center"/>
          </w:tcPr>
          <w:p w14:paraId="54ACF1A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57CE0DA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65291D17">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54392541">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4BB5509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037A1F1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156A790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1000≤Y＜100000</w:t>
            </w:r>
          </w:p>
        </w:tc>
        <w:tc>
          <w:tcPr>
            <w:tcW w:w="1549" w:type="dxa"/>
            <w:tcBorders>
              <w:top w:val="nil"/>
              <w:left w:val="nil"/>
              <w:bottom w:val="single" w:color="auto" w:sz="4" w:space="0"/>
              <w:right w:val="single" w:color="auto" w:sz="4" w:space="0"/>
            </w:tcBorders>
            <w:noWrap w:val="0"/>
            <w:vAlign w:val="center"/>
          </w:tcPr>
          <w:p w14:paraId="4843176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96" w:type="dxa"/>
            <w:tcBorders>
              <w:top w:val="nil"/>
              <w:left w:val="nil"/>
              <w:bottom w:val="single" w:color="auto" w:sz="4" w:space="0"/>
              <w:right w:val="single" w:color="auto" w:sz="4" w:space="0"/>
            </w:tcBorders>
            <w:noWrap w:val="0"/>
            <w:vAlign w:val="center"/>
          </w:tcPr>
          <w:p w14:paraId="2C638DE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642DD21A">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3BB31A5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软件和信息技术服务业</w:t>
            </w:r>
          </w:p>
        </w:tc>
        <w:tc>
          <w:tcPr>
            <w:tcW w:w="1489" w:type="dxa"/>
            <w:tcBorders>
              <w:top w:val="nil"/>
              <w:left w:val="nil"/>
              <w:bottom w:val="single" w:color="auto" w:sz="4" w:space="0"/>
              <w:right w:val="single" w:color="auto" w:sz="4" w:space="0"/>
            </w:tcBorders>
            <w:noWrap w:val="0"/>
            <w:vAlign w:val="center"/>
          </w:tcPr>
          <w:p w14:paraId="0C283EE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44C3329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47A0EBE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07CF611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1E52A07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7CEA1DA5">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33A14107">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4C09B6F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5FCCF59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6B1AE8B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w:t>
            </w:r>
          </w:p>
        </w:tc>
        <w:tc>
          <w:tcPr>
            <w:tcW w:w="1549" w:type="dxa"/>
            <w:tcBorders>
              <w:top w:val="nil"/>
              <w:left w:val="nil"/>
              <w:bottom w:val="single" w:color="auto" w:sz="4" w:space="0"/>
              <w:right w:val="single" w:color="auto" w:sz="4" w:space="0"/>
            </w:tcBorders>
            <w:noWrap w:val="0"/>
            <w:vAlign w:val="center"/>
          </w:tcPr>
          <w:p w14:paraId="47EEF91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50≤Y＜1000</w:t>
            </w:r>
          </w:p>
        </w:tc>
        <w:tc>
          <w:tcPr>
            <w:tcW w:w="996" w:type="dxa"/>
            <w:tcBorders>
              <w:top w:val="nil"/>
              <w:left w:val="nil"/>
              <w:bottom w:val="single" w:color="auto" w:sz="4" w:space="0"/>
              <w:right w:val="single" w:color="auto" w:sz="4" w:space="0"/>
            </w:tcBorders>
            <w:noWrap w:val="0"/>
            <w:vAlign w:val="center"/>
          </w:tcPr>
          <w:p w14:paraId="4B9855F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44C2E66B">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5F33E6B8">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房地产开发经营</w:t>
            </w:r>
          </w:p>
        </w:tc>
        <w:tc>
          <w:tcPr>
            <w:tcW w:w="1489" w:type="dxa"/>
            <w:tcBorders>
              <w:top w:val="nil"/>
              <w:left w:val="nil"/>
              <w:bottom w:val="single" w:color="auto" w:sz="4" w:space="0"/>
              <w:right w:val="single" w:color="auto" w:sz="4" w:space="0"/>
            </w:tcBorders>
            <w:noWrap w:val="0"/>
            <w:vAlign w:val="center"/>
          </w:tcPr>
          <w:p w14:paraId="1909A8A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3937556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050A112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1000≤Y＜200000</w:t>
            </w:r>
          </w:p>
        </w:tc>
        <w:tc>
          <w:tcPr>
            <w:tcW w:w="1549" w:type="dxa"/>
            <w:tcBorders>
              <w:top w:val="nil"/>
              <w:left w:val="nil"/>
              <w:bottom w:val="single" w:color="auto" w:sz="4" w:space="0"/>
              <w:right w:val="single" w:color="auto" w:sz="4" w:space="0"/>
            </w:tcBorders>
            <w:noWrap w:val="0"/>
            <w:vAlign w:val="center"/>
          </w:tcPr>
          <w:p w14:paraId="38DED90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100≤X＜1000</w:t>
            </w:r>
          </w:p>
        </w:tc>
        <w:tc>
          <w:tcPr>
            <w:tcW w:w="996" w:type="dxa"/>
            <w:tcBorders>
              <w:top w:val="nil"/>
              <w:left w:val="nil"/>
              <w:bottom w:val="single" w:color="auto" w:sz="4" w:space="0"/>
              <w:right w:val="single" w:color="auto" w:sz="4" w:space="0"/>
            </w:tcBorders>
            <w:noWrap w:val="0"/>
            <w:vAlign w:val="center"/>
          </w:tcPr>
          <w:p w14:paraId="3C37082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14:paraId="570DA8FD">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493C88D7">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58EAE53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983" w:type="dxa"/>
            <w:tcBorders>
              <w:top w:val="nil"/>
              <w:left w:val="nil"/>
              <w:bottom w:val="single" w:color="auto" w:sz="4" w:space="0"/>
              <w:right w:val="single" w:color="auto" w:sz="4" w:space="0"/>
            </w:tcBorders>
            <w:noWrap w:val="0"/>
            <w:vAlign w:val="center"/>
          </w:tcPr>
          <w:p w14:paraId="7DE6D06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55A418C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5000≤Z＜10000</w:t>
            </w:r>
          </w:p>
        </w:tc>
        <w:tc>
          <w:tcPr>
            <w:tcW w:w="1549" w:type="dxa"/>
            <w:tcBorders>
              <w:top w:val="nil"/>
              <w:left w:val="nil"/>
              <w:bottom w:val="single" w:color="auto" w:sz="4" w:space="0"/>
              <w:right w:val="single" w:color="auto" w:sz="4" w:space="0"/>
            </w:tcBorders>
            <w:noWrap w:val="0"/>
            <w:vAlign w:val="center"/>
          </w:tcPr>
          <w:p w14:paraId="7371ACD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2000≤Y＜5000</w:t>
            </w:r>
          </w:p>
        </w:tc>
        <w:tc>
          <w:tcPr>
            <w:tcW w:w="996" w:type="dxa"/>
            <w:tcBorders>
              <w:top w:val="nil"/>
              <w:left w:val="nil"/>
              <w:bottom w:val="single" w:color="auto" w:sz="4" w:space="0"/>
              <w:right w:val="single" w:color="auto" w:sz="4" w:space="0"/>
            </w:tcBorders>
            <w:noWrap w:val="0"/>
            <w:vAlign w:val="center"/>
          </w:tcPr>
          <w:p w14:paraId="0BC3A8C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Y＜2000</w:t>
            </w:r>
          </w:p>
        </w:tc>
      </w:tr>
      <w:tr w14:paraId="2F9655D4">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27AA95EC">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物业管理</w:t>
            </w:r>
          </w:p>
        </w:tc>
        <w:tc>
          <w:tcPr>
            <w:tcW w:w="1489" w:type="dxa"/>
            <w:tcBorders>
              <w:top w:val="nil"/>
              <w:left w:val="nil"/>
              <w:bottom w:val="single" w:color="auto" w:sz="4" w:space="0"/>
              <w:right w:val="single" w:color="auto" w:sz="4" w:space="0"/>
            </w:tcBorders>
            <w:noWrap w:val="0"/>
            <w:vAlign w:val="center"/>
          </w:tcPr>
          <w:p w14:paraId="6624730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529F8A5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68C1335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549" w:type="dxa"/>
            <w:tcBorders>
              <w:top w:val="nil"/>
              <w:left w:val="nil"/>
              <w:bottom w:val="single" w:color="auto" w:sz="4" w:space="0"/>
              <w:right w:val="single" w:color="auto" w:sz="4" w:space="0"/>
            </w:tcBorders>
            <w:noWrap w:val="0"/>
            <w:vAlign w:val="center"/>
          </w:tcPr>
          <w:p w14:paraId="6D93E87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996" w:type="dxa"/>
            <w:tcBorders>
              <w:top w:val="nil"/>
              <w:left w:val="nil"/>
              <w:bottom w:val="single" w:color="auto" w:sz="4" w:space="0"/>
              <w:right w:val="single" w:color="auto" w:sz="4" w:space="0"/>
            </w:tcBorders>
            <w:noWrap w:val="0"/>
            <w:vAlign w:val="center"/>
          </w:tcPr>
          <w:p w14:paraId="51170FA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14:paraId="1C6E2072">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4F156D45">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404E6E9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330C3F3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391C489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549" w:type="dxa"/>
            <w:tcBorders>
              <w:top w:val="nil"/>
              <w:left w:val="nil"/>
              <w:bottom w:val="single" w:color="auto" w:sz="4" w:space="0"/>
              <w:right w:val="single" w:color="auto" w:sz="4" w:space="0"/>
            </w:tcBorders>
            <w:noWrap w:val="0"/>
            <w:vAlign w:val="center"/>
          </w:tcPr>
          <w:p w14:paraId="2FF3C94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500≤Y＜1000</w:t>
            </w:r>
          </w:p>
        </w:tc>
        <w:tc>
          <w:tcPr>
            <w:tcW w:w="996" w:type="dxa"/>
            <w:tcBorders>
              <w:top w:val="nil"/>
              <w:left w:val="nil"/>
              <w:bottom w:val="single" w:color="auto" w:sz="4" w:space="0"/>
              <w:right w:val="single" w:color="auto" w:sz="4" w:space="0"/>
            </w:tcBorders>
            <w:noWrap w:val="0"/>
            <w:vAlign w:val="center"/>
          </w:tcPr>
          <w:p w14:paraId="4D6C254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Y＜500</w:t>
            </w:r>
          </w:p>
        </w:tc>
      </w:tr>
      <w:tr w14:paraId="7DA9C46C">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noWrap w:val="0"/>
            <w:vAlign w:val="bottom"/>
          </w:tcPr>
          <w:p w14:paraId="1E86F7A7">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租赁和商务服务业</w:t>
            </w:r>
          </w:p>
        </w:tc>
        <w:tc>
          <w:tcPr>
            <w:tcW w:w="1489" w:type="dxa"/>
            <w:tcBorders>
              <w:top w:val="nil"/>
              <w:left w:val="nil"/>
              <w:bottom w:val="single" w:color="auto" w:sz="4" w:space="0"/>
              <w:right w:val="single" w:color="auto" w:sz="4" w:space="0"/>
            </w:tcBorders>
            <w:noWrap w:val="0"/>
            <w:vAlign w:val="center"/>
          </w:tcPr>
          <w:p w14:paraId="0E0236C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03D2AC3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3586CF7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499167D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5A9BE6F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3928B068">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noWrap w:val="0"/>
            <w:vAlign w:val="center"/>
          </w:tcPr>
          <w:p w14:paraId="10F1ACCF">
            <w:pPr>
              <w:widowControl/>
              <w:jc w:val="left"/>
              <w:rPr>
                <w:rFonts w:ascii="宋体" w:hAnsi="宋体" w:eastAsia="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7197EB4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983" w:type="dxa"/>
            <w:tcBorders>
              <w:top w:val="nil"/>
              <w:left w:val="nil"/>
              <w:bottom w:val="single" w:color="auto" w:sz="4" w:space="0"/>
              <w:right w:val="single" w:color="auto" w:sz="4" w:space="0"/>
            </w:tcBorders>
            <w:noWrap w:val="0"/>
            <w:vAlign w:val="center"/>
          </w:tcPr>
          <w:p w14:paraId="3186F38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75CAEAC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8000≤Z＜120000</w:t>
            </w:r>
          </w:p>
        </w:tc>
        <w:tc>
          <w:tcPr>
            <w:tcW w:w="1549" w:type="dxa"/>
            <w:tcBorders>
              <w:top w:val="nil"/>
              <w:left w:val="nil"/>
              <w:bottom w:val="single" w:color="auto" w:sz="4" w:space="0"/>
              <w:right w:val="single" w:color="auto" w:sz="4" w:space="0"/>
            </w:tcBorders>
            <w:noWrap w:val="0"/>
            <w:vAlign w:val="center"/>
          </w:tcPr>
          <w:p w14:paraId="65289AE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100≤Z＜8000</w:t>
            </w:r>
          </w:p>
        </w:tc>
        <w:tc>
          <w:tcPr>
            <w:tcW w:w="996" w:type="dxa"/>
            <w:tcBorders>
              <w:top w:val="nil"/>
              <w:left w:val="nil"/>
              <w:bottom w:val="single" w:color="auto" w:sz="4" w:space="0"/>
              <w:right w:val="single" w:color="auto" w:sz="4" w:space="0"/>
            </w:tcBorders>
            <w:noWrap w:val="0"/>
            <w:vAlign w:val="center"/>
          </w:tcPr>
          <w:p w14:paraId="469A2E8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3C3D7C40">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noWrap w:val="0"/>
            <w:vAlign w:val="bottom"/>
          </w:tcPr>
          <w:p w14:paraId="28A021C1">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其他未列明行业</w:t>
            </w:r>
          </w:p>
        </w:tc>
        <w:tc>
          <w:tcPr>
            <w:tcW w:w="1489" w:type="dxa"/>
            <w:tcBorders>
              <w:top w:val="nil"/>
              <w:left w:val="nil"/>
              <w:bottom w:val="single" w:color="auto" w:sz="4" w:space="0"/>
              <w:right w:val="single" w:color="auto" w:sz="4" w:space="0"/>
            </w:tcBorders>
            <w:noWrap w:val="0"/>
            <w:vAlign w:val="center"/>
          </w:tcPr>
          <w:p w14:paraId="15A4F96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1AF3086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7471B0C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420FDE1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0DC2568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14:paraId="7A35E547">
      <w:pPr>
        <w:snapToGrid w:val="0"/>
        <w:spacing w:line="380" w:lineRule="exact"/>
        <w:ind w:firstLine="411" w:firstLineChars="196"/>
        <w:jc w:val="left"/>
        <w:rPr>
          <w:rFonts w:hint="eastAsia" w:ascii="宋体" w:hAnsi="Times New Roman" w:eastAsia="宋体" w:cs="Times New Roman"/>
          <w:sz w:val="18"/>
          <w:szCs w:val="18"/>
        </w:rPr>
      </w:pPr>
      <w:r>
        <w:rPr>
          <w:rFonts w:hint="eastAsia" w:ascii="宋体" w:hAnsi="宋体" w:eastAsia="宋体" w:cs="Times New Roman"/>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10F276A">
      <w:pPr>
        <w:spacing w:line="520" w:lineRule="exact"/>
        <w:jc w:val="center"/>
        <w:rPr>
          <w:rFonts w:hint="eastAsia" w:ascii="仿宋_GB2312" w:hAnsi="仿宋_GB2312" w:eastAsia="仿宋_GB2312" w:cs="仿宋_GB2312"/>
          <w:color w:val="000000"/>
          <w:sz w:val="32"/>
          <w:szCs w:val="32"/>
          <w:highlight w:val="none"/>
        </w:rPr>
      </w:pPr>
      <w:r>
        <w:rPr>
          <w:rFonts w:ascii="Times New Roman" w:hAnsi="Times New Roman" w:eastAsia="宋体" w:cs="Times New Roman"/>
        </w:rPr>
        <w:br w:type="page"/>
      </w:r>
      <w:r>
        <w:rPr>
          <w:rFonts w:hint="eastAsia" w:ascii="方正小标宋简体" w:hAnsi="方正小标宋简体" w:eastAsia="方正小标宋简体" w:cs="方正小标宋简体"/>
          <w:color w:val="000000"/>
          <w:sz w:val="40"/>
          <w:szCs w:val="40"/>
          <w:highlight w:val="none"/>
        </w:rPr>
        <w:t>残疾人福利性单位声明函</w:t>
      </w:r>
    </w:p>
    <w:p w14:paraId="4F2A7BDB">
      <w:pPr>
        <w:spacing w:line="360" w:lineRule="auto"/>
        <w:contextualSpacing/>
        <w:rPr>
          <w:rFonts w:hint="eastAsia" w:ascii="仿宋_GB2312" w:hAnsi="仿宋_GB2312" w:eastAsia="仿宋_GB2312" w:cs="仿宋_GB2312"/>
          <w:color w:val="000000"/>
          <w:sz w:val="32"/>
          <w:szCs w:val="32"/>
          <w:highlight w:val="none"/>
        </w:rPr>
      </w:pPr>
    </w:p>
    <w:p w14:paraId="436BB0EF">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单位的</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项目采购活动提供本单位制造的货物（由本单位承担工程/提供服务），或者提供其他残疾人福利性单位制造的货物（不包括使用非残疾人福利性单位注册商标的货物）。</w:t>
      </w:r>
    </w:p>
    <w:p w14:paraId="4AC4BA9D">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本单位对上述声明的真实性负责。如有虚假，将依法承担相应责任。</w:t>
      </w:r>
    </w:p>
    <w:p w14:paraId="2CE40BB0">
      <w:pPr>
        <w:spacing w:line="360" w:lineRule="auto"/>
        <w:contextualSpacing/>
        <w:rPr>
          <w:rFonts w:hint="eastAsia" w:ascii="宋体" w:hAnsi="宋体" w:cs="仿宋_GB2312"/>
          <w:color w:val="000000"/>
          <w:sz w:val="24"/>
          <w:highlight w:val="none"/>
        </w:rPr>
      </w:pPr>
    </w:p>
    <w:p w14:paraId="6C39BB75">
      <w:pPr>
        <w:spacing w:line="360" w:lineRule="auto"/>
        <w:contextualSpacing/>
        <w:rPr>
          <w:rFonts w:hint="eastAsia" w:ascii="宋体" w:hAnsi="宋体" w:cs="仿宋_GB2312"/>
          <w:color w:val="000000"/>
          <w:sz w:val="24"/>
          <w:highlight w:val="none"/>
        </w:rPr>
      </w:pPr>
    </w:p>
    <w:p w14:paraId="6584C7A2">
      <w:pPr>
        <w:spacing w:line="360" w:lineRule="auto"/>
        <w:contextualSpacing/>
        <w:rPr>
          <w:rFonts w:hint="eastAsia" w:ascii="宋体" w:hAnsi="宋体" w:cs="仿宋_GB2312"/>
          <w:color w:val="000000"/>
          <w:sz w:val="24"/>
          <w:highlight w:val="none"/>
        </w:rPr>
      </w:pPr>
    </w:p>
    <w:p w14:paraId="077518FC">
      <w:pPr>
        <w:spacing w:line="360" w:lineRule="auto"/>
        <w:ind w:firstLine="4560" w:firstLineChars="19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单位名称（盖章）：</w:t>
      </w:r>
    </w:p>
    <w:p w14:paraId="56592B0C">
      <w:pPr>
        <w:spacing w:line="360" w:lineRule="auto"/>
        <w:ind w:firstLine="5040" w:firstLineChars="21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日  期：</w:t>
      </w:r>
    </w:p>
    <w:p w14:paraId="2EEFE2C1">
      <w:pPr>
        <w:spacing w:line="360" w:lineRule="auto"/>
        <w:contextualSpacing/>
        <w:rPr>
          <w:rFonts w:hint="eastAsia" w:ascii="宋体" w:hAnsi="宋体" w:cs="仿宋_GB2312"/>
          <w:color w:val="000000"/>
          <w:sz w:val="24"/>
          <w:highlight w:val="none"/>
        </w:rPr>
      </w:pPr>
    </w:p>
    <w:p w14:paraId="17517E1E">
      <w:pPr>
        <w:spacing w:line="360" w:lineRule="auto"/>
        <w:contextualSpacing/>
        <w:rPr>
          <w:rFonts w:hint="eastAsia" w:ascii="宋体" w:hAnsi="宋体" w:cs="仿宋_GB2312"/>
          <w:color w:val="000000"/>
          <w:sz w:val="24"/>
          <w:highlight w:val="none"/>
        </w:rPr>
      </w:pPr>
    </w:p>
    <w:p w14:paraId="72066143">
      <w:pPr>
        <w:spacing w:line="360" w:lineRule="auto"/>
        <w:contextualSpacing/>
        <w:rPr>
          <w:rFonts w:hint="eastAsia" w:ascii="宋体" w:hAnsi="宋体" w:cs="仿宋_GB2312"/>
          <w:color w:val="000000"/>
          <w:sz w:val="24"/>
          <w:highlight w:val="none"/>
        </w:rPr>
      </w:pPr>
    </w:p>
    <w:p w14:paraId="68957A3F">
      <w:pPr>
        <w:pStyle w:val="12"/>
        <w:tabs>
          <w:tab w:val="left" w:pos="939"/>
        </w:tabs>
        <w:spacing w:line="360" w:lineRule="auto"/>
        <w:ind w:left="0" w:leftChars="0" w:firstLine="720" w:firstLineChars="300"/>
        <w:rPr>
          <w:rFonts w:hint="eastAsia"/>
          <w:color w:val="000000"/>
          <w:sz w:val="24"/>
          <w:szCs w:val="24"/>
          <w:highlight w:val="none"/>
        </w:rPr>
      </w:pPr>
      <w:r>
        <w:rPr>
          <w:rFonts w:hint="eastAsia" w:ascii="宋体" w:hAnsi="宋体" w:cs="仿宋_GB2312"/>
          <w:color w:val="00000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000000"/>
          <w:sz w:val="28"/>
          <w:szCs w:val="28"/>
          <w:highlight w:val="none"/>
        </w:rPr>
        <w:br w:type="page"/>
      </w:r>
    </w:p>
    <w:p w14:paraId="6D83C266">
      <w:pPr>
        <w:spacing w:line="360" w:lineRule="auto"/>
        <w:ind w:right="420"/>
        <w:contextualSpacing/>
        <w:jc w:val="left"/>
        <w:rPr>
          <w:rFonts w:ascii="宋体" w:hAnsi="宋体"/>
          <w:b/>
          <w:color w:val="000000"/>
          <w:sz w:val="32"/>
          <w:szCs w:val="32"/>
          <w:highlight w:val="none"/>
        </w:rPr>
      </w:pPr>
      <w:r>
        <w:rPr>
          <w:rFonts w:hint="eastAsia" w:ascii="宋体" w:hAnsi="宋体"/>
          <w:b/>
          <w:bCs/>
          <w:color w:val="000000"/>
          <w:sz w:val="32"/>
          <w:szCs w:val="32"/>
          <w:highlight w:val="none"/>
        </w:rPr>
        <w:t>二、</w:t>
      </w:r>
      <w:r>
        <w:rPr>
          <w:rFonts w:hint="eastAsia" w:ascii="宋体" w:hAnsi="宋体"/>
          <w:b/>
          <w:color w:val="000000"/>
          <w:sz w:val="32"/>
          <w:szCs w:val="32"/>
          <w:highlight w:val="none"/>
        </w:rPr>
        <w:t xml:space="preserve">报价文件格式 </w:t>
      </w:r>
    </w:p>
    <w:p w14:paraId="14C33C21">
      <w:pPr>
        <w:snapToGrid w:val="0"/>
        <w:spacing w:before="156" w:beforeLines="50" w:after="50" w:line="360" w:lineRule="auto"/>
        <w:jc w:val="left"/>
        <w:rPr>
          <w:rFonts w:hint="eastAsia" w:ascii="宋体" w:hAnsi="宋体"/>
          <w:b/>
          <w:color w:val="000000"/>
          <w:sz w:val="32"/>
          <w:szCs w:val="32"/>
          <w:highlight w:val="none"/>
        </w:rPr>
      </w:pPr>
      <w:r>
        <w:rPr>
          <w:rFonts w:hint="eastAsia" w:ascii="宋体" w:hAnsi="宋体"/>
          <w:b/>
          <w:color w:val="000000"/>
          <w:sz w:val="32"/>
          <w:szCs w:val="32"/>
          <w:highlight w:val="none"/>
        </w:rPr>
        <w:t>1.报价文件封面格式</w:t>
      </w:r>
    </w:p>
    <w:p w14:paraId="03101D97">
      <w:pPr>
        <w:snapToGrid w:val="0"/>
        <w:spacing w:before="156" w:beforeLines="50" w:after="50"/>
        <w:rPr>
          <w:rFonts w:hint="eastAsia" w:ascii="宋体" w:hAnsi="宋体"/>
          <w:bCs/>
          <w:color w:val="000000"/>
          <w:sz w:val="32"/>
          <w:szCs w:val="20"/>
          <w:highlight w:val="none"/>
        </w:rPr>
      </w:pPr>
      <w:r>
        <w:rPr>
          <w:rFonts w:hint="eastAsia" w:ascii="宋体" w:hAnsi="宋体"/>
          <w:color w:val="000000"/>
          <w:sz w:val="24"/>
          <w:highlight w:val="none"/>
        </w:rPr>
        <w:t xml:space="preserve">                                                    </w:t>
      </w:r>
    </w:p>
    <w:p w14:paraId="46E02061">
      <w:pPr>
        <w:snapToGrid w:val="0"/>
        <w:spacing w:before="156" w:beforeLines="50" w:after="50"/>
        <w:jc w:val="center"/>
        <w:rPr>
          <w:rFonts w:hint="eastAsia" w:ascii="宋体" w:hAnsi="宋体"/>
          <w:color w:val="000000"/>
          <w:sz w:val="24"/>
          <w:szCs w:val="20"/>
          <w:highlight w:val="none"/>
        </w:rPr>
      </w:pPr>
      <w:r>
        <w:rPr>
          <w:rFonts w:hint="eastAsia" w:ascii="宋体" w:hAnsi="宋体"/>
          <w:color w:val="000000"/>
          <w:sz w:val="44"/>
          <w:szCs w:val="44"/>
          <w:highlight w:val="none"/>
        </w:rPr>
        <w:t>电 子 响 应 文 件</w:t>
      </w:r>
    </w:p>
    <w:p w14:paraId="74E333D5">
      <w:pPr>
        <w:snapToGrid w:val="0"/>
        <w:spacing w:before="156" w:beforeLines="50" w:after="50"/>
        <w:rPr>
          <w:rFonts w:hint="eastAsia" w:ascii="宋体" w:hAnsi="宋体"/>
          <w:color w:val="000000"/>
          <w:sz w:val="24"/>
          <w:szCs w:val="20"/>
          <w:highlight w:val="none"/>
        </w:rPr>
      </w:pPr>
    </w:p>
    <w:p w14:paraId="21918EE7">
      <w:pPr>
        <w:snapToGrid w:val="0"/>
        <w:spacing w:before="156" w:beforeLines="50" w:after="50"/>
        <w:rPr>
          <w:rFonts w:hint="eastAsia" w:ascii="宋体" w:hAnsi="宋体"/>
          <w:color w:val="000000"/>
          <w:sz w:val="24"/>
          <w:szCs w:val="20"/>
          <w:highlight w:val="none"/>
        </w:rPr>
      </w:pPr>
    </w:p>
    <w:p w14:paraId="52B2858B">
      <w:pPr>
        <w:snapToGrid w:val="0"/>
        <w:spacing w:before="156" w:beforeLines="50" w:after="50"/>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报  价  文  件</w:t>
      </w:r>
    </w:p>
    <w:p w14:paraId="4F9CE060">
      <w:pPr>
        <w:snapToGrid w:val="0"/>
        <w:spacing w:before="156" w:beforeLines="50" w:after="50"/>
        <w:rPr>
          <w:rFonts w:hint="eastAsia" w:ascii="宋体" w:hAnsi="宋体"/>
          <w:bCs/>
          <w:color w:val="000000"/>
          <w:sz w:val="24"/>
          <w:szCs w:val="20"/>
          <w:highlight w:val="none"/>
        </w:rPr>
      </w:pPr>
    </w:p>
    <w:p w14:paraId="0CE976A2">
      <w:pPr>
        <w:snapToGrid w:val="0"/>
        <w:spacing w:before="156" w:beforeLines="50" w:after="50"/>
        <w:rPr>
          <w:rFonts w:hint="eastAsia" w:ascii="宋体" w:hAnsi="宋体"/>
          <w:bCs/>
          <w:color w:val="000000"/>
          <w:sz w:val="24"/>
          <w:szCs w:val="20"/>
          <w:highlight w:val="none"/>
        </w:rPr>
      </w:pPr>
    </w:p>
    <w:p w14:paraId="3BC9343C">
      <w:pPr>
        <w:snapToGrid w:val="0"/>
        <w:spacing w:before="156" w:beforeLines="50" w:after="50"/>
        <w:rPr>
          <w:rFonts w:hint="eastAsia" w:ascii="宋体" w:hAnsi="宋体"/>
          <w:bCs/>
          <w:color w:val="000000"/>
          <w:sz w:val="24"/>
          <w:szCs w:val="20"/>
          <w:highlight w:val="none"/>
        </w:rPr>
      </w:pPr>
    </w:p>
    <w:p w14:paraId="743EEE5D">
      <w:pPr>
        <w:snapToGrid w:val="0"/>
        <w:spacing w:before="156" w:beforeLines="50" w:after="50"/>
        <w:rPr>
          <w:rFonts w:hint="eastAsia" w:ascii="宋体" w:hAnsi="宋体"/>
          <w:bCs/>
          <w:color w:val="000000"/>
          <w:sz w:val="24"/>
          <w:szCs w:val="20"/>
          <w:highlight w:val="none"/>
        </w:rPr>
      </w:pPr>
    </w:p>
    <w:p w14:paraId="1ABE73B0">
      <w:pPr>
        <w:snapToGrid w:val="0"/>
        <w:spacing w:before="156" w:beforeLines="50" w:after="50"/>
        <w:rPr>
          <w:rFonts w:hint="eastAsia" w:ascii="宋体" w:hAnsi="宋体"/>
          <w:bCs/>
          <w:color w:val="000000"/>
          <w:sz w:val="24"/>
          <w:szCs w:val="20"/>
          <w:highlight w:val="none"/>
        </w:rPr>
      </w:pPr>
    </w:p>
    <w:p w14:paraId="53A945E9">
      <w:pPr>
        <w:snapToGrid w:val="0"/>
        <w:spacing w:before="156" w:beforeLines="50" w:after="50"/>
        <w:ind w:firstLine="640" w:firstLineChars="200"/>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项目名称：</w:t>
      </w:r>
    </w:p>
    <w:p w14:paraId="6E9E1697">
      <w:pPr>
        <w:snapToGrid w:val="0"/>
        <w:spacing w:before="156" w:beforeLines="50" w:after="50"/>
        <w:ind w:firstLine="720" w:firstLineChars="225"/>
        <w:rPr>
          <w:rFonts w:hint="eastAsia" w:ascii="宋体" w:hAnsi="宋体" w:cs="仿宋_GB2312"/>
          <w:bCs/>
          <w:color w:val="000000"/>
          <w:sz w:val="32"/>
          <w:szCs w:val="32"/>
          <w:highlight w:val="none"/>
        </w:rPr>
      </w:pPr>
    </w:p>
    <w:p w14:paraId="035DB3E9">
      <w:pPr>
        <w:snapToGrid w:val="0"/>
        <w:spacing w:before="156" w:beforeLines="50" w:after="50"/>
        <w:ind w:firstLine="640" w:firstLineChars="200"/>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项目编号：</w:t>
      </w:r>
    </w:p>
    <w:p w14:paraId="6E63BE81">
      <w:pPr>
        <w:snapToGrid w:val="0"/>
        <w:spacing w:before="156" w:beforeLines="50" w:after="50"/>
        <w:ind w:firstLine="720" w:firstLineChars="225"/>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 xml:space="preserve"> </w:t>
      </w:r>
    </w:p>
    <w:p w14:paraId="40D601AF">
      <w:pPr>
        <w:pStyle w:val="8"/>
        <w:snapToGrid w:val="0"/>
        <w:spacing w:before="50" w:after="50"/>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供应商名称：</w:t>
      </w:r>
    </w:p>
    <w:p w14:paraId="7BF10112">
      <w:pPr>
        <w:pStyle w:val="8"/>
        <w:snapToGrid w:val="0"/>
        <w:spacing w:before="50" w:after="50"/>
        <w:rPr>
          <w:rFonts w:hint="eastAsia" w:ascii="宋体" w:hAnsi="宋体" w:cs="仿宋_GB2312"/>
          <w:bCs/>
          <w:color w:val="000000"/>
          <w:sz w:val="32"/>
          <w:szCs w:val="32"/>
          <w:highlight w:val="none"/>
        </w:rPr>
      </w:pPr>
    </w:p>
    <w:p w14:paraId="24FA6C8B">
      <w:pPr>
        <w:pStyle w:val="8"/>
        <w:snapToGrid w:val="0"/>
        <w:spacing w:before="50" w:after="50"/>
        <w:rPr>
          <w:rFonts w:hint="eastAsia" w:ascii="宋体" w:hAnsi="宋体" w:eastAsia="宋体" w:cs="仿宋_GB2312"/>
          <w:bCs/>
          <w:color w:val="000000"/>
          <w:sz w:val="32"/>
          <w:szCs w:val="32"/>
          <w:highlight w:val="none"/>
          <w:lang w:eastAsia="zh-CN"/>
        </w:rPr>
      </w:pPr>
      <w:r>
        <w:rPr>
          <w:rFonts w:hint="eastAsia" w:ascii="宋体" w:hAnsi="宋体" w:cs="仿宋_GB2312"/>
          <w:bCs/>
          <w:color w:val="000000"/>
          <w:sz w:val="32"/>
          <w:szCs w:val="32"/>
          <w:highlight w:val="none"/>
          <w:lang w:eastAsia="zh-CN"/>
        </w:rPr>
        <w:t>供应商地址：</w:t>
      </w:r>
    </w:p>
    <w:p w14:paraId="334F2243">
      <w:pPr>
        <w:pStyle w:val="8"/>
        <w:snapToGrid w:val="0"/>
        <w:spacing w:before="50" w:after="50"/>
        <w:ind w:firstLine="640" w:firstLineChars="200"/>
        <w:rPr>
          <w:rFonts w:hint="eastAsia" w:ascii="宋体" w:hAnsi="宋体" w:cs="仿宋_GB2312"/>
          <w:bCs/>
          <w:color w:val="000000"/>
          <w:sz w:val="32"/>
          <w:szCs w:val="32"/>
          <w:highlight w:val="none"/>
        </w:rPr>
      </w:pPr>
    </w:p>
    <w:p w14:paraId="419A0EFB">
      <w:pPr>
        <w:pStyle w:val="8"/>
        <w:snapToGrid w:val="0"/>
        <w:spacing w:before="50" w:after="50"/>
        <w:ind w:firstLine="720" w:firstLineChars="225"/>
        <w:rPr>
          <w:rFonts w:hint="eastAsia" w:ascii="宋体" w:hAnsi="宋体" w:cs="仿宋_GB2312"/>
          <w:bCs/>
          <w:color w:val="000000"/>
          <w:sz w:val="32"/>
          <w:szCs w:val="32"/>
          <w:highlight w:val="none"/>
        </w:rPr>
      </w:pPr>
    </w:p>
    <w:p w14:paraId="33F1F674">
      <w:pPr>
        <w:pStyle w:val="8"/>
        <w:snapToGrid w:val="0"/>
        <w:spacing w:before="50" w:after="50"/>
        <w:ind w:firstLine="0"/>
        <w:rPr>
          <w:rFonts w:hint="eastAsia" w:ascii="宋体" w:hAnsi="宋体" w:cs="仿宋_GB2312"/>
          <w:bCs/>
          <w:color w:val="000000"/>
          <w:sz w:val="32"/>
          <w:szCs w:val="32"/>
          <w:highlight w:val="none"/>
        </w:rPr>
      </w:pPr>
    </w:p>
    <w:p w14:paraId="319539F2">
      <w:pPr>
        <w:pStyle w:val="8"/>
        <w:snapToGrid w:val="0"/>
        <w:spacing w:before="50" w:after="50"/>
        <w:ind w:firstLine="1280" w:firstLineChars="400"/>
        <w:rPr>
          <w:rFonts w:hint="eastAsia" w:ascii="宋体" w:hAnsi="宋体" w:cs="仿宋_GB2312"/>
          <w:bCs/>
          <w:color w:val="000000"/>
          <w:sz w:val="32"/>
          <w:szCs w:val="32"/>
          <w:highlight w:val="none"/>
        </w:rPr>
      </w:pPr>
    </w:p>
    <w:p w14:paraId="0D307EF8">
      <w:pPr>
        <w:snapToGrid w:val="0"/>
        <w:spacing w:before="156" w:beforeLines="50" w:after="50"/>
        <w:jc w:val="center"/>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年    月    日</w:t>
      </w:r>
    </w:p>
    <w:p w14:paraId="7428727C">
      <w:pPr>
        <w:snapToGrid w:val="0"/>
        <w:spacing w:before="156" w:beforeLines="50" w:after="50" w:line="360" w:lineRule="auto"/>
        <w:ind w:left="142"/>
        <w:jc w:val="left"/>
        <w:rPr>
          <w:rFonts w:hint="eastAsia" w:ascii="宋体" w:hAnsi="宋体"/>
          <w:b/>
          <w:bCs/>
          <w:color w:val="000000"/>
          <w:sz w:val="24"/>
          <w:highlight w:val="none"/>
        </w:rPr>
      </w:pPr>
      <w:r>
        <w:rPr>
          <w:rFonts w:hint="eastAsia" w:ascii="宋体" w:hAnsi="宋体"/>
          <w:color w:val="000000"/>
          <w:szCs w:val="21"/>
          <w:highlight w:val="none"/>
        </w:rPr>
        <w:br w:type="page"/>
      </w:r>
      <w:r>
        <w:rPr>
          <w:rFonts w:hint="eastAsia" w:ascii="宋体" w:hAnsi="宋体"/>
          <w:b/>
          <w:bCs/>
          <w:color w:val="000000"/>
          <w:sz w:val="32"/>
          <w:szCs w:val="32"/>
          <w:highlight w:val="none"/>
        </w:rPr>
        <w:t>2.报价文件目录</w:t>
      </w:r>
    </w:p>
    <w:p w14:paraId="47071C82">
      <w:pPr>
        <w:autoSpaceDE w:val="0"/>
        <w:autoSpaceDN w:val="0"/>
        <w:adjustRightInd w:val="0"/>
        <w:spacing w:line="360" w:lineRule="auto"/>
        <w:ind w:firstLine="640" w:firstLineChars="200"/>
        <w:rPr>
          <w:rFonts w:ascii="宋体" w:hAnsi="宋体"/>
          <w:b/>
          <w:bCs/>
          <w:color w:val="000000"/>
          <w:sz w:val="32"/>
          <w:szCs w:val="32"/>
          <w:highlight w:val="none"/>
        </w:rPr>
      </w:pPr>
      <w:r>
        <w:rPr>
          <w:rFonts w:hint="eastAsia" w:ascii="宋体" w:hAnsi="宋体"/>
          <w:color w:val="000000"/>
          <w:sz w:val="32"/>
          <w:szCs w:val="32"/>
          <w:highlight w:val="none"/>
        </w:rPr>
        <w:t>根据磋商文件规定及供应商提供的材料自行编写目录（部分格式后附）。</w:t>
      </w:r>
      <w:r>
        <w:rPr>
          <w:rFonts w:ascii="宋体" w:hAnsi="宋体"/>
          <w:b/>
          <w:bCs/>
          <w:color w:val="000000"/>
          <w:sz w:val="32"/>
          <w:szCs w:val="32"/>
          <w:highlight w:val="none"/>
        </w:rPr>
        <w:br w:type="page"/>
      </w:r>
    </w:p>
    <w:p w14:paraId="4C658660">
      <w:pPr>
        <w:pStyle w:val="4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32"/>
          <w:highlight w:val="none"/>
          <w:lang w:eastAsia="zh-CN"/>
        </w:rPr>
      </w:pPr>
      <w:r>
        <w:rPr>
          <w:rFonts w:hint="eastAsia" w:asciiTheme="majorEastAsia" w:hAnsiTheme="majorEastAsia" w:eastAsiaTheme="majorEastAsia" w:cstheme="majorEastAsia"/>
          <w:b/>
          <w:bCs/>
          <w:color w:val="auto"/>
          <w:sz w:val="32"/>
          <w:szCs w:val="32"/>
          <w:highlight w:val="none"/>
        </w:rPr>
        <w:t>磋商函</w:t>
      </w:r>
      <w:r>
        <w:rPr>
          <w:rFonts w:hint="eastAsia" w:asciiTheme="majorEastAsia" w:hAnsiTheme="majorEastAsia" w:eastAsiaTheme="majorEastAsia" w:cstheme="majorEastAsia"/>
          <w:b/>
          <w:bCs/>
          <w:color w:val="auto"/>
          <w:sz w:val="32"/>
          <w:szCs w:val="32"/>
          <w:highlight w:val="none"/>
          <w:lang w:eastAsia="zh-CN"/>
        </w:rPr>
        <w:t>（格式）</w:t>
      </w:r>
    </w:p>
    <w:p w14:paraId="554CF8F0">
      <w:pPr>
        <w:pStyle w:val="49"/>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z w:val="21"/>
          <w:szCs w:val="24"/>
          <w:highlight w:val="none"/>
        </w:rPr>
      </w:pPr>
    </w:p>
    <w:p w14:paraId="30914A12">
      <w:pPr>
        <w:spacing w:line="360" w:lineRule="auto"/>
        <w:contextualSpacing/>
        <w:rPr>
          <w:rFonts w:hint="eastAsia" w:ascii="宋体" w:hAnsi="宋体" w:cs="宋体"/>
          <w:color w:val="000000"/>
          <w:sz w:val="22"/>
          <w:szCs w:val="22"/>
          <w:highlight w:val="none"/>
        </w:rPr>
      </w:pPr>
      <w:r>
        <w:rPr>
          <w:rFonts w:hint="eastAsia" w:ascii="宋体" w:hAnsi="宋体" w:cs="宋体"/>
          <w:color w:val="000000"/>
          <w:sz w:val="22"/>
          <w:szCs w:val="22"/>
          <w:highlight w:val="none"/>
        </w:rPr>
        <w:t>致：</w:t>
      </w:r>
      <w:r>
        <w:rPr>
          <w:rFonts w:hint="eastAsia" w:ascii="宋体" w:hAnsi="宋体" w:cs="宋体"/>
          <w:color w:val="000000"/>
          <w:sz w:val="22"/>
          <w:szCs w:val="22"/>
          <w:highlight w:val="none"/>
          <w:u w:val="single"/>
        </w:rPr>
        <w:t>（采购人名称）</w:t>
      </w:r>
    </w:p>
    <w:p w14:paraId="43E18120">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1、根据你方项目编号为</w:t>
      </w:r>
      <w:r>
        <w:rPr>
          <w:rFonts w:hint="eastAsia" w:asciiTheme="majorEastAsia" w:hAnsiTheme="majorEastAsia" w:eastAsiaTheme="majorEastAsia" w:cstheme="majorEastAsia"/>
          <w:b w:val="0"/>
          <w:bCs w:val="0"/>
          <w:color w:val="auto"/>
          <w:sz w:val="21"/>
          <w:szCs w:val="24"/>
          <w:highlight w:val="none"/>
          <w:u w:val="single"/>
        </w:rPr>
        <w:t xml:space="preserve">     (项目编号)    </w:t>
      </w:r>
      <w:r>
        <w:rPr>
          <w:rFonts w:hint="eastAsia" w:asciiTheme="majorEastAsia" w:hAnsiTheme="majorEastAsia" w:eastAsiaTheme="majorEastAsia" w:cstheme="majorEastAsia"/>
          <w:b w:val="0"/>
          <w:bCs w:val="0"/>
          <w:color w:val="auto"/>
          <w:sz w:val="21"/>
          <w:szCs w:val="24"/>
          <w:highlight w:val="none"/>
        </w:rPr>
        <w:t>的</w:t>
      </w:r>
      <w:r>
        <w:rPr>
          <w:rFonts w:hint="eastAsia" w:asciiTheme="majorEastAsia" w:hAnsiTheme="majorEastAsia" w:eastAsiaTheme="majorEastAsia" w:cstheme="majorEastAsia"/>
          <w:b w:val="0"/>
          <w:bCs w:val="0"/>
          <w:color w:val="auto"/>
          <w:sz w:val="21"/>
          <w:szCs w:val="24"/>
          <w:highlight w:val="none"/>
          <w:u w:val="single"/>
        </w:rPr>
        <w:t xml:space="preserve">    (项目名称)    </w:t>
      </w:r>
      <w:r>
        <w:rPr>
          <w:rFonts w:hint="eastAsia" w:asciiTheme="majorEastAsia" w:hAnsiTheme="majorEastAsia" w:eastAsiaTheme="majorEastAsia" w:cstheme="majorEastAsia"/>
          <w:b w:val="0"/>
          <w:bCs w:val="0"/>
          <w:color w:val="auto"/>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z w:val="21"/>
          <w:szCs w:val="24"/>
          <w:highlight w:val="none"/>
          <w:lang w:eastAsia="zh-CN"/>
        </w:rPr>
        <w:t>政府</w:t>
      </w:r>
      <w:r>
        <w:rPr>
          <w:rFonts w:hint="eastAsia" w:asciiTheme="majorEastAsia" w:hAnsiTheme="majorEastAsia" w:eastAsiaTheme="majorEastAsia" w:cstheme="majorEastAsia"/>
          <w:b w:val="0"/>
          <w:bCs w:val="0"/>
          <w:color w:val="auto"/>
          <w:sz w:val="21"/>
          <w:szCs w:val="24"/>
          <w:highlight w:val="none"/>
        </w:rPr>
        <w:t>采购法》、《中华人民共和国</w:t>
      </w:r>
      <w:r>
        <w:rPr>
          <w:rFonts w:hint="eastAsia" w:asciiTheme="majorEastAsia" w:hAnsiTheme="majorEastAsia" w:eastAsiaTheme="majorEastAsia" w:cstheme="majorEastAsia"/>
          <w:b w:val="0"/>
          <w:bCs w:val="0"/>
          <w:color w:val="auto"/>
          <w:sz w:val="21"/>
          <w:szCs w:val="24"/>
          <w:highlight w:val="none"/>
          <w:lang w:eastAsia="zh-CN"/>
        </w:rPr>
        <w:t>政府</w:t>
      </w:r>
      <w:r>
        <w:rPr>
          <w:rFonts w:hint="eastAsia" w:asciiTheme="majorEastAsia" w:hAnsiTheme="majorEastAsia" w:eastAsiaTheme="majorEastAsia" w:cstheme="majorEastAsia"/>
          <w:b w:val="0"/>
          <w:bCs w:val="0"/>
          <w:color w:val="auto"/>
          <w:sz w:val="21"/>
          <w:szCs w:val="24"/>
          <w:highlight w:val="none"/>
        </w:rPr>
        <w:t>采购法实施条例》、《</w:t>
      </w:r>
      <w:r>
        <w:rPr>
          <w:rFonts w:hint="eastAsia" w:asciiTheme="majorEastAsia" w:hAnsiTheme="majorEastAsia" w:eastAsiaTheme="majorEastAsia" w:cstheme="majorEastAsia"/>
          <w:b w:val="0"/>
          <w:bCs w:val="0"/>
          <w:color w:val="auto"/>
          <w:sz w:val="21"/>
          <w:szCs w:val="24"/>
          <w:highlight w:val="none"/>
          <w:lang w:eastAsia="zh-CN"/>
        </w:rPr>
        <w:t>政府</w:t>
      </w:r>
      <w:r>
        <w:rPr>
          <w:rFonts w:hint="eastAsia" w:asciiTheme="majorEastAsia" w:hAnsiTheme="majorEastAsia" w:eastAsiaTheme="majorEastAsia" w:cstheme="majorEastAsia"/>
          <w:b w:val="0"/>
          <w:bCs w:val="0"/>
          <w:color w:val="auto"/>
          <w:sz w:val="21"/>
          <w:szCs w:val="24"/>
          <w:highlight w:val="none"/>
        </w:rPr>
        <w:t>采购竞争性磋商采购方式管理暂行办法》等有关规定，经踏勘项目现场和研究上述竞争性磋商文件的磋商须知、合同 条款、图纸、工程建设标准和工程量清单及其他有关文件后，我方愿以人民币(大 写)</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default" w:ascii="Arial" w:hAnsi="Arial" w:cs="Arial" w:eastAsiaTheme="majorEastAsia"/>
          <w:b w:val="0"/>
          <w:bCs w:val="0"/>
          <w:color w:val="auto"/>
          <w:sz w:val="21"/>
          <w:szCs w:val="24"/>
          <w:highlight w:val="none"/>
          <w:u w:val="single"/>
        </w:rPr>
        <w:t>¥</w:t>
      </w:r>
      <w:r>
        <w:rPr>
          <w:rFonts w:hint="eastAsia" w:asciiTheme="majorEastAsia" w:hAnsiTheme="majorEastAsia" w:eastAsiaTheme="majorEastAsia" w:cstheme="majorEastAsia"/>
          <w:b w:val="0"/>
          <w:bCs w:val="0"/>
          <w:color w:val="auto"/>
          <w:sz w:val="21"/>
          <w:szCs w:val="24"/>
          <w:highlight w:val="none"/>
          <w:u w:val="single"/>
        </w:rPr>
        <w:t xml:space="preserve">    元)</w:t>
      </w:r>
      <w:r>
        <w:rPr>
          <w:rFonts w:hint="eastAsia" w:asciiTheme="majorEastAsia" w:hAnsiTheme="majorEastAsia" w:eastAsiaTheme="majorEastAsia" w:cstheme="majorEastAsia"/>
          <w:b w:val="0"/>
          <w:bCs w:val="0"/>
          <w:color w:val="auto"/>
          <w:sz w:val="21"/>
          <w:szCs w:val="24"/>
          <w:highlight w:val="none"/>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rPr>
        <w:t>等级。</w:t>
      </w:r>
    </w:p>
    <w:p w14:paraId="4BE8A56A">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2、我方已详细审核全部竞争性磋商文件，包括修改文件 (如有时) 及有关附件。</w:t>
      </w:r>
    </w:p>
    <w:p w14:paraId="0BB5642E">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3、我方承认磋商函附录是我方磋商函的组成部分。</w:t>
      </w:r>
    </w:p>
    <w:p w14:paraId="45653DEB">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4、我方承诺已经具备《</w:t>
      </w:r>
      <w:r>
        <w:rPr>
          <w:rFonts w:hint="eastAsia" w:asciiTheme="majorEastAsia" w:hAnsiTheme="majorEastAsia" w:eastAsiaTheme="majorEastAsia" w:cstheme="majorEastAsia"/>
          <w:b w:val="0"/>
          <w:bCs w:val="0"/>
          <w:color w:val="auto"/>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z w:val="21"/>
          <w:szCs w:val="24"/>
          <w:highlight w:val="none"/>
        </w:rPr>
        <w:t>》中规定的参加招标投标采购活动的供应商应当具备的条件：</w:t>
      </w:r>
    </w:p>
    <w:p w14:paraId="0A9AA3BD">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(1) 具有独立承担民事责任的能力；</w:t>
      </w:r>
    </w:p>
    <w:p w14:paraId="61325FC4">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(2) 具有良好的商业信誉和健全的财务会计制度；</w:t>
      </w:r>
    </w:p>
    <w:p w14:paraId="03FF05BA">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(3) 具有履行合同所必需的设备和专业技术能力；</w:t>
      </w:r>
    </w:p>
    <w:p w14:paraId="73EE1206">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(4) 有依法缴纳税收和社会保障资金的良好记录；</w:t>
      </w:r>
    </w:p>
    <w:p w14:paraId="3FBB758B">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(5) 参加招标投标采购活动前三年内，在经营活动中没有重大违法记录；</w:t>
      </w:r>
    </w:p>
    <w:p w14:paraId="7A974024">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(6) 法律、行政法规规定的其他条件。</w:t>
      </w:r>
    </w:p>
    <w:p w14:paraId="26DA5C1D">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u w:val="none"/>
        </w:rPr>
        <w:t>日</w:t>
      </w:r>
      <w:r>
        <w:rPr>
          <w:rFonts w:hint="eastAsia" w:asciiTheme="majorEastAsia" w:hAnsiTheme="majorEastAsia" w:eastAsiaTheme="majorEastAsia" w:cstheme="majorEastAsia"/>
          <w:b w:val="0"/>
          <w:bCs w:val="0"/>
          <w:color w:val="auto"/>
          <w:sz w:val="21"/>
          <w:szCs w:val="24"/>
          <w:highlight w:val="none"/>
        </w:rPr>
        <w:t>历天内完成并移交全部工程。</w:t>
      </w:r>
    </w:p>
    <w:p w14:paraId="7AB62DFB">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6、如果我方成交，我方将按照文件规定提交履约保证金作为履约担保。</w:t>
      </w:r>
    </w:p>
    <w:p w14:paraId="3567FD99">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7、我方同意所提交的响应文件在竞争性磋商文件的“磋商须知”中第 11 条规定的响应文件有效期内有效，在此期间内如果成交，我方将受此约束。</w:t>
      </w:r>
    </w:p>
    <w:p w14:paraId="193ADDB3">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8、除非另外达成协议并生效，你方的成交通知书和本响应文件将成为约束双方的合同文件的组成部分。</w:t>
      </w:r>
    </w:p>
    <w:p w14:paraId="0556AFA0">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p>
    <w:p w14:paraId="23581649">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供 应 商（电子签章）：</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z w:val="21"/>
          <w:szCs w:val="24"/>
          <w:highlight w:val="none"/>
          <w:u w:val="single"/>
        </w:rPr>
        <w:t xml:space="preserve">       </w:t>
      </w:r>
    </w:p>
    <w:p w14:paraId="44450519">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法定代表人或其委托代理人</w:t>
      </w:r>
      <w:r>
        <w:rPr>
          <w:rFonts w:hint="eastAsia" w:ascii="宋体" w:hAnsi="宋体"/>
          <w:color w:val="000000"/>
          <w:sz w:val="24"/>
          <w:szCs w:val="24"/>
          <w:highlight w:val="none"/>
        </w:rPr>
        <w:t>（签字或者电子签名）</w:t>
      </w:r>
      <w:r>
        <w:rPr>
          <w:rFonts w:hint="eastAsia" w:asciiTheme="majorEastAsia" w:hAnsiTheme="majorEastAsia" w:eastAsiaTheme="majorEastAsia" w:cstheme="majorEastAsia"/>
          <w:b w:val="0"/>
          <w:bCs w:val="0"/>
          <w:color w:val="auto"/>
          <w:sz w:val="21"/>
          <w:szCs w:val="24"/>
          <w:highlight w:val="none"/>
        </w:rPr>
        <w:t xml:space="preserve">：    </w:t>
      </w:r>
    </w:p>
    <w:p w14:paraId="4397A7E5">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 xml:space="preserve">单位地址：     </w:t>
      </w:r>
    </w:p>
    <w:p w14:paraId="450D3585">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 xml:space="preserve">邮政编码：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电话：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传真：</w:t>
      </w:r>
    </w:p>
    <w:p w14:paraId="41FC0081">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开户银行名称：</w:t>
      </w:r>
    </w:p>
    <w:p w14:paraId="36EDF00D">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开户银行账号：</w:t>
      </w:r>
    </w:p>
    <w:p w14:paraId="1375B240">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开户银行地址：</w:t>
      </w:r>
    </w:p>
    <w:p w14:paraId="20AAE502">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 xml:space="preserve">日期：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年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月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日</w:t>
      </w:r>
    </w:p>
    <w:p w14:paraId="352795F8">
      <w:pPr>
        <w:pStyle w:val="4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p>
    <w:p w14:paraId="5588A7FD">
      <w:pPr>
        <w:pStyle w:val="4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rPr>
        <w:t>磋商函附录</w:t>
      </w:r>
      <w:r>
        <w:rPr>
          <w:rFonts w:hint="eastAsia" w:asciiTheme="majorEastAsia" w:hAnsiTheme="majorEastAsia" w:eastAsiaTheme="majorEastAsia" w:cstheme="majorEastAsia"/>
          <w:b/>
          <w:bCs/>
          <w:color w:val="auto"/>
          <w:sz w:val="28"/>
          <w:szCs w:val="28"/>
          <w:highlight w:val="none"/>
          <w:lang w:eastAsia="zh-CN"/>
        </w:rPr>
        <w:t>（格式）</w:t>
      </w:r>
    </w:p>
    <w:p w14:paraId="02D98261">
      <w:pPr>
        <w:pStyle w:val="4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p>
    <w:tbl>
      <w:tblPr>
        <w:tblStyle w:val="6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0B914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4221D3D5">
            <w:pPr>
              <w:spacing w:before="181" w:line="230" w:lineRule="auto"/>
              <w:ind w:left="29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3424" w:type="dxa"/>
            <w:vAlign w:val="top"/>
          </w:tcPr>
          <w:p w14:paraId="22F12CFD">
            <w:pPr>
              <w:spacing w:before="181" w:line="228" w:lineRule="auto"/>
              <w:ind w:left="12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条款内</w:t>
            </w:r>
            <w:r>
              <w:rPr>
                <w:rFonts w:hint="eastAsia" w:ascii="宋体" w:hAnsi="宋体" w:eastAsia="宋体" w:cs="宋体"/>
                <w:color w:val="auto"/>
                <w:spacing w:val="6"/>
                <w:sz w:val="21"/>
                <w:szCs w:val="21"/>
                <w:highlight w:val="none"/>
              </w:rPr>
              <w:t>容</w:t>
            </w:r>
          </w:p>
        </w:tc>
        <w:tc>
          <w:tcPr>
            <w:tcW w:w="2818" w:type="dxa"/>
            <w:vAlign w:val="top"/>
          </w:tcPr>
          <w:p w14:paraId="521B153C">
            <w:pPr>
              <w:spacing w:before="181" w:line="228" w:lineRule="auto"/>
              <w:ind w:left="10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约定内容</w:t>
            </w:r>
          </w:p>
        </w:tc>
        <w:tc>
          <w:tcPr>
            <w:tcW w:w="1696" w:type="dxa"/>
            <w:vAlign w:val="top"/>
          </w:tcPr>
          <w:p w14:paraId="79117ECC">
            <w:pPr>
              <w:spacing w:before="181" w:line="230" w:lineRule="auto"/>
              <w:ind w:left="64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3"/>
                <w:sz w:val="21"/>
                <w:szCs w:val="21"/>
                <w:highlight w:val="none"/>
              </w:rPr>
              <w:t>注</w:t>
            </w:r>
          </w:p>
        </w:tc>
      </w:tr>
      <w:tr w14:paraId="5F4F8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897B4A4">
            <w:pPr>
              <w:spacing w:before="211" w:line="193" w:lineRule="auto"/>
              <w:ind w:left="4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24" w:type="dxa"/>
            <w:vAlign w:val="top"/>
          </w:tcPr>
          <w:p w14:paraId="3847440D">
            <w:pPr>
              <w:spacing w:before="180" w:line="229" w:lineRule="auto"/>
              <w:ind w:left="13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6"/>
                <w:sz w:val="21"/>
                <w:szCs w:val="21"/>
                <w:highlight w:val="none"/>
              </w:rPr>
              <w:t>目经理</w:t>
            </w:r>
          </w:p>
        </w:tc>
        <w:tc>
          <w:tcPr>
            <w:tcW w:w="2818" w:type="dxa"/>
            <w:vAlign w:val="top"/>
          </w:tcPr>
          <w:p w14:paraId="4E5403FC">
            <w:pPr>
              <w:spacing w:before="180" w:line="228"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姓名：</w:t>
            </w:r>
          </w:p>
        </w:tc>
        <w:tc>
          <w:tcPr>
            <w:tcW w:w="1696" w:type="dxa"/>
            <w:vAlign w:val="top"/>
          </w:tcPr>
          <w:p w14:paraId="0A19506C">
            <w:pPr>
              <w:rPr>
                <w:rFonts w:hint="eastAsia" w:ascii="宋体" w:hAnsi="宋体" w:eastAsia="宋体" w:cs="宋体"/>
                <w:color w:val="auto"/>
                <w:sz w:val="21"/>
                <w:szCs w:val="21"/>
                <w:highlight w:val="none"/>
              </w:rPr>
            </w:pPr>
          </w:p>
        </w:tc>
      </w:tr>
      <w:tr w14:paraId="38B08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1B81D42C">
            <w:pPr>
              <w:spacing w:before="211" w:line="192" w:lineRule="auto"/>
              <w:ind w:left="4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24" w:type="dxa"/>
            <w:vAlign w:val="top"/>
          </w:tcPr>
          <w:p w14:paraId="34BF8B14">
            <w:pPr>
              <w:spacing w:before="179" w:line="228" w:lineRule="auto"/>
              <w:ind w:left="99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响</w:t>
            </w:r>
            <w:r>
              <w:rPr>
                <w:rFonts w:hint="eastAsia" w:ascii="宋体" w:hAnsi="宋体" w:eastAsia="宋体" w:cs="宋体"/>
                <w:color w:val="auto"/>
                <w:spacing w:val="7"/>
                <w:sz w:val="21"/>
                <w:szCs w:val="21"/>
                <w:highlight w:val="none"/>
              </w:rPr>
              <w:t>应文件有效期</w:t>
            </w:r>
          </w:p>
        </w:tc>
        <w:tc>
          <w:tcPr>
            <w:tcW w:w="2818" w:type="dxa"/>
            <w:vAlign w:val="top"/>
          </w:tcPr>
          <w:p w14:paraId="024FD283">
            <w:pPr>
              <w:rPr>
                <w:rFonts w:hint="eastAsia" w:ascii="宋体" w:hAnsi="宋体" w:eastAsia="宋体" w:cs="宋体"/>
                <w:color w:val="auto"/>
                <w:sz w:val="21"/>
                <w:szCs w:val="21"/>
                <w:highlight w:val="none"/>
              </w:rPr>
            </w:pPr>
          </w:p>
        </w:tc>
        <w:tc>
          <w:tcPr>
            <w:tcW w:w="1696" w:type="dxa"/>
            <w:vAlign w:val="top"/>
          </w:tcPr>
          <w:p w14:paraId="2D7CB3F7">
            <w:pPr>
              <w:rPr>
                <w:rFonts w:hint="eastAsia" w:ascii="宋体" w:hAnsi="宋体" w:eastAsia="宋体" w:cs="宋体"/>
                <w:color w:val="auto"/>
                <w:sz w:val="21"/>
                <w:szCs w:val="21"/>
                <w:highlight w:val="none"/>
              </w:rPr>
            </w:pPr>
          </w:p>
        </w:tc>
      </w:tr>
      <w:tr w14:paraId="0F7CA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678028B2">
            <w:pPr>
              <w:spacing w:before="212" w:line="190" w:lineRule="auto"/>
              <w:ind w:left="4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424" w:type="dxa"/>
            <w:vAlign w:val="top"/>
          </w:tcPr>
          <w:p w14:paraId="449947A2">
            <w:pPr>
              <w:spacing w:before="179" w:line="229" w:lineRule="auto"/>
              <w:ind w:left="151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工</w:t>
            </w:r>
            <w:r>
              <w:rPr>
                <w:rFonts w:hint="eastAsia" w:ascii="宋体" w:hAnsi="宋体" w:eastAsia="宋体" w:cs="宋体"/>
                <w:color w:val="auto"/>
                <w:spacing w:val="3"/>
                <w:sz w:val="21"/>
                <w:szCs w:val="21"/>
                <w:highlight w:val="none"/>
              </w:rPr>
              <w:t>期</w:t>
            </w:r>
          </w:p>
        </w:tc>
        <w:tc>
          <w:tcPr>
            <w:tcW w:w="2818" w:type="dxa"/>
            <w:vAlign w:val="top"/>
          </w:tcPr>
          <w:p w14:paraId="2F12E93A">
            <w:pPr>
              <w:tabs>
                <w:tab w:val="left" w:pos="1506"/>
              </w:tabs>
              <w:spacing w:before="179" w:line="229" w:lineRule="auto"/>
              <w:ind w:left="8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5"/>
                <w:sz w:val="21"/>
                <w:szCs w:val="21"/>
                <w:highlight w:val="none"/>
              </w:rPr>
              <w:t>日历天</w:t>
            </w:r>
          </w:p>
        </w:tc>
        <w:tc>
          <w:tcPr>
            <w:tcW w:w="1696" w:type="dxa"/>
            <w:vAlign w:val="top"/>
          </w:tcPr>
          <w:p w14:paraId="6B1FA43E">
            <w:pPr>
              <w:rPr>
                <w:rFonts w:hint="eastAsia" w:ascii="宋体" w:hAnsi="宋体" w:eastAsia="宋体" w:cs="宋体"/>
                <w:color w:val="auto"/>
                <w:sz w:val="21"/>
                <w:szCs w:val="21"/>
                <w:highlight w:val="none"/>
              </w:rPr>
            </w:pPr>
          </w:p>
        </w:tc>
      </w:tr>
      <w:tr w14:paraId="2D2E0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7137442">
            <w:pPr>
              <w:spacing w:before="215" w:line="192" w:lineRule="auto"/>
              <w:ind w:left="45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424" w:type="dxa"/>
            <w:vAlign w:val="top"/>
          </w:tcPr>
          <w:p w14:paraId="3DD3CA6B">
            <w:pPr>
              <w:spacing w:before="182" w:line="229" w:lineRule="auto"/>
              <w:ind w:left="119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质量保证金</w:t>
            </w:r>
          </w:p>
        </w:tc>
        <w:tc>
          <w:tcPr>
            <w:tcW w:w="2818" w:type="dxa"/>
            <w:vAlign w:val="top"/>
          </w:tcPr>
          <w:p w14:paraId="3EAEF537">
            <w:pPr>
              <w:spacing w:before="182" w:line="227" w:lineRule="auto"/>
              <w:ind w:left="69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结</w:t>
            </w:r>
            <w:r>
              <w:rPr>
                <w:rFonts w:hint="eastAsia" w:ascii="宋体" w:hAnsi="宋体" w:eastAsia="宋体" w:cs="宋体"/>
                <w:color w:val="auto"/>
                <w:spacing w:val="5"/>
                <w:sz w:val="21"/>
                <w:szCs w:val="21"/>
                <w:highlight w:val="none"/>
              </w:rPr>
              <w:t>算价的</w:t>
            </w:r>
            <w:r>
              <w:rPr>
                <w:rFonts w:hint="eastAsia" w:ascii="宋体" w:hAnsi="宋体" w:eastAsia="宋体" w:cs="宋体"/>
                <w:color w:val="auto"/>
                <w:spacing w:val="5"/>
                <w:sz w:val="21"/>
                <w:szCs w:val="21"/>
                <w:highlight w:val="none"/>
                <w:u w:val="single" w:color="auto"/>
              </w:rPr>
              <w:t xml:space="preserve">  </w:t>
            </w:r>
            <w:r>
              <w:rPr>
                <w:rFonts w:hint="eastAsia" w:ascii="宋体" w:hAnsi="宋体" w:cs="宋体"/>
                <w:color w:val="auto"/>
                <w:spacing w:val="5"/>
                <w:sz w:val="21"/>
                <w:szCs w:val="21"/>
                <w:highlight w:val="none"/>
                <w:u w:val="single" w:color="auto"/>
                <w:lang w:val="en-US" w:eastAsia="zh-CN"/>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rPr>
              <w:t>%</w:t>
            </w:r>
          </w:p>
        </w:tc>
        <w:tc>
          <w:tcPr>
            <w:tcW w:w="1696" w:type="dxa"/>
            <w:vAlign w:val="top"/>
          </w:tcPr>
          <w:p w14:paraId="102DBC85">
            <w:pPr>
              <w:rPr>
                <w:rFonts w:hint="eastAsia" w:ascii="宋体" w:hAnsi="宋体" w:eastAsia="宋体" w:cs="宋体"/>
                <w:color w:val="auto"/>
                <w:sz w:val="21"/>
                <w:szCs w:val="21"/>
                <w:highlight w:val="none"/>
              </w:rPr>
            </w:pPr>
          </w:p>
        </w:tc>
      </w:tr>
      <w:tr w14:paraId="506C5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37269BFF">
            <w:pPr>
              <w:spacing w:before="215" w:line="189" w:lineRule="auto"/>
              <w:ind w:left="4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424" w:type="dxa"/>
            <w:vAlign w:val="top"/>
          </w:tcPr>
          <w:p w14:paraId="7120A571">
            <w:pPr>
              <w:spacing w:before="181" w:line="229" w:lineRule="auto"/>
              <w:ind w:left="129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2818" w:type="dxa"/>
            <w:vAlign w:val="top"/>
          </w:tcPr>
          <w:p w14:paraId="4FDAB004">
            <w:pPr>
              <w:rPr>
                <w:rFonts w:hint="eastAsia" w:ascii="宋体" w:hAnsi="宋体" w:eastAsia="宋体" w:cs="宋体"/>
                <w:color w:val="auto"/>
                <w:sz w:val="21"/>
                <w:szCs w:val="21"/>
                <w:highlight w:val="none"/>
              </w:rPr>
            </w:pPr>
          </w:p>
        </w:tc>
        <w:tc>
          <w:tcPr>
            <w:tcW w:w="1696" w:type="dxa"/>
            <w:vAlign w:val="top"/>
          </w:tcPr>
          <w:p w14:paraId="63A93EC7">
            <w:pPr>
              <w:rPr>
                <w:rFonts w:hint="eastAsia" w:ascii="宋体" w:hAnsi="宋体" w:eastAsia="宋体" w:cs="宋体"/>
                <w:color w:val="auto"/>
                <w:sz w:val="21"/>
                <w:szCs w:val="21"/>
                <w:highlight w:val="none"/>
              </w:rPr>
            </w:pPr>
          </w:p>
        </w:tc>
      </w:tr>
      <w:tr w14:paraId="3AE46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258C8460">
            <w:pPr>
              <w:spacing w:before="215" w:line="189" w:lineRule="auto"/>
              <w:ind w:left="4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424" w:type="dxa"/>
            <w:vAlign w:val="top"/>
          </w:tcPr>
          <w:p w14:paraId="38F9A3CF">
            <w:pPr>
              <w:spacing w:before="181" w:line="229" w:lineRule="auto"/>
              <w:ind w:left="1297"/>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付款条件</w:t>
            </w:r>
          </w:p>
        </w:tc>
        <w:tc>
          <w:tcPr>
            <w:tcW w:w="2818" w:type="dxa"/>
            <w:vAlign w:val="top"/>
          </w:tcPr>
          <w:p w14:paraId="4DA3C0AC">
            <w:pPr>
              <w:rPr>
                <w:rFonts w:hint="eastAsia" w:ascii="宋体" w:hAnsi="宋体" w:eastAsia="宋体" w:cs="宋体"/>
                <w:color w:val="auto"/>
                <w:sz w:val="21"/>
                <w:szCs w:val="21"/>
                <w:highlight w:val="none"/>
              </w:rPr>
            </w:pPr>
          </w:p>
        </w:tc>
        <w:tc>
          <w:tcPr>
            <w:tcW w:w="1696" w:type="dxa"/>
            <w:vAlign w:val="top"/>
          </w:tcPr>
          <w:p w14:paraId="6D434C0F">
            <w:pPr>
              <w:rPr>
                <w:rFonts w:hint="eastAsia" w:ascii="宋体" w:hAnsi="宋体" w:eastAsia="宋体" w:cs="宋体"/>
                <w:color w:val="auto"/>
                <w:sz w:val="21"/>
                <w:szCs w:val="21"/>
                <w:highlight w:val="none"/>
              </w:rPr>
            </w:pPr>
          </w:p>
        </w:tc>
      </w:tr>
      <w:tr w14:paraId="0E022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0D5A8B84">
            <w:pPr>
              <w:spacing w:before="181" w:line="325" w:lineRule="exact"/>
              <w:ind w:left="306"/>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w:t>
            </w:r>
          </w:p>
        </w:tc>
        <w:tc>
          <w:tcPr>
            <w:tcW w:w="3424" w:type="dxa"/>
            <w:vAlign w:val="top"/>
          </w:tcPr>
          <w:p w14:paraId="17DBBE76">
            <w:pPr>
              <w:spacing w:before="181" w:line="325" w:lineRule="exact"/>
              <w:ind w:left="1521"/>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w:t>
            </w:r>
          </w:p>
        </w:tc>
        <w:tc>
          <w:tcPr>
            <w:tcW w:w="2818" w:type="dxa"/>
            <w:vAlign w:val="top"/>
          </w:tcPr>
          <w:p w14:paraId="0DC6C75A">
            <w:pPr>
              <w:rPr>
                <w:rFonts w:hint="eastAsia" w:ascii="宋体" w:hAnsi="宋体" w:eastAsia="宋体" w:cs="宋体"/>
                <w:color w:val="auto"/>
                <w:sz w:val="21"/>
                <w:szCs w:val="21"/>
                <w:highlight w:val="none"/>
              </w:rPr>
            </w:pPr>
          </w:p>
        </w:tc>
        <w:tc>
          <w:tcPr>
            <w:tcW w:w="1696" w:type="dxa"/>
            <w:vAlign w:val="top"/>
          </w:tcPr>
          <w:p w14:paraId="28189FB6">
            <w:pPr>
              <w:rPr>
                <w:rFonts w:hint="eastAsia" w:ascii="宋体" w:hAnsi="宋体" w:eastAsia="宋体" w:cs="宋体"/>
                <w:color w:val="auto"/>
                <w:sz w:val="21"/>
                <w:szCs w:val="21"/>
                <w:highlight w:val="none"/>
              </w:rPr>
            </w:pPr>
          </w:p>
        </w:tc>
      </w:tr>
      <w:tr w14:paraId="1D1EE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09CD1D19">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备</w:t>
            </w:r>
            <w:r>
              <w:rPr>
                <w:rFonts w:hint="eastAsia" w:ascii="宋体" w:hAnsi="宋体" w:eastAsia="宋体" w:cs="宋体"/>
                <w:color w:val="auto"/>
                <w:spacing w:val="7"/>
                <w:sz w:val="21"/>
                <w:szCs w:val="21"/>
                <w:highlight w:val="none"/>
              </w:rPr>
              <w:t>注：供应商在响应竞争性磋商文件中规定的实质性要求和条件的基础上，可做出其他有利于采</w:t>
            </w:r>
            <w:r>
              <w:rPr>
                <w:rFonts w:hint="eastAsia" w:ascii="宋体" w:hAnsi="宋体" w:eastAsia="宋体" w:cs="宋体"/>
                <w:color w:val="auto"/>
                <w:spacing w:val="13"/>
                <w:sz w:val="21"/>
                <w:szCs w:val="21"/>
                <w:highlight w:val="none"/>
              </w:rPr>
              <w:t>购</w:t>
            </w:r>
            <w:r>
              <w:rPr>
                <w:rFonts w:hint="eastAsia" w:ascii="宋体" w:hAnsi="宋体" w:eastAsia="宋体" w:cs="宋体"/>
                <w:color w:val="auto"/>
                <w:spacing w:val="9"/>
                <w:sz w:val="21"/>
                <w:szCs w:val="21"/>
                <w:highlight w:val="none"/>
              </w:rPr>
              <w:t>单位的承诺。此类承诺可在本表中予以补充填写。</w:t>
            </w:r>
          </w:p>
        </w:tc>
      </w:tr>
    </w:tbl>
    <w:p w14:paraId="72182BD0">
      <w:pPr>
        <w:pStyle w:val="4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z w:val="24"/>
          <w:szCs w:val="32"/>
          <w:highlight w:val="none"/>
        </w:rPr>
      </w:pPr>
    </w:p>
    <w:p w14:paraId="5D7C65D9">
      <w:pPr>
        <w:spacing w:line="360" w:lineRule="auto"/>
        <w:ind w:right="480"/>
        <w:contextualSpacing/>
        <w:jc w:val="center"/>
        <w:rPr>
          <w:rFonts w:hint="eastAsia" w:ascii="宋体" w:hAnsi="宋体"/>
          <w:color w:val="000000"/>
          <w:sz w:val="24"/>
          <w:szCs w:val="24"/>
          <w:highlight w:val="none"/>
          <w:u w:val="single"/>
        </w:rPr>
      </w:pPr>
      <w:r>
        <w:rPr>
          <w:rFonts w:hint="eastAsia" w:ascii="宋体" w:hAnsi="宋体"/>
          <w:color w:val="000000"/>
          <w:sz w:val="24"/>
          <w:highlight w:val="none"/>
        </w:rPr>
        <w:t xml:space="preserve"> </w:t>
      </w:r>
      <w:r>
        <w:rPr>
          <w:rFonts w:ascii="宋体" w:hAnsi="宋体"/>
          <w:color w:val="000000"/>
          <w:sz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法定代表人或者委托代理人（签字或者电子签名）：</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14:paraId="3F6D9D0E">
      <w:pPr>
        <w:spacing w:line="360" w:lineRule="auto"/>
        <w:ind w:right="480" w:firstLine="3360" w:firstLineChars="1400"/>
        <w:contextualSpacing/>
        <w:rPr>
          <w:rFonts w:hint="eastAsia" w:ascii="宋体" w:hAnsi="宋体"/>
          <w:color w:val="000000"/>
          <w:sz w:val="24"/>
          <w:szCs w:val="24"/>
          <w:highlight w:val="none"/>
        </w:rPr>
      </w:pPr>
      <w:r>
        <w:rPr>
          <w:rFonts w:hint="eastAsia" w:ascii="宋体" w:hAnsi="宋体"/>
          <w:color w:val="000000"/>
          <w:sz w:val="24"/>
          <w:szCs w:val="24"/>
          <w:highlight w:val="none"/>
        </w:rPr>
        <w:t>供应商（电子签章）：</w:t>
      </w:r>
      <w:r>
        <w:rPr>
          <w:rFonts w:hint="eastAsia" w:ascii="宋体" w:hAnsi="宋体"/>
          <w:color w:val="000000"/>
          <w:sz w:val="24"/>
          <w:szCs w:val="24"/>
          <w:highlight w:val="none"/>
          <w:u w:val="single"/>
        </w:rPr>
        <w:t xml:space="preserve">                </w:t>
      </w:r>
    </w:p>
    <w:p w14:paraId="5CEB941B">
      <w:pPr>
        <w:spacing w:line="360" w:lineRule="auto"/>
        <w:ind w:firstLine="480" w:firstLineChars="200"/>
        <w:contextualSpacing/>
        <w:jc w:val="left"/>
        <w:rPr>
          <w:rFonts w:ascii="宋体" w:hAnsi="宋体"/>
          <w:color w:val="000000"/>
          <w:sz w:val="24"/>
          <w:szCs w:val="24"/>
          <w:highlight w:val="none"/>
        </w:rPr>
      </w:pPr>
      <w:r>
        <w:rPr>
          <w:rFonts w:hint="eastAsia" w:ascii="宋体" w:hAnsi="宋体"/>
          <w:color w:val="000000"/>
          <w:sz w:val="24"/>
          <w:szCs w:val="24"/>
          <w:highlight w:val="none"/>
        </w:rPr>
        <w:t xml:space="preserve">                                        年    月    日</w:t>
      </w:r>
    </w:p>
    <w:p w14:paraId="2FD6FCC6">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3FCA5806">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5F26E10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C69CD61">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13AFDB9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014A0960">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87AE8E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FEA92A0">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2632F315">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021C3A72">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6BF3ECC">
      <w:pPr>
        <w:spacing w:line="360" w:lineRule="auto"/>
        <w:jc w:val="center"/>
        <w:rPr>
          <w:rFonts w:hint="eastAsia" w:ascii="方正小标宋简体" w:hAnsi="方正小标宋简体" w:eastAsia="方正小标宋简体" w:cs="方正小标宋简体"/>
          <w:bCs/>
          <w:color w:val="000000"/>
          <w:sz w:val="32"/>
          <w:szCs w:val="32"/>
          <w:highlight w:val="none"/>
        </w:rPr>
      </w:pPr>
      <w:r>
        <w:rPr>
          <w:rFonts w:hint="eastAsia" w:ascii="宋体" w:hAnsi="宋体" w:cs="方正小标宋简体"/>
          <w:b/>
          <w:bCs/>
          <w:color w:val="000000"/>
          <w:sz w:val="32"/>
          <w:szCs w:val="32"/>
          <w:highlight w:val="none"/>
        </w:rPr>
        <w:t>竞标报价表</w:t>
      </w:r>
      <w:r>
        <w:rPr>
          <w:rFonts w:hint="eastAsia" w:asciiTheme="majorEastAsia" w:hAnsiTheme="majorEastAsia" w:eastAsiaTheme="majorEastAsia" w:cstheme="majorEastAsia"/>
          <w:b/>
          <w:bCs/>
          <w:color w:val="auto"/>
          <w:sz w:val="28"/>
          <w:szCs w:val="28"/>
          <w:highlight w:val="none"/>
          <w:lang w:eastAsia="zh-CN"/>
        </w:rPr>
        <w:t>（格式）</w:t>
      </w:r>
    </w:p>
    <w:p w14:paraId="2E700AB7">
      <w:pPr>
        <w:spacing w:line="440" w:lineRule="exact"/>
        <w:jc w:val="center"/>
        <w:rPr>
          <w:rFonts w:hint="eastAsia" w:ascii="方正小标宋简体" w:hAnsi="方正小标宋简体" w:eastAsia="方正小标宋简体" w:cs="方正小标宋简体"/>
          <w:bCs/>
          <w:color w:val="000000"/>
          <w:sz w:val="32"/>
          <w:szCs w:val="32"/>
          <w:highlight w:val="none"/>
        </w:rPr>
      </w:pPr>
    </w:p>
    <w:p w14:paraId="3181AD73">
      <w:pPr>
        <w:spacing w:line="360" w:lineRule="auto"/>
        <w:contextualSpacing/>
        <w:rPr>
          <w:rFonts w:hint="eastAsia" w:ascii="宋体" w:hAnsi="宋体" w:cs="仿宋_GB2312"/>
          <w:color w:val="000000"/>
          <w:sz w:val="24"/>
          <w:highlight w:val="none"/>
        </w:rPr>
      </w:pPr>
      <w:r>
        <w:rPr>
          <w:rFonts w:hint="eastAsia" w:ascii="宋体" w:hAnsi="宋体" w:cs="仿宋_GB2312"/>
          <w:color w:val="000000"/>
          <w:sz w:val="24"/>
          <w:highlight w:val="none"/>
        </w:rPr>
        <w:t xml:space="preserve">                                                </w:t>
      </w:r>
      <w:r>
        <w:rPr>
          <w:rFonts w:hint="eastAsia" w:ascii="宋体" w:hAnsi="宋体" w:cs="仿宋_GB2312"/>
          <w:color w:val="000000"/>
          <w:sz w:val="24"/>
          <w:highlight w:val="none"/>
          <w:lang w:val="en-US" w:eastAsia="zh-CN"/>
        </w:rPr>
        <w:t xml:space="preserve">                </w:t>
      </w:r>
      <w:r>
        <w:rPr>
          <w:rFonts w:hint="eastAsia" w:ascii="宋体" w:hAnsi="宋体" w:cs="仿宋_GB2312"/>
          <w:color w:val="000000"/>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3CFC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19F27FC">
            <w:pPr>
              <w:spacing w:line="360" w:lineRule="auto"/>
              <w:contextualSpacing/>
              <w:jc w:val="center"/>
              <w:rPr>
                <w:rFonts w:ascii="宋体" w:hAnsi="宋体" w:cs="仿宋_GB2312"/>
                <w:color w:val="000000"/>
                <w:sz w:val="24"/>
                <w:highlight w:val="none"/>
              </w:rPr>
            </w:pPr>
            <w:r>
              <w:rPr>
                <w:rFonts w:ascii="宋体" w:hAnsi="宋体" w:cs="仿宋_GB2312"/>
                <w:color w:val="00000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2B262F0">
            <w:pPr>
              <w:spacing w:line="360" w:lineRule="auto"/>
              <w:contextualSpacing/>
              <w:jc w:val="center"/>
              <w:rPr>
                <w:rFonts w:ascii="宋体" w:hAnsi="宋体" w:cs="仿宋_GB2312"/>
                <w:color w:val="000000"/>
                <w:sz w:val="24"/>
                <w:highlight w:val="none"/>
              </w:rPr>
            </w:pPr>
            <w:r>
              <w:rPr>
                <w:rFonts w:hint="eastAsia" w:ascii="宋体" w:hAnsi="宋体" w:cs="仿宋_GB2312"/>
                <w:color w:val="000000"/>
                <w:sz w:val="24"/>
                <w:highlight w:val="none"/>
                <w:lang w:eastAsia="zh-CN"/>
              </w:rPr>
              <w:t>标的</w:t>
            </w:r>
            <w:r>
              <w:rPr>
                <w:rFonts w:ascii="宋体" w:hAnsi="宋体" w:cs="仿宋_GB2312"/>
                <w:color w:val="00000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61A3E6A">
            <w:pPr>
              <w:spacing w:line="360" w:lineRule="auto"/>
              <w:contextualSpacing/>
              <w:jc w:val="center"/>
              <w:rPr>
                <w:rFonts w:ascii="宋体" w:hAnsi="宋体" w:cs="仿宋_GB2312"/>
                <w:color w:val="000000"/>
                <w:sz w:val="24"/>
                <w:highlight w:val="none"/>
              </w:rPr>
            </w:pPr>
            <w:r>
              <w:rPr>
                <w:rFonts w:hint="eastAsia" w:ascii="宋体" w:hAnsi="宋体" w:cs="仿宋_GB2312"/>
                <w:color w:val="00000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76F925E1">
            <w:pPr>
              <w:spacing w:line="360" w:lineRule="auto"/>
              <w:contextualSpacing/>
              <w:jc w:val="center"/>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DE165FE">
            <w:pPr>
              <w:spacing w:line="360" w:lineRule="auto"/>
              <w:contextualSpacing/>
              <w:jc w:val="center"/>
              <w:rPr>
                <w:rFonts w:ascii="宋体" w:hAnsi="宋体" w:cs="仿宋_GB2312"/>
                <w:color w:val="000000"/>
                <w:sz w:val="24"/>
                <w:highlight w:val="none"/>
              </w:rPr>
            </w:pPr>
            <w:r>
              <w:rPr>
                <w:rFonts w:ascii="宋体" w:hAnsi="宋体" w:cs="仿宋_GB2312"/>
                <w:color w:val="000000"/>
                <w:sz w:val="24"/>
                <w:highlight w:val="none"/>
              </w:rPr>
              <w:t>备注</w:t>
            </w:r>
          </w:p>
        </w:tc>
      </w:tr>
      <w:tr w14:paraId="6064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2AE1DEE">
            <w:pPr>
              <w:spacing w:line="360" w:lineRule="auto"/>
              <w:contextualSpacing/>
              <w:jc w:val="center"/>
              <w:rPr>
                <w:rFonts w:ascii="宋体" w:hAnsi="宋体" w:cs="仿宋_GB2312"/>
                <w:color w:val="000000"/>
                <w:sz w:val="24"/>
                <w:highlight w:val="none"/>
              </w:rPr>
            </w:pPr>
            <w:r>
              <w:rPr>
                <w:rFonts w:ascii="宋体" w:hAnsi="宋体" w:cs="仿宋_GB2312"/>
                <w:color w:val="00000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5C3B9B6">
            <w:pPr>
              <w:spacing w:line="360" w:lineRule="auto"/>
              <w:contextualSpacing/>
              <w:jc w:val="center"/>
              <w:rPr>
                <w:rFonts w:ascii="宋体" w:hAnsi="宋体" w:cs="仿宋_GB2312"/>
                <w:color w:val="00000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EA4904C">
            <w:pPr>
              <w:spacing w:line="360" w:lineRule="auto"/>
              <w:contextualSpacing/>
              <w:jc w:val="center"/>
              <w:rPr>
                <w:rFonts w:ascii="宋体" w:hAnsi="宋体" w:cs="仿宋_GB2312"/>
                <w:color w:val="00000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3EB50406">
            <w:pPr>
              <w:spacing w:line="360" w:lineRule="auto"/>
              <w:contextualSpacing/>
              <w:rPr>
                <w:rFonts w:ascii="宋体" w:hAnsi="宋体" w:cs="仿宋_GB2312"/>
                <w:color w:val="00000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F4F423A">
            <w:pPr>
              <w:spacing w:line="360" w:lineRule="auto"/>
              <w:contextualSpacing/>
              <w:rPr>
                <w:rFonts w:ascii="宋体" w:hAnsi="宋体" w:cs="仿宋_GB2312"/>
                <w:color w:val="000000"/>
                <w:sz w:val="24"/>
                <w:highlight w:val="none"/>
              </w:rPr>
            </w:pPr>
          </w:p>
        </w:tc>
      </w:tr>
      <w:tr w14:paraId="30E4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316ED05">
            <w:pPr>
              <w:spacing w:line="360" w:lineRule="auto"/>
              <w:contextualSpacing/>
              <w:jc w:val="center"/>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9B9F679">
            <w:pPr>
              <w:spacing w:line="360" w:lineRule="auto"/>
              <w:contextualSpacing/>
              <w:jc w:val="center"/>
              <w:rPr>
                <w:rFonts w:ascii="宋体" w:hAnsi="宋体" w:cs="仿宋_GB2312"/>
                <w:color w:val="00000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7DDB185">
            <w:pPr>
              <w:spacing w:line="360" w:lineRule="auto"/>
              <w:contextualSpacing/>
              <w:jc w:val="center"/>
              <w:rPr>
                <w:rFonts w:hint="eastAsia" w:ascii="宋体" w:hAnsi="宋体" w:cs="仿宋_GB2312"/>
                <w:color w:val="00000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277E415">
            <w:pPr>
              <w:spacing w:line="360" w:lineRule="auto"/>
              <w:contextualSpacing/>
              <w:rPr>
                <w:rFonts w:ascii="宋体" w:hAnsi="宋体" w:cs="仿宋_GB2312"/>
                <w:color w:val="00000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B707235">
            <w:pPr>
              <w:spacing w:line="360" w:lineRule="auto"/>
              <w:contextualSpacing/>
              <w:rPr>
                <w:rFonts w:ascii="宋体" w:hAnsi="宋体" w:cs="仿宋_GB2312"/>
                <w:color w:val="000000"/>
                <w:sz w:val="24"/>
                <w:highlight w:val="none"/>
              </w:rPr>
            </w:pPr>
          </w:p>
        </w:tc>
      </w:tr>
      <w:tr w14:paraId="20BF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6AB061F9">
            <w:pPr>
              <w:spacing w:line="360" w:lineRule="auto"/>
              <w:contextualSpacing/>
              <w:rPr>
                <w:rFonts w:ascii="宋体" w:hAnsi="宋体" w:cs="仿宋_GB2312"/>
                <w:color w:val="000000"/>
                <w:sz w:val="24"/>
                <w:highlight w:val="none"/>
              </w:rPr>
            </w:pPr>
            <w:r>
              <w:rPr>
                <w:rFonts w:hint="eastAsia" w:ascii="宋体" w:hAnsi="宋体" w:cs="仿宋_GB2312"/>
                <w:color w:val="000000"/>
                <w:sz w:val="24"/>
                <w:highlight w:val="none"/>
              </w:rPr>
              <w:t>合计金额（人民币）</w:t>
            </w:r>
            <w:r>
              <w:rPr>
                <w:rFonts w:hint="eastAsia" w:ascii="宋体" w:hAnsi="宋体" w:cs="仿宋_GB2312"/>
                <w:color w:val="000000"/>
                <w:sz w:val="24"/>
                <w:highlight w:val="none"/>
                <w:u w:val="single"/>
              </w:rPr>
              <w:t xml:space="preserve">大写：                      </w:t>
            </w:r>
            <w:r>
              <w:rPr>
                <w:rFonts w:hint="eastAsia" w:ascii="宋体" w:hAnsi="宋体" w:cs="仿宋_GB2312"/>
                <w:color w:val="000000"/>
                <w:sz w:val="24"/>
                <w:highlight w:val="none"/>
              </w:rPr>
              <w:t xml:space="preserve"> （￥</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w:t>
            </w:r>
          </w:p>
        </w:tc>
      </w:tr>
    </w:tbl>
    <w:p w14:paraId="1B2E89ED">
      <w:pPr>
        <w:spacing w:line="360" w:lineRule="auto"/>
        <w:contextualSpacing/>
        <w:jc w:val="left"/>
        <w:rPr>
          <w:rFonts w:hint="eastAsia" w:ascii="宋体" w:hAnsi="宋体" w:cs="仿宋_GB2312"/>
          <w:color w:val="000000"/>
          <w:sz w:val="24"/>
          <w:highlight w:val="none"/>
        </w:rPr>
      </w:pPr>
      <w:r>
        <w:rPr>
          <w:rFonts w:hint="eastAsia" w:ascii="宋体" w:hAnsi="宋体" w:cs="仿宋_GB2312"/>
          <w:color w:val="000000"/>
          <w:sz w:val="24"/>
          <w:highlight w:val="none"/>
        </w:rPr>
        <w:t xml:space="preserve">注: </w:t>
      </w:r>
    </w:p>
    <w:p w14:paraId="540BE6B1">
      <w:pPr>
        <w:spacing w:line="360" w:lineRule="auto"/>
        <w:ind w:firstLine="480" w:firstLineChars="200"/>
        <w:contextualSpacing/>
        <w:jc w:val="left"/>
        <w:rPr>
          <w:rFonts w:hint="eastAsia" w:ascii="宋体" w:hAnsi="宋体" w:cs="仿宋_GB2312"/>
          <w:color w:val="000000"/>
          <w:sz w:val="24"/>
          <w:highlight w:val="none"/>
        </w:rPr>
      </w:pPr>
      <w:r>
        <w:rPr>
          <w:rFonts w:hint="eastAsia" w:ascii="宋体" w:hAnsi="宋体" w:cs="仿宋_GB2312"/>
          <w:color w:val="000000"/>
          <w:sz w:val="24"/>
          <w:highlight w:val="none"/>
        </w:rPr>
        <w:t>1. 供应商的报价表必须加盖供应商电子签章并由法定代表人或者委托代理人签字或者电子签名，</w:t>
      </w:r>
      <w:r>
        <w:rPr>
          <w:rFonts w:hint="eastAsia" w:ascii="宋体" w:hAnsi="宋体" w:cs="仿宋_GB2312"/>
          <w:b/>
          <w:color w:val="000000"/>
          <w:sz w:val="24"/>
          <w:highlight w:val="none"/>
        </w:rPr>
        <w:t>否则其响应文件按无效处理</w:t>
      </w:r>
      <w:r>
        <w:rPr>
          <w:rFonts w:hint="eastAsia" w:ascii="宋体" w:hAnsi="宋体" w:cs="仿宋_GB2312"/>
          <w:color w:val="000000"/>
          <w:sz w:val="24"/>
          <w:highlight w:val="none"/>
        </w:rPr>
        <w:t>。</w:t>
      </w:r>
    </w:p>
    <w:p w14:paraId="6509CEFC">
      <w:pPr>
        <w:spacing w:line="360" w:lineRule="auto"/>
        <w:ind w:firstLine="480" w:firstLineChars="200"/>
        <w:contextualSpacing/>
        <w:jc w:val="left"/>
        <w:rPr>
          <w:rFonts w:hint="eastAsia" w:ascii="宋体" w:hAnsi="宋体" w:cs="仿宋_GB2312"/>
          <w:b/>
          <w:color w:val="000000"/>
          <w:sz w:val="24"/>
          <w:highlight w:val="none"/>
        </w:rPr>
      </w:pPr>
      <w:r>
        <w:rPr>
          <w:rFonts w:hint="eastAsia" w:ascii="宋体" w:hAnsi="宋体" w:cs="仿宋_GB2312"/>
          <w:bCs/>
          <w:color w:val="000000"/>
          <w:sz w:val="24"/>
          <w:highlight w:val="none"/>
        </w:rPr>
        <w:t>2.</w:t>
      </w:r>
      <w:r>
        <w:rPr>
          <w:rFonts w:hint="eastAsia" w:ascii="宋体" w:hAnsi="宋体" w:cs="仿宋_GB2312"/>
          <w:color w:val="000000"/>
          <w:sz w:val="24"/>
          <w:highlight w:val="none"/>
        </w:rPr>
        <w:t xml:space="preserve"> 报价一经涂改，应在涂改处加盖供应商公章或者加盖电子签章或者由法定代表人或者授权委托人签字</w:t>
      </w:r>
      <w:r>
        <w:rPr>
          <w:rFonts w:hint="eastAsia" w:ascii="宋体" w:hAnsi="宋体"/>
          <w:color w:val="000000"/>
          <w:sz w:val="24"/>
          <w:highlight w:val="none"/>
        </w:rPr>
        <w:t>（或者电子签名）</w:t>
      </w:r>
      <w:r>
        <w:rPr>
          <w:rFonts w:hint="eastAsia" w:ascii="宋体" w:hAnsi="宋体" w:cs="仿宋_GB2312"/>
          <w:b/>
          <w:color w:val="000000"/>
          <w:sz w:val="24"/>
          <w:highlight w:val="none"/>
        </w:rPr>
        <w:t>，否则其响应文件按无效处理。</w:t>
      </w:r>
    </w:p>
    <w:p w14:paraId="358AF4A0">
      <w:pPr>
        <w:spacing w:line="360" w:lineRule="auto"/>
        <w:ind w:firstLine="482" w:firstLineChars="200"/>
        <w:contextualSpacing/>
        <w:jc w:val="left"/>
        <w:rPr>
          <w:rFonts w:hint="default" w:ascii="宋体" w:hAnsi="宋体" w:cs="仿宋_GB2312"/>
          <w:b/>
          <w:bCs/>
          <w:color w:val="000000"/>
          <w:sz w:val="24"/>
          <w:highlight w:val="none"/>
          <w:lang w:val="en-US" w:eastAsia="zh-CN"/>
        </w:rPr>
      </w:pPr>
      <w:r>
        <w:rPr>
          <w:rFonts w:hint="eastAsia" w:ascii="宋体" w:hAnsi="宋体" w:cs="仿宋_GB2312"/>
          <w:b/>
          <w:bCs/>
          <w:color w:val="000000"/>
          <w:sz w:val="24"/>
          <w:highlight w:val="none"/>
          <w:lang w:val="en-US" w:eastAsia="zh-CN"/>
        </w:rPr>
        <w:t>3.</w:t>
      </w:r>
      <w:r>
        <w:rPr>
          <w:rFonts w:hint="eastAsia" w:ascii="宋体" w:hAnsi="宋体" w:eastAsia="宋体" w:cs="宋体"/>
          <w:b/>
          <w:bCs/>
          <w:color w:val="000000"/>
          <w:sz w:val="24"/>
          <w:szCs w:val="24"/>
          <w:highlight w:val="none"/>
          <w:lang w:val="en-US" w:eastAsia="zh-CN"/>
        </w:rPr>
        <w:t>在</w:t>
      </w:r>
      <w:r>
        <w:rPr>
          <w:rFonts w:hint="eastAsia" w:ascii="宋体" w:hAnsi="宋体" w:cs="宋体"/>
          <w:b/>
          <w:bCs/>
          <w:color w:val="000000"/>
          <w:sz w:val="24"/>
          <w:szCs w:val="24"/>
          <w:highlight w:val="none"/>
          <w:lang w:val="en-US" w:eastAsia="zh-CN"/>
        </w:rPr>
        <w:t>广西政府采购云平台</w:t>
      </w:r>
      <w:r>
        <w:rPr>
          <w:rFonts w:hint="eastAsia" w:ascii="宋体" w:hAnsi="宋体" w:eastAsia="宋体" w:cs="宋体"/>
          <w:b/>
          <w:bCs/>
          <w:color w:val="000000"/>
          <w:sz w:val="24"/>
          <w:szCs w:val="24"/>
          <w:highlight w:val="none"/>
          <w:lang w:val="en-US" w:eastAsia="zh-CN"/>
        </w:rPr>
        <w:t>评审过程中，</w:t>
      </w:r>
      <w:r>
        <w:rPr>
          <w:rFonts w:hint="eastAsia" w:ascii="宋体" w:hAnsi="宋体" w:cs="宋体"/>
          <w:b/>
          <w:bCs/>
          <w:color w:val="000000"/>
          <w:sz w:val="24"/>
          <w:szCs w:val="24"/>
          <w:highlight w:val="none"/>
          <w:lang w:val="en-US" w:eastAsia="zh-CN"/>
        </w:rPr>
        <w:t>供应商提交的</w:t>
      </w:r>
      <w:r>
        <w:rPr>
          <w:rFonts w:hint="eastAsia" w:ascii="宋体" w:hAnsi="宋体" w:cs="仿宋_GB2312"/>
          <w:b/>
          <w:bCs/>
          <w:color w:val="000000"/>
          <w:sz w:val="24"/>
          <w:highlight w:val="none"/>
        </w:rPr>
        <w:t>最后报价与首次报价相比有调整的</w:t>
      </w:r>
      <w:r>
        <w:rPr>
          <w:rFonts w:hint="eastAsia" w:ascii="宋体" w:hAnsi="宋体" w:cs="仿宋_GB2312"/>
          <w:b/>
          <w:bCs/>
          <w:color w:val="000000"/>
          <w:sz w:val="24"/>
          <w:highlight w:val="none"/>
          <w:lang w:eastAsia="zh-CN"/>
        </w:rPr>
        <w:t>，必须同时上传相对应的“已标价的工程量清单”作为附件，</w:t>
      </w:r>
      <w:r>
        <w:rPr>
          <w:rFonts w:hint="eastAsia" w:ascii="宋体" w:hAnsi="宋体" w:cs="仿宋_GB2312"/>
          <w:b/>
          <w:bCs/>
          <w:color w:val="000000"/>
          <w:sz w:val="24"/>
          <w:highlight w:val="none"/>
        </w:rPr>
        <w:t>否则其响应文件按无效处理。</w:t>
      </w:r>
    </w:p>
    <w:p w14:paraId="7C8666D0">
      <w:pPr>
        <w:spacing w:line="360" w:lineRule="auto"/>
        <w:ind w:right="-817" w:rightChars="-389"/>
        <w:contextualSpacing/>
        <w:rPr>
          <w:rFonts w:hint="eastAsia" w:ascii="宋体" w:hAnsi="宋体" w:cs="仿宋_GB2312"/>
          <w:color w:val="000000"/>
          <w:sz w:val="24"/>
          <w:highlight w:val="none"/>
        </w:rPr>
      </w:pPr>
    </w:p>
    <w:p w14:paraId="290DFF97">
      <w:pPr>
        <w:spacing w:line="360" w:lineRule="auto"/>
        <w:ind w:right="-817" w:rightChars="-389"/>
        <w:contextualSpacing/>
        <w:rPr>
          <w:rFonts w:hint="eastAsia" w:ascii="宋体" w:hAnsi="宋体" w:cs="仿宋_GB2312"/>
          <w:color w:val="000000"/>
          <w:sz w:val="24"/>
          <w:highlight w:val="none"/>
        </w:rPr>
      </w:pPr>
    </w:p>
    <w:p w14:paraId="7D456C47">
      <w:pPr>
        <w:spacing w:line="360" w:lineRule="auto"/>
        <w:ind w:right="-817" w:rightChars="-389" w:firstLine="2640" w:firstLineChars="11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 xml:space="preserve">法定代表人或者委托代理人（签字或者电子签名）：                    </w:t>
      </w:r>
    </w:p>
    <w:p w14:paraId="3FA9A277">
      <w:pPr>
        <w:spacing w:line="360" w:lineRule="auto"/>
        <w:ind w:right="-817" w:rightChars="-389" w:firstLine="2640" w:firstLineChars="11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 xml:space="preserve">供应商（电子签章）：      </w:t>
      </w:r>
    </w:p>
    <w:p w14:paraId="3F9C6BFB">
      <w:pPr>
        <w:spacing w:line="360" w:lineRule="auto"/>
        <w:ind w:right="-817" w:rightChars="-389" w:firstLine="4080" w:firstLineChars="17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日期：   年   月   日</w:t>
      </w:r>
    </w:p>
    <w:p w14:paraId="5437E37D">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26CB0BA6">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33F08F0A">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5AEDEE2D">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693C836E">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696BDB33">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CB3DA3A">
      <w:pPr>
        <w:pStyle w:val="4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24AE6750">
      <w:pPr>
        <w:pStyle w:val="4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p>
    <w:p w14:paraId="745714B1">
      <w:pPr>
        <w:pStyle w:val="4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1、说明：已标价工程量清单按规范中的“工程量清单”中的相关清单表格式填写。构成合同文件的已标价工程量清单包括规范中的“工程量清单”有关工程量清单、磋商报价以及其他说明的内容。</w:t>
      </w:r>
    </w:p>
    <w:p w14:paraId="6D85F05B">
      <w:pPr>
        <w:autoSpaceDE w:val="0"/>
        <w:autoSpaceDN w:val="0"/>
        <w:adjustRightInd w:val="0"/>
        <w:spacing w:line="360" w:lineRule="auto"/>
        <w:rPr>
          <w:rFonts w:ascii="宋体" w:hAnsi="宋体"/>
          <w:b/>
          <w:bCs/>
          <w:color w:val="000000"/>
          <w:sz w:val="32"/>
          <w:szCs w:val="32"/>
          <w:highlight w:val="none"/>
          <w:lang w:val="zh-CN"/>
        </w:rPr>
      </w:pPr>
    </w:p>
    <w:p w14:paraId="42AF3D31">
      <w:pPr>
        <w:autoSpaceDE w:val="0"/>
        <w:autoSpaceDN w:val="0"/>
        <w:adjustRightInd w:val="0"/>
        <w:spacing w:line="360" w:lineRule="auto"/>
        <w:rPr>
          <w:rFonts w:ascii="宋体" w:hAnsi="宋体"/>
          <w:b/>
          <w:bCs/>
          <w:color w:val="000000"/>
          <w:sz w:val="32"/>
          <w:szCs w:val="32"/>
          <w:highlight w:val="none"/>
          <w:lang w:val="zh-CN"/>
        </w:rPr>
      </w:pPr>
    </w:p>
    <w:p w14:paraId="738ACC93">
      <w:pPr>
        <w:autoSpaceDE w:val="0"/>
        <w:autoSpaceDN w:val="0"/>
        <w:adjustRightInd w:val="0"/>
        <w:spacing w:line="360" w:lineRule="auto"/>
        <w:rPr>
          <w:rFonts w:ascii="宋体" w:hAnsi="宋体"/>
          <w:b/>
          <w:bCs/>
          <w:color w:val="000000"/>
          <w:sz w:val="32"/>
          <w:szCs w:val="32"/>
          <w:highlight w:val="none"/>
          <w:lang w:val="zh-CN"/>
        </w:rPr>
      </w:pPr>
    </w:p>
    <w:p w14:paraId="525721B0">
      <w:pPr>
        <w:autoSpaceDE w:val="0"/>
        <w:autoSpaceDN w:val="0"/>
        <w:adjustRightInd w:val="0"/>
        <w:spacing w:line="360" w:lineRule="auto"/>
        <w:rPr>
          <w:rFonts w:ascii="宋体" w:hAnsi="宋体"/>
          <w:b/>
          <w:bCs/>
          <w:color w:val="000000"/>
          <w:sz w:val="32"/>
          <w:szCs w:val="32"/>
          <w:highlight w:val="none"/>
          <w:lang w:val="zh-CN"/>
        </w:rPr>
      </w:pPr>
    </w:p>
    <w:p w14:paraId="5352A505">
      <w:pPr>
        <w:autoSpaceDE w:val="0"/>
        <w:autoSpaceDN w:val="0"/>
        <w:adjustRightInd w:val="0"/>
        <w:spacing w:line="360" w:lineRule="auto"/>
        <w:rPr>
          <w:rFonts w:ascii="宋体" w:hAnsi="宋体"/>
          <w:b/>
          <w:bCs/>
          <w:color w:val="000000"/>
          <w:sz w:val="32"/>
          <w:szCs w:val="32"/>
          <w:highlight w:val="none"/>
          <w:lang w:val="zh-CN"/>
        </w:rPr>
      </w:pPr>
    </w:p>
    <w:p w14:paraId="0DD5DD17">
      <w:pPr>
        <w:autoSpaceDE w:val="0"/>
        <w:autoSpaceDN w:val="0"/>
        <w:adjustRightInd w:val="0"/>
        <w:spacing w:line="360" w:lineRule="auto"/>
        <w:rPr>
          <w:rFonts w:ascii="宋体" w:hAnsi="宋体"/>
          <w:b/>
          <w:bCs/>
          <w:color w:val="000000"/>
          <w:sz w:val="32"/>
          <w:szCs w:val="32"/>
          <w:highlight w:val="none"/>
          <w:lang w:val="zh-CN"/>
        </w:rPr>
      </w:pPr>
    </w:p>
    <w:p w14:paraId="131E0280">
      <w:pPr>
        <w:autoSpaceDE w:val="0"/>
        <w:autoSpaceDN w:val="0"/>
        <w:adjustRightInd w:val="0"/>
        <w:spacing w:line="360" w:lineRule="auto"/>
        <w:rPr>
          <w:rFonts w:ascii="宋体" w:hAnsi="宋体"/>
          <w:b/>
          <w:bCs/>
          <w:color w:val="000000"/>
          <w:sz w:val="32"/>
          <w:szCs w:val="32"/>
          <w:highlight w:val="none"/>
          <w:lang w:val="zh-CN"/>
        </w:rPr>
      </w:pPr>
    </w:p>
    <w:p w14:paraId="29E2B9E0">
      <w:pPr>
        <w:autoSpaceDE w:val="0"/>
        <w:autoSpaceDN w:val="0"/>
        <w:adjustRightInd w:val="0"/>
        <w:spacing w:line="360" w:lineRule="auto"/>
        <w:rPr>
          <w:rFonts w:ascii="宋体" w:hAnsi="宋体"/>
          <w:b/>
          <w:bCs/>
          <w:color w:val="000000"/>
          <w:sz w:val="32"/>
          <w:szCs w:val="32"/>
          <w:highlight w:val="none"/>
          <w:lang w:val="zh-CN"/>
        </w:rPr>
      </w:pPr>
    </w:p>
    <w:p w14:paraId="7CE7FBDB">
      <w:pPr>
        <w:autoSpaceDE w:val="0"/>
        <w:autoSpaceDN w:val="0"/>
        <w:adjustRightInd w:val="0"/>
        <w:spacing w:line="360" w:lineRule="auto"/>
        <w:rPr>
          <w:rFonts w:ascii="宋体" w:hAnsi="宋体"/>
          <w:b/>
          <w:bCs/>
          <w:color w:val="000000"/>
          <w:sz w:val="32"/>
          <w:szCs w:val="32"/>
          <w:highlight w:val="none"/>
          <w:lang w:val="zh-CN"/>
        </w:rPr>
      </w:pPr>
    </w:p>
    <w:p w14:paraId="1A51A199">
      <w:pPr>
        <w:autoSpaceDE w:val="0"/>
        <w:autoSpaceDN w:val="0"/>
        <w:adjustRightInd w:val="0"/>
        <w:spacing w:line="360" w:lineRule="auto"/>
        <w:rPr>
          <w:rFonts w:ascii="宋体" w:hAnsi="宋体"/>
          <w:b/>
          <w:bCs/>
          <w:color w:val="000000"/>
          <w:sz w:val="32"/>
          <w:szCs w:val="32"/>
          <w:highlight w:val="none"/>
          <w:lang w:val="zh-CN"/>
        </w:rPr>
      </w:pPr>
    </w:p>
    <w:p w14:paraId="09D61A9B">
      <w:pPr>
        <w:autoSpaceDE w:val="0"/>
        <w:autoSpaceDN w:val="0"/>
        <w:adjustRightInd w:val="0"/>
        <w:spacing w:line="360" w:lineRule="auto"/>
        <w:rPr>
          <w:rFonts w:ascii="宋体" w:hAnsi="宋体"/>
          <w:b/>
          <w:bCs/>
          <w:color w:val="000000"/>
          <w:sz w:val="32"/>
          <w:szCs w:val="32"/>
          <w:highlight w:val="none"/>
          <w:lang w:val="zh-CN"/>
        </w:rPr>
      </w:pPr>
    </w:p>
    <w:p w14:paraId="4C949EC1">
      <w:pPr>
        <w:autoSpaceDE w:val="0"/>
        <w:autoSpaceDN w:val="0"/>
        <w:adjustRightInd w:val="0"/>
        <w:spacing w:line="360" w:lineRule="auto"/>
        <w:rPr>
          <w:rFonts w:ascii="宋体" w:hAnsi="宋体"/>
          <w:b/>
          <w:bCs/>
          <w:color w:val="000000"/>
          <w:sz w:val="32"/>
          <w:szCs w:val="32"/>
          <w:highlight w:val="none"/>
          <w:lang w:val="zh-CN"/>
        </w:rPr>
      </w:pPr>
    </w:p>
    <w:p w14:paraId="6C410636">
      <w:pPr>
        <w:autoSpaceDE w:val="0"/>
        <w:autoSpaceDN w:val="0"/>
        <w:adjustRightInd w:val="0"/>
        <w:spacing w:line="360" w:lineRule="auto"/>
        <w:rPr>
          <w:rFonts w:ascii="宋体" w:hAnsi="宋体"/>
          <w:b/>
          <w:bCs/>
          <w:color w:val="000000"/>
          <w:sz w:val="32"/>
          <w:szCs w:val="32"/>
          <w:highlight w:val="none"/>
          <w:lang w:val="zh-CN"/>
        </w:rPr>
      </w:pPr>
    </w:p>
    <w:p w14:paraId="4A283AC7">
      <w:pPr>
        <w:autoSpaceDE w:val="0"/>
        <w:autoSpaceDN w:val="0"/>
        <w:adjustRightInd w:val="0"/>
        <w:spacing w:line="360" w:lineRule="auto"/>
        <w:rPr>
          <w:rFonts w:ascii="宋体" w:hAnsi="宋体"/>
          <w:b/>
          <w:bCs/>
          <w:color w:val="000000"/>
          <w:sz w:val="32"/>
          <w:szCs w:val="32"/>
          <w:highlight w:val="none"/>
          <w:lang w:val="zh-CN"/>
        </w:rPr>
      </w:pPr>
    </w:p>
    <w:p w14:paraId="56A68BBC">
      <w:pPr>
        <w:autoSpaceDE w:val="0"/>
        <w:autoSpaceDN w:val="0"/>
        <w:adjustRightInd w:val="0"/>
        <w:spacing w:line="360" w:lineRule="auto"/>
        <w:rPr>
          <w:rFonts w:ascii="宋体" w:hAnsi="宋体"/>
          <w:b/>
          <w:bCs/>
          <w:color w:val="000000"/>
          <w:sz w:val="32"/>
          <w:szCs w:val="32"/>
          <w:highlight w:val="none"/>
          <w:lang w:val="zh-CN"/>
        </w:rPr>
      </w:pPr>
    </w:p>
    <w:p w14:paraId="20BB0A46">
      <w:pPr>
        <w:autoSpaceDE w:val="0"/>
        <w:autoSpaceDN w:val="0"/>
        <w:adjustRightInd w:val="0"/>
        <w:spacing w:line="360" w:lineRule="auto"/>
        <w:rPr>
          <w:rFonts w:ascii="宋体" w:hAnsi="宋体"/>
          <w:b/>
          <w:bCs/>
          <w:color w:val="000000"/>
          <w:sz w:val="32"/>
          <w:szCs w:val="32"/>
          <w:highlight w:val="none"/>
          <w:lang w:val="zh-CN"/>
        </w:rPr>
      </w:pPr>
    </w:p>
    <w:p w14:paraId="799162A0">
      <w:pPr>
        <w:autoSpaceDE w:val="0"/>
        <w:autoSpaceDN w:val="0"/>
        <w:adjustRightInd w:val="0"/>
        <w:spacing w:line="360" w:lineRule="auto"/>
        <w:rPr>
          <w:rFonts w:ascii="宋体" w:hAnsi="宋体"/>
          <w:b/>
          <w:bCs/>
          <w:color w:val="000000"/>
          <w:sz w:val="32"/>
          <w:szCs w:val="32"/>
          <w:highlight w:val="none"/>
          <w:lang w:val="zh-CN"/>
        </w:rPr>
      </w:pPr>
    </w:p>
    <w:p w14:paraId="36307699">
      <w:pPr>
        <w:autoSpaceDE w:val="0"/>
        <w:autoSpaceDN w:val="0"/>
        <w:adjustRightInd w:val="0"/>
        <w:spacing w:line="360" w:lineRule="auto"/>
        <w:rPr>
          <w:rFonts w:ascii="宋体" w:hAnsi="宋体"/>
          <w:b/>
          <w:bCs/>
          <w:color w:val="000000"/>
          <w:sz w:val="32"/>
          <w:szCs w:val="32"/>
          <w:highlight w:val="none"/>
          <w:lang w:val="zh-CN"/>
        </w:rPr>
      </w:pPr>
    </w:p>
    <w:p w14:paraId="3842AC1C">
      <w:pPr>
        <w:autoSpaceDE w:val="0"/>
        <w:autoSpaceDN w:val="0"/>
        <w:adjustRightInd w:val="0"/>
        <w:spacing w:line="360" w:lineRule="auto"/>
        <w:rPr>
          <w:rFonts w:ascii="宋体" w:hAnsi="宋体"/>
          <w:b/>
          <w:bCs/>
          <w:color w:val="000000"/>
          <w:sz w:val="32"/>
          <w:szCs w:val="32"/>
          <w:highlight w:val="none"/>
          <w:lang w:val="zh-CN"/>
        </w:rPr>
      </w:pPr>
    </w:p>
    <w:p w14:paraId="0BB5067A">
      <w:pPr>
        <w:spacing w:line="360" w:lineRule="auto"/>
        <w:contextualSpacing/>
        <w:jc w:val="both"/>
        <w:rPr>
          <w:rFonts w:hint="eastAsia" w:ascii="宋体" w:hAnsi="宋体"/>
          <w:b/>
          <w:color w:val="000000"/>
          <w:sz w:val="32"/>
          <w:szCs w:val="32"/>
          <w:highlight w:val="none"/>
        </w:rPr>
      </w:pPr>
      <w:r>
        <w:rPr>
          <w:rFonts w:hint="eastAsia" w:ascii="宋体" w:hAnsi="宋体"/>
          <w:b/>
          <w:bCs/>
          <w:color w:val="000000"/>
          <w:sz w:val="32"/>
          <w:szCs w:val="32"/>
          <w:highlight w:val="none"/>
        </w:rPr>
        <w:t>三、</w:t>
      </w:r>
      <w:r>
        <w:rPr>
          <w:rFonts w:hint="eastAsia" w:ascii="宋体" w:hAnsi="宋体"/>
          <w:b/>
          <w:color w:val="000000"/>
          <w:sz w:val="32"/>
          <w:szCs w:val="32"/>
          <w:highlight w:val="none"/>
        </w:rPr>
        <w:t>商务技术文件格式</w:t>
      </w:r>
    </w:p>
    <w:p w14:paraId="7C84A809">
      <w:pPr>
        <w:snapToGrid w:val="0"/>
        <w:spacing w:before="156" w:beforeLines="50" w:after="50" w:line="360" w:lineRule="auto"/>
        <w:jc w:val="left"/>
        <w:rPr>
          <w:rFonts w:ascii="宋体" w:hAnsi="宋体"/>
          <w:b/>
          <w:color w:val="000000"/>
          <w:sz w:val="32"/>
          <w:szCs w:val="32"/>
          <w:highlight w:val="none"/>
        </w:rPr>
      </w:pPr>
      <w:r>
        <w:rPr>
          <w:rFonts w:hint="eastAsia" w:ascii="宋体" w:hAnsi="宋体"/>
          <w:b/>
          <w:color w:val="000000"/>
          <w:sz w:val="32"/>
          <w:szCs w:val="32"/>
          <w:highlight w:val="none"/>
        </w:rPr>
        <w:t>1.商务技术文件封面格式</w:t>
      </w:r>
    </w:p>
    <w:p w14:paraId="48740CC8">
      <w:pPr>
        <w:snapToGrid w:val="0"/>
        <w:spacing w:before="156" w:beforeLines="50" w:after="50"/>
        <w:rPr>
          <w:rFonts w:hint="eastAsia" w:ascii="宋体" w:hAnsi="宋体"/>
          <w:bCs/>
          <w:color w:val="000000"/>
          <w:sz w:val="32"/>
          <w:szCs w:val="20"/>
          <w:highlight w:val="none"/>
        </w:rPr>
      </w:pPr>
      <w:r>
        <w:rPr>
          <w:rFonts w:hint="eastAsia" w:ascii="宋体" w:hAnsi="宋体"/>
          <w:color w:val="000000"/>
          <w:sz w:val="24"/>
          <w:highlight w:val="none"/>
        </w:rPr>
        <w:t xml:space="preserve">                                                    </w:t>
      </w:r>
    </w:p>
    <w:p w14:paraId="2FE3ED84">
      <w:pPr>
        <w:snapToGrid w:val="0"/>
        <w:spacing w:before="156" w:beforeLines="50" w:after="50"/>
        <w:jc w:val="center"/>
        <w:rPr>
          <w:rFonts w:hint="eastAsia" w:ascii="宋体" w:hAnsi="宋体"/>
          <w:color w:val="000000"/>
          <w:sz w:val="24"/>
          <w:szCs w:val="20"/>
          <w:highlight w:val="none"/>
        </w:rPr>
      </w:pPr>
      <w:r>
        <w:rPr>
          <w:rFonts w:hint="eastAsia" w:ascii="宋体" w:hAnsi="宋体"/>
          <w:color w:val="000000"/>
          <w:sz w:val="44"/>
          <w:szCs w:val="44"/>
          <w:highlight w:val="none"/>
        </w:rPr>
        <w:t>电 子 响 应 文 件</w:t>
      </w:r>
    </w:p>
    <w:p w14:paraId="318482F9">
      <w:pPr>
        <w:snapToGrid w:val="0"/>
        <w:spacing w:before="156" w:beforeLines="50" w:after="50"/>
        <w:rPr>
          <w:rFonts w:hint="eastAsia" w:ascii="宋体" w:hAnsi="宋体"/>
          <w:color w:val="000000"/>
          <w:sz w:val="24"/>
          <w:szCs w:val="20"/>
          <w:highlight w:val="none"/>
        </w:rPr>
      </w:pPr>
    </w:p>
    <w:p w14:paraId="7A45B94E">
      <w:pPr>
        <w:snapToGrid w:val="0"/>
        <w:spacing w:before="156" w:beforeLines="50" w:after="50"/>
        <w:rPr>
          <w:rFonts w:hint="eastAsia" w:ascii="宋体" w:hAnsi="宋体"/>
          <w:color w:val="000000"/>
          <w:sz w:val="24"/>
          <w:szCs w:val="20"/>
          <w:highlight w:val="none"/>
        </w:rPr>
      </w:pPr>
    </w:p>
    <w:p w14:paraId="2415D7C0">
      <w:pPr>
        <w:snapToGrid w:val="0"/>
        <w:spacing w:before="156" w:beforeLines="50" w:after="50"/>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商  务  技  术  文  件</w:t>
      </w:r>
    </w:p>
    <w:p w14:paraId="6DFA57D8">
      <w:pPr>
        <w:snapToGrid w:val="0"/>
        <w:spacing w:before="156" w:beforeLines="50" w:after="50"/>
        <w:rPr>
          <w:rFonts w:hint="eastAsia" w:ascii="宋体" w:hAnsi="宋体"/>
          <w:bCs/>
          <w:color w:val="000000"/>
          <w:sz w:val="24"/>
          <w:szCs w:val="20"/>
          <w:highlight w:val="none"/>
        </w:rPr>
      </w:pPr>
    </w:p>
    <w:p w14:paraId="2B14913E">
      <w:pPr>
        <w:snapToGrid w:val="0"/>
        <w:spacing w:before="156" w:beforeLines="50" w:after="50"/>
        <w:rPr>
          <w:rFonts w:hint="eastAsia" w:ascii="宋体" w:hAnsi="宋体"/>
          <w:bCs/>
          <w:color w:val="000000"/>
          <w:sz w:val="24"/>
          <w:szCs w:val="20"/>
          <w:highlight w:val="none"/>
        </w:rPr>
      </w:pPr>
    </w:p>
    <w:p w14:paraId="030869B6">
      <w:pPr>
        <w:snapToGrid w:val="0"/>
        <w:spacing w:before="156" w:beforeLines="50" w:after="50"/>
        <w:rPr>
          <w:rFonts w:hint="eastAsia" w:ascii="宋体" w:hAnsi="宋体"/>
          <w:bCs/>
          <w:color w:val="000000"/>
          <w:sz w:val="24"/>
          <w:szCs w:val="20"/>
          <w:highlight w:val="none"/>
        </w:rPr>
      </w:pPr>
    </w:p>
    <w:p w14:paraId="4548C48A">
      <w:pPr>
        <w:snapToGrid w:val="0"/>
        <w:spacing w:before="156" w:beforeLines="50" w:after="50"/>
        <w:rPr>
          <w:rFonts w:hint="eastAsia" w:ascii="宋体" w:hAnsi="宋体"/>
          <w:bCs/>
          <w:color w:val="000000"/>
          <w:sz w:val="24"/>
          <w:szCs w:val="20"/>
          <w:highlight w:val="none"/>
        </w:rPr>
      </w:pPr>
    </w:p>
    <w:p w14:paraId="7DAF1830">
      <w:pPr>
        <w:snapToGrid w:val="0"/>
        <w:spacing w:before="156" w:beforeLines="50" w:after="50"/>
        <w:rPr>
          <w:rFonts w:hint="eastAsia" w:ascii="宋体" w:hAnsi="宋体"/>
          <w:bCs/>
          <w:color w:val="000000"/>
          <w:sz w:val="24"/>
          <w:szCs w:val="20"/>
          <w:highlight w:val="none"/>
        </w:rPr>
      </w:pPr>
    </w:p>
    <w:p w14:paraId="5FE959A7">
      <w:pPr>
        <w:snapToGrid w:val="0"/>
        <w:spacing w:before="156" w:beforeLines="50" w:after="50"/>
        <w:ind w:firstLine="640" w:firstLineChars="200"/>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项目名称：</w:t>
      </w:r>
    </w:p>
    <w:p w14:paraId="27CDBFE9">
      <w:pPr>
        <w:snapToGrid w:val="0"/>
        <w:spacing w:before="156" w:beforeLines="50" w:after="50"/>
        <w:ind w:firstLine="720" w:firstLineChars="225"/>
        <w:rPr>
          <w:rFonts w:hint="eastAsia" w:ascii="宋体" w:hAnsi="宋体" w:cs="仿宋_GB2312"/>
          <w:bCs/>
          <w:color w:val="000000"/>
          <w:sz w:val="32"/>
          <w:szCs w:val="32"/>
          <w:highlight w:val="none"/>
        </w:rPr>
      </w:pPr>
    </w:p>
    <w:p w14:paraId="2A8A6069">
      <w:pPr>
        <w:snapToGrid w:val="0"/>
        <w:spacing w:before="156" w:beforeLines="50" w:after="50"/>
        <w:ind w:firstLine="640" w:firstLineChars="200"/>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项目编号：</w:t>
      </w:r>
    </w:p>
    <w:p w14:paraId="1CCC58C1">
      <w:pPr>
        <w:snapToGrid w:val="0"/>
        <w:spacing w:before="156" w:beforeLines="50" w:after="50"/>
        <w:ind w:firstLine="720" w:firstLineChars="225"/>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 xml:space="preserve"> </w:t>
      </w:r>
    </w:p>
    <w:p w14:paraId="42F4603A">
      <w:pPr>
        <w:pStyle w:val="8"/>
        <w:snapToGrid w:val="0"/>
        <w:spacing w:before="50" w:after="50"/>
        <w:rPr>
          <w:rFonts w:hint="eastAsia" w:ascii="宋体" w:hAnsi="宋体" w:cs="仿宋_GB2312"/>
          <w:bCs/>
          <w:color w:val="000000"/>
          <w:sz w:val="32"/>
          <w:szCs w:val="32"/>
          <w:highlight w:val="none"/>
        </w:rPr>
      </w:pPr>
      <w:r>
        <w:rPr>
          <w:rFonts w:hint="eastAsia" w:ascii="宋体" w:hAnsi="宋体" w:cs="仿宋_GB2312"/>
          <w:bCs/>
          <w:color w:val="000000"/>
          <w:sz w:val="32"/>
          <w:szCs w:val="32"/>
          <w:highlight w:val="none"/>
        </w:rPr>
        <w:t>供应商名称：</w:t>
      </w:r>
    </w:p>
    <w:p w14:paraId="2DC61A45">
      <w:pPr>
        <w:pStyle w:val="8"/>
        <w:snapToGrid w:val="0"/>
        <w:spacing w:before="50" w:after="50"/>
        <w:rPr>
          <w:rFonts w:hint="eastAsia" w:ascii="宋体" w:hAnsi="宋体" w:cs="仿宋_GB2312"/>
          <w:bCs/>
          <w:color w:val="000000"/>
          <w:sz w:val="32"/>
          <w:szCs w:val="32"/>
          <w:highlight w:val="none"/>
        </w:rPr>
      </w:pPr>
    </w:p>
    <w:p w14:paraId="3DD464B9">
      <w:pPr>
        <w:pStyle w:val="8"/>
        <w:snapToGrid w:val="0"/>
        <w:spacing w:before="50" w:after="50"/>
        <w:rPr>
          <w:rFonts w:hint="eastAsia" w:ascii="宋体" w:hAnsi="宋体" w:eastAsia="宋体" w:cs="仿宋_GB2312"/>
          <w:bCs/>
          <w:color w:val="000000"/>
          <w:sz w:val="32"/>
          <w:szCs w:val="32"/>
          <w:highlight w:val="none"/>
          <w:lang w:eastAsia="zh-CN"/>
        </w:rPr>
      </w:pPr>
      <w:r>
        <w:rPr>
          <w:rFonts w:hint="eastAsia" w:ascii="宋体" w:hAnsi="宋体" w:cs="仿宋_GB2312"/>
          <w:bCs/>
          <w:color w:val="000000"/>
          <w:sz w:val="32"/>
          <w:szCs w:val="32"/>
          <w:highlight w:val="none"/>
          <w:lang w:eastAsia="zh-CN"/>
        </w:rPr>
        <w:t>供应商地址：</w:t>
      </w:r>
    </w:p>
    <w:p w14:paraId="2BA0DA01">
      <w:pPr>
        <w:pStyle w:val="8"/>
        <w:snapToGrid w:val="0"/>
        <w:spacing w:before="50" w:after="50"/>
        <w:ind w:firstLine="640" w:firstLineChars="200"/>
        <w:rPr>
          <w:rFonts w:hint="eastAsia" w:ascii="宋体" w:hAnsi="宋体" w:cs="仿宋_GB2312"/>
          <w:bCs/>
          <w:color w:val="000000"/>
          <w:sz w:val="32"/>
          <w:szCs w:val="32"/>
          <w:highlight w:val="none"/>
        </w:rPr>
      </w:pPr>
    </w:p>
    <w:p w14:paraId="4A3552E8">
      <w:pPr>
        <w:pStyle w:val="8"/>
        <w:snapToGrid w:val="0"/>
        <w:spacing w:before="50" w:after="50"/>
        <w:ind w:firstLine="720" w:firstLineChars="225"/>
        <w:rPr>
          <w:rFonts w:hint="eastAsia" w:ascii="宋体" w:hAnsi="宋体" w:cs="仿宋_GB2312"/>
          <w:bCs/>
          <w:color w:val="000000"/>
          <w:sz w:val="32"/>
          <w:szCs w:val="32"/>
          <w:highlight w:val="none"/>
        </w:rPr>
      </w:pPr>
    </w:p>
    <w:p w14:paraId="5F142228">
      <w:pPr>
        <w:pStyle w:val="8"/>
        <w:snapToGrid w:val="0"/>
        <w:spacing w:before="50" w:after="50"/>
        <w:ind w:firstLine="0"/>
        <w:rPr>
          <w:rFonts w:hint="eastAsia" w:ascii="宋体" w:hAnsi="宋体" w:cs="仿宋_GB2312"/>
          <w:bCs/>
          <w:color w:val="000000"/>
          <w:sz w:val="32"/>
          <w:szCs w:val="32"/>
          <w:highlight w:val="none"/>
        </w:rPr>
      </w:pPr>
    </w:p>
    <w:p w14:paraId="64D65BBB">
      <w:pPr>
        <w:pStyle w:val="8"/>
        <w:snapToGrid w:val="0"/>
        <w:spacing w:before="50" w:after="50"/>
        <w:ind w:firstLine="1280" w:firstLineChars="400"/>
        <w:rPr>
          <w:rFonts w:hint="eastAsia" w:ascii="宋体" w:hAnsi="宋体" w:cs="仿宋_GB2312"/>
          <w:bCs/>
          <w:color w:val="000000"/>
          <w:sz w:val="32"/>
          <w:szCs w:val="32"/>
          <w:highlight w:val="none"/>
        </w:rPr>
      </w:pPr>
    </w:p>
    <w:p w14:paraId="4C089C1D">
      <w:pPr>
        <w:snapToGrid w:val="0"/>
        <w:spacing w:before="156" w:beforeLines="50" w:after="50"/>
        <w:jc w:val="center"/>
        <w:rPr>
          <w:rFonts w:hint="eastAsia" w:ascii="宋体" w:hAnsi="宋体" w:cs="仿宋_GB2312"/>
          <w:color w:val="000000"/>
          <w:sz w:val="32"/>
          <w:szCs w:val="32"/>
          <w:highlight w:val="none"/>
        </w:rPr>
      </w:pPr>
      <w:r>
        <w:rPr>
          <w:rFonts w:hint="eastAsia" w:ascii="宋体" w:hAnsi="宋体" w:cs="仿宋_GB2312"/>
          <w:color w:val="000000"/>
          <w:sz w:val="32"/>
          <w:szCs w:val="32"/>
          <w:highlight w:val="none"/>
        </w:rPr>
        <w:t>年    月    日</w:t>
      </w:r>
    </w:p>
    <w:p w14:paraId="2932912C">
      <w:pPr>
        <w:snapToGrid w:val="0"/>
        <w:spacing w:before="156" w:beforeLines="50" w:after="50" w:line="360" w:lineRule="auto"/>
        <w:ind w:right="480" w:firstLine="240" w:firstLineChars="100"/>
        <w:jc w:val="left"/>
        <w:rPr>
          <w:rFonts w:hint="eastAsia" w:ascii="宋体" w:hAnsi="宋体"/>
          <w:b/>
          <w:bCs/>
          <w:color w:val="000000"/>
          <w:sz w:val="24"/>
          <w:highlight w:val="none"/>
        </w:rPr>
      </w:pPr>
      <w:r>
        <w:rPr>
          <w:rFonts w:ascii="宋体" w:hAnsi="宋体"/>
          <w:color w:val="000000"/>
          <w:sz w:val="24"/>
          <w:highlight w:val="none"/>
        </w:rPr>
        <w:br w:type="page"/>
      </w:r>
      <w:r>
        <w:rPr>
          <w:rFonts w:hint="eastAsia" w:ascii="宋体" w:hAnsi="宋体"/>
          <w:b/>
          <w:bCs/>
          <w:color w:val="000000"/>
          <w:sz w:val="32"/>
          <w:szCs w:val="32"/>
          <w:highlight w:val="none"/>
        </w:rPr>
        <w:t>2.商务技术文件目录</w:t>
      </w:r>
    </w:p>
    <w:p w14:paraId="1E1633CD">
      <w:pPr>
        <w:snapToGrid w:val="0"/>
        <w:spacing w:before="156" w:beforeLines="50" w:after="50" w:line="360" w:lineRule="auto"/>
        <w:ind w:firstLine="640" w:firstLineChars="200"/>
        <w:rPr>
          <w:rFonts w:ascii="宋体" w:hAnsi="宋体"/>
          <w:color w:val="000000"/>
          <w:sz w:val="32"/>
          <w:szCs w:val="32"/>
          <w:highlight w:val="none"/>
        </w:rPr>
      </w:pPr>
      <w:r>
        <w:rPr>
          <w:rFonts w:hint="eastAsia" w:ascii="宋体" w:hAnsi="宋体"/>
          <w:color w:val="000000"/>
          <w:sz w:val="32"/>
          <w:szCs w:val="32"/>
          <w:highlight w:val="none"/>
        </w:rPr>
        <w:t>根据磋商文件规定及供应商提供的材料自行编写目录（部分格式后附）。</w:t>
      </w:r>
    </w:p>
    <w:p w14:paraId="2E3FADB5">
      <w:pPr>
        <w:spacing w:line="400" w:lineRule="exact"/>
        <w:rPr>
          <w:rFonts w:hint="eastAsia" w:ascii="仿宋_GB2312" w:hAnsi="仿宋_GB2312" w:eastAsia="仿宋_GB2312" w:cs="仿宋_GB2312"/>
          <w:color w:val="000000"/>
          <w:sz w:val="32"/>
          <w:szCs w:val="32"/>
          <w:highlight w:val="none"/>
        </w:rPr>
      </w:pPr>
    </w:p>
    <w:p w14:paraId="09BA0EB5">
      <w:pPr>
        <w:spacing w:line="520" w:lineRule="exact"/>
        <w:jc w:val="center"/>
        <w:rPr>
          <w:rFonts w:hint="eastAsia" w:ascii="仿宋_GB2312" w:hAnsi="仿宋_GB2312" w:eastAsia="方正小标宋简体" w:cs="仿宋_GB2312"/>
          <w:color w:val="000000"/>
          <w:sz w:val="24"/>
          <w:szCs w:val="24"/>
          <w:highlight w:val="none"/>
          <w:lang w:eastAsia="zh-CN"/>
        </w:rPr>
      </w:pPr>
      <w:r>
        <w:rPr>
          <w:rFonts w:hint="eastAsia" w:ascii="方正小标宋简体" w:hAnsi="方正小标宋简体" w:eastAsia="方正小标宋简体" w:cs="方正小标宋简体"/>
          <w:color w:val="000000"/>
          <w:sz w:val="44"/>
          <w:szCs w:val="44"/>
          <w:highlight w:val="none"/>
        </w:rPr>
        <w:br w:type="page"/>
      </w:r>
      <w:r>
        <w:rPr>
          <w:rFonts w:hint="eastAsia" w:ascii="方正小标宋简体" w:hAnsi="方正小标宋简体" w:eastAsia="方正小标宋简体" w:cs="方正小标宋简体"/>
          <w:color w:val="000000"/>
          <w:sz w:val="36"/>
          <w:szCs w:val="36"/>
          <w:highlight w:val="none"/>
        </w:rPr>
        <w:t>无串通竞标行为的承诺函</w:t>
      </w:r>
      <w:r>
        <w:rPr>
          <w:rFonts w:hint="eastAsia" w:ascii="方正小标宋简体" w:hAnsi="方正小标宋简体" w:eastAsia="方正小标宋简体" w:cs="方正小标宋简体"/>
          <w:color w:val="000000"/>
          <w:sz w:val="36"/>
          <w:szCs w:val="36"/>
          <w:highlight w:val="none"/>
          <w:lang w:eastAsia="zh-CN"/>
        </w:rPr>
        <w:t>（格式）</w:t>
      </w:r>
    </w:p>
    <w:p w14:paraId="4F4A0D3F">
      <w:pPr>
        <w:spacing w:line="360" w:lineRule="auto"/>
        <w:ind w:firstLine="640" w:firstLineChars="200"/>
        <w:contextualSpacing/>
        <w:rPr>
          <w:rFonts w:hint="eastAsia" w:ascii="仿宋_GB2312" w:hAnsi="仿宋_GB2312" w:eastAsia="仿宋_GB2312" w:cs="仿宋_GB2312"/>
          <w:color w:val="000000"/>
          <w:sz w:val="32"/>
          <w:szCs w:val="32"/>
          <w:highlight w:val="none"/>
        </w:rPr>
      </w:pPr>
    </w:p>
    <w:p w14:paraId="6E84413B">
      <w:pPr>
        <w:spacing w:line="360" w:lineRule="auto"/>
        <w:ind w:firstLine="482" w:firstLineChars="200"/>
        <w:contextualSpacing/>
        <w:rPr>
          <w:rFonts w:hint="eastAsia" w:ascii="宋体" w:hAnsi="宋体" w:cs="仿宋_GB2312"/>
          <w:b/>
          <w:bCs/>
          <w:color w:val="000000"/>
          <w:sz w:val="24"/>
          <w:highlight w:val="none"/>
        </w:rPr>
      </w:pPr>
      <w:r>
        <w:rPr>
          <w:rFonts w:hint="eastAsia" w:ascii="宋体" w:hAnsi="宋体" w:cs="仿宋_GB2312"/>
          <w:b/>
          <w:bCs/>
          <w:color w:val="000000"/>
          <w:sz w:val="24"/>
          <w:highlight w:val="none"/>
        </w:rPr>
        <w:t>一、我方承诺无下列相互串通竞标的情形：</w:t>
      </w:r>
    </w:p>
    <w:p w14:paraId="421FF849">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 xml:space="preserve">1.不同供应商的响应文件由同一单位或者个人编制； </w:t>
      </w:r>
    </w:p>
    <w:p w14:paraId="00EC6956">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2.不同供应商委托同一单位或者个人办理竞标事宜；</w:t>
      </w:r>
    </w:p>
    <w:p w14:paraId="22C3150A">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3.不同供应商的响应文件载明的项目管理员为同一个人；</w:t>
      </w:r>
    </w:p>
    <w:p w14:paraId="5BA2CD7E">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4.不</w:t>
      </w:r>
      <w:r>
        <w:rPr>
          <w:rFonts w:hint="eastAsia" w:ascii="宋体" w:hAnsi="宋体" w:cs="仿宋_GB2312"/>
          <w:color w:val="000000"/>
          <w:spacing w:val="-6"/>
          <w:sz w:val="24"/>
          <w:highlight w:val="none"/>
        </w:rPr>
        <w:t>同供应商的响应文件异常一致或者竞标报价呈规律性差异；</w:t>
      </w:r>
    </w:p>
    <w:p w14:paraId="274D30C1">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5.不同供应商的响应文件相互混装；</w:t>
      </w:r>
    </w:p>
    <w:p w14:paraId="42F34E10">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6.不同供应商的磋商保证金从同一单位或者个人账户转出。</w:t>
      </w:r>
    </w:p>
    <w:p w14:paraId="148DCCD9">
      <w:pPr>
        <w:spacing w:line="360" w:lineRule="auto"/>
        <w:ind w:firstLine="482" w:firstLineChars="200"/>
        <w:contextualSpacing/>
        <w:rPr>
          <w:rFonts w:hint="eastAsia" w:ascii="宋体" w:hAnsi="宋体" w:cs="仿宋_GB2312"/>
          <w:b/>
          <w:bCs/>
          <w:color w:val="000000"/>
          <w:sz w:val="24"/>
          <w:highlight w:val="none"/>
        </w:rPr>
      </w:pPr>
      <w:r>
        <w:rPr>
          <w:rFonts w:hint="eastAsia" w:ascii="宋体" w:hAnsi="宋体" w:cs="仿宋_GB2312"/>
          <w:b/>
          <w:bCs/>
          <w:color w:val="000000"/>
          <w:sz w:val="24"/>
          <w:highlight w:val="none"/>
        </w:rPr>
        <w:t>二、我方承诺无下列恶意串通的情形：</w:t>
      </w:r>
    </w:p>
    <w:p w14:paraId="368129EF">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1.供应商直接或者间接从采购人或者采购代理机构处获得其他供应商的相关信息并修改其响应文件；</w:t>
      </w:r>
    </w:p>
    <w:p w14:paraId="261474E5">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2.供应商按照采购人或者采购代理机构的授意撤换、修改响应文件；</w:t>
      </w:r>
    </w:p>
    <w:p w14:paraId="7F704B4C">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3.供</w:t>
      </w:r>
      <w:r>
        <w:rPr>
          <w:rFonts w:hint="eastAsia" w:ascii="宋体" w:hAnsi="宋体" w:cs="仿宋_GB2312"/>
          <w:color w:val="000000"/>
          <w:spacing w:val="-6"/>
          <w:sz w:val="24"/>
          <w:highlight w:val="none"/>
        </w:rPr>
        <w:t>应商之间协商报价、技术方案等响应文件的实质性内容；</w:t>
      </w:r>
    </w:p>
    <w:p w14:paraId="62266C3E">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4.属于同一集团、协会、商会等组织成员的供应商按照该组织要求协同参加政府采购活动；</w:t>
      </w:r>
    </w:p>
    <w:p w14:paraId="7724B438">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5.供应商之间事先约定一致抬高或者压低竞标报价，或者在竞争性磋商项目中事先约定轮流以高价位或者低价位成交，或者事先约定由某一特定供应商成交，然后再参加竞标；</w:t>
      </w:r>
    </w:p>
    <w:p w14:paraId="1EF20CAF">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6.供应商之间商定部分供应商放弃参加政府采购活动或者放弃成交；</w:t>
      </w:r>
    </w:p>
    <w:p w14:paraId="10C7A520">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7.供应商与采购人或者采购代理机构之间、供应商相互之间，为</w:t>
      </w:r>
      <w:r>
        <w:rPr>
          <w:rFonts w:hint="eastAsia" w:ascii="宋体" w:hAnsi="宋体" w:cs="仿宋_GB2312"/>
          <w:color w:val="000000"/>
          <w:spacing w:val="-6"/>
          <w:sz w:val="24"/>
          <w:highlight w:val="none"/>
        </w:rPr>
        <w:t>谋求特定供应商成交或者排斥其他供应商的其他串通行为。</w:t>
      </w:r>
    </w:p>
    <w:p w14:paraId="731DEC0F">
      <w:pPr>
        <w:spacing w:line="360" w:lineRule="auto"/>
        <w:ind w:firstLine="480" w:firstLineChars="200"/>
        <w:contextualSpacing/>
        <w:rPr>
          <w:rFonts w:hint="eastAsia" w:ascii="宋体" w:hAnsi="宋体" w:cs="仿宋_GB2312"/>
          <w:color w:val="000000"/>
          <w:sz w:val="24"/>
          <w:highlight w:val="none"/>
        </w:rPr>
      </w:pPr>
    </w:p>
    <w:p w14:paraId="4F2C6FBF">
      <w:pPr>
        <w:spacing w:line="360" w:lineRule="auto"/>
        <w:ind w:firstLine="482" w:firstLineChars="200"/>
        <w:contextualSpacing/>
        <w:rPr>
          <w:rFonts w:hint="eastAsia" w:ascii="宋体" w:hAnsi="宋体" w:cs="仿宋_GB2312"/>
          <w:b/>
          <w:bCs/>
          <w:color w:val="000000"/>
          <w:sz w:val="24"/>
          <w:highlight w:val="none"/>
        </w:rPr>
      </w:pPr>
      <w:r>
        <w:rPr>
          <w:rFonts w:hint="eastAsia" w:ascii="宋体" w:hAnsi="宋体" w:cs="仿宋_GB2312"/>
          <w:b/>
          <w:bCs/>
          <w:color w:val="000000"/>
          <w:sz w:val="24"/>
          <w:highlight w:val="none"/>
        </w:rPr>
        <w:t>以上情形一经核查属实，我方愿意承担一切后果，并不再寻求任何旨在减轻或者免除法律责任的辩解。</w:t>
      </w:r>
    </w:p>
    <w:p w14:paraId="5EA13133">
      <w:pPr>
        <w:spacing w:line="360" w:lineRule="auto"/>
        <w:contextualSpacing/>
        <w:rPr>
          <w:rFonts w:hint="eastAsia" w:ascii="宋体" w:hAnsi="宋体" w:cs="仿宋_GB2312"/>
          <w:color w:val="000000"/>
          <w:sz w:val="24"/>
          <w:highlight w:val="none"/>
        </w:rPr>
      </w:pPr>
    </w:p>
    <w:p w14:paraId="37AD8C73">
      <w:pPr>
        <w:spacing w:line="360" w:lineRule="auto"/>
        <w:contextualSpacing/>
        <w:rPr>
          <w:rFonts w:hint="eastAsia" w:ascii="宋体" w:hAnsi="宋体" w:cs="仿宋_GB2312"/>
          <w:color w:val="000000"/>
          <w:sz w:val="24"/>
          <w:highlight w:val="none"/>
        </w:rPr>
      </w:pPr>
    </w:p>
    <w:p w14:paraId="4F329714">
      <w:pPr>
        <w:spacing w:line="360" w:lineRule="auto"/>
        <w:ind w:firstLine="3600" w:firstLineChars="15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供应商（电子签章）：</w:t>
      </w:r>
    </w:p>
    <w:p w14:paraId="42F72A57">
      <w:pPr>
        <w:spacing w:line="360" w:lineRule="auto"/>
        <w:ind w:firstLine="480" w:firstLineChars="200"/>
        <w:contextualSpacing/>
        <w:jc w:val="center"/>
        <w:rPr>
          <w:rFonts w:hint="eastAsia" w:ascii="仿宋_GB2312" w:hAnsi="仿宋_GB2312" w:eastAsia="仿宋_GB2312" w:cs="仿宋_GB2312"/>
          <w:color w:val="000000"/>
          <w:sz w:val="32"/>
          <w:szCs w:val="32"/>
          <w:highlight w:val="none"/>
        </w:rPr>
      </w:pPr>
      <w:r>
        <w:rPr>
          <w:rFonts w:hint="eastAsia" w:ascii="宋体" w:hAnsi="宋体" w:cs="仿宋_GB2312"/>
          <w:color w:val="000000"/>
          <w:sz w:val="24"/>
          <w:highlight w:val="none"/>
        </w:rPr>
        <w:t xml:space="preserve">                               年   月   日</w:t>
      </w:r>
    </w:p>
    <w:p w14:paraId="570249A8">
      <w:pPr>
        <w:spacing w:line="520" w:lineRule="exact"/>
        <w:jc w:val="center"/>
        <w:rPr>
          <w:rFonts w:hint="eastAsia" w:ascii="仿宋_GB2312" w:hAnsi="仿宋_GB2312" w:eastAsia="仿宋_GB2312" w:cs="仿宋_GB2312"/>
          <w:color w:val="000000"/>
          <w:sz w:val="32"/>
          <w:szCs w:val="32"/>
          <w:highlight w:val="none"/>
        </w:rPr>
      </w:pPr>
      <w:r>
        <w:rPr>
          <w:rFonts w:hint="eastAsia" w:ascii="方正小标宋简体" w:hAnsi="方正小标宋简体" w:eastAsia="方正小标宋简体" w:cs="方正小标宋简体"/>
          <w:bCs/>
          <w:color w:val="000000"/>
          <w:sz w:val="44"/>
          <w:szCs w:val="44"/>
          <w:highlight w:val="none"/>
        </w:rPr>
        <w:br w:type="page"/>
      </w:r>
      <w:r>
        <w:rPr>
          <w:rFonts w:hint="eastAsia" w:ascii="方正小标宋简体" w:hAnsi="方正小标宋简体" w:eastAsia="方正小标宋简体" w:cs="方正小标宋简体"/>
          <w:bCs/>
          <w:color w:val="000000"/>
          <w:sz w:val="44"/>
          <w:szCs w:val="44"/>
          <w:highlight w:val="none"/>
        </w:rPr>
        <w:t>法定代表人证明书</w:t>
      </w:r>
    </w:p>
    <w:p w14:paraId="5629A7D6">
      <w:pPr>
        <w:spacing w:line="360" w:lineRule="auto"/>
        <w:ind w:left="540"/>
        <w:contextualSpacing/>
        <w:rPr>
          <w:rFonts w:hint="eastAsia" w:ascii="仿宋_GB2312" w:hAnsi="仿宋_GB2312" w:eastAsia="仿宋_GB2312" w:cs="仿宋_GB2312"/>
          <w:color w:val="000000"/>
          <w:sz w:val="32"/>
          <w:szCs w:val="32"/>
          <w:highlight w:val="none"/>
        </w:rPr>
      </w:pPr>
    </w:p>
    <w:p w14:paraId="5457134D">
      <w:pPr>
        <w:spacing w:line="360" w:lineRule="auto"/>
        <w:ind w:left="540"/>
        <w:contextualSpacing/>
        <w:rPr>
          <w:rFonts w:hint="eastAsia" w:ascii="宋体" w:hAnsi="宋体" w:cs="仿宋_GB2312"/>
          <w:color w:val="000000"/>
          <w:sz w:val="24"/>
          <w:highlight w:val="none"/>
        </w:rPr>
      </w:pPr>
      <w:r>
        <w:rPr>
          <w:rFonts w:hint="eastAsia" w:ascii="宋体" w:hAnsi="宋体" w:cs="仿宋_GB2312"/>
          <w:color w:val="000000"/>
          <w:sz w:val="24"/>
          <w:highlight w:val="none"/>
        </w:rPr>
        <w:t>供应商名称：</w:t>
      </w:r>
      <w:r>
        <w:rPr>
          <w:rFonts w:hint="eastAsia" w:ascii="宋体" w:hAnsi="宋体" w:cs="仿宋_GB2312"/>
          <w:color w:val="000000"/>
          <w:sz w:val="24"/>
          <w:highlight w:val="none"/>
          <w:u w:val="single"/>
        </w:rPr>
        <w:t xml:space="preserve">                                         </w:t>
      </w:r>
    </w:p>
    <w:p w14:paraId="2F0614B8">
      <w:pPr>
        <w:spacing w:line="360" w:lineRule="auto"/>
        <w:ind w:left="540"/>
        <w:contextualSpacing/>
        <w:rPr>
          <w:rFonts w:hint="eastAsia" w:ascii="宋体" w:hAnsi="宋体" w:cs="仿宋_GB2312"/>
          <w:color w:val="000000"/>
          <w:sz w:val="24"/>
          <w:highlight w:val="none"/>
        </w:rPr>
      </w:pPr>
      <w:r>
        <w:rPr>
          <w:rFonts w:hint="eastAsia" w:ascii="宋体" w:hAnsi="宋体" w:cs="仿宋_GB2312"/>
          <w:color w:val="000000"/>
          <w:sz w:val="24"/>
          <w:highlight w:val="none"/>
        </w:rPr>
        <w:t>地    址：</w:t>
      </w:r>
      <w:r>
        <w:rPr>
          <w:rFonts w:hint="eastAsia" w:ascii="宋体" w:hAnsi="宋体" w:cs="仿宋_GB2312"/>
          <w:color w:val="000000"/>
          <w:sz w:val="24"/>
          <w:highlight w:val="none"/>
          <w:u w:val="single"/>
        </w:rPr>
        <w:t xml:space="preserve">                                           </w:t>
      </w:r>
    </w:p>
    <w:p w14:paraId="61534E44">
      <w:pPr>
        <w:spacing w:line="360" w:lineRule="auto"/>
        <w:ind w:left="540"/>
        <w:contextualSpacing/>
        <w:rPr>
          <w:rFonts w:hint="eastAsia" w:ascii="宋体" w:hAnsi="宋体" w:cs="仿宋_GB2312"/>
          <w:color w:val="000000"/>
          <w:sz w:val="24"/>
          <w:highlight w:val="none"/>
        </w:rPr>
      </w:pPr>
      <w:r>
        <w:rPr>
          <w:rFonts w:hint="eastAsia" w:ascii="宋体" w:hAnsi="宋体" w:cs="仿宋_GB2312"/>
          <w:color w:val="000000"/>
          <w:sz w:val="24"/>
          <w:highlight w:val="none"/>
        </w:rPr>
        <w:t>姓    名：</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性     别：</w:t>
      </w:r>
      <w:r>
        <w:rPr>
          <w:rFonts w:hint="eastAsia" w:ascii="宋体" w:hAnsi="宋体" w:cs="仿宋_GB2312"/>
          <w:color w:val="000000"/>
          <w:sz w:val="24"/>
          <w:highlight w:val="none"/>
          <w:u w:val="single"/>
        </w:rPr>
        <w:t xml:space="preserve">                </w:t>
      </w:r>
    </w:p>
    <w:p w14:paraId="7B6D1BA6">
      <w:pPr>
        <w:spacing w:line="360" w:lineRule="auto"/>
        <w:ind w:left="540"/>
        <w:contextualSpacing/>
        <w:rPr>
          <w:rFonts w:hint="eastAsia" w:ascii="宋体" w:hAnsi="宋体" w:cs="仿宋_GB2312"/>
          <w:color w:val="000000"/>
          <w:sz w:val="24"/>
          <w:highlight w:val="none"/>
          <w:u w:val="single"/>
        </w:rPr>
      </w:pPr>
      <w:r>
        <w:rPr>
          <w:rFonts w:hint="eastAsia" w:ascii="宋体" w:hAnsi="宋体" w:cs="仿宋_GB2312"/>
          <w:color w:val="000000"/>
          <w:sz w:val="24"/>
          <w:highlight w:val="none"/>
        </w:rPr>
        <w:t>年    龄：</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职     务：</w:t>
      </w:r>
      <w:r>
        <w:rPr>
          <w:rFonts w:hint="eastAsia" w:ascii="宋体" w:hAnsi="宋体" w:cs="仿宋_GB2312"/>
          <w:color w:val="000000"/>
          <w:sz w:val="24"/>
          <w:highlight w:val="none"/>
          <w:u w:val="single"/>
        </w:rPr>
        <w:t xml:space="preserve">                </w:t>
      </w:r>
    </w:p>
    <w:p w14:paraId="5524694E">
      <w:pPr>
        <w:spacing w:line="360" w:lineRule="auto"/>
        <w:ind w:left="540"/>
        <w:contextualSpacing/>
        <w:rPr>
          <w:rFonts w:hint="eastAsia" w:ascii="宋体" w:hAnsi="宋体" w:cs="仿宋_GB2312"/>
          <w:color w:val="000000"/>
          <w:sz w:val="24"/>
          <w:highlight w:val="none"/>
        </w:rPr>
      </w:pPr>
      <w:r>
        <w:rPr>
          <w:rFonts w:hint="eastAsia" w:ascii="宋体" w:hAnsi="宋体" w:cs="仿宋_GB2312"/>
          <w:color w:val="000000"/>
          <w:sz w:val="24"/>
          <w:highlight w:val="none"/>
        </w:rPr>
        <w:t>身份证号码：</w:t>
      </w:r>
      <w:r>
        <w:rPr>
          <w:rFonts w:hint="eastAsia" w:ascii="宋体" w:hAnsi="宋体" w:cs="仿宋_GB2312"/>
          <w:color w:val="000000"/>
          <w:sz w:val="24"/>
          <w:highlight w:val="none"/>
          <w:u w:val="single"/>
        </w:rPr>
        <w:t xml:space="preserve">                                        </w:t>
      </w:r>
    </w:p>
    <w:p w14:paraId="3047FB29">
      <w:pPr>
        <w:spacing w:line="360" w:lineRule="auto"/>
        <w:ind w:firstLine="480" w:firstLineChars="2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系</w:t>
      </w:r>
      <w:r>
        <w:rPr>
          <w:rFonts w:hint="eastAsia" w:ascii="宋体" w:hAnsi="宋体" w:cs="仿宋_GB2312"/>
          <w:color w:val="000000"/>
          <w:sz w:val="24"/>
          <w:highlight w:val="none"/>
          <w:u w:val="single"/>
        </w:rPr>
        <w:t>（供应商名称）</w:t>
      </w:r>
      <w:r>
        <w:rPr>
          <w:rFonts w:hint="eastAsia" w:ascii="宋体" w:hAnsi="宋体" w:cs="仿宋_GB2312"/>
          <w:color w:val="000000"/>
          <w:sz w:val="24"/>
          <w:highlight w:val="none"/>
        </w:rPr>
        <w:t>的法定代表人。</w:t>
      </w:r>
    </w:p>
    <w:p w14:paraId="1312135F">
      <w:pPr>
        <w:spacing w:line="360" w:lineRule="auto"/>
        <w:ind w:left="540"/>
        <w:contextualSpacing/>
        <w:rPr>
          <w:rFonts w:hint="eastAsia" w:ascii="宋体" w:hAnsi="宋体" w:cs="仿宋_GB2312"/>
          <w:color w:val="000000"/>
          <w:sz w:val="24"/>
          <w:highlight w:val="none"/>
        </w:rPr>
      </w:pPr>
      <w:r>
        <w:rPr>
          <w:rFonts w:hint="eastAsia" w:ascii="宋体" w:hAnsi="宋体" w:cs="仿宋_GB2312"/>
          <w:color w:val="000000"/>
          <w:sz w:val="24"/>
          <w:highlight w:val="none"/>
        </w:rPr>
        <w:t>特此证明。</w:t>
      </w:r>
    </w:p>
    <w:p w14:paraId="5A4977B7">
      <w:pPr>
        <w:spacing w:line="360" w:lineRule="auto"/>
        <w:ind w:left="540"/>
        <w:contextualSpacing/>
        <w:rPr>
          <w:rFonts w:hint="eastAsia" w:ascii="宋体" w:hAnsi="宋体" w:cs="仿宋_GB2312"/>
          <w:color w:val="000000"/>
          <w:sz w:val="24"/>
          <w:highlight w:val="none"/>
        </w:rPr>
      </w:pPr>
    </w:p>
    <w:p w14:paraId="4847CEE2">
      <w:pPr>
        <w:spacing w:line="360" w:lineRule="auto"/>
        <w:ind w:left="540"/>
        <w:contextualSpacing/>
        <w:rPr>
          <w:rFonts w:hint="eastAsia" w:ascii="宋体" w:hAnsi="宋体" w:cs="仿宋_GB2312"/>
          <w:color w:val="000000"/>
          <w:sz w:val="24"/>
          <w:highlight w:val="none"/>
        </w:rPr>
      </w:pPr>
    </w:p>
    <w:p w14:paraId="49F59594">
      <w:pPr>
        <w:spacing w:line="360" w:lineRule="auto"/>
        <w:ind w:left="540"/>
        <w:contextualSpacing/>
        <w:rPr>
          <w:rFonts w:hint="eastAsia" w:ascii="宋体" w:hAnsi="宋体" w:cs="仿宋_GB2312"/>
          <w:color w:val="000000"/>
          <w:sz w:val="24"/>
          <w:highlight w:val="none"/>
        </w:rPr>
      </w:pPr>
    </w:p>
    <w:p w14:paraId="7BF491A0">
      <w:pPr>
        <w:spacing w:line="360" w:lineRule="auto"/>
        <w:ind w:left="540"/>
        <w:contextualSpacing/>
        <w:rPr>
          <w:rFonts w:hint="eastAsia" w:ascii="宋体" w:hAnsi="宋体" w:cs="仿宋_GB2312"/>
          <w:color w:val="000000"/>
          <w:sz w:val="24"/>
          <w:highlight w:val="none"/>
        </w:rPr>
      </w:pPr>
      <w:r>
        <w:rPr>
          <w:rFonts w:hint="eastAsia" w:ascii="宋体" w:hAnsi="宋体" w:cs="仿宋_GB2312"/>
          <w:color w:val="000000"/>
          <w:sz w:val="24"/>
          <w:highlight w:val="none"/>
        </w:rPr>
        <w:t>附件：法定代表人有效身份证正反面复印件</w:t>
      </w:r>
    </w:p>
    <w:p w14:paraId="7FBD57E4">
      <w:pPr>
        <w:spacing w:line="360" w:lineRule="auto"/>
        <w:ind w:left="540"/>
        <w:contextualSpacing/>
        <w:rPr>
          <w:rFonts w:hint="eastAsia" w:ascii="宋体" w:hAnsi="宋体" w:cs="仿宋_GB2312"/>
          <w:color w:val="000000"/>
          <w:sz w:val="24"/>
          <w:highlight w:val="none"/>
        </w:rPr>
      </w:pPr>
    </w:p>
    <w:p w14:paraId="34D7BD7C">
      <w:pPr>
        <w:spacing w:line="360" w:lineRule="auto"/>
        <w:ind w:left="540"/>
        <w:contextualSpacing/>
        <w:rPr>
          <w:rFonts w:hint="eastAsia" w:ascii="宋体" w:hAnsi="宋体" w:cs="仿宋_GB2312"/>
          <w:color w:val="000000"/>
          <w:sz w:val="24"/>
          <w:highlight w:val="none"/>
        </w:rPr>
      </w:pPr>
    </w:p>
    <w:p w14:paraId="49D5C99F">
      <w:pPr>
        <w:spacing w:line="360" w:lineRule="auto"/>
        <w:ind w:left="540" w:firstLine="3000" w:firstLineChars="1250"/>
        <w:contextualSpacing/>
        <w:jc w:val="left"/>
        <w:rPr>
          <w:rFonts w:hint="eastAsia" w:ascii="宋体" w:hAnsi="宋体" w:cs="仿宋_GB2312"/>
          <w:color w:val="000000"/>
          <w:sz w:val="24"/>
          <w:highlight w:val="none"/>
        </w:rPr>
      </w:pPr>
      <w:r>
        <w:rPr>
          <w:rFonts w:hint="eastAsia" w:ascii="宋体" w:hAnsi="宋体" w:cs="仿宋_GB2312"/>
          <w:color w:val="000000"/>
          <w:sz w:val="24"/>
          <w:highlight w:val="none"/>
        </w:rPr>
        <w:t>供应商（电子签章）：</w:t>
      </w:r>
      <w:r>
        <w:rPr>
          <w:rFonts w:hint="eastAsia" w:ascii="宋体" w:hAnsi="宋体" w:cs="仿宋_GB2312"/>
          <w:color w:val="000000"/>
          <w:sz w:val="24"/>
          <w:highlight w:val="none"/>
          <w:u w:val="single"/>
        </w:rPr>
        <w:t xml:space="preserve">               </w:t>
      </w:r>
    </w:p>
    <w:p w14:paraId="6B6EF918">
      <w:pPr>
        <w:spacing w:line="360" w:lineRule="auto"/>
        <w:ind w:firstLine="4080" w:firstLineChars="1700"/>
        <w:contextualSpacing/>
        <w:rPr>
          <w:rFonts w:hint="eastAsia" w:ascii="宋体" w:hAnsi="宋体" w:cs="仿宋_GB2312"/>
          <w:color w:val="000000"/>
          <w:sz w:val="24"/>
          <w:highlight w:val="none"/>
        </w:rPr>
      </w:pP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年</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月</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日</w:t>
      </w:r>
    </w:p>
    <w:p w14:paraId="2295A708">
      <w:pPr>
        <w:spacing w:line="360" w:lineRule="auto"/>
        <w:contextualSpacing/>
        <w:jc w:val="center"/>
        <w:rPr>
          <w:rFonts w:hint="eastAsia" w:ascii="宋体" w:hAnsi="宋体" w:cs="仿宋_GB2312"/>
          <w:b/>
          <w:color w:val="000000"/>
          <w:sz w:val="24"/>
          <w:highlight w:val="none"/>
        </w:rPr>
      </w:pPr>
    </w:p>
    <w:p w14:paraId="4EE28F79">
      <w:pPr>
        <w:adjustRightInd w:val="0"/>
        <w:snapToGrid w:val="0"/>
        <w:spacing w:line="300" w:lineRule="auto"/>
        <w:jc w:val="left"/>
        <w:rPr>
          <w:rFonts w:hint="eastAsia" w:ascii="宋体" w:hAnsi="宋体"/>
          <w:b/>
          <w:color w:val="000000"/>
          <w:szCs w:val="21"/>
          <w:highlight w:val="none"/>
        </w:rPr>
      </w:pPr>
    </w:p>
    <w:p w14:paraId="19290348">
      <w:pPr>
        <w:spacing w:line="500"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br w:type="page"/>
      </w:r>
      <w:bookmarkStart w:id="76" w:name="_Hlk65853643"/>
      <w:r>
        <w:rPr>
          <w:rFonts w:hint="eastAsia" w:ascii="方正小标宋简体" w:hAnsi="方正小标宋简体" w:eastAsia="方正小标宋简体" w:cs="方正小标宋简体"/>
          <w:color w:val="000000"/>
          <w:sz w:val="44"/>
          <w:szCs w:val="44"/>
          <w:highlight w:val="none"/>
        </w:rPr>
        <w:t>授权委托书</w:t>
      </w:r>
    </w:p>
    <w:p w14:paraId="5721510D">
      <w:pPr>
        <w:spacing w:line="520"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32"/>
          <w:szCs w:val="32"/>
          <w:highlight w:val="none"/>
        </w:rPr>
        <w:t>（如有委托时）</w:t>
      </w:r>
    </w:p>
    <w:p w14:paraId="613D5930">
      <w:pPr>
        <w:spacing w:line="520" w:lineRule="exact"/>
        <w:rPr>
          <w:rFonts w:hint="eastAsia" w:ascii="仿宋_GB2312" w:hAnsi="仿宋_GB2312" w:eastAsia="仿宋_GB2312" w:cs="仿宋_GB2312"/>
          <w:color w:val="000000"/>
          <w:sz w:val="32"/>
          <w:szCs w:val="32"/>
          <w:highlight w:val="none"/>
        </w:rPr>
      </w:pPr>
    </w:p>
    <w:p w14:paraId="62DA52AD">
      <w:pPr>
        <w:spacing w:line="360" w:lineRule="auto"/>
        <w:rPr>
          <w:rFonts w:hint="eastAsia" w:ascii="宋体" w:hAnsi="宋体" w:cs="仿宋_GB2312"/>
          <w:color w:val="000000"/>
          <w:sz w:val="24"/>
          <w:highlight w:val="none"/>
        </w:rPr>
      </w:pPr>
      <w:r>
        <w:rPr>
          <w:rFonts w:hint="eastAsia" w:ascii="宋体" w:hAnsi="宋体" w:cs="仿宋_GB2312"/>
          <w:color w:val="000000"/>
          <w:sz w:val="24"/>
          <w:highlight w:val="none"/>
        </w:rPr>
        <w:t>致：</w:t>
      </w:r>
      <w:r>
        <w:rPr>
          <w:rFonts w:hint="eastAsia" w:ascii="宋体" w:hAnsi="宋体" w:cs="仿宋_GB2312"/>
          <w:color w:val="000000"/>
          <w:sz w:val="24"/>
          <w:highlight w:val="none"/>
          <w:u w:val="single"/>
        </w:rPr>
        <w:t>（采购人名称）</w:t>
      </w:r>
      <w:r>
        <w:rPr>
          <w:rFonts w:hint="eastAsia" w:ascii="宋体" w:hAnsi="宋体" w:cs="仿宋_GB2312"/>
          <w:color w:val="000000"/>
          <w:sz w:val="24"/>
          <w:highlight w:val="none"/>
        </w:rPr>
        <w:t>：</w:t>
      </w:r>
    </w:p>
    <w:p w14:paraId="48C533D9">
      <w:pPr>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我</w:t>
      </w:r>
      <w:r>
        <w:rPr>
          <w:rFonts w:hint="eastAsia" w:ascii="宋体" w:hAnsi="宋体" w:cs="仿宋_GB2312"/>
          <w:color w:val="000000"/>
          <w:sz w:val="24"/>
          <w:highlight w:val="none"/>
          <w:u w:val="single"/>
        </w:rPr>
        <w:t xml:space="preserve">  （姓名）  </w:t>
      </w:r>
      <w:r>
        <w:rPr>
          <w:rFonts w:hint="eastAsia" w:ascii="宋体" w:hAnsi="宋体" w:cs="仿宋_GB2312"/>
          <w:color w:val="000000"/>
          <w:sz w:val="24"/>
          <w:highlight w:val="none"/>
        </w:rPr>
        <w:t>系</w:t>
      </w:r>
      <w:r>
        <w:rPr>
          <w:rFonts w:hint="eastAsia" w:ascii="宋体" w:hAnsi="宋体" w:cs="仿宋_GB2312"/>
          <w:color w:val="000000"/>
          <w:sz w:val="24"/>
          <w:highlight w:val="none"/>
          <w:u w:val="single"/>
        </w:rPr>
        <w:t xml:space="preserve">  （供应商名称）  </w:t>
      </w:r>
      <w:r>
        <w:rPr>
          <w:rFonts w:hint="eastAsia" w:ascii="宋体" w:hAnsi="宋体" w:cs="仿宋_GB2312"/>
          <w:color w:val="000000"/>
          <w:sz w:val="24"/>
          <w:highlight w:val="none"/>
        </w:rPr>
        <w:t>的（</w:t>
      </w:r>
      <w:r>
        <w:rPr>
          <w:rFonts w:hint="eastAsia" w:ascii="宋体" w:hAnsi="宋体" w:cs="仿宋_GB2312"/>
          <w:color w:val="000000"/>
          <w:sz w:val="24"/>
          <w:highlight w:val="none"/>
          <w:u w:val="single"/>
        </w:rPr>
        <w:t>□法定代表人/□负责人</w:t>
      </w:r>
      <w:r>
        <w:rPr>
          <w:rFonts w:hint="eastAsia" w:ascii="宋体" w:hAnsi="宋体" w:cs="仿宋_GB2312"/>
          <w:color w:val="000000"/>
          <w:sz w:val="24"/>
          <w:highlight w:val="none"/>
        </w:rPr>
        <w:t>），现授权</w:t>
      </w:r>
      <w:r>
        <w:rPr>
          <w:rFonts w:hint="eastAsia" w:ascii="宋体" w:hAnsi="宋体" w:cs="仿宋_GB2312"/>
          <w:color w:val="000000"/>
          <w:sz w:val="24"/>
          <w:highlight w:val="none"/>
          <w:u w:val="single"/>
        </w:rPr>
        <w:t xml:space="preserve"> （姓名） </w:t>
      </w:r>
      <w:r>
        <w:rPr>
          <w:rFonts w:hint="eastAsia" w:ascii="宋体" w:hAnsi="宋体" w:cs="仿宋_GB2312"/>
          <w:color w:val="000000"/>
          <w:sz w:val="24"/>
          <w:highlight w:val="none"/>
        </w:rPr>
        <w:t>以我方的名义参加</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项目的竞标活动，并代表我方全权办理针对上述项目的所有采购程序和环节的具体事务和签署相关文件。</w:t>
      </w:r>
    </w:p>
    <w:p w14:paraId="18B57302">
      <w:pPr>
        <w:spacing w:line="360" w:lineRule="auto"/>
        <w:rPr>
          <w:rFonts w:hint="eastAsia" w:ascii="宋体" w:hAnsi="宋体" w:cs="仿宋_GB2312"/>
          <w:color w:val="000000"/>
          <w:sz w:val="24"/>
          <w:highlight w:val="none"/>
        </w:rPr>
      </w:pPr>
      <w:r>
        <w:rPr>
          <w:rFonts w:hint="eastAsia" w:ascii="宋体" w:hAnsi="宋体" w:cs="仿宋_GB2312"/>
          <w:color w:val="000000"/>
          <w:sz w:val="24"/>
          <w:highlight w:val="none"/>
        </w:rPr>
        <w:t xml:space="preserve">    我方对委托代理人的签字</w:t>
      </w:r>
      <w:r>
        <w:rPr>
          <w:rFonts w:hint="eastAsia" w:ascii="宋体" w:hAnsi="宋体"/>
          <w:color w:val="000000"/>
          <w:sz w:val="24"/>
          <w:highlight w:val="none"/>
        </w:rPr>
        <w:t>或者电子签名</w:t>
      </w:r>
      <w:r>
        <w:rPr>
          <w:rFonts w:hint="eastAsia" w:ascii="宋体" w:hAnsi="宋体" w:cs="仿宋_GB2312"/>
          <w:color w:val="000000"/>
          <w:sz w:val="24"/>
          <w:highlight w:val="none"/>
        </w:rPr>
        <w:t>事项负全部责任。</w:t>
      </w:r>
    </w:p>
    <w:p w14:paraId="5E3B6A6D">
      <w:pPr>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本授权书自签署之日起生效，在撤销授权的书面通知以前，本授权书一直有效。委托代理人在授权书有效期内签署的所有文件不因授权的撤销而失效。</w:t>
      </w:r>
    </w:p>
    <w:p w14:paraId="5023AF9F">
      <w:pPr>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委托代理人无转委托权，特此委托。</w:t>
      </w:r>
    </w:p>
    <w:p w14:paraId="2428DDAD">
      <w:pPr>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附：法定代表人身份证明书及委托代理人有效身份证正反面复印件</w:t>
      </w:r>
    </w:p>
    <w:p w14:paraId="75BE31D8">
      <w:pPr>
        <w:spacing w:line="360" w:lineRule="auto"/>
        <w:rPr>
          <w:rFonts w:hint="eastAsia" w:ascii="宋体" w:hAnsi="宋体" w:cs="仿宋_GB2312"/>
          <w:color w:val="000000"/>
          <w:sz w:val="24"/>
          <w:highlight w:val="none"/>
        </w:rPr>
      </w:pPr>
    </w:p>
    <w:p w14:paraId="7481D896">
      <w:pPr>
        <w:spacing w:line="360" w:lineRule="auto"/>
        <w:contextualSpacing/>
        <w:rPr>
          <w:rFonts w:hint="eastAsia" w:ascii="宋体" w:hAnsi="宋体" w:cs="仿宋_GB2312"/>
          <w:color w:val="000000"/>
          <w:sz w:val="24"/>
          <w:highlight w:val="none"/>
        </w:rPr>
      </w:pPr>
      <w:r>
        <w:rPr>
          <w:rFonts w:hint="eastAsia" w:ascii="宋体" w:hAnsi="宋体" w:cs="仿宋_GB2312"/>
          <w:color w:val="000000"/>
          <w:sz w:val="24"/>
          <w:highlight w:val="none"/>
        </w:rPr>
        <w:t>委托代理人（</w:t>
      </w:r>
      <w:r>
        <w:rPr>
          <w:rFonts w:hint="eastAsia" w:ascii="宋体" w:hAnsi="宋体"/>
          <w:color w:val="000000"/>
          <w:sz w:val="24"/>
          <w:highlight w:val="none"/>
        </w:rPr>
        <w:t>签字或者电子签名</w:t>
      </w:r>
      <w:r>
        <w:rPr>
          <w:rFonts w:hint="eastAsia" w:ascii="宋体" w:hAnsi="宋体" w:cs="仿宋_GB2312"/>
          <w:color w:val="000000"/>
          <w:sz w:val="24"/>
          <w:highlight w:val="none"/>
        </w:rPr>
        <w:t xml:space="preserve">）：     法定代表人（签字或者盖章或者电子签名）：                    </w:t>
      </w:r>
    </w:p>
    <w:p w14:paraId="7F2958D0">
      <w:pPr>
        <w:spacing w:line="360" w:lineRule="auto"/>
        <w:contextualSpacing/>
        <w:rPr>
          <w:rFonts w:hint="eastAsia" w:ascii="宋体" w:hAnsi="宋体" w:cs="仿宋_GB2312"/>
          <w:color w:val="000000"/>
          <w:sz w:val="24"/>
          <w:highlight w:val="none"/>
        </w:rPr>
      </w:pPr>
      <w:r>
        <w:rPr>
          <w:rFonts w:hint="eastAsia" w:ascii="宋体" w:hAnsi="宋体" w:cs="仿宋_GB2312"/>
          <w:color w:val="000000"/>
          <w:sz w:val="24"/>
          <w:highlight w:val="none"/>
        </w:rPr>
        <w:t xml:space="preserve">委托代理人身份证号码：                              </w:t>
      </w:r>
    </w:p>
    <w:p w14:paraId="65430C71">
      <w:pPr>
        <w:spacing w:line="360" w:lineRule="auto"/>
        <w:contextualSpacing/>
        <w:rPr>
          <w:rFonts w:hint="eastAsia" w:ascii="宋体" w:hAnsi="宋体" w:cs="仿宋_GB2312"/>
          <w:color w:val="000000"/>
          <w:sz w:val="24"/>
          <w:highlight w:val="none"/>
        </w:rPr>
      </w:pPr>
      <w:r>
        <w:rPr>
          <w:rFonts w:hint="eastAsia" w:ascii="宋体" w:hAnsi="宋体" w:cs="仿宋_GB2312"/>
          <w:color w:val="000000"/>
          <w:sz w:val="24"/>
          <w:highlight w:val="none"/>
        </w:rPr>
        <w:t xml:space="preserve">                                </w:t>
      </w:r>
    </w:p>
    <w:p w14:paraId="1C6C95D1">
      <w:pPr>
        <w:spacing w:line="360" w:lineRule="auto"/>
        <w:rPr>
          <w:rFonts w:hint="eastAsia" w:ascii="宋体" w:hAnsi="宋体" w:cs="仿宋_GB2312"/>
          <w:color w:val="000000"/>
          <w:sz w:val="24"/>
          <w:highlight w:val="none"/>
        </w:rPr>
      </w:pPr>
      <w:r>
        <w:rPr>
          <w:rFonts w:hint="eastAsia" w:ascii="宋体" w:hAnsi="宋体" w:cs="仿宋_GB2312"/>
          <w:color w:val="000000"/>
          <w:sz w:val="24"/>
          <w:highlight w:val="none"/>
        </w:rPr>
        <w:t xml:space="preserve">                         供应商（电子签章）：                      </w:t>
      </w:r>
    </w:p>
    <w:p w14:paraId="71F7CAC5">
      <w:pPr>
        <w:spacing w:line="360" w:lineRule="auto"/>
        <w:rPr>
          <w:rFonts w:hint="eastAsia" w:ascii="宋体" w:hAnsi="宋体" w:cs="仿宋_GB2312"/>
          <w:color w:val="000000"/>
          <w:sz w:val="24"/>
          <w:highlight w:val="none"/>
        </w:rPr>
      </w:pPr>
      <w:r>
        <w:rPr>
          <w:rFonts w:hint="eastAsia" w:ascii="宋体" w:hAnsi="宋体" w:cs="仿宋_GB2312"/>
          <w:color w:val="000000"/>
          <w:sz w:val="24"/>
          <w:highlight w:val="none"/>
        </w:rPr>
        <w:t xml:space="preserve">                                         年    月    日</w:t>
      </w:r>
    </w:p>
    <w:p w14:paraId="0D63068E">
      <w:pPr>
        <w:spacing w:line="360" w:lineRule="auto"/>
        <w:rPr>
          <w:rFonts w:hint="eastAsia" w:ascii="宋体" w:hAnsi="宋体" w:cs="仿宋_GB2312"/>
          <w:color w:val="000000"/>
          <w:sz w:val="24"/>
          <w:highlight w:val="none"/>
        </w:rPr>
      </w:pPr>
    </w:p>
    <w:p w14:paraId="206705C5">
      <w:pPr>
        <w:spacing w:line="360" w:lineRule="auto"/>
        <w:rPr>
          <w:rFonts w:hint="eastAsia" w:ascii="宋体" w:hAnsi="宋体" w:cs="仿宋_GB2312"/>
          <w:color w:val="000000"/>
          <w:sz w:val="24"/>
          <w:highlight w:val="none"/>
        </w:rPr>
      </w:pPr>
    </w:p>
    <w:p w14:paraId="36F6BD13">
      <w:pPr>
        <w:spacing w:line="360" w:lineRule="auto"/>
        <w:rPr>
          <w:rFonts w:hint="eastAsia" w:ascii="宋体" w:hAnsi="宋体" w:cs="仿宋_GB2312"/>
          <w:color w:val="000000"/>
          <w:sz w:val="24"/>
          <w:highlight w:val="none"/>
        </w:rPr>
      </w:pPr>
    </w:p>
    <w:p w14:paraId="3DA540E7">
      <w:pPr>
        <w:spacing w:line="360" w:lineRule="auto"/>
        <w:rPr>
          <w:rFonts w:hint="eastAsia" w:ascii="宋体" w:hAnsi="宋体" w:cs="仿宋_GB2312"/>
          <w:color w:val="000000"/>
          <w:sz w:val="24"/>
          <w:highlight w:val="none"/>
        </w:rPr>
      </w:pPr>
    </w:p>
    <w:p w14:paraId="6C5655E2">
      <w:pPr>
        <w:spacing w:line="360" w:lineRule="auto"/>
        <w:rPr>
          <w:rFonts w:hint="eastAsia" w:ascii="宋体" w:hAnsi="宋体" w:cs="仿宋_GB2312"/>
          <w:color w:val="000000"/>
          <w:sz w:val="24"/>
          <w:highlight w:val="none"/>
        </w:rPr>
      </w:pPr>
    </w:p>
    <w:p w14:paraId="7B20867D">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注：法定代表人必须在授权委托书上签字或者盖章</w:t>
      </w:r>
      <w:r>
        <w:rPr>
          <w:rFonts w:hint="eastAsia" w:ascii="宋体" w:hAnsi="宋体"/>
          <w:color w:val="000000"/>
          <w:sz w:val="24"/>
          <w:highlight w:val="none"/>
        </w:rPr>
        <w:t>或者电子签名</w:t>
      </w:r>
      <w:r>
        <w:rPr>
          <w:rFonts w:hint="eastAsia" w:ascii="宋体" w:hAnsi="宋体" w:cs="仿宋_GB2312"/>
          <w:color w:val="000000"/>
          <w:sz w:val="24"/>
          <w:highlight w:val="none"/>
        </w:rPr>
        <w:t>，委托代理人必须在授权委托书上签字或者电子签名，</w:t>
      </w:r>
      <w:r>
        <w:rPr>
          <w:rFonts w:hint="eastAsia" w:ascii="宋体" w:hAnsi="宋体" w:cs="仿宋_GB2312"/>
          <w:b/>
          <w:color w:val="000000"/>
          <w:sz w:val="24"/>
          <w:highlight w:val="none"/>
        </w:rPr>
        <w:t>否则其响应文件按无效处理。</w:t>
      </w:r>
    </w:p>
    <w:p w14:paraId="29996842">
      <w:pPr>
        <w:spacing w:line="360" w:lineRule="auto"/>
        <w:ind w:firstLine="420" w:firstLineChars="200"/>
        <w:jc w:val="left"/>
        <w:rPr>
          <w:rFonts w:hint="eastAsia" w:ascii="仿宋_GB2312" w:hAnsi="仿宋_GB2312" w:eastAsia="仿宋_GB2312" w:cs="仿宋_GB2312"/>
          <w:color w:val="000000"/>
          <w:szCs w:val="21"/>
          <w:highlight w:val="none"/>
        </w:rPr>
      </w:pPr>
    </w:p>
    <w:p w14:paraId="3C6B1CFC">
      <w:pPr>
        <w:spacing w:line="500" w:lineRule="exact"/>
        <w:jc w:val="center"/>
        <w:rPr>
          <w:rFonts w:hint="eastAsia" w:ascii="方正小标宋简体" w:hAnsi="方正小标宋简体" w:eastAsia="方正小标宋简体" w:cs="方正小标宋简体"/>
          <w:bCs/>
          <w:color w:val="000000"/>
          <w:sz w:val="44"/>
          <w:szCs w:val="44"/>
          <w:highlight w:val="none"/>
        </w:rPr>
      </w:pPr>
      <w:r>
        <w:rPr>
          <w:rFonts w:ascii="仿宋_GB2312" w:hAnsi="仿宋_GB2312" w:eastAsia="仿宋_GB2312" w:cs="仿宋_GB2312"/>
          <w:color w:val="000000"/>
          <w:szCs w:val="21"/>
          <w:highlight w:val="none"/>
        </w:rPr>
        <w:br w:type="page"/>
      </w:r>
      <w:bookmarkEnd w:id="76"/>
      <w:r>
        <w:rPr>
          <w:rFonts w:hint="eastAsia" w:ascii="方正小标宋简体" w:hAnsi="方正小标宋简体" w:eastAsia="方正小标宋简体" w:cs="方正小标宋简体"/>
          <w:bCs/>
          <w:color w:val="000000"/>
          <w:sz w:val="44"/>
          <w:szCs w:val="44"/>
          <w:highlight w:val="none"/>
        </w:rPr>
        <w:t>施工组织设计</w:t>
      </w:r>
    </w:p>
    <w:p w14:paraId="0A687438">
      <w:pPr>
        <w:spacing w:line="500" w:lineRule="exact"/>
        <w:jc w:val="center"/>
        <w:rPr>
          <w:rFonts w:hint="eastAsia" w:ascii="方正小标宋简体" w:hAnsi="方正小标宋简体" w:eastAsia="方正小标宋简体" w:cs="方正小标宋简体"/>
          <w:bCs/>
          <w:color w:val="000000"/>
          <w:sz w:val="28"/>
          <w:szCs w:val="28"/>
          <w:highlight w:val="none"/>
        </w:rPr>
      </w:pPr>
      <w:r>
        <w:rPr>
          <w:rFonts w:hint="eastAsia" w:ascii="方正小标宋简体" w:hAnsi="方正小标宋简体" w:eastAsia="方正小标宋简体" w:cs="方正小标宋简体"/>
          <w:bCs/>
          <w:color w:val="000000"/>
          <w:sz w:val="28"/>
          <w:szCs w:val="28"/>
          <w:highlight w:val="none"/>
        </w:rPr>
        <w:t>（格式自拟）</w:t>
      </w:r>
    </w:p>
    <w:p w14:paraId="752F70BB">
      <w:pPr>
        <w:adjustRightInd w:val="0"/>
        <w:snapToGrid w:val="0"/>
        <w:spacing w:line="300" w:lineRule="auto"/>
        <w:jc w:val="center"/>
        <w:rPr>
          <w:rFonts w:hint="eastAsia" w:ascii="方正小标宋简体" w:hAnsi="方正小标宋简体" w:eastAsia="方正小标宋简体" w:cs="方正小标宋简体"/>
          <w:bCs/>
          <w:color w:val="000000"/>
          <w:sz w:val="36"/>
          <w:szCs w:val="36"/>
          <w:highlight w:val="none"/>
          <w:lang w:eastAsia="zh-CN"/>
        </w:rPr>
      </w:pPr>
      <w:r>
        <w:rPr>
          <w:rFonts w:ascii="方正小标宋简体" w:hAnsi="方正小标宋简体" w:eastAsia="方正小标宋简体" w:cs="方正小标宋简体"/>
          <w:bCs/>
          <w:color w:val="000000"/>
          <w:sz w:val="44"/>
          <w:szCs w:val="44"/>
          <w:highlight w:val="none"/>
        </w:rPr>
        <w:br w:type="page"/>
      </w:r>
      <w:r>
        <w:rPr>
          <w:rFonts w:hint="eastAsia" w:ascii="方正小标宋简体" w:hAnsi="方正小标宋简体" w:eastAsia="方正小标宋简体" w:cs="方正小标宋简体"/>
          <w:bCs/>
          <w:color w:val="000000"/>
          <w:sz w:val="36"/>
          <w:szCs w:val="36"/>
          <w:highlight w:val="none"/>
        </w:rPr>
        <w:t>项目管理机构配备情况表</w:t>
      </w:r>
      <w:r>
        <w:rPr>
          <w:rFonts w:hint="eastAsia" w:ascii="方正小标宋简体" w:hAnsi="方正小标宋简体" w:eastAsia="方正小标宋简体" w:cs="方正小标宋简体"/>
          <w:bCs/>
          <w:color w:val="000000"/>
          <w:sz w:val="36"/>
          <w:szCs w:val="36"/>
          <w:highlight w:val="none"/>
          <w:lang w:eastAsia="zh-CN"/>
        </w:rPr>
        <w:t>（格式）</w:t>
      </w:r>
    </w:p>
    <w:p w14:paraId="21E302FB">
      <w:pPr>
        <w:adjustRightInd w:val="0"/>
        <w:snapToGrid w:val="0"/>
        <w:spacing w:line="300" w:lineRule="auto"/>
        <w:jc w:val="center"/>
        <w:rPr>
          <w:rFonts w:hint="eastAsia" w:ascii="方正小标宋简体" w:hAnsi="方正小标宋简体" w:eastAsia="方正小标宋简体" w:cs="方正小标宋简体"/>
          <w:bCs/>
          <w:color w:val="000000"/>
          <w:sz w:val="36"/>
          <w:szCs w:val="36"/>
          <w:highlight w:val="none"/>
          <w:lang w:val="en-US" w:eastAsia="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4D0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63609C8A">
            <w:pPr>
              <w:ind w:left="223" w:hanging="222" w:hangingChars="106"/>
              <w:jc w:val="center"/>
              <w:rPr>
                <w:color w:val="000000"/>
                <w:highlight w:val="none"/>
              </w:rPr>
            </w:pPr>
            <w:r>
              <w:rPr>
                <w:color w:val="000000"/>
                <w:highlight w:val="none"/>
              </w:rPr>
              <w:t>岗位</w:t>
            </w:r>
          </w:p>
        </w:tc>
        <w:tc>
          <w:tcPr>
            <w:tcW w:w="670" w:type="dxa"/>
            <w:vMerge w:val="restart"/>
            <w:noWrap w:val="0"/>
            <w:vAlign w:val="center"/>
          </w:tcPr>
          <w:p w14:paraId="0D356331">
            <w:pPr>
              <w:ind w:left="223" w:hanging="222" w:hangingChars="106"/>
              <w:jc w:val="center"/>
              <w:rPr>
                <w:color w:val="000000"/>
                <w:highlight w:val="none"/>
              </w:rPr>
            </w:pPr>
            <w:r>
              <w:rPr>
                <w:color w:val="000000"/>
                <w:highlight w:val="none"/>
              </w:rPr>
              <w:t>姓名</w:t>
            </w:r>
          </w:p>
        </w:tc>
        <w:tc>
          <w:tcPr>
            <w:tcW w:w="829" w:type="dxa"/>
            <w:vMerge w:val="restart"/>
            <w:noWrap w:val="0"/>
            <w:vAlign w:val="center"/>
          </w:tcPr>
          <w:p w14:paraId="52E529B5">
            <w:pPr>
              <w:jc w:val="center"/>
              <w:rPr>
                <w:color w:val="000000"/>
                <w:highlight w:val="none"/>
              </w:rPr>
            </w:pPr>
            <w:r>
              <w:rPr>
                <w:color w:val="000000"/>
                <w:highlight w:val="none"/>
              </w:rPr>
              <w:t>身份证号</w:t>
            </w:r>
          </w:p>
        </w:tc>
        <w:tc>
          <w:tcPr>
            <w:tcW w:w="816" w:type="dxa"/>
            <w:vMerge w:val="restart"/>
            <w:noWrap w:val="0"/>
            <w:vAlign w:val="center"/>
          </w:tcPr>
          <w:p w14:paraId="5B25323F">
            <w:pPr>
              <w:ind w:left="223" w:hanging="222" w:hangingChars="106"/>
              <w:jc w:val="center"/>
              <w:rPr>
                <w:color w:val="000000"/>
                <w:highlight w:val="none"/>
              </w:rPr>
            </w:pPr>
            <w:r>
              <w:rPr>
                <w:color w:val="000000"/>
                <w:highlight w:val="none"/>
              </w:rPr>
              <w:t>职称</w:t>
            </w:r>
          </w:p>
        </w:tc>
        <w:tc>
          <w:tcPr>
            <w:tcW w:w="4188" w:type="dxa"/>
            <w:gridSpan w:val="4"/>
            <w:noWrap w:val="0"/>
            <w:vAlign w:val="center"/>
          </w:tcPr>
          <w:p w14:paraId="033996B0">
            <w:pPr>
              <w:ind w:left="223" w:hanging="222" w:hangingChars="106"/>
              <w:jc w:val="center"/>
              <w:rPr>
                <w:color w:val="000000"/>
                <w:highlight w:val="none"/>
              </w:rPr>
            </w:pPr>
            <w:r>
              <w:rPr>
                <w:color w:val="000000"/>
                <w:highlight w:val="none"/>
              </w:rPr>
              <w:t>执业或职业资格</w:t>
            </w:r>
          </w:p>
        </w:tc>
        <w:tc>
          <w:tcPr>
            <w:tcW w:w="2443" w:type="dxa"/>
            <w:gridSpan w:val="2"/>
            <w:noWrap w:val="0"/>
            <w:vAlign w:val="center"/>
          </w:tcPr>
          <w:p w14:paraId="71C07DCB">
            <w:pPr>
              <w:jc w:val="left"/>
              <w:rPr>
                <w:color w:val="000000"/>
                <w:highlight w:val="none"/>
              </w:rPr>
            </w:pPr>
            <w:r>
              <w:rPr>
                <w:color w:val="000000"/>
                <w:highlight w:val="none"/>
              </w:rPr>
              <w:t>承担完工</w:t>
            </w:r>
            <w:r>
              <w:rPr>
                <w:rFonts w:hint="eastAsia"/>
                <w:color w:val="000000"/>
                <w:highlight w:val="none"/>
              </w:rPr>
              <w:t>、</w:t>
            </w:r>
            <w:r>
              <w:rPr>
                <w:color w:val="000000"/>
                <w:highlight w:val="none"/>
              </w:rPr>
              <w:t>在建工程情况</w:t>
            </w:r>
          </w:p>
        </w:tc>
      </w:tr>
      <w:tr w14:paraId="0A1E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42C20670">
            <w:pPr>
              <w:ind w:left="223" w:hanging="222" w:hangingChars="106"/>
              <w:jc w:val="center"/>
              <w:rPr>
                <w:color w:val="000000"/>
                <w:highlight w:val="none"/>
              </w:rPr>
            </w:pPr>
          </w:p>
        </w:tc>
        <w:tc>
          <w:tcPr>
            <w:tcW w:w="670" w:type="dxa"/>
            <w:vMerge w:val="continue"/>
            <w:noWrap w:val="0"/>
            <w:vAlign w:val="center"/>
          </w:tcPr>
          <w:p w14:paraId="64D3655F">
            <w:pPr>
              <w:ind w:left="223" w:hanging="222" w:hangingChars="106"/>
              <w:jc w:val="center"/>
              <w:rPr>
                <w:color w:val="000000"/>
                <w:highlight w:val="none"/>
              </w:rPr>
            </w:pPr>
          </w:p>
        </w:tc>
        <w:tc>
          <w:tcPr>
            <w:tcW w:w="829" w:type="dxa"/>
            <w:vMerge w:val="continue"/>
            <w:noWrap w:val="0"/>
            <w:vAlign w:val="center"/>
          </w:tcPr>
          <w:p w14:paraId="1C4F624E">
            <w:pPr>
              <w:ind w:left="223" w:hanging="222" w:hangingChars="106"/>
              <w:jc w:val="center"/>
              <w:rPr>
                <w:color w:val="000000"/>
                <w:highlight w:val="none"/>
              </w:rPr>
            </w:pPr>
          </w:p>
        </w:tc>
        <w:tc>
          <w:tcPr>
            <w:tcW w:w="816" w:type="dxa"/>
            <w:vMerge w:val="continue"/>
            <w:noWrap w:val="0"/>
            <w:vAlign w:val="center"/>
          </w:tcPr>
          <w:p w14:paraId="78B03EB6">
            <w:pPr>
              <w:ind w:left="223" w:hanging="222" w:hangingChars="106"/>
              <w:jc w:val="center"/>
              <w:rPr>
                <w:color w:val="000000"/>
                <w:highlight w:val="none"/>
              </w:rPr>
            </w:pPr>
          </w:p>
        </w:tc>
        <w:tc>
          <w:tcPr>
            <w:tcW w:w="1148" w:type="dxa"/>
            <w:noWrap w:val="0"/>
            <w:vAlign w:val="center"/>
          </w:tcPr>
          <w:p w14:paraId="0652DACD">
            <w:pPr>
              <w:ind w:left="223" w:hanging="222" w:hangingChars="106"/>
              <w:jc w:val="center"/>
              <w:rPr>
                <w:color w:val="000000"/>
                <w:highlight w:val="none"/>
              </w:rPr>
            </w:pPr>
            <w:r>
              <w:rPr>
                <w:color w:val="000000"/>
                <w:highlight w:val="none"/>
              </w:rPr>
              <w:t>证书名称</w:t>
            </w:r>
          </w:p>
        </w:tc>
        <w:tc>
          <w:tcPr>
            <w:tcW w:w="1148" w:type="dxa"/>
            <w:noWrap w:val="0"/>
            <w:vAlign w:val="center"/>
          </w:tcPr>
          <w:p w14:paraId="1EAF1258">
            <w:pPr>
              <w:ind w:left="223" w:hanging="222" w:hangingChars="106"/>
              <w:jc w:val="center"/>
              <w:rPr>
                <w:color w:val="000000"/>
                <w:highlight w:val="none"/>
              </w:rPr>
            </w:pPr>
            <w:r>
              <w:rPr>
                <w:color w:val="000000"/>
                <w:highlight w:val="none"/>
              </w:rPr>
              <w:t>级别</w:t>
            </w:r>
          </w:p>
        </w:tc>
        <w:tc>
          <w:tcPr>
            <w:tcW w:w="1148" w:type="dxa"/>
            <w:noWrap w:val="0"/>
            <w:vAlign w:val="center"/>
          </w:tcPr>
          <w:p w14:paraId="5A2C52A7">
            <w:pPr>
              <w:ind w:left="223" w:hanging="222" w:hangingChars="106"/>
              <w:jc w:val="center"/>
              <w:rPr>
                <w:color w:val="000000"/>
                <w:highlight w:val="none"/>
              </w:rPr>
            </w:pPr>
            <w:r>
              <w:rPr>
                <w:color w:val="000000"/>
                <w:highlight w:val="none"/>
              </w:rPr>
              <w:t>证号</w:t>
            </w:r>
          </w:p>
        </w:tc>
        <w:tc>
          <w:tcPr>
            <w:tcW w:w="744" w:type="dxa"/>
            <w:noWrap w:val="0"/>
            <w:vAlign w:val="center"/>
          </w:tcPr>
          <w:p w14:paraId="180147E7">
            <w:pPr>
              <w:ind w:left="223" w:hanging="222" w:hangingChars="106"/>
              <w:jc w:val="center"/>
              <w:rPr>
                <w:color w:val="000000"/>
                <w:highlight w:val="none"/>
              </w:rPr>
            </w:pPr>
            <w:r>
              <w:rPr>
                <w:color w:val="000000"/>
                <w:highlight w:val="none"/>
              </w:rPr>
              <w:t>专业</w:t>
            </w:r>
          </w:p>
        </w:tc>
        <w:tc>
          <w:tcPr>
            <w:tcW w:w="1167" w:type="dxa"/>
            <w:noWrap w:val="0"/>
            <w:vAlign w:val="center"/>
          </w:tcPr>
          <w:p w14:paraId="30ED7E88">
            <w:pPr>
              <w:jc w:val="center"/>
              <w:rPr>
                <w:color w:val="000000"/>
                <w:highlight w:val="none"/>
              </w:rPr>
            </w:pPr>
            <w:r>
              <w:rPr>
                <w:rFonts w:hint="eastAsia"/>
                <w:color w:val="000000"/>
                <w:highlight w:val="none"/>
              </w:rPr>
              <w:t>完工/在建</w:t>
            </w:r>
          </w:p>
        </w:tc>
        <w:tc>
          <w:tcPr>
            <w:tcW w:w="1276" w:type="dxa"/>
            <w:noWrap w:val="0"/>
            <w:vAlign w:val="center"/>
          </w:tcPr>
          <w:p w14:paraId="1DDCC9E2">
            <w:pPr>
              <w:jc w:val="center"/>
              <w:rPr>
                <w:color w:val="000000"/>
                <w:highlight w:val="none"/>
              </w:rPr>
            </w:pPr>
            <w:r>
              <w:rPr>
                <w:color w:val="000000"/>
                <w:highlight w:val="none"/>
              </w:rPr>
              <w:t>主要项目</w:t>
            </w:r>
          </w:p>
          <w:p w14:paraId="7A1E4F78">
            <w:pPr>
              <w:jc w:val="center"/>
              <w:rPr>
                <w:color w:val="000000"/>
                <w:highlight w:val="none"/>
              </w:rPr>
            </w:pPr>
            <w:r>
              <w:rPr>
                <w:color w:val="000000"/>
                <w:highlight w:val="none"/>
              </w:rPr>
              <w:t>名称</w:t>
            </w:r>
          </w:p>
        </w:tc>
      </w:tr>
      <w:tr w14:paraId="19C5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42839360">
            <w:pPr>
              <w:pStyle w:val="79"/>
              <w:spacing w:line="240" w:lineRule="auto"/>
              <w:ind w:firstLine="0"/>
              <w:rPr>
                <w:color w:val="000000"/>
                <w:sz w:val="21"/>
                <w:szCs w:val="21"/>
                <w:highlight w:val="none"/>
                <w:lang w:eastAsia="zh-CN"/>
              </w:rPr>
            </w:pPr>
            <w:r>
              <w:rPr>
                <w:rFonts w:ascii="Times New Roman" w:hAnsi="Times New Roman" w:eastAsia="Times New Roman" w:cs="Times New Roman"/>
                <w:color w:val="000000"/>
                <w:sz w:val="21"/>
                <w:szCs w:val="21"/>
                <w:highlight w:val="none"/>
                <w:lang w:val="en-US" w:eastAsia="en-US" w:bidi="en-US"/>
              </w:rPr>
              <w:t>1.</w:t>
            </w:r>
            <w:r>
              <w:rPr>
                <w:color w:val="000000"/>
                <w:sz w:val="21"/>
                <w:szCs w:val="21"/>
                <w:highlight w:val="none"/>
                <w:lang w:eastAsia="zh-CN"/>
              </w:rPr>
              <w:t>项目经理</w:t>
            </w:r>
          </w:p>
        </w:tc>
        <w:tc>
          <w:tcPr>
            <w:tcW w:w="670" w:type="dxa"/>
            <w:noWrap w:val="0"/>
            <w:vAlign w:val="center"/>
          </w:tcPr>
          <w:p w14:paraId="18B17554">
            <w:pPr>
              <w:ind w:left="223" w:hanging="222" w:hangingChars="106"/>
              <w:jc w:val="center"/>
              <w:rPr>
                <w:color w:val="000000"/>
                <w:szCs w:val="21"/>
                <w:highlight w:val="none"/>
              </w:rPr>
            </w:pPr>
          </w:p>
        </w:tc>
        <w:tc>
          <w:tcPr>
            <w:tcW w:w="829" w:type="dxa"/>
            <w:noWrap w:val="0"/>
            <w:vAlign w:val="center"/>
          </w:tcPr>
          <w:p w14:paraId="10767247">
            <w:pPr>
              <w:ind w:left="223" w:hanging="222" w:hangingChars="106"/>
              <w:jc w:val="center"/>
              <w:rPr>
                <w:color w:val="000000"/>
                <w:szCs w:val="21"/>
                <w:highlight w:val="none"/>
              </w:rPr>
            </w:pPr>
          </w:p>
        </w:tc>
        <w:tc>
          <w:tcPr>
            <w:tcW w:w="816" w:type="dxa"/>
            <w:noWrap w:val="0"/>
            <w:vAlign w:val="center"/>
          </w:tcPr>
          <w:p w14:paraId="7DB4AD40">
            <w:pPr>
              <w:ind w:left="223" w:hanging="222" w:hangingChars="106"/>
              <w:jc w:val="center"/>
              <w:rPr>
                <w:color w:val="000000"/>
                <w:szCs w:val="21"/>
                <w:highlight w:val="none"/>
              </w:rPr>
            </w:pPr>
          </w:p>
        </w:tc>
        <w:tc>
          <w:tcPr>
            <w:tcW w:w="1148" w:type="dxa"/>
            <w:noWrap w:val="0"/>
            <w:vAlign w:val="center"/>
          </w:tcPr>
          <w:p w14:paraId="19019C0B">
            <w:pPr>
              <w:ind w:left="223" w:hanging="222" w:hangingChars="106"/>
              <w:jc w:val="center"/>
              <w:rPr>
                <w:color w:val="000000"/>
                <w:szCs w:val="21"/>
                <w:highlight w:val="none"/>
              </w:rPr>
            </w:pPr>
          </w:p>
        </w:tc>
        <w:tc>
          <w:tcPr>
            <w:tcW w:w="1148" w:type="dxa"/>
            <w:noWrap w:val="0"/>
            <w:vAlign w:val="center"/>
          </w:tcPr>
          <w:p w14:paraId="40B1F168">
            <w:pPr>
              <w:ind w:left="223" w:hanging="222" w:hangingChars="106"/>
              <w:jc w:val="center"/>
              <w:rPr>
                <w:color w:val="000000"/>
                <w:szCs w:val="21"/>
                <w:highlight w:val="none"/>
              </w:rPr>
            </w:pPr>
          </w:p>
        </w:tc>
        <w:tc>
          <w:tcPr>
            <w:tcW w:w="1148" w:type="dxa"/>
            <w:noWrap w:val="0"/>
            <w:vAlign w:val="center"/>
          </w:tcPr>
          <w:p w14:paraId="235D3FCC">
            <w:pPr>
              <w:ind w:left="223" w:hanging="222" w:hangingChars="106"/>
              <w:jc w:val="center"/>
              <w:rPr>
                <w:color w:val="000000"/>
                <w:szCs w:val="21"/>
                <w:highlight w:val="none"/>
              </w:rPr>
            </w:pPr>
          </w:p>
        </w:tc>
        <w:tc>
          <w:tcPr>
            <w:tcW w:w="744" w:type="dxa"/>
            <w:noWrap w:val="0"/>
            <w:vAlign w:val="center"/>
          </w:tcPr>
          <w:p w14:paraId="05AC7A83">
            <w:pPr>
              <w:ind w:left="223" w:hanging="222" w:hangingChars="106"/>
              <w:jc w:val="center"/>
              <w:rPr>
                <w:color w:val="000000"/>
                <w:szCs w:val="21"/>
                <w:highlight w:val="none"/>
              </w:rPr>
            </w:pPr>
          </w:p>
        </w:tc>
        <w:tc>
          <w:tcPr>
            <w:tcW w:w="1167" w:type="dxa"/>
            <w:noWrap w:val="0"/>
            <w:vAlign w:val="center"/>
          </w:tcPr>
          <w:p w14:paraId="196680CC">
            <w:pPr>
              <w:ind w:left="223" w:hanging="222" w:hangingChars="106"/>
              <w:jc w:val="center"/>
              <w:rPr>
                <w:color w:val="000000"/>
                <w:szCs w:val="21"/>
                <w:highlight w:val="none"/>
              </w:rPr>
            </w:pPr>
          </w:p>
        </w:tc>
        <w:tc>
          <w:tcPr>
            <w:tcW w:w="1276" w:type="dxa"/>
            <w:noWrap w:val="0"/>
            <w:vAlign w:val="center"/>
          </w:tcPr>
          <w:p w14:paraId="4F8A13ED">
            <w:pPr>
              <w:ind w:left="223" w:hanging="222" w:hangingChars="106"/>
              <w:jc w:val="center"/>
              <w:rPr>
                <w:color w:val="000000"/>
                <w:szCs w:val="21"/>
                <w:highlight w:val="none"/>
              </w:rPr>
            </w:pPr>
          </w:p>
        </w:tc>
      </w:tr>
      <w:tr w14:paraId="6DDC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981012A">
            <w:pPr>
              <w:pStyle w:val="79"/>
              <w:spacing w:line="240" w:lineRule="auto"/>
              <w:ind w:firstLine="0"/>
              <w:rPr>
                <w:color w:val="000000"/>
                <w:sz w:val="21"/>
                <w:szCs w:val="21"/>
                <w:highlight w:val="none"/>
                <w:lang w:eastAsia="zh-CN"/>
              </w:rPr>
            </w:pPr>
            <w:r>
              <w:rPr>
                <w:rFonts w:ascii="Times New Roman" w:hAnsi="Times New Roman" w:eastAsia="Times New Roman" w:cs="Times New Roman"/>
                <w:color w:val="000000"/>
                <w:sz w:val="21"/>
                <w:szCs w:val="21"/>
                <w:highlight w:val="none"/>
                <w:lang w:val="en-US" w:eastAsia="zh-CN" w:bidi="en-US"/>
              </w:rPr>
              <w:t>2.</w:t>
            </w:r>
            <w:r>
              <w:rPr>
                <w:color w:val="000000"/>
                <w:sz w:val="21"/>
                <w:szCs w:val="21"/>
                <w:highlight w:val="none"/>
                <w:lang w:eastAsia="zh-CN"/>
              </w:rPr>
              <w:t>技术负责人</w:t>
            </w:r>
            <w:r>
              <w:rPr>
                <w:rFonts w:hint="eastAsia"/>
                <w:color w:val="000000"/>
                <w:sz w:val="21"/>
                <w:szCs w:val="21"/>
                <w:highlight w:val="none"/>
                <w:lang w:eastAsia="zh-CN"/>
              </w:rPr>
              <w:t>（项目总工）</w:t>
            </w:r>
          </w:p>
        </w:tc>
        <w:tc>
          <w:tcPr>
            <w:tcW w:w="670" w:type="dxa"/>
            <w:noWrap w:val="0"/>
            <w:vAlign w:val="center"/>
          </w:tcPr>
          <w:p w14:paraId="79094725">
            <w:pPr>
              <w:ind w:left="223" w:hanging="222" w:hangingChars="106"/>
              <w:jc w:val="center"/>
              <w:rPr>
                <w:color w:val="000000"/>
                <w:szCs w:val="21"/>
                <w:highlight w:val="none"/>
              </w:rPr>
            </w:pPr>
          </w:p>
        </w:tc>
        <w:tc>
          <w:tcPr>
            <w:tcW w:w="829" w:type="dxa"/>
            <w:noWrap w:val="0"/>
            <w:vAlign w:val="center"/>
          </w:tcPr>
          <w:p w14:paraId="11E6F880">
            <w:pPr>
              <w:ind w:left="223" w:hanging="222" w:hangingChars="106"/>
              <w:jc w:val="center"/>
              <w:rPr>
                <w:color w:val="000000"/>
                <w:szCs w:val="21"/>
                <w:highlight w:val="none"/>
              </w:rPr>
            </w:pPr>
          </w:p>
        </w:tc>
        <w:tc>
          <w:tcPr>
            <w:tcW w:w="816" w:type="dxa"/>
            <w:noWrap w:val="0"/>
            <w:vAlign w:val="center"/>
          </w:tcPr>
          <w:p w14:paraId="02D1D13A">
            <w:pPr>
              <w:ind w:left="223" w:hanging="222" w:hangingChars="106"/>
              <w:jc w:val="center"/>
              <w:rPr>
                <w:color w:val="000000"/>
                <w:szCs w:val="21"/>
                <w:highlight w:val="none"/>
              </w:rPr>
            </w:pPr>
          </w:p>
        </w:tc>
        <w:tc>
          <w:tcPr>
            <w:tcW w:w="1148" w:type="dxa"/>
            <w:noWrap w:val="0"/>
            <w:vAlign w:val="center"/>
          </w:tcPr>
          <w:p w14:paraId="0EF454F5">
            <w:pPr>
              <w:ind w:left="223" w:hanging="222" w:hangingChars="106"/>
              <w:jc w:val="center"/>
              <w:rPr>
                <w:color w:val="000000"/>
                <w:szCs w:val="21"/>
                <w:highlight w:val="none"/>
              </w:rPr>
            </w:pPr>
          </w:p>
        </w:tc>
        <w:tc>
          <w:tcPr>
            <w:tcW w:w="1148" w:type="dxa"/>
            <w:noWrap w:val="0"/>
            <w:vAlign w:val="center"/>
          </w:tcPr>
          <w:p w14:paraId="1D2FEE79">
            <w:pPr>
              <w:ind w:left="223" w:hanging="222" w:hangingChars="106"/>
              <w:jc w:val="center"/>
              <w:rPr>
                <w:color w:val="000000"/>
                <w:szCs w:val="21"/>
                <w:highlight w:val="none"/>
              </w:rPr>
            </w:pPr>
          </w:p>
        </w:tc>
        <w:tc>
          <w:tcPr>
            <w:tcW w:w="1148" w:type="dxa"/>
            <w:noWrap w:val="0"/>
            <w:vAlign w:val="center"/>
          </w:tcPr>
          <w:p w14:paraId="216F2CE2">
            <w:pPr>
              <w:ind w:left="223" w:hanging="222" w:hangingChars="106"/>
              <w:jc w:val="center"/>
              <w:rPr>
                <w:color w:val="000000"/>
                <w:szCs w:val="21"/>
                <w:highlight w:val="none"/>
              </w:rPr>
            </w:pPr>
          </w:p>
        </w:tc>
        <w:tc>
          <w:tcPr>
            <w:tcW w:w="744" w:type="dxa"/>
            <w:noWrap w:val="0"/>
            <w:vAlign w:val="center"/>
          </w:tcPr>
          <w:p w14:paraId="6E525B0C">
            <w:pPr>
              <w:ind w:left="223" w:hanging="222" w:hangingChars="106"/>
              <w:jc w:val="center"/>
              <w:rPr>
                <w:color w:val="000000"/>
                <w:szCs w:val="21"/>
                <w:highlight w:val="none"/>
              </w:rPr>
            </w:pPr>
          </w:p>
        </w:tc>
        <w:tc>
          <w:tcPr>
            <w:tcW w:w="1167" w:type="dxa"/>
            <w:noWrap w:val="0"/>
            <w:vAlign w:val="center"/>
          </w:tcPr>
          <w:p w14:paraId="3CBC2626">
            <w:pPr>
              <w:ind w:left="223" w:hanging="222" w:hangingChars="106"/>
              <w:jc w:val="center"/>
              <w:rPr>
                <w:color w:val="000000"/>
                <w:szCs w:val="21"/>
                <w:highlight w:val="none"/>
              </w:rPr>
            </w:pPr>
          </w:p>
        </w:tc>
        <w:tc>
          <w:tcPr>
            <w:tcW w:w="1276" w:type="dxa"/>
            <w:noWrap w:val="0"/>
            <w:vAlign w:val="center"/>
          </w:tcPr>
          <w:p w14:paraId="4EDCA52B">
            <w:pPr>
              <w:ind w:left="223" w:hanging="222" w:hangingChars="106"/>
              <w:jc w:val="center"/>
              <w:rPr>
                <w:color w:val="000000"/>
                <w:szCs w:val="21"/>
                <w:highlight w:val="none"/>
              </w:rPr>
            </w:pPr>
          </w:p>
        </w:tc>
      </w:tr>
      <w:tr w14:paraId="07BA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2DB3FC5">
            <w:pPr>
              <w:pStyle w:val="79"/>
              <w:spacing w:line="240" w:lineRule="auto"/>
              <w:ind w:firstLine="0"/>
              <w:rPr>
                <w:color w:val="000000"/>
                <w:sz w:val="21"/>
                <w:szCs w:val="21"/>
                <w:highlight w:val="none"/>
                <w:lang w:eastAsia="zh-CN"/>
              </w:rPr>
            </w:pPr>
            <w:r>
              <w:rPr>
                <w:rFonts w:ascii="Times New Roman" w:hAnsi="Times New Roman" w:eastAsia="Times New Roman" w:cs="Times New Roman"/>
                <w:color w:val="000000"/>
                <w:sz w:val="21"/>
                <w:szCs w:val="21"/>
                <w:highlight w:val="none"/>
                <w:lang w:val="en-US" w:eastAsia="en-US" w:bidi="en-US"/>
              </w:rPr>
              <w:t>3.</w:t>
            </w:r>
            <w:r>
              <w:rPr>
                <w:rFonts w:hint="eastAsia"/>
                <w:color w:val="000000"/>
                <w:sz w:val="21"/>
                <w:szCs w:val="21"/>
                <w:highlight w:val="none"/>
                <w:lang w:eastAsia="zh-CN"/>
              </w:rPr>
              <w:t xml:space="preserve"> 施工员</w:t>
            </w:r>
          </w:p>
        </w:tc>
        <w:tc>
          <w:tcPr>
            <w:tcW w:w="670" w:type="dxa"/>
            <w:noWrap w:val="0"/>
            <w:vAlign w:val="center"/>
          </w:tcPr>
          <w:p w14:paraId="1C7C39FA">
            <w:pPr>
              <w:ind w:left="223" w:hanging="222" w:hangingChars="106"/>
              <w:jc w:val="center"/>
              <w:rPr>
                <w:color w:val="000000"/>
                <w:szCs w:val="21"/>
                <w:highlight w:val="none"/>
              </w:rPr>
            </w:pPr>
          </w:p>
        </w:tc>
        <w:tc>
          <w:tcPr>
            <w:tcW w:w="829" w:type="dxa"/>
            <w:noWrap w:val="0"/>
            <w:vAlign w:val="center"/>
          </w:tcPr>
          <w:p w14:paraId="566EA9F0">
            <w:pPr>
              <w:ind w:left="223" w:hanging="222" w:hangingChars="106"/>
              <w:jc w:val="center"/>
              <w:rPr>
                <w:color w:val="000000"/>
                <w:szCs w:val="21"/>
                <w:highlight w:val="none"/>
              </w:rPr>
            </w:pPr>
          </w:p>
        </w:tc>
        <w:tc>
          <w:tcPr>
            <w:tcW w:w="816" w:type="dxa"/>
            <w:noWrap w:val="0"/>
            <w:vAlign w:val="center"/>
          </w:tcPr>
          <w:p w14:paraId="25107EE8">
            <w:pPr>
              <w:ind w:left="223" w:hanging="222" w:hangingChars="106"/>
              <w:jc w:val="center"/>
              <w:rPr>
                <w:color w:val="000000"/>
                <w:szCs w:val="21"/>
                <w:highlight w:val="none"/>
              </w:rPr>
            </w:pPr>
          </w:p>
        </w:tc>
        <w:tc>
          <w:tcPr>
            <w:tcW w:w="1148" w:type="dxa"/>
            <w:noWrap w:val="0"/>
            <w:vAlign w:val="center"/>
          </w:tcPr>
          <w:p w14:paraId="71930FF6">
            <w:pPr>
              <w:ind w:left="223" w:hanging="222" w:hangingChars="106"/>
              <w:jc w:val="center"/>
              <w:rPr>
                <w:color w:val="000000"/>
                <w:szCs w:val="21"/>
                <w:highlight w:val="none"/>
              </w:rPr>
            </w:pPr>
          </w:p>
        </w:tc>
        <w:tc>
          <w:tcPr>
            <w:tcW w:w="1148" w:type="dxa"/>
            <w:noWrap w:val="0"/>
            <w:vAlign w:val="center"/>
          </w:tcPr>
          <w:p w14:paraId="147D40DE">
            <w:pPr>
              <w:ind w:left="223" w:hanging="222" w:hangingChars="106"/>
              <w:jc w:val="center"/>
              <w:rPr>
                <w:color w:val="000000"/>
                <w:szCs w:val="21"/>
                <w:highlight w:val="none"/>
              </w:rPr>
            </w:pPr>
          </w:p>
        </w:tc>
        <w:tc>
          <w:tcPr>
            <w:tcW w:w="1148" w:type="dxa"/>
            <w:noWrap w:val="0"/>
            <w:vAlign w:val="center"/>
          </w:tcPr>
          <w:p w14:paraId="2FE1B2C2">
            <w:pPr>
              <w:ind w:left="223" w:hanging="222" w:hangingChars="106"/>
              <w:jc w:val="center"/>
              <w:rPr>
                <w:color w:val="000000"/>
                <w:szCs w:val="21"/>
                <w:highlight w:val="none"/>
              </w:rPr>
            </w:pPr>
          </w:p>
        </w:tc>
        <w:tc>
          <w:tcPr>
            <w:tcW w:w="744" w:type="dxa"/>
            <w:noWrap w:val="0"/>
            <w:vAlign w:val="center"/>
          </w:tcPr>
          <w:p w14:paraId="2E5570CF">
            <w:pPr>
              <w:ind w:left="223" w:hanging="222" w:hangingChars="106"/>
              <w:jc w:val="center"/>
              <w:rPr>
                <w:color w:val="000000"/>
                <w:szCs w:val="21"/>
                <w:highlight w:val="none"/>
              </w:rPr>
            </w:pPr>
          </w:p>
        </w:tc>
        <w:tc>
          <w:tcPr>
            <w:tcW w:w="1167" w:type="dxa"/>
            <w:noWrap w:val="0"/>
            <w:vAlign w:val="center"/>
          </w:tcPr>
          <w:p w14:paraId="67790DE9">
            <w:pPr>
              <w:ind w:left="223" w:hanging="222" w:hangingChars="106"/>
              <w:jc w:val="center"/>
              <w:rPr>
                <w:color w:val="000000"/>
                <w:szCs w:val="21"/>
                <w:highlight w:val="none"/>
              </w:rPr>
            </w:pPr>
          </w:p>
        </w:tc>
        <w:tc>
          <w:tcPr>
            <w:tcW w:w="1276" w:type="dxa"/>
            <w:noWrap w:val="0"/>
            <w:vAlign w:val="center"/>
          </w:tcPr>
          <w:p w14:paraId="7EAADE70">
            <w:pPr>
              <w:ind w:left="223" w:hanging="222" w:hangingChars="106"/>
              <w:jc w:val="center"/>
              <w:rPr>
                <w:color w:val="000000"/>
                <w:szCs w:val="21"/>
                <w:highlight w:val="none"/>
              </w:rPr>
            </w:pPr>
          </w:p>
        </w:tc>
      </w:tr>
      <w:tr w14:paraId="35E0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31B61B3">
            <w:pPr>
              <w:pStyle w:val="79"/>
              <w:spacing w:line="240" w:lineRule="auto"/>
              <w:ind w:firstLine="0"/>
              <w:rPr>
                <w:color w:val="000000"/>
                <w:sz w:val="21"/>
                <w:szCs w:val="21"/>
                <w:highlight w:val="none"/>
                <w:lang w:eastAsia="zh-CN"/>
              </w:rPr>
            </w:pPr>
            <w:r>
              <w:rPr>
                <w:rFonts w:ascii="Times New Roman" w:hAnsi="Times New Roman" w:eastAsia="Times New Roman" w:cs="Times New Roman"/>
                <w:color w:val="000000"/>
                <w:sz w:val="21"/>
                <w:szCs w:val="21"/>
                <w:highlight w:val="none"/>
                <w:lang w:val="en-US" w:eastAsia="en-US" w:bidi="en-US"/>
              </w:rPr>
              <w:t>4.</w:t>
            </w:r>
            <w:r>
              <w:rPr>
                <w:color w:val="000000"/>
                <w:sz w:val="21"/>
                <w:szCs w:val="21"/>
                <w:highlight w:val="none"/>
                <w:lang w:eastAsia="zh-CN"/>
              </w:rPr>
              <w:t>安全员</w:t>
            </w:r>
          </w:p>
        </w:tc>
        <w:tc>
          <w:tcPr>
            <w:tcW w:w="670" w:type="dxa"/>
            <w:noWrap w:val="0"/>
            <w:vAlign w:val="center"/>
          </w:tcPr>
          <w:p w14:paraId="5448A67B">
            <w:pPr>
              <w:ind w:left="223" w:hanging="222" w:hangingChars="106"/>
              <w:jc w:val="center"/>
              <w:rPr>
                <w:color w:val="000000"/>
                <w:szCs w:val="21"/>
                <w:highlight w:val="none"/>
              </w:rPr>
            </w:pPr>
          </w:p>
        </w:tc>
        <w:tc>
          <w:tcPr>
            <w:tcW w:w="829" w:type="dxa"/>
            <w:noWrap w:val="0"/>
            <w:vAlign w:val="center"/>
          </w:tcPr>
          <w:p w14:paraId="566F2A40">
            <w:pPr>
              <w:ind w:left="223" w:hanging="222" w:hangingChars="106"/>
              <w:jc w:val="center"/>
              <w:rPr>
                <w:color w:val="000000"/>
                <w:szCs w:val="21"/>
                <w:highlight w:val="none"/>
              </w:rPr>
            </w:pPr>
          </w:p>
        </w:tc>
        <w:tc>
          <w:tcPr>
            <w:tcW w:w="816" w:type="dxa"/>
            <w:noWrap w:val="0"/>
            <w:vAlign w:val="center"/>
          </w:tcPr>
          <w:p w14:paraId="005D189C">
            <w:pPr>
              <w:ind w:left="223" w:hanging="222" w:hangingChars="106"/>
              <w:jc w:val="center"/>
              <w:rPr>
                <w:color w:val="000000"/>
                <w:szCs w:val="21"/>
                <w:highlight w:val="none"/>
              </w:rPr>
            </w:pPr>
          </w:p>
        </w:tc>
        <w:tc>
          <w:tcPr>
            <w:tcW w:w="1148" w:type="dxa"/>
            <w:noWrap w:val="0"/>
            <w:vAlign w:val="center"/>
          </w:tcPr>
          <w:p w14:paraId="437B6ED3">
            <w:pPr>
              <w:ind w:left="223" w:hanging="222" w:hangingChars="106"/>
              <w:jc w:val="center"/>
              <w:rPr>
                <w:color w:val="000000"/>
                <w:szCs w:val="21"/>
                <w:highlight w:val="none"/>
              </w:rPr>
            </w:pPr>
          </w:p>
        </w:tc>
        <w:tc>
          <w:tcPr>
            <w:tcW w:w="1148" w:type="dxa"/>
            <w:noWrap w:val="0"/>
            <w:vAlign w:val="center"/>
          </w:tcPr>
          <w:p w14:paraId="4D9B5259">
            <w:pPr>
              <w:ind w:left="223" w:hanging="222" w:hangingChars="106"/>
              <w:jc w:val="center"/>
              <w:rPr>
                <w:color w:val="000000"/>
                <w:szCs w:val="21"/>
                <w:highlight w:val="none"/>
              </w:rPr>
            </w:pPr>
          </w:p>
        </w:tc>
        <w:tc>
          <w:tcPr>
            <w:tcW w:w="1148" w:type="dxa"/>
            <w:noWrap w:val="0"/>
            <w:vAlign w:val="center"/>
          </w:tcPr>
          <w:p w14:paraId="0D558BBC">
            <w:pPr>
              <w:ind w:left="223" w:hanging="222" w:hangingChars="106"/>
              <w:jc w:val="center"/>
              <w:rPr>
                <w:color w:val="000000"/>
                <w:szCs w:val="21"/>
                <w:highlight w:val="none"/>
              </w:rPr>
            </w:pPr>
          </w:p>
        </w:tc>
        <w:tc>
          <w:tcPr>
            <w:tcW w:w="744" w:type="dxa"/>
            <w:noWrap w:val="0"/>
            <w:vAlign w:val="center"/>
          </w:tcPr>
          <w:p w14:paraId="401D067A">
            <w:pPr>
              <w:ind w:left="223" w:hanging="222" w:hangingChars="106"/>
              <w:jc w:val="center"/>
              <w:rPr>
                <w:color w:val="000000"/>
                <w:szCs w:val="21"/>
                <w:highlight w:val="none"/>
              </w:rPr>
            </w:pPr>
          </w:p>
        </w:tc>
        <w:tc>
          <w:tcPr>
            <w:tcW w:w="1167" w:type="dxa"/>
            <w:noWrap w:val="0"/>
            <w:vAlign w:val="center"/>
          </w:tcPr>
          <w:p w14:paraId="107CE4AE">
            <w:pPr>
              <w:ind w:left="223" w:hanging="222" w:hangingChars="106"/>
              <w:jc w:val="center"/>
              <w:rPr>
                <w:color w:val="000000"/>
                <w:szCs w:val="21"/>
                <w:highlight w:val="none"/>
              </w:rPr>
            </w:pPr>
          </w:p>
        </w:tc>
        <w:tc>
          <w:tcPr>
            <w:tcW w:w="1276" w:type="dxa"/>
            <w:noWrap w:val="0"/>
            <w:vAlign w:val="center"/>
          </w:tcPr>
          <w:p w14:paraId="0CF65D39">
            <w:pPr>
              <w:ind w:left="223" w:hanging="222" w:hangingChars="106"/>
              <w:jc w:val="center"/>
              <w:rPr>
                <w:color w:val="000000"/>
                <w:szCs w:val="21"/>
                <w:highlight w:val="none"/>
              </w:rPr>
            </w:pPr>
          </w:p>
        </w:tc>
      </w:tr>
      <w:tr w14:paraId="37E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A84E736">
            <w:pPr>
              <w:jc w:val="left"/>
              <w:rPr>
                <w:color w:val="000000"/>
                <w:szCs w:val="21"/>
                <w:highlight w:val="none"/>
              </w:rPr>
            </w:pPr>
            <w:r>
              <w:rPr>
                <w:rFonts w:hint="eastAsia"/>
                <w:color w:val="000000"/>
                <w:szCs w:val="21"/>
                <w:highlight w:val="none"/>
              </w:rPr>
              <w:t>5.</w:t>
            </w:r>
            <w:r>
              <w:rPr>
                <w:color w:val="000000"/>
                <w:szCs w:val="21"/>
                <w:highlight w:val="none"/>
              </w:rPr>
              <w:t xml:space="preserve"> 质量员</w:t>
            </w:r>
          </w:p>
        </w:tc>
        <w:tc>
          <w:tcPr>
            <w:tcW w:w="670" w:type="dxa"/>
            <w:noWrap w:val="0"/>
            <w:vAlign w:val="center"/>
          </w:tcPr>
          <w:p w14:paraId="66F34543">
            <w:pPr>
              <w:ind w:left="223" w:hanging="222" w:hangingChars="106"/>
              <w:jc w:val="center"/>
              <w:rPr>
                <w:color w:val="000000"/>
                <w:szCs w:val="21"/>
                <w:highlight w:val="none"/>
              </w:rPr>
            </w:pPr>
          </w:p>
        </w:tc>
        <w:tc>
          <w:tcPr>
            <w:tcW w:w="829" w:type="dxa"/>
            <w:noWrap w:val="0"/>
            <w:vAlign w:val="center"/>
          </w:tcPr>
          <w:p w14:paraId="672AACB8">
            <w:pPr>
              <w:ind w:left="223" w:hanging="222" w:hangingChars="106"/>
              <w:jc w:val="center"/>
              <w:rPr>
                <w:color w:val="000000"/>
                <w:szCs w:val="21"/>
                <w:highlight w:val="none"/>
              </w:rPr>
            </w:pPr>
          </w:p>
        </w:tc>
        <w:tc>
          <w:tcPr>
            <w:tcW w:w="816" w:type="dxa"/>
            <w:noWrap w:val="0"/>
            <w:vAlign w:val="center"/>
          </w:tcPr>
          <w:p w14:paraId="1259D4F5">
            <w:pPr>
              <w:ind w:left="223" w:hanging="222" w:hangingChars="106"/>
              <w:jc w:val="center"/>
              <w:rPr>
                <w:color w:val="000000"/>
                <w:szCs w:val="21"/>
                <w:highlight w:val="none"/>
              </w:rPr>
            </w:pPr>
          </w:p>
        </w:tc>
        <w:tc>
          <w:tcPr>
            <w:tcW w:w="1148" w:type="dxa"/>
            <w:noWrap w:val="0"/>
            <w:vAlign w:val="center"/>
          </w:tcPr>
          <w:p w14:paraId="18E524BE">
            <w:pPr>
              <w:ind w:left="223" w:hanging="222" w:hangingChars="106"/>
              <w:jc w:val="center"/>
              <w:rPr>
                <w:color w:val="000000"/>
                <w:szCs w:val="21"/>
                <w:highlight w:val="none"/>
              </w:rPr>
            </w:pPr>
          </w:p>
        </w:tc>
        <w:tc>
          <w:tcPr>
            <w:tcW w:w="1148" w:type="dxa"/>
            <w:noWrap w:val="0"/>
            <w:vAlign w:val="center"/>
          </w:tcPr>
          <w:p w14:paraId="2D722F89">
            <w:pPr>
              <w:ind w:left="223" w:hanging="222" w:hangingChars="106"/>
              <w:jc w:val="center"/>
              <w:rPr>
                <w:color w:val="000000"/>
                <w:szCs w:val="21"/>
                <w:highlight w:val="none"/>
              </w:rPr>
            </w:pPr>
          </w:p>
        </w:tc>
        <w:tc>
          <w:tcPr>
            <w:tcW w:w="1148" w:type="dxa"/>
            <w:noWrap w:val="0"/>
            <w:vAlign w:val="center"/>
          </w:tcPr>
          <w:p w14:paraId="7D73A22C">
            <w:pPr>
              <w:ind w:left="223" w:hanging="222" w:hangingChars="106"/>
              <w:jc w:val="center"/>
              <w:rPr>
                <w:color w:val="000000"/>
                <w:szCs w:val="21"/>
                <w:highlight w:val="none"/>
              </w:rPr>
            </w:pPr>
          </w:p>
        </w:tc>
        <w:tc>
          <w:tcPr>
            <w:tcW w:w="744" w:type="dxa"/>
            <w:noWrap w:val="0"/>
            <w:vAlign w:val="center"/>
          </w:tcPr>
          <w:p w14:paraId="7B5CF6CC">
            <w:pPr>
              <w:ind w:left="223" w:hanging="222" w:hangingChars="106"/>
              <w:jc w:val="center"/>
              <w:rPr>
                <w:color w:val="000000"/>
                <w:szCs w:val="21"/>
                <w:highlight w:val="none"/>
              </w:rPr>
            </w:pPr>
          </w:p>
        </w:tc>
        <w:tc>
          <w:tcPr>
            <w:tcW w:w="1167" w:type="dxa"/>
            <w:noWrap w:val="0"/>
            <w:vAlign w:val="center"/>
          </w:tcPr>
          <w:p w14:paraId="1CA27BED">
            <w:pPr>
              <w:ind w:left="223" w:hanging="222" w:hangingChars="106"/>
              <w:jc w:val="center"/>
              <w:rPr>
                <w:color w:val="000000"/>
                <w:szCs w:val="21"/>
                <w:highlight w:val="none"/>
              </w:rPr>
            </w:pPr>
          </w:p>
        </w:tc>
        <w:tc>
          <w:tcPr>
            <w:tcW w:w="1276" w:type="dxa"/>
            <w:noWrap w:val="0"/>
            <w:vAlign w:val="center"/>
          </w:tcPr>
          <w:p w14:paraId="76D6DEA4">
            <w:pPr>
              <w:ind w:left="223" w:hanging="222" w:hangingChars="106"/>
              <w:jc w:val="center"/>
              <w:rPr>
                <w:color w:val="000000"/>
                <w:szCs w:val="21"/>
                <w:highlight w:val="none"/>
              </w:rPr>
            </w:pPr>
          </w:p>
        </w:tc>
      </w:tr>
      <w:tr w14:paraId="3BA9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3DA8C314">
            <w:pPr>
              <w:jc w:val="left"/>
              <w:rPr>
                <w:color w:val="000000"/>
                <w:szCs w:val="21"/>
                <w:highlight w:val="none"/>
              </w:rPr>
            </w:pPr>
            <w:r>
              <w:rPr>
                <w:rFonts w:hint="eastAsia"/>
                <w:color w:val="000000"/>
                <w:szCs w:val="21"/>
                <w:highlight w:val="none"/>
              </w:rPr>
              <w:t>6.材料员</w:t>
            </w:r>
          </w:p>
        </w:tc>
        <w:tc>
          <w:tcPr>
            <w:tcW w:w="670" w:type="dxa"/>
            <w:noWrap w:val="0"/>
            <w:vAlign w:val="center"/>
          </w:tcPr>
          <w:p w14:paraId="242B06A9">
            <w:pPr>
              <w:ind w:left="223" w:hanging="222" w:hangingChars="106"/>
              <w:jc w:val="center"/>
              <w:rPr>
                <w:color w:val="000000"/>
                <w:szCs w:val="21"/>
                <w:highlight w:val="none"/>
              </w:rPr>
            </w:pPr>
          </w:p>
        </w:tc>
        <w:tc>
          <w:tcPr>
            <w:tcW w:w="829" w:type="dxa"/>
            <w:noWrap w:val="0"/>
            <w:vAlign w:val="center"/>
          </w:tcPr>
          <w:p w14:paraId="3EB1EC48">
            <w:pPr>
              <w:ind w:left="223" w:hanging="222" w:hangingChars="106"/>
              <w:jc w:val="center"/>
              <w:rPr>
                <w:color w:val="000000"/>
                <w:szCs w:val="21"/>
                <w:highlight w:val="none"/>
              </w:rPr>
            </w:pPr>
          </w:p>
        </w:tc>
        <w:tc>
          <w:tcPr>
            <w:tcW w:w="816" w:type="dxa"/>
            <w:noWrap w:val="0"/>
            <w:vAlign w:val="center"/>
          </w:tcPr>
          <w:p w14:paraId="1796D424">
            <w:pPr>
              <w:ind w:left="223" w:hanging="222" w:hangingChars="106"/>
              <w:jc w:val="center"/>
              <w:rPr>
                <w:color w:val="000000"/>
                <w:szCs w:val="21"/>
                <w:highlight w:val="none"/>
              </w:rPr>
            </w:pPr>
          </w:p>
        </w:tc>
        <w:tc>
          <w:tcPr>
            <w:tcW w:w="1148" w:type="dxa"/>
            <w:noWrap w:val="0"/>
            <w:vAlign w:val="center"/>
          </w:tcPr>
          <w:p w14:paraId="25860576">
            <w:pPr>
              <w:ind w:left="223" w:hanging="222" w:hangingChars="106"/>
              <w:jc w:val="center"/>
              <w:rPr>
                <w:color w:val="000000"/>
                <w:szCs w:val="21"/>
                <w:highlight w:val="none"/>
              </w:rPr>
            </w:pPr>
          </w:p>
        </w:tc>
        <w:tc>
          <w:tcPr>
            <w:tcW w:w="1148" w:type="dxa"/>
            <w:noWrap w:val="0"/>
            <w:vAlign w:val="center"/>
          </w:tcPr>
          <w:p w14:paraId="6E011DFA">
            <w:pPr>
              <w:ind w:left="223" w:hanging="222" w:hangingChars="106"/>
              <w:jc w:val="center"/>
              <w:rPr>
                <w:color w:val="000000"/>
                <w:szCs w:val="21"/>
                <w:highlight w:val="none"/>
              </w:rPr>
            </w:pPr>
          </w:p>
        </w:tc>
        <w:tc>
          <w:tcPr>
            <w:tcW w:w="1148" w:type="dxa"/>
            <w:noWrap w:val="0"/>
            <w:vAlign w:val="center"/>
          </w:tcPr>
          <w:p w14:paraId="4D4C5956">
            <w:pPr>
              <w:ind w:left="223" w:hanging="222" w:hangingChars="106"/>
              <w:jc w:val="center"/>
              <w:rPr>
                <w:color w:val="000000"/>
                <w:szCs w:val="21"/>
                <w:highlight w:val="none"/>
              </w:rPr>
            </w:pPr>
          </w:p>
        </w:tc>
        <w:tc>
          <w:tcPr>
            <w:tcW w:w="744" w:type="dxa"/>
            <w:noWrap w:val="0"/>
            <w:vAlign w:val="center"/>
          </w:tcPr>
          <w:p w14:paraId="5E8CA484">
            <w:pPr>
              <w:ind w:left="223" w:hanging="222" w:hangingChars="106"/>
              <w:jc w:val="center"/>
              <w:rPr>
                <w:color w:val="000000"/>
                <w:szCs w:val="21"/>
                <w:highlight w:val="none"/>
              </w:rPr>
            </w:pPr>
          </w:p>
        </w:tc>
        <w:tc>
          <w:tcPr>
            <w:tcW w:w="1167" w:type="dxa"/>
            <w:noWrap w:val="0"/>
            <w:vAlign w:val="center"/>
          </w:tcPr>
          <w:p w14:paraId="3BA98101">
            <w:pPr>
              <w:ind w:left="223" w:hanging="222" w:hangingChars="106"/>
              <w:jc w:val="center"/>
              <w:rPr>
                <w:color w:val="000000"/>
                <w:szCs w:val="21"/>
                <w:highlight w:val="none"/>
              </w:rPr>
            </w:pPr>
          </w:p>
        </w:tc>
        <w:tc>
          <w:tcPr>
            <w:tcW w:w="1276" w:type="dxa"/>
            <w:noWrap w:val="0"/>
            <w:vAlign w:val="center"/>
          </w:tcPr>
          <w:p w14:paraId="6F9CD490">
            <w:pPr>
              <w:ind w:left="223" w:hanging="222" w:hangingChars="106"/>
              <w:jc w:val="center"/>
              <w:rPr>
                <w:color w:val="000000"/>
                <w:szCs w:val="21"/>
                <w:highlight w:val="none"/>
              </w:rPr>
            </w:pPr>
          </w:p>
        </w:tc>
      </w:tr>
      <w:tr w14:paraId="1544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B8AF85F">
            <w:pPr>
              <w:ind w:left="223" w:hanging="222" w:hangingChars="106"/>
              <w:jc w:val="center"/>
              <w:rPr>
                <w:color w:val="000000"/>
                <w:szCs w:val="21"/>
                <w:highlight w:val="none"/>
              </w:rPr>
            </w:pPr>
          </w:p>
        </w:tc>
        <w:tc>
          <w:tcPr>
            <w:tcW w:w="670" w:type="dxa"/>
            <w:noWrap w:val="0"/>
            <w:vAlign w:val="center"/>
          </w:tcPr>
          <w:p w14:paraId="587FA0E8">
            <w:pPr>
              <w:ind w:left="223" w:hanging="222" w:hangingChars="106"/>
              <w:jc w:val="center"/>
              <w:rPr>
                <w:color w:val="000000"/>
                <w:szCs w:val="21"/>
                <w:highlight w:val="none"/>
              </w:rPr>
            </w:pPr>
          </w:p>
        </w:tc>
        <w:tc>
          <w:tcPr>
            <w:tcW w:w="829" w:type="dxa"/>
            <w:noWrap w:val="0"/>
            <w:vAlign w:val="center"/>
          </w:tcPr>
          <w:p w14:paraId="43F83619">
            <w:pPr>
              <w:ind w:left="223" w:hanging="222" w:hangingChars="106"/>
              <w:jc w:val="center"/>
              <w:rPr>
                <w:color w:val="000000"/>
                <w:szCs w:val="21"/>
                <w:highlight w:val="none"/>
              </w:rPr>
            </w:pPr>
          </w:p>
        </w:tc>
        <w:tc>
          <w:tcPr>
            <w:tcW w:w="816" w:type="dxa"/>
            <w:noWrap w:val="0"/>
            <w:vAlign w:val="center"/>
          </w:tcPr>
          <w:p w14:paraId="4568023B">
            <w:pPr>
              <w:ind w:left="223" w:hanging="222" w:hangingChars="106"/>
              <w:jc w:val="center"/>
              <w:rPr>
                <w:color w:val="000000"/>
                <w:szCs w:val="21"/>
                <w:highlight w:val="none"/>
              </w:rPr>
            </w:pPr>
          </w:p>
        </w:tc>
        <w:tc>
          <w:tcPr>
            <w:tcW w:w="1148" w:type="dxa"/>
            <w:noWrap w:val="0"/>
            <w:vAlign w:val="center"/>
          </w:tcPr>
          <w:p w14:paraId="0873905D">
            <w:pPr>
              <w:ind w:left="223" w:hanging="222" w:hangingChars="106"/>
              <w:jc w:val="center"/>
              <w:rPr>
                <w:color w:val="000000"/>
                <w:szCs w:val="21"/>
                <w:highlight w:val="none"/>
              </w:rPr>
            </w:pPr>
          </w:p>
        </w:tc>
        <w:tc>
          <w:tcPr>
            <w:tcW w:w="1148" w:type="dxa"/>
            <w:noWrap w:val="0"/>
            <w:vAlign w:val="center"/>
          </w:tcPr>
          <w:p w14:paraId="39D06E4E">
            <w:pPr>
              <w:ind w:left="223" w:hanging="222" w:hangingChars="106"/>
              <w:jc w:val="center"/>
              <w:rPr>
                <w:color w:val="000000"/>
                <w:szCs w:val="21"/>
                <w:highlight w:val="none"/>
              </w:rPr>
            </w:pPr>
          </w:p>
        </w:tc>
        <w:tc>
          <w:tcPr>
            <w:tcW w:w="1148" w:type="dxa"/>
            <w:noWrap w:val="0"/>
            <w:vAlign w:val="center"/>
          </w:tcPr>
          <w:p w14:paraId="681F37DE">
            <w:pPr>
              <w:ind w:left="223" w:hanging="222" w:hangingChars="106"/>
              <w:jc w:val="center"/>
              <w:rPr>
                <w:color w:val="000000"/>
                <w:szCs w:val="21"/>
                <w:highlight w:val="none"/>
              </w:rPr>
            </w:pPr>
          </w:p>
        </w:tc>
        <w:tc>
          <w:tcPr>
            <w:tcW w:w="744" w:type="dxa"/>
            <w:noWrap w:val="0"/>
            <w:vAlign w:val="center"/>
          </w:tcPr>
          <w:p w14:paraId="1B423330">
            <w:pPr>
              <w:ind w:left="223" w:hanging="222" w:hangingChars="106"/>
              <w:jc w:val="center"/>
              <w:rPr>
                <w:color w:val="000000"/>
                <w:szCs w:val="21"/>
                <w:highlight w:val="none"/>
              </w:rPr>
            </w:pPr>
          </w:p>
        </w:tc>
        <w:tc>
          <w:tcPr>
            <w:tcW w:w="1167" w:type="dxa"/>
            <w:noWrap w:val="0"/>
            <w:vAlign w:val="center"/>
          </w:tcPr>
          <w:p w14:paraId="7F3B46D3">
            <w:pPr>
              <w:ind w:left="223" w:hanging="222" w:hangingChars="106"/>
              <w:jc w:val="center"/>
              <w:rPr>
                <w:color w:val="000000"/>
                <w:szCs w:val="21"/>
                <w:highlight w:val="none"/>
              </w:rPr>
            </w:pPr>
          </w:p>
        </w:tc>
        <w:tc>
          <w:tcPr>
            <w:tcW w:w="1276" w:type="dxa"/>
            <w:noWrap w:val="0"/>
            <w:vAlign w:val="center"/>
          </w:tcPr>
          <w:p w14:paraId="49CF1B5C">
            <w:pPr>
              <w:ind w:left="223" w:hanging="222" w:hangingChars="106"/>
              <w:jc w:val="center"/>
              <w:rPr>
                <w:color w:val="000000"/>
                <w:szCs w:val="21"/>
                <w:highlight w:val="none"/>
              </w:rPr>
            </w:pPr>
          </w:p>
        </w:tc>
      </w:tr>
      <w:tr w14:paraId="4249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14:paraId="446BFF38">
            <w:pPr>
              <w:ind w:firstLine="420" w:firstLineChars="200"/>
              <w:jc w:val="both"/>
              <w:rPr>
                <w:color w:val="000000"/>
                <w:highlight w:val="none"/>
              </w:rPr>
            </w:pPr>
            <w:r>
              <w:rPr>
                <w:rFonts w:hint="eastAsia"/>
                <w:color w:val="000000"/>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7DA28F76">
      <w:pPr>
        <w:spacing w:line="360" w:lineRule="auto"/>
        <w:contextualSpacing/>
        <w:jc w:val="left"/>
        <w:rPr>
          <w:rFonts w:ascii="宋体" w:hAnsi="宋体"/>
          <w:color w:val="000000"/>
          <w:sz w:val="24"/>
          <w:szCs w:val="20"/>
          <w:highlight w:val="none"/>
        </w:rPr>
      </w:pPr>
      <w:r>
        <w:rPr>
          <w:rFonts w:hint="eastAsia" w:ascii="宋体" w:hAnsi="宋体"/>
          <w:color w:val="000000"/>
          <w:sz w:val="24"/>
          <w:szCs w:val="20"/>
          <w:highlight w:val="none"/>
        </w:rPr>
        <w:t>备注：</w:t>
      </w:r>
    </w:p>
    <w:p w14:paraId="4071123B">
      <w:pPr>
        <w:spacing w:line="360" w:lineRule="auto"/>
        <w:ind w:firstLine="480" w:firstLineChars="200"/>
        <w:contextualSpacing/>
        <w:jc w:val="left"/>
        <w:rPr>
          <w:rFonts w:hint="eastAsia" w:ascii="宋体" w:hAnsi="宋体"/>
          <w:color w:val="000000"/>
          <w:sz w:val="24"/>
          <w:szCs w:val="20"/>
          <w:highlight w:val="none"/>
        </w:rPr>
      </w:pPr>
      <w:r>
        <w:rPr>
          <w:rFonts w:hint="eastAsia" w:ascii="宋体" w:hAnsi="宋体"/>
          <w:color w:val="000000"/>
          <w:sz w:val="24"/>
          <w:szCs w:val="20"/>
          <w:highlight w:val="none"/>
        </w:rPr>
        <w:t>1</w:t>
      </w:r>
      <w:r>
        <w:rPr>
          <w:rFonts w:ascii="宋体" w:hAnsi="宋体"/>
          <w:color w:val="000000"/>
          <w:sz w:val="24"/>
          <w:szCs w:val="20"/>
          <w:highlight w:val="none"/>
        </w:rPr>
        <w:t>.</w:t>
      </w:r>
      <w:r>
        <w:rPr>
          <w:rFonts w:hint="eastAsia" w:ascii="宋体" w:hAnsi="宋体"/>
          <w:color w:val="000000"/>
          <w:sz w:val="24"/>
          <w:szCs w:val="20"/>
          <w:highlight w:val="none"/>
        </w:rPr>
        <w:t>本表所列岗位的所有管理人员的情况均应如实填写。可按以上格式扩展为多页填写。</w:t>
      </w:r>
    </w:p>
    <w:p w14:paraId="6E4322F6">
      <w:pPr>
        <w:spacing w:line="360" w:lineRule="auto"/>
        <w:ind w:firstLine="480" w:firstLineChars="200"/>
        <w:contextualSpacing/>
        <w:jc w:val="left"/>
        <w:rPr>
          <w:rFonts w:hint="eastAsia" w:ascii="宋体" w:hAnsi="宋体"/>
          <w:color w:val="000000"/>
          <w:sz w:val="24"/>
          <w:szCs w:val="20"/>
          <w:highlight w:val="none"/>
        </w:rPr>
      </w:pPr>
      <w:r>
        <w:rPr>
          <w:rFonts w:hint="eastAsia" w:ascii="宋体" w:hAnsi="宋体"/>
          <w:color w:val="000000"/>
          <w:sz w:val="24"/>
          <w:szCs w:val="20"/>
          <w:highlight w:val="none"/>
        </w:rPr>
        <w:t>2</w:t>
      </w:r>
      <w:r>
        <w:rPr>
          <w:rFonts w:ascii="宋体" w:hAnsi="宋体"/>
          <w:color w:val="000000"/>
          <w:sz w:val="24"/>
          <w:szCs w:val="20"/>
          <w:highlight w:val="none"/>
        </w:rPr>
        <w:t>.</w:t>
      </w:r>
      <w:r>
        <w:rPr>
          <w:rFonts w:hint="eastAsia" w:ascii="宋体" w:hAnsi="宋体"/>
          <w:color w:val="000000"/>
          <w:sz w:val="24"/>
          <w:szCs w:val="20"/>
          <w:highlight w:val="none"/>
        </w:rPr>
        <w:t>供应商应当在本表后附所有管理人员的身份证、职称证、执业或职业资格证书、</w:t>
      </w:r>
      <w:r>
        <w:rPr>
          <w:rFonts w:hint="eastAsia" w:ascii="宋体" w:hAnsi="宋体"/>
          <w:color w:val="000000"/>
          <w:sz w:val="24"/>
          <w:szCs w:val="20"/>
          <w:highlight w:val="none"/>
          <w:lang w:val="en-US" w:eastAsia="zh-CN"/>
        </w:rPr>
        <w:t>2023年09月以来任意</w:t>
      </w:r>
      <w:r>
        <w:rPr>
          <w:rFonts w:hint="eastAsia" w:ascii="宋体" w:hAnsi="宋体"/>
          <w:color w:val="000000"/>
          <w:sz w:val="24"/>
          <w:szCs w:val="20"/>
          <w:highlight w:val="none"/>
        </w:rPr>
        <w:t>1个月在</w:t>
      </w:r>
      <w:r>
        <w:rPr>
          <w:rFonts w:hint="eastAsia" w:ascii="宋体" w:hAnsi="宋体"/>
          <w:color w:val="000000"/>
          <w:sz w:val="24"/>
          <w:szCs w:val="20"/>
          <w:highlight w:val="none"/>
          <w:lang w:eastAsia="zh-CN"/>
        </w:rPr>
        <w:t>供应商</w:t>
      </w:r>
      <w:r>
        <w:rPr>
          <w:rFonts w:hint="eastAsia" w:ascii="宋体" w:hAnsi="宋体"/>
          <w:color w:val="000000"/>
          <w:sz w:val="24"/>
          <w:szCs w:val="20"/>
          <w:highlight w:val="none"/>
        </w:rPr>
        <w:t>单位依法缴纳社会保险的证明材料的复印件并加盖供应商电子签章。</w:t>
      </w:r>
    </w:p>
    <w:p w14:paraId="23420219">
      <w:pPr>
        <w:spacing w:line="360" w:lineRule="auto"/>
        <w:ind w:firstLine="480" w:firstLineChars="200"/>
        <w:contextualSpacing/>
        <w:jc w:val="left"/>
        <w:rPr>
          <w:rFonts w:hint="eastAsia" w:ascii="宋体" w:hAnsi="宋体"/>
          <w:color w:val="000000"/>
          <w:sz w:val="24"/>
          <w:szCs w:val="20"/>
          <w:highlight w:val="none"/>
        </w:rPr>
      </w:pPr>
    </w:p>
    <w:p w14:paraId="318046A6">
      <w:pPr>
        <w:spacing w:line="360" w:lineRule="auto"/>
        <w:ind w:right="480"/>
        <w:contextualSpacing/>
        <w:jc w:val="center"/>
        <w:rPr>
          <w:rFonts w:hint="eastAsia" w:ascii="宋体" w:hAnsi="宋体"/>
          <w:color w:val="000000"/>
          <w:sz w:val="24"/>
          <w:szCs w:val="24"/>
          <w:highlight w:val="none"/>
          <w:u w:val="single"/>
        </w:rPr>
      </w:pPr>
      <w:r>
        <w:rPr>
          <w:rFonts w:hint="eastAsia" w:ascii="宋体" w:hAnsi="宋体"/>
          <w:color w:val="000000"/>
          <w:sz w:val="24"/>
          <w:highlight w:val="none"/>
        </w:rPr>
        <w:t xml:space="preserve"> </w:t>
      </w:r>
      <w:r>
        <w:rPr>
          <w:rFonts w:ascii="宋体" w:hAnsi="宋体"/>
          <w:color w:val="000000"/>
          <w:sz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法定代表人或者委托代理人（签字或者电子签名）：</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14:paraId="029B85EF">
      <w:pPr>
        <w:spacing w:line="360" w:lineRule="auto"/>
        <w:ind w:right="480" w:firstLine="3360" w:firstLineChars="1400"/>
        <w:contextualSpacing/>
        <w:rPr>
          <w:rFonts w:hint="eastAsia" w:ascii="宋体" w:hAnsi="宋体"/>
          <w:color w:val="000000"/>
          <w:sz w:val="24"/>
          <w:szCs w:val="24"/>
          <w:highlight w:val="none"/>
        </w:rPr>
      </w:pPr>
      <w:r>
        <w:rPr>
          <w:rFonts w:hint="eastAsia" w:ascii="宋体" w:hAnsi="宋体"/>
          <w:color w:val="000000"/>
          <w:sz w:val="24"/>
          <w:szCs w:val="24"/>
          <w:highlight w:val="none"/>
        </w:rPr>
        <w:t>供应商（电子签章）：</w:t>
      </w:r>
      <w:r>
        <w:rPr>
          <w:rFonts w:hint="eastAsia" w:ascii="宋体" w:hAnsi="宋体"/>
          <w:color w:val="000000"/>
          <w:sz w:val="24"/>
          <w:szCs w:val="24"/>
          <w:highlight w:val="none"/>
          <w:u w:val="single"/>
        </w:rPr>
        <w:t xml:space="preserve">                </w:t>
      </w:r>
    </w:p>
    <w:p w14:paraId="50BC5CDB">
      <w:pPr>
        <w:spacing w:line="360" w:lineRule="auto"/>
        <w:ind w:firstLine="480" w:firstLineChars="200"/>
        <w:contextualSpacing/>
        <w:jc w:val="left"/>
        <w:rPr>
          <w:rFonts w:ascii="宋体" w:hAnsi="宋体"/>
          <w:color w:val="000000"/>
          <w:sz w:val="24"/>
          <w:szCs w:val="24"/>
          <w:highlight w:val="none"/>
        </w:rPr>
      </w:pPr>
      <w:r>
        <w:rPr>
          <w:rFonts w:hint="eastAsia" w:ascii="宋体" w:hAnsi="宋体"/>
          <w:color w:val="000000"/>
          <w:sz w:val="24"/>
          <w:szCs w:val="24"/>
          <w:highlight w:val="none"/>
        </w:rPr>
        <w:t xml:space="preserve">                                        年    月    日</w:t>
      </w:r>
    </w:p>
    <w:p w14:paraId="5DA9EB84">
      <w:pPr>
        <w:spacing w:before="100" w:line="225" w:lineRule="auto"/>
        <w:ind w:left="16"/>
        <w:outlineLvl w:val="9"/>
        <w:rPr>
          <w:rFonts w:ascii="Cambria" w:hAnsi="Cambria" w:eastAsia="Cambria" w:cs="Cambria"/>
          <w:color w:val="auto"/>
          <w:spacing w:val="-1"/>
          <w:sz w:val="31"/>
          <w:szCs w:val="31"/>
          <w:highlight w:val="none"/>
        </w:rPr>
      </w:pPr>
      <w:r>
        <w:rPr>
          <w:rFonts w:ascii="宋体" w:hAnsi="宋体"/>
          <w:b/>
          <w:color w:val="000000"/>
          <w:sz w:val="32"/>
          <w:szCs w:val="32"/>
          <w:highlight w:val="none"/>
        </w:rPr>
        <w:br w:type="page"/>
      </w:r>
    </w:p>
    <w:p w14:paraId="3EE92B46">
      <w:pPr>
        <w:pStyle w:val="4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03AE98A5">
      <w:pPr>
        <w:pStyle w:val="4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6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7AB1B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72A7FA49">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4BECD089">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指</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标名称</w:t>
            </w:r>
          </w:p>
        </w:tc>
        <w:tc>
          <w:tcPr>
            <w:tcW w:w="900" w:type="dxa"/>
            <w:vAlign w:val="top"/>
          </w:tcPr>
          <w:p w14:paraId="681B3BFA">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14:textOutline w14:w="4358" w14:cap="sq" w14:cmpd="sng">
                  <w14:solidFill>
                    <w14:srgbClr w14:val="000000"/>
                  </w14:solidFill>
                  <w14:prstDash w14:val="solid"/>
                  <w14:bevel/>
                </w14:textOutline>
              </w:rPr>
              <w:t>单</w:t>
            </w:r>
            <w:r>
              <w:rPr>
                <w:rFonts w:ascii="仿宋" w:hAnsi="仿宋" w:eastAsia="仿宋" w:cs="仿宋"/>
                <w:color w:val="auto"/>
                <w:sz w:val="23"/>
                <w:szCs w:val="23"/>
                <w:highlight w:val="none"/>
                <w14:textOutline w14:w="4358" w14:cap="sq" w14:cmpd="sng">
                  <w14:solidFill>
                    <w14:srgbClr w14:val="000000"/>
                  </w14:solidFill>
                  <w14:prstDash w14:val="solid"/>
                  <w14:bevel/>
                </w14:textOutline>
              </w:rPr>
              <w:t>位</w:t>
            </w:r>
          </w:p>
        </w:tc>
        <w:tc>
          <w:tcPr>
            <w:tcW w:w="1399" w:type="dxa"/>
            <w:vAlign w:val="top"/>
          </w:tcPr>
          <w:p w14:paraId="459A82EA">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14:textOutline w14:w="4358" w14:cap="sq" w14:cmpd="sng">
                  <w14:solidFill>
                    <w14:srgbClr w14:val="000000"/>
                  </w14:solidFill>
                  <w14:prstDash w14:val="solid"/>
                  <w14:bevel/>
                </w14:textOutline>
              </w:rPr>
              <w:t>大</w:t>
            </w:r>
            <w:r>
              <w:rPr>
                <w:rFonts w:ascii="仿宋" w:hAnsi="仿宋" w:eastAsia="仿宋" w:cs="仿宋"/>
                <w:color w:val="auto"/>
                <w:sz w:val="23"/>
                <w:szCs w:val="23"/>
                <w:highlight w:val="none"/>
                <w14:textOutline w14:w="4358" w14:cap="sq" w14:cmpd="sng">
                  <w14:solidFill>
                    <w14:srgbClr w14:val="000000"/>
                  </w14:solidFill>
                  <w14:prstDash w14:val="solid"/>
                  <w14:bevel/>
                </w14:textOutline>
              </w:rPr>
              <w:t>型</w:t>
            </w:r>
          </w:p>
        </w:tc>
        <w:tc>
          <w:tcPr>
            <w:tcW w:w="1535" w:type="dxa"/>
            <w:vAlign w:val="top"/>
          </w:tcPr>
          <w:p w14:paraId="0F05E594">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中</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型</w:t>
            </w:r>
          </w:p>
        </w:tc>
        <w:tc>
          <w:tcPr>
            <w:tcW w:w="1295" w:type="dxa"/>
            <w:vAlign w:val="top"/>
          </w:tcPr>
          <w:p w14:paraId="4EC87E39">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小型</w:t>
            </w:r>
          </w:p>
        </w:tc>
        <w:tc>
          <w:tcPr>
            <w:tcW w:w="1004" w:type="dxa"/>
            <w:vAlign w:val="top"/>
          </w:tcPr>
          <w:p w14:paraId="71E16CFB">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微型</w:t>
            </w:r>
          </w:p>
        </w:tc>
      </w:tr>
      <w:tr w14:paraId="1BCD3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1D555493">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农林牧</w:t>
            </w:r>
            <w:r>
              <w:rPr>
                <w:rFonts w:ascii="仿宋" w:hAnsi="仿宋" w:eastAsia="仿宋" w:cs="仿宋"/>
                <w:color w:val="auto"/>
                <w:spacing w:val="5"/>
                <w:sz w:val="23"/>
                <w:szCs w:val="23"/>
                <w:highlight w:val="none"/>
              </w:rPr>
              <w:t>渔</w:t>
            </w:r>
          </w:p>
        </w:tc>
        <w:tc>
          <w:tcPr>
            <w:tcW w:w="1187" w:type="dxa"/>
            <w:vAlign w:val="top"/>
          </w:tcPr>
          <w:p w14:paraId="5203FDE3">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559498F4">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594AB5F2">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≥2</w:t>
            </w:r>
            <w:r>
              <w:rPr>
                <w:rFonts w:ascii="仿宋" w:hAnsi="仿宋" w:eastAsia="仿宋" w:cs="仿宋"/>
                <w:color w:val="auto"/>
                <w:position w:val="1"/>
                <w:sz w:val="23"/>
                <w:szCs w:val="23"/>
                <w:highlight w:val="none"/>
              </w:rPr>
              <w:t>0000</w:t>
            </w:r>
          </w:p>
        </w:tc>
        <w:tc>
          <w:tcPr>
            <w:tcW w:w="1535" w:type="dxa"/>
            <w:vAlign w:val="top"/>
          </w:tcPr>
          <w:p w14:paraId="0AB73C5E">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0-20000</w:t>
            </w:r>
          </w:p>
        </w:tc>
        <w:tc>
          <w:tcPr>
            <w:tcW w:w="1295" w:type="dxa"/>
            <w:vAlign w:val="top"/>
          </w:tcPr>
          <w:p w14:paraId="1362BAD7">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w:t>
            </w:r>
            <w:r>
              <w:rPr>
                <w:rFonts w:ascii="仿宋" w:hAnsi="仿宋" w:eastAsia="仿宋" w:cs="仿宋"/>
                <w:color w:val="auto"/>
                <w:spacing w:val="2"/>
                <w:sz w:val="23"/>
                <w:szCs w:val="23"/>
                <w:highlight w:val="none"/>
              </w:rPr>
              <w:t>-500</w:t>
            </w:r>
          </w:p>
        </w:tc>
        <w:tc>
          <w:tcPr>
            <w:tcW w:w="1004" w:type="dxa"/>
            <w:vAlign w:val="top"/>
          </w:tcPr>
          <w:p w14:paraId="2109E53B">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50</w:t>
            </w:r>
          </w:p>
        </w:tc>
      </w:tr>
      <w:tr w14:paraId="73BD1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62580E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895F1B6">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工业</w:t>
            </w:r>
          </w:p>
        </w:tc>
        <w:tc>
          <w:tcPr>
            <w:tcW w:w="1187" w:type="dxa"/>
            <w:vAlign w:val="top"/>
          </w:tcPr>
          <w:p w14:paraId="7E287F4F">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71EFA5C9">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17B8C394">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250EBD73">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1E98362A">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050CF076">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3379C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3B9CC1F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691D2C54">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783926E0">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0F911C3E">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≥4</w:t>
            </w:r>
            <w:r>
              <w:rPr>
                <w:rFonts w:ascii="仿宋" w:hAnsi="仿宋" w:eastAsia="仿宋" w:cs="仿宋"/>
                <w:color w:val="auto"/>
                <w:position w:val="1"/>
                <w:sz w:val="23"/>
                <w:szCs w:val="23"/>
                <w:highlight w:val="none"/>
              </w:rPr>
              <w:t>0000</w:t>
            </w:r>
          </w:p>
        </w:tc>
        <w:tc>
          <w:tcPr>
            <w:tcW w:w="1535" w:type="dxa"/>
            <w:vAlign w:val="top"/>
          </w:tcPr>
          <w:p w14:paraId="7B803EEB">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2000-4000</w:t>
            </w:r>
            <w:r>
              <w:rPr>
                <w:rFonts w:ascii="仿宋" w:hAnsi="仿宋" w:eastAsia="仿宋" w:cs="仿宋"/>
                <w:color w:val="auto"/>
                <w:spacing w:val="2"/>
                <w:sz w:val="23"/>
                <w:szCs w:val="23"/>
                <w:highlight w:val="none"/>
              </w:rPr>
              <w:t>0</w:t>
            </w:r>
          </w:p>
        </w:tc>
        <w:tc>
          <w:tcPr>
            <w:tcW w:w="1295" w:type="dxa"/>
            <w:vAlign w:val="top"/>
          </w:tcPr>
          <w:p w14:paraId="5162E1DE">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00-2000</w:t>
            </w:r>
          </w:p>
        </w:tc>
        <w:tc>
          <w:tcPr>
            <w:tcW w:w="1004" w:type="dxa"/>
            <w:vAlign w:val="top"/>
          </w:tcPr>
          <w:p w14:paraId="08CBA3E6">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68912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5A9864F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17DB664A">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建</w:t>
            </w:r>
            <w:r>
              <w:rPr>
                <w:rFonts w:ascii="仿宋" w:hAnsi="仿宋" w:eastAsia="仿宋" w:cs="仿宋"/>
                <w:color w:val="auto"/>
                <w:spacing w:val="4"/>
                <w:sz w:val="23"/>
                <w:szCs w:val="23"/>
                <w:highlight w:val="none"/>
              </w:rPr>
              <w:t>筑业</w:t>
            </w:r>
          </w:p>
        </w:tc>
        <w:tc>
          <w:tcPr>
            <w:tcW w:w="1187" w:type="dxa"/>
            <w:vAlign w:val="top"/>
          </w:tcPr>
          <w:p w14:paraId="4531E5B0">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5C0920CC">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13B4EA61">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≥8</w:t>
            </w:r>
            <w:r>
              <w:rPr>
                <w:rFonts w:ascii="仿宋" w:hAnsi="仿宋" w:eastAsia="仿宋" w:cs="仿宋"/>
                <w:color w:val="auto"/>
                <w:position w:val="1"/>
                <w:sz w:val="23"/>
                <w:szCs w:val="23"/>
                <w:highlight w:val="none"/>
              </w:rPr>
              <w:t>0000</w:t>
            </w:r>
          </w:p>
        </w:tc>
        <w:tc>
          <w:tcPr>
            <w:tcW w:w="1535" w:type="dxa"/>
            <w:vAlign w:val="top"/>
          </w:tcPr>
          <w:p w14:paraId="3313244B">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6000-8000</w:t>
            </w:r>
            <w:r>
              <w:rPr>
                <w:rFonts w:ascii="仿宋" w:hAnsi="仿宋" w:eastAsia="仿宋" w:cs="仿宋"/>
                <w:color w:val="auto"/>
                <w:spacing w:val="3"/>
                <w:sz w:val="23"/>
                <w:szCs w:val="23"/>
                <w:highlight w:val="none"/>
              </w:rPr>
              <w:t>0</w:t>
            </w:r>
          </w:p>
        </w:tc>
        <w:tc>
          <w:tcPr>
            <w:tcW w:w="1295" w:type="dxa"/>
            <w:vAlign w:val="top"/>
          </w:tcPr>
          <w:p w14:paraId="0C77B9BF">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00-6000</w:t>
            </w:r>
          </w:p>
        </w:tc>
        <w:tc>
          <w:tcPr>
            <w:tcW w:w="1004" w:type="dxa"/>
            <w:vAlign w:val="top"/>
          </w:tcPr>
          <w:p w14:paraId="50960872">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46EE6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1D284D5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5B66583D">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3AAE9BC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1CBF8BD">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≥8</w:t>
            </w:r>
            <w:r>
              <w:rPr>
                <w:rFonts w:ascii="仿宋" w:hAnsi="仿宋" w:eastAsia="仿宋" w:cs="仿宋"/>
                <w:color w:val="auto"/>
                <w:position w:val="1"/>
                <w:sz w:val="23"/>
                <w:szCs w:val="23"/>
                <w:highlight w:val="none"/>
              </w:rPr>
              <w:t>0000</w:t>
            </w:r>
          </w:p>
        </w:tc>
        <w:tc>
          <w:tcPr>
            <w:tcW w:w="1535" w:type="dxa"/>
            <w:vAlign w:val="top"/>
          </w:tcPr>
          <w:p w14:paraId="3189E5A4">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00-80000</w:t>
            </w:r>
          </w:p>
        </w:tc>
        <w:tc>
          <w:tcPr>
            <w:tcW w:w="1295" w:type="dxa"/>
            <w:vAlign w:val="top"/>
          </w:tcPr>
          <w:p w14:paraId="3D94E895">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00-5000</w:t>
            </w:r>
          </w:p>
        </w:tc>
        <w:tc>
          <w:tcPr>
            <w:tcW w:w="1004" w:type="dxa"/>
            <w:vAlign w:val="top"/>
          </w:tcPr>
          <w:p w14:paraId="1B6DD15D">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6364E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56FB1BD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50DD6737">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批</w:t>
            </w:r>
            <w:r>
              <w:rPr>
                <w:rFonts w:ascii="仿宋" w:hAnsi="仿宋" w:eastAsia="仿宋" w:cs="仿宋"/>
                <w:color w:val="auto"/>
                <w:spacing w:val="4"/>
                <w:sz w:val="23"/>
                <w:szCs w:val="23"/>
                <w:highlight w:val="none"/>
              </w:rPr>
              <w:t>发业</w:t>
            </w:r>
          </w:p>
        </w:tc>
        <w:tc>
          <w:tcPr>
            <w:tcW w:w="1187" w:type="dxa"/>
            <w:vAlign w:val="top"/>
          </w:tcPr>
          <w:p w14:paraId="77FA604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1A0F6BD6">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06C00626">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≥200</w:t>
            </w:r>
          </w:p>
        </w:tc>
        <w:tc>
          <w:tcPr>
            <w:tcW w:w="1535" w:type="dxa"/>
            <w:vAlign w:val="top"/>
          </w:tcPr>
          <w:p w14:paraId="6D84B7B3">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20-200</w:t>
            </w:r>
          </w:p>
        </w:tc>
        <w:tc>
          <w:tcPr>
            <w:tcW w:w="1295" w:type="dxa"/>
            <w:vAlign w:val="top"/>
          </w:tcPr>
          <w:p w14:paraId="440A9DFF">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5-</w:t>
            </w:r>
            <w:r>
              <w:rPr>
                <w:rFonts w:ascii="仿宋" w:hAnsi="仿宋" w:eastAsia="仿宋" w:cs="仿宋"/>
                <w:color w:val="auto"/>
                <w:spacing w:val="1"/>
                <w:sz w:val="23"/>
                <w:szCs w:val="23"/>
                <w:highlight w:val="none"/>
              </w:rPr>
              <w:t>20</w:t>
            </w:r>
          </w:p>
        </w:tc>
        <w:tc>
          <w:tcPr>
            <w:tcW w:w="1004" w:type="dxa"/>
            <w:vAlign w:val="top"/>
          </w:tcPr>
          <w:p w14:paraId="70C65956">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pacing w:val="-7"/>
                <w:position w:val="2"/>
                <w:sz w:val="23"/>
                <w:szCs w:val="23"/>
                <w:highlight w:val="none"/>
              </w:rPr>
              <w:t>＜</w:t>
            </w:r>
            <w:r>
              <w:rPr>
                <w:rFonts w:ascii="仿宋" w:hAnsi="仿宋" w:eastAsia="仿宋" w:cs="仿宋"/>
                <w:color w:val="auto"/>
                <w:spacing w:val="-6"/>
                <w:position w:val="2"/>
                <w:sz w:val="23"/>
                <w:szCs w:val="23"/>
                <w:highlight w:val="none"/>
              </w:rPr>
              <w:t>5</w:t>
            </w:r>
          </w:p>
        </w:tc>
      </w:tr>
      <w:tr w14:paraId="4340A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57C9FB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1F43954">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64F61BC0">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98CA79A">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≥4</w:t>
            </w:r>
            <w:r>
              <w:rPr>
                <w:rFonts w:ascii="仿宋" w:hAnsi="仿宋" w:eastAsia="仿宋" w:cs="仿宋"/>
                <w:color w:val="auto"/>
                <w:position w:val="1"/>
                <w:sz w:val="23"/>
                <w:szCs w:val="23"/>
                <w:highlight w:val="none"/>
              </w:rPr>
              <w:t>0000</w:t>
            </w:r>
          </w:p>
        </w:tc>
        <w:tc>
          <w:tcPr>
            <w:tcW w:w="1535" w:type="dxa"/>
            <w:vAlign w:val="top"/>
          </w:tcPr>
          <w:p w14:paraId="5EF66C8D">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00-40000</w:t>
            </w:r>
          </w:p>
        </w:tc>
        <w:tc>
          <w:tcPr>
            <w:tcW w:w="1295" w:type="dxa"/>
            <w:vAlign w:val="top"/>
          </w:tcPr>
          <w:p w14:paraId="2BBB3690">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1000-5000</w:t>
            </w:r>
          </w:p>
        </w:tc>
        <w:tc>
          <w:tcPr>
            <w:tcW w:w="1004" w:type="dxa"/>
            <w:vAlign w:val="top"/>
          </w:tcPr>
          <w:p w14:paraId="601B6CDC">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w:t>
            </w:r>
            <w:r>
              <w:rPr>
                <w:rFonts w:ascii="仿宋" w:hAnsi="仿宋" w:eastAsia="仿宋" w:cs="仿宋"/>
                <w:color w:val="auto"/>
                <w:position w:val="2"/>
                <w:sz w:val="23"/>
                <w:szCs w:val="23"/>
                <w:highlight w:val="none"/>
              </w:rPr>
              <w:t>000</w:t>
            </w:r>
          </w:p>
        </w:tc>
      </w:tr>
      <w:tr w14:paraId="76BC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0412CE3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25660B7A">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零</w:t>
            </w:r>
            <w:r>
              <w:rPr>
                <w:rFonts w:ascii="仿宋" w:hAnsi="仿宋" w:eastAsia="仿宋" w:cs="仿宋"/>
                <w:color w:val="auto"/>
                <w:spacing w:val="4"/>
                <w:sz w:val="23"/>
                <w:szCs w:val="23"/>
                <w:highlight w:val="none"/>
              </w:rPr>
              <w:t>售业</w:t>
            </w:r>
          </w:p>
        </w:tc>
        <w:tc>
          <w:tcPr>
            <w:tcW w:w="1187" w:type="dxa"/>
            <w:vAlign w:val="top"/>
          </w:tcPr>
          <w:p w14:paraId="6906F9E7">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360DAF77">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61CC142D">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7FBD1163">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w:t>
            </w:r>
            <w:r>
              <w:rPr>
                <w:rFonts w:ascii="仿宋" w:hAnsi="仿宋" w:eastAsia="仿宋" w:cs="仿宋"/>
                <w:color w:val="auto"/>
                <w:spacing w:val="2"/>
                <w:sz w:val="23"/>
                <w:szCs w:val="23"/>
                <w:highlight w:val="none"/>
              </w:rPr>
              <w:t>-300</w:t>
            </w:r>
          </w:p>
        </w:tc>
        <w:tc>
          <w:tcPr>
            <w:tcW w:w="1295" w:type="dxa"/>
            <w:vAlign w:val="top"/>
          </w:tcPr>
          <w:p w14:paraId="1B802695">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-50</w:t>
            </w:r>
          </w:p>
        </w:tc>
        <w:tc>
          <w:tcPr>
            <w:tcW w:w="1004" w:type="dxa"/>
            <w:vAlign w:val="top"/>
          </w:tcPr>
          <w:p w14:paraId="34C668E2">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r w14:paraId="2D785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6D5E4F1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0B3A6F5">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841A54E">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2AEF257D">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w:t>
            </w:r>
            <w:r>
              <w:rPr>
                <w:rFonts w:ascii="仿宋" w:hAnsi="仿宋" w:eastAsia="仿宋" w:cs="仿宋"/>
                <w:color w:val="auto"/>
                <w:spacing w:val="1"/>
                <w:position w:val="1"/>
                <w:sz w:val="23"/>
                <w:szCs w:val="23"/>
                <w:highlight w:val="none"/>
              </w:rPr>
              <w:t>0000</w:t>
            </w:r>
          </w:p>
        </w:tc>
        <w:tc>
          <w:tcPr>
            <w:tcW w:w="1535" w:type="dxa"/>
            <w:vAlign w:val="top"/>
          </w:tcPr>
          <w:p w14:paraId="6F695E0D">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0-20000</w:t>
            </w:r>
          </w:p>
        </w:tc>
        <w:tc>
          <w:tcPr>
            <w:tcW w:w="1295" w:type="dxa"/>
            <w:vAlign w:val="top"/>
          </w:tcPr>
          <w:p w14:paraId="19EEA492">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00-500</w:t>
            </w:r>
          </w:p>
        </w:tc>
        <w:tc>
          <w:tcPr>
            <w:tcW w:w="1004" w:type="dxa"/>
            <w:vAlign w:val="top"/>
          </w:tcPr>
          <w:p w14:paraId="76D4192E">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79DBE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70D36C9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69C0F65E">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交</w:t>
            </w:r>
            <w:r>
              <w:rPr>
                <w:rFonts w:ascii="仿宋" w:hAnsi="仿宋" w:eastAsia="仿宋" w:cs="仿宋"/>
                <w:color w:val="auto"/>
                <w:spacing w:val="4"/>
                <w:sz w:val="23"/>
                <w:szCs w:val="23"/>
                <w:highlight w:val="none"/>
              </w:rPr>
              <w:t>通运输</w:t>
            </w:r>
          </w:p>
        </w:tc>
        <w:tc>
          <w:tcPr>
            <w:tcW w:w="1187" w:type="dxa"/>
            <w:vAlign w:val="top"/>
          </w:tcPr>
          <w:p w14:paraId="53382249">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4560E8CA">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224A6360">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2080AD32">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2ABBE109">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4649E2F5">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7957D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29368D9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D6D5041">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5CD9271E">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A156371">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149530B6">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30</w:t>
            </w:r>
            <w:r>
              <w:rPr>
                <w:rFonts w:ascii="仿宋" w:hAnsi="仿宋" w:eastAsia="仿宋" w:cs="仿宋"/>
                <w:color w:val="auto"/>
                <w:spacing w:val="3"/>
                <w:sz w:val="23"/>
                <w:szCs w:val="23"/>
                <w:highlight w:val="none"/>
              </w:rPr>
              <w:t>00-30000</w:t>
            </w:r>
          </w:p>
        </w:tc>
        <w:tc>
          <w:tcPr>
            <w:tcW w:w="1295" w:type="dxa"/>
            <w:vAlign w:val="top"/>
          </w:tcPr>
          <w:p w14:paraId="6F8E2705">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2</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0-3000</w:t>
            </w:r>
          </w:p>
        </w:tc>
        <w:tc>
          <w:tcPr>
            <w:tcW w:w="1004" w:type="dxa"/>
            <w:vAlign w:val="top"/>
          </w:tcPr>
          <w:p w14:paraId="23A7EB31">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＜20</w:t>
            </w:r>
            <w:r>
              <w:rPr>
                <w:rFonts w:ascii="仿宋" w:hAnsi="仿宋" w:eastAsia="仿宋" w:cs="仿宋"/>
                <w:color w:val="auto"/>
                <w:position w:val="2"/>
                <w:sz w:val="23"/>
                <w:szCs w:val="23"/>
                <w:highlight w:val="none"/>
              </w:rPr>
              <w:t>0</w:t>
            </w:r>
          </w:p>
        </w:tc>
      </w:tr>
      <w:tr w14:paraId="59041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6342457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61D36232">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仓</w:t>
            </w:r>
            <w:r>
              <w:rPr>
                <w:rFonts w:ascii="仿宋" w:hAnsi="仿宋" w:eastAsia="仿宋" w:cs="仿宋"/>
                <w:color w:val="auto"/>
                <w:sz w:val="23"/>
                <w:szCs w:val="23"/>
                <w:highlight w:val="none"/>
              </w:rPr>
              <w:t>储</w:t>
            </w:r>
          </w:p>
        </w:tc>
        <w:tc>
          <w:tcPr>
            <w:tcW w:w="1187" w:type="dxa"/>
            <w:vAlign w:val="top"/>
          </w:tcPr>
          <w:p w14:paraId="31148540">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561515E0">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41E48E9F">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≥200</w:t>
            </w:r>
          </w:p>
        </w:tc>
        <w:tc>
          <w:tcPr>
            <w:tcW w:w="1535" w:type="dxa"/>
            <w:vAlign w:val="top"/>
          </w:tcPr>
          <w:p w14:paraId="0CF21FBC">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00-200</w:t>
            </w:r>
          </w:p>
        </w:tc>
        <w:tc>
          <w:tcPr>
            <w:tcW w:w="1295" w:type="dxa"/>
            <w:vAlign w:val="top"/>
          </w:tcPr>
          <w:p w14:paraId="294EE3D6">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20-100</w:t>
            </w:r>
          </w:p>
        </w:tc>
        <w:tc>
          <w:tcPr>
            <w:tcW w:w="1004" w:type="dxa"/>
            <w:vAlign w:val="top"/>
          </w:tcPr>
          <w:p w14:paraId="5C7FD9EF">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6A1F5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63C29DB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22E3B13D">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04FD70C7">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15AE6481">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3F9DC900">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w:t>
            </w:r>
            <w:r>
              <w:rPr>
                <w:rFonts w:ascii="仿宋" w:hAnsi="仿宋" w:eastAsia="仿宋" w:cs="仿宋"/>
                <w:color w:val="auto"/>
                <w:spacing w:val="3"/>
                <w:sz w:val="23"/>
                <w:szCs w:val="23"/>
                <w:highlight w:val="none"/>
              </w:rPr>
              <w:t>0</w:t>
            </w:r>
            <w:r>
              <w:rPr>
                <w:rFonts w:ascii="仿宋" w:hAnsi="仿宋" w:eastAsia="仿宋" w:cs="仿宋"/>
                <w:color w:val="auto"/>
                <w:spacing w:val="2"/>
                <w:sz w:val="23"/>
                <w:szCs w:val="23"/>
                <w:highlight w:val="none"/>
              </w:rPr>
              <w:t>00-30000</w:t>
            </w:r>
          </w:p>
        </w:tc>
        <w:tc>
          <w:tcPr>
            <w:tcW w:w="1295" w:type="dxa"/>
            <w:vAlign w:val="top"/>
          </w:tcPr>
          <w:p w14:paraId="3DEF5455">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100-1</w:t>
            </w:r>
            <w:r>
              <w:rPr>
                <w:rFonts w:ascii="仿宋" w:hAnsi="仿宋" w:eastAsia="仿宋" w:cs="仿宋"/>
                <w:color w:val="auto"/>
                <w:spacing w:val="1"/>
                <w:sz w:val="23"/>
                <w:szCs w:val="23"/>
                <w:highlight w:val="none"/>
              </w:rPr>
              <w:t>000</w:t>
            </w:r>
          </w:p>
        </w:tc>
        <w:tc>
          <w:tcPr>
            <w:tcW w:w="1004" w:type="dxa"/>
            <w:vAlign w:val="top"/>
          </w:tcPr>
          <w:p w14:paraId="53617297">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3BE23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5B37A7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93B9EAC">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邮</w:t>
            </w:r>
            <w:r>
              <w:rPr>
                <w:rFonts w:ascii="仿宋" w:hAnsi="仿宋" w:eastAsia="仿宋" w:cs="仿宋"/>
                <w:color w:val="auto"/>
                <w:spacing w:val="-1"/>
                <w:sz w:val="23"/>
                <w:szCs w:val="23"/>
                <w:highlight w:val="none"/>
              </w:rPr>
              <w:t>政业</w:t>
            </w:r>
          </w:p>
        </w:tc>
        <w:tc>
          <w:tcPr>
            <w:tcW w:w="1187" w:type="dxa"/>
            <w:vAlign w:val="top"/>
          </w:tcPr>
          <w:p w14:paraId="5D22D48E">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06EAFA8D">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5E13284E">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0810F9FB">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3</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0- 1000</w:t>
            </w:r>
          </w:p>
        </w:tc>
        <w:tc>
          <w:tcPr>
            <w:tcW w:w="1295" w:type="dxa"/>
            <w:vAlign w:val="top"/>
          </w:tcPr>
          <w:p w14:paraId="38ED9650">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32E90088">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727A0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03100A7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533C12BD">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06725A2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880F423">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53D1BE7E">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2000-3000</w:t>
            </w:r>
            <w:r>
              <w:rPr>
                <w:rFonts w:ascii="仿宋" w:hAnsi="仿宋" w:eastAsia="仿宋" w:cs="仿宋"/>
                <w:color w:val="auto"/>
                <w:spacing w:val="2"/>
                <w:sz w:val="23"/>
                <w:szCs w:val="23"/>
                <w:highlight w:val="none"/>
              </w:rPr>
              <w:t>0</w:t>
            </w:r>
          </w:p>
        </w:tc>
        <w:tc>
          <w:tcPr>
            <w:tcW w:w="1295" w:type="dxa"/>
            <w:vAlign w:val="top"/>
          </w:tcPr>
          <w:p w14:paraId="45D348E7">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100-2</w:t>
            </w:r>
            <w:r>
              <w:rPr>
                <w:rFonts w:ascii="仿宋" w:hAnsi="仿宋" w:eastAsia="仿宋" w:cs="仿宋"/>
                <w:color w:val="auto"/>
                <w:spacing w:val="1"/>
                <w:sz w:val="23"/>
                <w:szCs w:val="23"/>
                <w:highlight w:val="none"/>
              </w:rPr>
              <w:t>000</w:t>
            </w:r>
          </w:p>
        </w:tc>
        <w:tc>
          <w:tcPr>
            <w:tcW w:w="1004" w:type="dxa"/>
            <w:vAlign w:val="top"/>
          </w:tcPr>
          <w:p w14:paraId="42A63EA2">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47F4B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672B6E5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7B85BC4A">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住宿餐饮</w:t>
            </w:r>
          </w:p>
        </w:tc>
        <w:tc>
          <w:tcPr>
            <w:tcW w:w="1187" w:type="dxa"/>
            <w:vAlign w:val="top"/>
          </w:tcPr>
          <w:p w14:paraId="6A0CF96B">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6C2F04E8">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2F6AF63B">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1B2D51F4">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6FFE55E9">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4343FF76">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r w14:paraId="4784D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2D5AFA9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5FC8E54">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416A696">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1D19D7C">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4E1BF9BE">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2000-1000</w:t>
            </w:r>
            <w:r>
              <w:rPr>
                <w:rFonts w:ascii="仿宋" w:hAnsi="仿宋" w:eastAsia="仿宋" w:cs="仿宋"/>
                <w:color w:val="auto"/>
                <w:spacing w:val="2"/>
                <w:sz w:val="23"/>
                <w:szCs w:val="23"/>
                <w:highlight w:val="none"/>
              </w:rPr>
              <w:t>0</w:t>
            </w:r>
          </w:p>
        </w:tc>
        <w:tc>
          <w:tcPr>
            <w:tcW w:w="1295" w:type="dxa"/>
            <w:vAlign w:val="top"/>
          </w:tcPr>
          <w:p w14:paraId="15536B4D">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100-2</w:t>
            </w:r>
            <w:r>
              <w:rPr>
                <w:rFonts w:ascii="仿宋" w:hAnsi="仿宋" w:eastAsia="仿宋" w:cs="仿宋"/>
                <w:color w:val="auto"/>
                <w:spacing w:val="1"/>
                <w:sz w:val="23"/>
                <w:szCs w:val="23"/>
                <w:highlight w:val="none"/>
              </w:rPr>
              <w:t>000</w:t>
            </w:r>
          </w:p>
        </w:tc>
        <w:tc>
          <w:tcPr>
            <w:tcW w:w="1004" w:type="dxa"/>
            <w:vAlign w:val="top"/>
          </w:tcPr>
          <w:p w14:paraId="47B85D66">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195B2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47D856B1">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房地产</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开发经营</w:t>
            </w:r>
          </w:p>
        </w:tc>
        <w:tc>
          <w:tcPr>
            <w:tcW w:w="1187" w:type="dxa"/>
            <w:vAlign w:val="top"/>
          </w:tcPr>
          <w:p w14:paraId="52307202">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558C868A">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F9F7D73">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64ABC043">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00-10000</w:t>
            </w:r>
          </w:p>
        </w:tc>
        <w:tc>
          <w:tcPr>
            <w:tcW w:w="1295" w:type="dxa"/>
            <w:vAlign w:val="top"/>
          </w:tcPr>
          <w:p w14:paraId="3C78DB79">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z w:val="23"/>
                <w:szCs w:val="23"/>
                <w:highlight w:val="none"/>
              </w:rPr>
            </w:pPr>
            <w:r>
              <w:rPr>
                <w:rFonts w:ascii="仿宋" w:hAnsi="仿宋" w:eastAsia="仿宋" w:cs="仿宋"/>
                <w:color w:val="auto"/>
                <w:spacing w:val="6"/>
                <w:position w:val="1"/>
                <w:sz w:val="23"/>
                <w:szCs w:val="23"/>
                <w:highlight w:val="none"/>
              </w:rPr>
              <w:t>20</w:t>
            </w:r>
            <w:r>
              <w:rPr>
                <w:rFonts w:ascii="仿宋" w:hAnsi="仿宋" w:eastAsia="仿宋" w:cs="仿宋"/>
                <w:color w:val="auto"/>
                <w:spacing w:val="3"/>
                <w:position w:val="1"/>
                <w:sz w:val="23"/>
                <w:szCs w:val="23"/>
                <w:highlight w:val="none"/>
              </w:rPr>
              <w:t>00&lt;5000</w:t>
            </w:r>
          </w:p>
        </w:tc>
        <w:tc>
          <w:tcPr>
            <w:tcW w:w="1004" w:type="dxa"/>
            <w:vAlign w:val="top"/>
          </w:tcPr>
          <w:p w14:paraId="6403C9FB">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＜2</w:t>
            </w:r>
            <w:r>
              <w:rPr>
                <w:rFonts w:ascii="仿宋" w:hAnsi="仿宋" w:eastAsia="仿宋" w:cs="仿宋"/>
                <w:color w:val="auto"/>
                <w:position w:val="2"/>
                <w:sz w:val="23"/>
                <w:szCs w:val="23"/>
                <w:highlight w:val="none"/>
              </w:rPr>
              <w:t>000</w:t>
            </w:r>
          </w:p>
        </w:tc>
      </w:tr>
      <w:tr w14:paraId="29C6F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4558F2E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5FAAE4B3">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3E29454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0540B844">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≥200000</w:t>
            </w:r>
          </w:p>
        </w:tc>
        <w:tc>
          <w:tcPr>
            <w:tcW w:w="1535" w:type="dxa"/>
            <w:vAlign w:val="top"/>
          </w:tcPr>
          <w:p w14:paraId="0B160FF7">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100</w:t>
            </w:r>
            <w:r>
              <w:rPr>
                <w:rFonts w:ascii="仿宋" w:hAnsi="仿宋" w:eastAsia="仿宋" w:cs="仿宋"/>
                <w:color w:val="auto"/>
                <w:spacing w:val="2"/>
                <w:sz w:val="23"/>
                <w:szCs w:val="23"/>
                <w:highlight w:val="none"/>
              </w:rPr>
              <w:t>0-200000</w:t>
            </w:r>
          </w:p>
        </w:tc>
        <w:tc>
          <w:tcPr>
            <w:tcW w:w="1295" w:type="dxa"/>
            <w:vAlign w:val="top"/>
          </w:tcPr>
          <w:p w14:paraId="02B33D45">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100&lt;10000</w:t>
            </w:r>
          </w:p>
        </w:tc>
        <w:tc>
          <w:tcPr>
            <w:tcW w:w="1004" w:type="dxa"/>
            <w:vAlign w:val="top"/>
          </w:tcPr>
          <w:p w14:paraId="266D9CC1">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72B2F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28A60AB3">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物业管</w:t>
            </w:r>
            <w:r>
              <w:rPr>
                <w:rFonts w:ascii="仿宋" w:hAnsi="仿宋" w:eastAsia="仿宋" w:cs="仿宋"/>
                <w:color w:val="auto"/>
                <w:spacing w:val="5"/>
                <w:sz w:val="23"/>
                <w:szCs w:val="23"/>
                <w:highlight w:val="none"/>
              </w:rPr>
              <w:t>理</w:t>
            </w:r>
          </w:p>
        </w:tc>
        <w:tc>
          <w:tcPr>
            <w:tcW w:w="1187" w:type="dxa"/>
            <w:vAlign w:val="top"/>
          </w:tcPr>
          <w:p w14:paraId="631123F5">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6F0D7EA9">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0D9DE62B">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00</w:t>
            </w:r>
          </w:p>
        </w:tc>
        <w:tc>
          <w:tcPr>
            <w:tcW w:w="1535" w:type="dxa"/>
            <w:vAlign w:val="top"/>
          </w:tcPr>
          <w:p w14:paraId="6150BDA4">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24ACD8DF">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004" w:type="dxa"/>
            <w:vAlign w:val="top"/>
          </w:tcPr>
          <w:p w14:paraId="3172537C">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0</w:t>
            </w:r>
          </w:p>
        </w:tc>
      </w:tr>
      <w:tr w14:paraId="7FDB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5E10048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4C0CF0F7">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273B36A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A2D7CAC">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≥50</w:t>
            </w:r>
            <w:r>
              <w:rPr>
                <w:rFonts w:ascii="仿宋" w:hAnsi="仿宋" w:eastAsia="仿宋" w:cs="仿宋"/>
                <w:color w:val="auto"/>
                <w:position w:val="1"/>
                <w:sz w:val="23"/>
                <w:szCs w:val="23"/>
                <w:highlight w:val="none"/>
              </w:rPr>
              <w:t>00</w:t>
            </w:r>
          </w:p>
        </w:tc>
        <w:tc>
          <w:tcPr>
            <w:tcW w:w="1535" w:type="dxa"/>
            <w:vAlign w:val="top"/>
          </w:tcPr>
          <w:p w14:paraId="7BDF414F">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1000-5000</w:t>
            </w:r>
          </w:p>
        </w:tc>
        <w:tc>
          <w:tcPr>
            <w:tcW w:w="1295" w:type="dxa"/>
            <w:vAlign w:val="top"/>
          </w:tcPr>
          <w:p w14:paraId="68892F66">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0- 1000</w:t>
            </w:r>
          </w:p>
        </w:tc>
        <w:tc>
          <w:tcPr>
            <w:tcW w:w="1004" w:type="dxa"/>
            <w:vAlign w:val="top"/>
          </w:tcPr>
          <w:p w14:paraId="1E8B16D8">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＜50</w:t>
            </w:r>
            <w:r>
              <w:rPr>
                <w:rFonts w:ascii="仿宋" w:hAnsi="仿宋" w:eastAsia="仿宋" w:cs="仿宋"/>
                <w:color w:val="auto"/>
                <w:position w:val="2"/>
                <w:sz w:val="23"/>
                <w:szCs w:val="23"/>
                <w:highlight w:val="none"/>
              </w:rPr>
              <w:t>0</w:t>
            </w:r>
          </w:p>
        </w:tc>
      </w:tr>
      <w:tr w14:paraId="01EE6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382BE895">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信息传输</w:t>
            </w:r>
          </w:p>
        </w:tc>
        <w:tc>
          <w:tcPr>
            <w:tcW w:w="1187" w:type="dxa"/>
            <w:vAlign w:val="top"/>
          </w:tcPr>
          <w:p w14:paraId="289BC28C">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177F1D4B">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6687C87F">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≥20</w:t>
            </w:r>
            <w:r>
              <w:rPr>
                <w:rFonts w:ascii="仿宋" w:hAnsi="仿宋" w:eastAsia="仿宋" w:cs="仿宋"/>
                <w:color w:val="auto"/>
                <w:sz w:val="23"/>
                <w:szCs w:val="23"/>
                <w:highlight w:val="none"/>
              </w:rPr>
              <w:t>00</w:t>
            </w:r>
          </w:p>
        </w:tc>
        <w:tc>
          <w:tcPr>
            <w:tcW w:w="1535" w:type="dxa"/>
            <w:vAlign w:val="top"/>
          </w:tcPr>
          <w:p w14:paraId="6D403769">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00-200</w:t>
            </w:r>
          </w:p>
        </w:tc>
        <w:tc>
          <w:tcPr>
            <w:tcW w:w="1295" w:type="dxa"/>
            <w:vAlign w:val="top"/>
          </w:tcPr>
          <w:p w14:paraId="48E48727">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0D2ECE19">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23FB7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6E6D195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38ACC813">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0D559D7E">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5242CD3">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≥100000</w:t>
            </w:r>
          </w:p>
        </w:tc>
        <w:tc>
          <w:tcPr>
            <w:tcW w:w="1535" w:type="dxa"/>
            <w:vAlign w:val="top"/>
          </w:tcPr>
          <w:p w14:paraId="7303076F">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100</w:t>
            </w:r>
            <w:r>
              <w:rPr>
                <w:rFonts w:ascii="仿宋" w:hAnsi="仿宋" w:eastAsia="仿宋" w:cs="仿宋"/>
                <w:color w:val="auto"/>
                <w:spacing w:val="2"/>
                <w:sz w:val="23"/>
                <w:szCs w:val="23"/>
                <w:highlight w:val="none"/>
              </w:rPr>
              <w:t>0-100000</w:t>
            </w:r>
          </w:p>
        </w:tc>
        <w:tc>
          <w:tcPr>
            <w:tcW w:w="1295" w:type="dxa"/>
            <w:vAlign w:val="top"/>
          </w:tcPr>
          <w:p w14:paraId="2A2C5B5E">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100-1</w:t>
            </w:r>
            <w:r>
              <w:rPr>
                <w:rFonts w:ascii="仿宋" w:hAnsi="仿宋" w:eastAsia="仿宋" w:cs="仿宋"/>
                <w:color w:val="auto"/>
                <w:spacing w:val="1"/>
                <w:sz w:val="23"/>
                <w:szCs w:val="23"/>
                <w:highlight w:val="none"/>
              </w:rPr>
              <w:t>000</w:t>
            </w:r>
          </w:p>
        </w:tc>
        <w:tc>
          <w:tcPr>
            <w:tcW w:w="1004" w:type="dxa"/>
            <w:vAlign w:val="top"/>
          </w:tcPr>
          <w:p w14:paraId="7A2D78AB">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26DB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40BECEC9">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软</w:t>
            </w:r>
            <w:r>
              <w:rPr>
                <w:rFonts w:ascii="仿宋" w:hAnsi="仿宋" w:eastAsia="仿宋" w:cs="仿宋"/>
                <w:color w:val="auto"/>
                <w:spacing w:val="4"/>
                <w:sz w:val="23"/>
                <w:szCs w:val="23"/>
                <w:highlight w:val="none"/>
              </w:rPr>
              <w:t>件和</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信息技术</w:t>
            </w:r>
          </w:p>
        </w:tc>
        <w:tc>
          <w:tcPr>
            <w:tcW w:w="1187" w:type="dxa"/>
            <w:vAlign w:val="top"/>
          </w:tcPr>
          <w:p w14:paraId="0D973F14">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14EA0CFF">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6A60C703">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≥300</w:t>
            </w:r>
          </w:p>
        </w:tc>
        <w:tc>
          <w:tcPr>
            <w:tcW w:w="1535" w:type="dxa"/>
            <w:vAlign w:val="top"/>
          </w:tcPr>
          <w:p w14:paraId="3A41B265">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09DE694D">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1874CA8F">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33DAB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095DDDD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5D9B49BE">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24B6CD3B">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A2A8674">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538A988F">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w:t>
            </w:r>
            <w:r>
              <w:rPr>
                <w:rFonts w:ascii="仿宋" w:hAnsi="仿宋" w:eastAsia="仿宋" w:cs="仿宋"/>
                <w:color w:val="auto"/>
                <w:spacing w:val="3"/>
                <w:sz w:val="23"/>
                <w:szCs w:val="23"/>
                <w:highlight w:val="none"/>
              </w:rPr>
              <w:t>0</w:t>
            </w:r>
            <w:r>
              <w:rPr>
                <w:rFonts w:ascii="仿宋" w:hAnsi="仿宋" w:eastAsia="仿宋" w:cs="仿宋"/>
                <w:color w:val="auto"/>
                <w:spacing w:val="2"/>
                <w:sz w:val="23"/>
                <w:szCs w:val="23"/>
                <w:highlight w:val="none"/>
              </w:rPr>
              <w:t>00-10000</w:t>
            </w:r>
          </w:p>
        </w:tc>
        <w:tc>
          <w:tcPr>
            <w:tcW w:w="1295" w:type="dxa"/>
            <w:vAlign w:val="top"/>
          </w:tcPr>
          <w:p w14:paraId="763E1BC9">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50-1000</w:t>
            </w:r>
          </w:p>
        </w:tc>
        <w:tc>
          <w:tcPr>
            <w:tcW w:w="1004" w:type="dxa"/>
            <w:vAlign w:val="top"/>
          </w:tcPr>
          <w:p w14:paraId="4A688156">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50</w:t>
            </w:r>
          </w:p>
        </w:tc>
      </w:tr>
      <w:tr w14:paraId="123D1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3B6972EC">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租</w:t>
            </w:r>
            <w:r>
              <w:rPr>
                <w:rFonts w:ascii="仿宋" w:hAnsi="仿宋" w:eastAsia="仿宋" w:cs="仿宋"/>
                <w:color w:val="auto"/>
                <w:spacing w:val="4"/>
                <w:sz w:val="23"/>
                <w:szCs w:val="23"/>
                <w:highlight w:val="none"/>
              </w:rPr>
              <w:t>赁和</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商务服</w:t>
            </w:r>
            <w:r>
              <w:rPr>
                <w:rFonts w:ascii="仿宋" w:hAnsi="仿宋" w:eastAsia="仿宋" w:cs="仿宋"/>
                <w:color w:val="auto"/>
                <w:spacing w:val="3"/>
                <w:sz w:val="23"/>
                <w:szCs w:val="23"/>
                <w:highlight w:val="none"/>
              </w:rPr>
              <w:t>务</w:t>
            </w:r>
          </w:p>
        </w:tc>
        <w:tc>
          <w:tcPr>
            <w:tcW w:w="1187" w:type="dxa"/>
            <w:vAlign w:val="top"/>
          </w:tcPr>
          <w:p w14:paraId="29C7B5F4">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51660D07">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40BC311F">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≥300</w:t>
            </w:r>
          </w:p>
        </w:tc>
        <w:tc>
          <w:tcPr>
            <w:tcW w:w="1535" w:type="dxa"/>
            <w:vAlign w:val="top"/>
          </w:tcPr>
          <w:p w14:paraId="7CF2FADC">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5BA05FEA">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33F4BA1B">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76BDC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596ECC5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661087A7">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631C8B9F">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5730344">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≥120000</w:t>
            </w:r>
          </w:p>
        </w:tc>
        <w:tc>
          <w:tcPr>
            <w:tcW w:w="1535" w:type="dxa"/>
            <w:vAlign w:val="top"/>
          </w:tcPr>
          <w:p w14:paraId="0F05A870">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8</w:t>
            </w:r>
            <w:r>
              <w:rPr>
                <w:rFonts w:ascii="仿宋" w:hAnsi="仿宋" w:eastAsia="仿宋" w:cs="仿宋"/>
                <w:color w:val="auto"/>
                <w:spacing w:val="4"/>
                <w:sz w:val="23"/>
                <w:szCs w:val="23"/>
                <w:highlight w:val="none"/>
              </w:rPr>
              <w:t>000-120000</w:t>
            </w:r>
          </w:p>
        </w:tc>
        <w:tc>
          <w:tcPr>
            <w:tcW w:w="1295" w:type="dxa"/>
            <w:vAlign w:val="top"/>
          </w:tcPr>
          <w:p w14:paraId="29533230">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100-8</w:t>
            </w:r>
            <w:r>
              <w:rPr>
                <w:rFonts w:ascii="仿宋" w:hAnsi="仿宋" w:eastAsia="仿宋" w:cs="仿宋"/>
                <w:color w:val="auto"/>
                <w:spacing w:val="1"/>
                <w:sz w:val="23"/>
                <w:szCs w:val="23"/>
                <w:highlight w:val="none"/>
              </w:rPr>
              <w:t>000</w:t>
            </w:r>
          </w:p>
        </w:tc>
        <w:tc>
          <w:tcPr>
            <w:tcW w:w="1004" w:type="dxa"/>
            <w:vAlign w:val="top"/>
          </w:tcPr>
          <w:p w14:paraId="2AF1C8EB">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4A830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720976BA">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其</w:t>
            </w:r>
            <w:r>
              <w:rPr>
                <w:rFonts w:ascii="仿宋" w:hAnsi="仿宋" w:eastAsia="仿宋" w:cs="仿宋"/>
                <w:color w:val="auto"/>
                <w:spacing w:val="5"/>
                <w:sz w:val="23"/>
                <w:szCs w:val="23"/>
                <w:highlight w:val="none"/>
              </w:rPr>
              <w:t>他未列</w:t>
            </w:r>
            <w:r>
              <w:rPr>
                <w:rFonts w:ascii="仿宋" w:hAnsi="仿宋" w:eastAsia="仿宋" w:cs="仿宋"/>
                <w:color w:val="auto"/>
                <w:sz w:val="23"/>
                <w:szCs w:val="23"/>
                <w:highlight w:val="none"/>
              </w:rPr>
              <w:t xml:space="preserve"> </w:t>
            </w:r>
            <w:r>
              <w:rPr>
                <w:rFonts w:ascii="仿宋" w:hAnsi="仿宋" w:eastAsia="仿宋" w:cs="仿宋"/>
                <w:color w:val="auto"/>
                <w:spacing w:val="-1"/>
                <w:sz w:val="23"/>
                <w:szCs w:val="23"/>
                <w:highlight w:val="none"/>
              </w:rPr>
              <w:t>明</w:t>
            </w:r>
            <w:r>
              <w:rPr>
                <w:rFonts w:ascii="仿宋" w:hAnsi="仿宋" w:eastAsia="仿宋" w:cs="仿宋"/>
                <w:color w:val="auto"/>
                <w:sz w:val="23"/>
                <w:szCs w:val="23"/>
                <w:highlight w:val="none"/>
              </w:rPr>
              <w:t>行业</w:t>
            </w:r>
          </w:p>
        </w:tc>
        <w:tc>
          <w:tcPr>
            <w:tcW w:w="1187" w:type="dxa"/>
            <w:vAlign w:val="top"/>
          </w:tcPr>
          <w:p w14:paraId="729A6C02">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40C6EC5C">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134A2F23">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24B7DFB6">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7F0DDA74">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50E92FAA">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bl>
    <w:p w14:paraId="7B17517F">
      <w:pPr>
        <w:widowControl/>
        <w:spacing w:line="360" w:lineRule="auto"/>
        <w:ind w:left="420" w:hanging="420" w:hanging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说明：</w:t>
      </w:r>
    </w:p>
    <w:p w14:paraId="6DBBAA0B">
      <w:pPr>
        <w:widowControl/>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1.大型、中型和小型企业须同时满足所列指标的下限，否则下划一档；微型企业只须满足所列指标中的一项即可。</w:t>
      </w:r>
    </w:p>
    <w:p w14:paraId="22372D75">
      <w:pPr>
        <w:widowControl/>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174FF31">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lang w:eastAsia="zh-CN"/>
        </w:rPr>
      </w:pPr>
      <w:r>
        <w:rPr>
          <w:rFonts w:hint="eastAsia" w:ascii="宋体" w:hAnsi="宋体" w:cs="宋体"/>
          <w:color w:val="000000"/>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6FE5AC8">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42F7E113">
      <w:pPr>
        <w:pStyle w:val="4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6B3C879A">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1D38D663">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1B65FC5B">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6C80FAF8">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1DC8A886">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23CEF3CC">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2DDC97B2">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3FB892C">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91BFE9E">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26C17653">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22020E70">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62661B57">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555BF087">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7C3F0C07">
      <w:pPr>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br w:type="page"/>
      </w:r>
    </w:p>
    <w:p w14:paraId="615A3323">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b/>
          <w:bCs/>
          <w:color w:val="auto"/>
          <w:sz w:val="21"/>
          <w:szCs w:val="24"/>
          <w:highlight w:val="none"/>
        </w:rPr>
      </w:pPr>
    </w:p>
    <w:p w14:paraId="0131A8F6">
      <w:pPr>
        <w:pStyle w:val="47"/>
        <w:ind w:left="0" w:leftChars="0" w:firstLine="0" w:firstLineChars="0"/>
        <w:outlineLvl w:val="9"/>
        <w:rPr>
          <w:color w:val="auto"/>
          <w:highlight w:val="none"/>
        </w:rPr>
      </w:pPr>
    </w:p>
    <w:p w14:paraId="3FF4B08C">
      <w:pPr>
        <w:pStyle w:val="26"/>
        <w:spacing w:beforeLines="0" w:afterLines="0"/>
        <w:outlineLvl w:val="9"/>
        <w:rPr>
          <w:rFonts w:hint="eastAsia" w:cs="Times New Roman"/>
          <w:sz w:val="44"/>
          <w:szCs w:val="44"/>
          <w:lang w:val="en-US" w:eastAsia="zh-CN"/>
        </w:rPr>
      </w:pPr>
      <w:r>
        <w:rPr>
          <w:rFonts w:hint="eastAsia" w:cs="Times New Roman"/>
          <w:sz w:val="44"/>
          <w:szCs w:val="44"/>
          <w:lang w:val="en-US" w:eastAsia="zh-CN"/>
        </w:rPr>
        <w:t xml:space="preserve">  </w:t>
      </w:r>
    </w:p>
    <w:p w14:paraId="2F85DD9A">
      <w:pPr>
        <w:pStyle w:val="26"/>
        <w:spacing w:beforeLines="0" w:afterLines="0"/>
        <w:outlineLvl w:val="9"/>
        <w:rPr>
          <w:rFonts w:hint="eastAsia" w:cs="Times New Roman"/>
          <w:sz w:val="44"/>
          <w:szCs w:val="44"/>
          <w:lang w:val="en-US" w:eastAsia="zh-CN"/>
        </w:rPr>
      </w:pPr>
    </w:p>
    <w:p w14:paraId="4EF9D5CA">
      <w:pPr>
        <w:pStyle w:val="26"/>
        <w:spacing w:beforeLines="0" w:afterLines="0"/>
        <w:outlineLvl w:val="9"/>
        <w:rPr>
          <w:rFonts w:hint="eastAsia" w:cs="Times New Roman"/>
          <w:sz w:val="44"/>
          <w:szCs w:val="44"/>
          <w:lang w:val="en-US" w:eastAsia="zh-CN"/>
        </w:rPr>
      </w:pPr>
    </w:p>
    <w:p w14:paraId="6432C1E2">
      <w:pPr>
        <w:pStyle w:val="26"/>
        <w:spacing w:beforeLines="0" w:afterLines="0"/>
        <w:outlineLvl w:val="9"/>
        <w:rPr>
          <w:rFonts w:hint="eastAsia" w:cs="Times New Roman"/>
          <w:sz w:val="44"/>
          <w:szCs w:val="44"/>
          <w:lang w:val="en-US" w:eastAsia="zh-CN"/>
        </w:rPr>
      </w:pPr>
    </w:p>
    <w:p w14:paraId="40F8D93A">
      <w:pPr>
        <w:pStyle w:val="26"/>
        <w:spacing w:beforeLines="0" w:afterLines="0"/>
        <w:outlineLvl w:val="9"/>
        <w:rPr>
          <w:rFonts w:hint="eastAsia" w:cs="Times New Roman"/>
          <w:sz w:val="44"/>
          <w:szCs w:val="44"/>
          <w:lang w:val="en-US" w:eastAsia="zh-CN"/>
        </w:rPr>
      </w:pPr>
    </w:p>
    <w:p w14:paraId="30A1967F">
      <w:pPr>
        <w:pStyle w:val="26"/>
        <w:spacing w:beforeLines="0" w:afterLines="0"/>
        <w:outlineLvl w:val="9"/>
        <w:rPr>
          <w:rFonts w:hint="eastAsia" w:cs="Times New Roman"/>
          <w:sz w:val="44"/>
          <w:szCs w:val="44"/>
          <w:lang w:val="en-US" w:eastAsia="zh-CN"/>
        </w:rPr>
      </w:pPr>
    </w:p>
    <w:p w14:paraId="56BE442C">
      <w:pPr>
        <w:pStyle w:val="26"/>
        <w:spacing w:beforeLines="0" w:afterLines="0"/>
        <w:rPr>
          <w:rFonts w:hint="eastAsia" w:cs="Times New Roman"/>
          <w:sz w:val="44"/>
          <w:szCs w:val="44"/>
          <w:lang w:val="en-US" w:eastAsia="zh-CN"/>
        </w:rPr>
      </w:pPr>
      <w:bookmarkStart w:id="77" w:name="_Toc3612"/>
      <w:r>
        <w:rPr>
          <w:rFonts w:hint="eastAsia" w:cs="Times New Roman"/>
          <w:sz w:val="44"/>
          <w:szCs w:val="44"/>
          <w:lang w:val="en-US" w:eastAsia="zh-CN"/>
        </w:rPr>
        <w:t>第六章  合同主要条款 (参考格式)</w:t>
      </w:r>
      <w:bookmarkEnd w:id="77"/>
    </w:p>
    <w:p w14:paraId="62E96C84">
      <w:pPr>
        <w:rPr>
          <w:rFonts w:hint="eastAsia" w:ascii="宋体" w:hAnsi="宋体" w:cs="宋体"/>
          <w:color w:val="auto"/>
          <w:spacing w:val="-14"/>
          <w:kern w:val="0"/>
          <w:position w:val="-6"/>
          <w:sz w:val="32"/>
          <w:szCs w:val="32"/>
          <w:highlight w:val="none"/>
        </w:rPr>
      </w:pPr>
      <w:bookmarkStart w:id="78" w:name="_Toc31567"/>
      <w:r>
        <w:rPr>
          <w:rFonts w:hint="eastAsia" w:ascii="宋体" w:hAnsi="宋体" w:cs="宋体"/>
          <w:color w:val="auto"/>
          <w:spacing w:val="-14"/>
          <w:kern w:val="0"/>
          <w:position w:val="-6"/>
          <w:sz w:val="32"/>
          <w:szCs w:val="32"/>
          <w:highlight w:val="none"/>
        </w:rPr>
        <w:br w:type="page"/>
      </w:r>
    </w:p>
    <w:p w14:paraId="75BF2329">
      <w:pPr>
        <w:numPr>
          <w:ilvl w:val="0"/>
          <w:numId w:val="0"/>
        </w:numPr>
        <w:spacing w:line="560" w:lineRule="exact"/>
        <w:jc w:val="center"/>
        <w:outlineLvl w:val="9"/>
        <w:rPr>
          <w:rFonts w:hint="eastAsia" w:ascii="宋体" w:hAnsi="宋体" w:cs="宋体"/>
          <w:color w:val="auto"/>
          <w:spacing w:val="-14"/>
          <w:kern w:val="0"/>
          <w:position w:val="-6"/>
          <w:sz w:val="32"/>
          <w:szCs w:val="32"/>
          <w:highlight w:val="none"/>
        </w:rPr>
      </w:pPr>
      <w:r>
        <w:rPr>
          <w:rFonts w:hint="eastAsia" w:ascii="宋体" w:hAnsi="宋体" w:cs="宋体"/>
          <w:color w:val="auto"/>
          <w:spacing w:val="-14"/>
          <w:kern w:val="0"/>
          <w:position w:val="-6"/>
          <w:sz w:val="32"/>
          <w:szCs w:val="32"/>
          <w:highlight w:val="none"/>
        </w:rPr>
        <w:t>(仅供参考，由双方按实际情况调整)</w:t>
      </w:r>
      <w:bookmarkEnd w:id="78"/>
    </w:p>
    <w:p w14:paraId="61CD14EE">
      <w:pPr>
        <w:shd w:val="clear"/>
        <w:jc w:val="center"/>
        <w:rPr>
          <w:rFonts w:hint="eastAsia" w:ascii="宋体" w:hAnsi="宋体" w:eastAsia="宋体" w:cs="宋体"/>
          <w:b/>
          <w:bCs/>
          <w:color w:val="000000" w:themeColor="text1"/>
          <w:spacing w:val="20"/>
          <w:sz w:val="72"/>
          <w:szCs w:val="144"/>
          <w:highlight w:val="none"/>
          <w14:textFill>
            <w14:solidFill>
              <w14:schemeClr w14:val="tx1"/>
            </w14:solidFill>
          </w14:textFill>
        </w:rPr>
      </w:pPr>
    </w:p>
    <w:p w14:paraId="0E7B762C">
      <w:pPr>
        <w:shd w:val="clear"/>
        <w:jc w:val="center"/>
        <w:rPr>
          <w:rFonts w:ascii="宋体" w:hAnsi="宋体" w:eastAsia="宋体" w:cs="宋体"/>
          <w:b/>
          <w:bCs/>
          <w:color w:val="000000" w:themeColor="text1"/>
          <w:spacing w:val="20"/>
          <w:sz w:val="96"/>
          <w:szCs w:val="160"/>
          <w:highlight w:val="none"/>
          <w14:textFill>
            <w14:solidFill>
              <w14:schemeClr w14:val="tx1"/>
            </w14:solidFill>
          </w14:textFill>
        </w:rPr>
      </w:pPr>
      <w:r>
        <w:rPr>
          <w:rFonts w:hint="eastAsia" w:ascii="宋体" w:hAnsi="宋体" w:eastAsia="宋体" w:cs="宋体"/>
          <w:b/>
          <w:bCs/>
          <w:color w:val="000000" w:themeColor="text1"/>
          <w:spacing w:val="20"/>
          <w:sz w:val="72"/>
          <w:szCs w:val="144"/>
          <w:highlight w:val="none"/>
          <w14:textFill>
            <w14:solidFill>
              <w14:schemeClr w14:val="tx1"/>
            </w14:solidFill>
          </w14:textFill>
        </w:rPr>
        <w:t>施 工 承 包 合 同 书</w:t>
      </w:r>
    </w:p>
    <w:p w14:paraId="282F8F15">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35FAA56D">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5F5ACE17">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151D1E77">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581D6FBE">
      <w:pPr>
        <w:shd w:val="clear"/>
        <w:jc w:val="center"/>
        <w:rPr>
          <w:rFonts w:ascii="宋体" w:hAnsi="宋体" w:eastAsia="宋体" w:cs="宋体"/>
          <w:color w:val="000000" w:themeColor="text1"/>
          <w:spacing w:val="20"/>
          <w:sz w:val="32"/>
          <w:szCs w:val="40"/>
          <w:highlight w:val="none"/>
          <w14:textFill>
            <w14:solidFill>
              <w14:schemeClr w14:val="tx1"/>
            </w14:solidFill>
          </w14:textFill>
        </w:rPr>
      </w:pPr>
    </w:p>
    <w:p w14:paraId="053B5691">
      <w:pPr>
        <w:shd w:val="clear"/>
        <w:jc w:val="both"/>
        <w:rPr>
          <w:rFonts w:hint="default" w:ascii="宋体" w:hAnsi="宋体" w:eastAsia="宋体" w:cs="宋体"/>
          <w:b/>
          <w:bCs/>
          <w:color w:val="000000" w:themeColor="text1"/>
          <w:spacing w:val="20"/>
          <w:sz w:val="48"/>
          <w:szCs w:val="56"/>
          <w:highlight w:val="none"/>
          <w:lang w:val="en-US" w:eastAsia="zh-CN"/>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工程名称：</w:t>
      </w:r>
      <w:r>
        <w:rPr>
          <w:rFonts w:hint="eastAsia" w:ascii="宋体" w:hAnsi="宋体" w:eastAsia="宋体" w:cs="宋体"/>
          <w:color w:val="000000" w:themeColor="text1"/>
          <w:spacing w:val="0"/>
          <w:sz w:val="28"/>
          <w:szCs w:val="28"/>
          <w:highlight w:val="none"/>
          <w:u w:val="single"/>
          <w:lang w:val="en-US" w:eastAsia="zh-CN"/>
          <w14:textFill>
            <w14:solidFill>
              <w14:schemeClr w14:val="tx1"/>
            </w14:solidFill>
          </w14:textFill>
        </w:rPr>
        <w:t xml:space="preserve">                                           </w:t>
      </w:r>
    </w:p>
    <w:p w14:paraId="685B61F9">
      <w:pPr>
        <w:shd w:val="clear"/>
        <w:rPr>
          <w:rFonts w:ascii="宋体" w:hAnsi="宋体" w:eastAsia="宋体" w:cs="宋体"/>
          <w:color w:val="000000" w:themeColor="text1"/>
          <w:spacing w:val="20"/>
          <w:sz w:val="28"/>
          <w:szCs w:val="36"/>
          <w:highlight w:val="none"/>
          <w14:textFill>
            <w14:solidFill>
              <w14:schemeClr w14:val="tx1"/>
            </w14:solidFill>
          </w14:textFill>
        </w:rPr>
      </w:pPr>
    </w:p>
    <w:p w14:paraId="793C3CDA">
      <w:pPr>
        <w:shd w:val="clea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发包人（甲方）：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r>
        <w:rPr>
          <w:rFonts w:hint="eastAsia" w:ascii="宋体" w:hAnsi="宋体" w:cs="宋体"/>
          <w:color w:val="000000" w:themeColor="text1"/>
          <w:spacing w:val="20"/>
          <w:sz w:val="28"/>
          <w:szCs w:val="36"/>
          <w:highlight w:val="none"/>
          <w:u w:val="single"/>
          <w:lang w:eastAsia="zh-CN"/>
          <w14:textFill>
            <w14:solidFill>
              <w14:schemeClr w14:val="tx1"/>
            </w14:solidFill>
          </w14:textFill>
        </w:rPr>
        <w:t>浦北县石埇镇人民政府</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p>
    <w:p w14:paraId="252B37D7">
      <w:pPr>
        <w:shd w:val="clear"/>
        <w:rPr>
          <w:rFonts w:ascii="宋体" w:hAnsi="宋体" w:eastAsia="宋体" w:cs="宋体"/>
          <w:color w:val="000000" w:themeColor="text1"/>
          <w:spacing w:val="20"/>
          <w:sz w:val="28"/>
          <w:szCs w:val="36"/>
          <w:highlight w:val="none"/>
          <w14:textFill>
            <w14:solidFill>
              <w14:schemeClr w14:val="tx1"/>
            </w14:solidFill>
          </w14:textFill>
        </w:rPr>
      </w:pPr>
    </w:p>
    <w:p w14:paraId="2CC92B2E">
      <w:pPr>
        <w:shd w:val="clea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承包人（乙方）：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p>
    <w:p w14:paraId="06B46B72">
      <w:pPr>
        <w:shd w:val="clear"/>
        <w:rPr>
          <w:rFonts w:ascii="宋体" w:hAnsi="宋体" w:eastAsia="宋体" w:cs="宋体"/>
          <w:color w:val="000000" w:themeColor="text1"/>
          <w:spacing w:val="20"/>
          <w:sz w:val="28"/>
          <w:szCs w:val="36"/>
          <w:highlight w:val="none"/>
          <w14:textFill>
            <w14:solidFill>
              <w14:schemeClr w14:val="tx1"/>
            </w14:solidFill>
          </w14:textFill>
        </w:rPr>
      </w:pPr>
    </w:p>
    <w:p w14:paraId="2231983D">
      <w:pPr>
        <w:shd w:val="clear"/>
        <w:rPr>
          <w:rFonts w:ascii="宋体" w:hAnsi="宋体" w:eastAsia="宋体" w:cs="宋体"/>
          <w:color w:val="000000" w:themeColor="text1"/>
          <w:spacing w:val="20"/>
          <w:sz w:val="32"/>
          <w:szCs w:val="40"/>
          <w:highlight w:val="none"/>
          <w14:textFill>
            <w14:solidFill>
              <w14:schemeClr w14:val="tx1"/>
            </w14:solidFill>
          </w14:textFill>
        </w:rPr>
      </w:pPr>
      <w:r>
        <w:rPr>
          <w:rFonts w:hint="eastAsia" w:ascii="宋体" w:hAnsi="宋体" w:eastAsia="宋体" w:cs="宋体"/>
          <w:color w:val="000000" w:themeColor="text1"/>
          <w:spacing w:val="20"/>
          <w:sz w:val="32"/>
          <w:szCs w:val="40"/>
          <w:highlight w:val="none"/>
          <w14:textFill>
            <w14:solidFill>
              <w14:schemeClr w14:val="tx1"/>
            </w14:solidFill>
          </w14:textFill>
        </w:rPr>
        <w:t>日      期：</w:t>
      </w:r>
      <w:r>
        <w:rPr>
          <w:rFonts w:hint="eastAsia" w:ascii="宋体" w:hAnsi="宋体" w:eastAsia="宋体" w:cs="宋体"/>
          <w:color w:val="000000" w:themeColor="text1"/>
          <w:spacing w:val="20"/>
          <w:sz w:val="32"/>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32"/>
          <w:szCs w:val="40"/>
          <w:highlight w:val="none"/>
          <w14:textFill>
            <w14:solidFill>
              <w14:schemeClr w14:val="tx1"/>
            </w14:solidFill>
          </w14:textFill>
        </w:rPr>
        <w:t xml:space="preserve"> 年</w:t>
      </w:r>
      <w:r>
        <w:rPr>
          <w:rFonts w:hint="eastAsia" w:ascii="宋体" w:hAnsi="宋体" w:eastAsia="宋体" w:cs="宋体"/>
          <w:color w:val="000000" w:themeColor="text1"/>
          <w:spacing w:val="20"/>
          <w:sz w:val="32"/>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32"/>
          <w:szCs w:val="40"/>
          <w:highlight w:val="none"/>
          <w14:textFill>
            <w14:solidFill>
              <w14:schemeClr w14:val="tx1"/>
            </w14:solidFill>
          </w14:textFill>
        </w:rPr>
        <w:t xml:space="preserve">月 </w:t>
      </w:r>
      <w:r>
        <w:rPr>
          <w:rFonts w:hint="eastAsia" w:ascii="宋体" w:hAnsi="宋体" w:eastAsia="宋体" w:cs="宋体"/>
          <w:color w:val="000000" w:themeColor="text1"/>
          <w:spacing w:val="20"/>
          <w:sz w:val="32"/>
          <w:szCs w:val="4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32"/>
          <w:szCs w:val="40"/>
          <w:highlight w:val="none"/>
          <w14:textFill>
            <w14:solidFill>
              <w14:schemeClr w14:val="tx1"/>
            </w14:solidFill>
          </w14:textFill>
        </w:rPr>
        <w:t>日</w:t>
      </w:r>
    </w:p>
    <w:p w14:paraId="47F544FD">
      <w:pPr>
        <w:shd w:val="clear"/>
        <w:ind w:firstLine="1080" w:firstLineChars="300"/>
        <w:rPr>
          <w:rFonts w:ascii="宋体" w:hAnsi="宋体" w:eastAsia="宋体" w:cs="宋体"/>
          <w:color w:val="000000" w:themeColor="text1"/>
          <w:spacing w:val="20"/>
          <w:sz w:val="32"/>
          <w:szCs w:val="40"/>
          <w:highlight w:val="none"/>
          <w14:textFill>
            <w14:solidFill>
              <w14:schemeClr w14:val="tx1"/>
            </w14:solidFill>
          </w14:textFill>
        </w:rPr>
      </w:pPr>
    </w:p>
    <w:p w14:paraId="4915CB0D">
      <w:pPr>
        <w:shd w:val="clear"/>
        <w:rPr>
          <w:rFonts w:ascii="宋体" w:hAnsi="宋体" w:eastAsia="宋体" w:cs="宋体"/>
          <w:color w:val="000000" w:themeColor="text1"/>
          <w:spacing w:val="20"/>
          <w:sz w:val="32"/>
          <w:szCs w:val="40"/>
          <w:highlight w:val="none"/>
          <w14:textFill>
            <w14:solidFill>
              <w14:schemeClr w14:val="tx1"/>
            </w14:solidFill>
          </w14:textFill>
        </w:rPr>
      </w:pPr>
    </w:p>
    <w:p w14:paraId="089CF66D">
      <w:pPr>
        <w:pStyle w:val="2"/>
        <w:numPr>
          <w:ilvl w:val="0"/>
          <w:numId w:val="2"/>
        </w:numPr>
        <w:shd w:val="clear"/>
        <w:jc w:val="center"/>
        <w:rPr>
          <w:rFonts w:ascii="宋体" w:hAnsi="宋体" w:eastAsia="宋体" w:cs="宋体"/>
          <w:color w:val="000000" w:themeColor="text1"/>
          <w:spacing w:val="20"/>
          <w:sz w:val="40"/>
          <w:szCs w:val="52"/>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bookmarkStart w:id="79" w:name="_Toc351203480"/>
      <w:bookmarkStart w:id="80" w:name="_Toc12680"/>
      <w:bookmarkStart w:id="81" w:name="_Toc373478199"/>
      <w:bookmarkStart w:id="82" w:name="_Toc296503025"/>
      <w:bookmarkStart w:id="83" w:name="_Toc26265"/>
      <w:bookmarkStart w:id="84" w:name="_Toc389065255"/>
      <w:bookmarkStart w:id="85" w:name="_Toc373227552"/>
      <w:bookmarkStart w:id="86" w:name="_Toc296890982"/>
    </w:p>
    <w:bookmarkEnd w:id="79"/>
    <w:bookmarkEnd w:id="80"/>
    <w:bookmarkEnd w:id="81"/>
    <w:bookmarkEnd w:id="82"/>
    <w:bookmarkEnd w:id="83"/>
    <w:bookmarkEnd w:id="84"/>
    <w:bookmarkEnd w:id="85"/>
    <w:bookmarkEnd w:id="86"/>
    <w:p w14:paraId="6E20ED18">
      <w:pPr>
        <w:pStyle w:val="3"/>
        <w:numPr>
          <w:ilvl w:val="0"/>
          <w:numId w:val="2"/>
        </w:numPr>
        <w:shd w:val="clear"/>
        <w:jc w:val="center"/>
        <w:outlineLvl w:val="1"/>
        <w:rPr>
          <w:rFonts w:ascii="宋体" w:hAnsi="宋体" w:eastAsia="宋体" w:cs="宋体"/>
          <w:color w:val="000000" w:themeColor="text1"/>
          <w:spacing w:val="20"/>
          <w:sz w:val="24"/>
          <w:szCs w:val="32"/>
          <w:highlight w:val="none"/>
          <w14:textFill>
            <w14:solidFill>
              <w14:schemeClr w14:val="tx1"/>
            </w14:solidFill>
          </w14:textFill>
        </w:rPr>
      </w:pPr>
      <w:bookmarkStart w:id="87" w:name="_Toc351203481"/>
      <w:r>
        <w:rPr>
          <w:rFonts w:hint="eastAsia" w:ascii="宋体" w:hAnsi="宋体" w:eastAsia="宋体" w:cs="宋体"/>
          <w:color w:val="000000" w:themeColor="text1"/>
          <w:spacing w:val="20"/>
          <w:sz w:val="36"/>
          <w:szCs w:val="48"/>
          <w:highlight w:val="none"/>
          <w14:textFill>
            <w14:solidFill>
              <w14:schemeClr w14:val="tx1"/>
            </w14:solidFill>
          </w14:textFill>
        </w:rPr>
        <w:t>合同协议书</w:t>
      </w:r>
    </w:p>
    <w:p w14:paraId="64D2F162">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浦北县石埇镇人民政府</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535FC977">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2ABB0A39">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u w:val="single"/>
          <w:lang w:eastAsia="zh-CN"/>
          <w14:textFill>
            <w14:solidFill>
              <w14:schemeClr w14:val="tx1"/>
            </w14:solidFill>
          </w14:textFill>
        </w:rPr>
        <w:t>浦北县石埇镇人民政府</w:t>
      </w:r>
      <w:r>
        <w:rPr>
          <w:rFonts w:hint="eastAsia" w:ascii="宋体" w:hAnsi="宋体" w:eastAsia="宋体" w:cs="宋体"/>
          <w:color w:val="000000" w:themeColor="text1"/>
          <w:spacing w:val="20"/>
          <w:sz w:val="24"/>
          <w:highlight w:val="none"/>
          <w14:textFill>
            <w14:solidFill>
              <w14:schemeClr w14:val="tx1"/>
            </w14:solidFill>
          </w14:textFill>
        </w:rPr>
        <w:t>（以下称发包人）为实施</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（工程名称）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，根据《中华人民共和国</w:t>
      </w:r>
      <w:r>
        <w:rPr>
          <w:rFonts w:hint="eastAsia" w:ascii="宋体" w:hAnsi="宋体" w:eastAsia="宋体" w:cs="宋体"/>
          <w:color w:val="000000" w:themeColor="text1"/>
          <w:spacing w:val="20"/>
          <w:sz w:val="24"/>
          <w:highlight w:val="none"/>
          <w:lang w:eastAsia="zh-CN"/>
          <w14:textFill>
            <w14:solidFill>
              <w14:schemeClr w14:val="tx1"/>
            </w14:solidFill>
          </w14:textFill>
        </w:rPr>
        <w:t>民法典</w:t>
      </w:r>
      <w:r>
        <w:rPr>
          <w:rFonts w:hint="eastAsia" w:ascii="宋体" w:hAnsi="宋体" w:eastAsia="宋体" w:cs="宋体"/>
          <w:color w:val="000000" w:themeColor="text1"/>
          <w:spacing w:val="20"/>
          <w:sz w:val="24"/>
          <w:highlight w:val="none"/>
          <w14:textFill>
            <w14:solidFill>
              <w14:schemeClr w14:val="tx1"/>
            </w14:solidFill>
          </w14:textFill>
        </w:rPr>
        <w:t>》、《中华人民共和国建筑法》及有关法律规定，遵循平等、自愿、公平和诚实信用的原则，双方就</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（工程名称）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工程施工及有关事项协商一致，共同达成如下协议：</w:t>
      </w:r>
    </w:p>
    <w:p w14:paraId="6FF5D7EE">
      <w:pPr>
        <w:keepNext w:val="0"/>
        <w:keepLines w:val="0"/>
        <w:pageBreakBefore w:val="0"/>
        <w:widowControl w:val="0"/>
        <w:shd w:val="clear"/>
        <w:kinsoku/>
        <w:wordWrap/>
        <w:overflowPunct/>
        <w:topLinePunct w:val="0"/>
        <w:bidi w:val="0"/>
        <w:adjustRightInd w:val="0"/>
        <w:snapToGrid w:val="0"/>
        <w:spacing w:line="380" w:lineRule="exact"/>
        <w:ind w:firstLine="562" w:firstLineChars="200"/>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一、工程概况</w:t>
      </w:r>
      <w:bookmarkEnd w:id="87"/>
    </w:p>
    <w:p w14:paraId="192841B9">
      <w:pPr>
        <w:keepNext w:val="0"/>
        <w:keepLines w:val="0"/>
        <w:pageBreakBefore w:val="0"/>
        <w:widowControl w:val="0"/>
        <w:shd w:val="clear"/>
        <w:kinsoku/>
        <w:wordWrap/>
        <w:overflowPunct/>
        <w:topLinePunct w:val="0"/>
        <w:bidi w:val="0"/>
        <w:adjustRightInd w:val="0"/>
        <w:snapToGrid w:val="0"/>
        <w:spacing w:line="380" w:lineRule="exact"/>
        <w:ind w:firstLine="548" w:firstLineChars="196"/>
        <w:textAlignment w:val="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工程名称</w:t>
      </w:r>
      <w:r>
        <w:rPr>
          <w:rFonts w:hint="eastAsia" w:ascii="宋体" w:hAnsi="宋体" w:eastAsia="宋体" w:cs="宋体"/>
          <w:color w:val="000000" w:themeColor="text1"/>
          <w:spacing w:val="20"/>
          <w:sz w:val="24"/>
          <w:highlight w:val="none"/>
          <w14:textFill>
            <w14:solidFill>
              <w14:schemeClr w14:val="tx1"/>
            </w14:solidFill>
          </w14:textFill>
        </w:rPr>
        <w:t>：</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14:paraId="4125FE0E">
      <w:pPr>
        <w:keepNext w:val="0"/>
        <w:keepLines w:val="0"/>
        <w:pageBreakBefore w:val="0"/>
        <w:widowControl w:val="0"/>
        <w:shd w:val="clear"/>
        <w:kinsoku/>
        <w:wordWrap/>
        <w:overflowPunct/>
        <w:topLinePunct w:val="0"/>
        <w:bidi w:val="0"/>
        <w:adjustRightInd w:val="0"/>
        <w:snapToGrid w:val="0"/>
        <w:spacing w:line="380" w:lineRule="exact"/>
        <w:ind w:firstLine="548" w:firstLineChars="196"/>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工程地点：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14:paraId="12D40E5B">
      <w:pPr>
        <w:keepNext w:val="0"/>
        <w:keepLines w:val="0"/>
        <w:pageBreakBefore w:val="0"/>
        <w:widowControl w:val="0"/>
        <w:shd w:val="clear"/>
        <w:kinsoku/>
        <w:wordWrap/>
        <w:overflowPunct/>
        <w:topLinePunct w:val="0"/>
        <w:bidi w:val="0"/>
        <w:adjustRightInd w:val="0"/>
        <w:snapToGrid w:val="0"/>
        <w:spacing w:line="380" w:lineRule="exact"/>
        <w:ind w:firstLine="548" w:firstLineChars="196"/>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工程立项批准文号：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w:t>
      </w:r>
    </w:p>
    <w:p w14:paraId="537EA045">
      <w:pPr>
        <w:keepNext w:val="0"/>
        <w:keepLines w:val="0"/>
        <w:pageBreakBefore w:val="0"/>
        <w:widowControl w:val="0"/>
        <w:shd w:val="clear"/>
        <w:kinsoku/>
        <w:wordWrap/>
        <w:overflowPunct/>
        <w:topLinePunct w:val="0"/>
        <w:bidi w:val="0"/>
        <w:adjustRightInd w:val="0"/>
        <w:snapToGrid w:val="0"/>
        <w:spacing w:line="380" w:lineRule="exact"/>
        <w:ind w:firstLine="548" w:firstLineChars="196"/>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4. 资金来源：</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w:t>
      </w:r>
    </w:p>
    <w:p w14:paraId="1F565BCE">
      <w:pPr>
        <w:keepNext w:val="0"/>
        <w:keepLines w:val="0"/>
        <w:pageBreakBefore w:val="0"/>
        <w:widowControl w:val="0"/>
        <w:shd w:val="clear"/>
        <w:kinsoku/>
        <w:wordWrap/>
        <w:overflowPunct/>
        <w:topLinePunct w:val="0"/>
        <w:bidi w:val="0"/>
        <w:adjustRightInd w:val="0"/>
        <w:snapToGrid w:val="0"/>
        <w:spacing w:line="380" w:lineRule="exact"/>
        <w:ind w:firstLine="548" w:firstLineChars="196"/>
        <w:textAlignment w:val="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5. 工程内容：</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zh-CN" w:eastAsia="zh-CN"/>
          <w14:textFill>
            <w14:solidFill>
              <w14:schemeClr w14:val="tx1"/>
            </w14:solidFill>
          </w14:textFill>
        </w:rPr>
        <w:t>等</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w:t>
      </w:r>
    </w:p>
    <w:p w14:paraId="507E01EC">
      <w:pPr>
        <w:keepNext w:val="0"/>
        <w:keepLines w:val="0"/>
        <w:pageBreakBefore w:val="0"/>
        <w:widowControl w:val="0"/>
        <w:shd w:val="clear"/>
        <w:kinsoku/>
        <w:wordWrap/>
        <w:overflowPunct/>
        <w:topLinePunct w:val="0"/>
        <w:bidi w:val="0"/>
        <w:adjustRightInd w:val="0"/>
        <w:snapToGrid w:val="0"/>
        <w:spacing w:line="380" w:lineRule="exact"/>
        <w:ind w:firstLine="548" w:firstLineChars="196"/>
        <w:textAlignment w:val="auto"/>
        <w:outlineLvl w:val="9"/>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6. 工程承包范围：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详见工程量清单所包含内容 </w:t>
      </w:r>
      <w:r>
        <w:rPr>
          <w:rFonts w:hint="eastAsia" w:ascii="宋体" w:hAnsi="宋体" w:eastAsia="宋体" w:cs="宋体"/>
          <w:color w:val="000000" w:themeColor="text1"/>
          <w:spacing w:val="20"/>
          <w:sz w:val="24"/>
          <w:highlight w:val="none"/>
          <w14:textFill>
            <w14:solidFill>
              <w14:schemeClr w14:val="tx1"/>
            </w14:solidFill>
          </w14:textFill>
        </w:rPr>
        <w:t>。</w:t>
      </w:r>
    </w:p>
    <w:p w14:paraId="649A0465">
      <w:pPr>
        <w:keepNext w:val="0"/>
        <w:keepLines w:val="0"/>
        <w:pageBreakBefore w:val="0"/>
        <w:widowControl w:val="0"/>
        <w:shd w:val="clear"/>
        <w:kinsoku/>
        <w:wordWrap/>
        <w:overflowPunct/>
        <w:topLinePunct w:val="0"/>
        <w:bidi w:val="0"/>
        <w:adjustRightInd w:val="0"/>
        <w:snapToGrid w:val="0"/>
        <w:spacing w:line="380" w:lineRule="exact"/>
        <w:ind w:firstLine="542" w:firstLineChars="193"/>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88" w:name="_Toc351203482"/>
      <w:r>
        <w:rPr>
          <w:rFonts w:hint="eastAsia" w:ascii="宋体" w:hAnsi="宋体" w:eastAsia="宋体" w:cs="宋体"/>
          <w:b/>
          <w:bCs/>
          <w:color w:val="000000" w:themeColor="text1"/>
          <w:spacing w:val="20"/>
          <w:sz w:val="24"/>
          <w:highlight w:val="none"/>
          <w14:textFill>
            <w14:solidFill>
              <w14:schemeClr w14:val="tx1"/>
            </w14:solidFill>
          </w14:textFill>
        </w:rPr>
        <w:t>二、合同工期</w:t>
      </w:r>
      <w:bookmarkEnd w:id="88"/>
    </w:p>
    <w:p w14:paraId="09508F8C">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计划开工日期：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日。（具体以开工令为准）</w:t>
      </w:r>
    </w:p>
    <w:p w14:paraId="1C08394D">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计划竣工日期：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w:t>
      </w:r>
    </w:p>
    <w:p w14:paraId="69FF2422">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工期总日历天数：</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cs="宋体"/>
          <w:b/>
          <w:bCs/>
          <w:color w:val="000000" w:themeColor="text1"/>
          <w:spacing w:val="20"/>
          <w:sz w:val="24"/>
          <w:highlight w:val="none"/>
          <w:u w:val="single"/>
          <w:lang w:val="en-US" w:eastAsia="zh-CN"/>
          <w14:textFill>
            <w14:solidFill>
              <w14:schemeClr w14:val="tx1"/>
            </w14:solidFill>
          </w14:textFill>
        </w:rPr>
        <w:t>210</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天。工期总日历天数与根据前述计划开竣工日期计算的工期天数不一致的，以工期总日历天数为准。</w:t>
      </w:r>
    </w:p>
    <w:p w14:paraId="26C4FC59">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89" w:name="_Toc351203483"/>
      <w:r>
        <w:rPr>
          <w:rFonts w:hint="eastAsia" w:ascii="宋体" w:hAnsi="宋体" w:eastAsia="宋体" w:cs="宋体"/>
          <w:b/>
          <w:bCs/>
          <w:color w:val="000000" w:themeColor="text1"/>
          <w:spacing w:val="20"/>
          <w:sz w:val="24"/>
          <w:highlight w:val="none"/>
          <w14:textFill>
            <w14:solidFill>
              <w14:schemeClr w14:val="tx1"/>
            </w14:solidFill>
          </w14:textFill>
        </w:rPr>
        <w:t>三、质量标准</w:t>
      </w:r>
      <w:bookmarkEnd w:id="89"/>
    </w:p>
    <w:p w14:paraId="68466533">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工程质量符合</w:t>
      </w:r>
      <w:r>
        <w:rPr>
          <w:rFonts w:hint="eastAsia" w:ascii="宋体" w:hAnsi="宋体" w:eastAsia="宋体" w:cs="宋体"/>
          <w:color w:val="000000" w:themeColor="text1"/>
          <w:spacing w:val="20"/>
          <w:sz w:val="24"/>
          <w:highlight w:val="none"/>
          <w:u w:val="single"/>
          <w14:textFill>
            <w14:solidFill>
              <w14:schemeClr w14:val="tx1"/>
            </w14:solidFill>
          </w14:textFill>
        </w:rPr>
        <w:t>《工程施工质量验收规范》合格</w:t>
      </w:r>
      <w:r>
        <w:rPr>
          <w:rFonts w:hint="eastAsia" w:ascii="宋体" w:hAnsi="宋体" w:eastAsia="宋体" w:cs="宋体"/>
          <w:color w:val="000000" w:themeColor="text1"/>
          <w:spacing w:val="20"/>
          <w:sz w:val="24"/>
          <w:highlight w:val="none"/>
          <w14:textFill>
            <w14:solidFill>
              <w14:schemeClr w14:val="tx1"/>
            </w14:solidFill>
          </w14:textFill>
        </w:rPr>
        <w:t>标准。</w:t>
      </w:r>
    </w:p>
    <w:p w14:paraId="6B563A92">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90" w:name="_Toc351203484"/>
      <w:r>
        <w:rPr>
          <w:rFonts w:hint="eastAsia" w:ascii="宋体" w:hAnsi="宋体" w:eastAsia="宋体" w:cs="宋体"/>
          <w:b/>
          <w:bCs/>
          <w:color w:val="000000" w:themeColor="text1"/>
          <w:spacing w:val="20"/>
          <w:sz w:val="24"/>
          <w:highlight w:val="none"/>
          <w14:textFill>
            <w14:solidFill>
              <w14:schemeClr w14:val="tx1"/>
            </w14:solidFill>
          </w14:textFill>
        </w:rPr>
        <w:t>四、签约合同价与合同价格形式</w:t>
      </w:r>
      <w:bookmarkEnd w:id="90"/>
    </w:p>
    <w:p w14:paraId="3B03028D">
      <w:pPr>
        <w:keepNext w:val="0"/>
        <w:keepLines w:val="0"/>
        <w:pageBreakBefore w:val="0"/>
        <w:widowControl w:val="0"/>
        <w:shd w:val="clear"/>
        <w:kinsoku/>
        <w:wordWrap/>
        <w:overflowPunct/>
        <w:topLinePunct w:val="0"/>
        <w:bidi w:val="0"/>
        <w:adjustRightInd w:val="0"/>
        <w:snapToGrid w:val="0"/>
        <w:spacing w:line="380" w:lineRule="exact"/>
        <w:ind w:firstLine="459"/>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 签约合同价为：</w:t>
      </w:r>
    </w:p>
    <w:p w14:paraId="3CA7F067">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人民币（大写</w:t>
      </w:r>
      <w:r>
        <w:rPr>
          <w:rFonts w:hint="eastAsia" w:ascii="宋体" w:hAnsi="宋体" w:eastAsia="宋体" w:cs="宋体"/>
          <w:color w:val="000000" w:themeColor="text1"/>
          <w:spacing w:val="20"/>
          <w:sz w:val="24"/>
          <w:highlight w:val="none"/>
          <w:lang w:eastAsia="zh-CN"/>
          <w14:textFill>
            <w14:solidFill>
              <w14:schemeClr w14:val="tx1"/>
            </w14:solidFill>
          </w14:textFill>
        </w:rPr>
        <w:t>：</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14:paraId="6EFE41B3">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最终执行：如果结算审计价高于合同的按合同价执行，如果低于合同价的按审计价执行。</w:t>
      </w:r>
    </w:p>
    <w:p w14:paraId="561B64A7">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 合同价格形式：</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固定综合单价   </w:t>
      </w:r>
      <w:r>
        <w:rPr>
          <w:rFonts w:hint="eastAsia" w:ascii="宋体" w:hAnsi="宋体" w:eastAsia="宋体" w:cs="宋体"/>
          <w:color w:val="000000" w:themeColor="text1"/>
          <w:spacing w:val="20"/>
          <w:sz w:val="24"/>
          <w:highlight w:val="none"/>
          <w14:textFill>
            <w14:solidFill>
              <w14:schemeClr w14:val="tx1"/>
            </w14:solidFill>
          </w14:textFill>
        </w:rPr>
        <w:t>。</w:t>
      </w:r>
    </w:p>
    <w:p w14:paraId="792E9AFE">
      <w:pPr>
        <w:keepNext w:val="0"/>
        <w:keepLines w:val="0"/>
        <w:pageBreakBefore w:val="0"/>
        <w:widowControl w:val="0"/>
        <w:shd w:val="clear"/>
        <w:kinsoku/>
        <w:wordWrap/>
        <w:overflowPunct/>
        <w:topLinePunct w:val="0"/>
        <w:bidi w:val="0"/>
        <w:adjustRightInd w:val="0"/>
        <w:snapToGrid w:val="0"/>
        <w:spacing w:line="380" w:lineRule="exact"/>
        <w:ind w:firstLine="562" w:firstLineChars="200"/>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91" w:name="_Toc351203485"/>
      <w:r>
        <w:rPr>
          <w:rFonts w:hint="eastAsia" w:ascii="宋体" w:hAnsi="宋体" w:eastAsia="宋体" w:cs="宋体"/>
          <w:b/>
          <w:bCs/>
          <w:color w:val="000000" w:themeColor="text1"/>
          <w:spacing w:val="20"/>
          <w:sz w:val="24"/>
          <w:highlight w:val="none"/>
          <w14:textFill>
            <w14:solidFill>
              <w14:schemeClr w14:val="tx1"/>
            </w14:solidFill>
          </w14:textFill>
        </w:rPr>
        <w:t>五、</w:t>
      </w:r>
      <w:bookmarkEnd w:id="91"/>
      <w:r>
        <w:rPr>
          <w:rFonts w:hint="eastAsia" w:ascii="宋体" w:hAnsi="宋体" w:eastAsia="宋体" w:cs="宋体"/>
          <w:b/>
          <w:bCs/>
          <w:color w:val="000000" w:themeColor="text1"/>
          <w:spacing w:val="20"/>
          <w:sz w:val="24"/>
          <w:highlight w:val="none"/>
          <w14:textFill>
            <w14:solidFill>
              <w14:schemeClr w14:val="tx1"/>
            </w14:solidFill>
          </w14:textFill>
        </w:rPr>
        <w:t>项目经理</w:t>
      </w:r>
    </w:p>
    <w:p w14:paraId="3BFA1D82">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承包人项目经理：</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14:paraId="76307178">
      <w:pPr>
        <w:keepNext w:val="0"/>
        <w:keepLines w:val="0"/>
        <w:pageBreakBefore w:val="0"/>
        <w:widowControl w:val="0"/>
        <w:shd w:val="clear"/>
        <w:kinsoku/>
        <w:wordWrap/>
        <w:overflowPunct/>
        <w:topLinePunct w:val="0"/>
        <w:bidi w:val="0"/>
        <w:adjustRightInd w:val="0"/>
        <w:snapToGrid w:val="0"/>
        <w:spacing w:line="380" w:lineRule="exact"/>
        <w:ind w:firstLine="562" w:firstLineChars="200"/>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92" w:name="_Toc351203486"/>
      <w:r>
        <w:rPr>
          <w:rFonts w:hint="eastAsia" w:ascii="宋体" w:hAnsi="宋体" w:eastAsia="宋体" w:cs="宋体"/>
          <w:b/>
          <w:bCs/>
          <w:color w:val="000000" w:themeColor="text1"/>
          <w:spacing w:val="20"/>
          <w:sz w:val="24"/>
          <w:highlight w:val="none"/>
          <w14:textFill>
            <w14:solidFill>
              <w14:schemeClr w14:val="tx1"/>
            </w14:solidFill>
          </w14:textFill>
        </w:rPr>
        <w:t>六、合同文件构成</w:t>
      </w:r>
      <w:bookmarkEnd w:id="92"/>
    </w:p>
    <w:p w14:paraId="235D1007">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1.本协议书与下列文件一起构成合同文件：</w:t>
      </w:r>
    </w:p>
    <w:p w14:paraId="0D0B5451">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（1）中标通知书（如有）；</w:t>
      </w:r>
    </w:p>
    <w:p w14:paraId="656E2AEB">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（2）投标函及其附录（如有）； </w:t>
      </w:r>
    </w:p>
    <w:p w14:paraId="1A2E4FCD">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（3）专用合同条款及其附件；</w:t>
      </w:r>
    </w:p>
    <w:p w14:paraId="7894FED8">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（4）通用合同条款；</w:t>
      </w:r>
    </w:p>
    <w:p w14:paraId="25BB2797">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（5）技术标准和要求；</w:t>
      </w:r>
    </w:p>
    <w:p w14:paraId="41A7DD8F">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（6）已标价工程量清单或预算书； </w:t>
      </w:r>
    </w:p>
    <w:p w14:paraId="152F6412">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（7）图纸；</w:t>
      </w:r>
    </w:p>
    <w:p w14:paraId="034F7262">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（8）其他合同文件。</w:t>
      </w:r>
    </w:p>
    <w:p w14:paraId="0391EFCE">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2.双方有关工程的洽商、变更等书面协议或文件视为本合同的组成部分。</w:t>
      </w:r>
    </w:p>
    <w:p w14:paraId="0FC75EAD">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0" w:firstLineChars="200"/>
        <w:jc w:val="left"/>
        <w:textAlignment w:val="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6344DDC9">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firstLine="562" w:firstLineChars="200"/>
        <w:jc w:val="left"/>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93" w:name="_Toc351203487"/>
      <w:r>
        <w:rPr>
          <w:rFonts w:hint="eastAsia" w:ascii="宋体" w:hAnsi="宋体" w:eastAsia="宋体" w:cs="宋体"/>
          <w:b/>
          <w:bCs/>
          <w:color w:val="000000" w:themeColor="text1"/>
          <w:spacing w:val="20"/>
          <w:sz w:val="24"/>
          <w:highlight w:val="none"/>
          <w14:textFill>
            <w14:solidFill>
              <w14:schemeClr w14:val="tx1"/>
            </w14:solidFill>
          </w14:textFill>
        </w:rPr>
        <w:t>七、承诺</w:t>
      </w:r>
      <w:bookmarkEnd w:id="93"/>
    </w:p>
    <w:p w14:paraId="06C6C959">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发包人承诺按照法律规定履行项目审批手续、筹集工程建设资金并按照合同约定的期限和方式支付合同价款。</w:t>
      </w:r>
    </w:p>
    <w:p w14:paraId="6ACE2883">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承包人承诺按照法律规定及合同约定组织完成工程施工，确保工程质量和安全，不进行转包及违法分包，并在缺陷责任期及保修期内承担相应的工程维修责任。</w:t>
      </w:r>
    </w:p>
    <w:p w14:paraId="3F11658E">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hint="eastAsia"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发包人和承包人签订</w:t>
      </w:r>
      <w:r>
        <w:rPr>
          <w:rFonts w:hint="eastAsia" w:ascii="宋体" w:hAnsi="宋体" w:eastAsia="宋体" w:cs="宋体"/>
          <w:bCs/>
          <w:color w:val="000000" w:themeColor="text1"/>
          <w:spacing w:val="20"/>
          <w:sz w:val="24"/>
          <w:highlight w:val="none"/>
          <w:lang w:eastAsia="zh-CN"/>
          <w14:textFill>
            <w14:solidFill>
              <w14:schemeClr w14:val="tx1"/>
            </w14:solidFill>
          </w14:textFill>
        </w:rPr>
        <w:t>的</w:t>
      </w:r>
      <w:r>
        <w:rPr>
          <w:rFonts w:hint="eastAsia" w:ascii="宋体" w:hAnsi="宋体" w:eastAsia="宋体" w:cs="宋体"/>
          <w:bCs/>
          <w:color w:val="000000" w:themeColor="text1"/>
          <w:spacing w:val="20"/>
          <w:sz w:val="24"/>
          <w:highlight w:val="none"/>
          <w14:textFill>
            <w14:solidFill>
              <w14:schemeClr w14:val="tx1"/>
            </w14:solidFill>
          </w14:textFill>
        </w:rPr>
        <w:t>合同，双方理解并承诺不再就同一工程另行签订与合同实质性内容相背离的协议。</w:t>
      </w:r>
      <w:bookmarkStart w:id="94" w:name="_Toc351203488"/>
      <w:r>
        <w:rPr>
          <w:rFonts w:hint="eastAsia" w:ascii="宋体" w:hAnsi="宋体" w:eastAsia="宋体" w:cs="宋体"/>
          <w:bCs/>
          <w:color w:val="000000" w:themeColor="text1"/>
          <w:spacing w:val="20"/>
          <w:sz w:val="24"/>
          <w:highlight w:val="none"/>
          <w:lang w:eastAsia="zh-CN"/>
          <w14:textFill>
            <w14:solidFill>
              <w14:schemeClr w14:val="tx1"/>
            </w14:solidFill>
          </w14:textFill>
        </w:rPr>
        <w:t>其他未说明的有关管理办法严格按浦政规〔</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2020</w:t>
      </w:r>
      <w:r>
        <w:rPr>
          <w:rFonts w:hint="eastAsia" w:ascii="宋体" w:hAnsi="宋体" w:eastAsia="宋体" w:cs="宋体"/>
          <w:bCs/>
          <w:color w:val="000000" w:themeColor="text1"/>
          <w:spacing w:val="20"/>
          <w:sz w:val="24"/>
          <w:highlight w:val="none"/>
          <w:lang w:eastAsia="zh-CN"/>
          <w14:textFill>
            <w14:solidFill>
              <w14:schemeClr w14:val="tx1"/>
            </w14:solidFill>
          </w14:textFill>
        </w:rPr>
        <w:t>〕</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 xml:space="preserve">1号及相关规范执行。比如 </w:t>
      </w:r>
    </w:p>
    <w:p w14:paraId="0CEE391C">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73F9B391">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2F2D5BA3">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（3）监理单位弄虚作假、超越权限，导致虚增工程量、多计价款的，不支付监理费，并由县行业行政监管部门给予处罚；给项目业主造成损失的，依法承担经济和法律责任。</w:t>
      </w:r>
    </w:p>
    <w:p w14:paraId="57610118">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hint="default"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监理单位一次弄虚作假、超越权限的，由县行业行政监管部门通报全县各镇（街道）、县直单位五年内不得参加本县政府投资项目的监理；造成经济损失的，依法承担赔偿责任；涉嫌犯罪的，依法追究刑事责任。</w:t>
      </w:r>
    </w:p>
    <w:p w14:paraId="0476EA84">
      <w:pPr>
        <w:keepNext w:val="0"/>
        <w:keepLines w:val="0"/>
        <w:pageBreakBefore w:val="0"/>
        <w:widowControl w:val="0"/>
        <w:shd w:val="clear"/>
        <w:kinsoku/>
        <w:wordWrap/>
        <w:overflowPunct/>
        <w:topLinePunct w:val="0"/>
        <w:bidi w:val="0"/>
        <w:adjustRightInd w:val="0"/>
        <w:snapToGrid w:val="0"/>
        <w:spacing w:line="380" w:lineRule="exact"/>
        <w:ind w:firstLine="562" w:firstLineChars="200"/>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八、词语含义</w:t>
      </w:r>
      <w:bookmarkEnd w:id="94"/>
    </w:p>
    <w:p w14:paraId="32F8AEC0">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本协议书中词语含义与第二部分通用合同条款中赋予的含义相同。</w:t>
      </w:r>
    </w:p>
    <w:p w14:paraId="237BD1FD">
      <w:pPr>
        <w:keepNext w:val="0"/>
        <w:keepLines w:val="0"/>
        <w:pageBreakBefore w:val="0"/>
        <w:widowControl w:val="0"/>
        <w:shd w:val="clear"/>
        <w:kinsoku/>
        <w:wordWrap/>
        <w:overflowPunct/>
        <w:topLinePunct w:val="0"/>
        <w:bidi w:val="0"/>
        <w:adjustRightInd w:val="0"/>
        <w:snapToGrid w:val="0"/>
        <w:spacing w:line="380" w:lineRule="exact"/>
        <w:ind w:firstLine="562" w:firstLineChars="200"/>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95" w:name="_Toc351203489"/>
      <w:r>
        <w:rPr>
          <w:rFonts w:hint="eastAsia" w:ascii="宋体" w:hAnsi="宋体" w:eastAsia="宋体" w:cs="宋体"/>
          <w:b/>
          <w:bCs/>
          <w:color w:val="000000" w:themeColor="text1"/>
          <w:spacing w:val="20"/>
          <w:sz w:val="24"/>
          <w:highlight w:val="none"/>
          <w14:textFill>
            <w14:solidFill>
              <w14:schemeClr w14:val="tx1"/>
            </w14:solidFill>
          </w14:textFill>
        </w:rPr>
        <w:t>九、签订时间</w:t>
      </w:r>
      <w:bookmarkEnd w:id="95"/>
    </w:p>
    <w:p w14:paraId="6F238E2F">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本合同于</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年</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月</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日签订。</w:t>
      </w:r>
    </w:p>
    <w:p w14:paraId="2007F6F0">
      <w:pPr>
        <w:keepNext w:val="0"/>
        <w:keepLines w:val="0"/>
        <w:pageBreakBefore w:val="0"/>
        <w:widowControl w:val="0"/>
        <w:shd w:val="clear"/>
        <w:kinsoku/>
        <w:wordWrap/>
        <w:overflowPunct/>
        <w:topLinePunct w:val="0"/>
        <w:bidi w:val="0"/>
        <w:adjustRightInd w:val="0"/>
        <w:snapToGrid w:val="0"/>
        <w:spacing w:line="380" w:lineRule="exact"/>
        <w:ind w:firstLine="562" w:firstLineChars="200"/>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96" w:name="_Toc351203490"/>
      <w:r>
        <w:rPr>
          <w:rFonts w:hint="eastAsia" w:ascii="宋体" w:hAnsi="宋体" w:eastAsia="宋体" w:cs="宋体"/>
          <w:b/>
          <w:bCs/>
          <w:color w:val="000000" w:themeColor="text1"/>
          <w:spacing w:val="20"/>
          <w:sz w:val="24"/>
          <w:highlight w:val="none"/>
          <w14:textFill>
            <w14:solidFill>
              <w14:schemeClr w14:val="tx1"/>
            </w14:solidFill>
          </w14:textFill>
        </w:rPr>
        <w:t>十、签订地点</w:t>
      </w:r>
      <w:bookmarkEnd w:id="96"/>
    </w:p>
    <w:p w14:paraId="543F824B">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本合同在</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cs="宋体"/>
          <w:bCs/>
          <w:color w:val="000000" w:themeColor="text1"/>
          <w:spacing w:val="20"/>
          <w:sz w:val="24"/>
          <w:highlight w:val="none"/>
          <w:u w:val="single"/>
          <w:lang w:eastAsia="zh-CN"/>
          <w14:textFill>
            <w14:solidFill>
              <w14:schemeClr w14:val="tx1"/>
            </w14:solidFill>
          </w14:textFill>
        </w:rPr>
        <w:t>浦北县石埇镇人民政府</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签订。</w:t>
      </w:r>
    </w:p>
    <w:p w14:paraId="7EF04798">
      <w:pPr>
        <w:keepNext w:val="0"/>
        <w:keepLines w:val="0"/>
        <w:pageBreakBefore w:val="0"/>
        <w:widowControl w:val="0"/>
        <w:shd w:val="clear"/>
        <w:kinsoku/>
        <w:wordWrap/>
        <w:overflowPunct/>
        <w:topLinePunct w:val="0"/>
        <w:bidi w:val="0"/>
        <w:adjustRightInd w:val="0"/>
        <w:snapToGrid w:val="0"/>
        <w:spacing w:line="380" w:lineRule="exact"/>
        <w:ind w:firstLine="562" w:firstLineChars="200"/>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97" w:name="_Toc351203491"/>
      <w:r>
        <w:rPr>
          <w:rFonts w:hint="eastAsia" w:ascii="宋体" w:hAnsi="宋体" w:eastAsia="宋体" w:cs="宋体"/>
          <w:b/>
          <w:bCs/>
          <w:color w:val="000000" w:themeColor="text1"/>
          <w:spacing w:val="20"/>
          <w:sz w:val="24"/>
          <w:highlight w:val="none"/>
          <w14:textFill>
            <w14:solidFill>
              <w14:schemeClr w14:val="tx1"/>
            </w14:solidFill>
          </w14:textFill>
        </w:rPr>
        <w:t>十一、补充协议</w:t>
      </w:r>
      <w:bookmarkEnd w:id="97"/>
    </w:p>
    <w:p w14:paraId="255D648B">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合同未尽事宜，合同当事人另行签订补充协议，补充协议是合同的组成部分。</w:t>
      </w:r>
    </w:p>
    <w:p w14:paraId="5E8F721B">
      <w:pPr>
        <w:keepNext w:val="0"/>
        <w:keepLines w:val="0"/>
        <w:pageBreakBefore w:val="0"/>
        <w:widowControl w:val="0"/>
        <w:shd w:val="clear"/>
        <w:kinsoku/>
        <w:wordWrap/>
        <w:overflowPunct/>
        <w:topLinePunct w:val="0"/>
        <w:bidi w:val="0"/>
        <w:adjustRightInd w:val="0"/>
        <w:snapToGrid w:val="0"/>
        <w:spacing w:line="380" w:lineRule="exact"/>
        <w:ind w:firstLine="562" w:firstLineChars="200"/>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98" w:name="_Toc351203492"/>
      <w:r>
        <w:rPr>
          <w:rFonts w:hint="eastAsia" w:ascii="宋体" w:hAnsi="宋体" w:eastAsia="宋体" w:cs="宋体"/>
          <w:b/>
          <w:bCs/>
          <w:color w:val="000000" w:themeColor="text1"/>
          <w:spacing w:val="20"/>
          <w:sz w:val="24"/>
          <w:highlight w:val="none"/>
          <w14:textFill>
            <w14:solidFill>
              <w14:schemeClr w14:val="tx1"/>
            </w14:solidFill>
          </w14:textFill>
        </w:rPr>
        <w:t>十二、合同生效</w:t>
      </w:r>
      <w:bookmarkEnd w:id="98"/>
    </w:p>
    <w:p w14:paraId="64D2E567">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本合同自</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双方法定代表人或其授权代理人签字并加盖单位公章之日起 </w:t>
      </w:r>
      <w:r>
        <w:rPr>
          <w:rFonts w:hint="eastAsia" w:ascii="宋体" w:hAnsi="宋体" w:eastAsia="宋体" w:cs="宋体"/>
          <w:bCs/>
          <w:color w:val="000000" w:themeColor="text1"/>
          <w:spacing w:val="20"/>
          <w:sz w:val="24"/>
          <w:highlight w:val="none"/>
          <w14:textFill>
            <w14:solidFill>
              <w14:schemeClr w14:val="tx1"/>
            </w14:solidFill>
          </w14:textFill>
        </w:rPr>
        <w:t>生效。</w:t>
      </w:r>
    </w:p>
    <w:p w14:paraId="499950EA">
      <w:pPr>
        <w:keepNext w:val="0"/>
        <w:keepLines w:val="0"/>
        <w:pageBreakBefore w:val="0"/>
        <w:widowControl w:val="0"/>
        <w:shd w:val="clear"/>
        <w:kinsoku/>
        <w:wordWrap/>
        <w:overflowPunct/>
        <w:topLinePunct w:val="0"/>
        <w:bidi w:val="0"/>
        <w:adjustRightInd w:val="0"/>
        <w:snapToGrid w:val="0"/>
        <w:spacing w:line="380" w:lineRule="exact"/>
        <w:ind w:firstLine="562" w:firstLineChars="200"/>
        <w:textAlignment w:val="auto"/>
        <w:outlineLvl w:val="2"/>
        <w:rPr>
          <w:rFonts w:ascii="宋体" w:hAnsi="宋体" w:eastAsia="宋体" w:cs="宋体"/>
          <w:b/>
          <w:bCs/>
          <w:color w:val="000000" w:themeColor="text1"/>
          <w:spacing w:val="20"/>
          <w:sz w:val="24"/>
          <w:highlight w:val="none"/>
          <w14:textFill>
            <w14:solidFill>
              <w14:schemeClr w14:val="tx1"/>
            </w14:solidFill>
          </w14:textFill>
        </w:rPr>
      </w:pPr>
      <w:bookmarkStart w:id="99" w:name="_Toc351203493"/>
      <w:r>
        <w:rPr>
          <w:rFonts w:hint="eastAsia" w:ascii="宋体" w:hAnsi="宋体" w:eastAsia="宋体" w:cs="宋体"/>
          <w:b/>
          <w:bCs/>
          <w:color w:val="000000" w:themeColor="text1"/>
          <w:spacing w:val="20"/>
          <w:sz w:val="24"/>
          <w:highlight w:val="none"/>
          <w14:textFill>
            <w14:solidFill>
              <w14:schemeClr w14:val="tx1"/>
            </w14:solidFill>
          </w14:textFill>
        </w:rPr>
        <w:t>十三、合同份数</w:t>
      </w:r>
      <w:bookmarkEnd w:id="99"/>
    </w:p>
    <w:p w14:paraId="3066D98D">
      <w:pPr>
        <w:keepNext w:val="0"/>
        <w:keepLines w:val="0"/>
        <w:pageBreakBefore w:val="0"/>
        <w:widowControl w:val="0"/>
        <w:shd w:val="clear"/>
        <w:kinsoku/>
        <w:wordWrap/>
        <w:overflowPunct/>
        <w:topLinePunct w:val="0"/>
        <w:bidi w:val="0"/>
        <w:adjustRightInd w:val="0"/>
        <w:snapToGrid w:val="0"/>
        <w:spacing w:line="380" w:lineRule="exact"/>
        <w:ind w:firstLine="560" w:firstLineChars="200"/>
        <w:textAlignment w:val="auto"/>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本合同一式</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捌 </w:t>
      </w:r>
      <w:r>
        <w:rPr>
          <w:rFonts w:hint="eastAsia" w:ascii="宋体" w:hAnsi="宋体" w:eastAsia="宋体" w:cs="宋体"/>
          <w:bCs/>
          <w:color w:val="000000" w:themeColor="text1"/>
          <w:spacing w:val="20"/>
          <w:sz w:val="24"/>
          <w:highlight w:val="none"/>
          <w14:textFill>
            <w14:solidFill>
              <w14:schemeClr w14:val="tx1"/>
            </w14:solidFill>
          </w14:textFill>
        </w:rPr>
        <w:t>份，均具有同等法律效力，发包人执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份，承包人执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w:t>
      </w:r>
    </w:p>
    <w:p w14:paraId="6AB67B88">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000000" w:themeColor="text1"/>
          <w:spacing w:val="20"/>
          <w:sz w:val="24"/>
          <w:highlight w:val="none"/>
          <w14:textFill>
            <w14:solidFill>
              <w14:schemeClr w14:val="tx1"/>
            </w14:solidFill>
          </w14:textFill>
        </w:rPr>
      </w:pPr>
      <w:bookmarkStart w:id="100" w:name="_Toc461982824"/>
      <w:bookmarkStart w:id="101" w:name="_Toc21285"/>
      <w:bookmarkStart w:id="102" w:name="_Toc425437329"/>
      <w:bookmarkStart w:id="103" w:name="_Toc389065256"/>
      <w:bookmarkStart w:id="104" w:name="_Toc16007"/>
      <w:bookmarkStart w:id="105" w:name="_Toc439779029"/>
      <w:bookmarkStart w:id="106" w:name="_Toc373227691"/>
      <w:bookmarkStart w:id="107" w:name="_Toc351203632"/>
      <w:bookmarkStart w:id="108" w:name="_Toc373478338"/>
      <w:r>
        <w:rPr>
          <w:rFonts w:hint="eastAsia" w:ascii="宋体" w:hAnsi="宋体" w:cs="宋体"/>
          <w:color w:val="000000" w:themeColor="text1"/>
          <w:spacing w:val="20"/>
          <w:sz w:val="24"/>
          <w:highlight w:val="none"/>
          <w14:textFill>
            <w14:solidFill>
              <w14:schemeClr w14:val="tx1"/>
            </w14:solidFill>
          </w14:textFill>
        </w:rPr>
        <w:t>发包人：  （公章）              承包人：  （公章）</w:t>
      </w:r>
    </w:p>
    <w:p w14:paraId="165E16C5">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法定代表人：                   法定代表人：</w:t>
      </w:r>
    </w:p>
    <w:p w14:paraId="4CD348D9">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或其委托代理人：               或其委托代理人：</w:t>
      </w:r>
    </w:p>
    <w:p w14:paraId="65F7275E">
      <w:pPr>
        <w:keepNext w:val="0"/>
        <w:keepLines w:val="0"/>
        <w:pageBreakBefore w:val="0"/>
        <w:widowControl w:val="0"/>
        <w:shd w:val="clear"/>
        <w:kinsoku/>
        <w:wordWrap/>
        <w:overflowPunct/>
        <w:topLinePunct w:val="0"/>
        <w:bidi w:val="0"/>
        <w:adjustRightInd w:val="0"/>
        <w:snapToGrid w:val="0"/>
        <w:spacing w:line="380" w:lineRule="exact"/>
        <w:textAlignment w:val="auto"/>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地址：</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地址：</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14:paraId="31A4D556">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2669FFD3">
      <w:pPr>
        <w:keepNext w:val="0"/>
        <w:keepLines w:val="0"/>
        <w:pageBreakBefore w:val="0"/>
        <w:widowControl w:val="0"/>
        <w:shd w:val="clear"/>
        <w:kinsoku/>
        <w:wordWrap/>
        <w:overflowPunct/>
        <w:topLinePunct w:val="0"/>
        <w:bidi w:val="0"/>
        <w:adjustRightInd w:val="0"/>
        <w:snapToGrid w:val="0"/>
        <w:spacing w:line="380" w:lineRule="exact"/>
        <w:textAlignment w:val="auto"/>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电话（传真）：</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电话（传真）：</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p>
    <w:p w14:paraId="62230DB3">
      <w:pPr>
        <w:keepNext w:val="0"/>
        <w:keepLines w:val="0"/>
        <w:pageBreakBefore w:val="0"/>
        <w:widowControl w:val="0"/>
        <w:shd w:val="clear"/>
        <w:kinsoku/>
        <w:wordWrap/>
        <w:overflowPunct/>
        <w:topLinePunct w:val="0"/>
        <w:bidi w:val="0"/>
        <w:adjustRightInd w:val="0"/>
        <w:snapToGrid w:val="0"/>
        <w:spacing w:line="380" w:lineRule="exact"/>
        <w:textAlignment w:val="auto"/>
        <w:rPr>
          <w:rFonts w:hint="default" w:ascii="宋体" w:hAnsi="宋体" w:cs="宋体"/>
          <w:color w:val="000000" w:themeColor="text1"/>
          <w:spacing w:val="20"/>
          <w:sz w:val="24"/>
          <w:highlight w:val="none"/>
          <w:lang w:val="en-US"/>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开户银行：</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开户银行：</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14:paraId="6420CAAE">
      <w:pPr>
        <w:keepNext w:val="0"/>
        <w:keepLines w:val="0"/>
        <w:pageBreakBefore w:val="0"/>
        <w:widowControl w:val="0"/>
        <w:shd w:val="clear"/>
        <w:kinsoku/>
        <w:wordWrap/>
        <w:overflowPunct/>
        <w:topLinePunct w:val="0"/>
        <w:bidi w:val="0"/>
        <w:adjustRightInd w:val="0"/>
        <w:snapToGrid w:val="0"/>
        <w:spacing w:line="380" w:lineRule="exact"/>
        <w:textAlignment w:val="auto"/>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账 号：</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账 号：</w:t>
      </w:r>
      <w:r>
        <w:rPr>
          <w:rFonts w:hint="eastAsia" w:asciiTheme="minorEastAsia" w:hAnsiTheme="minorEastAsia"/>
          <w:color w:val="000000" w:themeColor="text1"/>
          <w:sz w:val="24"/>
          <w:highlight w:val="none"/>
          <w:u w:val="single"/>
          <w:lang w:eastAsia="zh-CN"/>
          <w14:textFill>
            <w14:solidFill>
              <w14:schemeClr w14:val="tx1"/>
            </w14:solidFill>
          </w14:textFill>
        </w:rPr>
        <w:t xml:space="preserve"> </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42AA39D1">
      <w:pPr>
        <w:rPr>
          <w:rFonts w:hint="eastAsia" w:ascii="宋体" w:hAnsi="宋体" w:eastAsia="宋体" w:cs="宋体"/>
          <w:color w:val="000000" w:themeColor="text1"/>
          <w:spacing w:val="20"/>
          <w:szCs w:val="32"/>
          <w:highlight w:val="none"/>
          <w14:textFill>
            <w14:solidFill>
              <w14:schemeClr w14:val="tx1"/>
            </w14:solidFill>
          </w14:textFill>
        </w:rPr>
      </w:pPr>
      <w:r>
        <w:rPr>
          <w:rFonts w:hint="eastAsia" w:ascii="宋体" w:hAnsi="宋体" w:eastAsia="宋体" w:cs="宋体"/>
          <w:color w:val="000000" w:themeColor="text1"/>
          <w:spacing w:val="20"/>
          <w:szCs w:val="32"/>
          <w:highlight w:val="none"/>
          <w14:textFill>
            <w14:solidFill>
              <w14:schemeClr w14:val="tx1"/>
            </w14:solidFill>
          </w14:textFill>
        </w:rPr>
        <w:br w:type="page"/>
      </w:r>
    </w:p>
    <w:p w14:paraId="60FBA304">
      <w:pPr>
        <w:pStyle w:val="3"/>
        <w:keepNext w:val="0"/>
        <w:keepLines w:val="0"/>
        <w:shd w:val="clear"/>
        <w:spacing w:line="312" w:lineRule="auto"/>
        <w:jc w:val="center"/>
        <w:outlineLvl w:val="1"/>
        <w:rPr>
          <w:rFonts w:ascii="宋体" w:hAnsi="宋体" w:eastAsia="宋体" w:cs="宋体"/>
          <w:color w:val="000000" w:themeColor="text1"/>
          <w:spacing w:val="20"/>
          <w:szCs w:val="32"/>
          <w:highlight w:val="none"/>
          <w14:textFill>
            <w14:solidFill>
              <w14:schemeClr w14:val="tx1"/>
            </w14:solidFill>
          </w14:textFill>
        </w:rPr>
      </w:pPr>
      <w:r>
        <w:rPr>
          <w:rFonts w:hint="eastAsia" w:ascii="宋体" w:hAnsi="宋体" w:eastAsia="宋体" w:cs="宋体"/>
          <w:color w:val="000000" w:themeColor="text1"/>
          <w:spacing w:val="20"/>
          <w:szCs w:val="32"/>
          <w:highlight w:val="none"/>
          <w14:textFill>
            <w14:solidFill>
              <w14:schemeClr w14:val="tx1"/>
            </w14:solidFill>
          </w14:textFill>
        </w:rPr>
        <w:t>第二部分 通用合同条款</w:t>
      </w:r>
      <w:bookmarkEnd w:id="100"/>
      <w:bookmarkEnd w:id="101"/>
      <w:bookmarkEnd w:id="102"/>
      <w:bookmarkEnd w:id="103"/>
      <w:bookmarkEnd w:id="104"/>
      <w:bookmarkEnd w:id="105"/>
    </w:p>
    <w:p w14:paraId="2C340FC9">
      <w:pPr>
        <w:pStyle w:val="5"/>
        <w:shd w:val="clear"/>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09" w:name="_Toc351203495"/>
      <w:bookmarkStart w:id="110" w:name="_Toc25546"/>
      <w:bookmarkStart w:id="111" w:name="_Toc439779030"/>
      <w:bookmarkStart w:id="112" w:name="_Toc461982825"/>
      <w:bookmarkStart w:id="113" w:name="_Toc425437330"/>
      <w:bookmarkStart w:id="114" w:name="_Toc389065257"/>
      <w:bookmarkStart w:id="115" w:name="_Toc1320"/>
      <w:r>
        <w:rPr>
          <w:rFonts w:hint="eastAsia" w:ascii="宋体" w:hAnsi="宋体" w:eastAsia="宋体" w:cs="宋体"/>
          <w:b w:val="0"/>
          <w:color w:val="000000" w:themeColor="text1"/>
          <w:sz w:val="24"/>
          <w:szCs w:val="24"/>
          <w:highlight w:val="none"/>
          <w14:textFill>
            <w14:solidFill>
              <w14:schemeClr w14:val="tx1"/>
            </w14:solidFill>
          </w14:textFill>
        </w:rPr>
        <w:t>1.</w:t>
      </w:r>
      <w:bookmarkStart w:id="116" w:name="_Toc303538975"/>
      <w:bookmarkEnd w:id="116"/>
      <w:bookmarkStart w:id="117" w:name="_Toc303538973"/>
      <w:bookmarkEnd w:id="117"/>
      <w:bookmarkStart w:id="118" w:name="_Toc303538976"/>
      <w:bookmarkEnd w:id="118"/>
      <w:bookmarkStart w:id="119" w:name="_Toc303538972"/>
      <w:bookmarkEnd w:id="119"/>
      <w:bookmarkStart w:id="120" w:name="_Toc303538974"/>
      <w:bookmarkEnd w:id="120"/>
      <w:bookmarkStart w:id="121" w:name="_Toc296346528"/>
      <w:bookmarkStart w:id="122" w:name="_Toc296503027"/>
      <w:r>
        <w:rPr>
          <w:rFonts w:hint="eastAsia" w:ascii="宋体" w:hAnsi="宋体" w:eastAsia="宋体" w:cs="宋体"/>
          <w:b w:val="0"/>
          <w:color w:val="000000" w:themeColor="text1"/>
          <w:sz w:val="24"/>
          <w:szCs w:val="24"/>
          <w:highlight w:val="none"/>
          <w14:textFill>
            <w14:solidFill>
              <w14:schemeClr w14:val="tx1"/>
            </w14:solidFill>
          </w14:textFill>
        </w:rPr>
        <w:t xml:space="preserve"> 一般约定</w:t>
      </w:r>
      <w:bookmarkEnd w:id="109"/>
      <w:bookmarkEnd w:id="121"/>
      <w:bookmarkEnd w:id="122"/>
    </w:p>
    <w:p w14:paraId="4C263C05">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23" w:name="_Toc296346529"/>
      <w:bookmarkStart w:id="124" w:name="_Toc337558728"/>
      <w:bookmarkStart w:id="125" w:name="_Toc296503028"/>
      <w:bookmarkStart w:id="126" w:name="_Toc351203496"/>
      <w:r>
        <w:rPr>
          <w:rFonts w:hint="eastAsia" w:ascii="宋体" w:hAnsi="宋体" w:eastAsia="宋体" w:cs="宋体"/>
          <w:b w:val="0"/>
          <w:color w:val="000000" w:themeColor="text1"/>
          <w:sz w:val="24"/>
          <w:szCs w:val="24"/>
          <w:highlight w:val="none"/>
          <w14:textFill>
            <w14:solidFill>
              <w14:schemeClr w14:val="tx1"/>
            </w14:solidFill>
          </w14:textFill>
        </w:rPr>
        <w:t>1.1词语定义</w:t>
      </w:r>
      <w:bookmarkEnd w:id="123"/>
      <w:bookmarkEnd w:id="124"/>
      <w:bookmarkEnd w:id="125"/>
      <w:r>
        <w:rPr>
          <w:rFonts w:hint="eastAsia" w:ascii="宋体" w:hAnsi="宋体" w:eastAsia="宋体" w:cs="宋体"/>
          <w:b w:val="0"/>
          <w:color w:val="000000" w:themeColor="text1"/>
          <w:sz w:val="24"/>
          <w:szCs w:val="24"/>
          <w:highlight w:val="none"/>
          <w14:textFill>
            <w14:solidFill>
              <w14:schemeClr w14:val="tx1"/>
            </w14:solidFill>
          </w14:textFill>
        </w:rPr>
        <w:t>与解释</w:t>
      </w:r>
      <w:bookmarkEnd w:id="126"/>
    </w:p>
    <w:p w14:paraId="059D975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合同协议书、通用合同条款、专用合同条款中的下列词语具有本款所赋予的含义：</w:t>
      </w:r>
    </w:p>
    <w:p w14:paraId="7A3C3A8E">
      <w:pPr>
        <w:pageBreakBefore w:val="0"/>
        <w:widowControl w:val="0"/>
        <w:shd w:val="clear"/>
        <w:kinsoku/>
        <w:wordWrap/>
        <w:overflowPunct/>
        <w:topLinePunct w:val="0"/>
        <w:autoSpaceDE w:val="0"/>
        <w:autoSpaceDN w:val="0"/>
        <w:bidi w:val="0"/>
        <w:adjustRightInd w:val="0"/>
        <w:snapToGrid/>
        <w:spacing w:line="380" w:lineRule="exact"/>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1.1.1 合同</w:t>
      </w:r>
    </w:p>
    <w:p w14:paraId="5F78593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、通用合同条款、技术标准和要求、图纸、已标价工程量清单或预算书以及其他合同文件。</w:t>
      </w:r>
    </w:p>
    <w:p w14:paraId="0C486DF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合同协议书：是指构成合同的由发包人和承包人共同签署的称为“合同协议书”的书面文件。</w:t>
      </w:r>
    </w:p>
    <w:p w14:paraId="241CC5F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中标通知书：是指构成合同的由发包人通知承包人中标的书面文件。</w:t>
      </w:r>
    </w:p>
    <w:p w14:paraId="5F412A3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1.1.1.4 投标函：是指构成合同的由承包人填写并签署的用于投标的称为“投标函”的文件。</w:t>
      </w:r>
    </w:p>
    <w:p w14:paraId="46E8988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1.1.1.5 投标函附录：是指构成合同的附在投标函后的称为“投标函附录”的文件。</w:t>
      </w:r>
    </w:p>
    <w:p w14:paraId="1AC97DD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1.1.1.6 技术标准和要求：是指构成合同的施工应当遵守的或指导施工的国家、行业或地方的技术标准和要求，以及合同约定的技术标准和要求。</w:t>
      </w:r>
    </w:p>
    <w:p w14:paraId="1BFA874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14:paraId="74AD2BFB">
      <w:pPr>
        <w:pageBreakBefore w:val="0"/>
        <w:widowControl w:val="0"/>
        <w:shd w:val="clear"/>
        <w:kinsoku/>
        <w:wordWrap/>
        <w:overflowPunct/>
        <w:topLinePunct w:val="0"/>
        <w:autoSpaceDE w:val="0"/>
        <w:autoSpaceDN w:val="0"/>
        <w:bidi w:val="0"/>
        <w:adjustRightInd w:val="0"/>
        <w:snapToGrid/>
        <w:spacing w:line="380" w:lineRule="exact"/>
        <w:ind w:firstLine="468" w:firstLineChars="195"/>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1.1.1.8 已标价工程量清单：是指构成合同的由承包人按照规定的格式和要求填写并标明价格的工程量清单，包括说明和表格。</w:t>
      </w:r>
    </w:p>
    <w:p w14:paraId="6646B9AB">
      <w:pPr>
        <w:pageBreakBefore w:val="0"/>
        <w:widowControl w:val="0"/>
        <w:shd w:val="clear"/>
        <w:kinsoku/>
        <w:wordWrap/>
        <w:overflowPunct/>
        <w:topLinePunct w:val="0"/>
        <w:autoSpaceDE w:val="0"/>
        <w:autoSpaceDN w:val="0"/>
        <w:bidi w:val="0"/>
        <w:adjustRightInd w:val="0"/>
        <w:snapToGrid/>
        <w:spacing w:line="380" w:lineRule="exact"/>
        <w:ind w:firstLine="468" w:firstLineChars="195"/>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1.1.1.9 预算书：是指构成合同的由承包人按照发包人规定的格式和要求编制的工程预算文件。</w:t>
      </w:r>
    </w:p>
    <w:p w14:paraId="68EBE5A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1.1.1.10 其他合同文件：是指经合同当事人约定的与工程施工有关的具有合同约束力的文件或书面协议。合同当事人可以在专用合同条款中进行约定。</w:t>
      </w:r>
    </w:p>
    <w:p w14:paraId="4206FAC3">
      <w:pPr>
        <w:pageBreakBefore w:val="0"/>
        <w:widowControl w:val="0"/>
        <w:shd w:val="clear"/>
        <w:kinsoku/>
        <w:wordWrap/>
        <w:overflowPunct/>
        <w:topLinePunct w:val="0"/>
        <w:autoSpaceDE w:val="0"/>
        <w:autoSpaceDN w:val="0"/>
        <w:bidi w:val="0"/>
        <w:adjustRightInd w:val="0"/>
        <w:snapToGrid/>
        <w:spacing w:line="380" w:lineRule="exact"/>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1.1.2 合同当事人及其他相关方</w:t>
      </w:r>
    </w:p>
    <w:p w14:paraId="5C8C2BE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1.1.2.1 合同当事人：是指发包人和（或）承包人。</w:t>
      </w:r>
    </w:p>
    <w:p w14:paraId="3D97398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1.1.2.2 发包人：是指与承包人签订合同协议书的当事人及取得该当事人资格的合法继承人。</w:t>
      </w:r>
    </w:p>
    <w:p w14:paraId="1302D81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1.1.2.3 承包人：是指与发包人签订合同协议书的，具有相应工程施工承包资质的当事人及取得该当事人资格的合法继承人。</w:t>
      </w:r>
    </w:p>
    <w:p w14:paraId="27B990A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1.1.2.4 监理人：是指在专用合同条款中指明的，受发包人委托按照法律规定进行工程监督管理的法人或其他组织。</w:t>
      </w:r>
    </w:p>
    <w:p w14:paraId="10F35E2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1.1.2.5 设计人：是指在专用合同条款中指明的，受发包人委托负责工程设计并具备相应工程设计资质的法人或其他组织。</w:t>
      </w:r>
    </w:p>
    <w:p w14:paraId="59E2A2DE">
      <w:pPr>
        <w:pageBreakBefore w:val="0"/>
        <w:widowControl w:val="0"/>
        <w:shd w:val="clear"/>
        <w:kinsoku/>
        <w:wordWrap/>
        <w:overflowPunct/>
        <w:topLinePunct w:val="0"/>
        <w:bidi w:val="0"/>
        <w:snapToGrid/>
        <w:spacing w:line="380" w:lineRule="exact"/>
        <w:ind w:firstLine="468" w:firstLineChars="195"/>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1.1.2.6 分包人：</w:t>
      </w:r>
      <w:bookmarkStart w:id="127" w:name="#go5"/>
      <w:bookmarkEnd w:id="127"/>
      <w:r>
        <w:rPr>
          <w:rFonts w:hint="eastAsia" w:ascii="宋体" w:hAnsi="宋体" w:eastAsia="宋体" w:cs="宋体"/>
          <w:color w:val="000000" w:themeColor="text1"/>
          <w:kern w:val="0"/>
          <w:sz w:val="24"/>
          <w:highlight w:val="none"/>
          <w14:textFill>
            <w14:solidFill>
              <w14:schemeClr w14:val="tx1"/>
            </w14:solidFill>
          </w14:textFill>
        </w:rPr>
        <w:t>是指按照法律规定和合同约定，分包部分工程或工作，并与承包人签订分包合同的具有相应资质的法人。</w:t>
      </w:r>
    </w:p>
    <w:p w14:paraId="5066084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1.1.2.7 发包人代表：是指由发包人任命并派驻施工现场在发包人授权范围内行使发包人权利的人。</w:t>
      </w:r>
    </w:p>
    <w:p w14:paraId="5ED1BF6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1.1.2.8 项目经理：是指由承包人任命并派驻施工现场，在承包人授权范围内负责合同履行，且按照法律规定具有相应资格的项目负责人。</w:t>
      </w:r>
    </w:p>
    <w:p w14:paraId="73B5A3C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1.1.2.9 总监理工程师：是指由监理人任命并派驻施工现场进行工程监理的总负责人。</w:t>
      </w:r>
    </w:p>
    <w:p w14:paraId="70CFBA0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 工程和设备</w:t>
      </w:r>
    </w:p>
    <w:p w14:paraId="7197829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 工程：是指与合同协议书中工程承包范围对应的永久工程和（或）临时工程。</w:t>
      </w:r>
    </w:p>
    <w:p w14:paraId="0954E27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1.1.3.2 永久工程：是指按合同约定建造并移交给发包人的工程，包括工程设备。</w:t>
      </w:r>
    </w:p>
    <w:p w14:paraId="618F780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1.1.3.3 临时工程：是指为完成合同约定的永久工程所修建的各类临时性工程，不包括施工设备。</w:t>
      </w:r>
    </w:p>
    <w:p w14:paraId="3CA545D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1.1.3.4 单位工程：是指在合同协议书中指明的，具备独立施工条件并能形成独立使用功能的永久工程。</w:t>
      </w:r>
    </w:p>
    <w:p w14:paraId="178AA1D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1.1.3.5 工程设备：是指构成永久工程的机电设备、金属结构设备、仪器及其他类似的设备和装置。</w:t>
      </w:r>
    </w:p>
    <w:p w14:paraId="49C803A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1.1.3.6 施工设备：是指为完成合同约定的各项工作所需的设备、器具和其他物品，但不包括工程设备、临时工程和材料。</w:t>
      </w:r>
    </w:p>
    <w:p w14:paraId="354AE8D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1.1.3.7 施工现场：是指用于工程施工的场所，以及在专用合同条款中指明作为施工场所组成部分的其他场所，包括永久占地和临时占地。</w:t>
      </w:r>
    </w:p>
    <w:p w14:paraId="7AA9A95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1.1.3.8临时设施：是指为完成合同约定的各项工作所服务的临时性生产和生活设施。</w:t>
      </w:r>
    </w:p>
    <w:p w14:paraId="0E19B64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1.1.3.9 永久占地：是指专用合同条款中指明为实施工程需永久占用的土地。</w:t>
      </w:r>
    </w:p>
    <w:p w14:paraId="5BC230B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1.1.3.10 临时占地：是指专用合同条款中指明为实施工程需要临时占用的土地。</w:t>
      </w:r>
    </w:p>
    <w:p w14:paraId="4DA5FCF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 日期和期限</w:t>
      </w:r>
    </w:p>
    <w:p w14:paraId="39E38F5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9BA3EA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14:paraId="132C90D9">
      <w:pPr>
        <w:pageBreakBefore w:val="0"/>
        <w:widowControl w:val="0"/>
        <w:shd w:val="clear"/>
        <w:kinsoku/>
        <w:wordWrap/>
        <w:overflowPunct/>
        <w:topLinePunct w:val="0"/>
        <w:bidi w:val="0"/>
        <w:snapToGrid/>
        <w:spacing w:line="380" w:lineRule="exact"/>
        <w:ind w:firstLine="487" w:firstLineChars="203"/>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1.1.4.3 工期：是指在合同协议书约定的承包人完成工程所需的期限，包括按照合同约定所作的期限变更。</w:t>
      </w:r>
    </w:p>
    <w:p w14:paraId="39A68F4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1.1.4.4 缺陷责任期：是指承包人按照合同约定承担缺陷修复义务，且发包人预留质量保证金的期限，自工程实际竣工日期起计算。</w:t>
      </w:r>
    </w:p>
    <w:p w14:paraId="5FEA4BA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1.1.4.5 保修期：是指承包人按照合同约定对工程承担保修责任的期限，从工程竣工验收合格之日起计算。</w:t>
      </w:r>
    </w:p>
    <w:p w14:paraId="1FD965B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1.1.4.6 基准日期：招标发包的工程以投标截止日前28天的日期为基准日期，直接发包的工程以合同签订日前28天的日期为基准日期。</w:t>
      </w:r>
    </w:p>
    <w:p w14:paraId="4312724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1.1.4.7 天：除特别指明外，均指日历天。合同中按天计算时间的，开始当天不计入，从次日开始计算，期限最后一天的截止时间为当天24:00时。</w:t>
      </w:r>
    </w:p>
    <w:p w14:paraId="36802E8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 合同价格和费用</w:t>
      </w:r>
    </w:p>
    <w:p w14:paraId="2EB3C03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1.1.5.1 签约合同价：是指</w:t>
      </w:r>
      <w:r>
        <w:rPr>
          <w:rFonts w:hint="eastAsia" w:ascii="宋体" w:hAnsi="宋体" w:eastAsia="宋体" w:cs="宋体"/>
          <w:color w:val="000000" w:themeColor="text1"/>
          <w:sz w:val="24"/>
          <w:highlight w:val="none"/>
          <w14:textFill>
            <w14:solidFill>
              <w14:schemeClr w14:val="tx1"/>
            </w14:solidFill>
          </w14:textFill>
        </w:rPr>
        <w:t>发包人和承包人在合同协议书中确定的总金额，包括安全文明施工费、暂估价及暂列金额等。</w:t>
      </w:r>
    </w:p>
    <w:p w14:paraId="7D71093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1.1.5.2 合同价格：是指发包人用于支付承包人按照合同约定完成承包范围内全部工作的金额，包括合同履行过程中按合同约定发生的价格变化。</w:t>
      </w:r>
    </w:p>
    <w:p w14:paraId="095253B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1.1.5.3 费用：是指为履行合同所发生的或将要发生的所有必需的开支，包括管理费和应分摊的其他费用，但不包括利润。</w:t>
      </w:r>
    </w:p>
    <w:p w14:paraId="57B0FDB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1.1.5.4 暂估价：是指发包人在工程量清单或预算书中提供的用于支付必然发生但暂时不能确定价格的材料、工程设备的单价、专业工程以及服务工作的金额。</w:t>
      </w:r>
    </w:p>
    <w:p w14:paraId="3D5258D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22A11E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1.1.5.6 计日工：是指合同履行过程中，承包人完成发包人提出的零星工作或需要采用计日工计价的变更工作时，按合同中约定的单价计价的一种方式。</w:t>
      </w:r>
    </w:p>
    <w:p w14:paraId="19CD390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1.1.5.7 质量保证金</w:t>
      </w:r>
      <w:bookmarkStart w:id="128" w:name="#go2"/>
      <w:bookmarkEnd w:id="128"/>
      <w:r>
        <w:rPr>
          <w:rFonts w:hint="eastAsia" w:ascii="宋体" w:hAnsi="宋体" w:eastAsia="宋体" w:cs="宋体"/>
          <w:color w:val="000000" w:themeColor="text1"/>
          <w:kern w:val="0"/>
          <w:sz w:val="24"/>
          <w:highlight w:val="none"/>
          <w14:textFill>
            <w14:solidFill>
              <w14:schemeClr w14:val="tx1"/>
            </w14:solidFill>
          </w14:textFill>
        </w:rPr>
        <w:t>：是指按照第15.3款〔质量保证金〕约定承包人用于保证其在缺陷责任期内履行缺陷修补义务的担保</w:t>
      </w:r>
      <w:r>
        <w:rPr>
          <w:rFonts w:hint="eastAsia" w:ascii="宋体" w:hAnsi="宋体" w:eastAsia="宋体" w:cs="宋体"/>
          <w:color w:val="000000" w:themeColor="text1"/>
          <w:sz w:val="24"/>
          <w:highlight w:val="none"/>
          <w14:textFill>
            <w14:solidFill>
              <w14:schemeClr w14:val="tx1"/>
            </w14:solidFill>
          </w14:textFill>
        </w:rPr>
        <w:t>。</w:t>
      </w:r>
    </w:p>
    <w:p w14:paraId="4C53822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1.1.5.8 总价项目：是指在现行国家、行业以及地方的计量规则中无工程量计算规则，在已标价工程量清单或预算书中以总价或以费率形式计算的项目。</w:t>
      </w:r>
    </w:p>
    <w:p w14:paraId="723B581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 其他</w:t>
      </w:r>
    </w:p>
    <w:p w14:paraId="32F86FC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1.1.6.1 书面形式：是指合同文件、信函、电报、传真等可以有形地表现所载内容的形式。</w:t>
      </w:r>
    </w:p>
    <w:p w14:paraId="54F97254">
      <w:pPr>
        <w:pStyle w:val="6"/>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129" w:name="_Toc337558729"/>
      <w:bookmarkStart w:id="130" w:name="_Toc351203497"/>
      <w:bookmarkStart w:id="131" w:name="_Toc296503029"/>
      <w:bookmarkStart w:id="132" w:name="_Toc296346530"/>
      <w:r>
        <w:rPr>
          <w:rFonts w:hint="eastAsia" w:ascii="宋体" w:hAnsi="宋体" w:eastAsia="宋体" w:cs="宋体"/>
          <w:b w:val="0"/>
          <w:color w:val="000000" w:themeColor="text1"/>
          <w:sz w:val="24"/>
          <w:szCs w:val="24"/>
          <w:highlight w:val="none"/>
          <w14:textFill>
            <w14:solidFill>
              <w14:schemeClr w14:val="tx1"/>
            </w14:solidFill>
          </w14:textFill>
        </w:rPr>
        <w:t>1.2语言文字</w:t>
      </w:r>
      <w:bookmarkEnd w:id="129"/>
      <w:bookmarkEnd w:id="130"/>
      <w:bookmarkEnd w:id="131"/>
      <w:bookmarkEnd w:id="132"/>
    </w:p>
    <w:p w14:paraId="46927CE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14:paraId="60CABFC6">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33" w:name="_Toc337558730"/>
      <w:bookmarkStart w:id="134" w:name="_Toc296346531"/>
      <w:bookmarkStart w:id="135" w:name="_Toc296503030"/>
      <w:bookmarkStart w:id="136" w:name="_Toc351203498"/>
      <w:r>
        <w:rPr>
          <w:rFonts w:hint="eastAsia" w:ascii="宋体" w:hAnsi="宋体" w:eastAsia="宋体" w:cs="宋体"/>
          <w:b w:val="0"/>
          <w:color w:val="000000" w:themeColor="text1"/>
          <w:sz w:val="24"/>
          <w:szCs w:val="24"/>
          <w:highlight w:val="none"/>
          <w14:textFill>
            <w14:solidFill>
              <w14:schemeClr w14:val="tx1"/>
            </w14:solidFill>
          </w14:textFill>
        </w:rPr>
        <w:t>1.3法律</w:t>
      </w:r>
      <w:bookmarkEnd w:id="133"/>
      <w:bookmarkEnd w:id="134"/>
      <w:bookmarkEnd w:id="135"/>
      <w:bookmarkEnd w:id="136"/>
    </w:p>
    <w:p w14:paraId="7CB97A1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合同所称法律是指中华人民共和国法律、行政法规、部门规章，以及工程所在地的地方性法规、自治条例、单行条例和地方政府规章等。</w:t>
      </w:r>
    </w:p>
    <w:p w14:paraId="046C431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合同当事人可以在专用合同条款中约定合同适用的其他规范性文件。</w:t>
      </w:r>
    </w:p>
    <w:p w14:paraId="418EE65E">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37" w:name="_Toc351203499"/>
      <w:r>
        <w:rPr>
          <w:rFonts w:hint="eastAsia" w:ascii="宋体" w:hAnsi="宋体" w:eastAsia="宋体" w:cs="宋体"/>
          <w:b w:val="0"/>
          <w:color w:val="000000" w:themeColor="text1"/>
          <w:sz w:val="24"/>
          <w:szCs w:val="24"/>
          <w:highlight w:val="none"/>
          <w14:textFill>
            <w14:solidFill>
              <w14:schemeClr w14:val="tx1"/>
            </w14:solidFill>
          </w14:textFill>
        </w:rPr>
        <w:t>1.4 标准和规范</w:t>
      </w:r>
      <w:bookmarkEnd w:id="137"/>
    </w:p>
    <w:p w14:paraId="4065E1EA">
      <w:pPr>
        <w:pageBreakBefore w:val="0"/>
        <w:widowControl w:val="0"/>
        <w:shd w:val="clear"/>
        <w:kinsoku/>
        <w:wordWrap/>
        <w:overflowPunct/>
        <w:topLinePunct w:val="0"/>
        <w:autoSpaceDE w:val="0"/>
        <w:autoSpaceDN w:val="0"/>
        <w:bidi w:val="0"/>
        <w:adjustRightInd w:val="0"/>
        <w:snapToGrid/>
        <w:spacing w:line="380" w:lineRule="exact"/>
        <w:ind w:firstLine="64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 适用于工程的国家标准、行业标准、工程所在地的地方性标准，以及相应的规范、规程等，合同当事人有特别要求的，应在专用合同条款中约定。</w:t>
      </w:r>
    </w:p>
    <w:p w14:paraId="1778FB6D">
      <w:pPr>
        <w:pageBreakBefore w:val="0"/>
        <w:widowControl w:val="0"/>
        <w:shd w:val="clear"/>
        <w:kinsoku/>
        <w:wordWrap/>
        <w:overflowPunct/>
        <w:topLinePunct w:val="0"/>
        <w:autoSpaceDE w:val="0"/>
        <w:autoSpaceDN w:val="0"/>
        <w:bidi w:val="0"/>
        <w:adjustRightInd w:val="0"/>
        <w:snapToGrid/>
        <w:spacing w:line="380" w:lineRule="exact"/>
        <w:ind w:firstLine="64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 发包人要求使用国外标准、规范的，发包人负责提供原文版本和中文译本，并在专用合同条款中约定提供标准规范的名称、份数和时间。</w:t>
      </w:r>
    </w:p>
    <w:p w14:paraId="59BA38F9">
      <w:pPr>
        <w:pageBreakBefore w:val="0"/>
        <w:widowControl w:val="0"/>
        <w:shd w:val="clear"/>
        <w:kinsoku/>
        <w:wordWrap/>
        <w:overflowPunct/>
        <w:topLinePunct w:val="0"/>
        <w:autoSpaceDE w:val="0"/>
        <w:autoSpaceDN w:val="0"/>
        <w:bidi w:val="0"/>
        <w:adjustRightInd w:val="0"/>
        <w:snapToGrid/>
        <w:spacing w:line="380" w:lineRule="exact"/>
        <w:ind w:firstLine="64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93FF54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38" w:name="_Toc351203500"/>
      <w:r>
        <w:rPr>
          <w:rFonts w:hint="eastAsia" w:ascii="宋体" w:hAnsi="宋体" w:eastAsia="宋体" w:cs="宋体"/>
          <w:b w:val="0"/>
          <w:color w:val="000000" w:themeColor="text1"/>
          <w:sz w:val="24"/>
          <w:szCs w:val="24"/>
          <w:highlight w:val="none"/>
          <w14:textFill>
            <w14:solidFill>
              <w14:schemeClr w14:val="tx1"/>
            </w14:solidFill>
          </w14:textFill>
        </w:rPr>
        <w:t>1</w:t>
      </w:r>
      <w:bookmarkStart w:id="139" w:name="_Toc296503031"/>
      <w:bookmarkStart w:id="140" w:name="_Toc337558731"/>
      <w:bookmarkStart w:id="141" w:name="_Toc296346532"/>
      <w:r>
        <w:rPr>
          <w:rFonts w:hint="eastAsia" w:ascii="宋体" w:hAnsi="宋体" w:eastAsia="宋体" w:cs="宋体"/>
          <w:b w:val="0"/>
          <w:color w:val="000000" w:themeColor="text1"/>
          <w:sz w:val="24"/>
          <w:szCs w:val="24"/>
          <w:highlight w:val="none"/>
          <w14:textFill>
            <w14:solidFill>
              <w14:schemeClr w14:val="tx1"/>
            </w14:solidFill>
          </w14:textFill>
        </w:rPr>
        <w:t>.5 合同文件的优先顺序</w:t>
      </w:r>
      <w:bookmarkEnd w:id="138"/>
    </w:p>
    <w:bookmarkEnd w:id="139"/>
    <w:bookmarkEnd w:id="140"/>
    <w:bookmarkEnd w:id="141"/>
    <w:p w14:paraId="27F1170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组成合同的各项文件应互相解释，互为说明。除专用合同条款另有约定外，解释合同文件的优先顺序如下：</w:t>
      </w:r>
    </w:p>
    <w:p w14:paraId="7DA5F51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（1）合同协议书；</w:t>
      </w:r>
    </w:p>
    <w:p w14:paraId="545347D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（2）中标通知书（如果有）；</w:t>
      </w:r>
    </w:p>
    <w:p w14:paraId="7AB6728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（3）投标函及其附录（如果有）；</w:t>
      </w:r>
    </w:p>
    <w:p w14:paraId="54A6A25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w:t>
      </w:r>
    </w:p>
    <w:p w14:paraId="3E5C747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（5）通用合同条款；</w:t>
      </w:r>
    </w:p>
    <w:p w14:paraId="5B7C704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（6）技术标准和要求；</w:t>
      </w:r>
    </w:p>
    <w:p w14:paraId="027199B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（7）图纸；</w:t>
      </w:r>
    </w:p>
    <w:p w14:paraId="7E38571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（8）已标价工程量清单或预算书；</w:t>
      </w:r>
    </w:p>
    <w:p w14:paraId="25AA9C2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（9）其他合同文件。</w:t>
      </w:r>
    </w:p>
    <w:p w14:paraId="588DF314">
      <w:pPr>
        <w:pageBreakBefore w:val="0"/>
        <w:widowControl w:val="0"/>
        <w:shd w:val="clear"/>
        <w:kinsoku/>
        <w:wordWrap/>
        <w:overflowPunct/>
        <w:topLinePunct w:val="0"/>
        <w:bidi w:val="0"/>
        <w:snapToGrid/>
        <w:spacing w:line="380" w:lineRule="exact"/>
        <w:ind w:firstLine="511" w:firstLineChars="213"/>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3EA3962A">
      <w:pPr>
        <w:pageBreakBefore w:val="0"/>
        <w:widowControl w:val="0"/>
        <w:shd w:val="clear"/>
        <w:kinsoku/>
        <w:wordWrap/>
        <w:overflowPunct/>
        <w:topLinePunct w:val="0"/>
        <w:bidi w:val="0"/>
        <w:snapToGrid/>
        <w:spacing w:line="380" w:lineRule="exact"/>
        <w:ind w:firstLine="511" w:firstLineChars="213"/>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在合同订立及履行过程中形成的与合同有关的文件均构成合同文件组成部分，并根据其性质确定优先解释顺序。</w:t>
      </w:r>
    </w:p>
    <w:p w14:paraId="097D1F06">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42" w:name="_Toc351203501"/>
      <w:r>
        <w:rPr>
          <w:rFonts w:hint="eastAsia" w:ascii="宋体" w:hAnsi="宋体" w:eastAsia="宋体" w:cs="宋体"/>
          <w:b w:val="0"/>
          <w:color w:val="000000" w:themeColor="text1"/>
          <w:sz w:val="24"/>
          <w:szCs w:val="24"/>
          <w:highlight w:val="none"/>
          <w14:textFill>
            <w14:solidFill>
              <w14:schemeClr w14:val="tx1"/>
            </w14:solidFill>
          </w14:textFill>
        </w:rPr>
        <w:t>1</w:t>
      </w:r>
      <w:bookmarkStart w:id="143" w:name="_Toc296503032"/>
      <w:bookmarkStart w:id="144" w:name="_Toc337558732"/>
      <w:bookmarkStart w:id="145" w:name="_Toc296346533"/>
      <w:r>
        <w:rPr>
          <w:rFonts w:hint="eastAsia" w:ascii="宋体" w:hAnsi="宋体" w:eastAsia="宋体" w:cs="宋体"/>
          <w:b w:val="0"/>
          <w:color w:val="000000" w:themeColor="text1"/>
          <w:sz w:val="24"/>
          <w:szCs w:val="24"/>
          <w:highlight w:val="none"/>
          <w14:textFill>
            <w14:solidFill>
              <w14:schemeClr w14:val="tx1"/>
            </w14:solidFill>
          </w14:textFill>
        </w:rPr>
        <w:t>.6图纸和承包人文件</w:t>
      </w:r>
      <w:bookmarkEnd w:id="142"/>
    </w:p>
    <w:bookmarkEnd w:id="143"/>
    <w:bookmarkEnd w:id="144"/>
    <w:bookmarkEnd w:id="145"/>
    <w:p w14:paraId="04CEB31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 图纸的提供和交底</w:t>
      </w:r>
    </w:p>
    <w:p w14:paraId="1A2268C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72D55C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因发包人未按合同约定提供图纸导致承包人费用增加和（或）工期延误的，按照第7.5.1项〔因发包人原因导致工期延误〕约定办理。</w:t>
      </w:r>
    </w:p>
    <w:p w14:paraId="32E5A90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 图纸的错误</w:t>
      </w:r>
    </w:p>
    <w:p w14:paraId="38577DD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EF4FED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1.6.3 图纸的修改和补充</w:t>
      </w:r>
    </w:p>
    <w:p w14:paraId="2720D59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14:paraId="5D7DB98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1.6.4 承包人文件</w:t>
      </w:r>
    </w:p>
    <w:p w14:paraId="418A9F9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14:paraId="26E13E8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34F71E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1.6.5 图纸和承包人文件的保管</w:t>
      </w:r>
    </w:p>
    <w:p w14:paraId="02A42F7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14:paraId="6306510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46" w:name="_Toc351203502"/>
      <w:r>
        <w:rPr>
          <w:rFonts w:hint="eastAsia" w:ascii="宋体" w:hAnsi="宋体" w:eastAsia="宋体" w:cs="宋体"/>
          <w:b w:val="0"/>
          <w:color w:val="000000" w:themeColor="text1"/>
          <w:sz w:val="24"/>
          <w:szCs w:val="24"/>
          <w:highlight w:val="none"/>
          <w14:textFill>
            <w14:solidFill>
              <w14:schemeClr w14:val="tx1"/>
            </w14:solidFill>
          </w14:textFill>
        </w:rPr>
        <w:t>1</w:t>
      </w:r>
      <w:bookmarkStart w:id="147" w:name="_Toc337558733"/>
      <w:bookmarkStart w:id="148" w:name="_Toc296346534"/>
      <w:bookmarkStart w:id="149" w:name="_Toc296503033"/>
      <w:r>
        <w:rPr>
          <w:rFonts w:hint="eastAsia" w:ascii="宋体" w:hAnsi="宋体" w:eastAsia="宋体" w:cs="宋体"/>
          <w:b w:val="0"/>
          <w:color w:val="000000" w:themeColor="text1"/>
          <w:sz w:val="24"/>
          <w:szCs w:val="24"/>
          <w:highlight w:val="none"/>
          <w14:textFill>
            <w14:solidFill>
              <w14:schemeClr w14:val="tx1"/>
            </w14:solidFill>
          </w14:textFill>
        </w:rPr>
        <w:t>.7联络</w:t>
      </w:r>
      <w:bookmarkEnd w:id="146"/>
    </w:p>
    <w:bookmarkEnd w:id="147"/>
    <w:bookmarkEnd w:id="148"/>
    <w:bookmarkEnd w:id="149"/>
    <w:p w14:paraId="3294477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14:paraId="26D715A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14:paraId="62DABAC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14:paraId="3833A3F9">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50" w:name="_Toc351203503"/>
      <w:r>
        <w:rPr>
          <w:rFonts w:hint="eastAsia" w:ascii="宋体" w:hAnsi="宋体" w:eastAsia="宋体" w:cs="宋体"/>
          <w:b w:val="0"/>
          <w:color w:val="000000" w:themeColor="text1"/>
          <w:sz w:val="24"/>
          <w:szCs w:val="24"/>
          <w:highlight w:val="none"/>
          <w14:textFill>
            <w14:solidFill>
              <w14:schemeClr w14:val="tx1"/>
            </w14:solidFill>
          </w14:textFill>
        </w:rPr>
        <w:t>1</w:t>
      </w:r>
      <w:bookmarkStart w:id="151" w:name="_Toc337558734"/>
      <w:bookmarkStart w:id="152" w:name="_Toc296346536"/>
      <w:bookmarkStart w:id="153" w:name="_Toc296503035"/>
      <w:r>
        <w:rPr>
          <w:rFonts w:hint="eastAsia" w:ascii="宋体" w:hAnsi="宋体" w:eastAsia="宋体" w:cs="宋体"/>
          <w:b w:val="0"/>
          <w:color w:val="000000" w:themeColor="text1"/>
          <w:sz w:val="24"/>
          <w:szCs w:val="24"/>
          <w:highlight w:val="none"/>
          <w14:textFill>
            <w14:solidFill>
              <w14:schemeClr w14:val="tx1"/>
            </w14:solidFill>
          </w14:textFill>
        </w:rPr>
        <w:t>.8严禁贿赂</w:t>
      </w:r>
      <w:bookmarkEnd w:id="150"/>
    </w:p>
    <w:bookmarkEnd w:id="151"/>
    <w:bookmarkEnd w:id="152"/>
    <w:bookmarkEnd w:id="153"/>
    <w:p w14:paraId="572D0A9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14:paraId="1AEFDEB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14:paraId="2BFDA35B">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54" w:name="_Toc351203504"/>
      <w:r>
        <w:rPr>
          <w:rFonts w:hint="eastAsia" w:ascii="宋体" w:hAnsi="宋体" w:eastAsia="宋体" w:cs="宋体"/>
          <w:b w:val="0"/>
          <w:color w:val="000000" w:themeColor="text1"/>
          <w:sz w:val="24"/>
          <w:szCs w:val="24"/>
          <w:highlight w:val="none"/>
          <w14:textFill>
            <w14:solidFill>
              <w14:schemeClr w14:val="tx1"/>
            </w14:solidFill>
          </w14:textFill>
        </w:rPr>
        <w:t>1</w:t>
      </w:r>
      <w:bookmarkStart w:id="155" w:name="_Toc296346537"/>
      <w:bookmarkStart w:id="156" w:name="_Toc296503036"/>
      <w:bookmarkStart w:id="157" w:name="_Toc337558735"/>
      <w:r>
        <w:rPr>
          <w:rFonts w:hint="eastAsia" w:ascii="宋体" w:hAnsi="宋体" w:eastAsia="宋体" w:cs="宋体"/>
          <w:b w:val="0"/>
          <w:color w:val="000000" w:themeColor="text1"/>
          <w:sz w:val="24"/>
          <w:szCs w:val="24"/>
          <w:highlight w:val="none"/>
          <w14:textFill>
            <w14:solidFill>
              <w14:schemeClr w14:val="tx1"/>
            </w14:solidFill>
          </w14:textFill>
        </w:rPr>
        <w:t>.9化石、文物</w:t>
      </w:r>
      <w:bookmarkEnd w:id="154"/>
    </w:p>
    <w:bookmarkEnd w:id="155"/>
    <w:bookmarkEnd w:id="156"/>
    <w:bookmarkEnd w:id="157"/>
    <w:p w14:paraId="181C1C0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BB8EEB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发包人、监理人和承包人应按有关政府行政管理部门要求采取妥善的保护措施，由此增加的费用和（或）延误的工期由发包人承担。</w:t>
      </w:r>
    </w:p>
    <w:p w14:paraId="7A99D56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承包人发现文物后不及时报告或隐瞒不报，致使文物丢失或损坏的，应赔偿损失，并承担相应的法律责任。</w:t>
      </w:r>
    </w:p>
    <w:p w14:paraId="67A4D291">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58" w:name="_Toc351203505"/>
      <w:r>
        <w:rPr>
          <w:rFonts w:hint="eastAsia" w:ascii="宋体" w:hAnsi="宋体" w:eastAsia="宋体" w:cs="宋体"/>
          <w:b w:val="0"/>
          <w:color w:val="000000" w:themeColor="text1"/>
          <w:sz w:val="24"/>
          <w:szCs w:val="24"/>
          <w:highlight w:val="none"/>
          <w14:textFill>
            <w14:solidFill>
              <w14:schemeClr w14:val="tx1"/>
            </w14:solidFill>
          </w14:textFill>
        </w:rPr>
        <w:t>1</w:t>
      </w:r>
      <w:bookmarkStart w:id="159" w:name="_Toc337558736"/>
      <w:r>
        <w:rPr>
          <w:rFonts w:hint="eastAsia" w:ascii="宋体" w:hAnsi="宋体" w:eastAsia="宋体" w:cs="宋体"/>
          <w:b w:val="0"/>
          <w:color w:val="000000" w:themeColor="text1"/>
          <w:sz w:val="24"/>
          <w:szCs w:val="24"/>
          <w:highlight w:val="none"/>
          <w14:textFill>
            <w14:solidFill>
              <w14:schemeClr w14:val="tx1"/>
            </w14:solidFill>
          </w14:textFill>
        </w:rPr>
        <w:t>.10交通运输</w:t>
      </w:r>
      <w:bookmarkEnd w:id="158"/>
    </w:p>
    <w:bookmarkEnd w:id="159"/>
    <w:p w14:paraId="6F5555E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1.10.1 出入现场的权利</w:t>
      </w:r>
    </w:p>
    <w:p w14:paraId="336FC8B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9B39A1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3B08538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1.10.2 场外交通</w:t>
      </w:r>
    </w:p>
    <w:p w14:paraId="3E245D3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7D95F3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1.10.3场内交通</w:t>
      </w:r>
    </w:p>
    <w:p w14:paraId="5AEB178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1895DF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80AAFD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场外交通和场内交通的边界由合同当事人在专用合同条款中约定。</w:t>
      </w:r>
    </w:p>
    <w:p w14:paraId="0CEBBD4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1.10.4 超大件和超重件的运输</w:t>
      </w:r>
    </w:p>
    <w:p w14:paraId="156352A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587E04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1.10.5 道路和桥梁的损坏责任</w:t>
      </w:r>
    </w:p>
    <w:p w14:paraId="7AD6824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因承包人运输造成施工场地内外公共道路和桥梁损坏的，由承包人承担修复损坏的全部费用和可能引起的赔偿。</w:t>
      </w:r>
    </w:p>
    <w:p w14:paraId="640CAFE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1.10.6 水路和航空运输</w:t>
      </w:r>
    </w:p>
    <w:p w14:paraId="70DB815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14:paraId="63CDA377">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60" w:name="_Toc351203506"/>
      <w:r>
        <w:rPr>
          <w:rFonts w:hint="eastAsia" w:ascii="宋体" w:hAnsi="宋体" w:eastAsia="宋体" w:cs="宋体"/>
          <w:b w:val="0"/>
          <w:color w:val="000000" w:themeColor="text1"/>
          <w:sz w:val="24"/>
          <w:szCs w:val="24"/>
          <w:highlight w:val="none"/>
          <w14:textFill>
            <w14:solidFill>
              <w14:schemeClr w14:val="tx1"/>
            </w14:solidFill>
          </w14:textFill>
        </w:rPr>
        <w:t>1</w:t>
      </w:r>
      <w:bookmarkStart w:id="161" w:name="_Toc337558737"/>
      <w:bookmarkStart w:id="162" w:name="_Toc296346538"/>
      <w:bookmarkStart w:id="163" w:name="_Toc296503037"/>
      <w:r>
        <w:rPr>
          <w:rFonts w:hint="eastAsia" w:ascii="宋体" w:hAnsi="宋体" w:eastAsia="宋体" w:cs="宋体"/>
          <w:b w:val="0"/>
          <w:color w:val="000000" w:themeColor="text1"/>
          <w:sz w:val="24"/>
          <w:szCs w:val="24"/>
          <w:highlight w:val="none"/>
          <w14:textFill>
            <w14:solidFill>
              <w14:schemeClr w14:val="tx1"/>
            </w14:solidFill>
          </w14:textFill>
        </w:rPr>
        <w:t>.11知识产权</w:t>
      </w:r>
      <w:bookmarkEnd w:id="160"/>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61"/>
    </w:p>
    <w:bookmarkEnd w:id="162"/>
    <w:bookmarkEnd w:id="163"/>
    <w:p w14:paraId="015B0F9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0C74BD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2D4B5E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9050FAB">
      <w:pPr>
        <w:pageBreakBefore w:val="0"/>
        <w:widowControl w:val="0"/>
        <w:shd w:val="clear"/>
        <w:kinsoku/>
        <w:wordWrap/>
        <w:overflowPunct/>
        <w:topLinePunct w:val="0"/>
        <w:bidi w:val="0"/>
        <w:snapToGrid/>
        <w:spacing w:line="3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1.11.4 除专用合同条款另有约定外，承包人在合同签订前和签订时已确定采用的专利、专有技术、技术秘密的使用费已包含在签约合同价中。</w:t>
      </w:r>
    </w:p>
    <w:p w14:paraId="5B2D92D2">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64" w:name="_Toc351203507"/>
      <w:r>
        <w:rPr>
          <w:rFonts w:hint="eastAsia" w:ascii="宋体" w:hAnsi="宋体" w:eastAsia="宋体" w:cs="宋体"/>
          <w:b w:val="0"/>
          <w:color w:val="000000" w:themeColor="text1"/>
          <w:sz w:val="24"/>
          <w:szCs w:val="24"/>
          <w:highlight w:val="none"/>
          <w14:textFill>
            <w14:solidFill>
              <w14:schemeClr w14:val="tx1"/>
            </w14:solidFill>
          </w14:textFill>
        </w:rPr>
        <w:t>1</w:t>
      </w:r>
      <w:bookmarkStart w:id="165" w:name="_Toc337558738"/>
      <w:r>
        <w:rPr>
          <w:rFonts w:hint="eastAsia" w:ascii="宋体" w:hAnsi="宋体" w:eastAsia="宋体" w:cs="宋体"/>
          <w:b w:val="0"/>
          <w:color w:val="000000" w:themeColor="text1"/>
          <w:sz w:val="24"/>
          <w:szCs w:val="24"/>
          <w:highlight w:val="none"/>
          <w14:textFill>
            <w14:solidFill>
              <w14:schemeClr w14:val="tx1"/>
            </w14:solidFill>
          </w14:textFill>
        </w:rPr>
        <w:t>.12保密</w:t>
      </w:r>
      <w:bookmarkEnd w:id="164"/>
    </w:p>
    <w:bookmarkEnd w:id="165"/>
    <w:p w14:paraId="4820498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14:paraId="178E787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14:paraId="468D8469">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66" w:name="_Toc351203508"/>
      <w:r>
        <w:rPr>
          <w:rFonts w:hint="eastAsia" w:ascii="宋体" w:hAnsi="宋体" w:eastAsia="宋体" w:cs="宋体"/>
          <w:b w:val="0"/>
          <w:color w:val="000000" w:themeColor="text1"/>
          <w:sz w:val="24"/>
          <w:szCs w:val="24"/>
          <w:highlight w:val="none"/>
          <w14:textFill>
            <w14:solidFill>
              <w14:schemeClr w14:val="tx1"/>
            </w14:solidFill>
          </w14:textFill>
        </w:rPr>
        <w:t>1.13工程量清单错误的修正</w:t>
      </w:r>
      <w:bookmarkEnd w:id="166"/>
    </w:p>
    <w:p w14:paraId="1041B76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除专用合同条款另有约定外，发包人提供的工程量清单，应被认为是准确的和完整的。出现下列情形之一时，发包人应予以修正，并相应调整合同价格：</w:t>
      </w:r>
    </w:p>
    <w:p w14:paraId="13E48CD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（1）工程量清单存在缺项、漏项的；</w:t>
      </w:r>
    </w:p>
    <w:p w14:paraId="2F6DF9E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（2）工程量清单偏差超出专用合同条款约定的工程量偏差范围的；</w:t>
      </w:r>
    </w:p>
    <w:p w14:paraId="3B8A3F0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（3）未按照国家现行计量规范强制性规定计量的。</w:t>
      </w:r>
    </w:p>
    <w:p w14:paraId="513B58B3">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67" w:name="_Toc351203509"/>
      <w:r>
        <w:rPr>
          <w:rFonts w:hint="eastAsia" w:ascii="宋体" w:hAnsi="宋体" w:eastAsia="宋体" w:cs="宋体"/>
          <w:b w:val="0"/>
          <w:color w:val="000000" w:themeColor="text1"/>
          <w:sz w:val="24"/>
          <w:szCs w:val="24"/>
          <w:highlight w:val="none"/>
          <w14:textFill>
            <w14:solidFill>
              <w14:schemeClr w14:val="tx1"/>
            </w14:solidFill>
          </w14:textFill>
        </w:rPr>
        <w:t>2</w:t>
      </w:r>
      <w:bookmarkStart w:id="168" w:name="_Toc296346539"/>
      <w:bookmarkStart w:id="169" w:name="_Toc337558739"/>
      <w:bookmarkStart w:id="170" w:name="_Toc296503038"/>
      <w:bookmarkStart w:id="171" w:name="OLE_LINK2"/>
      <w:bookmarkStart w:id="172" w:name="OLE_LINK1"/>
      <w:r>
        <w:rPr>
          <w:rFonts w:hint="eastAsia" w:ascii="宋体" w:hAnsi="宋体" w:eastAsia="宋体" w:cs="宋体"/>
          <w:b w:val="0"/>
          <w:color w:val="000000" w:themeColor="text1"/>
          <w:sz w:val="24"/>
          <w:szCs w:val="24"/>
          <w:highlight w:val="none"/>
          <w14:textFill>
            <w14:solidFill>
              <w14:schemeClr w14:val="tx1"/>
            </w14:solidFill>
          </w14:textFill>
        </w:rPr>
        <w:t>. 发包人</w:t>
      </w:r>
      <w:bookmarkEnd w:id="167"/>
    </w:p>
    <w:bookmarkEnd w:id="168"/>
    <w:bookmarkEnd w:id="169"/>
    <w:bookmarkEnd w:id="170"/>
    <w:p w14:paraId="2098E56F">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73" w:name="_Toc351203510"/>
      <w:r>
        <w:rPr>
          <w:rFonts w:hint="eastAsia" w:ascii="宋体" w:hAnsi="宋体" w:eastAsia="宋体" w:cs="宋体"/>
          <w:b w:val="0"/>
          <w:color w:val="000000" w:themeColor="text1"/>
          <w:sz w:val="24"/>
          <w:szCs w:val="24"/>
          <w:highlight w:val="none"/>
          <w14:textFill>
            <w14:solidFill>
              <w14:schemeClr w14:val="tx1"/>
            </w14:solidFill>
          </w14:textFill>
        </w:rPr>
        <w:t>2</w:t>
      </w:r>
      <w:bookmarkStart w:id="174" w:name="_Toc296346540"/>
      <w:bookmarkStart w:id="175" w:name="_Toc296503039"/>
      <w:bookmarkStart w:id="176" w:name="_Toc337558740"/>
      <w:r>
        <w:rPr>
          <w:rFonts w:hint="eastAsia" w:ascii="宋体" w:hAnsi="宋体" w:eastAsia="宋体" w:cs="宋体"/>
          <w:b w:val="0"/>
          <w:color w:val="000000" w:themeColor="text1"/>
          <w:sz w:val="24"/>
          <w:szCs w:val="24"/>
          <w:highlight w:val="none"/>
          <w14:textFill>
            <w14:solidFill>
              <w14:schemeClr w14:val="tx1"/>
            </w14:solidFill>
          </w14:textFill>
        </w:rPr>
        <w:t>.1 许可或批准</w:t>
      </w:r>
      <w:bookmarkEnd w:id="173"/>
    </w:p>
    <w:p w14:paraId="41EF484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40D694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因发包人原因未能及时办理完毕前述许可、批准或备案，由发包人承担由此增加的费用和（或）延误的工期，并支付承包人合理的利润。</w:t>
      </w:r>
    </w:p>
    <w:p w14:paraId="1078524D">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77" w:name="_Toc351203511"/>
      <w:r>
        <w:rPr>
          <w:rFonts w:hint="eastAsia" w:ascii="宋体" w:hAnsi="宋体" w:eastAsia="宋体" w:cs="宋体"/>
          <w:b w:val="0"/>
          <w:color w:val="000000" w:themeColor="text1"/>
          <w:sz w:val="24"/>
          <w:szCs w:val="24"/>
          <w:highlight w:val="none"/>
          <w14:textFill>
            <w14:solidFill>
              <w14:schemeClr w14:val="tx1"/>
            </w14:solidFill>
          </w14:textFill>
        </w:rPr>
        <w:t>2.2 发包人代表</w:t>
      </w:r>
      <w:bookmarkEnd w:id="177"/>
    </w:p>
    <w:p w14:paraId="2FD08FC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EB97477">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发包人代表不能按照合同约定履行其职责及义务，并导致合同无法继续正常履行的，承包人可以要求发包人撤换发包人代表。</w:t>
      </w:r>
    </w:p>
    <w:p w14:paraId="2174C8D1">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不属于法定必须监理的工程，监理人的职权可以由发包人代表或发包人指定的其他人员行使。</w:t>
      </w:r>
    </w:p>
    <w:p w14:paraId="534CA0A3">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78" w:name="_Toc351203512"/>
      <w:r>
        <w:rPr>
          <w:rFonts w:hint="eastAsia" w:ascii="宋体" w:hAnsi="宋体" w:eastAsia="宋体" w:cs="宋体"/>
          <w:b w:val="0"/>
          <w:color w:val="000000" w:themeColor="text1"/>
          <w:sz w:val="24"/>
          <w:szCs w:val="24"/>
          <w:highlight w:val="none"/>
          <w14:textFill>
            <w14:solidFill>
              <w14:schemeClr w14:val="tx1"/>
            </w14:solidFill>
          </w14:textFill>
        </w:rPr>
        <w:t>2.3 发包人人员</w:t>
      </w:r>
      <w:bookmarkEnd w:id="178"/>
    </w:p>
    <w:p w14:paraId="692B47E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14:paraId="2888E0B3">
      <w:pPr>
        <w:pageBreakBefore w:val="0"/>
        <w:widowControl w:val="0"/>
        <w:shd w:val="clear"/>
        <w:kinsoku/>
        <w:wordWrap/>
        <w:overflowPunct/>
        <w:topLinePunct w:val="0"/>
        <w:bidi w:val="0"/>
        <w:snapToGrid/>
        <w:spacing w:line="380" w:lineRule="exact"/>
        <w:ind w:firstLine="64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发包人人员包括发包人代表及其他由发包人派驻施工现场的人员。</w:t>
      </w:r>
      <w:bookmarkEnd w:id="174"/>
      <w:bookmarkEnd w:id="175"/>
      <w:bookmarkEnd w:id="176"/>
    </w:p>
    <w:p w14:paraId="58522D0F">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79" w:name="_Toc351203513"/>
      <w:r>
        <w:rPr>
          <w:rFonts w:hint="eastAsia" w:ascii="宋体" w:hAnsi="宋体" w:eastAsia="宋体" w:cs="宋体"/>
          <w:b w:val="0"/>
          <w:color w:val="000000" w:themeColor="text1"/>
          <w:sz w:val="24"/>
          <w:szCs w:val="24"/>
          <w:highlight w:val="none"/>
          <w14:textFill>
            <w14:solidFill>
              <w14:schemeClr w14:val="tx1"/>
            </w14:solidFill>
          </w14:textFill>
        </w:rPr>
        <w:t>2</w:t>
      </w:r>
      <w:bookmarkStart w:id="180" w:name="_Toc296503040"/>
      <w:bookmarkStart w:id="181" w:name="_Toc337558741"/>
      <w:bookmarkStart w:id="182" w:name="_Toc296346541"/>
      <w:r>
        <w:rPr>
          <w:rFonts w:hint="eastAsia" w:ascii="宋体" w:hAnsi="宋体" w:eastAsia="宋体" w:cs="宋体"/>
          <w:b w:val="0"/>
          <w:color w:val="000000" w:themeColor="text1"/>
          <w:sz w:val="24"/>
          <w:szCs w:val="24"/>
          <w:highlight w:val="none"/>
          <w14:textFill>
            <w14:solidFill>
              <w14:schemeClr w14:val="tx1"/>
            </w14:solidFill>
          </w14:textFill>
        </w:rPr>
        <w:t>.4 施工现场、施工条件和基础资料的提供</w:t>
      </w:r>
      <w:bookmarkEnd w:id="179"/>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80"/>
      <w:bookmarkEnd w:id="181"/>
      <w:bookmarkEnd w:id="182"/>
      <w:r>
        <w:rPr>
          <w:rFonts w:hint="eastAsia" w:ascii="宋体" w:hAnsi="宋体" w:eastAsia="宋体" w:cs="宋体"/>
          <w:b w:val="0"/>
          <w:color w:val="000000" w:themeColor="text1"/>
          <w:sz w:val="24"/>
          <w:szCs w:val="24"/>
          <w:highlight w:val="none"/>
          <w14:textFill>
            <w14:solidFill>
              <w14:schemeClr w14:val="tx1"/>
            </w14:solidFill>
          </w14:textFill>
        </w:rPr>
        <w:t xml:space="preserve"> </w:t>
      </w:r>
    </w:p>
    <w:p w14:paraId="23533DA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2.4.1 提供施工现场</w:t>
      </w:r>
    </w:p>
    <w:p w14:paraId="3AF5388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w:t>
      </w:r>
      <w:bookmarkEnd w:id="171"/>
      <w:bookmarkEnd w:id="172"/>
      <w:r>
        <w:rPr>
          <w:rFonts w:hint="eastAsia" w:ascii="宋体" w:hAnsi="宋体" w:eastAsia="宋体" w:cs="宋体"/>
          <w:color w:val="000000" w:themeColor="text1"/>
          <w:kern w:val="0"/>
          <w:sz w:val="24"/>
          <w:highlight w:val="none"/>
          <w14:textFill>
            <w14:solidFill>
              <w14:schemeClr w14:val="tx1"/>
            </w14:solidFill>
          </w14:textFill>
        </w:rPr>
        <w:t>专用合同条款另有约定外，发包人应最迟于开工日期7天前向承包人移交施工现场。</w:t>
      </w:r>
    </w:p>
    <w:p w14:paraId="6D01412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2.4.2 提供施工条件</w:t>
      </w:r>
    </w:p>
    <w:p w14:paraId="5AECEFC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除专用合同条款另有约定外，发包人应负责提供施工所需要的条件，包括：</w:t>
      </w:r>
    </w:p>
    <w:p w14:paraId="266C9C2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（1）将施工用水、电力、通讯线路等施工所必需的条件接至施工现场内；</w:t>
      </w:r>
    </w:p>
    <w:p w14:paraId="1B167D5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（2）保证向承包人提供正常施工所需要的进入施工现场的交通条件；</w:t>
      </w:r>
    </w:p>
    <w:p w14:paraId="711DE1E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（3）协调处理施工现场周围地下管线和邻近建筑物、构筑物、古树名木的保护工作，并承担相关费用；</w:t>
      </w:r>
    </w:p>
    <w:p w14:paraId="08C392D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（4）按照专用合同条款约定应提供的其他设施和条件。</w:t>
      </w:r>
    </w:p>
    <w:p w14:paraId="6245448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2.4.3 提供基础资料</w:t>
      </w:r>
    </w:p>
    <w:p w14:paraId="60535F6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23BC29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14:paraId="33B1918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2.4.4 逾期提供的责任</w:t>
      </w:r>
    </w:p>
    <w:p w14:paraId="002FEA8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因发包人原因未能按合同约定及时向承包人提供施工现场、施工条件、基础资料的，由发包人承担由此增加的费用和（或）延误的工期。</w:t>
      </w:r>
    </w:p>
    <w:p w14:paraId="4D8674C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83" w:name="_Toc351203514"/>
      <w:r>
        <w:rPr>
          <w:rFonts w:hint="eastAsia" w:ascii="宋体" w:hAnsi="宋体" w:eastAsia="宋体" w:cs="宋体"/>
          <w:b w:val="0"/>
          <w:color w:val="000000" w:themeColor="text1"/>
          <w:sz w:val="24"/>
          <w:szCs w:val="24"/>
          <w:highlight w:val="none"/>
          <w14:textFill>
            <w14:solidFill>
              <w14:schemeClr w14:val="tx1"/>
            </w14:solidFill>
          </w14:textFill>
        </w:rPr>
        <w:t>2</w:t>
      </w:r>
      <w:bookmarkStart w:id="184" w:name="_Toc296503042"/>
      <w:bookmarkStart w:id="185" w:name="_Toc337558745"/>
      <w:bookmarkStart w:id="186" w:name="_Toc296346543"/>
      <w:r>
        <w:rPr>
          <w:rFonts w:hint="eastAsia" w:ascii="宋体" w:hAnsi="宋体" w:eastAsia="宋体" w:cs="宋体"/>
          <w:b w:val="0"/>
          <w:color w:val="000000" w:themeColor="text1"/>
          <w:sz w:val="24"/>
          <w:szCs w:val="24"/>
          <w:highlight w:val="none"/>
          <w14:textFill>
            <w14:solidFill>
              <w14:schemeClr w14:val="tx1"/>
            </w14:solidFill>
          </w14:textFill>
        </w:rPr>
        <w:t>.5 资</w:t>
      </w:r>
      <w:bookmarkEnd w:id="184"/>
      <w:bookmarkEnd w:id="185"/>
      <w:bookmarkEnd w:id="186"/>
      <w:r>
        <w:rPr>
          <w:rFonts w:hint="eastAsia" w:ascii="宋体" w:hAnsi="宋体" w:eastAsia="宋体" w:cs="宋体"/>
          <w:b w:val="0"/>
          <w:color w:val="000000" w:themeColor="text1"/>
          <w:sz w:val="24"/>
          <w:szCs w:val="24"/>
          <w:highlight w:val="none"/>
          <w14:textFill>
            <w14:solidFill>
              <w14:schemeClr w14:val="tx1"/>
            </w14:solidFill>
          </w14:textFill>
        </w:rPr>
        <w:t>金来源证明及支付担保</w:t>
      </w:r>
      <w:bookmarkEnd w:id="183"/>
    </w:p>
    <w:p w14:paraId="1081234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14:paraId="400BF55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14:paraId="3F2AE6D1">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87" w:name="_Toc351203515"/>
      <w:r>
        <w:rPr>
          <w:rFonts w:hint="eastAsia" w:ascii="宋体" w:hAnsi="宋体" w:eastAsia="宋体" w:cs="宋体"/>
          <w:b w:val="0"/>
          <w:color w:val="000000" w:themeColor="text1"/>
          <w:sz w:val="24"/>
          <w:szCs w:val="24"/>
          <w:highlight w:val="none"/>
          <w14:textFill>
            <w14:solidFill>
              <w14:schemeClr w14:val="tx1"/>
            </w14:solidFill>
          </w14:textFill>
        </w:rPr>
        <w:t>2.6 支付合同价款</w:t>
      </w:r>
      <w:bookmarkEnd w:id="187"/>
    </w:p>
    <w:p w14:paraId="12EDC76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发包人应按合同约定向承包人及时支付合同价款。</w:t>
      </w:r>
    </w:p>
    <w:p w14:paraId="5D9406D9">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88" w:name="_Toc351203516"/>
      <w:r>
        <w:rPr>
          <w:rFonts w:hint="eastAsia" w:ascii="宋体" w:hAnsi="宋体" w:eastAsia="宋体" w:cs="宋体"/>
          <w:b w:val="0"/>
          <w:color w:val="000000" w:themeColor="text1"/>
          <w:sz w:val="24"/>
          <w:szCs w:val="24"/>
          <w:highlight w:val="none"/>
          <w14:textFill>
            <w14:solidFill>
              <w14:schemeClr w14:val="tx1"/>
            </w14:solidFill>
          </w14:textFill>
        </w:rPr>
        <w:t>2.7 组织竣工验收</w:t>
      </w:r>
      <w:bookmarkEnd w:id="188"/>
    </w:p>
    <w:p w14:paraId="5F729AD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发包人应按合同约定及时组织竣工验收。</w:t>
      </w:r>
    </w:p>
    <w:p w14:paraId="661BBB9B">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89" w:name="_Toc351203517"/>
      <w:r>
        <w:rPr>
          <w:rFonts w:hint="eastAsia" w:ascii="宋体" w:hAnsi="宋体" w:eastAsia="宋体" w:cs="宋体"/>
          <w:b w:val="0"/>
          <w:color w:val="000000" w:themeColor="text1"/>
          <w:sz w:val="24"/>
          <w:szCs w:val="24"/>
          <w:highlight w:val="none"/>
          <w14:textFill>
            <w14:solidFill>
              <w14:schemeClr w14:val="tx1"/>
            </w14:solidFill>
          </w14:textFill>
        </w:rPr>
        <w:t>2.8 现场统一管理协议</w:t>
      </w:r>
      <w:bookmarkEnd w:id="189"/>
    </w:p>
    <w:p w14:paraId="5F62F17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14:paraId="607CF4E7">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90" w:name="_Toc351203518"/>
      <w:r>
        <w:rPr>
          <w:rFonts w:hint="eastAsia" w:ascii="宋体" w:hAnsi="宋体" w:eastAsia="宋体" w:cs="宋体"/>
          <w:b w:val="0"/>
          <w:color w:val="000000" w:themeColor="text1"/>
          <w:sz w:val="24"/>
          <w:szCs w:val="24"/>
          <w:highlight w:val="none"/>
          <w14:textFill>
            <w14:solidFill>
              <w14:schemeClr w14:val="tx1"/>
            </w14:solidFill>
          </w14:textFill>
        </w:rPr>
        <w:t>3</w:t>
      </w:r>
      <w:bookmarkStart w:id="191" w:name="_Toc296503045"/>
      <w:bookmarkStart w:id="192" w:name="_Toc296346546"/>
      <w:bookmarkStart w:id="193" w:name="_Toc337558746"/>
      <w:r>
        <w:rPr>
          <w:rFonts w:hint="eastAsia" w:ascii="宋体" w:hAnsi="宋体" w:eastAsia="宋体" w:cs="宋体"/>
          <w:b w:val="0"/>
          <w:color w:val="000000" w:themeColor="text1"/>
          <w:sz w:val="24"/>
          <w:szCs w:val="24"/>
          <w:highlight w:val="none"/>
          <w14:textFill>
            <w14:solidFill>
              <w14:schemeClr w14:val="tx1"/>
            </w14:solidFill>
          </w14:textFill>
        </w:rPr>
        <w:t>. 承包人</w:t>
      </w:r>
      <w:bookmarkEnd w:id="190"/>
    </w:p>
    <w:bookmarkEnd w:id="191"/>
    <w:bookmarkEnd w:id="192"/>
    <w:bookmarkEnd w:id="193"/>
    <w:p w14:paraId="402021EE">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94" w:name="_Toc351203519"/>
      <w:r>
        <w:rPr>
          <w:rFonts w:hint="eastAsia" w:ascii="宋体" w:hAnsi="宋体" w:eastAsia="宋体" w:cs="宋体"/>
          <w:b w:val="0"/>
          <w:color w:val="000000" w:themeColor="text1"/>
          <w:sz w:val="24"/>
          <w:szCs w:val="24"/>
          <w:highlight w:val="none"/>
          <w14:textFill>
            <w14:solidFill>
              <w14:schemeClr w14:val="tx1"/>
            </w14:solidFill>
          </w14:textFill>
        </w:rPr>
        <w:t>3</w:t>
      </w:r>
      <w:bookmarkStart w:id="195" w:name="_Toc296503046"/>
      <w:bookmarkStart w:id="196" w:name="_Toc296346547"/>
      <w:bookmarkStart w:id="197" w:name="_Toc337558747"/>
      <w:r>
        <w:rPr>
          <w:rFonts w:hint="eastAsia" w:ascii="宋体" w:hAnsi="宋体" w:eastAsia="宋体" w:cs="宋体"/>
          <w:b w:val="0"/>
          <w:color w:val="000000" w:themeColor="text1"/>
          <w:sz w:val="24"/>
          <w:szCs w:val="24"/>
          <w:highlight w:val="none"/>
          <w14:textFill>
            <w14:solidFill>
              <w14:schemeClr w14:val="tx1"/>
            </w14:solidFill>
          </w14:textFill>
        </w:rPr>
        <w:t>.1 承包人的一般义务</w:t>
      </w:r>
      <w:bookmarkEnd w:id="194"/>
    </w:p>
    <w:bookmarkEnd w:id="195"/>
    <w:bookmarkEnd w:id="196"/>
    <w:bookmarkEnd w:id="197"/>
    <w:p w14:paraId="0C501A2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承包人在履行合同过程中应遵守法律和工程建设标准规范，并履行以下义务：</w:t>
      </w:r>
    </w:p>
    <w:p w14:paraId="493D8F33">
      <w:pPr>
        <w:pageBreakBefore w:val="0"/>
        <w:widowControl w:val="0"/>
        <w:numPr>
          <w:ilvl w:val="0"/>
          <w:numId w:val="3"/>
        </w:numPr>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办理法律规定应由承包人办理的许可和批准，并将办理结果书面报送发包人留存；</w:t>
      </w:r>
    </w:p>
    <w:p w14:paraId="75571BE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（2）按法律规定和合同约定完成工程，并在保修期内承担保修义务；</w:t>
      </w:r>
    </w:p>
    <w:p w14:paraId="2BDCCE1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（3）按法律规定和合同约定采取施工安全和环境保护措施，办理工伤保险，确保工程及人员、材料、设备和设施的安全；</w:t>
      </w:r>
    </w:p>
    <w:p w14:paraId="23BC0F9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14:paraId="2750ED1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C8E041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（6）按照第6.3款〔环境保护〕约定负责施工场地及其周边环境与生态的保护工作；</w:t>
      </w:r>
    </w:p>
    <w:p w14:paraId="3ECFEB3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14:paraId="57A3F9E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（8）将发包人按合同约定支付的各项价款专用于合同工程，且应及时支付其雇用人员工资，并及时向分包人支付合同价款；</w:t>
      </w:r>
    </w:p>
    <w:p w14:paraId="7F4B419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14:paraId="27C0A91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（10）应履行的其他义务。</w:t>
      </w:r>
    </w:p>
    <w:p w14:paraId="720E56DF">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198" w:name="_Toc351203520"/>
      <w:r>
        <w:rPr>
          <w:rFonts w:hint="eastAsia" w:ascii="宋体" w:hAnsi="宋体" w:eastAsia="宋体" w:cs="宋体"/>
          <w:b w:val="0"/>
          <w:color w:val="000000" w:themeColor="text1"/>
          <w:sz w:val="24"/>
          <w:szCs w:val="24"/>
          <w:highlight w:val="none"/>
          <w14:textFill>
            <w14:solidFill>
              <w14:schemeClr w14:val="tx1"/>
            </w14:solidFill>
          </w14:textFill>
        </w:rPr>
        <w:t>3</w:t>
      </w:r>
      <w:bookmarkStart w:id="199" w:name="_Toc337558748"/>
      <w:bookmarkStart w:id="200" w:name="_Toc296503047"/>
      <w:bookmarkStart w:id="201" w:name="_Toc296346548"/>
      <w:r>
        <w:rPr>
          <w:rFonts w:hint="eastAsia" w:ascii="宋体" w:hAnsi="宋体" w:eastAsia="宋体" w:cs="宋体"/>
          <w:b w:val="0"/>
          <w:color w:val="000000" w:themeColor="text1"/>
          <w:sz w:val="24"/>
          <w:szCs w:val="24"/>
          <w:highlight w:val="none"/>
          <w14:textFill>
            <w14:solidFill>
              <w14:schemeClr w14:val="tx1"/>
            </w14:solidFill>
          </w14:textFill>
        </w:rPr>
        <w:t xml:space="preserve">.2 </w:t>
      </w:r>
      <w:bookmarkEnd w:id="198"/>
      <w:r>
        <w:rPr>
          <w:rFonts w:hint="eastAsia" w:ascii="宋体" w:hAnsi="宋体" w:eastAsia="宋体" w:cs="宋体"/>
          <w:b w:val="0"/>
          <w:color w:val="000000" w:themeColor="text1"/>
          <w:sz w:val="24"/>
          <w:szCs w:val="24"/>
          <w:highlight w:val="none"/>
          <w14:textFill>
            <w14:solidFill>
              <w14:schemeClr w14:val="tx1"/>
            </w14:solidFill>
          </w14:textFill>
        </w:rPr>
        <w:t>项目经理</w:t>
      </w:r>
    </w:p>
    <w:bookmarkEnd w:id="199"/>
    <w:bookmarkEnd w:id="200"/>
    <w:bookmarkEnd w:id="201"/>
    <w:p w14:paraId="4B9B768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B8204D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F2F808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承包人违反上述约定的，应按照专用合同条款的约定，承担违约责任。</w:t>
      </w:r>
    </w:p>
    <w:p w14:paraId="6C4EA94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0C2E31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8709B3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52D7F0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14:paraId="31AD3214">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02" w:name="_Toc351203521"/>
      <w:r>
        <w:rPr>
          <w:rFonts w:hint="eastAsia" w:ascii="宋体" w:hAnsi="宋体" w:eastAsia="宋体" w:cs="宋体"/>
          <w:b w:val="0"/>
          <w:color w:val="000000" w:themeColor="text1"/>
          <w:sz w:val="24"/>
          <w:szCs w:val="24"/>
          <w:highlight w:val="none"/>
          <w14:textFill>
            <w14:solidFill>
              <w14:schemeClr w14:val="tx1"/>
            </w14:solidFill>
          </w14:textFill>
        </w:rPr>
        <w:t>3</w:t>
      </w:r>
      <w:bookmarkStart w:id="203" w:name="_Toc296503048"/>
      <w:bookmarkStart w:id="204" w:name="_Toc296346549"/>
      <w:bookmarkStart w:id="205" w:name="_Toc337558749"/>
      <w:r>
        <w:rPr>
          <w:rFonts w:hint="eastAsia" w:ascii="宋体" w:hAnsi="宋体" w:eastAsia="宋体" w:cs="宋体"/>
          <w:b w:val="0"/>
          <w:color w:val="000000" w:themeColor="text1"/>
          <w:sz w:val="24"/>
          <w:szCs w:val="24"/>
          <w:highlight w:val="none"/>
          <w14:textFill>
            <w14:solidFill>
              <w14:schemeClr w14:val="tx1"/>
            </w14:solidFill>
          </w14:textFill>
        </w:rPr>
        <w:t xml:space="preserve">.3 </w:t>
      </w:r>
      <w:bookmarkEnd w:id="203"/>
      <w:bookmarkEnd w:id="204"/>
      <w:r>
        <w:rPr>
          <w:rFonts w:hint="eastAsia" w:ascii="宋体" w:hAnsi="宋体" w:eastAsia="宋体" w:cs="宋体"/>
          <w:b w:val="0"/>
          <w:color w:val="000000" w:themeColor="text1"/>
          <w:sz w:val="24"/>
          <w:szCs w:val="24"/>
          <w:highlight w:val="none"/>
          <w14:textFill>
            <w14:solidFill>
              <w14:schemeClr w14:val="tx1"/>
            </w14:solidFill>
          </w14:textFill>
        </w:rPr>
        <w:t>承包人人员</w:t>
      </w:r>
      <w:bookmarkEnd w:id="202"/>
    </w:p>
    <w:bookmarkEnd w:id="205"/>
    <w:p w14:paraId="420C6CB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9290F3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DE6BFC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特殊工种作业人员均应持有相应的资格证明，监理人可以随时检查。</w:t>
      </w:r>
    </w:p>
    <w:p w14:paraId="2F00704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3666E7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39712D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3.3.5 承包人擅自更换主要施工管理人员，或前述人员未经监理人或发包人同意擅自离开施工现场的，应按照专用合同条款约定承担违约责任。</w:t>
      </w:r>
    </w:p>
    <w:p w14:paraId="2E17568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06" w:name="_Toc351203522"/>
      <w:r>
        <w:rPr>
          <w:rFonts w:hint="eastAsia" w:ascii="宋体" w:hAnsi="宋体" w:eastAsia="宋体" w:cs="宋体"/>
          <w:b w:val="0"/>
          <w:color w:val="000000" w:themeColor="text1"/>
          <w:sz w:val="24"/>
          <w:szCs w:val="24"/>
          <w:highlight w:val="none"/>
          <w14:textFill>
            <w14:solidFill>
              <w14:schemeClr w14:val="tx1"/>
            </w14:solidFill>
          </w14:textFill>
        </w:rPr>
        <w:t>3</w:t>
      </w:r>
      <w:bookmarkStart w:id="207" w:name="_Toc337558750"/>
      <w:bookmarkStart w:id="208" w:name="_Toc296503050"/>
      <w:bookmarkStart w:id="209" w:name="_Toc296346551"/>
      <w:r>
        <w:rPr>
          <w:rFonts w:hint="eastAsia" w:ascii="宋体" w:hAnsi="宋体" w:eastAsia="宋体" w:cs="宋体"/>
          <w:b w:val="0"/>
          <w:color w:val="000000" w:themeColor="text1"/>
          <w:sz w:val="24"/>
          <w:szCs w:val="24"/>
          <w:highlight w:val="none"/>
          <w14:textFill>
            <w14:solidFill>
              <w14:schemeClr w14:val="tx1"/>
            </w14:solidFill>
          </w14:textFill>
        </w:rPr>
        <w:t>.4 承包人现场查勘</w:t>
      </w:r>
      <w:bookmarkEnd w:id="206"/>
    </w:p>
    <w:bookmarkEnd w:id="207"/>
    <w:bookmarkEnd w:id="208"/>
    <w:bookmarkEnd w:id="209"/>
    <w:p w14:paraId="09B09C6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14:paraId="39DD1B9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3C37D3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10" w:name="_Toc351203523"/>
      <w:r>
        <w:rPr>
          <w:rFonts w:hint="eastAsia" w:ascii="宋体" w:hAnsi="宋体" w:eastAsia="宋体" w:cs="宋体"/>
          <w:b w:val="0"/>
          <w:color w:val="000000" w:themeColor="text1"/>
          <w:sz w:val="24"/>
          <w:szCs w:val="24"/>
          <w:highlight w:val="none"/>
          <w14:textFill>
            <w14:solidFill>
              <w14:schemeClr w14:val="tx1"/>
            </w14:solidFill>
          </w14:textFill>
        </w:rPr>
        <w:t>3</w:t>
      </w:r>
      <w:bookmarkStart w:id="211" w:name="_Toc337558751"/>
      <w:bookmarkStart w:id="212" w:name="_Toc296346552"/>
      <w:bookmarkStart w:id="213" w:name="_Toc296503051"/>
      <w:r>
        <w:rPr>
          <w:rFonts w:hint="eastAsia" w:ascii="宋体" w:hAnsi="宋体" w:eastAsia="宋体" w:cs="宋体"/>
          <w:b w:val="0"/>
          <w:color w:val="000000" w:themeColor="text1"/>
          <w:sz w:val="24"/>
          <w:szCs w:val="24"/>
          <w:highlight w:val="none"/>
          <w14:textFill>
            <w14:solidFill>
              <w14:schemeClr w14:val="tx1"/>
            </w14:solidFill>
          </w14:textFill>
        </w:rPr>
        <w:t>.5 分包</w:t>
      </w:r>
      <w:bookmarkEnd w:id="210"/>
    </w:p>
    <w:bookmarkEnd w:id="211"/>
    <w:bookmarkEnd w:id="212"/>
    <w:bookmarkEnd w:id="213"/>
    <w:p w14:paraId="6BB0D38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3.5.1 分包的一般约定</w:t>
      </w:r>
    </w:p>
    <w:p w14:paraId="4388EDF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04D186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承包人不得以劳务分包的名义转包或违法分包工程。</w:t>
      </w:r>
    </w:p>
    <w:p w14:paraId="475A8BE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3.5.2 分包的确定</w:t>
      </w:r>
    </w:p>
    <w:p w14:paraId="30E67AA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A5F18E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3.5.3 分包管理</w:t>
      </w:r>
    </w:p>
    <w:p w14:paraId="09B39A8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14:paraId="083DD2C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3.5.4 分包合同价款</w:t>
      </w:r>
    </w:p>
    <w:p w14:paraId="5DB4F20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14:paraId="1F1C6A2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（2）生效法律文书要求发包人向分包人支付分包合同价款的，发包人有权从应付承包人工程款中扣除该部分款项。</w:t>
      </w:r>
    </w:p>
    <w:p w14:paraId="2CE3FF3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3.5.5 分包合同权益的转让</w:t>
      </w:r>
    </w:p>
    <w:p w14:paraId="72E8132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4" w:name="_Toc351203524"/>
    </w:p>
    <w:p w14:paraId="51F3E962">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3.6 工程照管与成品、半成品保护</w:t>
      </w:r>
      <w:bookmarkEnd w:id="214"/>
    </w:p>
    <w:p w14:paraId="1CC048D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14:paraId="1C52F02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14:paraId="2676033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14:paraId="2F3A9C2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15" w:name="_Toc351203525"/>
      <w:r>
        <w:rPr>
          <w:rFonts w:hint="eastAsia" w:ascii="宋体" w:hAnsi="宋体" w:eastAsia="宋体" w:cs="宋体"/>
          <w:b w:val="0"/>
          <w:color w:val="000000" w:themeColor="text1"/>
          <w:sz w:val="24"/>
          <w:szCs w:val="24"/>
          <w:highlight w:val="none"/>
          <w14:textFill>
            <w14:solidFill>
              <w14:schemeClr w14:val="tx1"/>
            </w14:solidFill>
          </w14:textFill>
        </w:rPr>
        <w:t>3</w:t>
      </w:r>
      <w:bookmarkStart w:id="216" w:name="_Toc296346553"/>
      <w:bookmarkStart w:id="217" w:name="_Toc337558752"/>
      <w:bookmarkStart w:id="218" w:name="_Toc296503052"/>
      <w:r>
        <w:rPr>
          <w:rFonts w:hint="eastAsia" w:ascii="宋体" w:hAnsi="宋体" w:eastAsia="宋体" w:cs="宋体"/>
          <w:b w:val="0"/>
          <w:color w:val="000000" w:themeColor="text1"/>
          <w:sz w:val="24"/>
          <w:szCs w:val="24"/>
          <w:highlight w:val="none"/>
          <w14:textFill>
            <w14:solidFill>
              <w14:schemeClr w14:val="tx1"/>
            </w14:solidFill>
          </w14:textFill>
        </w:rPr>
        <w:t>.7 履约担保</w:t>
      </w:r>
      <w:bookmarkEnd w:id="215"/>
    </w:p>
    <w:bookmarkEnd w:id="216"/>
    <w:bookmarkEnd w:id="217"/>
    <w:bookmarkEnd w:id="218"/>
    <w:p w14:paraId="26E861B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73BFBFB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14:paraId="2A486B5F">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19" w:name="_Toc351203526"/>
      <w:r>
        <w:rPr>
          <w:rFonts w:hint="eastAsia" w:ascii="宋体" w:hAnsi="宋体" w:eastAsia="宋体" w:cs="宋体"/>
          <w:b w:val="0"/>
          <w:color w:val="000000" w:themeColor="text1"/>
          <w:sz w:val="24"/>
          <w:szCs w:val="24"/>
          <w:highlight w:val="none"/>
          <w14:textFill>
            <w14:solidFill>
              <w14:schemeClr w14:val="tx1"/>
            </w14:solidFill>
          </w14:textFill>
        </w:rPr>
        <w:t>3.8 联合体</w:t>
      </w:r>
      <w:bookmarkEnd w:id="219"/>
    </w:p>
    <w:p w14:paraId="3CF8B87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3.8.1 联合体各方应共同与发包人签订合同协议书。联合体各方应为履行合同向发包人承担连带责任。</w:t>
      </w:r>
    </w:p>
    <w:p w14:paraId="75CFAB1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3.8.2 联合体协议经发包人确认后作为合同附件。在履行合同过程中，未经发包人同意，不得修改联合体协议。</w:t>
      </w:r>
    </w:p>
    <w:p w14:paraId="7D915D6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3.8.3 联合体牵头人负责与发包人和监理人联系，并接受指示，负责组织联合体各成员全面履行合同。</w:t>
      </w:r>
    </w:p>
    <w:p w14:paraId="053DD2B2">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20" w:name="_Toc351203527"/>
      <w:r>
        <w:rPr>
          <w:rFonts w:hint="eastAsia" w:ascii="宋体" w:hAnsi="宋体" w:eastAsia="宋体" w:cs="宋体"/>
          <w:b w:val="0"/>
          <w:color w:val="000000" w:themeColor="text1"/>
          <w:sz w:val="24"/>
          <w:szCs w:val="24"/>
          <w:highlight w:val="none"/>
          <w14:textFill>
            <w14:solidFill>
              <w14:schemeClr w14:val="tx1"/>
            </w14:solidFill>
          </w14:textFill>
        </w:rPr>
        <w:t>4</w:t>
      </w:r>
      <w:bookmarkStart w:id="221" w:name="_Toc296503053"/>
      <w:bookmarkStart w:id="222" w:name="_Toc296346554"/>
      <w:bookmarkStart w:id="223" w:name="_Toc337558753"/>
      <w:r>
        <w:rPr>
          <w:rFonts w:hint="eastAsia" w:ascii="宋体" w:hAnsi="宋体" w:eastAsia="宋体" w:cs="宋体"/>
          <w:b w:val="0"/>
          <w:color w:val="000000" w:themeColor="text1"/>
          <w:sz w:val="24"/>
          <w:szCs w:val="24"/>
          <w:highlight w:val="none"/>
          <w14:textFill>
            <w14:solidFill>
              <w14:schemeClr w14:val="tx1"/>
            </w14:solidFill>
          </w14:textFill>
        </w:rPr>
        <w:t>. 监</w:t>
      </w:r>
      <w:bookmarkEnd w:id="221"/>
      <w:bookmarkEnd w:id="222"/>
      <w:r>
        <w:rPr>
          <w:rFonts w:hint="eastAsia" w:ascii="宋体" w:hAnsi="宋体" w:eastAsia="宋体" w:cs="宋体"/>
          <w:b w:val="0"/>
          <w:color w:val="000000" w:themeColor="text1"/>
          <w:sz w:val="24"/>
          <w:szCs w:val="24"/>
          <w:highlight w:val="none"/>
          <w14:textFill>
            <w14:solidFill>
              <w14:schemeClr w14:val="tx1"/>
            </w14:solidFill>
          </w14:textFill>
        </w:rPr>
        <w:t>理人</w:t>
      </w:r>
      <w:bookmarkEnd w:id="220"/>
    </w:p>
    <w:bookmarkEnd w:id="223"/>
    <w:p w14:paraId="48E13376">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24" w:name="_Toc351203528"/>
      <w:r>
        <w:rPr>
          <w:rFonts w:hint="eastAsia" w:ascii="宋体" w:hAnsi="宋体" w:eastAsia="宋体" w:cs="宋体"/>
          <w:b w:val="0"/>
          <w:color w:val="000000" w:themeColor="text1"/>
          <w:sz w:val="24"/>
          <w:szCs w:val="24"/>
          <w:highlight w:val="none"/>
          <w14:textFill>
            <w14:solidFill>
              <w14:schemeClr w14:val="tx1"/>
            </w14:solidFill>
          </w14:textFill>
        </w:rPr>
        <w:t>4</w:t>
      </w:r>
      <w:bookmarkStart w:id="225" w:name="_Toc296346555"/>
      <w:bookmarkStart w:id="226" w:name="_Toc296503054"/>
      <w:bookmarkStart w:id="227" w:name="_Toc337558754"/>
      <w:r>
        <w:rPr>
          <w:rFonts w:hint="eastAsia" w:ascii="宋体" w:hAnsi="宋体" w:eastAsia="宋体" w:cs="宋体"/>
          <w:b w:val="0"/>
          <w:color w:val="000000" w:themeColor="text1"/>
          <w:sz w:val="24"/>
          <w:szCs w:val="24"/>
          <w:highlight w:val="none"/>
          <w14:textFill>
            <w14:solidFill>
              <w14:schemeClr w14:val="tx1"/>
            </w14:solidFill>
          </w14:textFill>
        </w:rPr>
        <w:t>.1监理人的一般规定</w:t>
      </w:r>
      <w:bookmarkEnd w:id="224"/>
    </w:p>
    <w:bookmarkEnd w:id="225"/>
    <w:bookmarkEnd w:id="226"/>
    <w:bookmarkEnd w:id="227"/>
    <w:p w14:paraId="3128EEC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69D19DF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除专用合同条款另有约定外，监理人在施工现场的办公场所、生活场所由承包人提供，所发生的费用由发包人承担。</w:t>
      </w:r>
    </w:p>
    <w:p w14:paraId="7A25D07C">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28" w:name="_Toc351203529"/>
      <w:r>
        <w:rPr>
          <w:rFonts w:hint="eastAsia" w:ascii="宋体" w:hAnsi="宋体" w:eastAsia="宋体" w:cs="宋体"/>
          <w:b w:val="0"/>
          <w:color w:val="000000" w:themeColor="text1"/>
          <w:sz w:val="24"/>
          <w:szCs w:val="24"/>
          <w:highlight w:val="none"/>
          <w14:textFill>
            <w14:solidFill>
              <w14:schemeClr w14:val="tx1"/>
            </w14:solidFill>
          </w14:textFill>
        </w:rPr>
        <w:t>4</w:t>
      </w:r>
      <w:bookmarkStart w:id="229" w:name="_Toc337558755"/>
      <w:r>
        <w:rPr>
          <w:rFonts w:hint="eastAsia" w:ascii="宋体" w:hAnsi="宋体" w:eastAsia="宋体" w:cs="宋体"/>
          <w:b w:val="0"/>
          <w:color w:val="000000" w:themeColor="text1"/>
          <w:sz w:val="24"/>
          <w:szCs w:val="24"/>
          <w:highlight w:val="none"/>
          <w14:textFill>
            <w14:solidFill>
              <w14:schemeClr w14:val="tx1"/>
            </w14:solidFill>
          </w14:textFill>
        </w:rPr>
        <w:t>.2监理人员</w:t>
      </w:r>
      <w:bookmarkEnd w:id="228"/>
    </w:p>
    <w:bookmarkEnd w:id="229"/>
    <w:p w14:paraId="0ABAE4E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CB0DB51">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30" w:name="_Toc351203530"/>
      <w:r>
        <w:rPr>
          <w:rFonts w:hint="eastAsia" w:ascii="宋体" w:hAnsi="宋体" w:eastAsia="宋体" w:cs="宋体"/>
          <w:b w:val="0"/>
          <w:color w:val="000000" w:themeColor="text1"/>
          <w:sz w:val="24"/>
          <w:szCs w:val="24"/>
          <w:highlight w:val="none"/>
          <w14:textFill>
            <w14:solidFill>
              <w14:schemeClr w14:val="tx1"/>
            </w14:solidFill>
          </w14:textFill>
        </w:rPr>
        <w:t>4</w:t>
      </w:r>
      <w:bookmarkStart w:id="231" w:name="_Toc296503055"/>
      <w:bookmarkStart w:id="232" w:name="_Toc296346556"/>
      <w:bookmarkStart w:id="233" w:name="_Toc337558756"/>
      <w:r>
        <w:rPr>
          <w:rFonts w:hint="eastAsia" w:ascii="宋体" w:hAnsi="宋体" w:eastAsia="宋体" w:cs="宋体"/>
          <w:b w:val="0"/>
          <w:color w:val="000000" w:themeColor="text1"/>
          <w:sz w:val="24"/>
          <w:szCs w:val="24"/>
          <w:highlight w:val="none"/>
          <w14:textFill>
            <w14:solidFill>
              <w14:schemeClr w14:val="tx1"/>
            </w14:solidFill>
          </w14:textFill>
        </w:rPr>
        <w:t>.3</w:t>
      </w:r>
      <w:bookmarkEnd w:id="231"/>
      <w:bookmarkEnd w:id="232"/>
      <w:r>
        <w:rPr>
          <w:rFonts w:hint="eastAsia" w:ascii="宋体" w:hAnsi="宋体" w:eastAsia="宋体" w:cs="宋体"/>
          <w:b w:val="0"/>
          <w:color w:val="000000" w:themeColor="text1"/>
          <w:sz w:val="24"/>
          <w:szCs w:val="24"/>
          <w:highlight w:val="none"/>
          <w14:textFill>
            <w14:solidFill>
              <w14:schemeClr w14:val="tx1"/>
            </w14:solidFill>
          </w14:textFill>
        </w:rPr>
        <w:t>监理人的指</w:t>
      </w:r>
      <w:bookmarkEnd w:id="233"/>
      <w:r>
        <w:rPr>
          <w:rFonts w:hint="eastAsia" w:ascii="宋体" w:hAnsi="宋体" w:eastAsia="宋体" w:cs="宋体"/>
          <w:b w:val="0"/>
          <w:color w:val="000000" w:themeColor="text1"/>
          <w:sz w:val="24"/>
          <w:szCs w:val="24"/>
          <w:highlight w:val="none"/>
          <w14:textFill>
            <w14:solidFill>
              <w14:schemeClr w14:val="tx1"/>
            </w14:solidFill>
          </w14:textFill>
        </w:rPr>
        <w:t>示</w:t>
      </w:r>
      <w:bookmarkEnd w:id="230"/>
    </w:p>
    <w:p w14:paraId="52BE36A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456A26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1C2AC7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14:paraId="3370B3A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14:paraId="13E8A5C1">
      <w:pPr>
        <w:pStyle w:val="5"/>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34" w:name="_Toc351203531"/>
      <w:r>
        <w:rPr>
          <w:rFonts w:hint="eastAsia" w:ascii="宋体" w:hAnsi="宋体" w:eastAsia="宋体" w:cs="宋体"/>
          <w:b w:val="0"/>
          <w:color w:val="000000" w:themeColor="text1"/>
          <w:sz w:val="24"/>
          <w:szCs w:val="24"/>
          <w:highlight w:val="none"/>
          <w14:textFill>
            <w14:solidFill>
              <w14:schemeClr w14:val="tx1"/>
            </w14:solidFill>
          </w14:textFill>
        </w:rPr>
        <w:t>4</w:t>
      </w:r>
      <w:bookmarkStart w:id="235" w:name="_Toc337558757"/>
      <w:bookmarkStart w:id="236" w:name="_Toc296503057"/>
      <w:bookmarkStart w:id="237" w:name="_Toc296346558"/>
      <w:r>
        <w:rPr>
          <w:rFonts w:hint="eastAsia" w:ascii="宋体" w:hAnsi="宋体" w:eastAsia="宋体" w:cs="宋体"/>
          <w:b w:val="0"/>
          <w:color w:val="000000" w:themeColor="text1"/>
          <w:sz w:val="24"/>
          <w:szCs w:val="24"/>
          <w:highlight w:val="none"/>
          <w14:textFill>
            <w14:solidFill>
              <w14:schemeClr w14:val="tx1"/>
            </w14:solidFill>
          </w14:textFill>
        </w:rPr>
        <w:t>.4 商定或确定</w:t>
      </w:r>
      <w:bookmarkEnd w:id="234"/>
    </w:p>
    <w:bookmarkEnd w:id="235"/>
    <w:bookmarkEnd w:id="236"/>
    <w:bookmarkEnd w:id="237"/>
    <w:p w14:paraId="60CA983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14:paraId="243EF5F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2890958">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38" w:name="_Toc351203532"/>
      <w:r>
        <w:rPr>
          <w:rFonts w:hint="eastAsia" w:ascii="宋体" w:hAnsi="宋体" w:eastAsia="宋体" w:cs="宋体"/>
          <w:b w:val="0"/>
          <w:color w:val="000000" w:themeColor="text1"/>
          <w:sz w:val="24"/>
          <w:szCs w:val="24"/>
          <w:highlight w:val="none"/>
          <w14:textFill>
            <w14:solidFill>
              <w14:schemeClr w14:val="tx1"/>
            </w14:solidFill>
          </w14:textFill>
        </w:rPr>
        <w:t>5</w:t>
      </w:r>
      <w:bookmarkStart w:id="239" w:name="_Toc337558758"/>
      <w:r>
        <w:rPr>
          <w:rFonts w:hint="eastAsia" w:ascii="宋体" w:hAnsi="宋体" w:eastAsia="宋体" w:cs="宋体"/>
          <w:b w:val="0"/>
          <w:color w:val="000000" w:themeColor="text1"/>
          <w:sz w:val="24"/>
          <w:szCs w:val="24"/>
          <w:highlight w:val="none"/>
          <w14:textFill>
            <w14:solidFill>
              <w14:schemeClr w14:val="tx1"/>
            </w14:solidFill>
          </w14:textFill>
        </w:rPr>
        <w:t>. 工程质量</w:t>
      </w:r>
      <w:bookmarkEnd w:id="238"/>
    </w:p>
    <w:bookmarkEnd w:id="239"/>
    <w:p w14:paraId="5836BEC6">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40" w:name="_Toc351203533"/>
      <w:r>
        <w:rPr>
          <w:rFonts w:hint="eastAsia" w:ascii="宋体" w:hAnsi="宋体" w:eastAsia="宋体" w:cs="宋体"/>
          <w:b w:val="0"/>
          <w:color w:val="000000" w:themeColor="text1"/>
          <w:sz w:val="24"/>
          <w:szCs w:val="24"/>
          <w:highlight w:val="none"/>
          <w14:textFill>
            <w14:solidFill>
              <w14:schemeClr w14:val="tx1"/>
            </w14:solidFill>
          </w14:textFill>
        </w:rPr>
        <w:t>5</w:t>
      </w:r>
      <w:bookmarkStart w:id="241" w:name="_Toc337558759"/>
      <w:r>
        <w:rPr>
          <w:rFonts w:hint="eastAsia" w:ascii="宋体" w:hAnsi="宋体" w:eastAsia="宋体" w:cs="宋体"/>
          <w:b w:val="0"/>
          <w:color w:val="000000" w:themeColor="text1"/>
          <w:sz w:val="24"/>
          <w:szCs w:val="24"/>
          <w:highlight w:val="none"/>
          <w14:textFill>
            <w14:solidFill>
              <w14:schemeClr w14:val="tx1"/>
            </w14:solidFill>
          </w14:textFill>
        </w:rPr>
        <w:t>.1质量要求</w:t>
      </w:r>
      <w:bookmarkEnd w:id="240"/>
    </w:p>
    <w:bookmarkEnd w:id="241"/>
    <w:p w14:paraId="2DB1884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14:paraId="1DC8321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5.1.2 因发包人原因造成工程质量未达到合同约定标准的，由发包人承担由此增加的费用和（或）延误的工期，并支付承包人合理的利润。</w:t>
      </w:r>
    </w:p>
    <w:p w14:paraId="133B791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14:paraId="32FE2BC2">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42" w:name="_Toc351203534"/>
      <w:r>
        <w:rPr>
          <w:rFonts w:hint="eastAsia" w:ascii="宋体" w:hAnsi="宋体" w:eastAsia="宋体" w:cs="宋体"/>
          <w:b w:val="0"/>
          <w:color w:val="000000" w:themeColor="text1"/>
          <w:sz w:val="24"/>
          <w:szCs w:val="24"/>
          <w:highlight w:val="none"/>
          <w14:textFill>
            <w14:solidFill>
              <w14:schemeClr w14:val="tx1"/>
            </w14:solidFill>
          </w14:textFill>
        </w:rPr>
        <w:t>5</w:t>
      </w:r>
      <w:bookmarkStart w:id="243" w:name="_Toc337558760"/>
      <w:r>
        <w:rPr>
          <w:rFonts w:hint="eastAsia" w:ascii="宋体" w:hAnsi="宋体" w:eastAsia="宋体" w:cs="宋体"/>
          <w:b w:val="0"/>
          <w:color w:val="000000" w:themeColor="text1"/>
          <w:sz w:val="24"/>
          <w:szCs w:val="24"/>
          <w:highlight w:val="none"/>
          <w14:textFill>
            <w14:solidFill>
              <w14:schemeClr w14:val="tx1"/>
            </w14:solidFill>
          </w14:textFill>
        </w:rPr>
        <w:t>.2质量保证措施</w:t>
      </w:r>
      <w:bookmarkEnd w:id="242"/>
    </w:p>
    <w:bookmarkEnd w:id="243"/>
    <w:p w14:paraId="288A8F0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5.2.1 发包人的质量管理</w:t>
      </w:r>
    </w:p>
    <w:p w14:paraId="21DC3ED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发包人应按照法律规定及合同约定完成与工程质量有关的各项工作。</w:t>
      </w:r>
    </w:p>
    <w:p w14:paraId="3CA4B6E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5.2.2 承包人的质量管理</w:t>
      </w:r>
    </w:p>
    <w:p w14:paraId="5036C0D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C44EA6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承包人应对施工人员进行质量教育和技术培训，定期考核施工人员的劳动技能，严格执行施工规范和操作规程。</w:t>
      </w:r>
    </w:p>
    <w:p w14:paraId="46313C5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328FEE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5.2.3 监理人的质量检查和检验</w:t>
      </w:r>
    </w:p>
    <w:p w14:paraId="69035E4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45F1F8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548A992">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44" w:name="_Toc351203535"/>
      <w:r>
        <w:rPr>
          <w:rFonts w:hint="eastAsia" w:ascii="宋体" w:hAnsi="宋体" w:eastAsia="宋体" w:cs="宋体"/>
          <w:b w:val="0"/>
          <w:color w:val="000000" w:themeColor="text1"/>
          <w:sz w:val="24"/>
          <w:szCs w:val="24"/>
          <w:highlight w:val="none"/>
          <w14:textFill>
            <w14:solidFill>
              <w14:schemeClr w14:val="tx1"/>
            </w14:solidFill>
          </w14:textFill>
        </w:rPr>
        <w:t>5</w:t>
      </w:r>
      <w:bookmarkStart w:id="245" w:name="_Toc337558761"/>
      <w:r>
        <w:rPr>
          <w:rFonts w:hint="eastAsia" w:ascii="宋体" w:hAnsi="宋体" w:eastAsia="宋体" w:cs="宋体"/>
          <w:b w:val="0"/>
          <w:color w:val="000000" w:themeColor="text1"/>
          <w:sz w:val="24"/>
          <w:szCs w:val="24"/>
          <w:highlight w:val="none"/>
          <w14:textFill>
            <w14:solidFill>
              <w14:schemeClr w14:val="tx1"/>
            </w14:solidFill>
          </w14:textFill>
        </w:rPr>
        <w:t>.3 隐蔽工程检查</w:t>
      </w:r>
      <w:bookmarkEnd w:id="244"/>
    </w:p>
    <w:bookmarkEnd w:id="245"/>
    <w:p w14:paraId="3524035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5.3.1承包人自检</w:t>
      </w:r>
    </w:p>
    <w:p w14:paraId="61EE57D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承包人应当对工程隐蔽部位进行自检，并经自检确认是否具备覆盖条件。</w:t>
      </w:r>
    </w:p>
    <w:p w14:paraId="14C1F30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5.3.2检查程序</w:t>
      </w:r>
    </w:p>
    <w:p w14:paraId="2101ED3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1073C0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00C26B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204ED2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5.3.3 重新检查</w:t>
      </w:r>
    </w:p>
    <w:p w14:paraId="7435476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AE87B3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5.3.4 承包人私自覆盖</w:t>
      </w:r>
    </w:p>
    <w:p w14:paraId="0C4BBAF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14:paraId="49132ACE">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46" w:name="_Toc351203536"/>
      <w:r>
        <w:rPr>
          <w:rFonts w:hint="eastAsia" w:ascii="宋体" w:hAnsi="宋体" w:eastAsia="宋体" w:cs="宋体"/>
          <w:b w:val="0"/>
          <w:color w:val="000000" w:themeColor="text1"/>
          <w:sz w:val="24"/>
          <w:szCs w:val="24"/>
          <w:highlight w:val="none"/>
          <w14:textFill>
            <w14:solidFill>
              <w14:schemeClr w14:val="tx1"/>
            </w14:solidFill>
          </w14:textFill>
        </w:rPr>
        <w:t>5</w:t>
      </w:r>
      <w:bookmarkStart w:id="247" w:name="_Toc337558762"/>
      <w:r>
        <w:rPr>
          <w:rFonts w:hint="eastAsia" w:ascii="宋体" w:hAnsi="宋体" w:eastAsia="宋体" w:cs="宋体"/>
          <w:b w:val="0"/>
          <w:color w:val="000000" w:themeColor="text1"/>
          <w:sz w:val="24"/>
          <w:szCs w:val="24"/>
          <w:highlight w:val="none"/>
          <w14:textFill>
            <w14:solidFill>
              <w14:schemeClr w14:val="tx1"/>
            </w14:solidFill>
          </w14:textFill>
        </w:rPr>
        <w:t>.4不合格工程的处理</w:t>
      </w:r>
      <w:bookmarkEnd w:id="246"/>
    </w:p>
    <w:bookmarkEnd w:id="247"/>
    <w:p w14:paraId="4BCC8BD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AD6B17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5.4.2 因发包人原因造成工程不合格的，由此增加的费用和（或）延误的工期由发包人承担，并支付承包人合理的利润。</w:t>
      </w:r>
    </w:p>
    <w:p w14:paraId="20243D5B">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48" w:name="_Toc351203537"/>
      <w:r>
        <w:rPr>
          <w:rFonts w:hint="eastAsia" w:ascii="宋体" w:hAnsi="宋体" w:eastAsia="宋体" w:cs="宋体"/>
          <w:b w:val="0"/>
          <w:color w:val="000000" w:themeColor="text1"/>
          <w:sz w:val="24"/>
          <w:szCs w:val="24"/>
          <w:highlight w:val="none"/>
          <w14:textFill>
            <w14:solidFill>
              <w14:schemeClr w14:val="tx1"/>
            </w14:solidFill>
          </w14:textFill>
        </w:rPr>
        <w:t>5.5 质量争议检测</w:t>
      </w:r>
      <w:bookmarkEnd w:id="248"/>
    </w:p>
    <w:p w14:paraId="5C2B840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合同当事人对工程质量有争议的，由双方协商确定的工程质量检测机构鉴定，由此产生的费用及因此造成的损失，由责任方承担。</w:t>
      </w:r>
    </w:p>
    <w:p w14:paraId="3F658019">
      <w:pPr>
        <w:pageBreakBefore w:val="0"/>
        <w:widowControl w:val="0"/>
        <w:shd w:val="clear"/>
        <w:kinsoku/>
        <w:wordWrap/>
        <w:overflowPunct/>
        <w:topLinePunct w:val="0"/>
        <w:autoSpaceDE w:val="0"/>
        <w:autoSpaceDN w:val="0"/>
        <w:bidi w:val="0"/>
        <w:adjustRightInd w:val="0"/>
        <w:snapToGrid/>
        <w:spacing w:line="380" w:lineRule="exact"/>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合同当事人均有责任的，由双方根据其责任分别承担。合同当事人无法达成一致的，按照第4.4款〔商定或确定〕执行。</w:t>
      </w:r>
    </w:p>
    <w:p w14:paraId="44D85CBF">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49" w:name="_Toc351203538"/>
      <w:r>
        <w:rPr>
          <w:rFonts w:hint="eastAsia" w:ascii="宋体" w:hAnsi="宋体" w:eastAsia="宋体" w:cs="宋体"/>
          <w:b w:val="0"/>
          <w:color w:val="000000" w:themeColor="text1"/>
          <w:sz w:val="24"/>
          <w:szCs w:val="24"/>
          <w:highlight w:val="none"/>
          <w14:textFill>
            <w14:solidFill>
              <w14:schemeClr w14:val="tx1"/>
            </w14:solidFill>
          </w14:textFill>
        </w:rPr>
        <w:t>6</w:t>
      </w:r>
      <w:bookmarkStart w:id="250" w:name="_Toc337558763"/>
      <w:r>
        <w:rPr>
          <w:rFonts w:hint="eastAsia" w:ascii="宋体" w:hAnsi="宋体" w:eastAsia="宋体" w:cs="宋体"/>
          <w:b w:val="0"/>
          <w:color w:val="000000" w:themeColor="text1"/>
          <w:sz w:val="24"/>
          <w:szCs w:val="24"/>
          <w:highlight w:val="none"/>
          <w14:textFill>
            <w14:solidFill>
              <w14:schemeClr w14:val="tx1"/>
            </w14:solidFill>
          </w14:textFill>
        </w:rPr>
        <w:t>. 安全文明施工与环境保护</w:t>
      </w:r>
      <w:bookmarkEnd w:id="249"/>
    </w:p>
    <w:bookmarkEnd w:id="250"/>
    <w:p w14:paraId="4B0F528D">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51" w:name="_Toc351203539"/>
      <w:r>
        <w:rPr>
          <w:rFonts w:hint="eastAsia" w:ascii="宋体" w:hAnsi="宋体" w:eastAsia="宋体" w:cs="宋体"/>
          <w:b w:val="0"/>
          <w:color w:val="000000" w:themeColor="text1"/>
          <w:sz w:val="24"/>
          <w:szCs w:val="24"/>
          <w:highlight w:val="none"/>
          <w14:textFill>
            <w14:solidFill>
              <w14:schemeClr w14:val="tx1"/>
            </w14:solidFill>
          </w14:textFill>
        </w:rPr>
        <w:t>6</w:t>
      </w:r>
      <w:bookmarkStart w:id="252" w:name="_Toc337558764"/>
      <w:r>
        <w:rPr>
          <w:rFonts w:hint="eastAsia" w:ascii="宋体" w:hAnsi="宋体" w:eastAsia="宋体" w:cs="宋体"/>
          <w:b w:val="0"/>
          <w:color w:val="000000" w:themeColor="text1"/>
          <w:sz w:val="24"/>
          <w:szCs w:val="24"/>
          <w:highlight w:val="none"/>
          <w14:textFill>
            <w14:solidFill>
              <w14:schemeClr w14:val="tx1"/>
            </w14:solidFill>
          </w14:textFill>
        </w:rPr>
        <w:t>.1安全文明施工</w:t>
      </w:r>
      <w:bookmarkEnd w:id="251"/>
    </w:p>
    <w:bookmarkEnd w:id="252"/>
    <w:p w14:paraId="3071EF06">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6.1.1安全生产要求</w:t>
      </w:r>
    </w:p>
    <w:p w14:paraId="3B4B5BF1">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4962FD5">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themeColor="text1"/>
          <w:kern w:val="0"/>
          <w:sz w:val="24"/>
          <w:highlight w:val="none"/>
          <w14:textFill>
            <w14:solidFill>
              <w14:schemeClr w14:val="tx1"/>
            </w14:solidFill>
          </w14:textFill>
        </w:rPr>
        <w:t>政府有关行政管理部门</w:t>
      </w:r>
      <w:r>
        <w:rPr>
          <w:rFonts w:hint="eastAsia" w:ascii="宋体" w:hAnsi="宋体" w:eastAsia="宋体" w:cs="宋体"/>
          <w:color w:val="000000" w:themeColor="text1"/>
          <w:sz w:val="24"/>
          <w:highlight w:val="none"/>
          <w14:textFill>
            <w14:solidFill>
              <w14:schemeClr w14:val="tx1"/>
            </w14:solidFill>
          </w14:textFill>
        </w:rPr>
        <w:t>采取应急措施。</w:t>
      </w:r>
    </w:p>
    <w:p w14:paraId="30A4C2BE">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因安全生产需要暂停施工的，按照第7.8款〔暂停施工〕的约定执行。</w:t>
      </w:r>
    </w:p>
    <w:p w14:paraId="54CF1D61">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6.1.2 安全生产保证措施</w:t>
      </w:r>
    </w:p>
    <w:p w14:paraId="2708E3E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承包人应当按照有关</w:t>
      </w:r>
      <w:r>
        <w:rPr>
          <w:rFonts w:hint="eastAsia" w:ascii="宋体" w:hAnsi="宋体" w:eastAsia="宋体" w:cs="宋体"/>
          <w:color w:val="000000" w:themeColor="text1"/>
          <w:kern w:val="0"/>
          <w:sz w:val="24"/>
          <w:highlight w:val="none"/>
          <w14:textFill>
            <w14:solidFill>
              <w14:schemeClr w14:val="tx1"/>
            </w14:solidFill>
          </w14:textFill>
        </w:rPr>
        <w:t>规定编制安全技术措施或者专项施工方案，</w:t>
      </w:r>
      <w:r>
        <w:rPr>
          <w:rFonts w:hint="eastAsia" w:ascii="宋体" w:hAnsi="宋体" w:eastAsia="宋体" w:cs="宋体"/>
          <w:color w:val="000000" w:themeColor="text1"/>
          <w:sz w:val="24"/>
          <w:highlight w:val="none"/>
          <w14:textFill>
            <w14:solidFill>
              <w14:schemeClr w14:val="tx1"/>
            </w14:solidFill>
          </w14:textFill>
        </w:rPr>
        <w:t>建立安全生产责任制度、治安保卫制度及安全生产教育培训制度，并</w:t>
      </w:r>
      <w:r>
        <w:rPr>
          <w:rFonts w:hint="eastAsia" w:ascii="宋体" w:hAnsi="宋体" w:eastAsia="宋体" w:cs="宋体"/>
          <w:color w:val="000000" w:themeColor="text1"/>
          <w:kern w:val="0"/>
          <w:sz w:val="24"/>
          <w:highlight w:val="none"/>
          <w14:textFill>
            <w14:solidFill>
              <w14:schemeClr w14:val="tx1"/>
            </w14:solidFill>
          </w14:textFill>
        </w:rPr>
        <w:t>按安全生产法律规定及合同约定履行安全职责，如实</w:t>
      </w:r>
      <w:r>
        <w:rPr>
          <w:rFonts w:hint="eastAsia" w:ascii="宋体" w:hAnsi="宋体" w:eastAsia="宋体" w:cs="宋体"/>
          <w:color w:val="000000" w:themeColor="text1"/>
          <w:sz w:val="24"/>
          <w:highlight w:val="none"/>
          <w14:textFill>
            <w14:solidFill>
              <w14:schemeClr w14:val="tx1"/>
            </w14:solidFill>
          </w14:textFill>
        </w:rPr>
        <w:t>编制工程安全生产的有关记录，</w:t>
      </w:r>
      <w:r>
        <w:rPr>
          <w:rFonts w:hint="eastAsia" w:ascii="宋体" w:hAnsi="宋体" w:eastAsia="宋体" w:cs="宋体"/>
          <w:color w:val="000000" w:themeColor="text1"/>
          <w:kern w:val="0"/>
          <w:sz w:val="24"/>
          <w:highlight w:val="none"/>
          <w14:textFill>
            <w14:solidFill>
              <w14:schemeClr w14:val="tx1"/>
            </w14:solidFill>
          </w14:textFill>
        </w:rPr>
        <w:t>接受发包人、监理人及政府安全监督部门的检查与监督。</w:t>
      </w:r>
    </w:p>
    <w:p w14:paraId="3A95DD6A">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6.1.3特别安全生产事项</w:t>
      </w:r>
    </w:p>
    <w:p w14:paraId="19C8A084">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C681998">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14:paraId="09DCB855">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14:paraId="407DA1A7">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14:paraId="2D2D146F">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6.1.4 治安保卫</w:t>
      </w:r>
    </w:p>
    <w:p w14:paraId="7DEB1F59">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14:paraId="0B9BE8EC">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14:paraId="565C1262">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D967085">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6.1.5 文明施工</w:t>
      </w:r>
    </w:p>
    <w:p w14:paraId="485625E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4A6938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0C2E002">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6.1.6 安全文明施工费</w:t>
      </w:r>
    </w:p>
    <w:p w14:paraId="3B8DB7A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14:paraId="17D8BD6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234324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C3C378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C16320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6.1.7 紧急情况处理</w:t>
      </w:r>
    </w:p>
    <w:p w14:paraId="067EB7B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BF849F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6.1.8 事故处理</w:t>
      </w:r>
    </w:p>
    <w:p w14:paraId="1629B07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CBF42C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 安全生产责任</w:t>
      </w:r>
    </w:p>
    <w:p w14:paraId="0BC554A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6.1.9.1 发包人的安全责任</w:t>
      </w:r>
    </w:p>
    <w:p w14:paraId="37EB626B">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发包人应负责赔偿以下各种情况造成的损失：</w:t>
      </w:r>
    </w:p>
    <w:p w14:paraId="0D243B7B">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（1）工程或工程的任何部分对土地的占用所造成的第三者财产损失；</w:t>
      </w:r>
    </w:p>
    <w:p w14:paraId="1BE0AF7D">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（2）由于发包人原因在施工场地及其毗邻地带造成的第三者人身伤亡和财产损失；</w:t>
      </w:r>
    </w:p>
    <w:p w14:paraId="1CF9FCB0">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（3）由于发包人原因对承包人、监理人造成的人员人身伤亡和财产损失；</w:t>
      </w:r>
    </w:p>
    <w:p w14:paraId="3D0644FB">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（4）由于发包人原因造成的发包人自身人员的人身伤害以及财产损失。</w:t>
      </w:r>
    </w:p>
    <w:p w14:paraId="4E52C27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6.1.9.2 承包人的安全责任</w:t>
      </w:r>
    </w:p>
    <w:p w14:paraId="79E4B114">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由于承包人原因在施工场地内及其毗邻地带造成的发包人、监理人以及第三者人员伤亡和财产损失，由承包人负责赔偿。</w:t>
      </w:r>
    </w:p>
    <w:p w14:paraId="33EE62AB">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53" w:name="_Toc351203540"/>
      <w:r>
        <w:rPr>
          <w:rFonts w:hint="eastAsia" w:ascii="宋体" w:hAnsi="宋体" w:eastAsia="宋体" w:cs="宋体"/>
          <w:b w:val="0"/>
          <w:color w:val="000000" w:themeColor="text1"/>
          <w:sz w:val="24"/>
          <w:szCs w:val="24"/>
          <w:highlight w:val="none"/>
          <w14:textFill>
            <w14:solidFill>
              <w14:schemeClr w14:val="tx1"/>
            </w14:solidFill>
          </w14:textFill>
        </w:rPr>
        <w:t>6</w:t>
      </w:r>
      <w:bookmarkStart w:id="254" w:name="_Toc337558765"/>
      <w:r>
        <w:rPr>
          <w:rFonts w:hint="eastAsia" w:ascii="宋体" w:hAnsi="宋体" w:eastAsia="宋体" w:cs="宋体"/>
          <w:b w:val="0"/>
          <w:color w:val="000000" w:themeColor="text1"/>
          <w:sz w:val="24"/>
          <w:szCs w:val="24"/>
          <w:highlight w:val="none"/>
          <w14:textFill>
            <w14:solidFill>
              <w14:schemeClr w14:val="tx1"/>
            </w14:solidFill>
          </w14:textFill>
        </w:rPr>
        <w:t>.2 职业健康</w:t>
      </w:r>
      <w:bookmarkEnd w:id="253"/>
    </w:p>
    <w:bookmarkEnd w:id="254"/>
    <w:p w14:paraId="002B638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6.2.1 劳动保护</w:t>
      </w:r>
    </w:p>
    <w:p w14:paraId="09E2648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DCAFEF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548D2D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14:paraId="3020D87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6.2.2 生活条件</w:t>
      </w:r>
    </w:p>
    <w:p w14:paraId="7B5E49C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63AF28C">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55" w:name="_Toc351203541"/>
      <w:r>
        <w:rPr>
          <w:rFonts w:hint="eastAsia" w:ascii="宋体" w:hAnsi="宋体" w:eastAsia="宋体" w:cs="宋体"/>
          <w:b w:val="0"/>
          <w:color w:val="000000" w:themeColor="text1"/>
          <w:sz w:val="24"/>
          <w:szCs w:val="24"/>
          <w:highlight w:val="none"/>
          <w14:textFill>
            <w14:solidFill>
              <w14:schemeClr w14:val="tx1"/>
            </w14:solidFill>
          </w14:textFill>
        </w:rPr>
        <w:t>6</w:t>
      </w:r>
      <w:bookmarkStart w:id="256" w:name="_Toc337558766"/>
      <w:r>
        <w:rPr>
          <w:rFonts w:hint="eastAsia" w:ascii="宋体" w:hAnsi="宋体" w:eastAsia="宋体" w:cs="宋体"/>
          <w:b w:val="0"/>
          <w:color w:val="000000" w:themeColor="text1"/>
          <w:sz w:val="24"/>
          <w:szCs w:val="24"/>
          <w:highlight w:val="none"/>
          <w14:textFill>
            <w14:solidFill>
              <w14:schemeClr w14:val="tx1"/>
            </w14:solidFill>
          </w14:textFill>
        </w:rPr>
        <w:t>.3 环境保护</w:t>
      </w:r>
      <w:bookmarkEnd w:id="255"/>
    </w:p>
    <w:bookmarkEnd w:id="256"/>
    <w:p w14:paraId="56FF310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4D61A6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14:paraId="5C42CF27">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57" w:name="_Toc351203542"/>
      <w:r>
        <w:rPr>
          <w:rFonts w:hint="eastAsia" w:ascii="宋体" w:hAnsi="宋体" w:eastAsia="宋体" w:cs="宋体"/>
          <w:b w:val="0"/>
          <w:color w:val="000000" w:themeColor="text1"/>
          <w:sz w:val="24"/>
          <w:szCs w:val="24"/>
          <w:highlight w:val="none"/>
          <w14:textFill>
            <w14:solidFill>
              <w14:schemeClr w14:val="tx1"/>
            </w14:solidFill>
          </w14:textFill>
        </w:rPr>
        <w:t>7</w:t>
      </w:r>
      <w:bookmarkStart w:id="258" w:name="_Toc337558767"/>
      <w:r>
        <w:rPr>
          <w:rFonts w:hint="eastAsia" w:ascii="宋体" w:hAnsi="宋体" w:eastAsia="宋体" w:cs="宋体"/>
          <w:b w:val="0"/>
          <w:color w:val="000000" w:themeColor="text1"/>
          <w:sz w:val="24"/>
          <w:szCs w:val="24"/>
          <w:highlight w:val="none"/>
          <w14:textFill>
            <w14:solidFill>
              <w14:schemeClr w14:val="tx1"/>
            </w14:solidFill>
          </w14:textFill>
        </w:rPr>
        <w:t>. 工期和进度</w:t>
      </w:r>
      <w:bookmarkEnd w:id="257"/>
    </w:p>
    <w:bookmarkEnd w:id="258"/>
    <w:p w14:paraId="294FAB8D">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59" w:name="_Toc351203543"/>
      <w:r>
        <w:rPr>
          <w:rFonts w:hint="eastAsia" w:ascii="宋体" w:hAnsi="宋体" w:eastAsia="宋体" w:cs="宋体"/>
          <w:b w:val="0"/>
          <w:color w:val="000000" w:themeColor="text1"/>
          <w:sz w:val="24"/>
          <w:szCs w:val="24"/>
          <w:highlight w:val="none"/>
          <w14:textFill>
            <w14:solidFill>
              <w14:schemeClr w14:val="tx1"/>
            </w14:solidFill>
          </w14:textFill>
        </w:rPr>
        <w:t>7</w:t>
      </w:r>
      <w:bookmarkStart w:id="260" w:name="_Toc337558768"/>
      <w:bookmarkStart w:id="261" w:name="_Toc296503066"/>
      <w:bookmarkStart w:id="262" w:name="_Toc296346567"/>
      <w:r>
        <w:rPr>
          <w:rFonts w:hint="eastAsia" w:ascii="宋体" w:hAnsi="宋体" w:eastAsia="宋体" w:cs="宋体"/>
          <w:b w:val="0"/>
          <w:color w:val="000000" w:themeColor="text1"/>
          <w:sz w:val="24"/>
          <w:szCs w:val="24"/>
          <w:highlight w:val="none"/>
          <w14:textFill>
            <w14:solidFill>
              <w14:schemeClr w14:val="tx1"/>
            </w14:solidFill>
          </w14:textFill>
        </w:rPr>
        <w:t>.1施工组织设计</w:t>
      </w:r>
      <w:bookmarkEnd w:id="259"/>
    </w:p>
    <w:bookmarkEnd w:id="260"/>
    <w:p w14:paraId="6601F08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7.1.1 </w:t>
      </w:r>
      <w:r>
        <w:rPr>
          <w:rFonts w:hint="eastAsia" w:ascii="宋体" w:hAnsi="宋体" w:eastAsia="宋体" w:cs="宋体"/>
          <w:color w:val="000000" w:themeColor="text1"/>
          <w:kern w:val="0"/>
          <w:sz w:val="24"/>
          <w:highlight w:val="none"/>
          <w14:textFill>
            <w14:solidFill>
              <w14:schemeClr w14:val="tx1"/>
            </w14:solidFill>
          </w14:textFill>
        </w:rPr>
        <w:t>施工组织设计的内容</w:t>
      </w:r>
    </w:p>
    <w:p w14:paraId="53D98F4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施工组织设计应包含以下内容：</w:t>
      </w:r>
    </w:p>
    <w:p w14:paraId="61ACE16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（1）施工方案； </w:t>
      </w:r>
    </w:p>
    <w:p w14:paraId="03F5B31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（2）施工现场平面布置图；</w:t>
      </w:r>
    </w:p>
    <w:p w14:paraId="72F921E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（3）施工进度计划和保证措施； </w:t>
      </w:r>
    </w:p>
    <w:p w14:paraId="3779538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（4）劳动力及材料供应计划；</w:t>
      </w:r>
    </w:p>
    <w:p w14:paraId="14CBB96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（5）施工机械设备的选用；</w:t>
      </w:r>
    </w:p>
    <w:p w14:paraId="48C6456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（6）质量保证体系及措施；</w:t>
      </w:r>
    </w:p>
    <w:p w14:paraId="6EE8D7C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（7）安全生产、文明施工措施；</w:t>
      </w:r>
    </w:p>
    <w:p w14:paraId="665D22E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（8）环境保护、成本控制措施；</w:t>
      </w:r>
    </w:p>
    <w:p w14:paraId="27E29A2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（9）合同当事人约定的其他内容。</w:t>
      </w:r>
    </w:p>
    <w:p w14:paraId="2909EC2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7.1.2 </w:t>
      </w:r>
      <w:r>
        <w:rPr>
          <w:rFonts w:hint="eastAsia" w:ascii="宋体" w:hAnsi="宋体" w:eastAsia="宋体" w:cs="宋体"/>
          <w:color w:val="000000" w:themeColor="text1"/>
          <w:kern w:val="0"/>
          <w:sz w:val="24"/>
          <w:highlight w:val="none"/>
          <w14:textFill>
            <w14:solidFill>
              <w14:schemeClr w14:val="tx1"/>
            </w14:solidFill>
          </w14:textFill>
        </w:rPr>
        <w:t>施工组织设计的提交和修改</w:t>
      </w:r>
    </w:p>
    <w:p w14:paraId="00A6E51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CF832D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施工进度计划的编制和修改按照第7.2款〔施工进度计划〕执行。</w:t>
      </w:r>
    </w:p>
    <w:p w14:paraId="7A824F1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63" w:name="_Toc351203544"/>
      <w:r>
        <w:rPr>
          <w:rFonts w:hint="eastAsia" w:ascii="宋体" w:hAnsi="宋体" w:eastAsia="宋体" w:cs="宋体"/>
          <w:b w:val="0"/>
          <w:color w:val="000000" w:themeColor="text1"/>
          <w:sz w:val="24"/>
          <w:szCs w:val="24"/>
          <w:highlight w:val="none"/>
          <w14:textFill>
            <w14:solidFill>
              <w14:schemeClr w14:val="tx1"/>
            </w14:solidFill>
          </w14:textFill>
        </w:rPr>
        <w:t>7</w:t>
      </w:r>
      <w:bookmarkStart w:id="264" w:name="_Toc337558769"/>
      <w:r>
        <w:rPr>
          <w:rFonts w:hint="eastAsia" w:ascii="宋体" w:hAnsi="宋体" w:eastAsia="宋体" w:cs="宋体"/>
          <w:b w:val="0"/>
          <w:color w:val="000000" w:themeColor="text1"/>
          <w:sz w:val="24"/>
          <w:szCs w:val="24"/>
          <w:highlight w:val="none"/>
          <w14:textFill>
            <w14:solidFill>
              <w14:schemeClr w14:val="tx1"/>
            </w14:solidFill>
          </w14:textFill>
        </w:rPr>
        <w:t>.2 施工进度计划</w:t>
      </w:r>
      <w:bookmarkEnd w:id="263"/>
    </w:p>
    <w:bookmarkEnd w:id="264"/>
    <w:p w14:paraId="3719269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7.2.1 施工进度计划的编制</w:t>
      </w:r>
    </w:p>
    <w:p w14:paraId="20F9A35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42A6F9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7.2.2 施工进度计划的修订</w:t>
      </w:r>
    </w:p>
    <w:p w14:paraId="079F829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39F9826">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65" w:name="_Toc351203545"/>
      <w:r>
        <w:rPr>
          <w:rFonts w:hint="eastAsia" w:ascii="宋体" w:hAnsi="宋体" w:eastAsia="宋体" w:cs="宋体"/>
          <w:b w:val="0"/>
          <w:color w:val="000000" w:themeColor="text1"/>
          <w:sz w:val="24"/>
          <w:szCs w:val="24"/>
          <w:highlight w:val="none"/>
          <w14:textFill>
            <w14:solidFill>
              <w14:schemeClr w14:val="tx1"/>
            </w14:solidFill>
          </w14:textFill>
        </w:rPr>
        <w:t>7</w:t>
      </w:r>
      <w:bookmarkStart w:id="266" w:name="_Toc337558770"/>
      <w:r>
        <w:rPr>
          <w:rFonts w:hint="eastAsia" w:ascii="宋体" w:hAnsi="宋体" w:eastAsia="宋体" w:cs="宋体"/>
          <w:b w:val="0"/>
          <w:color w:val="000000" w:themeColor="text1"/>
          <w:sz w:val="24"/>
          <w:szCs w:val="24"/>
          <w:highlight w:val="none"/>
          <w14:textFill>
            <w14:solidFill>
              <w14:schemeClr w14:val="tx1"/>
            </w14:solidFill>
          </w14:textFill>
        </w:rPr>
        <w:t>.3 开工</w:t>
      </w:r>
      <w:bookmarkEnd w:id="265"/>
    </w:p>
    <w:p w14:paraId="380C5E45">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7.3.1 开工准备</w:t>
      </w:r>
    </w:p>
    <w:p w14:paraId="30FF4AF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7AD884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除专用合同条款另有约定外，合同当事人应按约定完成开工准备工作。</w:t>
      </w:r>
    </w:p>
    <w:p w14:paraId="29812B8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7.3.2 开工通知</w:t>
      </w:r>
    </w:p>
    <w:bookmarkEnd w:id="266"/>
    <w:p w14:paraId="40665DF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518835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A9A9649">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67" w:name="_Toc351203546"/>
      <w:r>
        <w:rPr>
          <w:rFonts w:hint="eastAsia" w:ascii="宋体" w:hAnsi="宋体" w:eastAsia="宋体" w:cs="宋体"/>
          <w:b w:val="0"/>
          <w:color w:val="000000" w:themeColor="text1"/>
          <w:sz w:val="24"/>
          <w:szCs w:val="24"/>
          <w:highlight w:val="none"/>
          <w14:textFill>
            <w14:solidFill>
              <w14:schemeClr w14:val="tx1"/>
            </w14:solidFill>
          </w14:textFill>
        </w:rPr>
        <w:t>7.4测量放线</w:t>
      </w:r>
      <w:bookmarkEnd w:id="267"/>
    </w:p>
    <w:p w14:paraId="7F472D3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465FEF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1497E1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AC5AD5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施工过程中对施工现场内水准点等测量标志物的保护工作由承包人负责。</w:t>
      </w:r>
      <w:bookmarkStart w:id="268" w:name="_Toc351203547"/>
    </w:p>
    <w:p w14:paraId="2D0604C3">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w:t>
      </w:r>
      <w:bookmarkEnd w:id="261"/>
      <w:bookmarkEnd w:id="262"/>
      <w:bookmarkStart w:id="269" w:name="_Toc296346574"/>
      <w:bookmarkStart w:id="270" w:name="_Toc337558772"/>
      <w:bookmarkStart w:id="271" w:name="_Toc296503073"/>
      <w:r>
        <w:rPr>
          <w:rFonts w:hint="eastAsia" w:ascii="宋体" w:hAnsi="宋体" w:eastAsia="宋体" w:cs="宋体"/>
          <w:b w:val="0"/>
          <w:color w:val="000000" w:themeColor="text1"/>
          <w:sz w:val="24"/>
          <w:szCs w:val="24"/>
          <w:highlight w:val="none"/>
          <w14:textFill>
            <w14:solidFill>
              <w14:schemeClr w14:val="tx1"/>
            </w14:solidFill>
          </w14:textFill>
        </w:rPr>
        <w:t>.5 工期延误</w:t>
      </w:r>
      <w:bookmarkEnd w:id="268"/>
    </w:p>
    <w:bookmarkEnd w:id="269"/>
    <w:bookmarkEnd w:id="270"/>
    <w:bookmarkEnd w:id="271"/>
    <w:p w14:paraId="12CACEA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7.5.1 因发包人原因导致工期延误</w:t>
      </w:r>
    </w:p>
    <w:p w14:paraId="4BAF789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14:paraId="0C040C1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（1）发包人未能按合同约定提供图纸或所提供图纸不符合合同约定的；</w:t>
      </w:r>
    </w:p>
    <w:p w14:paraId="68D42AF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（2）发包人未能按合同约定提供施工现场、施工条件、基础资料、许可、批准等开工条件的；</w:t>
      </w:r>
    </w:p>
    <w:p w14:paraId="14CFD8B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（3）发包人提供的测量基准点、基准线和水准点及其书面资料存在错误或疏漏的；</w:t>
      </w:r>
    </w:p>
    <w:p w14:paraId="360BB2D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（4）发包人未能在计划开工日期之日起7天内同意下达开工通知的；</w:t>
      </w:r>
    </w:p>
    <w:p w14:paraId="2598E72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（5）发包人未能按合同约定日期支付工程预付款、进度款或竣工结算款的；</w:t>
      </w:r>
    </w:p>
    <w:p w14:paraId="00DD512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（6）监理人未按合同约定发出指示、批准等文件的；</w:t>
      </w:r>
    </w:p>
    <w:p w14:paraId="0CB0675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（7）专用合同条款中约定的其他情形。</w:t>
      </w:r>
    </w:p>
    <w:p w14:paraId="090D47A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FE2134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7.5.2 因承包人原因导致工期延误</w:t>
      </w:r>
    </w:p>
    <w:p w14:paraId="57E5EBC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bookmarkStart w:id="272" w:name="_Toc296503076"/>
      <w:bookmarkStart w:id="273" w:name="_Toc296346577"/>
      <w:r>
        <w:rPr>
          <w:rFonts w:hint="eastAsia" w:ascii="宋体" w:hAnsi="宋体" w:eastAsia="宋体" w:cs="宋体"/>
          <w:color w:val="000000" w:themeColor="text1"/>
          <w:kern w:val="0"/>
          <w:sz w:val="24"/>
          <w:highlight w:val="none"/>
          <w14:textFill>
            <w14:solidFill>
              <w14:schemeClr w14:val="tx1"/>
            </w14:solidFill>
          </w14:textFill>
        </w:rPr>
        <w:t>因</w:t>
      </w:r>
      <w:bookmarkEnd w:id="272"/>
      <w:bookmarkEnd w:id="273"/>
      <w:r>
        <w:rPr>
          <w:rFonts w:hint="eastAsia" w:ascii="宋体" w:hAnsi="宋体" w:eastAsia="宋体" w:cs="宋体"/>
          <w:color w:val="000000" w:themeColor="text1"/>
          <w:kern w:val="0"/>
          <w:sz w:val="24"/>
          <w:highlight w:val="none"/>
          <w14:textFill>
            <w14:solidFill>
              <w14:schemeClr w14:val="tx1"/>
            </w14:solidFill>
          </w14:textFill>
        </w:rPr>
        <w:t>承包人原因造成工期延误的，可以在专用合同条款中约定逾期竣工违约金的计算方法和逾期竣工违约金的上限。承包人支付逾期竣工违约金后，不免除承包人继续完成工程及修补缺陷的义务。</w:t>
      </w:r>
    </w:p>
    <w:p w14:paraId="01052D52">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74" w:name="_Toc351203548"/>
      <w:r>
        <w:rPr>
          <w:rFonts w:hint="eastAsia" w:ascii="宋体" w:hAnsi="宋体" w:eastAsia="宋体" w:cs="宋体"/>
          <w:b w:val="0"/>
          <w:color w:val="000000" w:themeColor="text1"/>
          <w:sz w:val="24"/>
          <w:szCs w:val="24"/>
          <w:highlight w:val="none"/>
          <w14:textFill>
            <w14:solidFill>
              <w14:schemeClr w14:val="tx1"/>
            </w14:solidFill>
          </w14:textFill>
        </w:rPr>
        <w:t>7</w:t>
      </w:r>
      <w:bookmarkStart w:id="275" w:name="_Toc296503074"/>
      <w:bookmarkStart w:id="276" w:name="_Toc337558773"/>
      <w:bookmarkStart w:id="277" w:name="_Toc296346575"/>
      <w:bookmarkStart w:id="278" w:name="_Toc296503077"/>
      <w:bookmarkStart w:id="279" w:name="_Toc296346578"/>
      <w:r>
        <w:rPr>
          <w:rFonts w:hint="eastAsia" w:ascii="宋体" w:hAnsi="宋体" w:eastAsia="宋体" w:cs="宋体"/>
          <w:b w:val="0"/>
          <w:color w:val="000000" w:themeColor="text1"/>
          <w:sz w:val="24"/>
          <w:szCs w:val="24"/>
          <w:highlight w:val="none"/>
          <w14:textFill>
            <w14:solidFill>
              <w14:schemeClr w14:val="tx1"/>
            </w14:solidFill>
          </w14:textFill>
        </w:rPr>
        <w:t>.6 不利物质条件</w:t>
      </w:r>
      <w:bookmarkEnd w:id="274"/>
    </w:p>
    <w:bookmarkEnd w:id="275"/>
    <w:bookmarkEnd w:id="276"/>
    <w:bookmarkEnd w:id="277"/>
    <w:p w14:paraId="32A2566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05679B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8C244E9">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80" w:name="_Toc351203549"/>
      <w:r>
        <w:rPr>
          <w:rFonts w:hint="eastAsia" w:ascii="宋体" w:hAnsi="宋体" w:eastAsia="宋体" w:cs="宋体"/>
          <w:b w:val="0"/>
          <w:color w:val="000000" w:themeColor="text1"/>
          <w:sz w:val="24"/>
          <w:szCs w:val="24"/>
          <w:highlight w:val="none"/>
          <w14:textFill>
            <w14:solidFill>
              <w14:schemeClr w14:val="tx1"/>
            </w14:solidFill>
          </w14:textFill>
        </w:rPr>
        <w:t>7</w:t>
      </w:r>
      <w:bookmarkStart w:id="281" w:name="_Toc337558774"/>
      <w:bookmarkStart w:id="282" w:name="_Toc296346576"/>
      <w:bookmarkStart w:id="283" w:name="_Toc296503075"/>
      <w:r>
        <w:rPr>
          <w:rFonts w:hint="eastAsia" w:ascii="宋体" w:hAnsi="宋体" w:eastAsia="宋体" w:cs="宋体"/>
          <w:b w:val="0"/>
          <w:color w:val="000000" w:themeColor="text1"/>
          <w:sz w:val="24"/>
          <w:szCs w:val="24"/>
          <w:highlight w:val="none"/>
          <w14:textFill>
            <w14:solidFill>
              <w14:schemeClr w14:val="tx1"/>
            </w14:solidFill>
          </w14:textFill>
        </w:rPr>
        <w:t>.7 异常恶劣的气候条件</w:t>
      </w:r>
      <w:bookmarkEnd w:id="280"/>
    </w:p>
    <w:bookmarkEnd w:id="281"/>
    <w:bookmarkEnd w:id="282"/>
    <w:bookmarkEnd w:id="283"/>
    <w:p w14:paraId="2E4325E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B591AF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4" w:name="_Toc351203550"/>
    </w:p>
    <w:p w14:paraId="0F6F3ED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7</w:t>
      </w:r>
      <w:bookmarkStart w:id="285" w:name="_Toc337558775"/>
      <w:r>
        <w:rPr>
          <w:rFonts w:hint="eastAsia" w:ascii="宋体" w:hAnsi="宋体" w:eastAsia="宋体" w:cs="宋体"/>
          <w:bCs/>
          <w:color w:val="000000" w:themeColor="text1"/>
          <w:sz w:val="24"/>
          <w:highlight w:val="none"/>
          <w14:textFill>
            <w14:solidFill>
              <w14:schemeClr w14:val="tx1"/>
            </w14:solidFill>
          </w14:textFill>
        </w:rPr>
        <w:t>.8 暂停施工</w:t>
      </w:r>
      <w:bookmarkEnd w:id="284"/>
    </w:p>
    <w:bookmarkEnd w:id="278"/>
    <w:bookmarkEnd w:id="279"/>
    <w:bookmarkEnd w:id="285"/>
    <w:p w14:paraId="59BD6B7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7.8.1发包人原因引起的暂停施工</w:t>
      </w:r>
    </w:p>
    <w:p w14:paraId="3E9953C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14:paraId="76114DD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因发包人原因引起的暂停施工，发包人应承担由此增加的费用和（或）延误的工期，并支付承包人合理的利润。</w:t>
      </w:r>
    </w:p>
    <w:p w14:paraId="2FA522E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7.8.2 承包人原因引起的暂停施工</w:t>
      </w:r>
    </w:p>
    <w:p w14:paraId="42B6344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E29E9F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7.8.3 指示暂停施工</w:t>
      </w:r>
    </w:p>
    <w:p w14:paraId="69AF4A0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监理人认为有必要时，并经发包人批准后，可向承包人作出暂停施工的指示，承包人应按监理人指示暂停施工。</w:t>
      </w:r>
    </w:p>
    <w:p w14:paraId="131CF6F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7.8.4 紧急情况下的暂停施工</w:t>
      </w:r>
    </w:p>
    <w:p w14:paraId="620B45F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BF910E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7.8.5 暂停施工后的复工</w:t>
      </w:r>
    </w:p>
    <w:p w14:paraId="413937E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D4EB8D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14:paraId="6C45B41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7.8.6 暂停施工持续56天以上</w:t>
      </w:r>
    </w:p>
    <w:p w14:paraId="50D06CAE">
      <w:pPr>
        <w:pageBreakBefore w:val="0"/>
        <w:widowControl w:val="0"/>
        <w:shd w:val="clear"/>
        <w:kinsoku/>
        <w:wordWrap/>
        <w:overflowPunct/>
        <w:topLinePunct w:val="0"/>
        <w:bidi w:val="0"/>
        <w:snapToGrid/>
        <w:spacing w:line="380" w:lineRule="exact"/>
        <w:ind w:firstLine="468" w:firstLineChars="195"/>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80216F">
      <w:pPr>
        <w:pageBreakBefore w:val="0"/>
        <w:widowControl w:val="0"/>
        <w:shd w:val="clear"/>
        <w:kinsoku/>
        <w:wordWrap/>
        <w:overflowPunct/>
        <w:topLinePunct w:val="0"/>
        <w:bidi w:val="0"/>
        <w:snapToGrid/>
        <w:spacing w:line="380" w:lineRule="exact"/>
        <w:ind w:firstLine="468" w:firstLineChars="195"/>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1EA4186">
      <w:pPr>
        <w:pageBreakBefore w:val="0"/>
        <w:widowControl w:val="0"/>
        <w:shd w:val="clear"/>
        <w:kinsoku/>
        <w:wordWrap/>
        <w:overflowPunct/>
        <w:topLinePunct w:val="0"/>
        <w:bidi w:val="0"/>
        <w:snapToGrid/>
        <w:spacing w:line="380" w:lineRule="exact"/>
        <w:ind w:left="16" w:firstLine="468" w:firstLineChars="195"/>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7.8.7 暂停施工期间的工程照管</w:t>
      </w:r>
    </w:p>
    <w:p w14:paraId="5BC721B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暂停施工期间，承包人应负责妥善照管工程并提供安全保障，由此增加的费用由责任方承担。</w:t>
      </w:r>
    </w:p>
    <w:p w14:paraId="617A8BD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7.8.8 暂停施工的措施</w:t>
      </w:r>
    </w:p>
    <w:p w14:paraId="71A0683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暂停施工期间，发包人和承包人均应采取必要的措施确保工程质量及安全，防止因暂停施工扩大损失。</w:t>
      </w:r>
    </w:p>
    <w:p w14:paraId="4E77F12C">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86" w:name="_Toc351203551"/>
      <w:r>
        <w:rPr>
          <w:rFonts w:hint="eastAsia" w:ascii="宋体" w:hAnsi="宋体" w:eastAsia="宋体" w:cs="宋体"/>
          <w:b w:val="0"/>
          <w:color w:val="000000" w:themeColor="text1"/>
          <w:sz w:val="24"/>
          <w:szCs w:val="24"/>
          <w:highlight w:val="none"/>
          <w14:textFill>
            <w14:solidFill>
              <w14:schemeClr w14:val="tx1"/>
            </w14:solidFill>
          </w14:textFill>
        </w:rPr>
        <w:t>7.9提前竣工</w:t>
      </w:r>
      <w:bookmarkEnd w:id="286"/>
    </w:p>
    <w:p w14:paraId="289B75C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9ACD62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14:paraId="3D798F67">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87" w:name="_Toc351203552"/>
      <w:r>
        <w:rPr>
          <w:rFonts w:hint="eastAsia" w:ascii="宋体" w:hAnsi="宋体" w:eastAsia="宋体" w:cs="宋体"/>
          <w:b w:val="0"/>
          <w:color w:val="000000" w:themeColor="text1"/>
          <w:sz w:val="24"/>
          <w:szCs w:val="24"/>
          <w:highlight w:val="none"/>
          <w14:textFill>
            <w14:solidFill>
              <w14:schemeClr w14:val="tx1"/>
            </w14:solidFill>
          </w14:textFill>
        </w:rPr>
        <w:t>8</w:t>
      </w:r>
      <w:bookmarkStart w:id="288" w:name="_Toc296503058"/>
      <w:bookmarkStart w:id="289" w:name="_Toc296346559"/>
      <w:bookmarkStart w:id="290" w:name="_Toc337558776"/>
      <w:r>
        <w:rPr>
          <w:rFonts w:hint="eastAsia" w:ascii="宋体" w:hAnsi="宋体" w:eastAsia="宋体" w:cs="宋体"/>
          <w:b w:val="0"/>
          <w:color w:val="000000" w:themeColor="text1"/>
          <w:sz w:val="24"/>
          <w:szCs w:val="24"/>
          <w:highlight w:val="none"/>
          <w14:textFill>
            <w14:solidFill>
              <w14:schemeClr w14:val="tx1"/>
            </w14:solidFill>
          </w14:textFill>
        </w:rPr>
        <w:t>. 材料与设备</w:t>
      </w:r>
      <w:bookmarkEnd w:id="287"/>
    </w:p>
    <w:bookmarkEnd w:id="288"/>
    <w:bookmarkEnd w:id="289"/>
    <w:bookmarkEnd w:id="290"/>
    <w:p w14:paraId="661A11DD">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291" w:name="_Toc351203553"/>
      <w:r>
        <w:rPr>
          <w:rFonts w:hint="eastAsia" w:ascii="宋体" w:hAnsi="宋体" w:eastAsia="宋体" w:cs="宋体"/>
          <w:b w:val="0"/>
          <w:color w:val="000000" w:themeColor="text1"/>
          <w:sz w:val="24"/>
          <w:szCs w:val="24"/>
          <w:highlight w:val="none"/>
          <w14:textFill>
            <w14:solidFill>
              <w14:schemeClr w14:val="tx1"/>
            </w14:solidFill>
          </w14:textFill>
        </w:rPr>
        <w:t>8</w:t>
      </w:r>
      <w:bookmarkStart w:id="292" w:name="_Toc296503059"/>
      <w:bookmarkStart w:id="293" w:name="_Toc337558777"/>
      <w:bookmarkStart w:id="294" w:name="_Toc296346560"/>
      <w:bookmarkStart w:id="295" w:name="_Toc468936960"/>
      <w:r>
        <w:rPr>
          <w:rFonts w:hint="eastAsia" w:ascii="宋体" w:hAnsi="宋体" w:eastAsia="宋体" w:cs="宋体"/>
          <w:b w:val="0"/>
          <w:color w:val="000000" w:themeColor="text1"/>
          <w:sz w:val="24"/>
          <w:szCs w:val="24"/>
          <w:highlight w:val="none"/>
          <w14:textFill>
            <w14:solidFill>
              <w14:schemeClr w14:val="tx1"/>
            </w14:solidFill>
          </w14:textFill>
        </w:rPr>
        <w:t>.1发包人供应材料与工程设备</w:t>
      </w:r>
      <w:bookmarkEnd w:id="291"/>
    </w:p>
    <w:bookmarkEnd w:id="292"/>
    <w:bookmarkEnd w:id="293"/>
    <w:bookmarkEnd w:id="294"/>
    <w:p w14:paraId="3FC1119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14:paraId="442CCD3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B81D4DD">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bookmarkStart w:id="296" w:name="_Toc351203554"/>
      <w:r>
        <w:rPr>
          <w:rFonts w:hint="eastAsia" w:ascii="宋体" w:hAnsi="宋体" w:eastAsia="宋体" w:cs="宋体"/>
          <w:b w:val="0"/>
          <w:color w:val="000000" w:themeColor="text1"/>
          <w:sz w:val="24"/>
          <w:szCs w:val="24"/>
          <w:highlight w:val="none"/>
          <w14:textFill>
            <w14:solidFill>
              <w14:schemeClr w14:val="tx1"/>
            </w14:solidFill>
          </w14:textFill>
        </w:rPr>
        <w:t>8</w:t>
      </w:r>
      <w:bookmarkStart w:id="297" w:name="_Toc337558778"/>
      <w:bookmarkStart w:id="298" w:name="_Toc296503060"/>
      <w:bookmarkStart w:id="299" w:name="_Toc296346561"/>
      <w:r>
        <w:rPr>
          <w:rFonts w:hint="eastAsia" w:ascii="宋体" w:hAnsi="宋体" w:eastAsia="宋体" w:cs="宋体"/>
          <w:b w:val="0"/>
          <w:color w:val="000000" w:themeColor="text1"/>
          <w:sz w:val="24"/>
          <w:szCs w:val="24"/>
          <w:highlight w:val="none"/>
          <w14:textFill>
            <w14:solidFill>
              <w14:schemeClr w14:val="tx1"/>
            </w14:solidFill>
          </w14:textFill>
        </w:rPr>
        <w:t>.2承包人采购材料与工程设备</w:t>
      </w:r>
      <w:bookmarkEnd w:id="296"/>
    </w:p>
    <w:bookmarkEnd w:id="297"/>
    <w:bookmarkEnd w:id="298"/>
    <w:bookmarkEnd w:id="299"/>
    <w:p w14:paraId="4D6E622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078FCCE">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00" w:name="_Toc351203555"/>
      <w:r>
        <w:rPr>
          <w:rFonts w:hint="eastAsia" w:ascii="宋体" w:hAnsi="宋体" w:eastAsia="宋体" w:cs="宋体"/>
          <w:b w:val="0"/>
          <w:color w:val="000000" w:themeColor="text1"/>
          <w:sz w:val="24"/>
          <w:szCs w:val="24"/>
          <w:highlight w:val="none"/>
          <w14:textFill>
            <w14:solidFill>
              <w14:schemeClr w14:val="tx1"/>
            </w14:solidFill>
          </w14:textFill>
        </w:rPr>
        <w:t>8</w:t>
      </w:r>
      <w:bookmarkStart w:id="301" w:name="_Toc337558779"/>
      <w:bookmarkStart w:id="302" w:name="_Toc296346562"/>
      <w:bookmarkStart w:id="303" w:name="_Toc296503061"/>
      <w:r>
        <w:rPr>
          <w:rFonts w:hint="eastAsia" w:ascii="宋体" w:hAnsi="宋体" w:eastAsia="宋体" w:cs="宋体"/>
          <w:b w:val="0"/>
          <w:color w:val="000000" w:themeColor="text1"/>
          <w:sz w:val="24"/>
          <w:szCs w:val="24"/>
          <w:highlight w:val="none"/>
          <w14:textFill>
            <w14:solidFill>
              <w14:schemeClr w14:val="tx1"/>
            </w14:solidFill>
          </w14:textFill>
        </w:rPr>
        <w:t>.3材料与工程设备的接收与拒收</w:t>
      </w:r>
      <w:bookmarkEnd w:id="300"/>
    </w:p>
    <w:bookmarkEnd w:id="301"/>
    <w:bookmarkEnd w:id="302"/>
    <w:bookmarkEnd w:id="303"/>
    <w:p w14:paraId="2CFAA1D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E8F712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14:paraId="5813069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8.3.2 承包人采购的材料和工程设备，应保证产品质量合格，承包人应在材料和工程设备到货前24小时通知监理人检验。承</w:t>
      </w:r>
      <w:bookmarkStart w:id="304" w:name="_Toc250655469"/>
      <w:r>
        <w:rPr>
          <w:rFonts w:hint="eastAsia" w:ascii="宋体" w:hAnsi="宋体" w:eastAsia="宋体" w:cs="宋体"/>
          <w:color w:val="000000" w:themeColor="text1"/>
          <w:kern w:val="0"/>
          <w:sz w:val="24"/>
          <w:highlight w:val="none"/>
          <w14:textFill>
            <w14:solidFill>
              <w14:schemeClr w14:val="tx1"/>
            </w14:solidFill>
          </w14:textFill>
        </w:rPr>
        <w:t>包人进行永久设备、材料的制造和生产的，应符合相关质量标准，并向监理人提交材料的样本以及有关资料，并应在使用该材料或工程设备之前获得监理人同意。</w:t>
      </w:r>
    </w:p>
    <w:bookmarkEnd w:id="304"/>
    <w:p w14:paraId="67A5B32D">
      <w:pPr>
        <w:pageBreakBefore w:val="0"/>
        <w:widowControl w:val="0"/>
        <w:shd w:val="clear"/>
        <w:kinsoku/>
        <w:wordWrap/>
        <w:overflowPunct/>
        <w:topLinePunct w:val="0"/>
        <w:autoSpaceDE w:val="0"/>
        <w:autoSpaceDN w:val="0"/>
        <w:bidi w:val="0"/>
        <w:adjustRightInd w:val="0"/>
        <w:snapToGrid/>
        <w:spacing w:line="380" w:lineRule="exact"/>
        <w:ind w:firstLine="360" w:firstLineChars="15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06DF2F6">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05" w:name="_Toc351203556"/>
      <w:r>
        <w:rPr>
          <w:rFonts w:hint="eastAsia" w:ascii="宋体" w:hAnsi="宋体" w:eastAsia="宋体" w:cs="宋体"/>
          <w:b w:val="0"/>
          <w:color w:val="000000" w:themeColor="text1"/>
          <w:sz w:val="24"/>
          <w:szCs w:val="24"/>
          <w:highlight w:val="none"/>
          <w14:textFill>
            <w14:solidFill>
              <w14:schemeClr w14:val="tx1"/>
            </w14:solidFill>
          </w14:textFill>
        </w:rPr>
        <w:t>8</w:t>
      </w:r>
      <w:bookmarkStart w:id="306" w:name="_Toc296346563"/>
      <w:bookmarkStart w:id="307" w:name="_Toc337558780"/>
      <w:bookmarkStart w:id="308" w:name="_Toc296503062"/>
      <w:r>
        <w:rPr>
          <w:rFonts w:hint="eastAsia" w:ascii="宋体" w:hAnsi="宋体" w:eastAsia="宋体" w:cs="宋体"/>
          <w:b w:val="0"/>
          <w:color w:val="000000" w:themeColor="text1"/>
          <w:sz w:val="24"/>
          <w:szCs w:val="24"/>
          <w:highlight w:val="none"/>
          <w14:textFill>
            <w14:solidFill>
              <w14:schemeClr w14:val="tx1"/>
            </w14:solidFill>
          </w14:textFill>
        </w:rPr>
        <w:t>.4材料与工程设备的保管与使用</w:t>
      </w:r>
      <w:bookmarkEnd w:id="305"/>
    </w:p>
    <w:bookmarkEnd w:id="306"/>
    <w:bookmarkEnd w:id="307"/>
    <w:bookmarkEnd w:id="308"/>
    <w:p w14:paraId="1732866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8.4.1 发包人供应</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14:paraId="22A99EC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E803BC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发包人供应的材料和工程设备使用前，由承包人负责检验，检验费用由发包人承担，不合格的不得使用。</w:t>
      </w:r>
    </w:p>
    <w:p w14:paraId="69990FE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8.4.2 承包人采购</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14:paraId="031A163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DB2CF3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14:paraId="7B14D90D">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09" w:name="_Toc351203557"/>
      <w:r>
        <w:rPr>
          <w:rFonts w:hint="eastAsia" w:ascii="宋体" w:hAnsi="宋体" w:eastAsia="宋体" w:cs="宋体"/>
          <w:b w:val="0"/>
          <w:color w:val="000000" w:themeColor="text1"/>
          <w:sz w:val="24"/>
          <w:szCs w:val="24"/>
          <w:highlight w:val="none"/>
          <w14:textFill>
            <w14:solidFill>
              <w14:schemeClr w14:val="tx1"/>
            </w14:solidFill>
          </w14:textFill>
        </w:rPr>
        <w:t>8.5禁止使用不合格的材料和工程设备</w:t>
      </w:r>
      <w:bookmarkEnd w:id="309"/>
    </w:p>
    <w:p w14:paraId="4628283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14:paraId="2563AE3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14:paraId="2B092DC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14:paraId="1E709AFF">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10" w:name="_Toc351203558"/>
      <w:r>
        <w:rPr>
          <w:rFonts w:hint="eastAsia" w:ascii="宋体" w:hAnsi="宋体" w:eastAsia="宋体" w:cs="宋体"/>
          <w:b w:val="0"/>
          <w:color w:val="000000" w:themeColor="text1"/>
          <w:sz w:val="24"/>
          <w:szCs w:val="24"/>
          <w:highlight w:val="none"/>
          <w14:textFill>
            <w14:solidFill>
              <w14:schemeClr w14:val="tx1"/>
            </w14:solidFill>
          </w14:textFill>
        </w:rPr>
        <w:t>8.6 样品</w:t>
      </w:r>
      <w:bookmarkEnd w:id="310"/>
    </w:p>
    <w:p w14:paraId="4AD4DEB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8.6.1</w:t>
      </w:r>
      <w:r>
        <w:rPr>
          <w:rFonts w:hint="eastAsia" w:ascii="宋体" w:hAnsi="宋体" w:eastAsia="宋体" w:cs="宋体"/>
          <w:color w:val="000000" w:themeColor="text1"/>
          <w:kern w:val="0"/>
          <w:sz w:val="24"/>
          <w:highlight w:val="non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样品的报送与封存</w:t>
      </w:r>
    </w:p>
    <w:p w14:paraId="1B55F63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需要承包人报送样品的材料或工程设备，样品的种类、名称、规格、数量等要求均应在专用合同条款中约定。样品的报送程序如下：</w:t>
      </w:r>
    </w:p>
    <w:p w14:paraId="2BA4B6B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F9ADF3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13C220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14:paraId="0E40164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48605C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8.6.2 样品的保管</w:t>
      </w:r>
    </w:p>
    <w:p w14:paraId="123A2D6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14:paraId="77552130">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11" w:name="_Toc351203559"/>
      <w:r>
        <w:rPr>
          <w:rFonts w:hint="eastAsia" w:ascii="宋体" w:hAnsi="宋体" w:eastAsia="宋体" w:cs="宋体"/>
          <w:b w:val="0"/>
          <w:color w:val="000000" w:themeColor="text1"/>
          <w:sz w:val="24"/>
          <w:szCs w:val="24"/>
          <w:highlight w:val="none"/>
          <w14:textFill>
            <w14:solidFill>
              <w14:schemeClr w14:val="tx1"/>
            </w14:solidFill>
          </w14:textFill>
        </w:rPr>
        <w:t>8.7材料与工程设备的替代</w:t>
      </w:r>
      <w:bookmarkEnd w:id="311"/>
    </w:p>
    <w:p w14:paraId="3FEB60D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8.7.1 出现下列情况需要使用替代材料和工程设备的，承包人应按照第8.7.2项约定的程序执行：</w:t>
      </w:r>
    </w:p>
    <w:p w14:paraId="1061C94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（1）基准日期后生效的法律规定禁止使用的；</w:t>
      </w:r>
    </w:p>
    <w:p w14:paraId="64F193E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（2）发包人要求使用替代品的；</w:t>
      </w:r>
    </w:p>
    <w:p w14:paraId="5591B0B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（3）因其他原因必须使用替代品的。</w:t>
      </w:r>
    </w:p>
    <w:p w14:paraId="5B6E87F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8.7.2 承包人应在使用替代材料和工程设备28天前书面通知监理人，并附下列文件：</w:t>
      </w:r>
    </w:p>
    <w:p w14:paraId="54D8A5E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（1）被替代的材料和工程设备的名称、数量、规格、型号、品牌、性能、价格及其他相关资料；</w:t>
      </w:r>
    </w:p>
    <w:p w14:paraId="57A4C09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（2）替代品的名称、数量、规格、型号、品牌、性能、价格及其他相关资料；</w:t>
      </w:r>
    </w:p>
    <w:p w14:paraId="5B3A615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（3）替代品与被替代产品之间的差异以及使用替代品可能对工程产生的影响；</w:t>
      </w:r>
    </w:p>
    <w:p w14:paraId="4DB9BE7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（4）替代品与被替代产品的价格差异；</w:t>
      </w:r>
    </w:p>
    <w:p w14:paraId="13BC669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（5）使用替代品的理由和原因说明；</w:t>
      </w:r>
    </w:p>
    <w:p w14:paraId="5588868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（6）监理人要求的其他文件。</w:t>
      </w:r>
    </w:p>
    <w:p w14:paraId="20D98BE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14:paraId="18E08F2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1F06100">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12" w:name="_Toc351203560"/>
      <w:r>
        <w:rPr>
          <w:rFonts w:hint="eastAsia" w:ascii="宋体" w:hAnsi="宋体" w:eastAsia="宋体" w:cs="宋体"/>
          <w:b w:val="0"/>
          <w:color w:val="000000" w:themeColor="text1"/>
          <w:sz w:val="24"/>
          <w:szCs w:val="24"/>
          <w:highlight w:val="none"/>
          <w14:textFill>
            <w14:solidFill>
              <w14:schemeClr w14:val="tx1"/>
            </w14:solidFill>
          </w14:textFill>
        </w:rPr>
        <w:t>8.8施工设备和临时设施</w:t>
      </w:r>
      <w:bookmarkEnd w:id="312"/>
    </w:p>
    <w:p w14:paraId="5E9DFC4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8.8.1 承包人提供的施工设备和临时设施</w:t>
      </w:r>
    </w:p>
    <w:p w14:paraId="04F373B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14:paraId="3998313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14:paraId="5818408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8.8.2发包人提供的施工设备和临时设施</w:t>
      </w:r>
    </w:p>
    <w:p w14:paraId="1C3217D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发包人提供的施工设备或临时设施在专用合同条款中约定。</w:t>
      </w:r>
    </w:p>
    <w:p w14:paraId="278320B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8.8.3要求承包人增加或更换施工设备</w:t>
      </w:r>
    </w:p>
    <w:p w14:paraId="5D1EEDA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14:paraId="52E8DC3B">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13" w:name="_Toc351203561"/>
      <w:r>
        <w:rPr>
          <w:rFonts w:hint="eastAsia" w:ascii="宋体" w:hAnsi="宋体" w:eastAsia="宋体" w:cs="宋体"/>
          <w:b w:val="0"/>
          <w:color w:val="000000" w:themeColor="text1"/>
          <w:sz w:val="24"/>
          <w:szCs w:val="24"/>
          <w:highlight w:val="none"/>
          <w14:textFill>
            <w14:solidFill>
              <w14:schemeClr w14:val="tx1"/>
            </w14:solidFill>
          </w14:textFill>
        </w:rPr>
        <w:t>8</w:t>
      </w:r>
      <w:bookmarkStart w:id="314" w:name="_Toc296346564"/>
      <w:bookmarkStart w:id="315" w:name="_Toc296503063"/>
      <w:bookmarkStart w:id="316" w:name="_Toc337558781"/>
      <w:r>
        <w:rPr>
          <w:rFonts w:hint="eastAsia" w:ascii="宋体" w:hAnsi="宋体" w:eastAsia="宋体" w:cs="宋体"/>
          <w:b w:val="0"/>
          <w:color w:val="000000" w:themeColor="text1"/>
          <w:sz w:val="24"/>
          <w:szCs w:val="24"/>
          <w:highlight w:val="none"/>
          <w14:textFill>
            <w14:solidFill>
              <w14:schemeClr w14:val="tx1"/>
            </w14:solidFill>
          </w14:textFill>
        </w:rPr>
        <w:t>.9材料与设备专用</w:t>
      </w:r>
      <w:bookmarkEnd w:id="313"/>
      <w:r>
        <w:rPr>
          <w:rFonts w:hint="eastAsia" w:ascii="宋体" w:hAnsi="宋体" w:eastAsia="宋体" w:cs="宋体"/>
          <w:b w:val="0"/>
          <w:color w:val="000000" w:themeColor="text1"/>
          <w:sz w:val="24"/>
          <w:szCs w:val="24"/>
          <w:highlight w:val="none"/>
          <w14:textFill>
            <w14:solidFill>
              <w14:schemeClr w14:val="tx1"/>
            </w14:solidFill>
          </w14:textFill>
        </w:rPr>
        <w:t>要求</w:t>
      </w:r>
    </w:p>
    <w:bookmarkEnd w:id="314"/>
    <w:bookmarkEnd w:id="315"/>
    <w:bookmarkEnd w:id="316"/>
    <w:p w14:paraId="3C70BF6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bookmarkEnd w:id="295"/>
      <w:r>
        <w:rPr>
          <w:rFonts w:hint="eastAsia" w:ascii="宋体" w:hAnsi="宋体" w:eastAsia="宋体" w:cs="宋体"/>
          <w:color w:val="000000" w:themeColor="text1"/>
          <w:kern w:val="0"/>
          <w:sz w:val="24"/>
          <w:highlight w:val="none"/>
          <w14:textFill>
            <w14:solidFill>
              <w14:schemeClr w14:val="tx1"/>
            </w14:solidFill>
          </w14:textFill>
        </w:rPr>
        <w:t>经发包人批准，承包人可以根据施工进度计划撤走闲置的施工设备和其他物品。</w:t>
      </w:r>
    </w:p>
    <w:p w14:paraId="0A19E01A">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17" w:name="_Toc351203562"/>
      <w:r>
        <w:rPr>
          <w:rFonts w:hint="eastAsia" w:ascii="宋体" w:hAnsi="宋体" w:eastAsia="宋体" w:cs="宋体"/>
          <w:b w:val="0"/>
          <w:color w:val="000000" w:themeColor="text1"/>
          <w:sz w:val="24"/>
          <w:szCs w:val="24"/>
          <w:highlight w:val="none"/>
          <w14:textFill>
            <w14:solidFill>
              <w14:schemeClr w14:val="tx1"/>
            </w14:solidFill>
          </w14:textFill>
        </w:rPr>
        <w:t>9</w:t>
      </w:r>
      <w:bookmarkStart w:id="318" w:name="_Toc337558782"/>
      <w:bookmarkStart w:id="319" w:name="_Toc296503083"/>
      <w:bookmarkStart w:id="320" w:name="_Toc296346584"/>
      <w:r>
        <w:rPr>
          <w:rFonts w:hint="eastAsia" w:ascii="宋体" w:hAnsi="宋体" w:eastAsia="宋体" w:cs="宋体"/>
          <w:b w:val="0"/>
          <w:color w:val="000000" w:themeColor="text1"/>
          <w:sz w:val="24"/>
          <w:szCs w:val="24"/>
          <w:highlight w:val="none"/>
          <w14:textFill>
            <w14:solidFill>
              <w14:schemeClr w14:val="tx1"/>
            </w14:solidFill>
          </w14:textFill>
        </w:rPr>
        <w:t>. 试验与检验</w:t>
      </w:r>
      <w:bookmarkEnd w:id="317"/>
    </w:p>
    <w:bookmarkEnd w:id="318"/>
    <w:p w14:paraId="340FBBB7">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21" w:name="_Toc351203563"/>
      <w:r>
        <w:rPr>
          <w:rFonts w:hint="eastAsia" w:ascii="宋体" w:hAnsi="宋体" w:eastAsia="宋体" w:cs="宋体"/>
          <w:b w:val="0"/>
          <w:color w:val="000000" w:themeColor="text1"/>
          <w:sz w:val="24"/>
          <w:szCs w:val="24"/>
          <w:highlight w:val="none"/>
          <w14:textFill>
            <w14:solidFill>
              <w14:schemeClr w14:val="tx1"/>
            </w14:solidFill>
          </w14:textFill>
        </w:rPr>
        <w:t>9</w:t>
      </w:r>
      <w:bookmarkStart w:id="322" w:name="_Toc337558783"/>
      <w:r>
        <w:rPr>
          <w:rFonts w:hint="eastAsia" w:ascii="宋体" w:hAnsi="宋体" w:eastAsia="宋体" w:cs="宋体"/>
          <w:b w:val="0"/>
          <w:color w:val="000000" w:themeColor="text1"/>
          <w:sz w:val="24"/>
          <w:szCs w:val="24"/>
          <w:highlight w:val="none"/>
          <w14:textFill>
            <w14:solidFill>
              <w14:schemeClr w14:val="tx1"/>
            </w14:solidFill>
          </w14:textFill>
        </w:rPr>
        <w:t>.1试验设备与试验人员</w:t>
      </w:r>
      <w:bookmarkEnd w:id="321"/>
    </w:p>
    <w:bookmarkEnd w:id="322"/>
    <w:p w14:paraId="495EB79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597046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9.1.2 承包人应按专用合同条款的约定提供试验设备、取样装置、试验场所和试验条件，并向监理人提交相应进场计划表。</w:t>
      </w:r>
    </w:p>
    <w:p w14:paraId="423A8ED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14:paraId="64D59D3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14:paraId="2C5DC3C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23" w:name="_Toc351203564"/>
      <w:r>
        <w:rPr>
          <w:rFonts w:hint="eastAsia" w:ascii="宋体" w:hAnsi="宋体" w:eastAsia="宋体" w:cs="宋体"/>
          <w:b w:val="0"/>
          <w:color w:val="000000" w:themeColor="text1"/>
          <w:sz w:val="24"/>
          <w:szCs w:val="24"/>
          <w:highlight w:val="none"/>
          <w14:textFill>
            <w14:solidFill>
              <w14:schemeClr w14:val="tx1"/>
            </w14:solidFill>
          </w14:textFill>
        </w:rPr>
        <w:t>9</w:t>
      </w:r>
      <w:bookmarkStart w:id="324" w:name="_Toc337558784"/>
      <w:r>
        <w:rPr>
          <w:rFonts w:hint="eastAsia" w:ascii="宋体" w:hAnsi="宋体" w:eastAsia="宋体" w:cs="宋体"/>
          <w:b w:val="0"/>
          <w:color w:val="000000" w:themeColor="text1"/>
          <w:sz w:val="24"/>
          <w:szCs w:val="24"/>
          <w:highlight w:val="none"/>
          <w14:textFill>
            <w14:solidFill>
              <w14:schemeClr w14:val="tx1"/>
            </w14:solidFill>
          </w14:textFill>
        </w:rPr>
        <w:t>.2取样</w:t>
      </w:r>
      <w:bookmarkEnd w:id="323"/>
    </w:p>
    <w:bookmarkEnd w:id="324"/>
    <w:p w14:paraId="3F7DF60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14:paraId="73911B36">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25" w:name="_Toc351203565"/>
      <w:r>
        <w:rPr>
          <w:rFonts w:hint="eastAsia" w:ascii="宋体" w:hAnsi="宋体" w:eastAsia="宋体" w:cs="宋体"/>
          <w:b w:val="0"/>
          <w:color w:val="000000" w:themeColor="text1"/>
          <w:sz w:val="24"/>
          <w:szCs w:val="24"/>
          <w:highlight w:val="none"/>
          <w14:textFill>
            <w14:solidFill>
              <w14:schemeClr w14:val="tx1"/>
            </w14:solidFill>
          </w14:textFill>
        </w:rPr>
        <w:t>9</w:t>
      </w:r>
      <w:bookmarkStart w:id="326" w:name="_Toc337558785"/>
      <w:r>
        <w:rPr>
          <w:rFonts w:hint="eastAsia" w:ascii="宋体" w:hAnsi="宋体" w:eastAsia="宋体" w:cs="宋体"/>
          <w:b w:val="0"/>
          <w:color w:val="000000" w:themeColor="text1"/>
          <w:sz w:val="24"/>
          <w:szCs w:val="24"/>
          <w:highlight w:val="none"/>
          <w14:textFill>
            <w14:solidFill>
              <w14:schemeClr w14:val="tx1"/>
            </w14:solidFill>
          </w14:textFill>
        </w:rPr>
        <w:t>.3材料、工程设备和工程的试验和检验</w:t>
      </w:r>
      <w:bookmarkEnd w:id="325"/>
    </w:p>
    <w:bookmarkEnd w:id="326"/>
    <w:p w14:paraId="0D7EA12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CBAB3F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31EF64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E0B5B70">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27" w:name="_Toc351203566"/>
      <w:r>
        <w:rPr>
          <w:rFonts w:hint="eastAsia" w:ascii="宋体" w:hAnsi="宋体" w:eastAsia="宋体" w:cs="宋体"/>
          <w:b w:val="0"/>
          <w:color w:val="000000" w:themeColor="text1"/>
          <w:sz w:val="24"/>
          <w:szCs w:val="24"/>
          <w:highlight w:val="none"/>
          <w14:textFill>
            <w14:solidFill>
              <w14:schemeClr w14:val="tx1"/>
            </w14:solidFill>
          </w14:textFill>
        </w:rPr>
        <w:t>9</w:t>
      </w:r>
      <w:bookmarkStart w:id="328" w:name="_Toc337558786"/>
      <w:r>
        <w:rPr>
          <w:rFonts w:hint="eastAsia" w:ascii="宋体" w:hAnsi="宋体" w:eastAsia="宋体" w:cs="宋体"/>
          <w:b w:val="0"/>
          <w:color w:val="000000" w:themeColor="text1"/>
          <w:sz w:val="24"/>
          <w:szCs w:val="24"/>
          <w:highlight w:val="none"/>
          <w14:textFill>
            <w14:solidFill>
              <w14:schemeClr w14:val="tx1"/>
            </w14:solidFill>
          </w14:textFill>
        </w:rPr>
        <w:t>.4现场工艺试验</w:t>
      </w:r>
      <w:bookmarkEnd w:id="327"/>
    </w:p>
    <w:bookmarkEnd w:id="328"/>
    <w:p w14:paraId="05A4801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14:paraId="100AB9F5">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29" w:name="_Toc351203567"/>
      <w:r>
        <w:rPr>
          <w:rFonts w:hint="eastAsia" w:ascii="宋体" w:hAnsi="宋体" w:eastAsia="宋体" w:cs="宋体"/>
          <w:b w:val="0"/>
          <w:color w:val="000000" w:themeColor="text1"/>
          <w:sz w:val="24"/>
          <w:szCs w:val="24"/>
          <w:highlight w:val="none"/>
          <w14:textFill>
            <w14:solidFill>
              <w14:schemeClr w14:val="tx1"/>
            </w14:solidFill>
          </w14:textFill>
        </w:rPr>
        <w:t>1</w:t>
      </w:r>
      <w:bookmarkStart w:id="330" w:name="_Toc337558787"/>
      <w:r>
        <w:rPr>
          <w:rFonts w:hint="eastAsia" w:ascii="宋体" w:hAnsi="宋体" w:eastAsia="宋体" w:cs="宋体"/>
          <w:b w:val="0"/>
          <w:color w:val="000000" w:themeColor="text1"/>
          <w:sz w:val="24"/>
          <w:szCs w:val="24"/>
          <w:highlight w:val="none"/>
          <w14:textFill>
            <w14:solidFill>
              <w14:schemeClr w14:val="tx1"/>
            </w14:solidFill>
          </w14:textFill>
        </w:rPr>
        <w:t>0. 变更</w:t>
      </w:r>
      <w:bookmarkEnd w:id="319"/>
      <w:bookmarkEnd w:id="320"/>
      <w:bookmarkEnd w:id="329"/>
    </w:p>
    <w:bookmarkEnd w:id="330"/>
    <w:p w14:paraId="61088FC8">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31" w:name="_Toc351203568"/>
      <w:r>
        <w:rPr>
          <w:rFonts w:hint="eastAsia" w:ascii="宋体" w:hAnsi="宋体" w:eastAsia="宋体" w:cs="宋体"/>
          <w:b w:val="0"/>
          <w:color w:val="000000" w:themeColor="text1"/>
          <w:sz w:val="24"/>
          <w:szCs w:val="24"/>
          <w:highlight w:val="none"/>
          <w14:textFill>
            <w14:solidFill>
              <w14:schemeClr w14:val="tx1"/>
            </w14:solidFill>
          </w14:textFill>
        </w:rPr>
        <w:t>1</w:t>
      </w:r>
      <w:bookmarkStart w:id="332" w:name="_Toc296346585"/>
      <w:bookmarkStart w:id="333" w:name="_Toc337558788"/>
      <w:bookmarkStart w:id="334" w:name="_Toc296503084"/>
      <w:r>
        <w:rPr>
          <w:rFonts w:hint="eastAsia" w:ascii="宋体" w:hAnsi="宋体" w:eastAsia="宋体" w:cs="宋体"/>
          <w:b w:val="0"/>
          <w:color w:val="000000" w:themeColor="text1"/>
          <w:sz w:val="24"/>
          <w:szCs w:val="24"/>
          <w:highlight w:val="none"/>
          <w14:textFill>
            <w14:solidFill>
              <w14:schemeClr w14:val="tx1"/>
            </w14:solidFill>
          </w14:textFill>
        </w:rPr>
        <w:t>0.1变更的范围</w:t>
      </w:r>
      <w:bookmarkEnd w:id="331"/>
    </w:p>
    <w:bookmarkEnd w:id="332"/>
    <w:bookmarkEnd w:id="333"/>
    <w:bookmarkEnd w:id="334"/>
    <w:p w14:paraId="2789688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除专用合同条款另有约定外，合同履行过程中发生以下情形的，应按照本条约定进行变更：</w:t>
      </w:r>
    </w:p>
    <w:p w14:paraId="248D913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（1）增加或减少合同中任何工作，或追加额外的工作；</w:t>
      </w:r>
    </w:p>
    <w:p w14:paraId="7BBC7FA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（2）取消合同中任何工作，但转由他人实施的工作除外；</w:t>
      </w:r>
    </w:p>
    <w:p w14:paraId="40DA229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（3）改变合同中任何工作的质量标准或其他特性；</w:t>
      </w:r>
    </w:p>
    <w:p w14:paraId="3BB8C01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（4）改变工程的基线、标高、位置和尺寸；</w:t>
      </w:r>
    </w:p>
    <w:p w14:paraId="4FACBF4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（5）改变工程的时间安排或实施顺序。</w:t>
      </w:r>
    </w:p>
    <w:p w14:paraId="403519E8">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35" w:name="_Toc351203569"/>
      <w:r>
        <w:rPr>
          <w:rFonts w:hint="eastAsia" w:ascii="宋体" w:hAnsi="宋体" w:eastAsia="宋体" w:cs="宋体"/>
          <w:b w:val="0"/>
          <w:color w:val="000000" w:themeColor="text1"/>
          <w:sz w:val="24"/>
          <w:szCs w:val="24"/>
          <w:highlight w:val="none"/>
          <w14:textFill>
            <w14:solidFill>
              <w14:schemeClr w14:val="tx1"/>
            </w14:solidFill>
          </w14:textFill>
        </w:rPr>
        <w:t>1</w:t>
      </w:r>
      <w:bookmarkStart w:id="336" w:name="_Toc337558789"/>
      <w:bookmarkStart w:id="337" w:name="_Toc296346586"/>
      <w:bookmarkStart w:id="338" w:name="_Toc296503085"/>
      <w:r>
        <w:rPr>
          <w:rFonts w:hint="eastAsia" w:ascii="宋体" w:hAnsi="宋体" w:eastAsia="宋体" w:cs="宋体"/>
          <w:b w:val="0"/>
          <w:color w:val="000000" w:themeColor="text1"/>
          <w:sz w:val="24"/>
          <w:szCs w:val="24"/>
          <w:highlight w:val="none"/>
          <w14:textFill>
            <w14:solidFill>
              <w14:schemeClr w14:val="tx1"/>
            </w14:solidFill>
          </w14:textFill>
        </w:rPr>
        <w:t>0.2变更权</w:t>
      </w:r>
      <w:bookmarkEnd w:id="335"/>
    </w:p>
    <w:bookmarkEnd w:id="336"/>
    <w:bookmarkEnd w:id="337"/>
    <w:bookmarkEnd w:id="338"/>
    <w:p w14:paraId="3BCB1AF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B00AFF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14:paraId="03D99666">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39" w:name="_Toc351203570"/>
      <w:r>
        <w:rPr>
          <w:rFonts w:hint="eastAsia" w:ascii="宋体" w:hAnsi="宋体" w:eastAsia="宋体" w:cs="宋体"/>
          <w:b w:val="0"/>
          <w:color w:val="000000" w:themeColor="text1"/>
          <w:sz w:val="24"/>
          <w:szCs w:val="24"/>
          <w:highlight w:val="none"/>
          <w14:textFill>
            <w14:solidFill>
              <w14:schemeClr w14:val="tx1"/>
            </w14:solidFill>
          </w14:textFill>
        </w:rPr>
        <w:t>1</w:t>
      </w:r>
      <w:bookmarkStart w:id="340" w:name="_Toc296503086"/>
      <w:bookmarkStart w:id="341" w:name="_Toc296346587"/>
      <w:bookmarkStart w:id="342" w:name="_Toc337558790"/>
      <w:r>
        <w:rPr>
          <w:rFonts w:hint="eastAsia" w:ascii="宋体" w:hAnsi="宋体" w:eastAsia="宋体" w:cs="宋体"/>
          <w:b w:val="0"/>
          <w:color w:val="000000" w:themeColor="text1"/>
          <w:sz w:val="24"/>
          <w:szCs w:val="24"/>
          <w:highlight w:val="none"/>
          <w14:textFill>
            <w14:solidFill>
              <w14:schemeClr w14:val="tx1"/>
            </w14:solidFill>
          </w14:textFill>
        </w:rPr>
        <w:t>0.3变更程序</w:t>
      </w:r>
      <w:bookmarkEnd w:id="339"/>
    </w:p>
    <w:bookmarkEnd w:id="340"/>
    <w:bookmarkEnd w:id="341"/>
    <w:bookmarkEnd w:id="342"/>
    <w:p w14:paraId="6E587FC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.3.1 发包人提出变更</w:t>
      </w:r>
    </w:p>
    <w:p w14:paraId="14B230D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发包人提出变更的，应通过监理人向承包人发出变更指示，变更指示应说明计划变更的工程范围和变更的内容。</w:t>
      </w:r>
    </w:p>
    <w:p w14:paraId="264424E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.3.2 监理人提出变更建议</w:t>
      </w:r>
    </w:p>
    <w:p w14:paraId="41E355F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6A9F24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10.3.3 变更执行</w:t>
      </w:r>
    </w:p>
    <w:p w14:paraId="68F1F34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D468775">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43" w:name="_Toc351203571"/>
      <w:r>
        <w:rPr>
          <w:rFonts w:hint="eastAsia" w:ascii="宋体" w:hAnsi="宋体" w:eastAsia="宋体" w:cs="宋体"/>
          <w:b w:val="0"/>
          <w:color w:val="000000" w:themeColor="text1"/>
          <w:sz w:val="24"/>
          <w:szCs w:val="24"/>
          <w:highlight w:val="none"/>
          <w14:textFill>
            <w14:solidFill>
              <w14:schemeClr w14:val="tx1"/>
            </w14:solidFill>
          </w14:textFill>
        </w:rPr>
        <w:t>1</w:t>
      </w:r>
      <w:bookmarkStart w:id="344" w:name="_Toc296346588"/>
      <w:bookmarkStart w:id="345" w:name="_Toc337558791"/>
      <w:bookmarkStart w:id="346" w:name="_Toc296503087"/>
      <w:r>
        <w:rPr>
          <w:rFonts w:hint="eastAsia" w:ascii="宋体" w:hAnsi="宋体" w:eastAsia="宋体" w:cs="宋体"/>
          <w:b w:val="0"/>
          <w:color w:val="000000" w:themeColor="text1"/>
          <w:sz w:val="24"/>
          <w:szCs w:val="24"/>
          <w:highlight w:val="none"/>
          <w14:textFill>
            <w14:solidFill>
              <w14:schemeClr w14:val="tx1"/>
            </w14:solidFill>
          </w14:textFill>
        </w:rPr>
        <w:t>0.4变更估价</w:t>
      </w:r>
      <w:bookmarkEnd w:id="343"/>
    </w:p>
    <w:bookmarkEnd w:id="344"/>
    <w:bookmarkEnd w:id="345"/>
    <w:bookmarkEnd w:id="346"/>
    <w:p w14:paraId="0864A8F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10.4.1 变更估价原则</w:t>
      </w:r>
    </w:p>
    <w:p w14:paraId="3003040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除专用合同条款另有约定外，变更估价按照本款约定处理：</w:t>
      </w:r>
    </w:p>
    <w:p w14:paraId="257F4ED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（1）已标价工程量清单或预算书有相同项目的，按照相同项目单价认定；</w:t>
      </w:r>
    </w:p>
    <w:p w14:paraId="0620FDB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（2）已标价工程量清单或预算书中无相同项目，但有类似项目的，参照类似项目的单价认定；</w:t>
      </w:r>
    </w:p>
    <w:p w14:paraId="7CB4462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2B93AE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10.4.2 变更估价程序</w:t>
      </w:r>
    </w:p>
    <w:p w14:paraId="67265BA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3D1EA49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因变更引起的价格调整应计入最近一期的进度款中支付。</w:t>
      </w:r>
    </w:p>
    <w:p w14:paraId="5F488C67">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47" w:name="_Toc351203572"/>
      <w:r>
        <w:rPr>
          <w:rFonts w:hint="eastAsia" w:ascii="宋体" w:hAnsi="宋体" w:eastAsia="宋体" w:cs="宋体"/>
          <w:b w:val="0"/>
          <w:color w:val="000000" w:themeColor="text1"/>
          <w:sz w:val="24"/>
          <w:szCs w:val="24"/>
          <w:highlight w:val="none"/>
          <w14:textFill>
            <w14:solidFill>
              <w14:schemeClr w14:val="tx1"/>
            </w14:solidFill>
          </w14:textFill>
        </w:rPr>
        <w:t>1</w:t>
      </w:r>
      <w:bookmarkStart w:id="348" w:name="_Toc337558792"/>
      <w:bookmarkStart w:id="349" w:name="_Toc296503094"/>
      <w:bookmarkStart w:id="350" w:name="_Toc296346595"/>
      <w:r>
        <w:rPr>
          <w:rFonts w:hint="eastAsia" w:ascii="宋体" w:hAnsi="宋体" w:eastAsia="宋体" w:cs="宋体"/>
          <w:b w:val="0"/>
          <w:color w:val="000000" w:themeColor="text1"/>
          <w:sz w:val="24"/>
          <w:szCs w:val="24"/>
          <w:highlight w:val="none"/>
          <w14:textFill>
            <w14:solidFill>
              <w14:schemeClr w14:val="tx1"/>
            </w14:solidFill>
          </w14:textFill>
        </w:rPr>
        <w:t>0.5承包人的合理化建议</w:t>
      </w:r>
      <w:bookmarkEnd w:id="347"/>
    </w:p>
    <w:bookmarkEnd w:id="348"/>
    <w:bookmarkEnd w:id="349"/>
    <w:bookmarkEnd w:id="350"/>
    <w:p w14:paraId="74F705B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承包人提出合理化建议的，应向监理人提交合理化建议说明，说明建议的内容和理由，以及实施该建议对合同价格和工期的影响。</w:t>
      </w:r>
    </w:p>
    <w:p w14:paraId="1835B9D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9D4CBA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合理化建议降低了合同价格或者提高了工程经济效益的，发包人可对承包人给予奖励，奖励的方法和金额在专用合同条款中约定。</w:t>
      </w:r>
    </w:p>
    <w:p w14:paraId="587E23F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bookmarkStart w:id="351" w:name="_Toc351203573"/>
      <w:r>
        <w:rPr>
          <w:rFonts w:hint="eastAsia" w:ascii="宋体" w:hAnsi="宋体" w:eastAsia="宋体" w:cs="宋体"/>
          <w:b w:val="0"/>
          <w:color w:val="000000" w:themeColor="text1"/>
          <w:sz w:val="24"/>
          <w:szCs w:val="24"/>
          <w:highlight w:val="none"/>
          <w14:textFill>
            <w14:solidFill>
              <w14:schemeClr w14:val="tx1"/>
            </w14:solidFill>
          </w14:textFill>
        </w:rPr>
        <w:t>1</w:t>
      </w:r>
      <w:bookmarkStart w:id="352" w:name="_Toc337558793"/>
      <w:r>
        <w:rPr>
          <w:rFonts w:hint="eastAsia" w:ascii="宋体" w:hAnsi="宋体" w:eastAsia="宋体" w:cs="宋体"/>
          <w:b w:val="0"/>
          <w:color w:val="000000" w:themeColor="text1"/>
          <w:sz w:val="24"/>
          <w:szCs w:val="24"/>
          <w:highlight w:val="none"/>
          <w14:textFill>
            <w14:solidFill>
              <w14:schemeClr w14:val="tx1"/>
            </w14:solidFill>
          </w14:textFill>
        </w:rPr>
        <w:t>0.6变更引起的工期调整</w:t>
      </w:r>
      <w:bookmarkEnd w:id="351"/>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2"/>
      <w:r>
        <w:rPr>
          <w:rFonts w:hint="eastAsia" w:ascii="宋体" w:hAnsi="宋体" w:eastAsia="宋体" w:cs="宋体"/>
          <w:b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B21375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14:paraId="6866D718">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53" w:name="_Toc351203574"/>
      <w:r>
        <w:rPr>
          <w:rFonts w:hint="eastAsia" w:ascii="宋体" w:hAnsi="宋体" w:eastAsia="宋体" w:cs="宋体"/>
          <w:b w:val="0"/>
          <w:color w:val="000000" w:themeColor="text1"/>
          <w:sz w:val="24"/>
          <w:szCs w:val="24"/>
          <w:highlight w:val="none"/>
          <w14:textFill>
            <w14:solidFill>
              <w14:schemeClr w14:val="tx1"/>
            </w14:solidFill>
          </w14:textFill>
        </w:rPr>
        <w:t>10.7暂估价</w:t>
      </w:r>
      <w:bookmarkEnd w:id="353"/>
    </w:p>
    <w:p w14:paraId="47A5145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暂估价专业分包工程、服务、材料和工程设备的明细由合同当事人在专用合同条款中约定。</w:t>
      </w:r>
    </w:p>
    <w:p w14:paraId="3BCD14F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10.7.1</w:t>
      </w:r>
      <w:r>
        <w:rPr>
          <w:rFonts w:hint="eastAsia" w:ascii="宋体" w:hAnsi="宋体" w:eastAsia="宋体" w:cs="宋体"/>
          <w:color w:val="000000" w:themeColor="text1"/>
          <w:kern w:val="0"/>
          <w:sz w:val="24"/>
          <w:highlight w:val="none"/>
          <w14:textFill>
            <w14:solidFill>
              <w14:schemeClr w14:val="tx1"/>
            </w14:solidFill>
          </w14:textFill>
        </w:rPr>
        <w:t xml:space="preserve"> 依法必须招标的暂估价项目</w:t>
      </w:r>
    </w:p>
    <w:p w14:paraId="4BB3649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对于依法必须招标的暂估价项目，采取以下第1种方式确定。合同当事人也可以在专用合同条款中选择其他招标方式。</w:t>
      </w:r>
    </w:p>
    <w:p w14:paraId="237ABB7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第1种方式：对于依法必须招标的暂估价项目，由承包人招标，对该暂估价项目的确认和批准按照以下约定执行：</w:t>
      </w:r>
    </w:p>
    <w:p w14:paraId="328511E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B8A14A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EAF946C">
      <w:pPr>
        <w:pageBreakBefore w:val="0"/>
        <w:widowControl w:val="0"/>
        <w:shd w:val="clear"/>
        <w:kinsoku/>
        <w:wordWrap/>
        <w:overflowPunct/>
        <w:topLinePunct w:val="0"/>
        <w:bidi w:val="0"/>
        <w:snapToGrid/>
        <w:spacing w:line="380" w:lineRule="exact"/>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658A7C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52DEAD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10.7.2</w:t>
      </w:r>
      <w:r>
        <w:rPr>
          <w:rFonts w:hint="eastAsia" w:ascii="宋体" w:hAnsi="宋体" w:eastAsia="宋体" w:cs="宋体"/>
          <w:color w:val="000000" w:themeColor="text1"/>
          <w:kern w:val="0"/>
          <w:sz w:val="24"/>
          <w:highlight w:val="none"/>
          <w14:textFill>
            <w14:solidFill>
              <w14:schemeClr w14:val="tx1"/>
            </w14:solidFill>
          </w14:textFill>
        </w:rPr>
        <w:t>不属于依法必须招标的暂估价项目</w:t>
      </w:r>
    </w:p>
    <w:p w14:paraId="6496458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除专用合同条款另有约定外，对于不属于依法必须招标的暂估价项目，采取以下第1种方式确定： </w:t>
      </w:r>
    </w:p>
    <w:p w14:paraId="63B5150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第1种方式：对于不属于依法必须招标的暂估价项目，按本项约定确认和批准：</w:t>
      </w:r>
    </w:p>
    <w:p w14:paraId="40DA873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520DA3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14:paraId="44C372C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（3）承包人应当在签订暂估价合同后7天内，将暂估价合同副本报送发包人留存。</w:t>
      </w:r>
    </w:p>
    <w:p w14:paraId="755157D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第2种方式：承包人按照第10.7.1项〔依法必须招标的暂估价项目〕约定的第1种方式确定暂估价项目。</w:t>
      </w:r>
    </w:p>
    <w:p w14:paraId="529AEF0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w:t>
      </w:r>
      <w:r>
        <w:rPr>
          <w:rFonts w:hint="eastAsia" w:ascii="宋体" w:hAnsi="宋体" w:eastAsia="宋体" w:cs="宋体"/>
          <w:color w:val="000000" w:themeColor="text1"/>
          <w:kern w:val="0"/>
          <w:sz w:val="24"/>
          <w:highlight w:val="none"/>
          <w14:textFill>
            <w14:solidFill>
              <w14:schemeClr w14:val="tx1"/>
            </w14:solidFill>
          </w14:textFill>
        </w:rPr>
        <w:t>承包人直接实施的暂估价项目</w:t>
      </w:r>
    </w:p>
    <w:p w14:paraId="006AF21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14:paraId="564839D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C9A9882">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54" w:name="_Toc351203575"/>
      <w:r>
        <w:rPr>
          <w:rFonts w:hint="eastAsia" w:ascii="宋体" w:hAnsi="宋体" w:eastAsia="宋体" w:cs="宋体"/>
          <w:b w:val="0"/>
          <w:color w:val="000000" w:themeColor="text1"/>
          <w:sz w:val="24"/>
          <w:szCs w:val="24"/>
          <w:highlight w:val="none"/>
          <w14:textFill>
            <w14:solidFill>
              <w14:schemeClr w14:val="tx1"/>
            </w14:solidFill>
          </w14:textFill>
        </w:rPr>
        <w:t>1</w:t>
      </w:r>
      <w:bookmarkStart w:id="355" w:name="_Toc337558794"/>
      <w:bookmarkStart w:id="356" w:name="_Toc296346591"/>
      <w:bookmarkStart w:id="357" w:name="_Toc322522561"/>
      <w:bookmarkStart w:id="358" w:name="_Toc296503090"/>
      <w:r>
        <w:rPr>
          <w:rFonts w:hint="eastAsia" w:ascii="宋体" w:hAnsi="宋体" w:eastAsia="宋体" w:cs="宋体"/>
          <w:b w:val="0"/>
          <w:color w:val="000000" w:themeColor="text1"/>
          <w:sz w:val="24"/>
          <w:szCs w:val="24"/>
          <w:highlight w:val="none"/>
          <w14:textFill>
            <w14:solidFill>
              <w14:schemeClr w14:val="tx1"/>
            </w14:solidFill>
          </w14:textFill>
        </w:rPr>
        <w:t>0.8暂列金额</w:t>
      </w:r>
      <w:bookmarkEnd w:id="354"/>
    </w:p>
    <w:bookmarkEnd w:id="355"/>
    <w:p w14:paraId="2F41752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暂列金额应按照发包人的要求使用，发包人的要求应通过监理人发出。合同当事人可以在专用合同条款中协商确定有关事项。</w:t>
      </w:r>
    </w:p>
    <w:bookmarkEnd w:id="356"/>
    <w:bookmarkEnd w:id="357"/>
    <w:bookmarkEnd w:id="358"/>
    <w:p w14:paraId="18704235">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59" w:name="_Toc351203576"/>
      <w:r>
        <w:rPr>
          <w:rFonts w:hint="eastAsia" w:ascii="宋体" w:hAnsi="宋体" w:eastAsia="宋体" w:cs="宋体"/>
          <w:b w:val="0"/>
          <w:color w:val="000000" w:themeColor="text1"/>
          <w:sz w:val="24"/>
          <w:szCs w:val="24"/>
          <w:highlight w:val="none"/>
          <w14:textFill>
            <w14:solidFill>
              <w14:schemeClr w14:val="tx1"/>
            </w14:solidFill>
          </w14:textFill>
        </w:rPr>
        <w:t>1</w:t>
      </w:r>
      <w:bookmarkStart w:id="360" w:name="_Toc337558796"/>
      <w:bookmarkStart w:id="361" w:name="_Toc296503091"/>
      <w:bookmarkStart w:id="362" w:name="_Toc296346592"/>
      <w:r>
        <w:rPr>
          <w:rFonts w:hint="eastAsia" w:ascii="宋体" w:hAnsi="宋体" w:eastAsia="宋体" w:cs="宋体"/>
          <w:b w:val="0"/>
          <w:color w:val="000000" w:themeColor="text1"/>
          <w:sz w:val="24"/>
          <w:szCs w:val="24"/>
          <w:highlight w:val="none"/>
          <w14:textFill>
            <w14:solidFill>
              <w14:schemeClr w14:val="tx1"/>
            </w14:solidFill>
          </w14:textFill>
        </w:rPr>
        <w:t>0.9计日工</w:t>
      </w:r>
      <w:bookmarkEnd w:id="359"/>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60"/>
      <w:bookmarkEnd w:id="361"/>
      <w:bookmarkEnd w:id="362"/>
    </w:p>
    <w:p w14:paraId="09A85AA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0E30AB0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采用计日工计价的任何一项工作，承包人应在该项工作实施过程中，每天提交以下报表和有关凭证报送监理人审查：</w:t>
      </w:r>
    </w:p>
    <w:p w14:paraId="7B55AB58">
      <w:pPr>
        <w:pageBreakBefore w:val="0"/>
        <w:widowControl w:val="0"/>
        <w:shd w:val="clear"/>
        <w:kinsoku/>
        <w:wordWrap/>
        <w:overflowPunct/>
        <w:topLinePunct w:val="0"/>
        <w:bidi w:val="0"/>
        <w:snapToGrid/>
        <w:spacing w:line="380" w:lineRule="exact"/>
        <w:ind w:firstLine="360" w:firstLineChars="15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（1）工作名称、内容和数量；</w:t>
      </w:r>
    </w:p>
    <w:p w14:paraId="20CA7B2A">
      <w:pPr>
        <w:pageBreakBefore w:val="0"/>
        <w:widowControl w:val="0"/>
        <w:shd w:val="clear"/>
        <w:kinsoku/>
        <w:wordWrap/>
        <w:overflowPunct/>
        <w:topLinePunct w:val="0"/>
        <w:bidi w:val="0"/>
        <w:snapToGrid/>
        <w:spacing w:line="380" w:lineRule="exact"/>
        <w:ind w:firstLine="360" w:firstLineChars="15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（2）投入该工作的所有人员的姓名、专业、工种、级别和耗用工时；</w:t>
      </w:r>
    </w:p>
    <w:p w14:paraId="045825F9">
      <w:pPr>
        <w:pageBreakBefore w:val="0"/>
        <w:widowControl w:val="0"/>
        <w:shd w:val="clear"/>
        <w:kinsoku/>
        <w:wordWrap/>
        <w:overflowPunct/>
        <w:topLinePunct w:val="0"/>
        <w:bidi w:val="0"/>
        <w:snapToGrid/>
        <w:spacing w:line="380" w:lineRule="exact"/>
        <w:ind w:firstLine="360" w:firstLineChars="15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（3）投入该工作的材料类别和数量；</w:t>
      </w:r>
    </w:p>
    <w:p w14:paraId="280DEE35">
      <w:pPr>
        <w:pageBreakBefore w:val="0"/>
        <w:widowControl w:val="0"/>
        <w:shd w:val="clear"/>
        <w:kinsoku/>
        <w:wordWrap/>
        <w:overflowPunct/>
        <w:topLinePunct w:val="0"/>
        <w:bidi w:val="0"/>
        <w:snapToGrid/>
        <w:spacing w:line="380" w:lineRule="exact"/>
        <w:ind w:firstLine="360" w:firstLineChars="15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（4）投入该工作的施工设备型号、台数和耗用台时；</w:t>
      </w:r>
    </w:p>
    <w:p w14:paraId="761B6C90">
      <w:pPr>
        <w:pageBreakBefore w:val="0"/>
        <w:widowControl w:val="0"/>
        <w:shd w:val="clear"/>
        <w:kinsoku/>
        <w:wordWrap/>
        <w:overflowPunct/>
        <w:topLinePunct w:val="0"/>
        <w:bidi w:val="0"/>
        <w:snapToGrid/>
        <w:spacing w:line="380" w:lineRule="exact"/>
        <w:ind w:firstLine="360" w:firstLineChars="15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（5）其他有关资料和凭证。</w:t>
      </w:r>
    </w:p>
    <w:p w14:paraId="60841FC3">
      <w:pPr>
        <w:pageBreakBefore w:val="0"/>
        <w:widowControl w:val="0"/>
        <w:shd w:val="clear"/>
        <w:kinsoku/>
        <w:wordWrap/>
        <w:overflowPunct/>
        <w:topLinePunct w:val="0"/>
        <w:bidi w:val="0"/>
        <w:snapToGrid/>
        <w:spacing w:line="380" w:lineRule="exact"/>
        <w:ind w:firstLine="360" w:firstLineChars="15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计日工由承包人汇总后，列入最近一期进度付款申请单，由监理人审查并经发包人批准后列入进度付款。</w:t>
      </w:r>
      <w:bookmarkStart w:id="363" w:name="_Toc351203577"/>
    </w:p>
    <w:p w14:paraId="52FA99D4">
      <w:pPr>
        <w:pageBreakBefore w:val="0"/>
        <w:widowControl w:val="0"/>
        <w:numPr>
          <w:ilvl w:val="0"/>
          <w:numId w:val="4"/>
        </w:numPr>
        <w:shd w:val="clear"/>
        <w:kinsoku/>
        <w:wordWrap/>
        <w:overflowPunct/>
        <w:topLinePunct w:val="0"/>
        <w:bidi w:val="0"/>
        <w:snapToGrid/>
        <w:spacing w:line="380" w:lineRule="exact"/>
        <w:ind w:firstLine="360" w:firstLineChars="15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价格调整</w:t>
      </w:r>
      <w:bookmarkEnd w:id="363"/>
      <w:bookmarkStart w:id="364" w:name="_Toc351203578"/>
      <w:bookmarkStart w:id="365" w:name="_Toc296503092"/>
      <w:bookmarkStart w:id="366" w:name="_Toc296346593"/>
      <w:bookmarkStart w:id="367" w:name="_Toc337558797"/>
    </w:p>
    <w:p w14:paraId="6BF319A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11.1市场价格波动引起的调整</w:t>
      </w:r>
      <w:bookmarkEnd w:id="364"/>
    </w:p>
    <w:bookmarkEnd w:id="365"/>
    <w:bookmarkEnd w:id="366"/>
    <w:bookmarkEnd w:id="367"/>
    <w:p w14:paraId="3EBC865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14:paraId="3220E939">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第1种方式：采用价格指数进行价格调整。</w:t>
      </w:r>
    </w:p>
    <w:p w14:paraId="625D6047">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（1）价格调整公式</w:t>
      </w:r>
    </w:p>
    <w:p w14:paraId="0B3D76A2">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因人工、材料和设备等价格波动影响合同价格时，根据专用合同条款中约定的数据，按以下公式计算差额并调整合同价格：</w:t>
      </w:r>
    </w:p>
    <w:p w14:paraId="6B9F6F25">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p>
    <w:p w14:paraId="22CF1AB8">
      <w:pPr>
        <w:pageBreakBefore w:val="0"/>
        <w:widowControl w:val="0"/>
        <w:shd w:val="clear"/>
        <w:tabs>
          <w:tab w:val="left" w:pos="0"/>
          <w:tab w:val="left" w:pos="360"/>
          <w:tab w:val="left" w:pos="540"/>
        </w:tabs>
        <w:kinsoku/>
        <w:wordWrap/>
        <w:overflowPunct/>
        <w:topLinePunct w:val="0"/>
        <w:bidi w:val="0"/>
        <w:snapToGrid/>
        <w:spacing w:line="380" w:lineRule="exact"/>
        <w:ind w:firstLine="60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仿宋_GB2312"/>
          <w:color w:val="000000" w:themeColor="text1"/>
          <w:position w:val="-30"/>
          <w:sz w:val="30"/>
          <w:szCs w:val="32"/>
          <w:highlight w:val="none"/>
          <w14:textFill>
            <w14:solidFill>
              <w14:schemeClr w14:val="tx1"/>
            </w14:solidFill>
          </w14:textFill>
        </w:rPr>
        <w:object>
          <v:shape id="_x0000_i1025" o:spt="75" type="#_x0000_t75" style="height:44.85pt;width:339.6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0E472828">
      <w:pPr>
        <w:pageBreakBefore w:val="0"/>
        <w:widowControl w:val="0"/>
        <w:shd w:val="clear"/>
        <w:tabs>
          <w:tab w:val="left" w:pos="0"/>
          <w:tab w:val="left" w:pos="360"/>
          <w:tab w:val="left" w:pos="540"/>
        </w:tabs>
        <w:kinsoku/>
        <w:wordWrap/>
        <w:overflowPunct/>
        <w:topLinePunct w:val="0"/>
        <w:bidi w:val="0"/>
        <w:snapToGrid/>
        <w:spacing w:line="380" w:lineRule="exact"/>
        <w:ind w:firstLine="64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公式中：ΔP——需调整的价格差额；</w:t>
      </w:r>
    </w:p>
    <w:p w14:paraId="5248CD11">
      <w:pPr>
        <w:pageBreakBefore w:val="0"/>
        <w:widowControl w:val="0"/>
        <w:shd w:val="clear"/>
        <w:tabs>
          <w:tab w:val="left" w:pos="0"/>
          <w:tab w:val="left" w:pos="360"/>
          <w:tab w:val="left" w:pos="540"/>
        </w:tabs>
        <w:kinsoku/>
        <w:wordWrap/>
        <w:overflowPunct/>
        <w:topLinePunct w:val="0"/>
        <w:bidi w:val="0"/>
        <w:snapToGrid/>
        <w:spacing w:line="380" w:lineRule="exact"/>
        <w:ind w:firstLine="1440" w:firstLineChars="6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6"/>
          <w:sz w:val="24"/>
          <w:highlight w:val="none"/>
          <w14:textFill>
            <w14:solidFill>
              <w14:schemeClr w14:val="tx1"/>
            </w14:solidFill>
          </w14:textFill>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14:paraId="01D73A6C">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A——定值权重（即不调部分的权重）；</w:t>
      </w:r>
    </w:p>
    <w:p w14:paraId="7F7E0ABF">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7" o:spt="75" type="#_x0000_t75" style="height:21.05pt;width:101.2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——各可调因子的变值权重（即可调部分的权重），为各可调因子在签约合同价中所占的比例；</w:t>
      </w:r>
    </w:p>
    <w:p w14:paraId="437B5E2C">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8" o:spt="75" type="#_x0000_t75" style="height:20.4pt;width:101.9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——各可调因子的现行价格指数，指约定的付款证书相关周期最后一天的前42天的各可调因子的价格指数；</w:t>
      </w:r>
    </w:p>
    <w:p w14:paraId="6F191566">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9" o:spt="75" type="#_x0000_t75" style="height:20.4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——各可调因子的基本价格指数，指基准日期的各可调因子的价格指数。</w:t>
      </w:r>
    </w:p>
    <w:p w14:paraId="6DF8FC8D">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0D518F5">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（2）暂时确定调整差额</w:t>
      </w:r>
    </w:p>
    <w:p w14:paraId="6D8FE7D8">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在计算调整差额时无现行价格指数的，合同当事人同意暂用前次价格指数计算。实际价格指数有调整的，合同当事人进行相应调整。</w:t>
      </w:r>
    </w:p>
    <w:p w14:paraId="697EAE41">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（3）权重的调整</w:t>
      </w:r>
    </w:p>
    <w:p w14:paraId="371CF406">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因变更导致合同约定的权重不合理时，按照第4.4款〔商定或确定〕执行。</w:t>
      </w:r>
    </w:p>
    <w:p w14:paraId="0CC474A9">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（4）因承包人原因工期延误后的价格调整</w:t>
      </w:r>
    </w:p>
    <w:p w14:paraId="53A8680B">
      <w:pPr>
        <w:pageBreakBefore w:val="0"/>
        <w:widowControl w:val="0"/>
        <w:shd w:val="clear"/>
        <w:tabs>
          <w:tab w:val="left" w:pos="0"/>
          <w:tab w:val="left" w:pos="360"/>
          <w:tab w:val="left" w:pos="540"/>
        </w:tabs>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14:paraId="39EB691C">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第2种方式：采用造价信息进行价格调整。</w:t>
      </w:r>
    </w:p>
    <w:p w14:paraId="1EE6555F">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6D81F12">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B347B9E">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（2）材料、工程设备价格变化的价款调整按照发包人提供的基准价格，按以下风险范围规定执行:</w:t>
      </w:r>
    </w:p>
    <w:p w14:paraId="4CD4BF57">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36D2B0F">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DD89C8C">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14:paraId="5EDB5285">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EE2A0A5">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14:paraId="50790C04">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（3）施工机械台班单价或施工机械使用费发生变化超过省级或行业建设主管部门或其授权的工程造价管理机构规定的范围时，按规定调整合同价格。</w:t>
      </w:r>
    </w:p>
    <w:p w14:paraId="011E19EA">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第3种方式：专用合同条款约定的其他方式。</w:t>
      </w:r>
    </w:p>
    <w:p w14:paraId="11E6D289">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68" w:name="_Toc351203579"/>
      <w:bookmarkStart w:id="369" w:name="_Toc296503093"/>
      <w:bookmarkStart w:id="370" w:name="_Toc337558798"/>
      <w:bookmarkStart w:id="371" w:name="_Toc296346594"/>
      <w:r>
        <w:rPr>
          <w:rFonts w:hint="eastAsia" w:ascii="宋体" w:hAnsi="宋体" w:eastAsia="宋体" w:cs="宋体"/>
          <w:b w:val="0"/>
          <w:color w:val="000000" w:themeColor="text1"/>
          <w:sz w:val="24"/>
          <w:szCs w:val="24"/>
          <w:highlight w:val="none"/>
          <w14:textFill>
            <w14:solidFill>
              <w14:schemeClr w14:val="tx1"/>
            </w14:solidFill>
          </w14:textFill>
        </w:rPr>
        <w:t>11.2法律变化引起的调整</w:t>
      </w:r>
      <w:bookmarkEnd w:id="368"/>
    </w:p>
    <w:bookmarkEnd w:id="369"/>
    <w:bookmarkEnd w:id="370"/>
    <w:bookmarkEnd w:id="371"/>
    <w:p w14:paraId="76AC6240">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6018EA8">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因法律变化引起的合同价格和工期调整，合同当事人无法达成一致的，由总监理工程师按第4.4款〔商定或确定〕的约定处理。</w:t>
      </w:r>
    </w:p>
    <w:p w14:paraId="1C0A46D3">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因承包人原因造成工期延误，在工期延误期间出现法律变化的，由此增加的费用和（或）延误的工期由承包人承担。</w:t>
      </w:r>
    </w:p>
    <w:p w14:paraId="1CD282AD">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72" w:name="_Toc351203580"/>
      <w:bookmarkStart w:id="373" w:name="_Toc337558799"/>
      <w:bookmarkStart w:id="374" w:name="_Toc296503096"/>
      <w:bookmarkStart w:id="375" w:name="_Toc296346597"/>
      <w:r>
        <w:rPr>
          <w:rFonts w:hint="eastAsia" w:ascii="宋体" w:hAnsi="宋体" w:eastAsia="宋体" w:cs="宋体"/>
          <w:b w:val="0"/>
          <w:color w:val="000000" w:themeColor="text1"/>
          <w:sz w:val="24"/>
          <w:szCs w:val="24"/>
          <w:highlight w:val="none"/>
          <w14:textFill>
            <w14:solidFill>
              <w14:schemeClr w14:val="tx1"/>
            </w14:solidFill>
          </w14:textFill>
        </w:rPr>
        <w:t>12. 合同价格、计量与支付</w:t>
      </w:r>
      <w:bookmarkEnd w:id="372"/>
    </w:p>
    <w:bookmarkEnd w:id="373"/>
    <w:p w14:paraId="3554FD58">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76" w:name="_Toc351203581"/>
      <w:bookmarkStart w:id="377" w:name="_Toc337558800"/>
      <w:r>
        <w:rPr>
          <w:rFonts w:hint="eastAsia" w:ascii="宋体" w:hAnsi="宋体" w:eastAsia="宋体" w:cs="宋体"/>
          <w:b w:val="0"/>
          <w:color w:val="000000" w:themeColor="text1"/>
          <w:sz w:val="24"/>
          <w:szCs w:val="24"/>
          <w:highlight w:val="none"/>
          <w14:textFill>
            <w14:solidFill>
              <w14:schemeClr w14:val="tx1"/>
            </w14:solidFill>
          </w14:textFill>
        </w:rPr>
        <w:t>12.1 合同价</w:t>
      </w:r>
      <w:bookmarkEnd w:id="374"/>
      <w:bookmarkEnd w:id="375"/>
      <w:r>
        <w:rPr>
          <w:rFonts w:hint="eastAsia" w:ascii="宋体" w:hAnsi="宋体" w:eastAsia="宋体" w:cs="宋体"/>
          <w:b w:val="0"/>
          <w:color w:val="000000" w:themeColor="text1"/>
          <w:sz w:val="24"/>
          <w:szCs w:val="24"/>
          <w:highlight w:val="none"/>
          <w14:textFill>
            <w14:solidFill>
              <w14:schemeClr w14:val="tx1"/>
            </w14:solidFill>
          </w14:textFill>
        </w:rPr>
        <w:t>格形式</w:t>
      </w:r>
      <w:bookmarkEnd w:id="376"/>
    </w:p>
    <w:bookmarkEnd w:id="377"/>
    <w:p w14:paraId="4715635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发包人和承包人应在合同协议书中选择下列一种合同价格形式： </w:t>
      </w:r>
    </w:p>
    <w:p w14:paraId="64AC452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w:t>
      </w:r>
    </w:p>
    <w:p w14:paraId="38B3D8E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单价合同是指合同当事人约定以工程量清单及其综合单价进行合同价格计算、调整和确认的建设工程施工合同，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在约定的范围内合同单价不作调整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。合同当事人应在专用合同条款中约定综合单价包含的风险范围和风险费用的计算方法</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并约定风险范围以外的合同价格的调整方法，其中因市场价格波动引起的调整按第11.1款〔市场价格波动引起的调整〕约定执行。</w:t>
      </w:r>
    </w:p>
    <w:p w14:paraId="2040C9B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w:t>
      </w:r>
    </w:p>
    <w:p w14:paraId="409C305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总价合同是指合同当事人约定以施工图、已标价工程量清单或预算书及有关条件进行合同价格计算、调整和确认的建设工程施工合同，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在约定的范围内合同总价不作调整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0011B7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3、其它价格形式</w:t>
      </w:r>
    </w:p>
    <w:p w14:paraId="359F14F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合同当事人可在专用合同条款中约定其他合同价格形式。</w:t>
      </w:r>
    </w:p>
    <w:p w14:paraId="097FFA5D">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78" w:name="_Toc296346598"/>
      <w:bookmarkStart w:id="379" w:name="_Toc296503097"/>
      <w:bookmarkStart w:id="380" w:name="_Toc351203582"/>
      <w:bookmarkStart w:id="381" w:name="_Toc337558801"/>
      <w:r>
        <w:rPr>
          <w:rFonts w:hint="eastAsia" w:ascii="宋体" w:hAnsi="宋体" w:eastAsia="宋体" w:cs="宋体"/>
          <w:b w:val="0"/>
          <w:color w:val="000000" w:themeColor="text1"/>
          <w:sz w:val="24"/>
          <w:szCs w:val="24"/>
          <w:highlight w:val="none"/>
          <w14:textFill>
            <w14:solidFill>
              <w14:schemeClr w14:val="tx1"/>
            </w14:solidFill>
          </w14:textFill>
        </w:rPr>
        <w:t>12.2预</w:t>
      </w:r>
      <w:bookmarkEnd w:id="378"/>
      <w:bookmarkEnd w:id="379"/>
      <w:bookmarkStart w:id="382" w:name="_Toc296346601"/>
      <w:bookmarkStart w:id="383" w:name="_Toc296503100"/>
      <w:r>
        <w:rPr>
          <w:rFonts w:hint="eastAsia" w:ascii="宋体" w:hAnsi="宋体" w:eastAsia="宋体" w:cs="宋体"/>
          <w:b w:val="0"/>
          <w:color w:val="000000" w:themeColor="text1"/>
          <w:sz w:val="24"/>
          <w:szCs w:val="24"/>
          <w:highlight w:val="none"/>
          <w14:textFill>
            <w14:solidFill>
              <w14:schemeClr w14:val="tx1"/>
            </w14:solidFill>
          </w14:textFill>
        </w:rPr>
        <w:t>付款</w:t>
      </w:r>
      <w:bookmarkEnd w:id="380"/>
    </w:p>
    <w:bookmarkEnd w:id="381"/>
    <w:bookmarkEnd w:id="382"/>
    <w:bookmarkEnd w:id="383"/>
    <w:p w14:paraId="678A2CE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kern w:val="0"/>
          <w:sz w:val="24"/>
          <w:highlight w:val="none"/>
          <w14:textFill>
            <w14:solidFill>
              <w14:schemeClr w14:val="tx1"/>
            </w14:solidFill>
          </w14:textFill>
        </w:rPr>
        <w:t>1预付款的支付</w:t>
      </w:r>
    </w:p>
    <w:p w14:paraId="100A2F3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14:paraId="334BDF7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14:paraId="2DA4093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14:paraId="40566D4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12.2.2 预付款担保</w:t>
      </w:r>
    </w:p>
    <w:p w14:paraId="7D6847A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0E935D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发包人在工程款中逐期扣回预付款后，预付款担保额度应相应减少，但剩余的预付款担保金额不得低于未被扣回的预付款金额。</w:t>
      </w:r>
    </w:p>
    <w:p w14:paraId="0846B03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84" w:name="_Toc351203583"/>
      <w:bookmarkStart w:id="385" w:name="_Toc337558802"/>
      <w:r>
        <w:rPr>
          <w:rFonts w:hint="eastAsia" w:ascii="宋体" w:hAnsi="宋体" w:eastAsia="宋体" w:cs="宋体"/>
          <w:b w:val="0"/>
          <w:color w:val="000000" w:themeColor="text1"/>
          <w:sz w:val="24"/>
          <w:szCs w:val="24"/>
          <w:highlight w:val="none"/>
          <w14:textFill>
            <w14:solidFill>
              <w14:schemeClr w14:val="tx1"/>
            </w14:solidFill>
          </w14:textFill>
        </w:rPr>
        <w:t>12.3计量</w:t>
      </w:r>
      <w:bookmarkEnd w:id="384"/>
    </w:p>
    <w:bookmarkEnd w:id="385"/>
    <w:p w14:paraId="65E5F58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12.3.1 计量原则</w:t>
      </w:r>
    </w:p>
    <w:p w14:paraId="12AEF61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14:paraId="769FC6A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12.3.2 计量周期</w:t>
      </w:r>
    </w:p>
    <w:p w14:paraId="693F671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除专用合同条款另有约定外，工程量的计量按月进行。</w:t>
      </w:r>
    </w:p>
    <w:p w14:paraId="779771E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12.3.3 单价合同的计量</w:t>
      </w:r>
    </w:p>
    <w:p w14:paraId="0B5AC33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除专用合同条款另有约定外，单价合同的计量按照本项约定执行：</w:t>
      </w:r>
    </w:p>
    <w:p w14:paraId="3EF54B6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14:paraId="123786F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F0B125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14:paraId="43F4549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12.3.4 总价合同的计量</w:t>
      </w:r>
    </w:p>
    <w:p w14:paraId="7B1DC9D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除专用合同条款另有约定外，按月计量支付的总价合同，按照本项约定执行：</w:t>
      </w:r>
    </w:p>
    <w:p w14:paraId="4935276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14:paraId="7480B98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06E382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14:paraId="6030223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12.3.5 总价合同采用支付分解表计量支付的，可以按照第12.3.4项〔总价合同的计量〕约定进行计量，但合同价款按照支付分解表进行支付。</w:t>
      </w:r>
    </w:p>
    <w:p w14:paraId="0C4BB87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12.3.6 其他价格形式合同的计量</w:t>
      </w:r>
    </w:p>
    <w:p w14:paraId="07D7029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合同当事人可在专用合同条款中约定其他价格形式合同的计量方式和程序。</w:t>
      </w:r>
    </w:p>
    <w:p w14:paraId="493B0673">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86" w:name="_Toc296346602"/>
      <w:bookmarkStart w:id="387" w:name="_Toc296503101"/>
      <w:bookmarkStart w:id="388" w:name="_Toc351203584"/>
      <w:bookmarkStart w:id="389" w:name="_Toc337558803"/>
      <w:r>
        <w:rPr>
          <w:rFonts w:hint="eastAsia" w:ascii="宋体" w:hAnsi="宋体" w:eastAsia="宋体" w:cs="宋体"/>
          <w:b w:val="0"/>
          <w:color w:val="000000" w:themeColor="text1"/>
          <w:sz w:val="24"/>
          <w:szCs w:val="24"/>
          <w:highlight w:val="none"/>
          <w14:textFill>
            <w14:solidFill>
              <w14:schemeClr w14:val="tx1"/>
            </w14:solidFill>
          </w14:textFill>
        </w:rPr>
        <w:t>12.4工程进度款支</w:t>
      </w:r>
      <w:bookmarkEnd w:id="386"/>
      <w:bookmarkEnd w:id="387"/>
      <w:r>
        <w:rPr>
          <w:rFonts w:hint="eastAsia" w:ascii="宋体" w:hAnsi="宋体" w:eastAsia="宋体" w:cs="宋体"/>
          <w:b w:val="0"/>
          <w:color w:val="000000" w:themeColor="text1"/>
          <w:sz w:val="24"/>
          <w:szCs w:val="24"/>
          <w:highlight w:val="none"/>
          <w14:textFill>
            <w14:solidFill>
              <w14:schemeClr w14:val="tx1"/>
            </w14:solidFill>
          </w14:textFill>
        </w:rPr>
        <w:t>付</w:t>
      </w:r>
      <w:bookmarkEnd w:id="388"/>
    </w:p>
    <w:bookmarkEnd w:id="389"/>
    <w:p w14:paraId="17808EF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.1 付款周期</w:t>
      </w:r>
    </w:p>
    <w:p w14:paraId="61EF956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除专用合同条款另有约定外，付款周期应按照第12.3.2项〔计量周期〕的约定与计量周期保持一致。</w:t>
      </w:r>
    </w:p>
    <w:p w14:paraId="1867033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.2 进度付款申请单的编制</w:t>
      </w:r>
    </w:p>
    <w:p w14:paraId="00EF953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除专用合同条款另有约定外，进度付款申请单应包括下列内容：</w:t>
      </w:r>
    </w:p>
    <w:p w14:paraId="766526F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（1）截至本次付款周期已完成工作对应的金额；</w:t>
      </w:r>
    </w:p>
    <w:p w14:paraId="16A87D9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（2）根据第10条〔变更〕应增加和扣减的变更金额；</w:t>
      </w:r>
    </w:p>
    <w:p w14:paraId="75EABD0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（3）根据第12.2款〔预付款〕约定应支付的预付款和扣减的返还预付款；</w:t>
      </w:r>
    </w:p>
    <w:p w14:paraId="6C909BB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（4）根据第15.3款〔质量保证金〕约定应扣减的质量保证金；</w:t>
      </w:r>
    </w:p>
    <w:p w14:paraId="44BD9D8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（5）根据第19条〔索赔〕应增加和扣减的索赔金额；</w:t>
      </w:r>
    </w:p>
    <w:p w14:paraId="693CF2C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（6）对已签发的进度款支付证书中出现错误的修正，应在本次进度付款中支付或扣除的金额；</w:t>
      </w:r>
    </w:p>
    <w:p w14:paraId="07B3006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（7）根据合同约定应增加和扣减的其他金额。</w:t>
      </w:r>
    </w:p>
    <w:p w14:paraId="00E97BB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12.4.3 进度付款申请单的提交</w:t>
      </w:r>
    </w:p>
    <w:p w14:paraId="34F67F4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（1）单价合同进度付款申请单的提交</w:t>
      </w:r>
    </w:p>
    <w:p w14:paraId="398575D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578BBF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（2）总价合同进度付款申请单的提交</w:t>
      </w:r>
    </w:p>
    <w:p w14:paraId="6BD7E8A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14:paraId="154744C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14:paraId="0AA4376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（3）其他价格形式合同的进度付款申请单的提交</w:t>
      </w:r>
    </w:p>
    <w:p w14:paraId="09BF791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合同当事人可在专用合同条款中约定其他价格形式合同的进度付款申请单的编制和提交程序。</w:t>
      </w:r>
    </w:p>
    <w:p w14:paraId="3AC5AD5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.4 进度款审核和支付</w:t>
      </w:r>
    </w:p>
    <w:p w14:paraId="5D231E3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034061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6108A5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14:paraId="3E60274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（3）发包人签发进度款支付证书或临时进度款支付证书，不表明发包人已同意、批准或接受了承包人完成的相应部分的工作。</w:t>
      </w:r>
    </w:p>
    <w:p w14:paraId="066B531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12.4.5 进度付款的修正</w:t>
      </w:r>
    </w:p>
    <w:p w14:paraId="5BB2728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14:paraId="4E89E2F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12.4.6 支付分解表</w:t>
      </w:r>
    </w:p>
    <w:p w14:paraId="268100E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1、支付分解表的编制要求</w:t>
      </w:r>
    </w:p>
    <w:p w14:paraId="3DBBE94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（1）支付分解表中所列的每期付款金额，应为第12.4.2项〔进度付款申请单的编制〕第（1）目的估算金额；</w:t>
      </w:r>
    </w:p>
    <w:p w14:paraId="5953A13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（2）实际进度与施工进度计划不一致的，合同当事人可按照第4.4款〔商定或确定〕修改支付分解表；</w:t>
      </w:r>
    </w:p>
    <w:p w14:paraId="6EDFA5C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（3）不采用支付分解表的，承包人应向发包人和监理人提交按季度编制的支付估算分解表，用于支付参考。</w:t>
      </w:r>
    </w:p>
    <w:p w14:paraId="3330DCE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2、总价合同支付分解表的编制与审批</w:t>
      </w:r>
    </w:p>
    <w:p w14:paraId="1D39839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30BB0A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14:paraId="065AF648">
      <w:pPr>
        <w:pageBreakBefore w:val="0"/>
        <w:widowControl w:val="0"/>
        <w:shd w:val="clear"/>
        <w:kinsoku/>
        <w:wordWrap/>
        <w:overflowPunct/>
        <w:topLinePunct w:val="0"/>
        <w:bidi w:val="0"/>
        <w:snapToGrid/>
        <w:spacing w:line="380" w:lineRule="exact"/>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（3）发包人逾期未完成支付分解表审批的，也未及时要求承包人进行修正和提供补充资料的，则承包人提交的支付分解表视为已经获得发包人批准。</w:t>
      </w:r>
    </w:p>
    <w:p w14:paraId="212FAD1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3、单价合同的总价项目支付分解表的编制与审批</w:t>
      </w:r>
    </w:p>
    <w:p w14:paraId="1F98F76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FC8F2DB">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90" w:name="_Toc351203585"/>
      <w:r>
        <w:rPr>
          <w:rFonts w:hint="eastAsia" w:ascii="宋体" w:hAnsi="宋体" w:eastAsia="宋体" w:cs="宋体"/>
          <w:b w:val="0"/>
          <w:color w:val="000000" w:themeColor="text1"/>
          <w:sz w:val="24"/>
          <w:szCs w:val="24"/>
          <w:highlight w:val="none"/>
          <w14:textFill>
            <w14:solidFill>
              <w14:schemeClr w14:val="tx1"/>
            </w14:solidFill>
          </w14:textFill>
        </w:rPr>
        <w:t>12.5支付账户</w:t>
      </w:r>
      <w:bookmarkEnd w:id="390"/>
    </w:p>
    <w:p w14:paraId="280D0CC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发包人应将合同价款支付至合同协议书中约定的承包人账户。</w:t>
      </w:r>
    </w:p>
    <w:p w14:paraId="2D1788EC">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91" w:name="_Toc351203586"/>
      <w:bookmarkStart w:id="392" w:name="_Toc322522574"/>
      <w:bookmarkStart w:id="393" w:name="_Toc337558804"/>
      <w:bookmarkStart w:id="394" w:name="_Toc296503106"/>
      <w:bookmarkStart w:id="395" w:name="_Toc296346607"/>
      <w:r>
        <w:rPr>
          <w:rFonts w:hint="eastAsia" w:ascii="宋体" w:hAnsi="宋体" w:eastAsia="宋体" w:cs="宋体"/>
          <w:b w:val="0"/>
          <w:color w:val="000000" w:themeColor="text1"/>
          <w:sz w:val="24"/>
          <w:szCs w:val="24"/>
          <w:highlight w:val="none"/>
          <w14:textFill>
            <w14:solidFill>
              <w14:schemeClr w14:val="tx1"/>
            </w14:solidFill>
          </w14:textFill>
        </w:rPr>
        <w:t>13. 验收和工程试车</w:t>
      </w:r>
      <w:bookmarkEnd w:id="391"/>
    </w:p>
    <w:bookmarkEnd w:id="392"/>
    <w:bookmarkEnd w:id="393"/>
    <w:bookmarkEnd w:id="394"/>
    <w:bookmarkEnd w:id="395"/>
    <w:p w14:paraId="033866E7">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396" w:name="_Toc351203587"/>
      <w:bookmarkStart w:id="397" w:name="_Toc337558805"/>
      <w:bookmarkStart w:id="398" w:name="_Toc296503110"/>
      <w:bookmarkStart w:id="399" w:name="_Toc296346611"/>
      <w:r>
        <w:rPr>
          <w:rFonts w:hint="eastAsia" w:ascii="宋体" w:hAnsi="宋体" w:eastAsia="宋体" w:cs="宋体"/>
          <w:b w:val="0"/>
          <w:color w:val="000000" w:themeColor="text1"/>
          <w:sz w:val="24"/>
          <w:szCs w:val="24"/>
          <w:highlight w:val="none"/>
          <w14:textFill>
            <w14:solidFill>
              <w14:schemeClr w14:val="tx1"/>
            </w14:solidFill>
          </w14:textFill>
        </w:rPr>
        <w:t>13.1分部分项工程验收</w:t>
      </w:r>
      <w:bookmarkEnd w:id="396"/>
    </w:p>
    <w:bookmarkEnd w:id="397"/>
    <w:p w14:paraId="68F79A06">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14:paraId="30E8240F">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13.1.2 除专用合同条款另有约定外，分部分项工程经承包人自检合格并具备验收条件的，承包人应提前48小时通知监理人进行验收。</w:t>
      </w:r>
      <w:r>
        <w:rPr>
          <w:rFonts w:hint="eastAsia" w:ascii="宋体" w:hAnsi="宋体" w:eastAsia="宋体" w:cs="宋体"/>
          <w:color w:val="000000" w:themeColor="text1"/>
          <w:kern w:val="0"/>
          <w:sz w:val="24"/>
          <w:highlight w:val="none"/>
          <w14:textFill>
            <w14:solidFill>
              <w14:schemeClr w14:val="tx1"/>
            </w14:solidFill>
          </w14:textFill>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themeColor="text1"/>
          <w:sz w:val="24"/>
          <w:highlight w:val="none"/>
          <w14:textFill>
            <w14:solidFill>
              <w14:schemeClr w14:val="tx1"/>
            </w14:solidFill>
          </w14:textFill>
        </w:rPr>
        <w:t>分部分项工程未经验收的，不得进入下一道工序施工。</w:t>
      </w:r>
    </w:p>
    <w:p w14:paraId="7FA12650">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分部分项工程的验收资料应当作为竣工资料的组成部分。</w:t>
      </w:r>
    </w:p>
    <w:p w14:paraId="3EAAA800">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00" w:name="_Toc351203588"/>
      <w:bookmarkStart w:id="401" w:name="_Toc337558806"/>
      <w:r>
        <w:rPr>
          <w:rFonts w:hint="eastAsia" w:ascii="宋体" w:hAnsi="宋体" w:eastAsia="宋体" w:cs="宋体"/>
          <w:b w:val="0"/>
          <w:color w:val="000000" w:themeColor="text1"/>
          <w:sz w:val="24"/>
          <w:szCs w:val="24"/>
          <w:highlight w:val="none"/>
          <w14:textFill>
            <w14:solidFill>
              <w14:schemeClr w14:val="tx1"/>
            </w14:solidFill>
          </w14:textFill>
        </w:rPr>
        <w:t>13.2竣工验收</w:t>
      </w:r>
      <w:bookmarkEnd w:id="400"/>
    </w:p>
    <w:bookmarkEnd w:id="398"/>
    <w:bookmarkEnd w:id="399"/>
    <w:bookmarkEnd w:id="401"/>
    <w:p w14:paraId="02ACDC7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13.2.1竣工验收条件</w:t>
      </w:r>
    </w:p>
    <w:p w14:paraId="01BA07C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工程具备以下条件的，承包人可以申请竣工验收：</w:t>
      </w:r>
    </w:p>
    <w:p w14:paraId="538C7F9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14:paraId="75E9745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（2）已按合同约定编制了甩项工作和缺陷修补工作清单以及相应的施工计划；</w:t>
      </w:r>
    </w:p>
    <w:p w14:paraId="3E40A32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（3）已按合同约定的内容和份数备齐竣工资料。</w:t>
      </w:r>
    </w:p>
    <w:p w14:paraId="4F8A31E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13.2.2竣工验收程序</w:t>
      </w:r>
    </w:p>
    <w:p w14:paraId="0A02019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除专用合同条款另有约定外，承包人申请竣工验收的，应当按照以下程序进行：</w:t>
      </w:r>
    </w:p>
    <w:p w14:paraId="6C09C6F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D77D53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156E6F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14:paraId="1193B27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2E939F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046B2D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14:paraId="1271695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13.2.3竣工日期</w:t>
      </w:r>
    </w:p>
    <w:p w14:paraId="3AC1B67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2" w:name="#go14"/>
      <w:bookmarkEnd w:id="402"/>
      <w:r>
        <w:rPr>
          <w:rFonts w:hint="eastAsia" w:ascii="宋体" w:hAnsi="宋体" w:eastAsia="宋体" w:cs="宋体"/>
          <w:color w:val="000000" w:themeColor="text1"/>
          <w:kern w:val="0"/>
          <w:sz w:val="24"/>
          <w:highlight w:val="none"/>
          <w14:textFill>
            <w14:solidFill>
              <w14:schemeClr w14:val="tx1"/>
            </w14:solidFill>
          </w14:textFill>
        </w:rPr>
        <w:t>收申请报告的日期为实际竣工日期；工程未经竣工验收，发包人擅自使用的，以转移占有工程之日为实际竣工日期。</w:t>
      </w:r>
    </w:p>
    <w:p w14:paraId="1B8CCB4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13.2.4 拒绝接收全部或部分工程</w:t>
      </w:r>
    </w:p>
    <w:p w14:paraId="264633E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EE5D18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13.2.5 移交、接收全部与部分工程</w:t>
      </w:r>
    </w:p>
    <w:p w14:paraId="28C31D2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除专用合同条款另有约定外，合同当事人应当在颁发工程接收证书后7天内完成工程的移交。</w:t>
      </w:r>
    </w:p>
    <w:p w14:paraId="1014CDF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14:paraId="7EF3987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14:paraId="139C0CE4">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03" w:name="_Toc351203589"/>
      <w:bookmarkStart w:id="404" w:name="_Toc337558807"/>
      <w:bookmarkStart w:id="405" w:name="_Toc296346612"/>
      <w:bookmarkStart w:id="406" w:name="_Toc296503111"/>
      <w:r>
        <w:rPr>
          <w:rFonts w:hint="eastAsia" w:ascii="宋体" w:hAnsi="宋体" w:eastAsia="宋体" w:cs="宋体"/>
          <w:b w:val="0"/>
          <w:color w:val="000000" w:themeColor="text1"/>
          <w:sz w:val="24"/>
          <w:szCs w:val="24"/>
          <w:highlight w:val="none"/>
          <w14:textFill>
            <w14:solidFill>
              <w14:schemeClr w14:val="tx1"/>
            </w14:solidFill>
          </w14:textFill>
        </w:rPr>
        <w:t>13.3工程试车</w:t>
      </w:r>
      <w:bookmarkEnd w:id="403"/>
    </w:p>
    <w:bookmarkEnd w:id="404"/>
    <w:bookmarkEnd w:id="405"/>
    <w:bookmarkEnd w:id="406"/>
    <w:p w14:paraId="77220CD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13.3.1试车程序</w:t>
      </w:r>
    </w:p>
    <w:p w14:paraId="47EAEE2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14:paraId="4F023C9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E6194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21D2B5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8425BC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13.3.2 试车中的责任</w:t>
      </w:r>
    </w:p>
    <w:p w14:paraId="0B8C7DC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865F81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E185EA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13.3.3 投料试车</w:t>
      </w:r>
    </w:p>
    <w:p w14:paraId="164757C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14:paraId="1EE5DDE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E557D3A">
      <w:pPr>
        <w:pStyle w:val="6"/>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07" w:name="_Toc33755880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408" w:name="_Toc351203590"/>
      <w:r>
        <w:rPr>
          <w:rFonts w:hint="eastAsia" w:ascii="宋体" w:hAnsi="宋体" w:eastAsia="宋体" w:cs="宋体"/>
          <w:b w:val="0"/>
          <w:color w:val="000000" w:themeColor="text1"/>
          <w:sz w:val="24"/>
          <w:szCs w:val="24"/>
          <w:highlight w:val="none"/>
          <w14:textFill>
            <w14:solidFill>
              <w14:schemeClr w14:val="tx1"/>
            </w14:solidFill>
          </w14:textFill>
        </w:rPr>
        <w:t>13.4提前交付单位工程的验收</w:t>
      </w:r>
      <w:bookmarkEnd w:id="408"/>
    </w:p>
    <w:bookmarkEnd w:id="407"/>
    <w:p w14:paraId="178EE0A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14:paraId="234192B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14:paraId="2286EC9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14:paraId="1D45938F">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09" w:name="_Toc351203591"/>
      <w:r>
        <w:rPr>
          <w:rFonts w:hint="eastAsia" w:ascii="宋体" w:hAnsi="宋体" w:eastAsia="宋体" w:cs="宋体"/>
          <w:b w:val="0"/>
          <w:color w:val="000000" w:themeColor="text1"/>
          <w:sz w:val="24"/>
          <w:szCs w:val="24"/>
          <w:highlight w:val="none"/>
          <w14:textFill>
            <w14:solidFill>
              <w14:schemeClr w14:val="tx1"/>
            </w14:solidFill>
          </w14:textFill>
        </w:rPr>
        <w:t>13.5 施工期运行</w:t>
      </w:r>
      <w:bookmarkEnd w:id="409"/>
    </w:p>
    <w:p w14:paraId="17D9EDF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40993B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13.5.2 在施工期运行中发现工程或工程设备损坏或存在缺陷的，由承包人按第15.2款〔缺陷责任期〕约定进行修复。</w:t>
      </w:r>
    </w:p>
    <w:p w14:paraId="436BE4FE">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10" w:name="_Toc296503112"/>
      <w:bookmarkStart w:id="411" w:name="_Toc296346613"/>
      <w:bookmarkStart w:id="412" w:name="_Toc351203592"/>
      <w:bookmarkStart w:id="413" w:name="_Toc337558809"/>
      <w:r>
        <w:rPr>
          <w:rFonts w:hint="eastAsia" w:ascii="宋体" w:hAnsi="宋体" w:eastAsia="宋体" w:cs="宋体"/>
          <w:b w:val="0"/>
          <w:color w:val="000000" w:themeColor="text1"/>
          <w:sz w:val="24"/>
          <w:szCs w:val="24"/>
          <w:highlight w:val="none"/>
          <w14:textFill>
            <w14:solidFill>
              <w14:schemeClr w14:val="tx1"/>
            </w14:solidFill>
          </w14:textFill>
        </w:rPr>
        <w:t>13.6 竣工退</w:t>
      </w:r>
      <w:bookmarkEnd w:id="410"/>
      <w:bookmarkEnd w:id="411"/>
      <w:r>
        <w:rPr>
          <w:rFonts w:hint="eastAsia" w:ascii="宋体" w:hAnsi="宋体" w:eastAsia="宋体" w:cs="宋体"/>
          <w:b w:val="0"/>
          <w:color w:val="000000" w:themeColor="text1"/>
          <w:sz w:val="24"/>
          <w:szCs w:val="24"/>
          <w:highlight w:val="none"/>
          <w14:textFill>
            <w14:solidFill>
              <w14:schemeClr w14:val="tx1"/>
            </w14:solidFill>
          </w14:textFill>
        </w:rPr>
        <w:t>场</w:t>
      </w:r>
      <w:bookmarkEnd w:id="412"/>
    </w:p>
    <w:bookmarkEnd w:id="413"/>
    <w:p w14:paraId="22EE76D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13.6.1 竣工退场</w:t>
      </w:r>
    </w:p>
    <w:p w14:paraId="1A8D030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颁发工程接收证书后，承包人应按以下要求对施工现场进行清理：</w:t>
      </w:r>
    </w:p>
    <w:p w14:paraId="5E804BC5">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（1）施工现场内残留的垃圾已全部清除出场；</w:t>
      </w:r>
    </w:p>
    <w:p w14:paraId="1D6786F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（2）临时工程已拆除，场地已进行清理、平整或复原；</w:t>
      </w:r>
    </w:p>
    <w:p w14:paraId="298E506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（3）按合同约定应撤离的人员、承包人施工设备和剩余的材料，包括废弃的施工设备和材料，已按计划撤离施工现场；</w:t>
      </w:r>
    </w:p>
    <w:p w14:paraId="6F0A1C1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（4）施工现场周边及其附近道路、河道的施工堆积物，已全部清理；</w:t>
      </w:r>
    </w:p>
    <w:p w14:paraId="07C4313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（5）施工现场其他场地清理工作已全部完成。</w:t>
      </w:r>
    </w:p>
    <w:p w14:paraId="7736FD5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EC95B3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13.6.2 地表还原</w:t>
      </w:r>
    </w:p>
    <w:p w14:paraId="3DEE8C3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3D662878">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14" w:name="_Toc351203593"/>
      <w:bookmarkStart w:id="415" w:name="_Toc337558810"/>
      <w:bookmarkStart w:id="416" w:name="_Toc296346614"/>
      <w:bookmarkStart w:id="417" w:name="_Toc296503113"/>
      <w:r>
        <w:rPr>
          <w:rFonts w:hint="eastAsia" w:ascii="宋体" w:hAnsi="宋体" w:eastAsia="宋体" w:cs="宋体"/>
          <w:b w:val="0"/>
          <w:color w:val="000000" w:themeColor="text1"/>
          <w:sz w:val="24"/>
          <w:szCs w:val="24"/>
          <w:highlight w:val="none"/>
          <w14:textFill>
            <w14:solidFill>
              <w14:schemeClr w14:val="tx1"/>
            </w14:solidFill>
          </w14:textFill>
        </w:rPr>
        <w:t>14. 竣工结算</w:t>
      </w:r>
      <w:bookmarkEnd w:id="414"/>
    </w:p>
    <w:bookmarkEnd w:id="415"/>
    <w:p w14:paraId="7893A80F">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18" w:name="_Toc351203594"/>
      <w:bookmarkStart w:id="419" w:name="_Toc337558811"/>
      <w:r>
        <w:rPr>
          <w:rFonts w:hint="eastAsia" w:ascii="宋体" w:hAnsi="宋体" w:eastAsia="宋体" w:cs="宋体"/>
          <w:b w:val="0"/>
          <w:color w:val="000000" w:themeColor="text1"/>
          <w:sz w:val="24"/>
          <w:szCs w:val="24"/>
          <w:highlight w:val="none"/>
          <w14:textFill>
            <w14:solidFill>
              <w14:schemeClr w14:val="tx1"/>
            </w14:solidFill>
          </w14:textFill>
        </w:rPr>
        <w:t>14.1 竣工结算申请</w:t>
      </w:r>
      <w:bookmarkEnd w:id="418"/>
    </w:p>
    <w:bookmarkEnd w:id="419"/>
    <w:p w14:paraId="53184EE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w:t>
      </w:r>
      <w:r>
        <w:rPr>
          <w:rFonts w:hint="eastAsia" w:ascii="宋体" w:hAnsi="宋体" w:eastAsia="宋体" w:cs="宋体"/>
          <w:color w:val="000000" w:themeColor="text1"/>
          <w:sz w:val="24"/>
          <w:highlight w:val="none"/>
          <w14:textFill>
            <w14:solidFill>
              <w14:schemeClr w14:val="tx1"/>
            </w14:solidFill>
          </w14:textFill>
        </w:rPr>
        <w:t>承包人应在工程竣工验收合格后28天内向发包人和监理人提交竣工结算申请单，并提交完整的结算资料，有关竣工结算申请单的资料清单和份数等要求由合同当事人在专用合同条款中约定。</w:t>
      </w:r>
    </w:p>
    <w:p w14:paraId="3B412A9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除专用合同条款另有约定外，竣工结算申请单应包括以下内容：</w:t>
      </w:r>
    </w:p>
    <w:p w14:paraId="1E51196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（1）竣工结算合同价格；</w:t>
      </w:r>
    </w:p>
    <w:p w14:paraId="7297B96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（2）发包人已支付承包人的款项；</w:t>
      </w:r>
    </w:p>
    <w:p w14:paraId="5324E7B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（3）应扣留的质量保证金； </w:t>
      </w:r>
    </w:p>
    <w:p w14:paraId="2394F01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（4）发包人应支付承包人的合同价款。</w:t>
      </w:r>
    </w:p>
    <w:p w14:paraId="6C1BFDBF">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20" w:name="_Toc351203595"/>
      <w:bookmarkStart w:id="421" w:name="_Toc337558812"/>
      <w:r>
        <w:rPr>
          <w:rFonts w:hint="eastAsia" w:ascii="宋体" w:hAnsi="宋体" w:eastAsia="宋体" w:cs="宋体"/>
          <w:b w:val="0"/>
          <w:color w:val="000000" w:themeColor="text1"/>
          <w:sz w:val="24"/>
          <w:szCs w:val="24"/>
          <w:highlight w:val="none"/>
          <w14:textFill>
            <w14:solidFill>
              <w14:schemeClr w14:val="tx1"/>
            </w14:solidFill>
          </w14:textFill>
        </w:rPr>
        <w:t>14.2 竣工结算审核</w:t>
      </w:r>
      <w:bookmarkEnd w:id="420"/>
    </w:p>
    <w:bookmarkEnd w:id="421"/>
    <w:p w14:paraId="2109A5B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themeColor="text1"/>
          <w:sz w:val="24"/>
          <w:highlight w:val="none"/>
          <w14:textFill>
            <w14:solidFill>
              <w14:schemeClr w14:val="tx1"/>
            </w14:solidFill>
          </w14:textFill>
        </w:rPr>
        <w:t>发包人对竣工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申请单有异议的，有权要求承包人进行修正和提供补充资料，承包人应提交修正后的竣工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w:t>
      </w:r>
    </w:p>
    <w:p w14:paraId="38F87A6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F808E2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B7CCCE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165EC48">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22" w:name="_Toc351203596"/>
      <w:bookmarkStart w:id="423" w:name="_Toc337558813"/>
      <w:r>
        <w:rPr>
          <w:rFonts w:hint="eastAsia" w:ascii="宋体" w:hAnsi="宋体" w:eastAsia="宋体" w:cs="宋体"/>
          <w:b w:val="0"/>
          <w:color w:val="000000" w:themeColor="text1"/>
          <w:sz w:val="24"/>
          <w:szCs w:val="24"/>
          <w:highlight w:val="none"/>
          <w14:textFill>
            <w14:solidFill>
              <w14:schemeClr w14:val="tx1"/>
            </w14:solidFill>
          </w14:textFill>
        </w:rPr>
        <w:t>14.3 甩项竣工协议</w:t>
      </w:r>
      <w:bookmarkEnd w:id="422"/>
    </w:p>
    <w:bookmarkEnd w:id="423"/>
    <w:p w14:paraId="4413A599">
      <w:pPr>
        <w:pageBreakBefore w:val="0"/>
        <w:widowControl w:val="0"/>
        <w:shd w:val="clear"/>
        <w:kinsoku/>
        <w:wordWrap/>
        <w:overflowPunct/>
        <w:topLinePunct w:val="0"/>
        <w:autoSpaceDE w:val="0"/>
        <w:autoSpaceDN w:val="0"/>
        <w:bidi w:val="0"/>
        <w:adjustRightInd w:val="0"/>
        <w:snapToGrid/>
        <w:spacing w:line="380" w:lineRule="exact"/>
        <w:ind w:firstLine="470" w:firstLineChars="196"/>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14:paraId="0BD4584C">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24" w:name="_Toc351203597"/>
      <w:bookmarkStart w:id="425" w:name="_Toc337558814"/>
      <w:r>
        <w:rPr>
          <w:rFonts w:hint="eastAsia" w:ascii="宋体" w:hAnsi="宋体" w:eastAsia="宋体" w:cs="宋体"/>
          <w:b w:val="0"/>
          <w:color w:val="000000" w:themeColor="text1"/>
          <w:sz w:val="24"/>
          <w:szCs w:val="24"/>
          <w:highlight w:val="none"/>
          <w14:textFill>
            <w14:solidFill>
              <w14:schemeClr w14:val="tx1"/>
            </w14:solidFill>
          </w14:textFill>
        </w:rPr>
        <w:t>14.4 最终结清</w:t>
      </w:r>
      <w:bookmarkEnd w:id="424"/>
    </w:p>
    <w:bookmarkEnd w:id="425"/>
    <w:p w14:paraId="6BDB40E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14.4.1 最终结清申请单</w:t>
      </w:r>
    </w:p>
    <w:p w14:paraId="0BAE3AF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14:paraId="2B465E8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w:t>
      </w:r>
      <w:r>
        <w:rPr>
          <w:rFonts w:hint="eastAsia" w:ascii="宋体" w:hAnsi="宋体" w:eastAsia="宋体" w:cs="宋体"/>
          <w:color w:val="000000" w:themeColor="text1"/>
          <w:kern w:val="0"/>
          <w:sz w:val="24"/>
          <w:highlight w:val="none"/>
          <w14:textFill>
            <w14:solidFill>
              <w14:schemeClr w14:val="tx1"/>
            </w14:solidFill>
          </w14:textFill>
        </w:rPr>
        <w:t>最终结清申请单</w:t>
      </w:r>
      <w:r>
        <w:rPr>
          <w:rFonts w:hint="eastAsia" w:ascii="宋体" w:hAnsi="宋体" w:eastAsia="宋体" w:cs="宋体"/>
          <w:color w:val="000000" w:themeColor="text1"/>
          <w:sz w:val="24"/>
          <w:highlight w:val="none"/>
          <w14:textFill>
            <w14:solidFill>
              <w14:schemeClr w14:val="tx1"/>
            </w14:solidFill>
          </w14:textFill>
        </w:rPr>
        <w:t>应列明质量保证金、应扣除的质量保证金、缺陷责任期内发生的增减费用。</w:t>
      </w:r>
    </w:p>
    <w:p w14:paraId="7D73C54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14:paraId="34E70C0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14.4.2 最终结清证书和支付</w:t>
      </w:r>
    </w:p>
    <w:p w14:paraId="76BC0CC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C0304D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458D8D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（3）承包人对发包人颁发的最终结清证书有异议的，按第20条〔争议解决〕的约定办理。</w:t>
      </w:r>
    </w:p>
    <w:p w14:paraId="412C17D9">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26" w:name="_Toc351203598"/>
      <w:bookmarkStart w:id="427" w:name="_Toc337558815"/>
      <w:r>
        <w:rPr>
          <w:rFonts w:hint="eastAsia" w:ascii="宋体" w:hAnsi="宋体" w:eastAsia="宋体" w:cs="宋体"/>
          <w:b w:val="0"/>
          <w:color w:val="000000" w:themeColor="text1"/>
          <w:sz w:val="24"/>
          <w:szCs w:val="24"/>
          <w:highlight w:val="none"/>
          <w14:textFill>
            <w14:solidFill>
              <w14:schemeClr w14:val="tx1"/>
            </w14:solidFill>
          </w14:textFill>
        </w:rPr>
        <w:t>15. 缺陷责任与保修</w:t>
      </w:r>
      <w:bookmarkEnd w:id="426"/>
    </w:p>
    <w:bookmarkEnd w:id="416"/>
    <w:bookmarkEnd w:id="417"/>
    <w:bookmarkEnd w:id="427"/>
    <w:p w14:paraId="14702AFB">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28" w:name="_Toc351203599"/>
      <w:bookmarkStart w:id="429" w:name="_Toc337558816"/>
      <w:bookmarkStart w:id="430" w:name="_Toc296503114"/>
      <w:bookmarkStart w:id="431" w:name="_Toc296346615"/>
      <w:r>
        <w:rPr>
          <w:rFonts w:hint="eastAsia" w:ascii="宋体" w:hAnsi="宋体" w:eastAsia="宋体" w:cs="宋体"/>
          <w:b w:val="0"/>
          <w:color w:val="000000" w:themeColor="text1"/>
          <w:sz w:val="24"/>
          <w:szCs w:val="24"/>
          <w:highlight w:val="none"/>
          <w14:textFill>
            <w14:solidFill>
              <w14:schemeClr w14:val="tx1"/>
            </w14:solidFill>
          </w14:textFill>
        </w:rPr>
        <w:t>15.1 工程保修的原则</w:t>
      </w:r>
      <w:bookmarkEnd w:id="428"/>
    </w:p>
    <w:bookmarkEnd w:id="429"/>
    <w:p w14:paraId="3AF2D74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14:paraId="4B2C07D0">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32" w:name="_Toc351203600"/>
      <w:bookmarkStart w:id="433" w:name="_Toc337558817"/>
      <w:r>
        <w:rPr>
          <w:rFonts w:hint="eastAsia" w:ascii="宋体" w:hAnsi="宋体" w:eastAsia="宋体" w:cs="宋体"/>
          <w:b w:val="0"/>
          <w:color w:val="000000" w:themeColor="text1"/>
          <w:sz w:val="24"/>
          <w:szCs w:val="24"/>
          <w:highlight w:val="none"/>
          <w14:textFill>
            <w14:solidFill>
              <w14:schemeClr w14:val="tx1"/>
            </w14:solidFill>
          </w14:textFill>
        </w:rPr>
        <w:t>15.2 缺陷责任期</w:t>
      </w:r>
      <w:bookmarkEnd w:id="430"/>
      <w:bookmarkEnd w:id="431"/>
      <w:bookmarkEnd w:id="432"/>
    </w:p>
    <w:bookmarkEnd w:id="433"/>
    <w:p w14:paraId="7E91B73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15.2.1 缺陷责任期自实际竣工日期起计算，合同当事人应在专用合同条款约定缺陷责任期的具体期限，但该期限最长不超过24个月。</w:t>
      </w:r>
    </w:p>
    <w:p w14:paraId="2E1A718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1828DF1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000000" w:themeColor="text1"/>
          <w:sz w:val="24"/>
          <w:highlight w:val="none"/>
          <w14:textFill>
            <w14:solidFill>
              <w14:schemeClr w14:val="tx1"/>
            </w14:solidFill>
          </w14:textFill>
        </w:rPr>
        <w:t>包人延长缺陷责任期，</w:t>
      </w:r>
      <w:r>
        <w:rPr>
          <w:rFonts w:hint="eastAsia" w:ascii="宋体" w:hAnsi="宋体" w:eastAsia="宋体" w:cs="宋体"/>
          <w:color w:val="000000" w:themeColor="text1"/>
          <w:kern w:val="0"/>
          <w:sz w:val="24"/>
          <w:highlight w:val="none"/>
          <w14:textFill>
            <w14:solidFill>
              <w14:schemeClr w14:val="tx1"/>
            </w14:solidFill>
          </w14:textFill>
        </w:rPr>
        <w:t>并应在原缺陷责任期届满前发出延长通知，</w:t>
      </w:r>
      <w:r>
        <w:rPr>
          <w:rFonts w:hint="eastAsia" w:ascii="宋体" w:hAnsi="宋体" w:eastAsia="宋体" w:cs="宋体"/>
          <w:bCs/>
          <w:color w:val="000000" w:themeColor="text1"/>
          <w:sz w:val="24"/>
          <w:highlight w:val="none"/>
          <w14:textFill>
            <w14:solidFill>
              <w14:schemeClr w14:val="tx1"/>
            </w14:solidFill>
          </w14:textFill>
        </w:rPr>
        <w:t>但缺陷责任期最长</w:t>
      </w:r>
      <w:r>
        <w:rPr>
          <w:rFonts w:hint="eastAsia" w:ascii="宋体" w:hAnsi="宋体" w:eastAsia="宋体" w:cs="宋体"/>
          <w:color w:val="000000" w:themeColor="text1"/>
          <w:kern w:val="0"/>
          <w:sz w:val="24"/>
          <w:highlight w:val="none"/>
          <w14:textFill>
            <w14:solidFill>
              <w14:schemeClr w14:val="tx1"/>
            </w14:solidFill>
          </w14:textFill>
        </w:rPr>
        <w:t>不能超过24个月。</w:t>
      </w:r>
    </w:p>
    <w:p w14:paraId="4ED729F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14:paraId="20FC376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6F8827B">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34" w:name="_Toc351203601"/>
      <w:bookmarkStart w:id="435" w:name="_Toc337558818"/>
      <w:bookmarkStart w:id="436" w:name="_Toc296503115"/>
      <w:bookmarkStart w:id="437" w:name="_Toc296346616"/>
      <w:r>
        <w:rPr>
          <w:rFonts w:hint="eastAsia" w:ascii="宋体" w:hAnsi="宋体" w:eastAsia="宋体" w:cs="宋体"/>
          <w:b w:val="0"/>
          <w:color w:val="000000" w:themeColor="text1"/>
          <w:sz w:val="24"/>
          <w:szCs w:val="24"/>
          <w:highlight w:val="none"/>
          <w14:textFill>
            <w14:solidFill>
              <w14:schemeClr w14:val="tx1"/>
            </w14:solidFill>
          </w14:textFill>
        </w:rPr>
        <w:t>15.3 质量保证金</w:t>
      </w:r>
      <w:bookmarkEnd w:id="434"/>
    </w:p>
    <w:bookmarkEnd w:id="435"/>
    <w:p w14:paraId="2A3A586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经合同当事人协商一致扣留质量保证金的，应在专用合同条款中予以明确。</w:t>
      </w:r>
    </w:p>
    <w:p w14:paraId="1614553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15.3.1 承包人提供质量保证金的方式</w:t>
      </w:r>
    </w:p>
    <w:p w14:paraId="38F0827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承包人提供质量保证金有以下三种方式：</w:t>
      </w:r>
    </w:p>
    <w:p w14:paraId="72EA90F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（1）质量保证金保函； </w:t>
      </w:r>
    </w:p>
    <w:p w14:paraId="5E748B0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（2）相应比例的工程款；</w:t>
      </w:r>
    </w:p>
    <w:p w14:paraId="015B466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（3）双方约定的其他方式。</w:t>
      </w:r>
    </w:p>
    <w:p w14:paraId="1B2D4E5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除专用合同条款另有约定外，质量保证金原则上采用上述第（1）种方式。</w:t>
      </w:r>
    </w:p>
    <w:p w14:paraId="78A0FFF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15.3.2 质量保证金的扣留</w:t>
      </w:r>
    </w:p>
    <w:p w14:paraId="52E3977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质量保证金的扣留有以下三种方式：</w:t>
      </w:r>
    </w:p>
    <w:p w14:paraId="50209EB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14:paraId="0346510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w:t>
      </w:r>
      <w:bookmarkStart w:id="438" w:name="#go6"/>
      <w:bookmarkEnd w:id="438"/>
      <w:r>
        <w:rPr>
          <w:rFonts w:hint="eastAsia" w:ascii="宋体" w:hAnsi="宋体" w:eastAsia="宋体" w:cs="宋体"/>
          <w:color w:val="000000" w:themeColor="text1"/>
          <w:kern w:val="0"/>
          <w:sz w:val="24"/>
          <w:highlight w:val="none"/>
          <w14:textFill>
            <w14:solidFill>
              <w14:schemeClr w14:val="tx1"/>
            </w14:solidFill>
          </w14:textFill>
        </w:rPr>
        <w:t>程竣工结算时一次性扣留质量保证金；</w:t>
      </w:r>
    </w:p>
    <w:p w14:paraId="5D1E594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（3）双方约定的其他扣留方式。</w:t>
      </w:r>
    </w:p>
    <w:p w14:paraId="0AC9006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除专用合同条款另有约定外，质量保证金的扣留原则上采用上述第（1）种方式。</w:t>
      </w:r>
    </w:p>
    <w:p w14:paraId="3CAD15A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w:t>
      </w:r>
      <w:bookmarkStart w:id="439" w:name="#go4"/>
      <w:bookmarkEnd w:id="439"/>
      <w:r>
        <w:rPr>
          <w:rFonts w:hint="eastAsia" w:ascii="宋体" w:hAnsi="宋体" w:eastAsia="宋体" w:cs="宋体"/>
          <w:color w:val="000000" w:themeColor="text1"/>
          <w:kern w:val="0"/>
          <w:sz w:val="24"/>
          <w:highlight w:val="none"/>
          <w14:textFill>
            <w14:solidFill>
              <w14:schemeClr w14:val="tx1"/>
            </w14:solidFill>
          </w14:textFill>
        </w:rPr>
        <w:t>包人累计扣留的质量保证金不得超过结算合同价格的5%，如承包人在发包人签发竣工付款证书后28天内提交质量保证金保函，发包人应同时退还扣留的作为质量保证金的工程价款。</w:t>
      </w:r>
    </w:p>
    <w:p w14:paraId="3AA5AB0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15.3.3 </w:t>
      </w:r>
      <w:r>
        <w:rPr>
          <w:rFonts w:hint="eastAsia" w:ascii="宋体" w:hAnsi="宋体" w:eastAsia="宋体" w:cs="宋体"/>
          <w:color w:val="000000" w:themeColor="text1"/>
          <w:sz w:val="24"/>
          <w:highlight w:val="none"/>
          <w14:textFill>
            <w14:solidFill>
              <w14:schemeClr w14:val="tx1"/>
            </w14:solidFill>
          </w14:textFill>
        </w:rPr>
        <w:t>质量保证金</w:t>
      </w:r>
      <w:r>
        <w:rPr>
          <w:rFonts w:hint="eastAsia" w:ascii="宋体" w:hAnsi="宋体" w:eastAsia="宋体" w:cs="宋体"/>
          <w:color w:val="000000" w:themeColor="text1"/>
          <w:kern w:val="0"/>
          <w:sz w:val="24"/>
          <w:highlight w:val="none"/>
          <w14:textFill>
            <w14:solidFill>
              <w14:schemeClr w14:val="tx1"/>
            </w14:solidFill>
          </w14:textFill>
        </w:rPr>
        <w:t>的退还</w:t>
      </w:r>
    </w:p>
    <w:p w14:paraId="64E714E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发包人应按14.4款〔最终结清〕的约定退还质量保证金。</w:t>
      </w:r>
    </w:p>
    <w:p w14:paraId="7A86560E">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40" w:name="_Toc351203602"/>
      <w:bookmarkStart w:id="441" w:name="_Toc337558819"/>
      <w:r>
        <w:rPr>
          <w:rFonts w:hint="eastAsia" w:ascii="宋体" w:hAnsi="宋体" w:eastAsia="宋体" w:cs="宋体"/>
          <w:b w:val="0"/>
          <w:color w:val="000000" w:themeColor="text1"/>
          <w:sz w:val="24"/>
          <w:szCs w:val="24"/>
          <w:highlight w:val="none"/>
          <w14:textFill>
            <w14:solidFill>
              <w14:schemeClr w14:val="tx1"/>
            </w14:solidFill>
          </w14:textFill>
        </w:rPr>
        <w:t>15.4 保修</w:t>
      </w:r>
      <w:bookmarkEnd w:id="440"/>
    </w:p>
    <w:bookmarkEnd w:id="436"/>
    <w:bookmarkEnd w:id="437"/>
    <w:bookmarkEnd w:id="441"/>
    <w:p w14:paraId="71F19C6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15.4.1保修责任</w:t>
      </w:r>
    </w:p>
    <w:p w14:paraId="5A3F78F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BF307F4">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发包人未经竣工验收擅自使用工程的，保修期自</w:t>
      </w:r>
      <w:r>
        <w:rPr>
          <w:rFonts w:hint="eastAsia" w:ascii="宋体" w:hAnsi="宋体" w:eastAsia="宋体" w:cs="宋体"/>
          <w:color w:val="000000" w:themeColor="text1"/>
          <w:kern w:val="0"/>
          <w:sz w:val="24"/>
          <w:highlight w:val="none"/>
          <w14:textFill>
            <w14:solidFill>
              <w14:schemeClr w14:val="tx1"/>
            </w14:solidFill>
          </w14:textFill>
        </w:rPr>
        <w:t>转移占有之日起算</w:t>
      </w:r>
      <w:r>
        <w:rPr>
          <w:rFonts w:hint="eastAsia" w:ascii="宋体" w:hAnsi="宋体" w:eastAsia="宋体" w:cs="宋体"/>
          <w:color w:val="000000" w:themeColor="text1"/>
          <w:sz w:val="24"/>
          <w:highlight w:val="none"/>
          <w14:textFill>
            <w14:solidFill>
              <w14:schemeClr w14:val="tx1"/>
            </w14:solidFill>
          </w14:textFill>
        </w:rPr>
        <w:t>。</w:t>
      </w:r>
    </w:p>
    <w:p w14:paraId="7319773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15.4.2 修复费用</w:t>
      </w:r>
    </w:p>
    <w:p w14:paraId="491FCA4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保修期内，修复的费用按照以下约定处理：</w:t>
      </w:r>
    </w:p>
    <w:p w14:paraId="0A3C6F9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14:paraId="4BC5EBD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（2）保修期内，因发包人使用不当造成工程的缺陷、损坏，可以委托承包人修复，但发包人应承担修复的费用，并支付承包人合理利润；</w:t>
      </w:r>
    </w:p>
    <w:p w14:paraId="049A069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5E17547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15.4.3 修复通知</w:t>
      </w:r>
    </w:p>
    <w:p w14:paraId="424AF39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493FA4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15.4.4 未能修复</w:t>
      </w:r>
    </w:p>
    <w:p w14:paraId="1D5C4D3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21C5D1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15.4.5 承包人出入权</w:t>
      </w:r>
    </w:p>
    <w:p w14:paraId="4D5992E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F95CBC2">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42" w:name="_Toc351203603"/>
      <w:bookmarkStart w:id="443" w:name="_Toc337558820"/>
      <w:r>
        <w:rPr>
          <w:rFonts w:hint="eastAsia" w:ascii="宋体" w:hAnsi="宋体" w:eastAsia="宋体" w:cs="宋体"/>
          <w:b w:val="0"/>
          <w:color w:val="000000" w:themeColor="text1"/>
          <w:sz w:val="24"/>
          <w:szCs w:val="24"/>
          <w:highlight w:val="none"/>
          <w14:textFill>
            <w14:solidFill>
              <w14:schemeClr w14:val="tx1"/>
            </w14:solidFill>
          </w14:textFill>
        </w:rPr>
        <w:t>16. 违约</w:t>
      </w:r>
      <w:bookmarkEnd w:id="442"/>
    </w:p>
    <w:bookmarkEnd w:id="443"/>
    <w:p w14:paraId="317EF117">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44" w:name="_Toc296346630"/>
      <w:bookmarkStart w:id="445" w:name="_Toc296503129"/>
      <w:bookmarkStart w:id="446" w:name="_Toc351203604"/>
      <w:bookmarkStart w:id="447" w:name="_Toc337558821"/>
      <w:r>
        <w:rPr>
          <w:rFonts w:hint="eastAsia" w:ascii="宋体" w:hAnsi="宋体" w:eastAsia="宋体" w:cs="宋体"/>
          <w:b w:val="0"/>
          <w:color w:val="000000" w:themeColor="text1"/>
          <w:sz w:val="24"/>
          <w:szCs w:val="24"/>
          <w:highlight w:val="none"/>
          <w14:textFill>
            <w14:solidFill>
              <w14:schemeClr w14:val="tx1"/>
            </w14:solidFill>
          </w14:textFill>
        </w:rPr>
        <w:t>16.1 发</w:t>
      </w:r>
      <w:bookmarkEnd w:id="444"/>
      <w:bookmarkEnd w:id="445"/>
      <w:r>
        <w:rPr>
          <w:rFonts w:hint="eastAsia" w:ascii="宋体" w:hAnsi="宋体" w:eastAsia="宋体" w:cs="宋体"/>
          <w:b w:val="0"/>
          <w:color w:val="000000" w:themeColor="text1"/>
          <w:sz w:val="24"/>
          <w:szCs w:val="24"/>
          <w:highlight w:val="none"/>
          <w14:textFill>
            <w14:solidFill>
              <w14:schemeClr w14:val="tx1"/>
            </w14:solidFill>
          </w14:textFill>
        </w:rPr>
        <w:t>包人违约</w:t>
      </w:r>
      <w:bookmarkEnd w:id="446"/>
    </w:p>
    <w:bookmarkEnd w:id="447"/>
    <w:p w14:paraId="3F81851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16.1.1 发包人违约的情形</w:t>
      </w:r>
    </w:p>
    <w:p w14:paraId="5B6EB3B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在合同履行过程中发生的下列情形，属于发包人违约：</w:t>
      </w:r>
    </w:p>
    <w:p w14:paraId="2CC0876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（1）因发包人原因未能在计划开工日期前7天内下达开工通知的；</w:t>
      </w:r>
    </w:p>
    <w:p w14:paraId="7F2B637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（2）因发包人原因未能按合同约定支付合同价款的；</w:t>
      </w:r>
    </w:p>
    <w:p w14:paraId="070DE9F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（3）发包人违反第10.1款〔变更的范围〕第（2）项约定，自行实施被取消的工作或转由他人实施的；</w:t>
      </w:r>
    </w:p>
    <w:p w14:paraId="11417B6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w:t>
      </w:r>
    </w:p>
    <w:p w14:paraId="6F6FFD7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（5）因发包人违反合同约定造成暂停施工的；</w:t>
      </w:r>
    </w:p>
    <w:p w14:paraId="248BB41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（6）发包人无正当理由没有在约定期限内发出复工指示，导致承包人无法复工的；</w:t>
      </w:r>
    </w:p>
    <w:p w14:paraId="298739D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（7）发包人明确表示或者以其行为表明不履行合同主要义务的；</w:t>
      </w:r>
    </w:p>
    <w:p w14:paraId="605B823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（8）发包人未能按照合同约定履行其他义务的。</w:t>
      </w:r>
    </w:p>
    <w:p w14:paraId="36537E6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6B7AD0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16.1.2 发包人违约的责任</w:t>
      </w:r>
    </w:p>
    <w:p w14:paraId="5528A17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14:paraId="4FD6FBB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16.1.3 因发包人违约解除合同</w:t>
      </w:r>
    </w:p>
    <w:p w14:paraId="68DDEA5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CF8F3A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16.1.4 因发包人违约解除合同后的付款</w:t>
      </w:r>
    </w:p>
    <w:p w14:paraId="42E8F56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承包人按照本款约定解除合同的，发包人应在解除合同后28天内支付下列款项，并解除履约担保：</w:t>
      </w:r>
    </w:p>
    <w:p w14:paraId="089B0E8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（1）合同解除前所完成工作的价款；</w:t>
      </w:r>
    </w:p>
    <w:p w14:paraId="3DA06ED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（2）承包人为工程施工订购并已付款的材料、工程设备和其他物品的价款；</w:t>
      </w:r>
    </w:p>
    <w:p w14:paraId="24878A4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（3）承包人撤离施工现场以及遣散承包人人员的款项；</w:t>
      </w:r>
    </w:p>
    <w:p w14:paraId="4BE59C4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（4）按照合同约定在合同解除前应支付的违约金；</w:t>
      </w:r>
    </w:p>
    <w:p w14:paraId="7D289D5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（5）按照合同约定应当支付给承包人的其他款项；</w:t>
      </w:r>
    </w:p>
    <w:p w14:paraId="0D250846">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（6）按照合同约定应退还的质量保证金；</w:t>
      </w:r>
    </w:p>
    <w:p w14:paraId="2B90A8D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（7）因解除合同给承包人造成的损失。</w:t>
      </w:r>
    </w:p>
    <w:p w14:paraId="59A43ED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合同当事人未能就解除合同后的结清达成一致的，按照第20条〔争议解决〕的约定处理。</w:t>
      </w:r>
    </w:p>
    <w:p w14:paraId="392CE1A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14:paraId="55D94ED0">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48" w:name="_Toc351203605"/>
      <w:bookmarkStart w:id="449" w:name="_Toc296503131"/>
      <w:bookmarkStart w:id="450" w:name="_Toc337558822"/>
      <w:bookmarkStart w:id="451" w:name="_Toc296346632"/>
      <w:r>
        <w:rPr>
          <w:rFonts w:hint="eastAsia" w:ascii="宋体" w:hAnsi="宋体" w:eastAsia="宋体" w:cs="宋体"/>
          <w:b w:val="0"/>
          <w:color w:val="000000" w:themeColor="text1"/>
          <w:sz w:val="24"/>
          <w:szCs w:val="24"/>
          <w:highlight w:val="none"/>
          <w14:textFill>
            <w14:solidFill>
              <w14:schemeClr w14:val="tx1"/>
            </w14:solidFill>
          </w14:textFill>
        </w:rPr>
        <w:t>16.2 承包人违约</w:t>
      </w:r>
      <w:bookmarkEnd w:id="448"/>
    </w:p>
    <w:bookmarkEnd w:id="449"/>
    <w:bookmarkEnd w:id="450"/>
    <w:bookmarkEnd w:id="451"/>
    <w:p w14:paraId="72657AE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16.2.1 承包人违约的情形</w:t>
      </w:r>
    </w:p>
    <w:p w14:paraId="2D283BF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在合同履行过程中发生的下列情形，属于承包人违约：</w:t>
      </w:r>
    </w:p>
    <w:p w14:paraId="2337C33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（1）承包人违反合同约定进行转包或违法分包的；</w:t>
      </w:r>
    </w:p>
    <w:p w14:paraId="566342D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（2）承包人违反合同约定采购和使用不合格的材料和工程设备的；</w:t>
      </w:r>
    </w:p>
    <w:p w14:paraId="71A612B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（3）因承包人原因导致工程质量不符合合同要求的； </w:t>
      </w:r>
    </w:p>
    <w:p w14:paraId="43D03AD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14:paraId="2E8AA85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（5）承包人未能按施工进度计划及时完成合同约定的工作，造成工期延误的；</w:t>
      </w:r>
    </w:p>
    <w:p w14:paraId="423AF9D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（6）承包人在缺陷责任期及保修期内，未能在合理期限对工程缺陷进行修复，或拒绝按发包人要求进行修复的；</w:t>
      </w:r>
    </w:p>
    <w:p w14:paraId="70DF540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（7）承包人明确表示或者以其行为表明不履行合同主要义务的；</w:t>
      </w:r>
    </w:p>
    <w:p w14:paraId="36C9C16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（8）承包人未能按照合同约定履行其他义务的。</w:t>
      </w:r>
    </w:p>
    <w:p w14:paraId="7730E65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承包人发生除本项第（7）目约定以外的其他违约情况时，监理人可向承包人发出整改通知，要求其在指定的期限内改正。</w:t>
      </w:r>
    </w:p>
    <w:p w14:paraId="33B72A8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16.2.2 承包人违约的责任</w:t>
      </w:r>
    </w:p>
    <w:p w14:paraId="332F1F2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14:paraId="726075B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16.2.3 因承包人违约解除合同</w:t>
      </w:r>
    </w:p>
    <w:p w14:paraId="55EB498F">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CFF48F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16.2.4因承包人违约解除合同后的处理</w:t>
      </w:r>
    </w:p>
    <w:p w14:paraId="6865E0D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因承包人原因导致合同解除的，则合同当事人应在合同解除后28天内完成估价、付款和清算，并按以下约定执行：</w:t>
      </w:r>
    </w:p>
    <w:p w14:paraId="6C93C2F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14:paraId="43DD074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（2）合同解除后，承包人应支付的违约金；</w:t>
      </w:r>
    </w:p>
    <w:p w14:paraId="2DEE9CA2">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（3）合同解除后，因解除合同给发包人造成的损失；</w:t>
      </w:r>
    </w:p>
    <w:p w14:paraId="259774F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（4）合同解除后，承包人应按照发包人要求和监理人的指示完成现场的清理和撤离；</w:t>
      </w:r>
    </w:p>
    <w:p w14:paraId="08FA5E6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（5）发包人和承包人应在合同解除后进行清算，出具最终结清付款证书，结清全部款项。</w:t>
      </w:r>
    </w:p>
    <w:p w14:paraId="3D3F389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14:paraId="4DAEBF3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16.2.5采购合同权益转让</w:t>
      </w:r>
    </w:p>
    <w:p w14:paraId="5C170EC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4FB1F1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52" w:name="_Toc351203606"/>
      <w:r>
        <w:rPr>
          <w:rFonts w:hint="eastAsia" w:ascii="宋体" w:hAnsi="宋体" w:eastAsia="宋体" w:cs="宋体"/>
          <w:b w:val="0"/>
          <w:color w:val="000000" w:themeColor="text1"/>
          <w:sz w:val="24"/>
          <w:szCs w:val="24"/>
          <w:highlight w:val="none"/>
          <w14:textFill>
            <w14:solidFill>
              <w14:schemeClr w14:val="tx1"/>
            </w14:solidFill>
          </w14:textFill>
        </w:rPr>
        <w:t>16.3 第三人造成的违约</w:t>
      </w:r>
      <w:bookmarkEnd w:id="452"/>
    </w:p>
    <w:p w14:paraId="5262635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010C808F">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53" w:name="_Toc351203607"/>
      <w:bookmarkStart w:id="454" w:name="_Toc296346617"/>
      <w:bookmarkStart w:id="455" w:name="_Toc337558823"/>
      <w:bookmarkStart w:id="456" w:name="_Toc296503116"/>
      <w:r>
        <w:rPr>
          <w:rFonts w:hint="eastAsia" w:ascii="宋体" w:hAnsi="宋体" w:eastAsia="宋体" w:cs="宋体"/>
          <w:b w:val="0"/>
          <w:color w:val="000000" w:themeColor="text1"/>
          <w:sz w:val="24"/>
          <w:szCs w:val="24"/>
          <w:highlight w:val="none"/>
          <w14:textFill>
            <w14:solidFill>
              <w14:schemeClr w14:val="tx1"/>
            </w14:solidFill>
          </w14:textFill>
        </w:rPr>
        <w:t>17. 不可抗力</w:t>
      </w:r>
      <w:bookmarkEnd w:id="453"/>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454"/>
      <w:bookmarkEnd w:id="455"/>
      <w:bookmarkEnd w:id="456"/>
    </w:p>
    <w:p w14:paraId="269E838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57" w:name="_Toc351203608"/>
      <w:bookmarkStart w:id="458" w:name="_Toc337558824"/>
      <w:bookmarkStart w:id="459" w:name="_Toc296503117"/>
      <w:bookmarkStart w:id="460" w:name="_Toc296346618"/>
      <w:r>
        <w:rPr>
          <w:rFonts w:hint="eastAsia" w:ascii="宋体" w:hAnsi="宋体" w:eastAsia="宋体" w:cs="宋体"/>
          <w:b w:val="0"/>
          <w:color w:val="000000" w:themeColor="text1"/>
          <w:sz w:val="24"/>
          <w:szCs w:val="24"/>
          <w:highlight w:val="none"/>
          <w14:textFill>
            <w14:solidFill>
              <w14:schemeClr w14:val="tx1"/>
            </w14:solidFill>
          </w14:textFill>
        </w:rPr>
        <w:t>17.1 不可抗力的确认</w:t>
      </w:r>
      <w:bookmarkEnd w:id="457"/>
    </w:p>
    <w:bookmarkEnd w:id="458"/>
    <w:bookmarkEnd w:id="459"/>
    <w:bookmarkEnd w:id="460"/>
    <w:p w14:paraId="2DC414F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14:paraId="2973365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2130932">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61" w:name="_Toc351203609"/>
      <w:bookmarkStart w:id="462" w:name="_Toc296346619"/>
      <w:bookmarkStart w:id="463" w:name="_Toc337558825"/>
      <w:bookmarkStart w:id="464" w:name="_Toc296503118"/>
      <w:r>
        <w:rPr>
          <w:rFonts w:hint="eastAsia" w:ascii="宋体" w:hAnsi="宋体" w:eastAsia="宋体" w:cs="宋体"/>
          <w:b w:val="0"/>
          <w:color w:val="000000" w:themeColor="text1"/>
          <w:sz w:val="24"/>
          <w:szCs w:val="24"/>
          <w:highlight w:val="none"/>
          <w14:textFill>
            <w14:solidFill>
              <w14:schemeClr w14:val="tx1"/>
            </w14:solidFill>
          </w14:textFill>
        </w:rPr>
        <w:t>17.2 不可抗力的通知</w:t>
      </w:r>
      <w:bookmarkEnd w:id="461"/>
    </w:p>
    <w:bookmarkEnd w:id="462"/>
    <w:bookmarkEnd w:id="463"/>
    <w:bookmarkEnd w:id="464"/>
    <w:p w14:paraId="52D4A76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14:paraId="5708A31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14:paraId="2C9AA9F4">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65" w:name="_Toc351203610"/>
      <w:bookmarkStart w:id="466" w:name="_Toc337558826"/>
      <w:bookmarkStart w:id="467" w:name="_Toc296503119"/>
      <w:bookmarkStart w:id="468" w:name="_Toc296346620"/>
      <w:r>
        <w:rPr>
          <w:rFonts w:hint="eastAsia" w:ascii="宋体" w:hAnsi="宋体" w:eastAsia="宋体" w:cs="宋体"/>
          <w:b w:val="0"/>
          <w:color w:val="000000" w:themeColor="text1"/>
          <w:sz w:val="24"/>
          <w:szCs w:val="24"/>
          <w:highlight w:val="none"/>
          <w14:textFill>
            <w14:solidFill>
              <w14:schemeClr w14:val="tx1"/>
            </w14:solidFill>
          </w14:textFill>
        </w:rPr>
        <w:t>17.3 不可抗力后果的承担</w:t>
      </w:r>
      <w:bookmarkEnd w:id="465"/>
    </w:p>
    <w:bookmarkEnd w:id="466"/>
    <w:bookmarkEnd w:id="467"/>
    <w:bookmarkEnd w:id="468"/>
    <w:p w14:paraId="361FB59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14:paraId="6ACB32D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17.3.2 不可抗力导致的人员伤亡、财产损失、费用增加和（或）工期延误等后果，由合同当事人按以下原则承担：</w:t>
      </w:r>
    </w:p>
    <w:p w14:paraId="742DFCC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（1）永久工程、已运至施工现场的材料和工程设备的损坏，以及因工程损坏造成的第三人人员伤亡和财产损失由发包人承担；</w:t>
      </w:r>
    </w:p>
    <w:p w14:paraId="0277F41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（2）承包人施工设备的损坏由承包人承担；</w:t>
      </w:r>
    </w:p>
    <w:p w14:paraId="187D15B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（3）发包人和承包人承担各自人员伤亡和财产的损失；</w:t>
      </w:r>
    </w:p>
    <w:p w14:paraId="406A0082">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EF333C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（5）因不可抗力引起或将引起工期延误，发包人要求赶工的，由此增加的赶工费用由发包人承担；</w:t>
      </w:r>
    </w:p>
    <w:p w14:paraId="4BD384C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（6）承包人在停工期间按照发包人要求照管、清理和修复工程的费用由发包人承担。</w:t>
      </w:r>
    </w:p>
    <w:p w14:paraId="2107052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474120E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因合同一方迟延履行合同义务，在迟延履行期间遭遇不可抗力的，不免除其违约责任。</w:t>
      </w:r>
    </w:p>
    <w:p w14:paraId="3FEFE1A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69" w:name="_Toc351203611"/>
      <w:bookmarkStart w:id="470" w:name="_Toc337558827"/>
      <w:r>
        <w:rPr>
          <w:rFonts w:hint="eastAsia" w:ascii="宋体" w:hAnsi="宋体" w:eastAsia="宋体" w:cs="宋体"/>
          <w:b w:val="0"/>
          <w:color w:val="000000" w:themeColor="text1"/>
          <w:sz w:val="24"/>
          <w:szCs w:val="24"/>
          <w:highlight w:val="none"/>
          <w14:textFill>
            <w14:solidFill>
              <w14:schemeClr w14:val="tx1"/>
            </w14:solidFill>
          </w14:textFill>
        </w:rPr>
        <w:t>17.4 因不可抗力解除合同</w:t>
      </w:r>
      <w:bookmarkEnd w:id="469"/>
    </w:p>
    <w:bookmarkEnd w:id="470"/>
    <w:p w14:paraId="7889109B">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14:paraId="4F991A1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（1）合同解除前承包人已完成工作的价款；</w:t>
      </w:r>
    </w:p>
    <w:p w14:paraId="2161BCC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（2）承包人为工程订购的并已交付给承包人，或承包人有责任接受交付的材料、工程设备和其他物品的价款；</w:t>
      </w:r>
    </w:p>
    <w:p w14:paraId="20C884ED">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（3）发包人要求承包人退货或解除订货合同而产生的费用，或因不能退货或解除合同而产生的损失；</w:t>
      </w:r>
    </w:p>
    <w:p w14:paraId="08615867">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（4）承包人撤离施工现场以及遣散承包人人员的费用；</w:t>
      </w:r>
    </w:p>
    <w:p w14:paraId="371CB04C">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（5）按照合同约定在合同解除前应支付给承包人的其他款项；</w:t>
      </w:r>
    </w:p>
    <w:p w14:paraId="5A202D78">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（6）扣减承包人按照合同约定应向发包人支付的款项；</w:t>
      </w:r>
    </w:p>
    <w:p w14:paraId="75EA5D3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（7）双方商定或确定的其他款项。</w:t>
      </w:r>
    </w:p>
    <w:p w14:paraId="475EFCD3">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除专用合同条款另有约定外，合同解除后，发包人应在商定或确定上述款项后28天内完成上述款项的支付。</w:t>
      </w:r>
    </w:p>
    <w:p w14:paraId="0639EFDD">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71" w:name="_Toc351203612"/>
      <w:bookmarkStart w:id="472" w:name="_Toc296503120"/>
      <w:bookmarkStart w:id="473" w:name="_Toc296346621"/>
      <w:bookmarkStart w:id="474" w:name="_Toc337558828"/>
      <w:r>
        <w:rPr>
          <w:rFonts w:hint="eastAsia" w:ascii="宋体" w:hAnsi="宋体" w:eastAsia="宋体" w:cs="宋体"/>
          <w:b w:val="0"/>
          <w:color w:val="000000" w:themeColor="text1"/>
          <w:sz w:val="24"/>
          <w:szCs w:val="24"/>
          <w:highlight w:val="none"/>
          <w14:textFill>
            <w14:solidFill>
              <w14:schemeClr w14:val="tx1"/>
            </w14:solidFill>
          </w14:textFill>
        </w:rPr>
        <w:t>18. 保险</w:t>
      </w:r>
      <w:bookmarkEnd w:id="471"/>
    </w:p>
    <w:bookmarkEnd w:id="472"/>
    <w:bookmarkEnd w:id="473"/>
    <w:bookmarkEnd w:id="474"/>
    <w:p w14:paraId="2EE79364">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75" w:name="_Toc351203613"/>
      <w:bookmarkStart w:id="476" w:name="_Toc296503121"/>
      <w:bookmarkStart w:id="477" w:name="_Toc337558829"/>
      <w:bookmarkStart w:id="478" w:name="_Toc296346622"/>
      <w:r>
        <w:rPr>
          <w:rFonts w:hint="eastAsia" w:ascii="宋体" w:hAnsi="宋体" w:eastAsia="宋体" w:cs="宋体"/>
          <w:b w:val="0"/>
          <w:color w:val="000000" w:themeColor="text1"/>
          <w:sz w:val="24"/>
          <w:szCs w:val="24"/>
          <w:highlight w:val="none"/>
          <w14:textFill>
            <w14:solidFill>
              <w14:schemeClr w14:val="tx1"/>
            </w14:solidFill>
          </w14:textFill>
        </w:rPr>
        <w:t>18.1 工程保险</w:t>
      </w:r>
      <w:bookmarkEnd w:id="475"/>
    </w:p>
    <w:bookmarkEnd w:id="476"/>
    <w:bookmarkEnd w:id="477"/>
    <w:bookmarkEnd w:id="478"/>
    <w:p w14:paraId="1B24C2C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14:paraId="3E27A29B">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79" w:name="_Toc351203614"/>
      <w:bookmarkStart w:id="480" w:name="_Toc296503122"/>
      <w:bookmarkStart w:id="481" w:name="_Toc296346623"/>
      <w:bookmarkStart w:id="482" w:name="_Toc337558830"/>
      <w:r>
        <w:rPr>
          <w:rFonts w:hint="eastAsia" w:ascii="宋体" w:hAnsi="宋体" w:eastAsia="宋体" w:cs="宋体"/>
          <w:b w:val="0"/>
          <w:color w:val="000000" w:themeColor="text1"/>
          <w:sz w:val="24"/>
          <w:szCs w:val="24"/>
          <w:highlight w:val="none"/>
          <w14:textFill>
            <w14:solidFill>
              <w14:schemeClr w14:val="tx1"/>
            </w14:solidFill>
          </w14:textFill>
        </w:rPr>
        <w:t>18.2 工伤保险</w:t>
      </w:r>
      <w:bookmarkEnd w:id="479"/>
    </w:p>
    <w:bookmarkEnd w:id="480"/>
    <w:bookmarkEnd w:id="481"/>
    <w:bookmarkEnd w:id="482"/>
    <w:p w14:paraId="5DBFAFA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18.2.1 发包人应依照法律规定参加工伤保险。</w:t>
      </w:r>
    </w:p>
    <w:p w14:paraId="343DCEC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14:paraId="734A2DC3">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83" w:name="_Toc351203615"/>
      <w:bookmarkStart w:id="484" w:name="_Toc337558831"/>
      <w:bookmarkStart w:id="485" w:name="_Toc296503125"/>
      <w:bookmarkStart w:id="486" w:name="_Toc296346626"/>
      <w:r>
        <w:rPr>
          <w:rFonts w:hint="eastAsia" w:ascii="宋体" w:hAnsi="宋体" w:eastAsia="宋体" w:cs="宋体"/>
          <w:b w:val="0"/>
          <w:color w:val="000000" w:themeColor="text1"/>
          <w:sz w:val="24"/>
          <w:szCs w:val="24"/>
          <w:highlight w:val="none"/>
          <w14:textFill>
            <w14:solidFill>
              <w14:schemeClr w14:val="tx1"/>
            </w14:solidFill>
          </w14:textFill>
        </w:rPr>
        <w:t>18.3其他保险</w:t>
      </w:r>
      <w:bookmarkEnd w:id="483"/>
    </w:p>
    <w:bookmarkEnd w:id="484"/>
    <w:bookmarkEnd w:id="485"/>
    <w:bookmarkEnd w:id="486"/>
    <w:p w14:paraId="79AC442F">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14:paraId="5DEE62C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除专用合同条款另有约定外，承包人应为其施工设备等办理财产保险。</w:t>
      </w:r>
    </w:p>
    <w:p w14:paraId="137D8465">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87" w:name="_Toc351203616"/>
      <w:r>
        <w:rPr>
          <w:rFonts w:hint="eastAsia" w:ascii="宋体" w:hAnsi="宋体" w:eastAsia="宋体" w:cs="宋体"/>
          <w:b w:val="0"/>
          <w:color w:val="000000" w:themeColor="text1"/>
          <w:sz w:val="24"/>
          <w:szCs w:val="24"/>
          <w:highlight w:val="none"/>
          <w14:textFill>
            <w14:solidFill>
              <w14:schemeClr w14:val="tx1"/>
            </w14:solidFill>
          </w14:textFill>
        </w:rPr>
        <w:t>18.4持续保险</w:t>
      </w:r>
      <w:bookmarkEnd w:id="487"/>
    </w:p>
    <w:p w14:paraId="12FCE209">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合同当事人应与保险人保持联系，使保险人能够随时了解工程实施中的变动，并确保按保险合同条款要求持续保险。</w:t>
      </w:r>
    </w:p>
    <w:p w14:paraId="7D68E439">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88" w:name="_Toc351203617"/>
      <w:bookmarkStart w:id="489" w:name="_Toc337558832"/>
      <w:bookmarkStart w:id="490" w:name="_Toc296503126"/>
      <w:bookmarkStart w:id="491" w:name="_Toc296346627"/>
      <w:r>
        <w:rPr>
          <w:rFonts w:hint="eastAsia" w:ascii="宋体" w:hAnsi="宋体" w:eastAsia="宋体" w:cs="宋体"/>
          <w:b w:val="0"/>
          <w:color w:val="000000" w:themeColor="text1"/>
          <w:sz w:val="24"/>
          <w:szCs w:val="24"/>
          <w:highlight w:val="none"/>
          <w14:textFill>
            <w14:solidFill>
              <w14:schemeClr w14:val="tx1"/>
            </w14:solidFill>
          </w14:textFill>
        </w:rPr>
        <w:t>18.5 保险凭证</w:t>
      </w:r>
      <w:bookmarkEnd w:id="488"/>
    </w:p>
    <w:bookmarkEnd w:id="489"/>
    <w:bookmarkEnd w:id="490"/>
    <w:bookmarkEnd w:id="491"/>
    <w:p w14:paraId="28DB446E">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合同当事人应及时向另一方当事人提交其已投保的各项保险的凭证和保险单复印件。</w:t>
      </w:r>
    </w:p>
    <w:p w14:paraId="5E8B8C02">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92" w:name="_Toc351203618"/>
      <w:bookmarkStart w:id="493" w:name="_Toc296346628"/>
      <w:bookmarkStart w:id="494" w:name="_Toc296503127"/>
      <w:bookmarkStart w:id="495" w:name="_Toc337558833"/>
      <w:r>
        <w:rPr>
          <w:rFonts w:hint="eastAsia" w:ascii="宋体" w:hAnsi="宋体" w:eastAsia="宋体" w:cs="宋体"/>
          <w:b w:val="0"/>
          <w:color w:val="000000" w:themeColor="text1"/>
          <w:sz w:val="24"/>
          <w:szCs w:val="24"/>
          <w:highlight w:val="none"/>
          <w14:textFill>
            <w14:solidFill>
              <w14:schemeClr w14:val="tx1"/>
            </w14:solidFill>
          </w14:textFill>
        </w:rPr>
        <w:t>18.6 未按约定投保的补救</w:t>
      </w:r>
      <w:bookmarkEnd w:id="492"/>
    </w:p>
    <w:bookmarkEnd w:id="493"/>
    <w:bookmarkEnd w:id="494"/>
    <w:bookmarkEnd w:id="495"/>
    <w:p w14:paraId="2CDA5B61">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14:paraId="64CDD76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14:paraId="5D7B033C">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96" w:name="_Toc351203619"/>
      <w:bookmarkStart w:id="497" w:name="_Toc337558834"/>
      <w:r>
        <w:rPr>
          <w:rFonts w:hint="eastAsia" w:ascii="宋体" w:hAnsi="宋体" w:eastAsia="宋体" w:cs="宋体"/>
          <w:b w:val="0"/>
          <w:color w:val="000000" w:themeColor="text1"/>
          <w:sz w:val="24"/>
          <w:szCs w:val="24"/>
          <w:highlight w:val="none"/>
          <w14:textFill>
            <w14:solidFill>
              <w14:schemeClr w14:val="tx1"/>
            </w14:solidFill>
          </w14:textFill>
        </w:rPr>
        <w:t>18.7 通知义务</w:t>
      </w:r>
      <w:bookmarkEnd w:id="496"/>
    </w:p>
    <w:bookmarkEnd w:id="497"/>
    <w:p w14:paraId="5238001A">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14:paraId="70665420">
      <w:pPr>
        <w:pageBreakBefore w:val="0"/>
        <w:widowControl w:val="0"/>
        <w:shd w:val="clear"/>
        <w:kinsoku/>
        <w:wordWrap/>
        <w:overflowPunct/>
        <w:topLinePunct w:val="0"/>
        <w:bidi w:val="0"/>
        <w:snapToGrid/>
        <w:spacing w:line="380" w:lineRule="exact"/>
        <w:ind w:firstLine="480" w:firstLineChars="200"/>
        <w:jc w:val="lef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14:paraId="414D7C2B">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498" w:name="_Toc351203620"/>
      <w:bookmarkStart w:id="499" w:name="_Toc296346641"/>
      <w:bookmarkStart w:id="500" w:name="_Toc296503140"/>
      <w:bookmarkStart w:id="501" w:name="_Toc337558835"/>
      <w:r>
        <w:rPr>
          <w:rFonts w:hint="eastAsia" w:ascii="宋体" w:hAnsi="宋体" w:eastAsia="宋体" w:cs="宋体"/>
          <w:b w:val="0"/>
          <w:color w:val="000000" w:themeColor="text1"/>
          <w:sz w:val="24"/>
          <w:szCs w:val="24"/>
          <w:highlight w:val="none"/>
          <w14:textFill>
            <w14:solidFill>
              <w14:schemeClr w14:val="tx1"/>
            </w14:solidFill>
          </w14:textFill>
        </w:rPr>
        <w:t>19. 索赔</w:t>
      </w:r>
      <w:bookmarkEnd w:id="498"/>
    </w:p>
    <w:bookmarkEnd w:id="499"/>
    <w:bookmarkEnd w:id="500"/>
    <w:bookmarkEnd w:id="501"/>
    <w:p w14:paraId="20B54436">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02" w:name="_Toc351203621"/>
      <w:bookmarkStart w:id="503" w:name="_Toc296503141"/>
      <w:bookmarkStart w:id="504" w:name="_Toc337558836"/>
      <w:bookmarkStart w:id="505" w:name="_Toc296346642"/>
      <w:r>
        <w:rPr>
          <w:rFonts w:hint="eastAsia" w:ascii="宋体" w:hAnsi="宋体" w:eastAsia="宋体" w:cs="宋体"/>
          <w:b w:val="0"/>
          <w:color w:val="000000" w:themeColor="text1"/>
          <w:sz w:val="24"/>
          <w:szCs w:val="24"/>
          <w:highlight w:val="none"/>
          <w14:textFill>
            <w14:solidFill>
              <w14:schemeClr w14:val="tx1"/>
            </w14:solidFill>
          </w14:textFill>
        </w:rPr>
        <w:t>19.1承包人的索赔</w:t>
      </w:r>
      <w:bookmarkEnd w:id="502"/>
    </w:p>
    <w:bookmarkEnd w:id="503"/>
    <w:bookmarkEnd w:id="504"/>
    <w:bookmarkEnd w:id="505"/>
    <w:p w14:paraId="0063690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根据合同约定，承包人认为有权得到追加付款和（或）延长工期的，应按以下程序向发包人提出索赔：</w:t>
      </w:r>
    </w:p>
    <w:p w14:paraId="4011E82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E8660F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14:paraId="051E3371">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14:paraId="46F05F3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14:paraId="57864C8E">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06" w:name="_Toc351203622"/>
      <w:bookmarkStart w:id="507" w:name="_Toc296503142"/>
      <w:bookmarkStart w:id="508" w:name="_Toc296346643"/>
      <w:bookmarkStart w:id="509" w:name="_Toc337558837"/>
      <w:r>
        <w:rPr>
          <w:rFonts w:hint="eastAsia" w:ascii="宋体" w:hAnsi="宋体" w:eastAsia="宋体" w:cs="宋体"/>
          <w:b w:val="0"/>
          <w:color w:val="000000" w:themeColor="text1"/>
          <w:sz w:val="24"/>
          <w:szCs w:val="24"/>
          <w:highlight w:val="none"/>
          <w14:textFill>
            <w14:solidFill>
              <w14:schemeClr w14:val="tx1"/>
            </w14:solidFill>
          </w14:textFill>
        </w:rPr>
        <w:t>19.2 对承包人索赔的处理</w:t>
      </w:r>
      <w:bookmarkEnd w:id="506"/>
    </w:p>
    <w:bookmarkEnd w:id="507"/>
    <w:bookmarkEnd w:id="508"/>
    <w:bookmarkEnd w:id="509"/>
    <w:p w14:paraId="5906BB90">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对承包人索赔的处理如下：</w:t>
      </w:r>
    </w:p>
    <w:p w14:paraId="49027F5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（1）监理人应在收到索赔报告后14天内完成审查并报送发包人。监理人对索赔报告存在异议的，有权要求承包人提交全部原始记录副本；</w:t>
      </w:r>
    </w:p>
    <w:p w14:paraId="4DF005F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14:paraId="4F94DD9C">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（3）承包人接受索赔处理结果的，索赔款项在当期进度款中进行支付；承包人不接受索赔处理结果的，按照第20条〔争议解决〕约定处理。</w:t>
      </w:r>
    </w:p>
    <w:p w14:paraId="49D0E768">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10" w:name="_Toc351203623"/>
      <w:bookmarkStart w:id="511" w:name="_Toc337558838"/>
      <w:bookmarkStart w:id="512" w:name="_Toc296346644"/>
      <w:bookmarkStart w:id="513" w:name="_Toc296503143"/>
      <w:r>
        <w:rPr>
          <w:rFonts w:hint="eastAsia" w:ascii="宋体" w:hAnsi="宋体" w:eastAsia="宋体" w:cs="宋体"/>
          <w:b w:val="0"/>
          <w:color w:val="000000" w:themeColor="text1"/>
          <w:sz w:val="24"/>
          <w:szCs w:val="24"/>
          <w:highlight w:val="none"/>
          <w14:textFill>
            <w14:solidFill>
              <w14:schemeClr w14:val="tx1"/>
            </w14:solidFill>
          </w14:textFill>
        </w:rPr>
        <w:t>19.3发包人的索赔</w:t>
      </w:r>
      <w:bookmarkEnd w:id="510"/>
    </w:p>
    <w:bookmarkEnd w:id="511"/>
    <w:bookmarkEnd w:id="512"/>
    <w:bookmarkEnd w:id="513"/>
    <w:p w14:paraId="2D71F62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根据合同约定，发包人认为有权得到赔付金额和（或）延长缺陷责任期的，监理人应向承包人发出通知并附有详细的证明。</w:t>
      </w:r>
    </w:p>
    <w:p w14:paraId="2EDFA76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C858164">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14" w:name="_Toc351203624"/>
      <w:bookmarkStart w:id="515" w:name="_Toc296346645"/>
      <w:bookmarkStart w:id="516" w:name="_Toc337558839"/>
      <w:bookmarkStart w:id="517" w:name="_Toc296503144"/>
      <w:r>
        <w:rPr>
          <w:rFonts w:hint="eastAsia" w:ascii="宋体" w:hAnsi="宋体" w:eastAsia="宋体" w:cs="宋体"/>
          <w:b w:val="0"/>
          <w:color w:val="000000" w:themeColor="text1"/>
          <w:sz w:val="24"/>
          <w:szCs w:val="24"/>
          <w:highlight w:val="none"/>
          <w14:textFill>
            <w14:solidFill>
              <w14:schemeClr w14:val="tx1"/>
            </w14:solidFill>
          </w14:textFill>
        </w:rPr>
        <w:t>19.4 对发包人索赔的处理</w:t>
      </w:r>
      <w:bookmarkEnd w:id="514"/>
    </w:p>
    <w:bookmarkEnd w:id="515"/>
    <w:bookmarkEnd w:id="516"/>
    <w:bookmarkEnd w:id="517"/>
    <w:p w14:paraId="040A3B9D">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对发包人索赔的处理如下：</w:t>
      </w:r>
    </w:p>
    <w:p w14:paraId="3FAF9893">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（1）承包人收到发包人提交的索赔报告后，应及时审查索赔报告的内容、查验发包人证明材料；</w:t>
      </w:r>
    </w:p>
    <w:p w14:paraId="74D1D2E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14:paraId="182747B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14:paraId="216F4EC1">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18" w:name="_Toc351203625"/>
      <w:r>
        <w:rPr>
          <w:rFonts w:hint="eastAsia" w:ascii="宋体" w:hAnsi="宋体" w:eastAsia="宋体" w:cs="宋体"/>
          <w:b w:val="0"/>
          <w:color w:val="000000" w:themeColor="text1"/>
          <w:sz w:val="24"/>
          <w:szCs w:val="24"/>
          <w:highlight w:val="none"/>
          <w14:textFill>
            <w14:solidFill>
              <w14:schemeClr w14:val="tx1"/>
            </w14:solidFill>
          </w14:textFill>
        </w:rPr>
        <w:t>19.5 提出索赔的期限</w:t>
      </w:r>
      <w:bookmarkEnd w:id="518"/>
    </w:p>
    <w:p w14:paraId="5F1AEF68">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（1）承包人按第14.2款〔竣工结算审核〕约定接收竣工付款证书后，应被视为已无权再提出在工程接收证书颁发前所发生的任何索赔。</w:t>
      </w:r>
    </w:p>
    <w:p w14:paraId="0EA2A58A">
      <w:pPr>
        <w:pageBreakBefore w:val="0"/>
        <w:widowControl w:val="0"/>
        <w:shd w:val="clear"/>
        <w:kinsoku/>
        <w:wordWrap/>
        <w:overflowPunct/>
        <w:topLinePunct w:val="0"/>
        <w:bidi w:val="0"/>
        <w:snapToGrid/>
        <w:spacing w:line="380" w:lineRule="exact"/>
        <w:ind w:firstLine="480" w:firstLineChars="200"/>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14:paraId="2F6A135F">
      <w:pPr>
        <w:pStyle w:val="5"/>
        <w:pageBreakBefore w:val="0"/>
        <w:widowControl w:val="0"/>
        <w:shd w:val="clear"/>
        <w:kinsoku/>
        <w:wordWrap/>
        <w:overflowPunct/>
        <w:topLinePunct w:val="0"/>
        <w:bidi w:val="0"/>
        <w:snapToGrid/>
        <w:spacing w:before="120" w:after="120" w:line="380" w:lineRule="exact"/>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19" w:name="_Toc351203626"/>
      <w:r>
        <w:rPr>
          <w:rFonts w:hint="eastAsia" w:ascii="宋体" w:hAnsi="宋体" w:eastAsia="宋体" w:cs="宋体"/>
          <w:b w:val="0"/>
          <w:color w:val="000000" w:themeColor="text1"/>
          <w:sz w:val="24"/>
          <w:szCs w:val="24"/>
          <w:highlight w:val="none"/>
          <w14:textFill>
            <w14:solidFill>
              <w14:schemeClr w14:val="tx1"/>
            </w14:solidFill>
          </w14:textFill>
        </w:rPr>
        <w:t>20</w:t>
      </w:r>
      <w:bookmarkStart w:id="520" w:name="_Toc337558840"/>
      <w:bookmarkStart w:id="521" w:name="_Toc296346647"/>
      <w:bookmarkStart w:id="522" w:name="_Toc296503146"/>
      <w:r>
        <w:rPr>
          <w:rFonts w:hint="eastAsia" w:ascii="宋体" w:hAnsi="宋体" w:eastAsia="宋体" w:cs="宋体"/>
          <w:b w:val="0"/>
          <w:color w:val="000000" w:themeColor="text1"/>
          <w:sz w:val="24"/>
          <w:szCs w:val="24"/>
          <w:highlight w:val="none"/>
          <w14:textFill>
            <w14:solidFill>
              <w14:schemeClr w14:val="tx1"/>
            </w14:solidFill>
          </w14:textFill>
        </w:rPr>
        <w:t>. 争议解决</w:t>
      </w:r>
      <w:bookmarkEnd w:id="519"/>
    </w:p>
    <w:bookmarkEnd w:id="520"/>
    <w:bookmarkEnd w:id="521"/>
    <w:bookmarkEnd w:id="522"/>
    <w:p w14:paraId="509A6A18">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23" w:name="_Toc351203627"/>
      <w:bookmarkStart w:id="524" w:name="_Toc337558841"/>
      <w:bookmarkStart w:id="525" w:name="_Toc296346648"/>
      <w:bookmarkStart w:id="526" w:name="_Toc296503147"/>
      <w:r>
        <w:rPr>
          <w:rFonts w:hint="eastAsia" w:ascii="宋体" w:hAnsi="宋体" w:eastAsia="宋体" w:cs="宋体"/>
          <w:b w:val="0"/>
          <w:color w:val="000000" w:themeColor="text1"/>
          <w:sz w:val="24"/>
          <w:szCs w:val="24"/>
          <w:highlight w:val="none"/>
          <w14:textFill>
            <w14:solidFill>
              <w14:schemeClr w14:val="tx1"/>
            </w14:solidFill>
          </w14:textFill>
        </w:rPr>
        <w:t>20.1和解</w:t>
      </w:r>
      <w:bookmarkEnd w:id="523"/>
    </w:p>
    <w:bookmarkEnd w:id="524"/>
    <w:bookmarkEnd w:id="525"/>
    <w:bookmarkEnd w:id="526"/>
    <w:p w14:paraId="37AF5718">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合同当事人可以就争议自行和解，自行和解达成协议的经双方签字并盖章后作为合同补充文件，双方均应遵照执行。</w:t>
      </w:r>
    </w:p>
    <w:p w14:paraId="12746C1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27" w:name="_Toc351203628"/>
      <w:r>
        <w:rPr>
          <w:rFonts w:hint="eastAsia" w:ascii="宋体" w:hAnsi="宋体" w:eastAsia="宋体" w:cs="宋体"/>
          <w:b w:val="0"/>
          <w:color w:val="000000" w:themeColor="text1"/>
          <w:sz w:val="24"/>
          <w:szCs w:val="24"/>
          <w:highlight w:val="none"/>
          <w14:textFill>
            <w14:solidFill>
              <w14:schemeClr w14:val="tx1"/>
            </w14:solidFill>
          </w14:textFill>
        </w:rPr>
        <w:t>20</w:t>
      </w:r>
      <w:bookmarkStart w:id="528" w:name="_Toc296346649"/>
      <w:bookmarkStart w:id="529" w:name="_Toc296503148"/>
      <w:bookmarkStart w:id="530" w:name="_Toc337558842"/>
      <w:r>
        <w:rPr>
          <w:rFonts w:hint="eastAsia" w:ascii="宋体" w:hAnsi="宋体" w:eastAsia="宋体" w:cs="宋体"/>
          <w:b w:val="0"/>
          <w:color w:val="000000" w:themeColor="text1"/>
          <w:sz w:val="24"/>
          <w:szCs w:val="24"/>
          <w:highlight w:val="none"/>
          <w14:textFill>
            <w14:solidFill>
              <w14:schemeClr w14:val="tx1"/>
            </w14:solidFill>
          </w14:textFill>
        </w:rPr>
        <w:t>.2调解</w:t>
      </w:r>
      <w:bookmarkEnd w:id="527"/>
    </w:p>
    <w:bookmarkEnd w:id="528"/>
    <w:bookmarkEnd w:id="529"/>
    <w:bookmarkEnd w:id="530"/>
    <w:p w14:paraId="085BFC3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14:paraId="32D7A295">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31" w:name="_Toc351203629"/>
      <w:bookmarkStart w:id="532" w:name="_Toc296503149"/>
      <w:bookmarkStart w:id="533" w:name="_Toc337558843"/>
      <w:bookmarkStart w:id="534" w:name="_Toc296346650"/>
      <w:r>
        <w:rPr>
          <w:rFonts w:hint="eastAsia" w:ascii="宋体" w:hAnsi="宋体" w:eastAsia="宋体" w:cs="宋体"/>
          <w:b w:val="0"/>
          <w:color w:val="000000" w:themeColor="text1"/>
          <w:sz w:val="24"/>
          <w:szCs w:val="24"/>
          <w:highlight w:val="none"/>
          <w14:textFill>
            <w14:solidFill>
              <w14:schemeClr w14:val="tx1"/>
            </w14:solidFill>
          </w14:textFill>
        </w:rPr>
        <w:t>20.3争议评审</w:t>
      </w:r>
      <w:bookmarkEnd w:id="531"/>
    </w:p>
    <w:bookmarkEnd w:id="532"/>
    <w:bookmarkEnd w:id="533"/>
    <w:bookmarkEnd w:id="534"/>
    <w:p w14:paraId="51E48AC7">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合同当事人在专用合同条款中约定采取争议评审方式解决争议以及评审规则，并按下列约定执行： </w:t>
      </w:r>
    </w:p>
    <w:p w14:paraId="20415D4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20.3.1 争议评审小组的确定</w:t>
      </w:r>
    </w:p>
    <w:p w14:paraId="50CBE5E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14:paraId="3B4B7E8B">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1857D1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除专用合同条款另有约定外，评审员报酬由发包人和承包人各承担一半。</w:t>
      </w:r>
    </w:p>
    <w:p w14:paraId="62C3663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20.3.2 争议评审小组的决定</w:t>
      </w:r>
    </w:p>
    <w:p w14:paraId="1BA9FB1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BC4065E">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20.3.3 争议评审小组决定的效力</w:t>
      </w:r>
    </w:p>
    <w:p w14:paraId="5401FEF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争议评审小组作出的书面决定经合同当事人签字确认后，对双方具有约束力，双方应遵照执行。</w:t>
      </w:r>
    </w:p>
    <w:p w14:paraId="3A52EC19">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任何一方当事人不接受争议评审小组决定或不履行争议评审小组决定的，双方可选择采用其他争议解决方式。</w:t>
      </w:r>
    </w:p>
    <w:p w14:paraId="77BF33FA">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35" w:name="_Toc351203630"/>
      <w:bookmarkStart w:id="536" w:name="_Toc337558844"/>
      <w:bookmarkStart w:id="537" w:name="_Toc296503150"/>
      <w:bookmarkStart w:id="538" w:name="_Toc296346651"/>
      <w:r>
        <w:rPr>
          <w:rFonts w:hint="eastAsia" w:ascii="宋体" w:hAnsi="宋体" w:eastAsia="宋体" w:cs="宋体"/>
          <w:b w:val="0"/>
          <w:color w:val="000000" w:themeColor="text1"/>
          <w:sz w:val="24"/>
          <w:szCs w:val="24"/>
          <w:highlight w:val="none"/>
          <w14:textFill>
            <w14:solidFill>
              <w14:schemeClr w14:val="tx1"/>
            </w14:solidFill>
          </w14:textFill>
        </w:rPr>
        <w:t>20.4仲裁或诉讼</w:t>
      </w:r>
      <w:bookmarkEnd w:id="535"/>
    </w:p>
    <w:bookmarkEnd w:id="536"/>
    <w:bookmarkEnd w:id="537"/>
    <w:bookmarkEnd w:id="538"/>
    <w:p w14:paraId="11F4EDF6">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因合同及合同有关事项产生的争议，合同当事人可以在专用合同条款中约定以下一种方式解决争议：</w:t>
      </w:r>
    </w:p>
    <w:p w14:paraId="657F5594">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（1）向约定的仲裁委员会申请仲裁；</w:t>
      </w:r>
    </w:p>
    <w:p w14:paraId="40244E55">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（2）向有管辖权的人民法院起诉。</w:t>
      </w:r>
    </w:p>
    <w:p w14:paraId="159EADA9">
      <w:pPr>
        <w:pStyle w:val="6"/>
        <w:pageBreakBefore w:val="0"/>
        <w:widowControl w:val="0"/>
        <w:shd w:val="clear"/>
        <w:kinsoku/>
        <w:wordWrap/>
        <w:overflowPunct/>
        <w:topLinePunct w:val="0"/>
        <w:bidi w:val="0"/>
        <w:snapToGrid/>
        <w:spacing w:before="120" w:after="120" w:line="380" w:lineRule="exact"/>
        <w:ind w:firstLine="480" w:firstLineChars="200"/>
        <w:textAlignment w:val="auto"/>
        <w:rPr>
          <w:rFonts w:ascii="宋体" w:hAnsi="宋体" w:eastAsia="宋体" w:cs="宋体"/>
          <w:b w:val="0"/>
          <w:color w:val="000000" w:themeColor="text1"/>
          <w:sz w:val="24"/>
          <w:szCs w:val="24"/>
          <w:highlight w:val="none"/>
          <w14:textFill>
            <w14:solidFill>
              <w14:schemeClr w14:val="tx1"/>
            </w14:solidFill>
          </w14:textFill>
        </w:rPr>
      </w:pPr>
      <w:bookmarkStart w:id="539" w:name="_Toc351203631"/>
      <w:bookmarkStart w:id="540" w:name="_Toc296503152"/>
      <w:bookmarkStart w:id="541" w:name="_Toc296346653"/>
      <w:bookmarkStart w:id="542" w:name="_Toc337558845"/>
      <w:r>
        <w:rPr>
          <w:rFonts w:hint="eastAsia" w:ascii="宋体" w:hAnsi="宋体" w:eastAsia="宋体" w:cs="宋体"/>
          <w:b w:val="0"/>
          <w:color w:val="000000" w:themeColor="text1"/>
          <w:sz w:val="24"/>
          <w:szCs w:val="24"/>
          <w:highlight w:val="none"/>
          <w14:textFill>
            <w14:solidFill>
              <w14:schemeClr w14:val="tx1"/>
            </w14:solidFill>
          </w14:textFill>
        </w:rPr>
        <w:t>20.5争议解决条款效力</w:t>
      </w:r>
      <w:bookmarkEnd w:id="539"/>
    </w:p>
    <w:bookmarkEnd w:id="540"/>
    <w:bookmarkEnd w:id="541"/>
    <w:bookmarkEnd w:id="542"/>
    <w:p w14:paraId="6F84899A">
      <w:pPr>
        <w:pageBreakBefore w:val="0"/>
        <w:widowControl w:val="0"/>
        <w:shd w:val="clear"/>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合同有关争议解决的条款独立存在，合同的变更、解除、终止、无效或者被撤销均不影响其效力。 </w:t>
      </w:r>
    </w:p>
    <w:p w14:paraId="689B77EF">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32B402D9">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47B794B0">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3378C36B">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14592A57">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7D9735B9">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105DF71B">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43D67BD1">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59A30EFB">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35760954">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3453F33D">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6D878332">
      <w:pPr>
        <w:pStyle w:val="15"/>
        <w:shd w:val="clear"/>
        <w:rPr>
          <w:rFonts w:hint="eastAsia" w:ascii="宋体" w:hAnsi="宋体" w:eastAsia="宋体" w:cs="宋体"/>
          <w:color w:val="000000" w:themeColor="text1"/>
          <w:kern w:val="0"/>
          <w:sz w:val="24"/>
          <w:highlight w:val="none"/>
          <w14:textFill>
            <w14:solidFill>
              <w14:schemeClr w14:val="tx1"/>
            </w14:solidFill>
          </w14:textFill>
        </w:rPr>
      </w:pPr>
    </w:p>
    <w:p w14:paraId="557976FF">
      <w:pPr>
        <w:rPr>
          <w:rFonts w:hint="eastAsia"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spacing w:val="20"/>
          <w:sz w:val="30"/>
          <w:szCs w:val="30"/>
          <w:highlight w:val="none"/>
          <w14:textFill>
            <w14:solidFill>
              <w14:schemeClr w14:val="tx1"/>
            </w14:solidFill>
          </w14:textFill>
        </w:rPr>
        <w:br w:type="page"/>
      </w:r>
    </w:p>
    <w:p w14:paraId="0CA16416">
      <w:pPr>
        <w:pStyle w:val="3"/>
        <w:keepNext w:val="0"/>
        <w:keepLines w:val="0"/>
        <w:shd w:val="clear"/>
        <w:spacing w:line="312" w:lineRule="auto"/>
        <w:jc w:val="center"/>
        <w:outlineLvl w:val="1"/>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spacing w:val="20"/>
          <w:sz w:val="30"/>
          <w:szCs w:val="30"/>
          <w:highlight w:val="none"/>
          <w14:textFill>
            <w14:solidFill>
              <w14:schemeClr w14:val="tx1"/>
            </w14:solidFill>
          </w14:textFill>
        </w:rPr>
        <w:t>第三部分 专用合同条款</w:t>
      </w:r>
      <w:bookmarkEnd w:id="106"/>
      <w:bookmarkEnd w:id="107"/>
      <w:bookmarkEnd w:id="108"/>
      <w:bookmarkEnd w:id="110"/>
      <w:bookmarkEnd w:id="111"/>
      <w:bookmarkEnd w:id="112"/>
      <w:bookmarkEnd w:id="113"/>
      <w:bookmarkEnd w:id="114"/>
      <w:bookmarkEnd w:id="115"/>
    </w:p>
    <w:p w14:paraId="235B70C7">
      <w:pPr>
        <w:shd w:val="clear"/>
        <w:spacing w:line="312" w:lineRule="auto"/>
        <w:rPr>
          <w:color w:val="000000" w:themeColor="text1"/>
          <w:highlight w:val="none"/>
          <w14:textFill>
            <w14:solidFill>
              <w14:schemeClr w14:val="tx1"/>
            </w14:solidFill>
          </w14:textFill>
        </w:rPr>
      </w:pPr>
    </w:p>
    <w:p w14:paraId="3B6C696D">
      <w:pPr>
        <w:pStyle w:val="4"/>
        <w:pageBreakBefore w:val="0"/>
        <w:widowControl w:val="0"/>
        <w:shd w:val="clear"/>
        <w:kinsoku/>
        <w:wordWrap/>
        <w:overflowPunct/>
        <w:topLinePunct w:val="0"/>
        <w:autoSpaceDE/>
        <w:autoSpaceDN/>
        <w:bidi w:val="0"/>
        <w:adjustRightInd w:val="0"/>
        <w:snapToGrid w:val="0"/>
        <w:spacing w:line="380" w:lineRule="exact"/>
        <w:textAlignment w:val="auto"/>
        <w:outlineLvl w:val="2"/>
        <w:rPr>
          <w:rFonts w:ascii="宋体" w:hAnsi="宋体" w:eastAsia="宋体" w:cs="宋体"/>
          <w:color w:val="000000" w:themeColor="text1"/>
          <w:spacing w:val="20"/>
          <w:sz w:val="24"/>
          <w:szCs w:val="40"/>
          <w:highlight w:val="none"/>
          <w14:textFill>
            <w14:solidFill>
              <w14:schemeClr w14:val="tx1"/>
            </w14:solidFill>
          </w14:textFill>
        </w:rPr>
      </w:pPr>
      <w:bookmarkStart w:id="543" w:name="_Toc373227692"/>
      <w:bookmarkStart w:id="544" w:name="_Toc373478339"/>
      <w:bookmarkStart w:id="545" w:name="_Toc14791"/>
      <w:bookmarkStart w:id="546" w:name="_Toc389065258"/>
      <w:bookmarkStart w:id="547" w:name="_Toc14784"/>
      <w:bookmarkStart w:id="548" w:name="_Toc439779031"/>
      <w:bookmarkStart w:id="549" w:name="_Toc461982826"/>
      <w:bookmarkStart w:id="550" w:name="_Toc351203633"/>
      <w:bookmarkStart w:id="551" w:name="_Toc296346657"/>
      <w:bookmarkStart w:id="552" w:name="_Toc297048342"/>
      <w:bookmarkStart w:id="553" w:name="_Toc292559866"/>
      <w:bookmarkStart w:id="554" w:name="_Toc296347155"/>
      <w:bookmarkStart w:id="555" w:name="_Toc292559361"/>
      <w:bookmarkStart w:id="556" w:name="_Toc296891196"/>
      <w:bookmarkStart w:id="557" w:name="_Toc296503156"/>
      <w:bookmarkStart w:id="558" w:name="_Toc296890984"/>
      <w:bookmarkStart w:id="559" w:name="_Toc297120456"/>
      <w:bookmarkStart w:id="560" w:name="_Toc296944495"/>
      <w:r>
        <w:rPr>
          <w:rFonts w:hint="eastAsia" w:ascii="宋体" w:hAnsi="宋体" w:eastAsia="宋体" w:cs="宋体"/>
          <w:color w:val="000000" w:themeColor="text1"/>
          <w:spacing w:val="20"/>
          <w:sz w:val="24"/>
          <w:szCs w:val="40"/>
          <w:highlight w:val="none"/>
          <w14:textFill>
            <w14:solidFill>
              <w14:schemeClr w14:val="tx1"/>
            </w14:solidFill>
          </w14:textFill>
        </w:rPr>
        <w:t>一. 一般约定</w:t>
      </w:r>
      <w:bookmarkEnd w:id="543"/>
      <w:bookmarkEnd w:id="544"/>
      <w:bookmarkEnd w:id="545"/>
      <w:bookmarkEnd w:id="546"/>
      <w:bookmarkEnd w:id="547"/>
      <w:bookmarkEnd w:id="548"/>
      <w:bookmarkEnd w:id="549"/>
      <w:bookmarkEnd w:id="550"/>
    </w:p>
    <w:bookmarkEnd w:id="551"/>
    <w:bookmarkEnd w:id="552"/>
    <w:bookmarkEnd w:id="553"/>
    <w:bookmarkEnd w:id="554"/>
    <w:bookmarkEnd w:id="555"/>
    <w:bookmarkEnd w:id="556"/>
    <w:bookmarkEnd w:id="557"/>
    <w:bookmarkEnd w:id="558"/>
    <w:bookmarkEnd w:id="559"/>
    <w:bookmarkEnd w:id="560"/>
    <w:p w14:paraId="2FF5FBB6">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40"/>
          <w:highlight w:val="none"/>
          <w14:textFill>
            <w14:solidFill>
              <w14:schemeClr w14:val="tx1"/>
            </w14:solidFill>
          </w14:textFill>
        </w:rPr>
      </w:pPr>
      <w:bookmarkStart w:id="561" w:name="_Toc461982827"/>
      <w:bookmarkStart w:id="562" w:name="_Toc373227693"/>
      <w:bookmarkStart w:id="563" w:name="_Toc439779032"/>
      <w:bookmarkStart w:id="564" w:name="_Toc389065259"/>
      <w:bookmarkStart w:id="565" w:name="_Toc16308"/>
      <w:bookmarkStart w:id="566" w:name="_Toc20097"/>
      <w:bookmarkStart w:id="567" w:name="_Toc373478340"/>
      <w:r>
        <w:rPr>
          <w:rFonts w:hint="eastAsia" w:ascii="宋体" w:hAnsi="宋体" w:eastAsia="宋体" w:cs="宋体"/>
          <w:color w:val="000000" w:themeColor="text1"/>
          <w:spacing w:val="20"/>
          <w:sz w:val="24"/>
          <w:szCs w:val="40"/>
          <w:highlight w:val="none"/>
          <w14:textFill>
            <w14:solidFill>
              <w14:schemeClr w14:val="tx1"/>
            </w14:solidFill>
          </w14:textFill>
        </w:rPr>
        <w:t>1.1 词语定义</w:t>
      </w:r>
      <w:bookmarkEnd w:id="561"/>
      <w:bookmarkEnd w:id="562"/>
      <w:bookmarkEnd w:id="563"/>
      <w:bookmarkEnd w:id="564"/>
      <w:bookmarkEnd w:id="565"/>
      <w:bookmarkEnd w:id="566"/>
      <w:bookmarkEnd w:id="567"/>
    </w:p>
    <w:p w14:paraId="31194B33">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1.1.1 合同</w:t>
      </w:r>
    </w:p>
    <w:p w14:paraId="5CD8A3ED">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1.1.1.10 其他合同文件包括：</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投标文件及其附件，招标文件（含补充通知和答疑），履约保证经缴纳证明，履约过程中双方法定代表人（或双方工地代表人）书面确认的对合同内容有实质性影响的会议纪要、签证、设计变更等资料 </w:t>
      </w:r>
      <w:r>
        <w:rPr>
          <w:rFonts w:hint="eastAsia" w:ascii="宋体" w:hAnsi="宋体" w:eastAsia="宋体" w:cs="宋体"/>
          <w:color w:val="000000" w:themeColor="text1"/>
          <w:spacing w:val="20"/>
          <w:sz w:val="24"/>
          <w:highlight w:val="none"/>
          <w14:textFill>
            <w14:solidFill>
              <w14:schemeClr w14:val="tx1"/>
            </w14:solidFill>
          </w14:textFill>
        </w:rPr>
        <w:t>。</w:t>
      </w:r>
    </w:p>
    <w:p w14:paraId="28C6F261">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40"/>
          <w:highlight w:val="none"/>
          <w14:textFill>
            <w14:solidFill>
              <w14:schemeClr w14:val="tx1"/>
            </w14:solidFill>
          </w14:textFill>
        </w:rPr>
      </w:pPr>
      <w:bookmarkStart w:id="568" w:name="_Toc461982830"/>
      <w:bookmarkStart w:id="569" w:name="_Toc25240"/>
      <w:bookmarkStart w:id="570" w:name="_Toc373227696"/>
      <w:bookmarkStart w:id="571" w:name="_Toc373478343"/>
      <w:bookmarkStart w:id="572" w:name="_Toc26377"/>
      <w:bookmarkStart w:id="573" w:name="_Toc439779035"/>
      <w:bookmarkStart w:id="574" w:name="_Toc389065262"/>
      <w:r>
        <w:rPr>
          <w:rFonts w:hint="eastAsia" w:ascii="宋体" w:hAnsi="宋体" w:eastAsia="宋体" w:cs="宋体"/>
          <w:color w:val="000000" w:themeColor="text1"/>
          <w:spacing w:val="20"/>
          <w:sz w:val="24"/>
          <w:szCs w:val="40"/>
          <w:highlight w:val="none"/>
          <w14:textFill>
            <w14:solidFill>
              <w14:schemeClr w14:val="tx1"/>
            </w14:solidFill>
          </w14:textFill>
        </w:rPr>
        <w:t>1.4 合同文件的优先顺序</w:t>
      </w:r>
      <w:bookmarkEnd w:id="568"/>
      <w:bookmarkEnd w:id="569"/>
      <w:bookmarkEnd w:id="570"/>
      <w:bookmarkEnd w:id="571"/>
      <w:bookmarkEnd w:id="572"/>
      <w:bookmarkEnd w:id="573"/>
      <w:bookmarkEnd w:id="574"/>
    </w:p>
    <w:p w14:paraId="6CFF0D34">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合同文件组成及优先顺序为：</w:t>
      </w:r>
    </w:p>
    <w:p w14:paraId="75F71497">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（1）中标通知书；</w:t>
      </w:r>
    </w:p>
    <w:p w14:paraId="08268332">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（2）投标函及其附录；</w:t>
      </w:r>
    </w:p>
    <w:p w14:paraId="79B2EF72">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（3）专用合同条款及其附件；</w:t>
      </w:r>
    </w:p>
    <w:p w14:paraId="318143C5">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（4）通用合同条款；</w:t>
      </w:r>
    </w:p>
    <w:p w14:paraId="1CFC1F6F">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（5）</w:t>
      </w:r>
      <w:r>
        <w:rPr>
          <w:rFonts w:hint="eastAsia" w:ascii="宋体" w:hAnsi="宋体" w:eastAsia="宋体" w:cs="宋体"/>
          <w:color w:val="000000" w:themeColor="text1"/>
          <w:spacing w:val="20"/>
          <w:kern w:val="0"/>
          <w:sz w:val="24"/>
          <w:highlight w:val="none"/>
          <w:u w:val="single"/>
          <w14:textFill>
            <w14:solidFill>
              <w14:schemeClr w14:val="tx1"/>
            </w14:solidFill>
          </w14:textFill>
        </w:rPr>
        <w:t xml:space="preserve"> 技术标准和要求          </w:t>
      </w:r>
      <w:r>
        <w:rPr>
          <w:rFonts w:hint="eastAsia" w:ascii="宋体" w:hAnsi="宋体" w:eastAsia="宋体" w:cs="宋体"/>
          <w:color w:val="000000" w:themeColor="text1"/>
          <w:spacing w:val="20"/>
          <w:kern w:val="0"/>
          <w:sz w:val="24"/>
          <w:highlight w:val="none"/>
          <w14:textFill>
            <w14:solidFill>
              <w14:schemeClr w14:val="tx1"/>
            </w14:solidFill>
          </w14:textFill>
        </w:rPr>
        <w:t>；</w:t>
      </w:r>
    </w:p>
    <w:p w14:paraId="4F3552A5">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（6）</w:t>
      </w:r>
      <w:r>
        <w:rPr>
          <w:rFonts w:hint="eastAsia" w:ascii="宋体" w:hAnsi="宋体" w:eastAsia="宋体" w:cs="宋体"/>
          <w:color w:val="000000" w:themeColor="text1"/>
          <w:spacing w:val="20"/>
          <w:kern w:val="0"/>
          <w:sz w:val="24"/>
          <w:highlight w:val="none"/>
          <w:u w:val="single"/>
          <w14:textFill>
            <w14:solidFill>
              <w14:schemeClr w14:val="tx1"/>
            </w14:solidFill>
          </w14:textFill>
        </w:rPr>
        <w:t xml:space="preserve"> 施工图纸                </w:t>
      </w:r>
      <w:r>
        <w:rPr>
          <w:rFonts w:hint="eastAsia" w:ascii="宋体" w:hAnsi="宋体" w:eastAsia="宋体" w:cs="宋体"/>
          <w:color w:val="000000" w:themeColor="text1"/>
          <w:spacing w:val="20"/>
          <w:kern w:val="0"/>
          <w:sz w:val="24"/>
          <w:highlight w:val="none"/>
          <w14:textFill>
            <w14:solidFill>
              <w14:schemeClr w14:val="tx1"/>
            </w14:solidFill>
          </w14:textFill>
        </w:rPr>
        <w:t>；</w:t>
      </w:r>
    </w:p>
    <w:p w14:paraId="3C9435BA">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（7）</w:t>
      </w:r>
      <w:r>
        <w:rPr>
          <w:rFonts w:hint="eastAsia" w:ascii="宋体" w:hAnsi="宋体" w:eastAsia="宋体" w:cs="宋体"/>
          <w:color w:val="000000" w:themeColor="text1"/>
          <w:spacing w:val="20"/>
          <w:kern w:val="0"/>
          <w:sz w:val="24"/>
          <w:highlight w:val="none"/>
          <w:u w:val="single"/>
          <w14:textFill>
            <w14:solidFill>
              <w14:schemeClr w14:val="tx1"/>
            </w14:solidFill>
          </w14:textFill>
        </w:rPr>
        <w:t xml:space="preserve"> 已标价的工程量清单（投标文件）</w:t>
      </w:r>
      <w:r>
        <w:rPr>
          <w:rFonts w:hint="eastAsia" w:ascii="宋体" w:hAnsi="宋体" w:eastAsia="宋体" w:cs="宋体"/>
          <w:color w:val="000000" w:themeColor="text1"/>
          <w:spacing w:val="20"/>
          <w:kern w:val="0"/>
          <w:sz w:val="24"/>
          <w:highlight w:val="none"/>
          <w14:textFill>
            <w14:solidFill>
              <w14:schemeClr w14:val="tx1"/>
            </w14:solidFill>
          </w14:textFill>
        </w:rPr>
        <w:t>；</w:t>
      </w:r>
    </w:p>
    <w:p w14:paraId="3477C823">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（8）</w:t>
      </w:r>
      <w:r>
        <w:rPr>
          <w:rFonts w:hint="eastAsia" w:ascii="宋体" w:hAnsi="宋体" w:eastAsia="宋体" w:cs="宋体"/>
          <w:color w:val="000000" w:themeColor="text1"/>
          <w:spacing w:val="20"/>
          <w:kern w:val="0"/>
          <w:sz w:val="24"/>
          <w:highlight w:val="none"/>
          <w:u w:val="single"/>
          <w14:textFill>
            <w14:solidFill>
              <w14:schemeClr w14:val="tx1"/>
            </w14:solidFill>
          </w14:textFill>
        </w:rPr>
        <w:t xml:space="preserve"> 其他合同文件、设计变更等文件  </w:t>
      </w:r>
      <w:r>
        <w:rPr>
          <w:rFonts w:hint="eastAsia" w:ascii="宋体" w:hAnsi="宋体" w:eastAsia="宋体" w:cs="宋体"/>
          <w:color w:val="000000" w:themeColor="text1"/>
          <w:spacing w:val="20"/>
          <w:kern w:val="0"/>
          <w:sz w:val="24"/>
          <w:highlight w:val="none"/>
          <w14:textFill>
            <w14:solidFill>
              <w14:schemeClr w14:val="tx1"/>
            </w14:solidFill>
          </w14:textFill>
        </w:rPr>
        <w:t>。</w:t>
      </w:r>
    </w:p>
    <w:p w14:paraId="5C24E1B8">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（9）《建设工程工程量清单计价规范（GB5050-2013）》及其广西实施细则、《建设工程工程量清单计算规范（GB5854~50862-2013）》及其广西实施细则。</w:t>
      </w:r>
    </w:p>
    <w:p w14:paraId="0297159E">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说明：（6）、（7）、（8）填空内容分别限于技术标准和要求、图纸、已标价工程量清单或预算书、其他合同文件四者之一，其优先顺序可根据采取的不同合同方式由双方约定。</w:t>
      </w:r>
    </w:p>
    <w:p w14:paraId="775961A0">
      <w:pPr>
        <w:pageBreakBefore w:val="0"/>
        <w:widowControl w:val="0"/>
        <w:numPr>
          <w:ilvl w:val="0"/>
          <w:numId w:val="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语言文字和适用法律、标准及规范</w:t>
      </w:r>
    </w:p>
    <w:p w14:paraId="41C18E2A">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3.1本合同除使用汉语外，还使用</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无其他 </w:t>
      </w:r>
      <w:r>
        <w:rPr>
          <w:rFonts w:hint="eastAsia" w:ascii="宋体" w:hAnsi="宋体" w:eastAsia="宋体" w:cs="宋体"/>
          <w:color w:val="000000" w:themeColor="text1"/>
          <w:spacing w:val="20"/>
          <w:sz w:val="24"/>
          <w:szCs w:val="32"/>
          <w:highlight w:val="none"/>
          <w14:textFill>
            <w14:solidFill>
              <w14:schemeClr w14:val="tx1"/>
            </w14:solidFill>
          </w14:textFill>
        </w:rPr>
        <w:t>语言文字</w:t>
      </w:r>
    </w:p>
    <w:p w14:paraId="0434ABD9">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3.2法律和法规</w:t>
      </w:r>
    </w:p>
    <w:p w14:paraId="1D100C63">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 xml:space="preserve">  需要明示的法律、行政法规：</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按合同签订时国家现行法律、行政法规及工程所在地政府的有关法规和规章。</w:t>
      </w:r>
    </w:p>
    <w:p w14:paraId="2DE63B64">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发包人提供标准、规范时间：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 。</w:t>
      </w:r>
    </w:p>
    <w:p w14:paraId="3AB168C5">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国内没有相应的标准、规范时的约定：</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w:t>
      </w:r>
    </w:p>
    <w:p w14:paraId="69D411DB">
      <w:pPr>
        <w:pageBreakBefore w:val="0"/>
        <w:widowControl w:val="0"/>
        <w:numPr>
          <w:ilvl w:val="0"/>
          <w:numId w:val="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图纸</w:t>
      </w:r>
    </w:p>
    <w:p w14:paraId="1D20C209">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4.1发包人向承包人提供图纸日期和套数：</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签订合同起5个工作日内提供一式肆份设计图纸。</w:t>
      </w:r>
    </w:p>
    <w:p w14:paraId="47C32DB7">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4.2发包人对图纸的保密要求：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未经发包人同意，承包人不得将图纸转借给第三人。</w:t>
      </w:r>
    </w:p>
    <w:p w14:paraId="3C3DD17E">
      <w:pPr>
        <w:pageBreakBefore w:val="0"/>
        <w:widowControl w:val="0"/>
        <w:numPr>
          <w:ilvl w:val="0"/>
          <w:numId w:val="6"/>
        </w:numPr>
        <w:shd w:val="clear"/>
        <w:kinsoku/>
        <w:wordWrap/>
        <w:overflowPunct/>
        <w:topLinePunct w:val="0"/>
        <w:autoSpaceDE/>
        <w:autoSpaceDN/>
        <w:bidi w:val="0"/>
        <w:adjustRightInd w:val="0"/>
        <w:snapToGrid w:val="0"/>
        <w:spacing w:line="380" w:lineRule="exact"/>
        <w:textAlignment w:val="auto"/>
        <w:outlineLvl w:val="2"/>
        <w:rPr>
          <w:rFonts w:ascii="宋体" w:hAnsi="宋体" w:eastAsia="宋体" w:cs="宋体"/>
          <w:b/>
          <w:bCs/>
          <w:color w:val="000000" w:themeColor="text1"/>
          <w:spacing w:val="20"/>
          <w:sz w:val="24"/>
          <w:szCs w:val="32"/>
          <w:highlight w:val="none"/>
          <w14:textFill>
            <w14:solidFill>
              <w14:schemeClr w14:val="tx1"/>
            </w14:solidFill>
          </w14:textFill>
        </w:rPr>
      </w:pPr>
      <w:r>
        <w:rPr>
          <w:rFonts w:hint="eastAsia" w:ascii="宋体" w:hAnsi="宋体" w:eastAsia="宋体" w:cs="宋体"/>
          <w:b/>
          <w:bCs/>
          <w:color w:val="000000" w:themeColor="text1"/>
          <w:spacing w:val="20"/>
          <w:sz w:val="24"/>
          <w:szCs w:val="32"/>
          <w:highlight w:val="none"/>
          <w14:textFill>
            <w14:solidFill>
              <w14:schemeClr w14:val="tx1"/>
            </w14:solidFill>
          </w14:textFill>
        </w:rPr>
        <w:t>双方一般权利和义务</w:t>
      </w:r>
    </w:p>
    <w:p w14:paraId="347B3D8F">
      <w:pPr>
        <w:pageBreakBefore w:val="0"/>
        <w:widowControl w:val="0"/>
        <w:numPr>
          <w:ilvl w:val="0"/>
          <w:numId w:val="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工程师：</w:t>
      </w:r>
    </w:p>
    <w:p w14:paraId="128A78E1">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 xml:space="preserve">  5.1监理单位：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p>
    <w:p w14:paraId="61DA0AB5">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委派的工程师姓名：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职务：</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p>
    <w:p w14:paraId="6AB59134">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发包人委托是职权：</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按本工程委托监理合同 </w:t>
      </w:r>
    </w:p>
    <w:p w14:paraId="6DAFCF18">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需要取得发包人批准才能行使的职权：</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按本合同委托监理合同 。</w:t>
      </w:r>
    </w:p>
    <w:p w14:paraId="2C8F05A9">
      <w:pPr>
        <w:pageBreakBefore w:val="0"/>
        <w:widowControl w:val="0"/>
        <w:shd w:val="clear"/>
        <w:kinsoku/>
        <w:wordWrap/>
        <w:overflowPunct/>
        <w:topLinePunct w:val="0"/>
        <w:autoSpaceDE/>
        <w:autoSpaceDN/>
        <w:bidi w:val="0"/>
        <w:adjustRightInd w:val="0"/>
        <w:snapToGrid w:val="0"/>
        <w:spacing w:line="380" w:lineRule="exact"/>
        <w:ind w:firstLine="280" w:firstLineChars="100"/>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5.2发包人派驻的工程师</w:t>
      </w:r>
    </w:p>
    <w:p w14:paraId="0E5F71B4">
      <w:pPr>
        <w:pageBreakBefore w:val="0"/>
        <w:widowControl w:val="0"/>
        <w:shd w:val="clear"/>
        <w:kinsoku/>
        <w:wordWrap/>
        <w:overflowPunct/>
        <w:topLinePunct w:val="0"/>
        <w:autoSpaceDE/>
        <w:autoSpaceDN/>
        <w:bidi w:val="0"/>
        <w:adjustRightInd w:val="0"/>
        <w:snapToGrid w:val="0"/>
        <w:spacing w:line="380" w:lineRule="exact"/>
        <w:ind w:firstLine="280" w:firstLineChars="100"/>
        <w:textAlignment w:val="auto"/>
        <w:outlineLvl w:val="9"/>
        <w:rPr>
          <w:rFonts w:hint="default" w:ascii="宋体" w:hAnsi="宋体" w:eastAsia="宋体" w:cs="宋体"/>
          <w:color w:val="000000" w:themeColor="text1"/>
          <w:spacing w:val="2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姓名：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职位：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p>
    <w:p w14:paraId="372E3C36">
      <w:pPr>
        <w:pageBreakBefore w:val="0"/>
        <w:widowControl w:val="0"/>
        <w:shd w:val="clear"/>
        <w:kinsoku/>
        <w:wordWrap/>
        <w:overflowPunct/>
        <w:topLinePunct w:val="0"/>
        <w:autoSpaceDE/>
        <w:autoSpaceDN/>
        <w:bidi w:val="0"/>
        <w:adjustRightInd w:val="0"/>
        <w:snapToGrid w:val="0"/>
        <w:spacing w:line="380" w:lineRule="exact"/>
        <w:ind w:firstLine="280" w:firstLineChars="100"/>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职权：</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负责工程施工的协调工作，负责施工工程有关验收、签证、结算、工程资料审查等工作。</w:t>
      </w:r>
    </w:p>
    <w:p w14:paraId="273C3A30">
      <w:pPr>
        <w:pageBreakBefore w:val="0"/>
        <w:widowControl w:val="0"/>
        <w:shd w:val="clear"/>
        <w:kinsoku/>
        <w:wordWrap/>
        <w:overflowPunct/>
        <w:topLinePunct w:val="0"/>
        <w:autoSpaceDE/>
        <w:autoSpaceDN/>
        <w:bidi w:val="0"/>
        <w:adjustRightInd w:val="0"/>
        <w:snapToGrid w:val="0"/>
        <w:spacing w:line="380" w:lineRule="exact"/>
        <w:ind w:firstLine="280" w:firstLineChars="100"/>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5.3不实行监理的，工程师的职权：</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w:t>
      </w:r>
    </w:p>
    <w:p w14:paraId="1A34BFE1">
      <w:pPr>
        <w:pageBreakBefore w:val="0"/>
        <w:widowControl w:val="0"/>
        <w:numPr>
          <w:ilvl w:val="0"/>
          <w:numId w:val="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项目经理</w:t>
      </w:r>
    </w:p>
    <w:p w14:paraId="55F6B068">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姓名：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14:textFill>
            <w14:solidFill>
              <w14:schemeClr w14:val="tx1"/>
            </w14:solidFill>
          </w14:textFill>
        </w:rPr>
        <w:t xml:space="preserve">    职务：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w:t>
      </w:r>
    </w:p>
    <w:p w14:paraId="5FAE331E">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8、发包人工作</w:t>
      </w:r>
    </w:p>
    <w:p w14:paraId="682DD0B3">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8.1发包人应按约定的时间和要求完成以下工作：</w:t>
      </w:r>
    </w:p>
    <w:p w14:paraId="39DE98A5">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施工场地具备施工条件的要求及完成的时间：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开工前7日，发包人移交施工工地等工作。</w:t>
      </w:r>
    </w:p>
    <w:p w14:paraId="1EE9266A">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将施工所需的水、电、电讯线路接至施工场地的时间、地点和供应要求：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协调提供水、电接口；电讯线路由承包人自行处理。水、电、通讯费用由承包人支付。</w:t>
      </w:r>
    </w:p>
    <w:p w14:paraId="429285F3">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施工场地与公共道路的通道开通时间和要求：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开工前7天做到施工现场周围道路畅通，并满足施工运输需要。</w:t>
      </w:r>
    </w:p>
    <w:p w14:paraId="60E1B054">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工程地质和地下管线资料的提供时间：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与开工前7天提供一套完整、准确的地质资料（应含有地下管线的走向及所埋深度等内容）。</w:t>
      </w:r>
    </w:p>
    <w:p w14:paraId="6587E9B7">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由发包人办理的施工所需证件、批件的名称和完成时间：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开工7日前办理好施工许可证和临时用地证等开工所需的全部证件和批件。</w:t>
      </w:r>
    </w:p>
    <w:p w14:paraId="6BD75222">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水准点与坐标控制点交验要求：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发包人在开工前以书面形式交给承包人，并双方在现场进行交验。</w:t>
      </w:r>
    </w:p>
    <w:p w14:paraId="7AD30E80">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图纸会审和设计交底时间：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于开工前7天，组织承包人、设计、地质勘探、监理等相关单位进行图纸会审和设计交底。</w:t>
      </w:r>
    </w:p>
    <w:p w14:paraId="212A46E9">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协调处理施工场地周围地下管线和邻近建筑物、构筑物（含文物保护建筑）、古树名木的保护工作：</w:t>
      </w:r>
      <w:r>
        <w:rPr>
          <w:rFonts w:hint="eastAsia" w:ascii="宋体" w:hAnsi="宋体" w:eastAsia="宋体" w:cs="宋体"/>
          <w:color w:val="000000" w:themeColor="text1"/>
          <w:spacing w:val="20"/>
          <w:sz w:val="24"/>
          <w:szCs w:val="32"/>
          <w:highlight w:val="none"/>
          <w:u w:val="single"/>
          <w14:textFill>
            <w14:solidFill>
              <w14:schemeClr w14:val="tx1"/>
            </w14:solidFill>
          </w14:textFill>
        </w:rPr>
        <w:t>由发包人负责协调，承包人负责保护，费用由发包人承担。</w:t>
      </w:r>
    </w:p>
    <w:p w14:paraId="469A8F09">
      <w:pPr>
        <w:pageBreakBefore w:val="0"/>
        <w:widowControl w:val="0"/>
        <w:numPr>
          <w:ilvl w:val="0"/>
          <w:numId w:val="7"/>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 xml:space="preserve">双方约定发包人应做的其他工作： </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 。</w:t>
      </w:r>
    </w:p>
    <w:p w14:paraId="1DEE0569">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8.2发包人委托承包人办理的工作：</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 。</w:t>
      </w:r>
    </w:p>
    <w:p w14:paraId="449E1729">
      <w:pPr>
        <w:pageBreakBefore w:val="0"/>
        <w:widowControl w:val="0"/>
        <w:numPr>
          <w:ilvl w:val="0"/>
          <w:numId w:val="8"/>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承包人工作</w:t>
      </w:r>
    </w:p>
    <w:p w14:paraId="2C01B0D5">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9.1承包人应按约定时间和要求，完成以下工作：</w:t>
      </w:r>
    </w:p>
    <w:p w14:paraId="1693A34A">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需由设计资质等级和业务范围允许的承包人完成的设计文件提交时间：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w:t>
      </w:r>
    </w:p>
    <w:p w14:paraId="621873B2">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应提供计划、报表的名称及完成时间：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每月25日提供当月完成工程量报表、次月计划完成工程量报表各两份。</w:t>
      </w:r>
    </w:p>
    <w:p w14:paraId="3B4419ED">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承担施工安全保卫工作及非夜间施工照明的责任和要求：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提供和维修非夜间施工使用的照明、围栏设施，并负责安全保卫。</w:t>
      </w:r>
    </w:p>
    <w:p w14:paraId="4D98EC22">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已完工程品保护的特殊要求及费用承担：</w:t>
      </w:r>
      <w:r>
        <w:rPr>
          <w:rFonts w:hint="eastAsia" w:ascii="宋体" w:hAnsi="宋体" w:eastAsia="宋体" w:cs="宋体"/>
          <w:color w:val="000000" w:themeColor="text1"/>
          <w:spacing w:val="20"/>
          <w:sz w:val="24"/>
          <w:szCs w:val="32"/>
          <w:highlight w:val="none"/>
          <w:u w:val="single"/>
          <w14:textFill>
            <w14:solidFill>
              <w14:schemeClr w14:val="tx1"/>
            </w14:solidFill>
          </w14:textFill>
        </w:rPr>
        <w:t>在竣工验收移交全部工程前，由承包人负责采取保护措施，并承担费用。</w:t>
      </w:r>
    </w:p>
    <w:p w14:paraId="3DA87520">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施工场地设置地下管线和邻近建筑物、构筑物（含文物保护建筑）、古树名木的保护要求及费用承担：</w:t>
      </w:r>
      <w:r>
        <w:rPr>
          <w:rFonts w:hint="eastAsia" w:ascii="宋体" w:hAnsi="宋体" w:eastAsia="宋体" w:cs="宋体"/>
          <w:color w:val="000000" w:themeColor="text1"/>
          <w:spacing w:val="20"/>
          <w:sz w:val="24"/>
          <w:szCs w:val="32"/>
          <w:highlight w:val="none"/>
          <w:u w:val="single"/>
          <w14:textFill>
            <w14:solidFill>
              <w14:schemeClr w14:val="tx1"/>
            </w14:solidFill>
          </w14:textFill>
        </w:rPr>
        <w:t>由发包人负责协调，相关费用由发包人承担，承包人负责保护，施工时如因承包人原因损坏地下管线，邻近建筑物、构筑物，所发生的费用由承包人负责承担。</w:t>
      </w:r>
    </w:p>
    <w:p w14:paraId="3666EC50">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施工场地清洁卫生的要求：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承包人保证施工场地清洁符合环境卫生管理的有关规定，交工前清理现场做到工完场清，并承担因自身原因违反有关规定造成损失和罚款。</w:t>
      </w:r>
    </w:p>
    <w:p w14:paraId="24CB32EB">
      <w:pPr>
        <w:pageBreakBefore w:val="0"/>
        <w:widowControl w:val="0"/>
        <w:numPr>
          <w:ilvl w:val="0"/>
          <w:numId w:val="9"/>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双方约定承包人应做的其他工作：</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2F3FCFDE">
      <w:pPr>
        <w:pageBreakBefore w:val="0"/>
        <w:widowControl w:val="0"/>
        <w:numPr>
          <w:ilvl w:val="0"/>
          <w:numId w:val="6"/>
        </w:numPr>
        <w:shd w:val="clear"/>
        <w:kinsoku/>
        <w:wordWrap/>
        <w:overflowPunct/>
        <w:topLinePunct w:val="0"/>
        <w:autoSpaceDE/>
        <w:autoSpaceDN/>
        <w:bidi w:val="0"/>
        <w:adjustRightInd w:val="0"/>
        <w:snapToGrid w:val="0"/>
        <w:spacing w:line="380" w:lineRule="exact"/>
        <w:textAlignment w:val="auto"/>
        <w:outlineLvl w:val="2"/>
        <w:rPr>
          <w:rFonts w:ascii="宋体" w:hAnsi="宋体" w:eastAsia="宋体" w:cs="宋体"/>
          <w:b/>
          <w:bCs/>
          <w:color w:val="000000" w:themeColor="text1"/>
          <w:spacing w:val="20"/>
          <w:sz w:val="28"/>
          <w:szCs w:val="36"/>
          <w:highlight w:val="none"/>
          <w14:textFill>
            <w14:solidFill>
              <w14:schemeClr w14:val="tx1"/>
            </w14:solidFill>
          </w14:textFill>
        </w:rPr>
      </w:pPr>
      <w:r>
        <w:rPr>
          <w:rFonts w:hint="eastAsia" w:ascii="宋体" w:hAnsi="宋体" w:eastAsia="宋体" w:cs="宋体"/>
          <w:b/>
          <w:bCs/>
          <w:color w:val="000000" w:themeColor="text1"/>
          <w:spacing w:val="20"/>
          <w:sz w:val="28"/>
          <w:szCs w:val="36"/>
          <w:highlight w:val="none"/>
          <w14:textFill>
            <w14:solidFill>
              <w14:schemeClr w14:val="tx1"/>
            </w14:solidFill>
          </w14:textFill>
        </w:rPr>
        <w:t>施工组织设计个工期</w:t>
      </w:r>
    </w:p>
    <w:p w14:paraId="458E63EA">
      <w:pPr>
        <w:pageBreakBefore w:val="0"/>
        <w:widowControl w:val="0"/>
        <w:numPr>
          <w:ilvl w:val="0"/>
          <w:numId w:val="8"/>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进度计划</w:t>
      </w:r>
    </w:p>
    <w:p w14:paraId="7B341FC5">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10.1承包人提供施工组织设计（施工方案）和进度计划的时间：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合同签订之日起15日内，并全面动工建设。</w:t>
      </w:r>
    </w:p>
    <w:p w14:paraId="5EAA1200">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工程师确认的时间：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于收到之日起5日内批复。</w:t>
      </w:r>
    </w:p>
    <w:p w14:paraId="46C3905F">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10.2群体工程中有关进度计划的要求：</w:t>
      </w:r>
      <w:r>
        <w:rPr>
          <w:rFonts w:hint="eastAsia" w:ascii="宋体" w:hAnsi="宋体" w:eastAsia="宋体" w:cs="宋体"/>
          <w:color w:val="000000" w:themeColor="text1"/>
          <w:spacing w:val="20"/>
          <w:sz w:val="24"/>
          <w:szCs w:val="32"/>
          <w:highlight w:val="none"/>
          <w:u w:val="single"/>
          <w14:textFill>
            <w14:solidFill>
              <w14:schemeClr w14:val="tx1"/>
            </w14:solidFill>
          </w14:textFill>
        </w:rPr>
        <w:t>按投标文件计划。</w:t>
      </w:r>
    </w:p>
    <w:p w14:paraId="77EE109B">
      <w:pPr>
        <w:pageBreakBefore w:val="0"/>
        <w:widowControl w:val="0"/>
        <w:numPr>
          <w:ilvl w:val="0"/>
          <w:numId w:val="10"/>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工期延误</w:t>
      </w:r>
    </w:p>
    <w:p w14:paraId="4DF499C9">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13.1双方约定工期顺延的其他情况：</w:t>
      </w:r>
      <w:r>
        <w:rPr>
          <w:rFonts w:hint="eastAsia" w:ascii="宋体" w:hAnsi="宋体" w:eastAsia="宋体" w:cs="宋体"/>
          <w:color w:val="000000" w:themeColor="text1"/>
          <w:spacing w:val="20"/>
          <w:sz w:val="24"/>
          <w:szCs w:val="32"/>
          <w:highlight w:val="none"/>
          <w:u w:val="single"/>
          <w14:textFill>
            <w14:solidFill>
              <w14:schemeClr w14:val="tx1"/>
            </w14:solidFill>
          </w14:textFill>
        </w:rPr>
        <w:t>因工程行政主管部门指令性（除因施工方责任外）停工；发包人不能按时支付工程进度款给承包人；非承包人责任而造成的工期延误及发包人同意顺延工期的其他情况。</w:t>
      </w:r>
    </w:p>
    <w:p w14:paraId="021FC5D9">
      <w:pPr>
        <w:pageBreakBefore w:val="0"/>
        <w:widowControl w:val="0"/>
        <w:numPr>
          <w:ilvl w:val="0"/>
          <w:numId w:val="6"/>
        </w:numPr>
        <w:shd w:val="clear"/>
        <w:kinsoku/>
        <w:wordWrap/>
        <w:overflowPunct/>
        <w:topLinePunct w:val="0"/>
        <w:autoSpaceDE/>
        <w:autoSpaceDN/>
        <w:bidi w:val="0"/>
        <w:adjustRightInd w:val="0"/>
        <w:snapToGrid w:val="0"/>
        <w:spacing w:line="380" w:lineRule="exact"/>
        <w:textAlignment w:val="auto"/>
        <w:outlineLvl w:val="2"/>
        <w:rPr>
          <w:rFonts w:ascii="宋体" w:hAnsi="宋体" w:eastAsia="宋体" w:cs="宋体"/>
          <w:b/>
          <w:bCs/>
          <w:color w:val="000000" w:themeColor="text1"/>
          <w:spacing w:val="20"/>
          <w:sz w:val="28"/>
          <w:szCs w:val="36"/>
          <w:highlight w:val="none"/>
          <w14:textFill>
            <w14:solidFill>
              <w14:schemeClr w14:val="tx1"/>
            </w14:solidFill>
          </w14:textFill>
        </w:rPr>
      </w:pPr>
      <w:r>
        <w:rPr>
          <w:rFonts w:hint="eastAsia" w:ascii="宋体" w:hAnsi="宋体" w:eastAsia="宋体" w:cs="宋体"/>
          <w:b/>
          <w:bCs/>
          <w:color w:val="000000" w:themeColor="text1"/>
          <w:spacing w:val="20"/>
          <w:sz w:val="28"/>
          <w:szCs w:val="36"/>
          <w:highlight w:val="none"/>
          <w14:textFill>
            <w14:solidFill>
              <w14:schemeClr w14:val="tx1"/>
            </w14:solidFill>
          </w14:textFill>
        </w:rPr>
        <w:t>质量与验收</w:t>
      </w:r>
    </w:p>
    <w:p w14:paraId="6AA8A589">
      <w:pPr>
        <w:pageBreakBefore w:val="0"/>
        <w:widowControl w:val="0"/>
        <w:numPr>
          <w:ilvl w:val="0"/>
          <w:numId w:val="11"/>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隐蔽工程和中间验收</w:t>
      </w:r>
    </w:p>
    <w:p w14:paraId="75D3C8CF">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17.1双方约定中间验收部位：</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    。</w:t>
      </w:r>
    </w:p>
    <w:p w14:paraId="1FD730FD">
      <w:pPr>
        <w:pageBreakBefore w:val="0"/>
        <w:widowControl w:val="0"/>
        <w:numPr>
          <w:ilvl w:val="0"/>
          <w:numId w:val="11"/>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工程试车</w:t>
      </w:r>
    </w:p>
    <w:p w14:paraId="6EBC9853">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18.1试车费用的承担：</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7634169B">
      <w:pPr>
        <w:pageBreakBefore w:val="0"/>
        <w:widowControl w:val="0"/>
        <w:numPr>
          <w:ilvl w:val="0"/>
          <w:numId w:val="6"/>
        </w:numPr>
        <w:shd w:val="clear"/>
        <w:kinsoku/>
        <w:wordWrap/>
        <w:overflowPunct/>
        <w:topLinePunct w:val="0"/>
        <w:autoSpaceDE/>
        <w:autoSpaceDN/>
        <w:bidi w:val="0"/>
        <w:adjustRightInd w:val="0"/>
        <w:snapToGrid w:val="0"/>
        <w:spacing w:line="380" w:lineRule="exact"/>
        <w:textAlignment w:val="auto"/>
        <w:outlineLvl w:val="2"/>
        <w:rPr>
          <w:rFonts w:ascii="宋体" w:hAnsi="宋体" w:eastAsia="宋体" w:cs="宋体"/>
          <w:b/>
          <w:bCs/>
          <w:color w:val="000000" w:themeColor="text1"/>
          <w:spacing w:val="20"/>
          <w:sz w:val="28"/>
          <w:szCs w:val="36"/>
          <w:highlight w:val="none"/>
          <w14:textFill>
            <w14:solidFill>
              <w14:schemeClr w14:val="tx1"/>
            </w14:solidFill>
          </w14:textFill>
        </w:rPr>
      </w:pPr>
      <w:r>
        <w:rPr>
          <w:rFonts w:hint="eastAsia" w:ascii="宋体" w:hAnsi="宋体" w:eastAsia="宋体" w:cs="宋体"/>
          <w:b/>
          <w:bCs/>
          <w:color w:val="000000" w:themeColor="text1"/>
          <w:spacing w:val="20"/>
          <w:sz w:val="28"/>
          <w:szCs w:val="36"/>
          <w:highlight w:val="none"/>
          <w14:textFill>
            <w14:solidFill>
              <w14:schemeClr w14:val="tx1"/>
            </w14:solidFill>
          </w14:textFill>
        </w:rPr>
        <w:t>变更</w:t>
      </w:r>
    </w:p>
    <w:p w14:paraId="1DD90839">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20.1变更的估价原则</w:t>
      </w:r>
    </w:p>
    <w:p w14:paraId="78432AF3">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因变更引起的价格调整按照本款约定处理。</w:t>
      </w:r>
    </w:p>
    <w:p w14:paraId="42C5535E">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20.1.1已标价工程量清单中有使用于变更工作的子目的，采用该子目的单价。</w:t>
      </w:r>
    </w:p>
    <w:p w14:paraId="146CD11E">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20.1.2已标价工程量清单中无适用于变更工作的子目的，但有类似子目的，可在合理范围内参照类似子目的单价。</w:t>
      </w:r>
    </w:p>
    <w:p w14:paraId="29392A07">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20.1.3已标价工程量清单中无适用或类似子目的单价，</w:t>
      </w:r>
      <w:r>
        <w:rPr>
          <w:rFonts w:hint="eastAsia" w:ascii="宋体" w:hAnsi="宋体" w:eastAsia="宋体" w:cs="宋体"/>
          <w:color w:val="000000" w:themeColor="text1"/>
          <w:spacing w:val="20"/>
          <w:sz w:val="24"/>
          <w:szCs w:val="32"/>
          <w:highlight w:val="none"/>
          <w:u w:val="single"/>
          <w14:textFill>
            <w14:solidFill>
              <w14:schemeClr w14:val="tx1"/>
            </w14:solidFill>
          </w14:textFill>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7AD70E63">
      <w:pPr>
        <w:pageBreakBefore w:val="0"/>
        <w:widowControl w:val="0"/>
        <w:numPr>
          <w:ilvl w:val="0"/>
          <w:numId w:val="12"/>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价格调整</w:t>
      </w:r>
    </w:p>
    <w:p w14:paraId="30DA487E">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21.1物价波动引起价格调整：</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无。</w:t>
      </w:r>
    </w:p>
    <w:p w14:paraId="72B5379D">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21.1.1采用价格指数调整价格差额：</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63959DCA">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21.1.2采用造价信息调整价格差额：</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2F53F5E9">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双方约定合同价款的其他调整因素：</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029585FB">
      <w:pPr>
        <w:pageBreakBefore w:val="0"/>
        <w:widowControl w:val="0"/>
        <w:numPr>
          <w:ilvl w:val="0"/>
          <w:numId w:val="6"/>
        </w:numPr>
        <w:shd w:val="clear"/>
        <w:kinsoku/>
        <w:wordWrap/>
        <w:overflowPunct/>
        <w:topLinePunct w:val="0"/>
        <w:autoSpaceDE/>
        <w:autoSpaceDN/>
        <w:bidi w:val="0"/>
        <w:adjustRightInd w:val="0"/>
        <w:snapToGrid w:val="0"/>
        <w:spacing w:line="380" w:lineRule="exact"/>
        <w:textAlignment w:val="auto"/>
        <w:outlineLvl w:val="2"/>
        <w:rPr>
          <w:rFonts w:ascii="宋体" w:hAnsi="宋体" w:eastAsia="宋体" w:cs="宋体"/>
          <w:b/>
          <w:bCs/>
          <w:color w:val="000000" w:themeColor="text1"/>
          <w:spacing w:val="20"/>
          <w:sz w:val="28"/>
          <w:szCs w:val="36"/>
          <w:highlight w:val="none"/>
          <w14:textFill>
            <w14:solidFill>
              <w14:schemeClr w14:val="tx1"/>
            </w14:solidFill>
          </w14:textFill>
        </w:rPr>
      </w:pPr>
      <w:r>
        <w:rPr>
          <w:rFonts w:hint="eastAsia" w:ascii="宋体" w:hAnsi="宋体" w:eastAsia="宋体" w:cs="宋体"/>
          <w:b/>
          <w:bCs/>
          <w:color w:val="000000" w:themeColor="text1"/>
          <w:spacing w:val="20"/>
          <w:sz w:val="28"/>
          <w:szCs w:val="36"/>
          <w:highlight w:val="none"/>
          <w14:textFill>
            <w14:solidFill>
              <w14:schemeClr w14:val="tx1"/>
            </w14:solidFill>
          </w14:textFill>
        </w:rPr>
        <w:t>合同价款与支付</w:t>
      </w:r>
    </w:p>
    <w:p w14:paraId="1A14A8EA">
      <w:pPr>
        <w:pageBreakBefore w:val="0"/>
        <w:widowControl w:val="0"/>
        <w:numPr>
          <w:ilvl w:val="0"/>
          <w:numId w:val="13"/>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合同价款及调整</w:t>
      </w:r>
    </w:p>
    <w:p w14:paraId="35C07158">
      <w:pPr>
        <w:pageBreakBefore w:val="0"/>
        <w:widowControl w:val="0"/>
        <w:shd w:val="clear"/>
        <w:kinsoku/>
        <w:wordWrap/>
        <w:overflowPunct/>
        <w:topLinePunct w:val="0"/>
        <w:autoSpaceDE/>
        <w:autoSpaceDN/>
        <w:bidi w:val="0"/>
        <w:spacing w:before="120" w:after="120" w:line="380" w:lineRule="exact"/>
        <w:ind w:firstLine="560" w:firstLineChars="200"/>
        <w:textAlignment w:val="auto"/>
        <w:outlineLvl w:val="9"/>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color w:val="000000" w:themeColor="text1"/>
          <w:sz w:val="24"/>
          <w:szCs w:val="24"/>
          <w:highlight w:val="none"/>
          <w14:textFill>
            <w14:solidFill>
              <w14:schemeClr w14:val="tx1"/>
            </w14:solidFill>
          </w14:textFill>
        </w:rPr>
        <w:t>预付款</w:t>
      </w:r>
    </w:p>
    <w:p w14:paraId="7D7FCA92">
      <w:pPr>
        <w:pageBreakBefore w:val="0"/>
        <w:widowControl w:val="0"/>
        <w:shd w:val="clear"/>
        <w:kinsoku/>
        <w:wordWrap/>
        <w:overflowPunct/>
        <w:topLinePunct w:val="0"/>
        <w:autoSpaceDE/>
        <w:autoSpaceDN/>
        <w:bidi w:val="0"/>
        <w:spacing w:line="380" w:lineRule="exact"/>
        <w:ind w:firstLine="480" w:firstLineChars="200"/>
        <w:jc w:val="left"/>
        <w:textAlignment w:val="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预付款的支付</w:t>
      </w:r>
    </w:p>
    <w:p w14:paraId="29BCD834">
      <w:pPr>
        <w:pageBreakBefore w:val="0"/>
        <w:widowControl w:val="0"/>
        <w:shd w:val="clear"/>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项目实质性开工</w:t>
      </w:r>
      <w:r>
        <w:rPr>
          <w:rFonts w:hint="eastAsia" w:ascii="宋体" w:hAnsi="宋体" w:eastAsia="宋体" w:cs="宋体"/>
          <w:color w:val="000000" w:themeColor="text1"/>
          <w:kern w:val="0"/>
          <w:sz w:val="24"/>
          <w:highlight w:val="none"/>
          <w:lang w:val="en-US" w:eastAsia="zh-CN"/>
          <w14:textFill>
            <w14:solidFill>
              <w14:schemeClr w14:val="tx1"/>
            </w14:solidFill>
          </w14:textFill>
        </w:rPr>
        <w:t>7天</w:t>
      </w:r>
      <w:r>
        <w:rPr>
          <w:rFonts w:hint="eastAsia" w:ascii="宋体" w:hAnsi="宋体" w:eastAsia="宋体" w:cs="宋体"/>
          <w:color w:val="000000" w:themeColor="text1"/>
          <w:kern w:val="0"/>
          <w:sz w:val="24"/>
          <w:highlight w:val="none"/>
          <w:lang w:eastAsia="zh-CN"/>
          <w14:textFill>
            <w14:solidFill>
              <w14:schemeClr w14:val="tx1"/>
            </w14:solidFill>
          </w14:textFill>
        </w:rPr>
        <w:t>后，可以向财政申请不高于合同价</w:t>
      </w:r>
      <w:r>
        <w:rPr>
          <w:rFonts w:hint="eastAsia" w:ascii="宋体" w:hAnsi="宋体" w:eastAsia="宋体" w:cs="宋体"/>
          <w:color w:val="000000" w:themeColor="text1"/>
          <w:kern w:val="0"/>
          <w:sz w:val="24"/>
          <w:highlight w:val="none"/>
          <w:lang w:val="en-US" w:eastAsia="zh-CN"/>
          <w14:textFill>
            <w14:solidFill>
              <w14:schemeClr w14:val="tx1"/>
            </w14:solidFill>
          </w14:textFill>
        </w:rPr>
        <w:t>30%项目</w:t>
      </w:r>
      <w:r>
        <w:rPr>
          <w:rFonts w:hint="eastAsia" w:ascii="宋体" w:hAnsi="宋体" w:eastAsia="宋体" w:cs="宋体"/>
          <w:color w:val="000000" w:themeColor="text1"/>
          <w:kern w:val="0"/>
          <w:sz w:val="24"/>
          <w:highlight w:val="none"/>
          <w14:textFill>
            <w14:solidFill>
              <w14:schemeClr w14:val="tx1"/>
            </w14:solidFill>
          </w14:textFill>
        </w:rPr>
        <w:t>预付款</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预付款应当用于材料、工程设备、施工设备的采购及修建临时工程、组织施工队伍进场等。预付款在</w:t>
      </w:r>
      <w:r>
        <w:rPr>
          <w:rFonts w:hint="eastAsia" w:ascii="宋体" w:hAnsi="宋体" w:eastAsia="宋体" w:cs="宋体"/>
          <w:color w:val="000000" w:themeColor="text1"/>
          <w:kern w:val="0"/>
          <w:sz w:val="24"/>
          <w:highlight w:val="none"/>
          <w:lang w:eastAsia="zh-CN"/>
          <w14:textFill>
            <w14:solidFill>
              <w14:schemeClr w14:val="tx1"/>
            </w14:solidFill>
          </w14:textFill>
        </w:rPr>
        <w:t>第一次</w:t>
      </w:r>
      <w:r>
        <w:rPr>
          <w:rFonts w:hint="eastAsia" w:ascii="宋体" w:hAnsi="宋体" w:eastAsia="宋体" w:cs="宋体"/>
          <w:color w:val="000000" w:themeColor="text1"/>
          <w:kern w:val="0"/>
          <w:sz w:val="24"/>
          <w:highlight w:val="none"/>
          <w14:textFill>
            <w14:solidFill>
              <w14:schemeClr w14:val="tx1"/>
            </w14:solidFill>
          </w14:textFill>
        </w:rPr>
        <w:t>进度付款中扣回。</w:t>
      </w:r>
    </w:p>
    <w:p w14:paraId="3DD20364">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lang w:val="en-US" w:eastAsia="zh-CN"/>
          <w14:textFill>
            <w14:solidFill>
              <w14:schemeClr w14:val="tx1"/>
            </w14:solidFill>
          </w14:textFill>
        </w:rPr>
        <w:t>23.1.2.</w:t>
      </w:r>
      <w:r>
        <w:rPr>
          <w:rFonts w:hint="eastAsia" w:ascii="宋体" w:hAnsi="宋体" w:eastAsia="宋体" w:cs="宋体"/>
          <w:color w:val="000000" w:themeColor="text1"/>
          <w:spacing w:val="20"/>
          <w:sz w:val="24"/>
          <w:szCs w:val="32"/>
          <w:highlight w:val="none"/>
          <w14:textFill>
            <w14:solidFill>
              <w14:schemeClr w14:val="tx1"/>
            </w14:solidFill>
          </w14:textFill>
        </w:rPr>
        <w:t>本合同价款采用</w:t>
      </w:r>
      <w:r>
        <w:rPr>
          <w:rFonts w:hint="eastAsia" w:ascii="宋体" w:hAnsi="宋体" w:eastAsia="宋体" w:cs="宋体"/>
          <w:color w:val="000000" w:themeColor="text1"/>
          <w:spacing w:val="20"/>
          <w:sz w:val="24"/>
          <w:szCs w:val="32"/>
          <w:highlight w:val="none"/>
          <w:u w:val="single"/>
          <w14:textFill>
            <w14:solidFill>
              <w14:schemeClr w14:val="tx1"/>
            </w14:solidFill>
          </w14:textFill>
        </w:rPr>
        <w:t xml:space="preserve"> 固定综合单价（指工程量清单所包含的内容） </w:t>
      </w:r>
      <w:r>
        <w:rPr>
          <w:rFonts w:hint="eastAsia" w:ascii="宋体" w:hAnsi="宋体" w:eastAsia="宋体" w:cs="宋体"/>
          <w:color w:val="000000" w:themeColor="text1"/>
          <w:spacing w:val="20"/>
          <w:sz w:val="24"/>
          <w:szCs w:val="32"/>
          <w:highlight w:val="none"/>
          <w14:textFill>
            <w14:solidFill>
              <w14:schemeClr w14:val="tx1"/>
            </w14:solidFill>
          </w14:textFill>
        </w:rPr>
        <w:t>合同方式确定。</w:t>
      </w:r>
    </w:p>
    <w:p w14:paraId="005CB9D4">
      <w:pPr>
        <w:pageBreakBefore w:val="0"/>
        <w:widowControl w:val="0"/>
        <w:numPr>
          <w:ilvl w:val="0"/>
          <w:numId w:val="14"/>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风险费用的计算方式：</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743A5236">
      <w:pPr>
        <w:pageBreakBefore w:val="0"/>
        <w:widowControl w:val="0"/>
        <w:numPr>
          <w:ilvl w:val="0"/>
          <w:numId w:val="14"/>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采用可调价格合同，合同价款调整方式：</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43AE09EE">
      <w:pPr>
        <w:pageBreakBefore w:val="0"/>
        <w:widowControl w:val="0"/>
        <w:numPr>
          <w:ilvl w:val="0"/>
          <w:numId w:val="14"/>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采用成本加酬金合同，有关成本和酬金的约定：</w:t>
      </w:r>
      <w:r>
        <w:rPr>
          <w:rFonts w:hint="eastAsia" w:ascii="宋体" w:hAnsi="宋体" w:eastAsia="宋体" w:cs="宋体"/>
          <w:color w:val="000000" w:themeColor="text1"/>
          <w:spacing w:val="20"/>
          <w:sz w:val="24"/>
          <w:szCs w:val="32"/>
          <w:highlight w:val="none"/>
          <w:u w:val="single"/>
          <w14:textFill>
            <w14:solidFill>
              <w14:schemeClr w14:val="tx1"/>
            </w14:solidFill>
          </w14:textFill>
        </w:rPr>
        <w:t>无。</w:t>
      </w:r>
    </w:p>
    <w:p w14:paraId="546393DD">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23.2双方约定合同价款及其他调整因素：</w:t>
      </w:r>
      <w:r>
        <w:rPr>
          <w:rFonts w:hint="eastAsia" w:ascii="宋体" w:hAnsi="宋体" w:eastAsia="宋体" w:cs="宋体"/>
          <w:color w:val="000000" w:themeColor="text1"/>
          <w:spacing w:val="20"/>
          <w:sz w:val="24"/>
          <w:szCs w:val="32"/>
          <w:highlight w:val="none"/>
          <w:u w:val="single"/>
          <w14:textFill>
            <w14:solidFill>
              <w14:schemeClr w14:val="tx1"/>
            </w14:solidFill>
          </w14:textFill>
        </w:rPr>
        <w:t>工程量清单所包含的内容以外部分。</w:t>
      </w:r>
    </w:p>
    <w:p w14:paraId="70699CF1">
      <w:pPr>
        <w:pageBreakBefore w:val="0"/>
        <w:widowControl w:val="0"/>
        <w:numPr>
          <w:ilvl w:val="0"/>
          <w:numId w:val="13"/>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工程款付款</w:t>
      </w:r>
    </w:p>
    <w:p w14:paraId="3BFF42D8">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发包人向承包人预付工程款的时间和金额或占合同价款总额的比例：</w:t>
      </w:r>
      <w:r>
        <w:rPr>
          <w:rFonts w:hint="eastAsia" w:ascii="宋体" w:hAnsi="宋体" w:eastAsia="宋体" w:cs="宋体"/>
          <w:color w:val="000000" w:themeColor="text1"/>
          <w:spacing w:val="20"/>
          <w:sz w:val="24"/>
          <w:szCs w:val="32"/>
          <w:highlight w:val="none"/>
          <w:u w:val="single"/>
          <w14:textFill>
            <w14:solidFill>
              <w14:schemeClr w14:val="tx1"/>
            </w14:solidFill>
          </w14:textFill>
        </w:rPr>
        <w:t>本工程工人进场7日后，可申请合同价30%的预付款。</w:t>
      </w:r>
    </w:p>
    <w:p w14:paraId="02AABC45">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扣回工程款的时间、比例：</w:t>
      </w:r>
      <w:r>
        <w:rPr>
          <w:rFonts w:hint="eastAsia" w:ascii="宋体" w:hAnsi="宋体" w:eastAsia="宋体" w:cs="宋体"/>
          <w:color w:val="000000" w:themeColor="text1"/>
          <w:spacing w:val="20"/>
          <w:sz w:val="24"/>
          <w:szCs w:val="32"/>
          <w:highlight w:val="none"/>
          <w:u w:val="single"/>
          <w14:textFill>
            <w14:solidFill>
              <w14:schemeClr w14:val="tx1"/>
            </w14:solidFill>
          </w14:textFill>
        </w:rPr>
        <w:t>第一次申请进度款时扣回30%预付款。</w:t>
      </w:r>
    </w:p>
    <w:p w14:paraId="75E0E000">
      <w:pPr>
        <w:pageBreakBefore w:val="0"/>
        <w:widowControl w:val="0"/>
        <w:numPr>
          <w:ilvl w:val="0"/>
          <w:numId w:val="13"/>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工程量确认</w:t>
      </w:r>
    </w:p>
    <w:p w14:paraId="50D6FE08">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szCs w:val="32"/>
          <w:highlight w:val="none"/>
          <w:u w:val="single"/>
          <w14:textFill>
            <w14:solidFill>
              <w14:schemeClr w14:val="tx1"/>
            </w14:solidFill>
          </w14:textFill>
        </w:rPr>
      </w:pPr>
      <w:r>
        <w:rPr>
          <w:rFonts w:hint="eastAsia" w:ascii="宋体" w:hAnsi="宋体" w:eastAsia="宋体" w:cs="宋体"/>
          <w:color w:val="000000" w:themeColor="text1"/>
          <w:spacing w:val="20"/>
          <w:sz w:val="24"/>
          <w:szCs w:val="32"/>
          <w:highlight w:val="none"/>
          <w14:textFill>
            <w14:solidFill>
              <w14:schemeClr w14:val="tx1"/>
            </w14:solidFill>
          </w14:textFill>
        </w:rPr>
        <w:t>25.1承包人向工程师提交已完工程量报告的时间：</w:t>
      </w:r>
      <w:r>
        <w:rPr>
          <w:rFonts w:hint="eastAsia" w:ascii="宋体" w:hAnsi="宋体" w:eastAsia="宋体" w:cs="宋体"/>
          <w:color w:val="000000" w:themeColor="text1"/>
          <w:spacing w:val="20"/>
          <w:sz w:val="24"/>
          <w:szCs w:val="32"/>
          <w:highlight w:val="none"/>
          <w:u w:val="single"/>
          <w14:textFill>
            <w14:solidFill>
              <w14:schemeClr w14:val="tx1"/>
            </w14:solidFill>
          </w14:textFill>
        </w:rPr>
        <w:t>每月25日。</w:t>
      </w:r>
    </w:p>
    <w:p w14:paraId="1A528364">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b w:val="0"/>
          <w:bCs w:val="0"/>
          <w:color w:val="000000" w:themeColor="text1"/>
          <w:spacing w:val="20"/>
          <w:sz w:val="24"/>
          <w:szCs w:val="24"/>
          <w:highlight w:val="none"/>
          <w14:textFill>
            <w14:solidFill>
              <w14:schemeClr w14:val="tx1"/>
            </w14:solidFill>
          </w14:textFill>
        </w:rPr>
      </w:pPr>
      <w:r>
        <w:rPr>
          <w:rFonts w:hint="eastAsia" w:ascii="宋体" w:hAnsi="宋体" w:eastAsia="宋体" w:cs="宋体"/>
          <w:b w:val="0"/>
          <w:bCs w:val="0"/>
          <w:color w:val="000000" w:themeColor="text1"/>
          <w:spacing w:val="20"/>
          <w:sz w:val="24"/>
          <w:szCs w:val="24"/>
          <w:highlight w:val="none"/>
          <w14:textFill>
            <w14:solidFill>
              <w14:schemeClr w14:val="tx1"/>
            </w14:solidFill>
          </w14:textFill>
        </w:rPr>
        <w:t>26、工程款（进度款）支付</w:t>
      </w:r>
    </w:p>
    <w:p w14:paraId="509DAC35">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b w:val="0"/>
          <w:bCs w:val="0"/>
          <w:color w:val="000000" w:themeColor="text1"/>
          <w:spacing w:val="20"/>
          <w:sz w:val="24"/>
          <w:highlight w:val="none"/>
          <w:u w:val="single"/>
          <w14:textFill>
            <w14:solidFill>
              <w14:schemeClr w14:val="tx1"/>
            </w14:solidFill>
          </w14:textFill>
        </w:rPr>
      </w:pPr>
      <w:r>
        <w:rPr>
          <w:rFonts w:hint="eastAsia" w:ascii="宋体" w:hAnsi="宋体" w:eastAsia="宋体" w:cs="宋体"/>
          <w:b w:val="0"/>
          <w:bCs w:val="0"/>
          <w:color w:val="000000" w:themeColor="text1"/>
          <w:spacing w:val="20"/>
          <w:sz w:val="24"/>
          <w:highlight w:val="none"/>
          <w14:textFill>
            <w14:solidFill>
              <w14:schemeClr w14:val="tx1"/>
            </w14:solidFill>
          </w14:textFill>
        </w:rPr>
        <w:t>双方约定的工程款（进度款）的支付方式和时间：①、</w:t>
      </w:r>
      <w:r>
        <w:rPr>
          <w:rFonts w:hint="eastAsia" w:ascii="宋体" w:hAnsi="宋体" w:eastAsia="宋体" w:cs="宋体"/>
          <w:b w:val="0"/>
          <w:bCs w:val="0"/>
          <w:color w:val="000000" w:themeColor="text1"/>
          <w:spacing w:val="20"/>
          <w:sz w:val="24"/>
          <w:highlight w:val="none"/>
          <w:u w:val="single"/>
          <w14:textFill>
            <w14:solidFill>
              <w14:schemeClr w14:val="tx1"/>
            </w14:solidFill>
          </w14:textFill>
        </w:rPr>
        <w:t>按实际已完成工程量的80%</w:t>
      </w:r>
      <w:r>
        <w:rPr>
          <w:rFonts w:hint="eastAsia" w:ascii="宋体" w:hAnsi="宋体" w:eastAsia="宋体" w:cs="宋体"/>
          <w:b w:val="0"/>
          <w:bCs w:val="0"/>
          <w:color w:val="000000" w:themeColor="text1"/>
          <w:spacing w:val="2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20"/>
          <w:sz w:val="24"/>
          <w:highlight w:val="none"/>
          <w:u w:val="single"/>
          <w14:textFill>
            <w14:solidFill>
              <w14:schemeClr w14:val="tx1"/>
            </w14:solidFill>
          </w14:textFill>
        </w:rPr>
        <w:t>工程进度款；（30万以下）备案工程的按60%</w:t>
      </w:r>
      <w:r>
        <w:rPr>
          <w:rFonts w:hint="eastAsia" w:ascii="宋体" w:hAnsi="宋体" w:eastAsia="宋体" w:cs="宋体"/>
          <w:b w:val="0"/>
          <w:bCs w:val="0"/>
          <w:color w:val="000000" w:themeColor="text1"/>
          <w:spacing w:val="2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20"/>
          <w:sz w:val="24"/>
          <w:highlight w:val="none"/>
          <w:u w:val="single"/>
          <w14:textFill>
            <w14:solidFill>
              <w14:schemeClr w14:val="tx1"/>
            </w14:solidFill>
          </w14:textFill>
        </w:rPr>
        <w:t>工程进度款；②竣工验收结算审计后</w:t>
      </w:r>
      <w:r>
        <w:rPr>
          <w:rFonts w:hint="eastAsia" w:ascii="宋体" w:hAnsi="宋体" w:eastAsia="宋体" w:cs="宋体"/>
          <w:b w:val="0"/>
          <w:bCs w:val="0"/>
          <w:color w:val="000000" w:themeColor="text1"/>
          <w:spacing w:val="2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20"/>
          <w:sz w:val="24"/>
          <w:highlight w:val="none"/>
          <w:u w:val="single"/>
          <w14:textFill>
            <w14:solidFill>
              <w14:schemeClr w14:val="tx1"/>
            </w14:solidFill>
          </w14:textFill>
        </w:rPr>
        <w:t>97%工程款，财政扣留3%作质量保修金。</w:t>
      </w:r>
    </w:p>
    <w:p w14:paraId="29C5DDAB">
      <w:pPr>
        <w:pageBreakBefore w:val="0"/>
        <w:widowControl w:val="0"/>
        <w:numPr>
          <w:ilvl w:val="0"/>
          <w:numId w:val="0"/>
        </w:numPr>
        <w:shd w:val="clear"/>
        <w:tabs>
          <w:tab w:val="left" w:pos="463"/>
        </w:tabs>
        <w:kinsoku/>
        <w:wordWrap/>
        <w:overflowPunct/>
        <w:topLinePunct w:val="0"/>
        <w:autoSpaceDE/>
        <w:autoSpaceDN/>
        <w:bidi w:val="0"/>
        <w:adjustRightInd w:val="0"/>
        <w:snapToGrid w:val="0"/>
        <w:spacing w:line="380" w:lineRule="exact"/>
        <w:textAlignment w:val="auto"/>
        <w:outlineLvl w:val="2"/>
        <w:rPr>
          <w:rFonts w:hint="eastAsia" w:ascii="宋体" w:hAnsi="宋体" w:eastAsia="宋体" w:cs="宋体"/>
          <w:b/>
          <w:bCs/>
          <w:color w:val="000000" w:themeColor="text1"/>
          <w:spacing w:val="20"/>
          <w:sz w:val="28"/>
          <w:szCs w:val="28"/>
          <w:highlight w:val="none"/>
          <w14:textFill>
            <w14:solidFill>
              <w14:schemeClr w14:val="tx1"/>
            </w14:solidFill>
          </w14:textFill>
        </w:rPr>
      </w:pPr>
      <w:r>
        <w:rPr>
          <w:rFonts w:hint="eastAsia" w:ascii="宋体" w:hAnsi="宋体" w:eastAsia="宋体" w:cs="宋体"/>
          <w:b/>
          <w:bCs/>
          <w:color w:val="000000" w:themeColor="text1"/>
          <w:spacing w:val="20"/>
          <w:sz w:val="28"/>
          <w:szCs w:val="28"/>
          <w:highlight w:val="none"/>
          <w14:textFill>
            <w14:solidFill>
              <w14:schemeClr w14:val="tx1"/>
            </w14:solidFill>
          </w14:textFill>
        </w:rPr>
        <w:t>七、材料设备供应</w:t>
      </w:r>
    </w:p>
    <w:p w14:paraId="1D69863B">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b w:val="0"/>
          <w:bCs w:val="0"/>
          <w:color w:val="000000" w:themeColor="text1"/>
          <w:spacing w:val="20"/>
          <w:sz w:val="24"/>
          <w:szCs w:val="24"/>
          <w:highlight w:val="none"/>
          <w14:textFill>
            <w14:solidFill>
              <w14:schemeClr w14:val="tx1"/>
            </w14:solidFill>
          </w14:textFill>
        </w:rPr>
      </w:pPr>
      <w:r>
        <w:rPr>
          <w:rFonts w:hint="eastAsia" w:ascii="宋体" w:hAnsi="宋体" w:eastAsia="宋体" w:cs="宋体"/>
          <w:b w:val="0"/>
          <w:bCs w:val="0"/>
          <w:color w:val="000000" w:themeColor="text1"/>
          <w:spacing w:val="20"/>
          <w:sz w:val="24"/>
          <w:szCs w:val="24"/>
          <w:highlight w:val="none"/>
          <w14:textFill>
            <w14:solidFill>
              <w14:schemeClr w14:val="tx1"/>
            </w14:solidFill>
          </w14:textFill>
        </w:rPr>
        <w:t>27、发包人供应材料设备：</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pacing w:val="20"/>
          <w:sz w:val="24"/>
          <w:szCs w:val="24"/>
          <w:highlight w:val="none"/>
          <w:u w:val="single"/>
          <w14:textFill>
            <w14:solidFill>
              <w14:schemeClr w14:val="tx1"/>
            </w14:solidFill>
          </w14:textFill>
        </w:rPr>
        <w:t xml:space="preserve"> 无  </w:t>
      </w:r>
      <w:r>
        <w:rPr>
          <w:rFonts w:hint="eastAsia" w:ascii="宋体" w:hAnsi="宋体" w:eastAsia="宋体" w:cs="宋体"/>
          <w:b w:val="0"/>
          <w:bCs w:val="0"/>
          <w:color w:val="000000" w:themeColor="text1"/>
          <w:spacing w:val="20"/>
          <w:sz w:val="24"/>
          <w:szCs w:val="24"/>
          <w:highlight w:val="none"/>
          <w14:textFill>
            <w14:solidFill>
              <w14:schemeClr w14:val="tx1"/>
            </w14:solidFill>
          </w14:textFill>
        </w:rPr>
        <w:t xml:space="preserve"> 。</w:t>
      </w:r>
    </w:p>
    <w:p w14:paraId="222B0C79">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27.4发包人供应的材料设备与一览表不符时，双方约定发包人承担责任如下：</w:t>
      </w:r>
    </w:p>
    <w:p w14:paraId="60E2E696">
      <w:pPr>
        <w:pageBreakBefore w:val="0"/>
        <w:widowControl w:val="0"/>
        <w:numPr>
          <w:ilvl w:val="0"/>
          <w:numId w:val="1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材料设备单价与一览表不符：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63B21EC8">
      <w:pPr>
        <w:pageBreakBefore w:val="0"/>
        <w:widowControl w:val="0"/>
        <w:numPr>
          <w:ilvl w:val="0"/>
          <w:numId w:val="1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材料设备的品种、规格、型号、质量等级与一览表不符：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74885C91">
      <w:pPr>
        <w:pageBreakBefore w:val="0"/>
        <w:widowControl w:val="0"/>
        <w:numPr>
          <w:ilvl w:val="0"/>
          <w:numId w:val="1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承包人可代为调剂串换的材料：</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399A0796">
      <w:pPr>
        <w:pageBreakBefore w:val="0"/>
        <w:widowControl w:val="0"/>
        <w:numPr>
          <w:ilvl w:val="0"/>
          <w:numId w:val="1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到货地点与一览表不符：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1D068A26">
      <w:pPr>
        <w:pageBreakBefore w:val="0"/>
        <w:widowControl w:val="0"/>
        <w:numPr>
          <w:ilvl w:val="0"/>
          <w:numId w:val="1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供应数量与一览表不符：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1F2D53BC">
      <w:pPr>
        <w:pageBreakBefore w:val="0"/>
        <w:widowControl w:val="0"/>
        <w:numPr>
          <w:ilvl w:val="0"/>
          <w:numId w:val="15"/>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到货时间与一览表不符：</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603D8D3C">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27.6发包人供应材料设备的</w:t>
      </w:r>
      <w:r>
        <w:rPr>
          <w:rFonts w:hint="eastAsia" w:ascii="宋体" w:hAnsi="宋体" w:eastAsia="宋体" w:cs="宋体"/>
          <w:bCs/>
          <w:color w:val="000000" w:themeColor="text1"/>
          <w:spacing w:val="20"/>
          <w:sz w:val="24"/>
          <w:highlight w:val="none"/>
          <w14:textFill>
            <w14:solidFill>
              <w14:schemeClr w14:val="tx1"/>
            </w14:solidFill>
          </w14:textFill>
        </w:rPr>
        <w:t>结算方法：</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4F9EEED7">
      <w:pPr>
        <w:pageBreakBefore w:val="0"/>
        <w:widowControl w:val="0"/>
        <w:numPr>
          <w:ilvl w:val="0"/>
          <w:numId w:val="16"/>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承包人采购</w:t>
      </w:r>
      <w:r>
        <w:rPr>
          <w:rFonts w:hint="eastAsia" w:ascii="宋体" w:hAnsi="宋体" w:eastAsia="宋体" w:cs="宋体"/>
          <w:color w:val="000000" w:themeColor="text1"/>
          <w:spacing w:val="20"/>
          <w:sz w:val="24"/>
          <w:highlight w:val="none"/>
          <w14:textFill>
            <w14:solidFill>
              <w14:schemeClr w14:val="tx1"/>
            </w14:solidFill>
          </w14:textFill>
        </w:rPr>
        <w:t>材料设备</w:t>
      </w:r>
    </w:p>
    <w:p w14:paraId="6E70EAA3">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28.1 </w:t>
      </w:r>
      <w:r>
        <w:rPr>
          <w:rFonts w:hint="eastAsia" w:ascii="宋体" w:hAnsi="宋体" w:eastAsia="宋体" w:cs="宋体"/>
          <w:color w:val="000000" w:themeColor="text1"/>
          <w:spacing w:val="20"/>
          <w:kern w:val="0"/>
          <w:sz w:val="24"/>
          <w:highlight w:val="none"/>
          <w14:textFill>
            <w14:solidFill>
              <w14:schemeClr w14:val="tx1"/>
            </w14:solidFill>
          </w14:textFill>
        </w:rPr>
        <w:t>承包人采购</w:t>
      </w:r>
      <w:r>
        <w:rPr>
          <w:rFonts w:hint="eastAsia" w:ascii="宋体" w:hAnsi="宋体" w:eastAsia="宋体" w:cs="宋体"/>
          <w:color w:val="000000" w:themeColor="text1"/>
          <w:spacing w:val="20"/>
          <w:sz w:val="24"/>
          <w:highlight w:val="none"/>
          <w14:textFill>
            <w14:solidFill>
              <w14:schemeClr w14:val="tx1"/>
            </w14:solidFill>
          </w14:textFill>
        </w:rPr>
        <w:t>材料设备的约定：</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本合同工程实行承包人包工包料方式，由承包人自购。所购材料必须有产品合格证，试验或检验报告，并由监理工程师和发包人工地代表验证后才能进场及投入施工。  </w:t>
      </w:r>
    </w:p>
    <w:p w14:paraId="3D68C017">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2"/>
        <w:rPr>
          <w:rFonts w:ascii="宋体" w:hAnsi="宋体" w:eastAsia="宋体" w:cs="宋体"/>
          <w:b/>
          <w:bCs/>
          <w:color w:val="000000" w:themeColor="text1"/>
          <w:spacing w:val="20"/>
          <w:sz w:val="28"/>
          <w:szCs w:val="28"/>
          <w:highlight w:val="none"/>
          <w14:textFill>
            <w14:solidFill>
              <w14:schemeClr w14:val="tx1"/>
            </w14:solidFill>
          </w14:textFill>
        </w:rPr>
      </w:pPr>
      <w:r>
        <w:rPr>
          <w:rFonts w:hint="eastAsia" w:ascii="宋体" w:hAnsi="宋体" w:eastAsia="宋体" w:cs="宋体"/>
          <w:b/>
          <w:bCs/>
          <w:color w:val="000000" w:themeColor="text1"/>
          <w:spacing w:val="20"/>
          <w:sz w:val="28"/>
          <w:szCs w:val="28"/>
          <w:highlight w:val="none"/>
          <w14:textFill>
            <w14:solidFill>
              <w14:schemeClr w14:val="tx1"/>
            </w14:solidFill>
          </w14:textFill>
        </w:rPr>
        <w:t>八、工程变更</w:t>
      </w:r>
    </w:p>
    <w:p w14:paraId="294755CC">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按《通用条款》10.1、10.2、10.3、10.4款执行。</w:t>
      </w:r>
    </w:p>
    <w:p w14:paraId="7FDEFA30">
      <w:pPr>
        <w:pageBreakBefore w:val="0"/>
        <w:widowControl w:val="0"/>
        <w:numPr>
          <w:ilvl w:val="0"/>
          <w:numId w:val="0"/>
        </w:numPr>
        <w:shd w:val="clear"/>
        <w:tabs>
          <w:tab w:val="left" w:pos="463"/>
        </w:tabs>
        <w:kinsoku/>
        <w:wordWrap/>
        <w:overflowPunct/>
        <w:topLinePunct w:val="0"/>
        <w:autoSpaceDE/>
        <w:autoSpaceDN/>
        <w:bidi w:val="0"/>
        <w:adjustRightInd w:val="0"/>
        <w:snapToGrid w:val="0"/>
        <w:spacing w:line="380" w:lineRule="exact"/>
        <w:textAlignment w:val="auto"/>
        <w:outlineLvl w:val="2"/>
        <w:rPr>
          <w:rFonts w:ascii="宋体" w:hAnsi="宋体" w:eastAsia="宋体" w:cs="宋体"/>
          <w:b/>
          <w:bCs/>
          <w:color w:val="000000" w:themeColor="text1"/>
          <w:spacing w:val="20"/>
          <w:sz w:val="28"/>
          <w:szCs w:val="28"/>
          <w:highlight w:val="none"/>
          <w14:textFill>
            <w14:solidFill>
              <w14:schemeClr w14:val="tx1"/>
            </w14:solidFill>
          </w14:textFill>
        </w:rPr>
      </w:pPr>
      <w:r>
        <w:rPr>
          <w:rFonts w:hint="eastAsia" w:ascii="宋体" w:hAnsi="宋体" w:cs="宋体"/>
          <w:b/>
          <w:bCs/>
          <w:color w:val="000000" w:themeColor="text1"/>
          <w:spacing w:val="20"/>
          <w:kern w:val="2"/>
          <w:sz w:val="28"/>
          <w:szCs w:val="28"/>
          <w:highlight w:val="none"/>
          <w:lang w:val="en-US" w:eastAsia="zh-CN" w:bidi="ar-SA"/>
          <w14:textFill>
            <w14:solidFill>
              <w14:schemeClr w14:val="tx1"/>
            </w14:solidFill>
          </w14:textFill>
        </w:rPr>
        <w:t>九</w:t>
      </w:r>
      <w:r>
        <w:rPr>
          <w:rFonts w:hint="eastAsia" w:ascii="宋体" w:hAnsi="宋体" w:eastAsia="宋体" w:cs="宋体"/>
          <w:b/>
          <w:bCs/>
          <w:color w:val="000000" w:themeColor="text1"/>
          <w:spacing w:val="20"/>
          <w:kern w:val="2"/>
          <w:sz w:val="28"/>
          <w:szCs w:val="28"/>
          <w:highlight w:val="none"/>
          <w:lang w:val="en-US" w:eastAsia="zh-CN" w:bidi="ar-SA"/>
          <w14:textFill>
            <w14:solidFill>
              <w14:schemeClr w14:val="tx1"/>
            </w14:solidFill>
          </w14:textFill>
        </w:rPr>
        <w:t>、</w:t>
      </w:r>
      <w:r>
        <w:rPr>
          <w:rFonts w:hint="eastAsia" w:ascii="宋体" w:hAnsi="宋体" w:eastAsia="宋体" w:cs="宋体"/>
          <w:b/>
          <w:bCs/>
          <w:color w:val="000000" w:themeColor="text1"/>
          <w:spacing w:val="20"/>
          <w:sz w:val="28"/>
          <w:szCs w:val="28"/>
          <w:highlight w:val="none"/>
          <w14:textFill>
            <w14:solidFill>
              <w14:schemeClr w14:val="tx1"/>
            </w14:solidFill>
          </w14:textFill>
        </w:rPr>
        <w:t>竣工验收与结算</w:t>
      </w:r>
    </w:p>
    <w:p w14:paraId="781864D6">
      <w:pPr>
        <w:pageBreakBefore w:val="0"/>
        <w:widowControl w:val="0"/>
        <w:numPr>
          <w:ilvl w:val="0"/>
          <w:numId w:val="17"/>
        </w:numPr>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竣工验收</w:t>
      </w:r>
    </w:p>
    <w:p w14:paraId="7494D61D">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bCs/>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32.1承包人</w:t>
      </w:r>
      <w:r>
        <w:rPr>
          <w:rFonts w:hint="eastAsia" w:ascii="宋体" w:hAnsi="宋体" w:eastAsia="宋体" w:cs="宋体"/>
          <w:bCs/>
          <w:color w:val="000000" w:themeColor="text1"/>
          <w:spacing w:val="20"/>
          <w:sz w:val="24"/>
          <w:highlight w:val="none"/>
          <w14:textFill>
            <w14:solidFill>
              <w14:schemeClr w14:val="tx1"/>
            </w14:solidFill>
          </w14:textFill>
        </w:rPr>
        <w:t>提供竣工图的约定：</w:t>
      </w:r>
      <w:r>
        <w:rPr>
          <w:rFonts w:hint="eastAsia" w:ascii="宋体" w:hAnsi="宋体" w:eastAsia="宋体" w:cs="宋体"/>
          <w:bCs/>
          <w:color w:val="000000" w:themeColor="text1"/>
          <w:spacing w:val="20"/>
          <w:sz w:val="24"/>
          <w:highlight w:val="none"/>
          <w:u w:val="single"/>
          <w14:textFill>
            <w14:solidFill>
              <w14:schemeClr w14:val="tx1"/>
            </w14:solidFill>
          </w14:textFill>
        </w:rPr>
        <w:t>项目完工后，承包人按工程竣工验收有关规定要先进行自验，并在合同期后6个月内向发包人提交完整竣工资料、自验报告和申请初验。</w:t>
      </w:r>
    </w:p>
    <w:p w14:paraId="6ECD3D0C">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32.6中间交工工程的范围和竣工时间：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0AE87427">
      <w:pPr>
        <w:pageBreakBefore w:val="0"/>
        <w:widowControl w:val="0"/>
        <w:numPr>
          <w:ilvl w:val="0"/>
          <w:numId w:val="17"/>
        </w:numPr>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竣工结算</w:t>
      </w:r>
    </w:p>
    <w:p w14:paraId="2E4A67D7">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工程款</w:t>
      </w:r>
      <w:r>
        <w:rPr>
          <w:rFonts w:hint="eastAsia" w:ascii="宋体" w:hAnsi="宋体" w:cs="宋体"/>
          <w:color w:val="000000" w:themeColor="text1"/>
          <w:spacing w:val="20"/>
          <w:sz w:val="24"/>
          <w:highlight w:val="none"/>
          <w:u w:val="single"/>
          <w:lang w:val="en-US" w:eastAsia="zh-CN"/>
          <w14:textFill>
            <w14:solidFill>
              <w14:schemeClr w14:val="tx1"/>
            </w14:solidFill>
          </w14:textFill>
        </w:rPr>
        <w:t>100</w:t>
      </w:r>
      <w:r>
        <w:rPr>
          <w:rFonts w:hint="eastAsia" w:ascii="宋体" w:hAnsi="宋体" w:eastAsia="宋体" w:cs="宋体"/>
          <w:color w:val="000000" w:themeColor="text1"/>
          <w:spacing w:val="20"/>
          <w:sz w:val="24"/>
          <w:highlight w:val="none"/>
          <w:u w:val="single"/>
          <w14:textFill>
            <w14:solidFill>
              <w14:schemeClr w14:val="tx1"/>
            </w14:solidFill>
          </w14:textFill>
        </w:rPr>
        <w:t>%在工程竣工验收合格并结算审计后2个月内付清（无息）。</w:t>
      </w:r>
    </w:p>
    <w:p w14:paraId="0C6F02D9">
      <w:pPr>
        <w:pageBreakBefore w:val="0"/>
        <w:widowControl w:val="0"/>
        <w:numPr>
          <w:ilvl w:val="0"/>
          <w:numId w:val="17"/>
        </w:numPr>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w:t>
      </w:r>
    </w:p>
    <w:p w14:paraId="6FB5639C">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质量保修书的主要内容包括：</w:t>
      </w:r>
    </w:p>
    <w:p w14:paraId="5CE007F9">
      <w:pPr>
        <w:pageBreakBefore w:val="0"/>
        <w:widowControl w:val="0"/>
        <w:numPr>
          <w:ilvl w:val="0"/>
          <w:numId w:val="18"/>
        </w:numPr>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质量保修金的支付方法：</w:t>
      </w:r>
    </w:p>
    <w:p w14:paraId="383B6D1B">
      <w:pPr>
        <w:pageBreakBefore w:val="0"/>
        <w:widowControl w:val="0"/>
        <w:shd w:val="clear"/>
        <w:tabs>
          <w:tab w:val="left" w:pos="463"/>
        </w:tabs>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在工程保修期在内，发包人可以根据国家有关规定和合同规定的金额，在支付承包人的工程款内预留保修金。保修金为：</w:t>
      </w:r>
      <w:r>
        <w:rPr>
          <w:rFonts w:hint="eastAsia" w:ascii="宋体" w:hAnsi="宋体" w:cs="宋体"/>
          <w:color w:val="000000" w:themeColor="text1"/>
          <w:spacing w:val="20"/>
          <w:sz w:val="24"/>
          <w:highlight w:val="none"/>
          <w:u w:val="single"/>
          <w:lang w:val="en-US" w:eastAsia="zh-CN"/>
          <w14:textFill>
            <w14:solidFill>
              <w14:schemeClr w14:val="tx1"/>
            </w14:solidFill>
          </w14:textFill>
        </w:rPr>
        <w:t>合同</w:t>
      </w:r>
      <w:r>
        <w:rPr>
          <w:rFonts w:hint="eastAsia" w:ascii="宋体" w:hAnsi="宋体" w:eastAsia="宋体" w:cs="宋体"/>
          <w:color w:val="000000" w:themeColor="text1"/>
          <w:spacing w:val="20"/>
          <w:sz w:val="24"/>
          <w:highlight w:val="none"/>
          <w:u w:val="single"/>
          <w14:textFill>
            <w14:solidFill>
              <w14:schemeClr w14:val="tx1"/>
            </w14:solidFill>
          </w14:textFill>
        </w:rPr>
        <w:t>总价款的3％</w:t>
      </w:r>
      <w:r>
        <w:rPr>
          <w:rFonts w:hint="eastAsia" w:ascii="宋体" w:hAnsi="宋体" w:eastAsia="宋体" w:cs="宋体"/>
          <w:color w:val="000000" w:themeColor="text1"/>
          <w:spacing w:val="20"/>
          <w:sz w:val="24"/>
          <w:highlight w:val="none"/>
          <w14:textFill>
            <w14:solidFill>
              <w14:schemeClr w14:val="tx1"/>
            </w14:solidFill>
          </w14:textFill>
        </w:rPr>
        <w:t>。发包人在工程质量保修</w:t>
      </w:r>
      <w:r>
        <w:rPr>
          <w:rFonts w:hint="eastAsia" w:ascii="宋体" w:hAnsi="宋体" w:eastAsia="宋体" w:cs="宋体"/>
          <w:color w:val="000000" w:themeColor="text1"/>
          <w:spacing w:val="20"/>
          <w:sz w:val="24"/>
          <w:highlight w:val="none"/>
          <w:u w:val="single"/>
          <w14:textFill>
            <w14:solidFill>
              <w14:schemeClr w14:val="tx1"/>
            </w14:solidFill>
          </w14:textFill>
        </w:rPr>
        <w:t>满壹年之日起15个工作日内全部退回</w:t>
      </w:r>
      <w:r>
        <w:rPr>
          <w:rFonts w:hint="eastAsia" w:ascii="宋体" w:hAnsi="宋体" w:eastAsia="宋体" w:cs="宋体"/>
          <w:color w:val="000000" w:themeColor="text1"/>
          <w:spacing w:val="20"/>
          <w:sz w:val="24"/>
          <w:highlight w:val="none"/>
          <w14:textFill>
            <w14:solidFill>
              <w14:schemeClr w14:val="tx1"/>
            </w14:solidFill>
          </w14:textFill>
        </w:rPr>
        <w:t>的保修金给承包人（无息）。</w:t>
      </w:r>
    </w:p>
    <w:p w14:paraId="2BEC9F86">
      <w:pPr>
        <w:pageBreakBefore w:val="0"/>
        <w:widowControl w:val="0"/>
        <w:numPr>
          <w:ilvl w:val="0"/>
          <w:numId w:val="0"/>
        </w:numPr>
        <w:shd w:val="clear"/>
        <w:tabs>
          <w:tab w:val="left" w:pos="463"/>
        </w:tabs>
        <w:kinsoku/>
        <w:wordWrap/>
        <w:overflowPunct/>
        <w:topLinePunct w:val="0"/>
        <w:autoSpaceDE/>
        <w:autoSpaceDN/>
        <w:bidi w:val="0"/>
        <w:adjustRightInd w:val="0"/>
        <w:snapToGrid w:val="0"/>
        <w:spacing w:line="380" w:lineRule="exact"/>
        <w:textAlignment w:val="auto"/>
        <w:outlineLvl w:val="2"/>
        <w:rPr>
          <w:rFonts w:ascii="宋体" w:hAnsi="宋体" w:eastAsia="宋体" w:cs="宋体"/>
          <w:b/>
          <w:bCs/>
          <w:color w:val="000000" w:themeColor="text1"/>
          <w:spacing w:val="20"/>
          <w:sz w:val="28"/>
          <w:szCs w:val="28"/>
          <w:highlight w:val="none"/>
          <w14:textFill>
            <w14:solidFill>
              <w14:schemeClr w14:val="tx1"/>
            </w14:solidFill>
          </w14:textFill>
        </w:rPr>
      </w:pPr>
      <w:r>
        <w:rPr>
          <w:rFonts w:hint="eastAsia" w:ascii="宋体" w:hAnsi="宋体" w:eastAsia="宋体" w:cs="宋体"/>
          <w:b/>
          <w:bCs/>
          <w:color w:val="000000" w:themeColor="text1"/>
          <w:spacing w:val="20"/>
          <w:kern w:val="2"/>
          <w:sz w:val="28"/>
          <w:szCs w:val="28"/>
          <w:lang w:val="en-US" w:eastAsia="zh-CN" w:bidi="ar-SA"/>
          <w14:textFill>
            <w14:solidFill>
              <w14:schemeClr w14:val="tx1"/>
            </w14:solidFill>
          </w14:textFill>
        </w:rPr>
        <w:t>十、</w:t>
      </w:r>
      <w:r>
        <w:rPr>
          <w:rFonts w:hint="eastAsia" w:ascii="宋体" w:hAnsi="宋体" w:eastAsia="宋体" w:cs="宋体"/>
          <w:b/>
          <w:bCs/>
          <w:color w:val="000000" w:themeColor="text1"/>
          <w:spacing w:val="20"/>
          <w:sz w:val="28"/>
          <w:szCs w:val="28"/>
          <w:highlight w:val="none"/>
          <w14:textFill>
            <w14:solidFill>
              <w14:schemeClr w14:val="tx1"/>
            </w14:solidFill>
          </w14:textFill>
        </w:rPr>
        <w:t>违约、索赔和争议</w:t>
      </w:r>
    </w:p>
    <w:p w14:paraId="0698522F">
      <w:pPr>
        <w:pageBreakBefore w:val="0"/>
        <w:widowControl w:val="0"/>
        <w:numPr>
          <w:ilvl w:val="0"/>
          <w:numId w:val="17"/>
        </w:numPr>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违约</w:t>
      </w:r>
    </w:p>
    <w:p w14:paraId="3C391A78">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35.1本合同中关于发包人违约的具体责任如下：</w:t>
      </w:r>
    </w:p>
    <w:p w14:paraId="2C38A077">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本合同通用条款第24条约定发包人违约应承担的违约责任：</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2066E7F3">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本合同通用条款第26.4款约定发包人违约应承担的违约责任：</w:t>
      </w:r>
      <w:r>
        <w:rPr>
          <w:rFonts w:hint="eastAsia" w:ascii="宋体" w:hAnsi="宋体" w:eastAsia="宋体" w:cs="宋体"/>
          <w:color w:val="000000" w:themeColor="text1"/>
          <w:spacing w:val="20"/>
          <w:sz w:val="24"/>
          <w:highlight w:val="none"/>
          <w:u w:val="single"/>
          <w14:textFill>
            <w14:solidFill>
              <w14:schemeClr w14:val="tx1"/>
            </w14:solidFill>
          </w14:textFill>
        </w:rPr>
        <w:t>按通用条款第26.4款执行。</w:t>
      </w:r>
    </w:p>
    <w:p w14:paraId="4AF8E4A6">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本合同通用条款第33.3款约定发包人违约应承担的违约责任：</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083F790B">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双方约定的发包人其他违约责任：</w:t>
      </w:r>
      <w:r>
        <w:rPr>
          <w:rFonts w:hint="eastAsia" w:ascii="宋体" w:hAnsi="宋体" w:eastAsia="宋体" w:cs="宋体"/>
          <w:color w:val="000000" w:themeColor="text1"/>
          <w:spacing w:val="20"/>
          <w:sz w:val="24"/>
          <w:highlight w:val="none"/>
          <w:u w:val="single"/>
          <w14:textFill>
            <w14:solidFill>
              <w14:schemeClr w14:val="tx1"/>
            </w14:solidFill>
          </w14:textFill>
        </w:rPr>
        <w:t>按通用条款执行。</w:t>
      </w:r>
    </w:p>
    <w:p w14:paraId="168C5DDB">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35.2本合同中关于承包人违约的具体责任如下：</w:t>
      </w:r>
    </w:p>
    <w:p w14:paraId="4E2CF636">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双方约定的承包人其他违约责任：</w:t>
      </w:r>
      <w:r>
        <w:rPr>
          <w:rFonts w:hint="eastAsia" w:ascii="宋体" w:hAnsi="宋体" w:eastAsia="宋体" w:cs="宋体"/>
          <w:color w:val="000000" w:themeColor="text1"/>
          <w:spacing w:val="20"/>
          <w:sz w:val="24"/>
          <w:highlight w:val="none"/>
          <w:u w:val="single"/>
          <w14:textFill>
            <w14:solidFill>
              <w14:schemeClr w14:val="tx1"/>
            </w14:solidFill>
          </w14:textFill>
        </w:rPr>
        <w:t>按通用条款执行。</w:t>
      </w:r>
    </w:p>
    <w:p w14:paraId="68F8CC7F">
      <w:pPr>
        <w:pageBreakBefore w:val="0"/>
        <w:widowControl w:val="0"/>
        <w:shd w:val="clear"/>
        <w:kinsoku/>
        <w:wordWrap/>
        <w:overflowPunct/>
        <w:topLinePunct w:val="0"/>
        <w:autoSpaceDE/>
        <w:autoSpaceDN/>
        <w:bidi w:val="0"/>
        <w:adjustRightInd w:val="0"/>
        <w:snapToGrid w:val="0"/>
        <w:spacing w:line="380" w:lineRule="exact"/>
        <w:ind w:firstLine="560" w:firstLineChars="200"/>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在工程项目实施过程中不得无故更换投标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0A77A5F0">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37、争议</w:t>
      </w:r>
    </w:p>
    <w:p w14:paraId="2D21D910">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37.1本合同在履行过程中发生的争议，由双方当事人协商解决，协商不成的按下列</w:t>
      </w:r>
      <w:r>
        <w:rPr>
          <w:rFonts w:hint="eastAsia" w:ascii="宋体" w:hAnsi="宋体" w:eastAsia="宋体" w:cs="宋体"/>
          <w:color w:val="000000" w:themeColor="text1"/>
          <w:spacing w:val="20"/>
          <w:sz w:val="24"/>
          <w:highlight w:val="none"/>
          <w:u w:val="single"/>
          <w14:textFill>
            <w14:solidFill>
              <w14:schemeClr w14:val="tx1"/>
            </w14:solidFill>
          </w14:textFill>
        </w:rPr>
        <w:t>第（二）</w:t>
      </w:r>
      <w:r>
        <w:rPr>
          <w:rFonts w:hint="eastAsia" w:ascii="宋体" w:hAnsi="宋体" w:eastAsia="宋体" w:cs="宋体"/>
          <w:color w:val="000000" w:themeColor="text1"/>
          <w:spacing w:val="20"/>
          <w:sz w:val="24"/>
          <w:highlight w:val="none"/>
          <w14:textFill>
            <w14:solidFill>
              <w14:schemeClr w14:val="tx1"/>
            </w14:solidFill>
          </w14:textFill>
        </w:rPr>
        <w:t>种方式解决：</w:t>
      </w:r>
    </w:p>
    <w:p w14:paraId="775245D6">
      <w:pPr>
        <w:pageBreakBefore w:val="0"/>
        <w:widowControl w:val="0"/>
        <w:numPr>
          <w:ilvl w:val="0"/>
          <w:numId w:val="19"/>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向</w:t>
      </w:r>
      <w:r>
        <w:rPr>
          <w:rFonts w:hint="eastAsia" w:ascii="宋体" w:hAnsi="宋体" w:eastAsia="宋体" w:cs="宋体"/>
          <w:color w:val="000000" w:themeColor="text1"/>
          <w:spacing w:val="20"/>
          <w:sz w:val="24"/>
          <w:highlight w:val="none"/>
          <w:u w:val="single"/>
          <w14:textFill>
            <w14:solidFill>
              <w14:schemeClr w14:val="tx1"/>
            </w14:solidFill>
          </w14:textFill>
        </w:rPr>
        <w:t>约定的</w:t>
      </w:r>
      <w:r>
        <w:rPr>
          <w:rFonts w:hint="eastAsia" w:ascii="宋体" w:hAnsi="宋体" w:eastAsia="宋体" w:cs="宋体"/>
          <w:color w:val="000000" w:themeColor="text1"/>
          <w:spacing w:val="20"/>
          <w:sz w:val="24"/>
          <w:highlight w:val="none"/>
          <w14:textFill>
            <w14:solidFill>
              <w14:schemeClr w14:val="tx1"/>
            </w14:solidFill>
          </w14:textFill>
        </w:rPr>
        <w:t>仲裁委员会申请仲裁：</w:t>
      </w:r>
    </w:p>
    <w:p w14:paraId="20447B50">
      <w:pPr>
        <w:pageBreakBefore w:val="0"/>
        <w:widowControl w:val="0"/>
        <w:numPr>
          <w:ilvl w:val="0"/>
          <w:numId w:val="19"/>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依法向发包人所在地人民法院起诉。</w:t>
      </w:r>
    </w:p>
    <w:p w14:paraId="19D36524">
      <w:pPr>
        <w:pageBreakBefore w:val="0"/>
        <w:widowControl w:val="0"/>
        <w:numPr>
          <w:ilvl w:val="0"/>
          <w:numId w:val="0"/>
        </w:numPr>
        <w:shd w:val="clear"/>
        <w:kinsoku/>
        <w:wordWrap/>
        <w:overflowPunct/>
        <w:topLinePunct w:val="0"/>
        <w:autoSpaceDE/>
        <w:autoSpaceDN/>
        <w:bidi w:val="0"/>
        <w:adjustRightInd w:val="0"/>
        <w:snapToGrid w:val="0"/>
        <w:spacing w:line="380" w:lineRule="exact"/>
        <w:textAlignment w:val="auto"/>
        <w:outlineLvl w:val="2"/>
        <w:rPr>
          <w:rFonts w:ascii="宋体" w:hAnsi="宋体" w:eastAsia="宋体" w:cs="宋体"/>
          <w:b/>
          <w:bCs/>
          <w:color w:val="000000" w:themeColor="text1"/>
          <w:spacing w:val="20"/>
          <w:sz w:val="28"/>
          <w:szCs w:val="28"/>
          <w:highlight w:val="none"/>
          <w14:textFill>
            <w14:solidFill>
              <w14:schemeClr w14:val="tx1"/>
            </w14:solidFill>
          </w14:textFill>
        </w:rPr>
      </w:pPr>
      <w:r>
        <w:rPr>
          <w:rFonts w:hint="eastAsia" w:ascii="宋体" w:hAnsi="宋体" w:eastAsia="宋体" w:cs="宋体"/>
          <w:b/>
          <w:bCs/>
          <w:color w:val="000000" w:themeColor="text1"/>
          <w:spacing w:val="20"/>
          <w:kern w:val="2"/>
          <w:sz w:val="28"/>
          <w:szCs w:val="28"/>
          <w:lang w:val="en-US" w:eastAsia="zh-CN" w:bidi="ar-SA"/>
          <w14:textFill>
            <w14:solidFill>
              <w14:schemeClr w14:val="tx1"/>
            </w14:solidFill>
          </w14:textFill>
        </w:rPr>
        <w:t>十</w:t>
      </w:r>
      <w:r>
        <w:rPr>
          <w:rFonts w:hint="eastAsia" w:ascii="宋体" w:hAnsi="宋体" w:cs="宋体"/>
          <w:b/>
          <w:bCs/>
          <w:color w:val="000000" w:themeColor="text1"/>
          <w:spacing w:val="20"/>
          <w:kern w:val="2"/>
          <w:sz w:val="28"/>
          <w:szCs w:val="28"/>
          <w:lang w:val="en-US" w:eastAsia="zh-CN" w:bidi="ar-SA"/>
          <w14:textFill>
            <w14:solidFill>
              <w14:schemeClr w14:val="tx1"/>
            </w14:solidFill>
          </w14:textFill>
        </w:rPr>
        <w:t>一</w:t>
      </w:r>
      <w:r>
        <w:rPr>
          <w:rFonts w:hint="eastAsia" w:ascii="宋体" w:hAnsi="宋体" w:eastAsia="宋体" w:cs="宋体"/>
          <w:b/>
          <w:bCs/>
          <w:color w:val="000000" w:themeColor="text1"/>
          <w:spacing w:val="20"/>
          <w:kern w:val="2"/>
          <w:sz w:val="28"/>
          <w:szCs w:val="28"/>
          <w:lang w:val="en-US" w:eastAsia="zh-CN" w:bidi="ar-SA"/>
          <w14:textFill>
            <w14:solidFill>
              <w14:schemeClr w14:val="tx1"/>
            </w14:solidFill>
          </w14:textFill>
        </w:rPr>
        <w:t>、</w:t>
      </w:r>
      <w:r>
        <w:rPr>
          <w:rFonts w:hint="eastAsia" w:ascii="宋体" w:hAnsi="宋体" w:eastAsia="宋体" w:cs="宋体"/>
          <w:b/>
          <w:bCs/>
          <w:color w:val="000000" w:themeColor="text1"/>
          <w:spacing w:val="20"/>
          <w:sz w:val="28"/>
          <w:szCs w:val="28"/>
          <w:highlight w:val="none"/>
          <w14:textFill>
            <w14:solidFill>
              <w14:schemeClr w14:val="tx1"/>
            </w14:solidFill>
          </w14:textFill>
        </w:rPr>
        <w:t>其他</w:t>
      </w:r>
    </w:p>
    <w:p w14:paraId="3EC463EC">
      <w:pPr>
        <w:pageBreakBefore w:val="0"/>
        <w:widowControl w:val="0"/>
        <w:numPr>
          <w:ilvl w:val="0"/>
          <w:numId w:val="20"/>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工程分包</w:t>
      </w:r>
    </w:p>
    <w:p w14:paraId="2CDD307D">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38.1本工程发包人同意承包人分包的工程：</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61FDC723">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分包施工单位为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4623D13E">
      <w:pPr>
        <w:pageBreakBefore w:val="0"/>
        <w:widowControl w:val="0"/>
        <w:numPr>
          <w:ilvl w:val="0"/>
          <w:numId w:val="20"/>
        </w:numPr>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不可抗力</w:t>
      </w:r>
    </w:p>
    <w:p w14:paraId="710181D7">
      <w:pPr>
        <w:pageBreakBefore w:val="0"/>
        <w:widowControl w:val="0"/>
        <w:shd w:val="clear"/>
        <w:tabs>
          <w:tab w:val="left" w:pos="463"/>
        </w:tabs>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39.1双方关于不可抗力的约定：</w:t>
      </w:r>
    </w:p>
    <w:p w14:paraId="271D0950">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按《通用条款》第39款执行。</w:t>
      </w:r>
    </w:p>
    <w:p w14:paraId="7BB31B8A">
      <w:pPr>
        <w:pageBreakBefore w:val="0"/>
        <w:widowControl w:val="0"/>
        <w:numPr>
          <w:ilvl w:val="0"/>
          <w:numId w:val="20"/>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保险</w:t>
      </w:r>
    </w:p>
    <w:p w14:paraId="22438A30">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40.6本工程双方约定投保内容如下：</w:t>
      </w:r>
    </w:p>
    <w:p w14:paraId="22CFDA17">
      <w:pPr>
        <w:pageBreakBefore w:val="0"/>
        <w:widowControl w:val="0"/>
        <w:numPr>
          <w:ilvl w:val="0"/>
          <w:numId w:val="21"/>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发包人投保内容：</w:t>
      </w:r>
      <w:r>
        <w:rPr>
          <w:rFonts w:hint="eastAsia" w:ascii="宋体" w:hAnsi="宋体" w:eastAsia="宋体" w:cs="宋体"/>
          <w:color w:val="000000" w:themeColor="text1"/>
          <w:spacing w:val="20"/>
          <w:sz w:val="24"/>
          <w:highlight w:val="none"/>
          <w:u w:val="single"/>
          <w14:textFill>
            <w14:solidFill>
              <w14:schemeClr w14:val="tx1"/>
            </w14:solidFill>
          </w14:textFill>
        </w:rPr>
        <w:t>按国家政策自行办理。</w:t>
      </w:r>
    </w:p>
    <w:p w14:paraId="5F486F8E">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发包人委托承包人办理的保险事项：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p>
    <w:p w14:paraId="110AAB93">
      <w:pPr>
        <w:pageBreakBefore w:val="0"/>
        <w:widowControl w:val="0"/>
        <w:numPr>
          <w:ilvl w:val="0"/>
          <w:numId w:val="21"/>
        </w:numPr>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承包人投保内容：</w:t>
      </w:r>
      <w:r>
        <w:rPr>
          <w:rFonts w:hint="eastAsia" w:ascii="宋体" w:hAnsi="宋体" w:eastAsia="宋体" w:cs="宋体"/>
          <w:color w:val="000000" w:themeColor="text1"/>
          <w:spacing w:val="20"/>
          <w:sz w:val="24"/>
          <w:highlight w:val="none"/>
          <w:u w:val="single"/>
          <w14:textFill>
            <w14:solidFill>
              <w14:schemeClr w14:val="tx1"/>
            </w14:solidFill>
          </w14:textFill>
        </w:rPr>
        <w:t>承包人应按有关规定自行投保施工人员的人身事故保险，该保险应不属于储蓄险等。承包人应于签订全同之日起10日内按有关规定自行办理。</w:t>
      </w:r>
    </w:p>
    <w:p w14:paraId="6FBAD737">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41、担保</w:t>
      </w:r>
    </w:p>
    <w:p w14:paraId="3D87667E">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41.3本工程双方约定担保内容如下：</w:t>
      </w:r>
    </w:p>
    <w:p w14:paraId="0543F24F">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（1）发包人向承包人提供支付担保，担保方式为：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无 。</w:t>
      </w:r>
    </w:p>
    <w:p w14:paraId="4EE060DF">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（2）承包人向发包人提供履约担保，担保方式为：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在签订合同时向</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财政部门</w:t>
      </w:r>
      <w:r>
        <w:rPr>
          <w:rFonts w:hint="eastAsia" w:ascii="宋体" w:hAnsi="宋体" w:eastAsia="宋体" w:cs="宋体"/>
          <w:color w:val="000000" w:themeColor="text1"/>
          <w:spacing w:val="20"/>
          <w:sz w:val="24"/>
          <w:highlight w:val="none"/>
          <w:u w:val="single"/>
          <w14:textFill>
            <w14:solidFill>
              <w14:schemeClr w14:val="tx1"/>
            </w14:solidFill>
          </w14:textFill>
        </w:rPr>
        <w:t>交中标价的</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20"/>
          <w:sz w:val="24"/>
          <w:highlight w:val="none"/>
          <w:u w:val="single"/>
          <w14:textFill>
            <w14:solidFill>
              <w14:schemeClr w14:val="tx1"/>
            </w14:solidFill>
          </w14:textFill>
        </w:rPr>
        <w:t>%履约保证金，竣工</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验收合格后</w:t>
      </w:r>
      <w:r>
        <w:rPr>
          <w:rFonts w:hint="eastAsia" w:ascii="宋体" w:hAnsi="宋体" w:eastAsia="宋体" w:cs="宋体"/>
          <w:color w:val="000000" w:themeColor="text1"/>
          <w:spacing w:val="20"/>
          <w:sz w:val="24"/>
          <w:highlight w:val="none"/>
          <w:u w:val="single"/>
          <w14:textFill>
            <w14:solidFill>
              <w14:schemeClr w14:val="tx1"/>
            </w14:solidFill>
          </w14:textFill>
        </w:rPr>
        <w:t>无息返回。</w:t>
      </w:r>
    </w:p>
    <w:p w14:paraId="2BF52B48">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46、合同份数</w:t>
      </w:r>
    </w:p>
    <w:p w14:paraId="092D0E24">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46.1双方约定合同份数：</w:t>
      </w:r>
      <w:r>
        <w:rPr>
          <w:rFonts w:hint="eastAsia" w:ascii="宋体" w:hAnsi="宋体" w:eastAsia="宋体" w:cs="宋体"/>
          <w:color w:val="000000" w:themeColor="text1"/>
          <w:spacing w:val="20"/>
          <w:sz w:val="24"/>
          <w:highlight w:val="none"/>
          <w:u w:val="single"/>
          <w14:textFill>
            <w14:solidFill>
              <w14:schemeClr w14:val="tx1"/>
            </w14:solidFill>
          </w14:textFill>
        </w:rPr>
        <w:t>正本贰份，副本陆份，双方各执壹份正本，叁份副本。</w:t>
      </w:r>
    </w:p>
    <w:p w14:paraId="3929564B">
      <w:pPr>
        <w:pageBreakBefore w:val="0"/>
        <w:widowControl w:val="0"/>
        <w:shd w:val="clear"/>
        <w:kinsoku/>
        <w:wordWrap/>
        <w:overflowPunct/>
        <w:topLinePunct w:val="0"/>
        <w:autoSpaceDE/>
        <w:autoSpaceDN/>
        <w:bidi w:val="0"/>
        <w:adjustRightInd w:val="0"/>
        <w:snapToGrid w:val="0"/>
        <w:spacing w:line="380" w:lineRule="exact"/>
        <w:textAlignment w:val="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47、本合同工程签证事项双方同意按《浦北县国有资金投资建设项目签证管理暂行办法》的规定执行。</w:t>
      </w:r>
    </w:p>
    <w:p w14:paraId="6F59E4EE">
      <w:pPr>
        <w:pageBreakBefore w:val="0"/>
        <w:widowControl w:val="0"/>
        <w:shd w:val="clear"/>
        <w:tabs>
          <w:tab w:val="left" w:pos="463"/>
        </w:tabs>
        <w:kinsoku/>
        <w:wordWrap/>
        <w:overflowPunct/>
        <w:topLinePunct w:val="0"/>
        <w:autoSpaceDE/>
        <w:autoSpaceDN/>
        <w:bidi w:val="0"/>
        <w:spacing w:line="380" w:lineRule="exact"/>
        <w:textAlignment w:val="auto"/>
        <w:rPr>
          <w:rFonts w:ascii="宋体" w:hAnsi="宋体" w:eastAsia="宋体" w:cs="宋体"/>
          <w:color w:val="000000" w:themeColor="text1"/>
          <w:spacing w:val="20"/>
          <w:sz w:val="24"/>
          <w:highlight w:val="none"/>
          <w14:textFill>
            <w14:solidFill>
              <w14:schemeClr w14:val="tx1"/>
            </w14:solidFill>
          </w14:textFill>
        </w:rPr>
      </w:pPr>
    </w:p>
    <w:p w14:paraId="1F91E594">
      <w:pPr>
        <w:shd w:val="clear"/>
        <w:tabs>
          <w:tab w:val="left" w:pos="463"/>
        </w:tabs>
        <w:spacing w:line="360" w:lineRule="auto"/>
        <w:rPr>
          <w:rFonts w:ascii="宋体" w:hAnsi="宋体" w:eastAsia="宋体" w:cs="宋体"/>
          <w:color w:val="000000" w:themeColor="text1"/>
          <w:spacing w:val="20"/>
          <w:sz w:val="30"/>
          <w:szCs w:val="30"/>
          <w:highlight w:val="none"/>
          <w14:textFill>
            <w14:solidFill>
              <w14:schemeClr w14:val="tx1"/>
            </w14:solidFill>
          </w14:textFill>
        </w:rPr>
      </w:pPr>
    </w:p>
    <w:p w14:paraId="5CCDDEC7">
      <w:pPr>
        <w:shd w:val="clear"/>
        <w:tabs>
          <w:tab w:val="left" w:pos="463"/>
        </w:tabs>
        <w:spacing w:line="360" w:lineRule="auto"/>
        <w:rPr>
          <w:rFonts w:ascii="宋体" w:hAnsi="宋体" w:eastAsia="宋体" w:cs="宋体"/>
          <w:color w:val="000000" w:themeColor="text1"/>
          <w:spacing w:val="20"/>
          <w:sz w:val="30"/>
          <w:szCs w:val="30"/>
          <w:highlight w:val="none"/>
          <w14:textFill>
            <w14:solidFill>
              <w14:schemeClr w14:val="tx1"/>
            </w14:solidFill>
          </w14:textFill>
        </w:rPr>
      </w:pPr>
    </w:p>
    <w:p w14:paraId="673ADFE8">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60A38C8E">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70B8931F">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14BEEB9E">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7E11A127">
      <w:pPr>
        <w:pStyle w:val="15"/>
        <w:shd w:val="clear"/>
        <w:rPr>
          <w:rFonts w:ascii="宋体" w:hAnsi="宋体" w:eastAsia="宋体" w:cs="宋体"/>
          <w:color w:val="000000" w:themeColor="text1"/>
          <w:spacing w:val="20"/>
          <w:sz w:val="30"/>
          <w:szCs w:val="30"/>
          <w:highlight w:val="none"/>
          <w14:textFill>
            <w14:solidFill>
              <w14:schemeClr w14:val="tx1"/>
            </w14:solidFill>
          </w14:textFill>
        </w:rPr>
      </w:pPr>
    </w:p>
    <w:p w14:paraId="1CD0667F">
      <w:pPr>
        <w:shd w:val="clear"/>
        <w:tabs>
          <w:tab w:val="left" w:pos="463"/>
        </w:tabs>
        <w:spacing w:line="360" w:lineRule="auto"/>
        <w:rPr>
          <w:rFonts w:ascii="宋体" w:hAnsi="宋体" w:eastAsia="宋体" w:cs="宋体"/>
          <w:color w:val="000000" w:themeColor="text1"/>
          <w:spacing w:val="20"/>
          <w:sz w:val="30"/>
          <w:szCs w:val="30"/>
          <w:highlight w:val="none"/>
          <w14:textFill>
            <w14:solidFill>
              <w14:schemeClr w14:val="tx1"/>
            </w14:solidFill>
          </w14:textFill>
        </w:rPr>
      </w:pPr>
    </w:p>
    <w:p w14:paraId="0FCC430A">
      <w:pPr>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br w:type="page"/>
      </w:r>
    </w:p>
    <w:p w14:paraId="489FA054">
      <w:pPr>
        <w:shd w:val="clear"/>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附件1</w:t>
      </w:r>
    </w:p>
    <w:p w14:paraId="552E388D">
      <w:pPr>
        <w:shd w:val="clea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r>
        <w:rPr>
          <w:rFonts w:hint="eastAsia" w:ascii="宋体" w:hAnsi="宋体" w:eastAsia="宋体" w:cs="宋体"/>
          <w:b/>
          <w:bCs/>
          <w:color w:val="000000" w:themeColor="text1"/>
          <w:spacing w:val="20"/>
          <w:sz w:val="40"/>
          <w:szCs w:val="40"/>
          <w:highlight w:val="none"/>
          <w14:textFill>
            <w14:solidFill>
              <w14:schemeClr w14:val="tx1"/>
            </w14:solidFill>
          </w14:textFill>
        </w:rPr>
        <w:t>工程质量保修书</w:t>
      </w:r>
    </w:p>
    <w:p w14:paraId="47C6ED13">
      <w:pPr>
        <w:shd w:val="clea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p>
    <w:p w14:paraId="08625486">
      <w:pPr>
        <w:shd w:val="clear"/>
        <w:adjustRightInd w:val="0"/>
        <w:snapToGrid w:val="0"/>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浦北县石埇镇人民政府</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56981AA2">
      <w:pPr>
        <w:shd w:val="clea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14:paraId="2C57F6E3">
      <w:pPr>
        <w:shd w:val="clear"/>
        <w:adjustRightInd w:val="0"/>
        <w:snapToGrid w:val="0"/>
        <w:spacing w:line="360" w:lineRule="auto"/>
        <w:ind w:firstLine="42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发包人和承包人根据《中华人民共和国建筑法》、《建设工程质量管理条例》和《房屋建筑工程质量保修办法》，经协商一致，对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（工程名称）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签订工程质量保修书。</w:t>
      </w:r>
    </w:p>
    <w:p w14:paraId="123E7CE4">
      <w:pPr>
        <w:shd w:val="clear"/>
        <w:adjustRightInd w:val="0"/>
        <w:snapToGrid w:val="0"/>
        <w:spacing w:line="360" w:lineRule="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1、工程质量保修范围和内容</w:t>
      </w:r>
    </w:p>
    <w:p w14:paraId="6164E8C7">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承包人在质量保修期内，按照有关法律、法规、规章的管理规定和双方约定，承担工程质量保修责任。</w:t>
      </w:r>
    </w:p>
    <w:p w14:paraId="03A33730">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96B5C13">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 质量保修范围包括</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工程等承包人施工的项目  </w:t>
      </w:r>
      <w:r>
        <w:rPr>
          <w:rFonts w:hint="eastAsia" w:ascii="宋体" w:hAnsi="宋体" w:eastAsia="宋体" w:cs="宋体"/>
          <w:color w:val="000000" w:themeColor="text1"/>
          <w:spacing w:val="20"/>
          <w:sz w:val="24"/>
          <w:highlight w:val="none"/>
          <w14:textFill>
            <w14:solidFill>
              <w14:schemeClr w14:val="tx1"/>
            </w14:solidFill>
          </w14:textFill>
        </w:rPr>
        <w:t>。</w:t>
      </w:r>
    </w:p>
    <w:p w14:paraId="6D906953">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非承包人施工的项目或非承包人购买的材料、设备，不在保修范围内；因承包人之外的原因造成该部分材料、设备返修的经济支出，不由承包人承担。 </w:t>
      </w:r>
    </w:p>
    <w:p w14:paraId="79D6CF71">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因使用不当或者第三方造成质量缺陷的，承包人不负担责任 。 </w:t>
      </w:r>
    </w:p>
    <w:p w14:paraId="5F401785">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因不可抗力造成质量缺陷的，承包人不负担责任 。 </w:t>
      </w:r>
    </w:p>
    <w:p w14:paraId="071D335D">
      <w:pPr>
        <w:shd w:val="clear"/>
        <w:adjustRightInd w:val="0"/>
        <w:snapToGrid w:val="0"/>
        <w:spacing w:line="360" w:lineRule="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2、质量保修期</w:t>
      </w:r>
    </w:p>
    <w:p w14:paraId="645349FD">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根据《建设工程质量管理条例》及有关规定，约定本工程的质量保修期如下：</w:t>
      </w:r>
    </w:p>
    <w:p w14:paraId="23022A89">
      <w:pPr>
        <w:numPr>
          <w:ilvl w:val="0"/>
          <w:numId w:val="22"/>
        </w:num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主本工程为设计文件规定的该工程合理使用年限。</w:t>
      </w:r>
    </w:p>
    <w:p w14:paraId="0FAEBDD0">
      <w:pPr>
        <w:numPr>
          <w:ilvl w:val="0"/>
          <w:numId w:val="22"/>
        </w:num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其他工程项目保修期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1  </w:t>
      </w:r>
      <w:r>
        <w:rPr>
          <w:rFonts w:hint="eastAsia" w:ascii="宋体" w:hAnsi="宋体" w:eastAsia="宋体" w:cs="宋体"/>
          <w:color w:val="000000" w:themeColor="text1"/>
          <w:spacing w:val="20"/>
          <w:sz w:val="24"/>
          <w:highlight w:val="none"/>
          <w14:textFill>
            <w14:solidFill>
              <w14:schemeClr w14:val="tx1"/>
            </w14:solidFill>
          </w14:textFill>
        </w:rPr>
        <w:t>年。</w:t>
      </w:r>
    </w:p>
    <w:p w14:paraId="1577ACBF">
      <w:pPr>
        <w:numPr>
          <w:ilvl w:val="0"/>
          <w:numId w:val="22"/>
        </w:num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质量保修期自工程竣工验收合格之日起计算器。</w:t>
      </w:r>
    </w:p>
    <w:p w14:paraId="05A539AB">
      <w:pPr>
        <w:shd w:val="clear"/>
        <w:adjustRightInd w:val="0"/>
        <w:snapToGrid w:val="0"/>
        <w:spacing w:line="360" w:lineRule="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3、质量保修责任</w:t>
      </w:r>
    </w:p>
    <w:p w14:paraId="37790458">
      <w:pPr>
        <w:shd w:val="clear"/>
        <w:adjustRightInd w:val="0"/>
        <w:snapToGrid w:val="0"/>
        <w:spacing w:line="360" w:lineRule="auto"/>
        <w:ind w:firstLine="560" w:firstLineChars="200"/>
        <w:outlineLvl w:val="9"/>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7    </w:t>
      </w:r>
      <w:r>
        <w:rPr>
          <w:rFonts w:hint="eastAsia" w:ascii="宋体" w:hAnsi="宋体" w:eastAsia="宋体" w:cs="宋体"/>
          <w:color w:val="000000" w:themeColor="text1"/>
          <w:spacing w:val="20"/>
          <w:sz w:val="24"/>
          <w:highlight w:val="none"/>
          <w14:textFill>
            <w14:solidFill>
              <w14:schemeClr w14:val="tx1"/>
            </w14:solidFill>
          </w14:textFill>
        </w:rPr>
        <w:t>天内派人保修。承包人不在约定期限内派人保修的，发包人可以委托他人修理，发生费用由承包人承担。</w:t>
      </w:r>
    </w:p>
    <w:p w14:paraId="431CAF35">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2．发生须紧急抢修事故的，承包人在接到事故通知后，应当立即到达事故现场抢修。</w:t>
      </w:r>
    </w:p>
    <w:p w14:paraId="46FE358F">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4F15794">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4．质量保修完成后，由发包人组织验收。</w:t>
      </w:r>
    </w:p>
    <w:p w14:paraId="6658C0F8">
      <w:pPr>
        <w:shd w:val="clear"/>
        <w:adjustRightInd w:val="0"/>
        <w:snapToGrid w:val="0"/>
        <w:spacing w:line="360" w:lineRule="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4、保修费用</w:t>
      </w:r>
    </w:p>
    <w:p w14:paraId="0CB8A288">
      <w:pPr>
        <w:shd w:val="clear"/>
        <w:adjustRightInd w:val="0"/>
        <w:snapToGrid w:val="0"/>
        <w:spacing w:line="360" w:lineRule="auto"/>
        <w:ind w:firstLine="560" w:firstLineChars="2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保修费用由造成质量缺陷的责任方承担。</w:t>
      </w:r>
    </w:p>
    <w:p w14:paraId="1BA82C4B">
      <w:pPr>
        <w:numPr>
          <w:ilvl w:val="0"/>
          <w:numId w:val="23"/>
        </w:numPr>
        <w:shd w:val="clear"/>
        <w:adjustRightInd w:val="0"/>
        <w:snapToGrid w:val="0"/>
        <w:spacing w:line="360" w:lineRule="auto"/>
        <w:jc w:val="left"/>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w:t>
      </w:r>
    </w:p>
    <w:p w14:paraId="5F122A71">
      <w:pPr>
        <w:shd w:val="clear"/>
        <w:adjustRightInd w:val="0"/>
        <w:snapToGrid w:val="0"/>
        <w:spacing w:line="360" w:lineRule="auto"/>
        <w:jc w:val="left"/>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双方约定的其他工程质量保修事项：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在工程保修期内，发包人根据合同规定的金额，在支付承包人的工程款内预留保修金。保修金为：结算总价款的3%，质量保修金银行利率为：0。发包人在工程质量保修期满壹年之日起15个工作日内返还（无息）</w:t>
      </w:r>
      <w:r>
        <w:rPr>
          <w:rFonts w:hint="eastAsia" w:ascii="宋体" w:hAnsi="宋体" w:eastAsia="宋体" w:cs="宋体"/>
          <w:color w:val="000000" w:themeColor="text1"/>
          <w:spacing w:val="20"/>
          <w:sz w:val="24"/>
          <w:highlight w:val="none"/>
          <w14:textFill>
            <w14:solidFill>
              <w14:schemeClr w14:val="tx1"/>
            </w14:solidFill>
          </w14:textFill>
        </w:rPr>
        <w:t>。</w:t>
      </w:r>
    </w:p>
    <w:p w14:paraId="795FB418">
      <w:pPr>
        <w:shd w:val="clear"/>
        <w:adjustRightInd w:val="0"/>
        <w:snapToGrid w:val="0"/>
        <w:spacing w:line="360" w:lineRule="auto"/>
        <w:ind w:firstLine="532" w:firstLineChars="19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本工程质量保修书，由施工合同发包人、承包人双方在竣工验收前共同签署，作为施工合同附件，其有效期限至保修期满。</w:t>
      </w:r>
    </w:p>
    <w:p w14:paraId="241E1192">
      <w:pPr>
        <w:shd w:val="clear"/>
        <w:adjustRightInd w:val="0"/>
        <w:snapToGrid w:val="0"/>
        <w:spacing w:line="360" w:lineRule="auto"/>
        <w:outlineLvl w:val="9"/>
        <w:rPr>
          <w:rFonts w:ascii="宋体" w:hAnsi="宋体" w:eastAsia="宋体" w:cs="宋体"/>
          <w:color w:val="000000" w:themeColor="text1"/>
          <w:spacing w:val="20"/>
          <w:sz w:val="24"/>
          <w:highlight w:val="none"/>
          <w14:textFill>
            <w14:solidFill>
              <w14:schemeClr w14:val="tx1"/>
            </w14:solidFill>
          </w14:textFill>
        </w:rPr>
      </w:pPr>
    </w:p>
    <w:p w14:paraId="596B9A4C">
      <w:pPr>
        <w:shd w:val="clear"/>
        <w:adjustRightInd w:val="0"/>
        <w:snapToGrid w:val="0"/>
        <w:spacing w:line="360" w:lineRule="auto"/>
        <w:outlineLvl w:val="9"/>
        <w:rPr>
          <w:rFonts w:ascii="宋体" w:hAnsi="宋体" w:eastAsia="宋体" w:cs="宋体"/>
          <w:color w:val="000000" w:themeColor="text1"/>
          <w:spacing w:val="20"/>
          <w:sz w:val="24"/>
          <w:highlight w:val="none"/>
          <w14:textFill>
            <w14:solidFill>
              <w14:schemeClr w14:val="tx1"/>
            </w14:solidFill>
          </w14:textFill>
        </w:rPr>
      </w:pPr>
    </w:p>
    <w:p w14:paraId="27C808AD">
      <w:pPr>
        <w:shd w:val="clear"/>
        <w:adjustRightInd w:val="0"/>
        <w:snapToGrid w:val="0"/>
        <w:spacing w:line="360" w:lineRule="auto"/>
        <w:ind w:firstLine="840" w:firstLineChars="300"/>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14:paraId="1A4C3E6C">
      <w:pPr>
        <w:shd w:val="clear"/>
        <w:adjustRightInd w:val="0"/>
        <w:snapToGrid w:val="0"/>
        <w:spacing w:line="360" w:lineRule="auto"/>
        <w:outlineLvl w:val="9"/>
        <w:rPr>
          <w:rFonts w:ascii="宋体" w:hAnsi="宋体" w:eastAsia="宋体" w:cs="宋体"/>
          <w:color w:val="000000" w:themeColor="text1"/>
          <w:spacing w:val="20"/>
          <w:sz w:val="24"/>
          <w:highlight w:val="none"/>
          <w:u w:val="single"/>
          <w14:textFill>
            <w14:solidFill>
              <w14:schemeClr w14:val="tx1"/>
            </w14:solidFill>
          </w14:textFill>
        </w:rPr>
      </w:pPr>
    </w:p>
    <w:p w14:paraId="631063B6">
      <w:pPr>
        <w:shd w:val="clear"/>
        <w:adjustRightInd w:val="0"/>
        <w:snapToGrid w:val="0"/>
        <w:spacing w:line="360" w:lineRule="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2B21ADE7">
      <w:pPr>
        <w:shd w:val="clear"/>
        <w:adjustRightInd w:val="0"/>
        <w:snapToGrid w:val="0"/>
        <w:spacing w:line="360" w:lineRule="auto"/>
        <w:outlineLvl w:val="9"/>
        <w:rPr>
          <w:rFonts w:ascii="宋体" w:hAnsi="宋体" w:eastAsia="宋体" w:cs="宋体"/>
          <w:color w:val="000000" w:themeColor="text1"/>
          <w:spacing w:val="20"/>
          <w:sz w:val="24"/>
          <w:highlight w:val="none"/>
          <w:u w:val="single"/>
          <w14:textFill>
            <w14:solidFill>
              <w14:schemeClr w14:val="tx1"/>
            </w14:solidFill>
          </w14:textFill>
        </w:rPr>
      </w:pPr>
    </w:p>
    <w:p w14:paraId="20400392">
      <w:pPr>
        <w:shd w:val="clear"/>
        <w:adjustRightInd w:val="0"/>
        <w:snapToGrid w:val="0"/>
        <w:spacing w:line="360" w:lineRule="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6143C684">
      <w:pPr>
        <w:shd w:val="clear"/>
        <w:adjustRightInd w:val="0"/>
        <w:snapToGrid w:val="0"/>
        <w:spacing w:line="400" w:lineRule="exact"/>
        <w:outlineLvl w:val="9"/>
        <w:rPr>
          <w:rFonts w:ascii="宋体" w:hAnsi="宋体" w:eastAsia="宋体" w:cs="宋体"/>
          <w:color w:val="000000" w:themeColor="text1"/>
          <w:spacing w:val="20"/>
          <w:sz w:val="24"/>
          <w:highlight w:val="none"/>
          <w:u w:val="single"/>
          <w14:textFill>
            <w14:solidFill>
              <w14:schemeClr w14:val="tx1"/>
            </w14:solidFill>
          </w14:textFill>
        </w:rPr>
      </w:pPr>
    </w:p>
    <w:p w14:paraId="5F3B2D29">
      <w:pPr>
        <w:shd w:val="clear"/>
        <w:adjustRightInd w:val="0"/>
        <w:snapToGrid w:val="0"/>
        <w:spacing w:line="400" w:lineRule="exact"/>
        <w:outlineLvl w:val="9"/>
        <w:rPr>
          <w:rFonts w:ascii="宋体" w:hAnsi="宋体" w:eastAsia="宋体" w:cs="宋体"/>
          <w:color w:val="000000" w:themeColor="text1"/>
          <w:spacing w:val="20"/>
          <w:sz w:val="24"/>
          <w:highlight w:val="none"/>
          <w:u w:val="single"/>
          <w14:textFill>
            <w14:solidFill>
              <w14:schemeClr w14:val="tx1"/>
            </w14:solidFill>
          </w14:textFill>
        </w:rPr>
      </w:pPr>
    </w:p>
    <w:p w14:paraId="2E26EEE2">
      <w:pPr>
        <w:shd w:val="clear"/>
        <w:adjustRightInd w:val="0"/>
        <w:snapToGrid w:val="0"/>
        <w:spacing w:line="400" w:lineRule="exact"/>
        <w:outlineLvl w:val="9"/>
        <w:rPr>
          <w:rFonts w:ascii="宋体" w:hAnsi="宋体" w:eastAsia="宋体" w:cs="宋体"/>
          <w:color w:val="000000" w:themeColor="text1"/>
          <w:spacing w:val="20"/>
          <w:sz w:val="24"/>
          <w:highlight w:val="none"/>
          <w:u w:val="single"/>
          <w14:textFill>
            <w14:solidFill>
              <w14:schemeClr w14:val="tx1"/>
            </w14:solidFill>
          </w14:textFill>
        </w:rPr>
      </w:pPr>
    </w:p>
    <w:p w14:paraId="22DA36EC">
      <w:pPr>
        <w:shd w:val="clear"/>
        <w:spacing w:beforeLines="50" w:afterLines="50" w:line="360" w:lineRule="auto"/>
        <w:outlineLvl w:val="9"/>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eastAsia="宋体" w:cs="宋体"/>
          <w:color w:val="000000" w:themeColor="text1"/>
          <w:spacing w:val="20"/>
          <w:sz w:val="24"/>
          <w:highlight w:val="none"/>
          <w:lang w:val="en-US" w:eastAsia="zh-CN"/>
          <w14:textFill>
            <w14:solidFill>
              <w14:schemeClr w14:val="tx1"/>
            </w14:solidFill>
          </w14:textFill>
        </w:rPr>
        <w:t>附件2</w:t>
      </w:r>
    </w:p>
    <w:p w14:paraId="2480A2E5">
      <w:pPr>
        <w:shd w:val="clear"/>
        <w:spacing w:line="480" w:lineRule="auto"/>
        <w:jc w:val="center"/>
        <w:outlineLvl w:val="9"/>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安全生产合同</w:t>
      </w:r>
    </w:p>
    <w:p w14:paraId="38999FA2">
      <w:pPr>
        <w:shd w:val="clear"/>
        <w:outlineLvl w:val="9"/>
        <w:rPr>
          <w:rFonts w:hint="eastAsia" w:ascii="宋体" w:hAnsi="宋体" w:eastAsia="宋体" w:cs="宋体"/>
          <w:color w:val="000000" w:themeColor="text1"/>
          <w:kern w:val="1"/>
          <w:sz w:val="24"/>
          <w:szCs w:val="24"/>
          <w:highlight w:val="none"/>
          <w14:textFill>
            <w14:solidFill>
              <w14:schemeClr w14:val="tx1"/>
            </w14:solidFill>
          </w14:textFill>
        </w:rPr>
      </w:pPr>
    </w:p>
    <w:p w14:paraId="6FD1048D">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为在</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u w:val="single"/>
          <w:lang w:val="en-US" w:eastAsia="zh-CN"/>
          <w14:textFill>
            <w14:solidFill>
              <w14:schemeClr w14:val="tx1"/>
            </w14:solidFill>
          </w14:textFill>
        </w:rPr>
        <w:t xml:space="preserve">（工程名称）  </w:t>
      </w:r>
      <w:r>
        <w:rPr>
          <w:rFonts w:hint="eastAsia" w:ascii="宋体" w:hAnsi="宋体" w:eastAsia="宋体" w:cs="宋体"/>
          <w:color w:val="000000" w:themeColor="text1"/>
          <w:kern w:val="1"/>
          <w:sz w:val="24"/>
          <w:szCs w:val="24"/>
          <w:highlight w:val="none"/>
          <w14:textFill>
            <w14:solidFill>
              <w14:schemeClr w14:val="tx1"/>
            </w14:solidFill>
          </w14:textFill>
        </w:rPr>
        <w:t>的实施过程中创造安全、高效的施工环境，切实搞好本项目的安全管理工作，本项目业主</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浦北县石埇镇人民政府</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（以下简称“甲方”）与承包人</w:t>
      </w:r>
      <w:r>
        <w:rPr>
          <w:rFonts w:hint="eastAsia" w:ascii="宋体" w:hAnsi="宋体" w:eastAsia="宋体" w:cs="宋体"/>
          <w:b/>
          <w:bCs/>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（以下简称“乙方”）特此签订安全生产合同：</w:t>
      </w:r>
    </w:p>
    <w:p w14:paraId="4CF2B6A4">
      <w:pPr>
        <w:shd w:val="clear"/>
        <w:spacing w:line="360" w:lineRule="auto"/>
        <w:outlineLvl w:val="9"/>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一、甲方职责</w:t>
      </w:r>
    </w:p>
    <w:p w14:paraId="32899FB2">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严格遵守国家有关安全生产的法律法规，认真执行工程承包合同中的有关安全要求。</w:t>
      </w:r>
    </w:p>
    <w:p w14:paraId="546BE864">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按照“安全第一、预防为主”和坚持“管生产必须管安全”的原则进行安全生产管理，做到生产与安全工作同时计划、布置、检查、总结和评比。</w:t>
      </w:r>
    </w:p>
    <w:p w14:paraId="64914AD5">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重要的安全设施必须坚持与主体工程“三同时”的原则，即：同时设计、审批，同时施工，同时验收，投入使用。</w:t>
      </w:r>
    </w:p>
    <w:p w14:paraId="1C4E228B">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定期召开安全生产调度会，及时传达中央及地方有关安全生产的精神。</w:t>
      </w:r>
    </w:p>
    <w:p w14:paraId="15BE6CD4">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组织对乙方施工现场安全生产检查，监督乙方及时处理发现的各种安全隐患。</w:t>
      </w:r>
    </w:p>
    <w:p w14:paraId="43B8D8B0">
      <w:pPr>
        <w:shd w:val="clear"/>
        <w:spacing w:line="360" w:lineRule="auto"/>
        <w:outlineLvl w:val="9"/>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二、乙方职责</w:t>
      </w:r>
    </w:p>
    <w:p w14:paraId="4CE7E356">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严格遵守国家有关安全生产的法律法规、农业农村部、水利部颁发的有关安全生产的规定，认真执行工程承包合同中的有关安全要求。</w:t>
      </w:r>
    </w:p>
    <w:p w14:paraId="1D1CE059">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890F8EF">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CAA7C02">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乙方在任何时候都应采取各种合理的预防措施，防止其员工发生任何违法、违禁、暴力或妨碍治安的行为。</w:t>
      </w:r>
    </w:p>
    <w:p w14:paraId="448E891B">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0E4A4457">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A05C56D">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7. 操作人员上岗，必须按规定穿戴防护用品。施工负责人和安全检查员应随时检查劳动防护用品的穿戴情况，不按规定穿戴防护用品的人员不得上岗。</w:t>
      </w:r>
    </w:p>
    <w:p w14:paraId="65D595BB">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8. 所有施工机具设备和高空作业的设备均应定期检查，并有安全员的签字记录，保证其经常处于完好状态；不合格的机具、设备和劳动保护用品严禁使用。</w:t>
      </w:r>
    </w:p>
    <w:p w14:paraId="5471C01A">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9. 施工中采用新技术、新工艺、新设备、新材料时，必须制定相应的安全技术措施，施工现场必须具有相关的安全标志牌。</w:t>
      </w:r>
    </w:p>
    <w:p w14:paraId="378A6CB3">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CF83821">
      <w:pPr>
        <w:shd w:val="clear"/>
        <w:spacing w:line="360" w:lineRule="auto"/>
        <w:outlineLvl w:val="9"/>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三、违约责任</w:t>
      </w:r>
    </w:p>
    <w:p w14:paraId="554DB6E2">
      <w:pPr>
        <w:shd w:val="clear"/>
        <w:spacing w:line="360" w:lineRule="auto"/>
        <w:outlineLvl w:val="9"/>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如因甲方或乙方违约造成安全事故，将依法追究责任。</w:t>
      </w:r>
    </w:p>
    <w:p w14:paraId="1AB51456">
      <w:pPr>
        <w:shd w:val="clear"/>
        <w:adjustRightInd w:val="0"/>
        <w:snapToGrid w:val="0"/>
        <w:spacing w:line="360" w:lineRule="auto"/>
        <w:ind w:firstLine="840" w:firstLineChars="300"/>
        <w:outlineLvl w:val="9"/>
        <w:rPr>
          <w:rFonts w:hint="eastAsia" w:ascii="宋体" w:hAnsi="宋体" w:eastAsia="宋体" w:cs="宋体"/>
          <w:color w:val="000000" w:themeColor="text1"/>
          <w:spacing w:val="20"/>
          <w:sz w:val="24"/>
          <w:highlight w:val="none"/>
          <w14:textFill>
            <w14:solidFill>
              <w14:schemeClr w14:val="tx1"/>
            </w14:solidFill>
          </w14:textFill>
        </w:rPr>
      </w:pPr>
    </w:p>
    <w:p w14:paraId="66719766">
      <w:pPr>
        <w:shd w:val="clear"/>
        <w:adjustRightInd w:val="0"/>
        <w:snapToGrid w:val="0"/>
        <w:spacing w:line="360" w:lineRule="auto"/>
        <w:outlineLvl w:val="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14:paraId="6ACE5B4F">
      <w:pPr>
        <w:shd w:val="clear"/>
        <w:adjustRightInd w:val="0"/>
        <w:snapToGrid w:val="0"/>
        <w:spacing w:line="360" w:lineRule="auto"/>
        <w:outlineLvl w:val="9"/>
        <w:rPr>
          <w:rFonts w:ascii="宋体" w:hAnsi="宋体" w:eastAsia="宋体" w:cs="宋体"/>
          <w:color w:val="000000" w:themeColor="text1"/>
          <w:spacing w:val="20"/>
          <w:sz w:val="24"/>
          <w:highlight w:val="none"/>
          <w:u w:val="single"/>
          <w14:textFill>
            <w14:solidFill>
              <w14:schemeClr w14:val="tx1"/>
            </w14:solidFill>
          </w14:textFill>
        </w:rPr>
      </w:pPr>
    </w:p>
    <w:p w14:paraId="3014BAF9">
      <w:pPr>
        <w:shd w:val="clear"/>
        <w:adjustRightInd w:val="0"/>
        <w:snapToGrid w:val="0"/>
        <w:spacing w:line="360" w:lineRule="auto"/>
        <w:outlineLvl w:val="9"/>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14:paraId="57CBC53A">
      <w:pPr>
        <w:shd w:val="clear"/>
        <w:adjustRightInd w:val="0"/>
        <w:snapToGrid w:val="0"/>
        <w:spacing w:line="360" w:lineRule="auto"/>
        <w:outlineLvl w:val="9"/>
        <w:rPr>
          <w:rFonts w:ascii="宋体" w:hAnsi="宋体" w:eastAsia="宋体" w:cs="宋体"/>
          <w:color w:val="000000" w:themeColor="text1"/>
          <w:spacing w:val="20"/>
          <w:sz w:val="24"/>
          <w:highlight w:val="none"/>
          <w:u w:val="single"/>
          <w14:textFill>
            <w14:solidFill>
              <w14:schemeClr w14:val="tx1"/>
            </w14:solidFill>
          </w14:textFill>
        </w:rPr>
      </w:pPr>
    </w:p>
    <w:p w14:paraId="48263CD8">
      <w:pPr>
        <w:shd w:val="clear"/>
        <w:spacing w:line="360" w:lineRule="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p>
    <w:p w14:paraId="68EBFE28">
      <w:pPr>
        <w:shd w:val="clear"/>
        <w:spacing w:line="360" w:lineRule="auto"/>
        <w:jc w:val="center"/>
        <w:outlineLvl w:val="9"/>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施工合同补充协议书</w:t>
      </w:r>
    </w:p>
    <w:p w14:paraId="6B74ADCD">
      <w:pPr>
        <w:shd w:val="clear"/>
        <w:spacing w:line="360" w:lineRule="auto"/>
        <w:outlineLvl w:val="9"/>
        <w:rPr>
          <w:rFonts w:hint="eastAsia" w:eastAsia="宋体" w:asciiTheme="minorEastAsia" w:hAnsi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浦北县石埇镇人民政府</w:t>
      </w:r>
    </w:p>
    <w:p w14:paraId="77C95371">
      <w:pPr>
        <w:shd w:val="clear"/>
        <w:spacing w:line="360" w:lineRule="auto"/>
        <w:outlineLvl w:val="9"/>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乙方:</w:t>
      </w:r>
    </w:p>
    <w:p w14:paraId="00580A61">
      <w:pPr>
        <w:shd w:val="clear"/>
        <w:spacing w:line="360" w:lineRule="auto"/>
        <w:ind w:firstLine="560" w:firstLineChars="200"/>
        <w:outlineLvl w:val="9"/>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根据广西壮族自治区解决企业拖欠工资问题联席会议关于印发《广西壮族自治区工程建设领域工人工资支付专用账户管理办法》的通知（桂薪联发〔2016〕1号）的规定，经甲乙双方共同协商，达成如下补充协议：</w:t>
      </w:r>
    </w:p>
    <w:p w14:paraId="4109F578">
      <w:pPr>
        <w:shd w:val="clear"/>
        <w:spacing w:line="360" w:lineRule="auto"/>
        <w:ind w:firstLine="560" w:firstLineChars="200"/>
        <w:outlineLvl w:val="9"/>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1、乙方必须按规定到国有专业银行开设工人工资支付专用账户。</w:t>
      </w:r>
    </w:p>
    <w:p w14:paraId="34258949">
      <w:pPr>
        <w:shd w:val="clear"/>
        <w:spacing w:line="360" w:lineRule="auto"/>
        <w:ind w:firstLine="560" w:firstLineChars="200"/>
        <w:outlineLvl w:val="9"/>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2、双方约定该项目工资占工程款的比例是30%。</w:t>
      </w:r>
    </w:p>
    <w:p w14:paraId="081BB839">
      <w:pPr>
        <w:shd w:val="clear"/>
        <w:spacing w:line="360" w:lineRule="auto"/>
        <w:ind w:firstLine="560" w:firstLineChars="200"/>
        <w:outlineLvl w:val="9"/>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3、乙方</w:t>
      </w:r>
      <w:r>
        <w:rPr>
          <w:rFonts w:hint="eastAsia" w:ascii="宋体" w:hAnsi="宋体" w:eastAsia="宋体" w:cs="宋体"/>
          <w:color w:val="000000" w:themeColor="text1"/>
          <w:sz w:val="28"/>
          <w:szCs w:val="28"/>
          <w:highlight w:val="none"/>
          <w14:textFill>
            <w14:solidFill>
              <w14:schemeClr w14:val="tx1"/>
            </w14:solidFill>
          </w14:textFill>
        </w:rPr>
        <w:t>按规程办理工程进度款手续后，向甲方申请工程进度款时，甲方按约定工资比例将工程款部分划入乙方提供的工人工资支付专用账户（账户名称：</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农民工工资支付专用账户</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）用于支付工人工资，余款划入乙方提供的账户（账户名称：</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开户银行：账号：</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w:t>
      </w:r>
      <w:r>
        <w:rPr>
          <w:rFonts w:hint="eastAsia" w:asciiTheme="minorEastAsia" w:hAnsiTheme="minorEastAsia" w:cstheme="minorEastAsia"/>
          <w:color w:val="000000" w:themeColor="text1"/>
          <w:sz w:val="28"/>
          <w:szCs w:val="28"/>
          <w:highlight w:val="none"/>
          <w14:textFill>
            <w14:solidFill>
              <w14:schemeClr w14:val="tx1"/>
            </w14:solidFill>
          </w14:textFill>
        </w:rPr>
        <w:t>于该工程的建设费用。</w:t>
      </w:r>
    </w:p>
    <w:p w14:paraId="7F76E691">
      <w:pPr>
        <w:shd w:val="clear"/>
        <w:spacing w:line="360" w:lineRule="auto"/>
        <w:ind w:firstLine="560" w:firstLineChars="200"/>
        <w:outlineLvl w:val="9"/>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4、乙方没提交工人工资支付专用账户的，甲方有权不拨付工程进度款。</w:t>
      </w:r>
    </w:p>
    <w:p w14:paraId="50D3C74F">
      <w:pPr>
        <w:shd w:val="clear"/>
        <w:spacing w:line="360" w:lineRule="auto"/>
        <w:ind w:firstLine="560" w:firstLineChars="200"/>
        <w:outlineLvl w:val="9"/>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cstheme="minorEastAsia"/>
          <w:color w:val="000000" w:themeColor="text1"/>
          <w:sz w:val="28"/>
          <w:szCs w:val="28"/>
          <w:highlight w:val="none"/>
          <w14:textFill>
            <w14:solidFill>
              <w14:schemeClr w14:val="tx1"/>
            </w14:solidFill>
          </w14:textFill>
        </w:rPr>
        <w:t>捌份，甲乙双方各执肆份，并与原合同共同执行。</w:t>
      </w:r>
    </w:p>
    <w:p w14:paraId="42330EC4">
      <w:pPr>
        <w:shd w:val="clear"/>
        <w:spacing w:line="360" w:lineRule="auto"/>
        <w:outlineLvl w:val="9"/>
        <w:rPr>
          <w:rFonts w:asciiTheme="minorEastAsia" w:hAnsiTheme="minorEastAsia" w:cstheme="minorEastAsia"/>
          <w:color w:val="000000" w:themeColor="text1"/>
          <w:sz w:val="28"/>
          <w:szCs w:val="28"/>
          <w:highlight w:val="none"/>
          <w14:textFill>
            <w14:solidFill>
              <w14:schemeClr w14:val="tx1"/>
            </w14:solidFill>
          </w14:textFill>
        </w:rPr>
      </w:pPr>
    </w:p>
    <w:p w14:paraId="1E0A0BD2">
      <w:pPr>
        <w:shd w:val="clear"/>
        <w:spacing w:line="360" w:lineRule="auto"/>
        <w:outlineLvl w:val="9"/>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                            乙方：</w:t>
      </w:r>
    </w:p>
    <w:p w14:paraId="2B39A8D4">
      <w:pPr>
        <w:shd w:val="clear"/>
        <w:spacing w:line="360" w:lineRule="auto"/>
        <w:outlineLvl w:val="9"/>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代表签名：                        代表签名：</w:t>
      </w:r>
    </w:p>
    <w:p w14:paraId="03E132B6">
      <w:pPr>
        <w:spacing w:line="360" w:lineRule="auto"/>
        <w:outlineLvl w:val="9"/>
        <w:rPr>
          <w:rFonts w:hint="eastAsia" w:ascii="宋体" w:hAnsi="宋体"/>
          <w:color w:val="000000"/>
          <w:szCs w:val="21"/>
          <w:highlight w:val="none"/>
        </w:rPr>
      </w:pPr>
      <w:r>
        <w:rPr>
          <w:rFonts w:hint="eastAsia" w:asciiTheme="minorEastAsia" w:hAnsiTheme="minorEastAsia" w:cstheme="minorEastAsia"/>
          <w:color w:val="000000" w:themeColor="text1"/>
          <w:sz w:val="28"/>
          <w:szCs w:val="28"/>
          <w:highlight w:val="none"/>
          <w14:textFill>
            <w14:solidFill>
              <w14:schemeClr w14:val="tx1"/>
            </w14:solidFill>
          </w14:textFill>
        </w:rPr>
        <w:t>签订日期：                        签订日期：</w:t>
      </w:r>
    </w:p>
    <w:p w14:paraId="298A065C">
      <w:pPr>
        <w:spacing w:before="156" w:beforeLines="50" w:after="156" w:afterLines="50" w:line="440" w:lineRule="exact"/>
        <w:jc w:val="left"/>
        <w:outlineLvl w:val="9"/>
        <w:rPr>
          <w:color w:val="000000"/>
          <w:highlight w:val="none"/>
        </w:rPr>
      </w:pPr>
    </w:p>
    <w:p w14:paraId="5ED30F7E">
      <w:pPr>
        <w:pStyle w:val="10"/>
        <w:outlineLvl w:val="9"/>
        <w:rPr>
          <w:color w:val="auto"/>
          <w:sz w:val="21"/>
          <w:szCs w:val="21"/>
          <w:highlight w:val="none"/>
        </w:rPr>
      </w:pPr>
    </w:p>
    <w:sectPr>
      <w:headerReference r:id="rId6" w:type="default"/>
      <w:footerReference r:id="rId7"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747B">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33CF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233CF5">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EBA0E">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FBDCD">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4FBDCD">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91835">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DFE3">
    <w:pPr>
      <w:pStyle w:val="19"/>
      <w:pBdr>
        <w:bottom w:val="single" w:color="auto" w:sz="4" w:space="0"/>
      </w:pBdr>
      <w:jc w:val="right"/>
      <w:rPr>
        <w:rFonts w:hint="eastAsia" w:eastAsia="宋体"/>
        <w:lang w:eastAsia="zh-CN"/>
      </w:rPr>
    </w:pPr>
    <w:r>
      <w:rPr>
        <w:rFonts w:hint="eastAsia"/>
        <w:sz w:val="21"/>
        <w:szCs w:val="21"/>
      </w:rPr>
      <w:t>2025年石埇镇石埇村委标准厂房建设项目</w:t>
    </w:r>
    <w:r>
      <w:rPr>
        <w:rFonts w:hint="eastAsia"/>
        <w:sz w:val="21"/>
        <w:szCs w:val="21"/>
        <w:lang w:eastAsia="zh-CN"/>
      </w:rPr>
      <w:t>（QZZC2025-C2-220054-GXZB）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8BF">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57BD"/>
    <w:multiLevelType w:val="singleLevel"/>
    <w:tmpl w:val="80AD57BD"/>
    <w:lvl w:ilvl="0" w:tentative="0">
      <w:start w:val="3"/>
      <w:numFmt w:val="decimal"/>
      <w:suff w:val="nothing"/>
      <w:lvlText w:val="%1、"/>
      <w:lvlJc w:val="left"/>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052171C"/>
    <w:multiLevelType w:val="singleLevel"/>
    <w:tmpl w:val="A052171C"/>
    <w:lvl w:ilvl="0" w:tentative="0">
      <w:start w:val="28"/>
      <w:numFmt w:val="decimal"/>
      <w:suff w:val="nothing"/>
      <w:lvlText w:val="%1、"/>
      <w:lvlJc w:val="left"/>
    </w:lvl>
  </w:abstractNum>
  <w:abstractNum w:abstractNumId="3">
    <w:nsid w:val="A8BB11CC"/>
    <w:multiLevelType w:val="singleLevel"/>
    <w:tmpl w:val="A8BB11CC"/>
    <w:lvl w:ilvl="0" w:tentative="0">
      <w:start w:val="5"/>
      <w:numFmt w:val="decimal"/>
      <w:suff w:val="nothing"/>
      <w:lvlText w:val="%1、"/>
      <w:lvlJc w:val="left"/>
    </w:lvl>
  </w:abstractNum>
  <w:abstractNum w:abstractNumId="4">
    <w:nsid w:val="CD797C19"/>
    <w:multiLevelType w:val="singleLevel"/>
    <w:tmpl w:val="CD797C19"/>
    <w:lvl w:ilvl="0" w:tentative="0">
      <w:start w:val="2"/>
      <w:numFmt w:val="chineseCounting"/>
      <w:suff w:val="nothing"/>
      <w:lvlText w:val="%1、"/>
      <w:lvlJc w:val="left"/>
      <w:rPr>
        <w:rFonts w:hint="eastAsia"/>
      </w:rPr>
    </w:lvl>
  </w:abstractNum>
  <w:abstractNum w:abstractNumId="5">
    <w:nsid w:val="D0A1F2BB"/>
    <w:multiLevelType w:val="singleLevel"/>
    <w:tmpl w:val="D0A1F2BB"/>
    <w:lvl w:ilvl="0" w:tentative="0">
      <w:start w:val="21"/>
      <w:numFmt w:val="decimal"/>
      <w:lvlText w:val="%1."/>
      <w:lvlJc w:val="left"/>
      <w:pPr>
        <w:tabs>
          <w:tab w:val="left" w:pos="312"/>
        </w:tabs>
      </w:pPr>
    </w:lvl>
  </w:abstractNum>
  <w:abstractNum w:abstractNumId="6">
    <w:nsid w:val="D370C4B2"/>
    <w:multiLevelType w:val="singleLevel"/>
    <w:tmpl w:val="D370C4B2"/>
    <w:lvl w:ilvl="0" w:tentative="0">
      <w:start w:val="1"/>
      <w:numFmt w:val="decimal"/>
      <w:suff w:val="nothing"/>
      <w:lvlText w:val="（%1）"/>
      <w:lvlJc w:val="left"/>
    </w:lvl>
  </w:abstractNum>
  <w:abstractNum w:abstractNumId="7">
    <w:nsid w:val="D44731D0"/>
    <w:multiLevelType w:val="singleLevel"/>
    <w:tmpl w:val="D44731D0"/>
    <w:lvl w:ilvl="0" w:tentative="0">
      <w:start w:val="17"/>
      <w:numFmt w:val="decimal"/>
      <w:suff w:val="nothing"/>
      <w:lvlText w:val="%1、"/>
      <w:lvlJc w:val="left"/>
    </w:lvl>
  </w:abstractNum>
  <w:abstractNum w:abstractNumId="8">
    <w:nsid w:val="E00284FE"/>
    <w:multiLevelType w:val="singleLevel"/>
    <w:tmpl w:val="E00284FE"/>
    <w:lvl w:ilvl="0" w:tentative="0">
      <w:start w:val="23"/>
      <w:numFmt w:val="decimal"/>
      <w:suff w:val="nothing"/>
      <w:lvlText w:val="%1、"/>
      <w:lvlJc w:val="left"/>
    </w:lvl>
  </w:abstractNum>
  <w:abstractNum w:abstractNumId="9">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10">
    <w:nsid w:val="F8BDD49A"/>
    <w:multiLevelType w:val="singleLevel"/>
    <w:tmpl w:val="F8BDD49A"/>
    <w:lvl w:ilvl="0" w:tentative="0">
      <w:start w:val="4"/>
      <w:numFmt w:val="decimal"/>
      <w:suff w:val="nothing"/>
      <w:lvlText w:val="（%1）"/>
      <w:lvlJc w:val="left"/>
    </w:lvl>
  </w:abstractNum>
  <w:abstractNum w:abstractNumId="11">
    <w:nsid w:val="00000006"/>
    <w:multiLevelType w:val="singleLevel"/>
    <w:tmpl w:val="00000006"/>
    <w:lvl w:ilvl="0" w:tentative="0">
      <w:start w:val="1"/>
      <w:numFmt w:val="decimal"/>
      <w:suff w:val="nothing"/>
      <w:lvlText w:val="（%1）"/>
      <w:lvlJc w:val="left"/>
    </w:lvl>
  </w:abstractNum>
  <w:abstractNum w:abstractNumId="12">
    <w:nsid w:val="006F8B25"/>
    <w:multiLevelType w:val="singleLevel"/>
    <w:tmpl w:val="006F8B25"/>
    <w:lvl w:ilvl="0" w:tentative="0">
      <w:start w:val="9"/>
      <w:numFmt w:val="decimal"/>
      <w:suff w:val="nothing"/>
      <w:lvlText w:val="%1、"/>
      <w:lvlJc w:val="left"/>
    </w:lvl>
  </w:abstractNum>
  <w:abstractNum w:abstractNumId="13">
    <w:nsid w:val="0A8D7890"/>
    <w:multiLevelType w:val="singleLevel"/>
    <w:tmpl w:val="0A8D7890"/>
    <w:lvl w:ilvl="0" w:tentative="0">
      <w:start w:val="1"/>
      <w:numFmt w:val="decimal"/>
      <w:lvlText w:val="%1."/>
      <w:lvlJc w:val="left"/>
      <w:pPr>
        <w:tabs>
          <w:tab w:val="left" w:pos="312"/>
        </w:tabs>
      </w:pPr>
    </w:lvl>
  </w:abstractNum>
  <w:abstractNum w:abstractNumId="14">
    <w:nsid w:val="27E2D8D2"/>
    <w:multiLevelType w:val="singleLevel"/>
    <w:tmpl w:val="27E2D8D2"/>
    <w:lvl w:ilvl="0" w:tentative="0">
      <w:start w:val="1"/>
      <w:numFmt w:val="decimal"/>
      <w:suff w:val="nothing"/>
      <w:lvlText w:val="（%1）"/>
      <w:lvlJc w:val="left"/>
    </w:lvl>
  </w:abstractNum>
  <w:abstractNum w:abstractNumId="15">
    <w:nsid w:val="3B3D739F"/>
    <w:multiLevelType w:val="singleLevel"/>
    <w:tmpl w:val="3B3D739F"/>
    <w:lvl w:ilvl="0" w:tentative="0">
      <w:start w:val="1"/>
      <w:numFmt w:val="decimal"/>
      <w:suff w:val="nothing"/>
      <w:lvlText w:val="（%1）"/>
      <w:lvlJc w:val="left"/>
    </w:lvl>
  </w:abstractNum>
  <w:abstractNum w:abstractNumId="16">
    <w:nsid w:val="3C2A2CEB"/>
    <w:multiLevelType w:val="singleLevel"/>
    <w:tmpl w:val="3C2A2CEB"/>
    <w:lvl w:ilvl="0" w:tentative="0">
      <w:start w:val="32"/>
      <w:numFmt w:val="decimal"/>
      <w:suff w:val="nothing"/>
      <w:lvlText w:val="%1、"/>
      <w:lvlJc w:val="left"/>
    </w:lvl>
  </w:abstractNum>
  <w:abstractNum w:abstractNumId="17">
    <w:nsid w:val="4FC6D619"/>
    <w:multiLevelType w:val="singleLevel"/>
    <w:tmpl w:val="4FC6D619"/>
    <w:lvl w:ilvl="0" w:tentative="0">
      <w:start w:val="1"/>
      <w:numFmt w:val="chineseCounting"/>
      <w:suff w:val="nothing"/>
      <w:lvlText w:val="（%1）"/>
      <w:lvlJc w:val="left"/>
      <w:rPr>
        <w:rFonts w:hint="eastAsia"/>
      </w:rPr>
    </w:lvl>
  </w:abstractNum>
  <w:abstractNum w:abstractNumId="18">
    <w:nsid w:val="56AE54E7"/>
    <w:multiLevelType w:val="singleLevel"/>
    <w:tmpl w:val="56AE54E7"/>
    <w:lvl w:ilvl="0" w:tentative="0">
      <w:start w:val="1"/>
      <w:numFmt w:val="decimal"/>
      <w:suff w:val="nothing"/>
      <w:lvlText w:val="（%1）"/>
      <w:lvlJc w:val="left"/>
    </w:lvl>
  </w:abstractNum>
  <w:abstractNum w:abstractNumId="19">
    <w:nsid w:val="5F06B9E5"/>
    <w:multiLevelType w:val="singleLevel"/>
    <w:tmpl w:val="5F06B9E5"/>
    <w:lvl w:ilvl="0" w:tentative="0">
      <w:start w:val="13"/>
      <w:numFmt w:val="decimal"/>
      <w:suff w:val="nothing"/>
      <w:lvlText w:val="%1、"/>
      <w:lvlJc w:val="left"/>
    </w:lvl>
  </w:abstractNum>
  <w:abstractNum w:abstractNumId="20">
    <w:nsid w:val="6A53F4EB"/>
    <w:multiLevelType w:val="singleLevel"/>
    <w:tmpl w:val="6A53F4EB"/>
    <w:lvl w:ilvl="0" w:tentative="0">
      <w:start w:val="11"/>
      <w:numFmt w:val="decimal"/>
      <w:suff w:val="space"/>
      <w:lvlText w:val="%1."/>
      <w:lvlJc w:val="left"/>
    </w:lvl>
  </w:abstractNum>
  <w:abstractNum w:abstractNumId="21">
    <w:nsid w:val="6BE70856"/>
    <w:multiLevelType w:val="singleLevel"/>
    <w:tmpl w:val="6BE70856"/>
    <w:lvl w:ilvl="0" w:tentative="0">
      <w:start w:val="38"/>
      <w:numFmt w:val="decimal"/>
      <w:suff w:val="nothing"/>
      <w:lvlText w:val="%1、"/>
      <w:lvlJc w:val="left"/>
    </w:lvl>
  </w:abstractNum>
  <w:abstractNum w:abstractNumId="22">
    <w:nsid w:val="6C688773"/>
    <w:multiLevelType w:val="singleLevel"/>
    <w:tmpl w:val="6C688773"/>
    <w:lvl w:ilvl="0" w:tentative="0">
      <w:start w:val="1"/>
      <w:numFmt w:val="decimal"/>
      <w:suff w:val="nothing"/>
      <w:lvlText w:val="（%1）"/>
      <w:lvlJc w:val="left"/>
    </w:lvl>
  </w:abstractNum>
  <w:num w:numId="1">
    <w:abstractNumId w:val="18"/>
  </w:num>
  <w:num w:numId="2">
    <w:abstractNumId w:val="9"/>
  </w:num>
  <w:num w:numId="3">
    <w:abstractNumId w:val="11"/>
  </w:num>
  <w:num w:numId="4">
    <w:abstractNumId w:val="20"/>
  </w:num>
  <w:num w:numId="5">
    <w:abstractNumId w:val="0"/>
  </w:num>
  <w:num w:numId="6">
    <w:abstractNumId w:val="4"/>
  </w:num>
  <w:num w:numId="7">
    <w:abstractNumId w:val="1"/>
  </w:num>
  <w:num w:numId="8">
    <w:abstractNumId w:val="12"/>
  </w:num>
  <w:num w:numId="9">
    <w:abstractNumId w:val="14"/>
  </w:num>
  <w:num w:numId="10">
    <w:abstractNumId w:val="19"/>
  </w:num>
  <w:num w:numId="11">
    <w:abstractNumId w:val="7"/>
  </w:num>
  <w:num w:numId="12">
    <w:abstractNumId w:val="5"/>
  </w:num>
  <w:num w:numId="13">
    <w:abstractNumId w:val="8"/>
  </w:num>
  <w:num w:numId="14">
    <w:abstractNumId w:val="22"/>
  </w:num>
  <w:num w:numId="15">
    <w:abstractNumId w:val="15"/>
  </w:num>
  <w:num w:numId="16">
    <w:abstractNumId w:val="2"/>
  </w:num>
  <w:num w:numId="17">
    <w:abstractNumId w:val="16"/>
  </w:num>
  <w:num w:numId="18">
    <w:abstractNumId w:val="10"/>
  </w:num>
  <w:num w:numId="19">
    <w:abstractNumId w:val="17"/>
  </w:num>
  <w:num w:numId="20">
    <w:abstractNumId w:val="21"/>
  </w:num>
  <w:num w:numId="21">
    <w:abstractNumId w:val="6"/>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MzU4N2Y0NDBjMTY3ZDM4NmU5NmQ4ODgyNjU3MDgifQ=="/>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6D676E"/>
    <w:rsid w:val="01813E16"/>
    <w:rsid w:val="0190392E"/>
    <w:rsid w:val="01A340D1"/>
    <w:rsid w:val="01D152A8"/>
    <w:rsid w:val="01D16F05"/>
    <w:rsid w:val="01D9471B"/>
    <w:rsid w:val="01E5765B"/>
    <w:rsid w:val="01E8610D"/>
    <w:rsid w:val="0217360F"/>
    <w:rsid w:val="02365E7D"/>
    <w:rsid w:val="025609B1"/>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5D6149"/>
    <w:rsid w:val="04631E56"/>
    <w:rsid w:val="047553ED"/>
    <w:rsid w:val="04832496"/>
    <w:rsid w:val="048838BB"/>
    <w:rsid w:val="04924FE3"/>
    <w:rsid w:val="04A24CDA"/>
    <w:rsid w:val="04AF1326"/>
    <w:rsid w:val="04FD0E31"/>
    <w:rsid w:val="050637A5"/>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F079BC"/>
    <w:rsid w:val="070E48A8"/>
    <w:rsid w:val="07225256"/>
    <w:rsid w:val="07245A59"/>
    <w:rsid w:val="0745028B"/>
    <w:rsid w:val="075A22F1"/>
    <w:rsid w:val="07AD2721"/>
    <w:rsid w:val="07AF6F49"/>
    <w:rsid w:val="07BB664B"/>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DB2AE2"/>
    <w:rsid w:val="09FB0360"/>
    <w:rsid w:val="0A312D88"/>
    <w:rsid w:val="0A443EE4"/>
    <w:rsid w:val="0A9C7D1B"/>
    <w:rsid w:val="0ADB0DD6"/>
    <w:rsid w:val="0AF95B2E"/>
    <w:rsid w:val="0AFA3F41"/>
    <w:rsid w:val="0B163B89"/>
    <w:rsid w:val="0B1A6F5A"/>
    <w:rsid w:val="0B311F83"/>
    <w:rsid w:val="0B5934C2"/>
    <w:rsid w:val="0B7023F3"/>
    <w:rsid w:val="0B9665C6"/>
    <w:rsid w:val="0BC2585F"/>
    <w:rsid w:val="0BC4602F"/>
    <w:rsid w:val="0BC50665"/>
    <w:rsid w:val="0BE0389B"/>
    <w:rsid w:val="0C03028C"/>
    <w:rsid w:val="0C5636E2"/>
    <w:rsid w:val="0C770701"/>
    <w:rsid w:val="0C816B43"/>
    <w:rsid w:val="0C8223B2"/>
    <w:rsid w:val="0C9A72AD"/>
    <w:rsid w:val="0CB060DE"/>
    <w:rsid w:val="0CB43D56"/>
    <w:rsid w:val="0CBA47E6"/>
    <w:rsid w:val="0CBF41E0"/>
    <w:rsid w:val="0D001946"/>
    <w:rsid w:val="0D006A41"/>
    <w:rsid w:val="0D1A6DAB"/>
    <w:rsid w:val="0D236286"/>
    <w:rsid w:val="0D330BC5"/>
    <w:rsid w:val="0D4357F1"/>
    <w:rsid w:val="0D98311E"/>
    <w:rsid w:val="0DB92613"/>
    <w:rsid w:val="0DC3449B"/>
    <w:rsid w:val="0DF13383"/>
    <w:rsid w:val="0E1D31AF"/>
    <w:rsid w:val="0E2E5189"/>
    <w:rsid w:val="0E4531F0"/>
    <w:rsid w:val="0E5114F5"/>
    <w:rsid w:val="0E8A703D"/>
    <w:rsid w:val="0EB12B04"/>
    <w:rsid w:val="0EB8284C"/>
    <w:rsid w:val="0EBF4D9D"/>
    <w:rsid w:val="0F2E26DA"/>
    <w:rsid w:val="0F37609A"/>
    <w:rsid w:val="0F5E7FAF"/>
    <w:rsid w:val="0F666CCA"/>
    <w:rsid w:val="0F801C32"/>
    <w:rsid w:val="0FC73BE9"/>
    <w:rsid w:val="0FC8053D"/>
    <w:rsid w:val="0FDD010F"/>
    <w:rsid w:val="0FEC00EE"/>
    <w:rsid w:val="0FEE6836"/>
    <w:rsid w:val="101A1FFE"/>
    <w:rsid w:val="10574280"/>
    <w:rsid w:val="108A2DF9"/>
    <w:rsid w:val="109218D9"/>
    <w:rsid w:val="10A1515D"/>
    <w:rsid w:val="10AB7642"/>
    <w:rsid w:val="10B637C0"/>
    <w:rsid w:val="10EB474A"/>
    <w:rsid w:val="11170ED8"/>
    <w:rsid w:val="11347157"/>
    <w:rsid w:val="11467149"/>
    <w:rsid w:val="114E2AEE"/>
    <w:rsid w:val="115B567E"/>
    <w:rsid w:val="11A823B3"/>
    <w:rsid w:val="11BF6701"/>
    <w:rsid w:val="11C436DA"/>
    <w:rsid w:val="11CC3E60"/>
    <w:rsid w:val="120C4DAA"/>
    <w:rsid w:val="121E0907"/>
    <w:rsid w:val="12417917"/>
    <w:rsid w:val="12423A2C"/>
    <w:rsid w:val="125C359D"/>
    <w:rsid w:val="12972A6D"/>
    <w:rsid w:val="12A03046"/>
    <w:rsid w:val="12F16C1F"/>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C1486"/>
    <w:rsid w:val="1574696E"/>
    <w:rsid w:val="15BD2C4B"/>
    <w:rsid w:val="15C15585"/>
    <w:rsid w:val="15C6474A"/>
    <w:rsid w:val="15D762E2"/>
    <w:rsid w:val="15F46539"/>
    <w:rsid w:val="15F815D5"/>
    <w:rsid w:val="16326427"/>
    <w:rsid w:val="163B5700"/>
    <w:rsid w:val="16433642"/>
    <w:rsid w:val="16441BC9"/>
    <w:rsid w:val="164A3658"/>
    <w:rsid w:val="164E4553"/>
    <w:rsid w:val="16621C8D"/>
    <w:rsid w:val="1665243A"/>
    <w:rsid w:val="16950C3B"/>
    <w:rsid w:val="16A13E1C"/>
    <w:rsid w:val="16E77B3D"/>
    <w:rsid w:val="16F23CD8"/>
    <w:rsid w:val="16FA4E2C"/>
    <w:rsid w:val="171C17FB"/>
    <w:rsid w:val="171D46C2"/>
    <w:rsid w:val="171F74F7"/>
    <w:rsid w:val="17593127"/>
    <w:rsid w:val="17607065"/>
    <w:rsid w:val="17863661"/>
    <w:rsid w:val="17A941B6"/>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0D279E"/>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C164185"/>
    <w:rsid w:val="1C262354"/>
    <w:rsid w:val="1C4D58A1"/>
    <w:rsid w:val="1C75643E"/>
    <w:rsid w:val="1C93342E"/>
    <w:rsid w:val="1C986933"/>
    <w:rsid w:val="1CBD2679"/>
    <w:rsid w:val="1CC31008"/>
    <w:rsid w:val="1CCC3CBC"/>
    <w:rsid w:val="1CD566D8"/>
    <w:rsid w:val="1CD974FA"/>
    <w:rsid w:val="1CDF3B2A"/>
    <w:rsid w:val="1CE4752C"/>
    <w:rsid w:val="1CE83302"/>
    <w:rsid w:val="1D167EEA"/>
    <w:rsid w:val="1D2F2D17"/>
    <w:rsid w:val="1D495FAC"/>
    <w:rsid w:val="1D4C4A30"/>
    <w:rsid w:val="1D503E27"/>
    <w:rsid w:val="1D8D58DE"/>
    <w:rsid w:val="1DB2375B"/>
    <w:rsid w:val="1DC05A19"/>
    <w:rsid w:val="1DF71A39"/>
    <w:rsid w:val="1DFB4A45"/>
    <w:rsid w:val="1DFC6FA3"/>
    <w:rsid w:val="1DFE6595"/>
    <w:rsid w:val="1E005F9D"/>
    <w:rsid w:val="1E096100"/>
    <w:rsid w:val="1E1D673B"/>
    <w:rsid w:val="1E231AEA"/>
    <w:rsid w:val="1E5C7AA3"/>
    <w:rsid w:val="1E6426A0"/>
    <w:rsid w:val="1E8500B7"/>
    <w:rsid w:val="1E8D2FC4"/>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C20786"/>
    <w:rsid w:val="20C454B5"/>
    <w:rsid w:val="20FE67E9"/>
    <w:rsid w:val="211713ED"/>
    <w:rsid w:val="21241618"/>
    <w:rsid w:val="21460B4D"/>
    <w:rsid w:val="219B7DE7"/>
    <w:rsid w:val="21BA18CA"/>
    <w:rsid w:val="21C4457A"/>
    <w:rsid w:val="21EC3353"/>
    <w:rsid w:val="21F05D61"/>
    <w:rsid w:val="21F3425F"/>
    <w:rsid w:val="22001A09"/>
    <w:rsid w:val="221E50FA"/>
    <w:rsid w:val="222D1D02"/>
    <w:rsid w:val="227B4DAD"/>
    <w:rsid w:val="22B4097F"/>
    <w:rsid w:val="22B64134"/>
    <w:rsid w:val="22D15291"/>
    <w:rsid w:val="22F22FF9"/>
    <w:rsid w:val="230F42A2"/>
    <w:rsid w:val="23141D1B"/>
    <w:rsid w:val="231470B2"/>
    <w:rsid w:val="23260413"/>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20219"/>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433C4E"/>
    <w:rsid w:val="27665E21"/>
    <w:rsid w:val="27736981"/>
    <w:rsid w:val="277C2603"/>
    <w:rsid w:val="278230B3"/>
    <w:rsid w:val="279961FC"/>
    <w:rsid w:val="27AE44D5"/>
    <w:rsid w:val="27D80610"/>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7C5E52"/>
    <w:rsid w:val="2AB26607"/>
    <w:rsid w:val="2ACE4FC6"/>
    <w:rsid w:val="2AD94755"/>
    <w:rsid w:val="2AF77367"/>
    <w:rsid w:val="2B0A326E"/>
    <w:rsid w:val="2B411857"/>
    <w:rsid w:val="2B54148E"/>
    <w:rsid w:val="2B5E61B8"/>
    <w:rsid w:val="2B7118BF"/>
    <w:rsid w:val="2B724E22"/>
    <w:rsid w:val="2B8818D0"/>
    <w:rsid w:val="2B8A1EA0"/>
    <w:rsid w:val="2BC96E4E"/>
    <w:rsid w:val="2BE13188"/>
    <w:rsid w:val="2BE713FE"/>
    <w:rsid w:val="2C053476"/>
    <w:rsid w:val="2C113654"/>
    <w:rsid w:val="2C1B212D"/>
    <w:rsid w:val="2C3E2C44"/>
    <w:rsid w:val="2C44674C"/>
    <w:rsid w:val="2C920372"/>
    <w:rsid w:val="2CA62D0A"/>
    <w:rsid w:val="2CDD2828"/>
    <w:rsid w:val="2D28535E"/>
    <w:rsid w:val="2D735A67"/>
    <w:rsid w:val="2DBA131A"/>
    <w:rsid w:val="2DBA5AC8"/>
    <w:rsid w:val="2DCB735A"/>
    <w:rsid w:val="2DD462C2"/>
    <w:rsid w:val="2DDD2134"/>
    <w:rsid w:val="2DDD4E5F"/>
    <w:rsid w:val="2DE60BE9"/>
    <w:rsid w:val="2E2668E4"/>
    <w:rsid w:val="2E3B5ECD"/>
    <w:rsid w:val="2E451A7C"/>
    <w:rsid w:val="2ED36202"/>
    <w:rsid w:val="2EE13B2F"/>
    <w:rsid w:val="2EE15691"/>
    <w:rsid w:val="2F1F4FB0"/>
    <w:rsid w:val="2F4A5657"/>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F2B5E"/>
    <w:rsid w:val="32981347"/>
    <w:rsid w:val="329F7A2B"/>
    <w:rsid w:val="3311647A"/>
    <w:rsid w:val="33134964"/>
    <w:rsid w:val="3329346A"/>
    <w:rsid w:val="333659DA"/>
    <w:rsid w:val="335553C6"/>
    <w:rsid w:val="3357102E"/>
    <w:rsid w:val="33572FB0"/>
    <w:rsid w:val="33633EB8"/>
    <w:rsid w:val="336D250C"/>
    <w:rsid w:val="33B30672"/>
    <w:rsid w:val="33D579CF"/>
    <w:rsid w:val="33E836FB"/>
    <w:rsid w:val="33F205F7"/>
    <w:rsid w:val="33FF2179"/>
    <w:rsid w:val="345E13BA"/>
    <w:rsid w:val="345E3292"/>
    <w:rsid w:val="34664A0B"/>
    <w:rsid w:val="346E2D0F"/>
    <w:rsid w:val="34AE1E6A"/>
    <w:rsid w:val="350E3B42"/>
    <w:rsid w:val="35125628"/>
    <w:rsid w:val="352100FF"/>
    <w:rsid w:val="352167CF"/>
    <w:rsid w:val="354B44FE"/>
    <w:rsid w:val="3566212E"/>
    <w:rsid w:val="356B276A"/>
    <w:rsid w:val="358E654C"/>
    <w:rsid w:val="35965B9C"/>
    <w:rsid w:val="359F0A1F"/>
    <w:rsid w:val="35C43240"/>
    <w:rsid w:val="35D42CBE"/>
    <w:rsid w:val="361B3EDC"/>
    <w:rsid w:val="361F6493"/>
    <w:rsid w:val="365C025C"/>
    <w:rsid w:val="36626692"/>
    <w:rsid w:val="367242E0"/>
    <w:rsid w:val="36897340"/>
    <w:rsid w:val="36D05609"/>
    <w:rsid w:val="36E35E9F"/>
    <w:rsid w:val="36EC24B8"/>
    <w:rsid w:val="36FF2B34"/>
    <w:rsid w:val="3712448B"/>
    <w:rsid w:val="37A34A15"/>
    <w:rsid w:val="37A52ECC"/>
    <w:rsid w:val="37C64260"/>
    <w:rsid w:val="38282D9D"/>
    <w:rsid w:val="383A4E34"/>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9A335A"/>
    <w:rsid w:val="3CBB635D"/>
    <w:rsid w:val="3CC05722"/>
    <w:rsid w:val="3CDC396E"/>
    <w:rsid w:val="3CF248ED"/>
    <w:rsid w:val="3D0D4A0D"/>
    <w:rsid w:val="3D312940"/>
    <w:rsid w:val="3D4C29B2"/>
    <w:rsid w:val="3D681D5A"/>
    <w:rsid w:val="3D6A1C0B"/>
    <w:rsid w:val="3D8D6ED1"/>
    <w:rsid w:val="3D8E56A5"/>
    <w:rsid w:val="3D8F3E21"/>
    <w:rsid w:val="3DC31ADA"/>
    <w:rsid w:val="3DFD7731"/>
    <w:rsid w:val="3E0C733A"/>
    <w:rsid w:val="3E874902"/>
    <w:rsid w:val="3E921361"/>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5B74E2"/>
    <w:rsid w:val="408560B2"/>
    <w:rsid w:val="408F3C3B"/>
    <w:rsid w:val="40AD0BEA"/>
    <w:rsid w:val="40B45FA1"/>
    <w:rsid w:val="40C50789"/>
    <w:rsid w:val="40E2404A"/>
    <w:rsid w:val="40FA0619"/>
    <w:rsid w:val="41141D46"/>
    <w:rsid w:val="41262582"/>
    <w:rsid w:val="41277321"/>
    <w:rsid w:val="415C5513"/>
    <w:rsid w:val="41661CEC"/>
    <w:rsid w:val="417304D2"/>
    <w:rsid w:val="41B67760"/>
    <w:rsid w:val="4200486D"/>
    <w:rsid w:val="42055B33"/>
    <w:rsid w:val="42084854"/>
    <w:rsid w:val="420A4AA8"/>
    <w:rsid w:val="423C231C"/>
    <w:rsid w:val="424E5D3B"/>
    <w:rsid w:val="42894103"/>
    <w:rsid w:val="42DA35EB"/>
    <w:rsid w:val="42DC1373"/>
    <w:rsid w:val="42EB5F3F"/>
    <w:rsid w:val="433B4FAD"/>
    <w:rsid w:val="43494E83"/>
    <w:rsid w:val="434A1ED7"/>
    <w:rsid w:val="434B5F61"/>
    <w:rsid w:val="439452CD"/>
    <w:rsid w:val="43987C3E"/>
    <w:rsid w:val="43DF168F"/>
    <w:rsid w:val="43F70347"/>
    <w:rsid w:val="440D2A75"/>
    <w:rsid w:val="44151500"/>
    <w:rsid w:val="44225771"/>
    <w:rsid w:val="442E2C0A"/>
    <w:rsid w:val="443415E8"/>
    <w:rsid w:val="44471AAC"/>
    <w:rsid w:val="4491321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2E28FA"/>
    <w:rsid w:val="463D21F4"/>
    <w:rsid w:val="46E17C2E"/>
    <w:rsid w:val="46E66176"/>
    <w:rsid w:val="46F618BC"/>
    <w:rsid w:val="46F64545"/>
    <w:rsid w:val="47172FCE"/>
    <w:rsid w:val="472D20DA"/>
    <w:rsid w:val="47322751"/>
    <w:rsid w:val="473E0204"/>
    <w:rsid w:val="473E1081"/>
    <w:rsid w:val="475075B1"/>
    <w:rsid w:val="477301BF"/>
    <w:rsid w:val="47770F2B"/>
    <w:rsid w:val="47D9109A"/>
    <w:rsid w:val="47DF1EDE"/>
    <w:rsid w:val="47E32A44"/>
    <w:rsid w:val="48001EB1"/>
    <w:rsid w:val="485F067A"/>
    <w:rsid w:val="48A46FB5"/>
    <w:rsid w:val="48C63978"/>
    <w:rsid w:val="48D931CF"/>
    <w:rsid w:val="48DB1A95"/>
    <w:rsid w:val="49095468"/>
    <w:rsid w:val="492B4F94"/>
    <w:rsid w:val="492E6967"/>
    <w:rsid w:val="498F7217"/>
    <w:rsid w:val="49A25D9E"/>
    <w:rsid w:val="49A96B07"/>
    <w:rsid w:val="49C51CAF"/>
    <w:rsid w:val="49F53957"/>
    <w:rsid w:val="4A2057D5"/>
    <w:rsid w:val="4A2A06C4"/>
    <w:rsid w:val="4A6819DC"/>
    <w:rsid w:val="4A8A479E"/>
    <w:rsid w:val="4A8F0E29"/>
    <w:rsid w:val="4A902D26"/>
    <w:rsid w:val="4AC17322"/>
    <w:rsid w:val="4AD21BAA"/>
    <w:rsid w:val="4AEB7F8C"/>
    <w:rsid w:val="4B1506E1"/>
    <w:rsid w:val="4B182BCD"/>
    <w:rsid w:val="4B2E3F72"/>
    <w:rsid w:val="4B341A2A"/>
    <w:rsid w:val="4B375FBE"/>
    <w:rsid w:val="4B3B7B1E"/>
    <w:rsid w:val="4B414BEA"/>
    <w:rsid w:val="4B587F93"/>
    <w:rsid w:val="4B7103C2"/>
    <w:rsid w:val="4B812B8E"/>
    <w:rsid w:val="4B85737C"/>
    <w:rsid w:val="4B9F74CF"/>
    <w:rsid w:val="4C073223"/>
    <w:rsid w:val="4C1A464A"/>
    <w:rsid w:val="4C274913"/>
    <w:rsid w:val="4CA14D01"/>
    <w:rsid w:val="4CAC3D23"/>
    <w:rsid w:val="4CBB0999"/>
    <w:rsid w:val="4CCF792C"/>
    <w:rsid w:val="4CED7708"/>
    <w:rsid w:val="4CFB7F38"/>
    <w:rsid w:val="4CFE7AD0"/>
    <w:rsid w:val="4D033455"/>
    <w:rsid w:val="4D10719D"/>
    <w:rsid w:val="4D2211D8"/>
    <w:rsid w:val="4D583F97"/>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50596932"/>
    <w:rsid w:val="50833C49"/>
    <w:rsid w:val="50880633"/>
    <w:rsid w:val="508F5958"/>
    <w:rsid w:val="50A32944"/>
    <w:rsid w:val="50BB4E97"/>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25F0E"/>
    <w:rsid w:val="52386D39"/>
    <w:rsid w:val="523C3645"/>
    <w:rsid w:val="5242431B"/>
    <w:rsid w:val="524877D4"/>
    <w:rsid w:val="524F0DF4"/>
    <w:rsid w:val="52A00B52"/>
    <w:rsid w:val="52A651A9"/>
    <w:rsid w:val="52CB4CC5"/>
    <w:rsid w:val="52D0584F"/>
    <w:rsid w:val="52E23DAC"/>
    <w:rsid w:val="52EB770C"/>
    <w:rsid w:val="52F6441F"/>
    <w:rsid w:val="52F653E4"/>
    <w:rsid w:val="5309719A"/>
    <w:rsid w:val="53140C09"/>
    <w:rsid w:val="531E1115"/>
    <w:rsid w:val="53273171"/>
    <w:rsid w:val="53311A2E"/>
    <w:rsid w:val="5366484D"/>
    <w:rsid w:val="53731EF1"/>
    <w:rsid w:val="53733493"/>
    <w:rsid w:val="53912B90"/>
    <w:rsid w:val="53AC07DC"/>
    <w:rsid w:val="53C41B44"/>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0047B0"/>
    <w:rsid w:val="56223544"/>
    <w:rsid w:val="562B0309"/>
    <w:rsid w:val="56320F1A"/>
    <w:rsid w:val="564D41A9"/>
    <w:rsid w:val="565E4274"/>
    <w:rsid w:val="5666031A"/>
    <w:rsid w:val="566A27F8"/>
    <w:rsid w:val="56803FF0"/>
    <w:rsid w:val="568F750C"/>
    <w:rsid w:val="569014CB"/>
    <w:rsid w:val="56925ED7"/>
    <w:rsid w:val="56B55995"/>
    <w:rsid w:val="56C91168"/>
    <w:rsid w:val="56DF03FC"/>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B616B"/>
    <w:rsid w:val="592D1F6B"/>
    <w:rsid w:val="59304CE8"/>
    <w:rsid w:val="59370159"/>
    <w:rsid w:val="59462FFB"/>
    <w:rsid w:val="59532C2C"/>
    <w:rsid w:val="5981656F"/>
    <w:rsid w:val="59A06B52"/>
    <w:rsid w:val="59A26243"/>
    <w:rsid w:val="59C76055"/>
    <w:rsid w:val="59E75FD1"/>
    <w:rsid w:val="5A065F4B"/>
    <w:rsid w:val="5A0B1C28"/>
    <w:rsid w:val="5A2255E6"/>
    <w:rsid w:val="5A851E01"/>
    <w:rsid w:val="5A8F2EB6"/>
    <w:rsid w:val="5AA15ABA"/>
    <w:rsid w:val="5AB06C76"/>
    <w:rsid w:val="5AF63E2E"/>
    <w:rsid w:val="5B1128EC"/>
    <w:rsid w:val="5B29025F"/>
    <w:rsid w:val="5B3143F9"/>
    <w:rsid w:val="5B503CBD"/>
    <w:rsid w:val="5BF21181"/>
    <w:rsid w:val="5BFA46DF"/>
    <w:rsid w:val="5BFD0432"/>
    <w:rsid w:val="5C1974E5"/>
    <w:rsid w:val="5C1C7E80"/>
    <w:rsid w:val="5C4828EE"/>
    <w:rsid w:val="5C5B1F4F"/>
    <w:rsid w:val="5C856CEB"/>
    <w:rsid w:val="5CA72002"/>
    <w:rsid w:val="5CBD3C20"/>
    <w:rsid w:val="5CDB3A5A"/>
    <w:rsid w:val="5CE075FF"/>
    <w:rsid w:val="5CE9518C"/>
    <w:rsid w:val="5D2166D8"/>
    <w:rsid w:val="5D272680"/>
    <w:rsid w:val="5D45468E"/>
    <w:rsid w:val="5D6B04DF"/>
    <w:rsid w:val="5D707B84"/>
    <w:rsid w:val="5D8B722E"/>
    <w:rsid w:val="5D9B1497"/>
    <w:rsid w:val="5DDC51F6"/>
    <w:rsid w:val="5DE3422A"/>
    <w:rsid w:val="5E05130E"/>
    <w:rsid w:val="5E135B29"/>
    <w:rsid w:val="5E466F37"/>
    <w:rsid w:val="5E6A0CC2"/>
    <w:rsid w:val="5E845B3F"/>
    <w:rsid w:val="5E8D1899"/>
    <w:rsid w:val="5ED063E1"/>
    <w:rsid w:val="5EF4213A"/>
    <w:rsid w:val="5EF778DD"/>
    <w:rsid w:val="5F012051"/>
    <w:rsid w:val="5F150F5D"/>
    <w:rsid w:val="5F151A68"/>
    <w:rsid w:val="5F1E594E"/>
    <w:rsid w:val="5F2306D2"/>
    <w:rsid w:val="5F364291"/>
    <w:rsid w:val="5F720D05"/>
    <w:rsid w:val="5FB038A7"/>
    <w:rsid w:val="5FBB2542"/>
    <w:rsid w:val="5FFB489D"/>
    <w:rsid w:val="6014637F"/>
    <w:rsid w:val="60304923"/>
    <w:rsid w:val="60340051"/>
    <w:rsid w:val="60350C06"/>
    <w:rsid w:val="603B74D8"/>
    <w:rsid w:val="60687CAA"/>
    <w:rsid w:val="6074197E"/>
    <w:rsid w:val="60A7279D"/>
    <w:rsid w:val="60C625CB"/>
    <w:rsid w:val="60C71D15"/>
    <w:rsid w:val="60E62CF4"/>
    <w:rsid w:val="61036CD9"/>
    <w:rsid w:val="61097F16"/>
    <w:rsid w:val="612451AE"/>
    <w:rsid w:val="613E3C59"/>
    <w:rsid w:val="61717233"/>
    <w:rsid w:val="61734481"/>
    <w:rsid w:val="61842912"/>
    <w:rsid w:val="619513BF"/>
    <w:rsid w:val="61A55E2E"/>
    <w:rsid w:val="61B90EE2"/>
    <w:rsid w:val="61C34C9F"/>
    <w:rsid w:val="61CF1FDD"/>
    <w:rsid w:val="61FA205F"/>
    <w:rsid w:val="620D15FF"/>
    <w:rsid w:val="62141232"/>
    <w:rsid w:val="62377985"/>
    <w:rsid w:val="624F2F20"/>
    <w:rsid w:val="626C2C39"/>
    <w:rsid w:val="627A61C5"/>
    <w:rsid w:val="62841CE0"/>
    <w:rsid w:val="62B524F7"/>
    <w:rsid w:val="62E513AE"/>
    <w:rsid w:val="62EF4D57"/>
    <w:rsid w:val="62F1602A"/>
    <w:rsid w:val="63203A10"/>
    <w:rsid w:val="6321699F"/>
    <w:rsid w:val="63360CF0"/>
    <w:rsid w:val="63554E4D"/>
    <w:rsid w:val="63652DBD"/>
    <w:rsid w:val="63687E84"/>
    <w:rsid w:val="637257E9"/>
    <w:rsid w:val="63951967"/>
    <w:rsid w:val="63B50F8C"/>
    <w:rsid w:val="63D22FCA"/>
    <w:rsid w:val="640E61DB"/>
    <w:rsid w:val="641206A9"/>
    <w:rsid w:val="64545838"/>
    <w:rsid w:val="645F02B5"/>
    <w:rsid w:val="64681B01"/>
    <w:rsid w:val="64867FEE"/>
    <w:rsid w:val="649007B3"/>
    <w:rsid w:val="64AE06FA"/>
    <w:rsid w:val="64D401A5"/>
    <w:rsid w:val="65024685"/>
    <w:rsid w:val="652A7FEB"/>
    <w:rsid w:val="652B00E3"/>
    <w:rsid w:val="65535A5A"/>
    <w:rsid w:val="659D0DEE"/>
    <w:rsid w:val="65A6262A"/>
    <w:rsid w:val="65D219C2"/>
    <w:rsid w:val="65D21E1C"/>
    <w:rsid w:val="65DA54B3"/>
    <w:rsid w:val="65FB4D18"/>
    <w:rsid w:val="660A7073"/>
    <w:rsid w:val="660E3C9E"/>
    <w:rsid w:val="66164CE6"/>
    <w:rsid w:val="66425F55"/>
    <w:rsid w:val="664E5D65"/>
    <w:rsid w:val="665C5C0C"/>
    <w:rsid w:val="66BF254A"/>
    <w:rsid w:val="66D14F9A"/>
    <w:rsid w:val="66EE49DE"/>
    <w:rsid w:val="676F09D5"/>
    <w:rsid w:val="67790849"/>
    <w:rsid w:val="67AA7DCF"/>
    <w:rsid w:val="67B34464"/>
    <w:rsid w:val="67BD22B9"/>
    <w:rsid w:val="67FE1162"/>
    <w:rsid w:val="681B0E12"/>
    <w:rsid w:val="685557F0"/>
    <w:rsid w:val="688F28E2"/>
    <w:rsid w:val="68A11DD7"/>
    <w:rsid w:val="68A51FB8"/>
    <w:rsid w:val="68DB53E7"/>
    <w:rsid w:val="68EA3016"/>
    <w:rsid w:val="68EB7ABC"/>
    <w:rsid w:val="69062705"/>
    <w:rsid w:val="691B0B6B"/>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C6225B"/>
    <w:rsid w:val="6B505BBB"/>
    <w:rsid w:val="6B6333A7"/>
    <w:rsid w:val="6BCA5C39"/>
    <w:rsid w:val="6BE27CF9"/>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5502AA"/>
    <w:rsid w:val="6DA31776"/>
    <w:rsid w:val="6DA45FD5"/>
    <w:rsid w:val="6DA65016"/>
    <w:rsid w:val="6DCB15BA"/>
    <w:rsid w:val="6DEF5697"/>
    <w:rsid w:val="6E290AC9"/>
    <w:rsid w:val="6E2E4332"/>
    <w:rsid w:val="6E366026"/>
    <w:rsid w:val="6E3C157B"/>
    <w:rsid w:val="6E4628B1"/>
    <w:rsid w:val="6E6903A5"/>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F019B"/>
    <w:rsid w:val="6FB202FC"/>
    <w:rsid w:val="6FBA5851"/>
    <w:rsid w:val="6FD431BC"/>
    <w:rsid w:val="6FD64D8A"/>
    <w:rsid w:val="709649ED"/>
    <w:rsid w:val="70A84AD3"/>
    <w:rsid w:val="70AE3508"/>
    <w:rsid w:val="70B351A6"/>
    <w:rsid w:val="70BF773C"/>
    <w:rsid w:val="70C41831"/>
    <w:rsid w:val="70CF7DE8"/>
    <w:rsid w:val="70E94F37"/>
    <w:rsid w:val="7117334E"/>
    <w:rsid w:val="711F7F62"/>
    <w:rsid w:val="712719C8"/>
    <w:rsid w:val="71336359"/>
    <w:rsid w:val="71492755"/>
    <w:rsid w:val="714B63FF"/>
    <w:rsid w:val="717A4EBB"/>
    <w:rsid w:val="71A121E2"/>
    <w:rsid w:val="71AA47BF"/>
    <w:rsid w:val="71CD5454"/>
    <w:rsid w:val="71D40D4C"/>
    <w:rsid w:val="71D5629F"/>
    <w:rsid w:val="71EB57C6"/>
    <w:rsid w:val="71F46524"/>
    <w:rsid w:val="71FB06B4"/>
    <w:rsid w:val="720D5D43"/>
    <w:rsid w:val="72112D0B"/>
    <w:rsid w:val="72144DE3"/>
    <w:rsid w:val="72196118"/>
    <w:rsid w:val="723C3D7F"/>
    <w:rsid w:val="72580647"/>
    <w:rsid w:val="72736E18"/>
    <w:rsid w:val="728D1118"/>
    <w:rsid w:val="72B03A9F"/>
    <w:rsid w:val="72B25F6B"/>
    <w:rsid w:val="72B81190"/>
    <w:rsid w:val="72EF7206"/>
    <w:rsid w:val="73032A0D"/>
    <w:rsid w:val="731F3B82"/>
    <w:rsid w:val="734D21A1"/>
    <w:rsid w:val="73836ECE"/>
    <w:rsid w:val="73C67500"/>
    <w:rsid w:val="73C864B5"/>
    <w:rsid w:val="73DE7E71"/>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1A6BC1"/>
    <w:rsid w:val="76281D23"/>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D6C40"/>
    <w:rsid w:val="79B10333"/>
    <w:rsid w:val="79C95ADF"/>
    <w:rsid w:val="79EF0BCC"/>
    <w:rsid w:val="79FF02D1"/>
    <w:rsid w:val="7A0612C2"/>
    <w:rsid w:val="7A1833CE"/>
    <w:rsid w:val="7A1F3257"/>
    <w:rsid w:val="7A3C1967"/>
    <w:rsid w:val="7A60132A"/>
    <w:rsid w:val="7A6E2CF1"/>
    <w:rsid w:val="7A817696"/>
    <w:rsid w:val="7AA05017"/>
    <w:rsid w:val="7AA86BBE"/>
    <w:rsid w:val="7AC94AC1"/>
    <w:rsid w:val="7AC977F9"/>
    <w:rsid w:val="7AE11572"/>
    <w:rsid w:val="7AE31524"/>
    <w:rsid w:val="7AE70BEB"/>
    <w:rsid w:val="7B057C25"/>
    <w:rsid w:val="7B4C6C66"/>
    <w:rsid w:val="7B5C332E"/>
    <w:rsid w:val="7B615A0E"/>
    <w:rsid w:val="7B904C22"/>
    <w:rsid w:val="7B9E18EF"/>
    <w:rsid w:val="7BB9672E"/>
    <w:rsid w:val="7C0968F5"/>
    <w:rsid w:val="7C1235AA"/>
    <w:rsid w:val="7C160893"/>
    <w:rsid w:val="7C5622FF"/>
    <w:rsid w:val="7C571497"/>
    <w:rsid w:val="7C810893"/>
    <w:rsid w:val="7CB95588"/>
    <w:rsid w:val="7CBA56FF"/>
    <w:rsid w:val="7CE64D15"/>
    <w:rsid w:val="7CF732D1"/>
    <w:rsid w:val="7D131D7B"/>
    <w:rsid w:val="7D1E10B2"/>
    <w:rsid w:val="7D3D5EFF"/>
    <w:rsid w:val="7D435739"/>
    <w:rsid w:val="7D93221A"/>
    <w:rsid w:val="7DA977AA"/>
    <w:rsid w:val="7DAC0454"/>
    <w:rsid w:val="7DED2A89"/>
    <w:rsid w:val="7DFA3D48"/>
    <w:rsid w:val="7E980733"/>
    <w:rsid w:val="7E9B4DC3"/>
    <w:rsid w:val="7EC57197"/>
    <w:rsid w:val="7EFB4248"/>
    <w:rsid w:val="7EFD7DC7"/>
    <w:rsid w:val="7F274E2A"/>
    <w:rsid w:val="7F2C2F55"/>
    <w:rsid w:val="7F45439F"/>
    <w:rsid w:val="7F4A4D43"/>
    <w:rsid w:val="7F545830"/>
    <w:rsid w:val="7F590F20"/>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3"/>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autoRedefine/>
    <w:qFormat/>
    <w:uiPriority w:val="0"/>
    <w:pPr>
      <w:ind w:firstLine="830" w:firstLineChars="352"/>
    </w:pPr>
    <w:rPr>
      <w:rFonts w:ascii="仿宋_GB2312" w:eastAsia="仿宋_GB2312"/>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next w:val="5"/>
    <w:autoRedefine/>
    <w:qFormat/>
    <w:uiPriority w:val="0"/>
    <w:rPr>
      <w:rFonts w:ascii="宋体" w:hAnsi="Courier New" w:cs="Courier New"/>
      <w:szCs w:val="21"/>
    </w:rPr>
  </w:style>
  <w:style w:type="paragraph" w:styleId="14">
    <w:name w:val="Date"/>
    <w:basedOn w:val="1"/>
    <w:next w:val="1"/>
    <w:autoRedefine/>
    <w:qFormat/>
    <w:uiPriority w:val="0"/>
    <w:pPr>
      <w:ind w:left="100" w:leftChars="2500"/>
    </w:pPr>
    <w:rPr>
      <w:rFonts w:ascii="宋体" w:hAnsi="Courier New"/>
      <w:bCs/>
      <w:sz w:val="24"/>
    </w:rPr>
  </w:style>
  <w:style w:type="paragraph" w:styleId="15">
    <w:name w:val="Body Text Indent 2"/>
    <w:basedOn w:val="1"/>
    <w:autoRedefine/>
    <w:qFormat/>
    <w:uiPriority w:val="0"/>
    <w:pPr>
      <w:spacing w:after="120" w:line="480" w:lineRule="auto"/>
      <w:ind w:leftChars="200"/>
    </w:pPr>
  </w:style>
  <w:style w:type="paragraph" w:styleId="16">
    <w:name w:val="Balloon Text"/>
    <w:basedOn w:val="1"/>
    <w:link w:val="55"/>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envelope return"/>
    <w:basedOn w:val="1"/>
    <w:autoRedefine/>
    <w:unhideWhenUsed/>
    <w:qFormat/>
    <w:uiPriority w:val="0"/>
    <w:pPr>
      <w:snapToGrid w:val="0"/>
    </w:pPr>
    <w:rPr>
      <w:rFonts w:ascii="Arial" w:hAnsi="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4"/>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none"/>
    </w:rPr>
  </w:style>
  <w:style w:type="character" w:styleId="36">
    <w:name w:val="Emphasis"/>
    <w:basedOn w:val="32"/>
    <w:autoRedefine/>
    <w:qFormat/>
    <w:uiPriority w:val="0"/>
    <w:rPr>
      <w:b/>
      <w:bCs/>
    </w:rPr>
  </w:style>
  <w:style w:type="character" w:styleId="37">
    <w:name w:val="HTML Definition"/>
    <w:basedOn w:val="32"/>
    <w:autoRedefine/>
    <w:qFormat/>
    <w:uiPriority w:val="0"/>
  </w:style>
  <w:style w:type="character" w:styleId="38">
    <w:name w:val="HTML Typewriter"/>
    <w:basedOn w:val="32"/>
    <w:autoRedefine/>
    <w:qFormat/>
    <w:uiPriority w:val="0"/>
    <w:rPr>
      <w:rFonts w:hint="default"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unhideWhenUsed/>
    <w:qFormat/>
    <w:uiPriority w:val="99"/>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basedOn w:val="32"/>
    <w:autoRedefine/>
    <w:qFormat/>
    <w:uiPriority w:val="0"/>
  </w:style>
  <w:style w:type="character" w:styleId="45">
    <w:name w:val="HTML Keyboard"/>
    <w:basedOn w:val="32"/>
    <w:autoRedefine/>
    <w:qFormat/>
    <w:uiPriority w:val="0"/>
    <w:rPr>
      <w:rFonts w:hint="default" w:ascii="monospace" w:hAnsi="monospace" w:eastAsia="monospace" w:cs="monospace"/>
      <w:sz w:val="20"/>
    </w:rPr>
  </w:style>
  <w:style w:type="character" w:styleId="46">
    <w:name w:val="HTML Sample"/>
    <w:basedOn w:val="32"/>
    <w:autoRedefine/>
    <w:qFormat/>
    <w:uiPriority w:val="0"/>
    <w:rPr>
      <w:rFonts w:ascii="monospace" w:hAnsi="monospace" w:eastAsia="monospace" w:cs="monospace"/>
    </w:rPr>
  </w:style>
  <w:style w:type="paragraph" w:customStyle="1" w:styleId="47">
    <w:name w:val="表格文字"/>
    <w:basedOn w:val="48"/>
    <w:autoRedefine/>
    <w:qFormat/>
    <w:uiPriority w:val="99"/>
    <w:pPr>
      <w:spacing w:before="25" w:after="25"/>
      <w:jc w:val="left"/>
    </w:pPr>
    <w:rPr>
      <w:bCs/>
      <w:spacing w:val="10"/>
      <w:kern w:val="0"/>
      <w:sz w:val="24"/>
    </w:rPr>
  </w:style>
  <w:style w:type="paragraph" w:customStyle="1" w:styleId="4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50">
    <w:name w:val="List Paragraph"/>
    <w:basedOn w:val="1"/>
    <w:autoRedefine/>
    <w:qFormat/>
    <w:uiPriority w:val="34"/>
    <w:pPr>
      <w:ind w:firstLine="420" w:firstLineChars="200"/>
    </w:pPr>
  </w:style>
  <w:style w:type="paragraph" w:customStyle="1" w:styleId="51">
    <w:name w:val="Plain Text1"/>
    <w:basedOn w:val="1"/>
    <w:autoRedefine/>
    <w:qFormat/>
    <w:uiPriority w:val="0"/>
    <w:rPr>
      <w:rFonts w:ascii="宋体" w:hAnsi="Courier New" w:cs="Courier New"/>
      <w:szCs w:val="21"/>
    </w:rPr>
  </w:style>
  <w:style w:type="paragraph" w:customStyle="1" w:styleId="52">
    <w:name w:val="Table Paragraph"/>
    <w:basedOn w:val="1"/>
    <w:autoRedefine/>
    <w:qFormat/>
    <w:uiPriority w:val="1"/>
    <w:rPr>
      <w:rFonts w:ascii="宋体" w:hAnsi="宋体" w:cs="宋体"/>
      <w:lang w:val="zh-CN" w:bidi="zh-CN"/>
    </w:rPr>
  </w:style>
  <w:style w:type="character" w:customStyle="1" w:styleId="53">
    <w:name w:val="批注文字 Char"/>
    <w:basedOn w:val="32"/>
    <w:link w:val="9"/>
    <w:autoRedefine/>
    <w:qFormat/>
    <w:uiPriority w:val="0"/>
    <w:rPr>
      <w:kern w:val="2"/>
      <w:sz w:val="21"/>
      <w:szCs w:val="24"/>
    </w:rPr>
  </w:style>
  <w:style w:type="character" w:customStyle="1" w:styleId="54">
    <w:name w:val="批注主题 Char"/>
    <w:basedOn w:val="53"/>
    <w:link w:val="27"/>
    <w:autoRedefine/>
    <w:qFormat/>
    <w:uiPriority w:val="0"/>
    <w:rPr>
      <w:b/>
      <w:bCs/>
      <w:kern w:val="2"/>
      <w:sz w:val="21"/>
      <w:szCs w:val="24"/>
    </w:rPr>
  </w:style>
  <w:style w:type="character" w:customStyle="1" w:styleId="55">
    <w:name w:val="批注框文本 Char"/>
    <w:basedOn w:val="32"/>
    <w:link w:val="16"/>
    <w:autoRedefine/>
    <w:qFormat/>
    <w:uiPriority w:val="0"/>
    <w:rPr>
      <w:kern w:val="2"/>
      <w:sz w:val="18"/>
      <w:szCs w:val="18"/>
    </w:rPr>
  </w:style>
  <w:style w:type="paragraph" w:customStyle="1" w:styleId="56">
    <w:name w:val="纯文本1"/>
    <w:basedOn w:val="1"/>
    <w:autoRedefine/>
    <w:qFormat/>
    <w:uiPriority w:val="0"/>
    <w:pPr>
      <w:suppressAutoHyphens/>
    </w:pPr>
    <w:rPr>
      <w:rFonts w:ascii="宋体" w:hAnsi="宋体" w:cs="Courier New"/>
      <w:szCs w:val="21"/>
      <w:lang w:eastAsia="ar-SA"/>
    </w:rPr>
  </w:style>
  <w:style w:type="paragraph" w:customStyle="1" w:styleId="5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8">
    <w:name w:val="textcontents"/>
    <w:basedOn w:val="32"/>
    <w:autoRedefine/>
    <w:qFormat/>
    <w:uiPriority w:val="0"/>
  </w:style>
  <w:style w:type="paragraph" w:customStyle="1" w:styleId="5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60">
    <w:name w:val="WPSOffice手动目录 1"/>
    <w:autoRedefine/>
    <w:qFormat/>
    <w:uiPriority w:val="0"/>
    <w:pPr>
      <w:ind w:leftChars="0"/>
    </w:pPr>
    <w:rPr>
      <w:rFonts w:ascii="Times New Roman" w:hAnsi="Times New Roman" w:eastAsia="宋体" w:cs="Times New Roman"/>
      <w:sz w:val="20"/>
      <w:szCs w:val="20"/>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paragraph" w:customStyle="1" w:styleId="62">
    <w:name w:val="正文文本_0"/>
    <w:basedOn w:val="48"/>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3">
    <w:name w:val="Normal_1"/>
    <w:autoRedefine/>
    <w:qFormat/>
    <w:uiPriority w:val="0"/>
    <w:rPr>
      <w:rFonts w:ascii="Times New Roman" w:hAnsi="Times New Roman" w:eastAsia="Times New Roman" w:cs="Times New Roman"/>
      <w:sz w:val="24"/>
      <w:szCs w:val="24"/>
    </w:rPr>
  </w:style>
  <w:style w:type="paragraph" w:customStyle="1" w:styleId="64">
    <w:name w:val="Body text|1_2"/>
    <w:basedOn w:val="4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5">
    <w:name w:val="Other|1_2"/>
    <w:basedOn w:val="4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标题 2_1"/>
    <w:basedOn w:val="48"/>
    <w:next w:val="4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7">
    <w:name w:val="标题 3_2"/>
    <w:basedOn w:val="48"/>
    <w:next w:val="48"/>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8">
    <w:name w:val="标题 2_0"/>
    <w:basedOn w:val="69"/>
    <w:next w:val="69"/>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9">
    <w:name w:val="正文_2"/>
    <w:basedOn w:val="7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0">
    <w:name w:val="正文_3"/>
    <w:basedOn w:val="48"/>
    <w:autoRedefine/>
    <w:qFormat/>
    <w:uiPriority w:val="0"/>
    <w:rPr>
      <w:rFonts w:eastAsia="宋体"/>
      <w:lang w:eastAsia="zh-CN" w:bidi="ar-SA"/>
    </w:rPr>
  </w:style>
  <w:style w:type="paragraph" w:customStyle="1" w:styleId="71">
    <w:name w:val="标题 3_1"/>
    <w:basedOn w:val="69"/>
    <w:next w:val="69"/>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72">
    <w:name w:val="Body text|1_1"/>
    <w:basedOn w:val="69"/>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3">
    <w:name w:val="Body text|2_0"/>
    <w:basedOn w:val="69"/>
    <w:autoRedefine/>
    <w:qFormat/>
    <w:uiPriority w:val="0"/>
    <w:pPr>
      <w:spacing w:after="30"/>
      <w:ind w:firstLine="420"/>
    </w:pPr>
    <w:rPr>
      <w:rFonts w:eastAsia="宋体"/>
      <w:color w:val="auto"/>
      <w:sz w:val="20"/>
      <w:szCs w:val="20"/>
      <w:lang w:bidi="ar-SA"/>
    </w:rPr>
  </w:style>
  <w:style w:type="paragraph" w:customStyle="1" w:styleId="74">
    <w:name w:val="Other|1_1"/>
    <w:basedOn w:val="69"/>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5">
    <w:name w:val="正文_2_0"/>
    <w:basedOn w:val="69"/>
    <w:autoRedefine/>
    <w:qFormat/>
    <w:uiPriority w:val="0"/>
    <w:rPr>
      <w:rFonts w:eastAsia="宋体"/>
      <w:lang w:eastAsia="zh-CN" w:bidi="ar-SA"/>
    </w:rPr>
  </w:style>
  <w:style w:type="character" w:customStyle="1" w:styleId="76">
    <w:name w:val="10"/>
    <w:autoRedefine/>
    <w:qFormat/>
    <w:uiPriority w:val="0"/>
    <w:rPr>
      <w:rFonts w:hint="default" w:ascii="Times New Roman" w:hAnsi="Times New Roman" w:eastAsia="Times New Roman" w:cs="Times New Roman"/>
      <w:lang w:eastAsia="en-US" w:bidi="en-US"/>
    </w:rPr>
  </w:style>
  <w:style w:type="paragraph" w:customStyle="1" w:styleId="77">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8">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9">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80">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标题 3_0"/>
    <w:basedOn w:val="1"/>
    <w:next w:val="69"/>
    <w:autoRedefine/>
    <w:qFormat/>
    <w:uiPriority w:val="99"/>
    <w:rPr>
      <w:szCs w:val="20"/>
    </w:rPr>
  </w:style>
  <w:style w:type="paragraph" w:customStyle="1" w:styleId="82">
    <w:name w:val="纯文本_0"/>
    <w:basedOn w:val="1"/>
    <w:autoRedefine/>
    <w:qFormat/>
    <w:uiPriority w:val="99"/>
    <w:rPr>
      <w:szCs w:val="20"/>
    </w:rPr>
  </w:style>
  <w:style w:type="paragraph" w:customStyle="1" w:styleId="83">
    <w:name w:val="Normal_0"/>
    <w:autoRedefine/>
    <w:qFormat/>
    <w:uiPriority w:val="0"/>
    <w:rPr>
      <w:rFonts w:ascii="Times New Roman" w:hAnsi="Times New Roman" w:eastAsia="Times New Roman" w:cs="Times New Roman"/>
      <w:sz w:val="24"/>
      <w:szCs w:val="24"/>
    </w:rPr>
  </w:style>
  <w:style w:type="paragraph" w:customStyle="1" w:styleId="84">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5">
    <w:name w:val="hover"/>
    <w:basedOn w:val="32"/>
    <w:autoRedefine/>
    <w:qFormat/>
    <w:uiPriority w:val="0"/>
    <w:rPr>
      <w:color w:val="2590EB"/>
    </w:rPr>
  </w:style>
  <w:style w:type="character" w:customStyle="1" w:styleId="86">
    <w:name w:val="hover1"/>
    <w:basedOn w:val="32"/>
    <w:autoRedefine/>
    <w:qFormat/>
    <w:uiPriority w:val="0"/>
    <w:rPr>
      <w:color w:val="2590EB"/>
    </w:rPr>
  </w:style>
  <w:style w:type="character" w:customStyle="1" w:styleId="87">
    <w:name w:val="hover2"/>
    <w:basedOn w:val="32"/>
    <w:autoRedefine/>
    <w:qFormat/>
    <w:uiPriority w:val="0"/>
  </w:style>
  <w:style w:type="character" w:customStyle="1" w:styleId="88">
    <w:name w:val="hover3"/>
    <w:basedOn w:val="3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130</Pages>
  <Words>26087</Words>
  <Characters>28181</Characters>
  <Lines>51</Lines>
  <Paragraphs>59</Paragraphs>
  <TotalTime>57</TotalTime>
  <ScaleCrop>false</ScaleCrop>
  <LinksUpToDate>false</LinksUpToDate>
  <CharactersWithSpaces>29360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办公小助手2</cp:lastModifiedBy>
  <cp:lastPrinted>2024-02-27T07:05:00Z</cp:lastPrinted>
  <dcterms:modified xsi:type="dcterms:W3CDTF">2025-04-24T04:04:02Z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39810046623E4C51A8AAE29AB73E8016_13</vt:lpwstr>
  </property>
  <property fmtid="{D5CDD505-2E9C-101B-9397-08002B2CF9AE}" pid="4" name="KSOTemplateDocerSaveRecord">
    <vt:lpwstr>eyJoZGlkIjoiZjJlZjNlNGZhYmUxNzBlZDlmYWFjZDI3Y2VkZTE1MzIiLCJ1c2VySWQiOiIxNjUxMjY0MDU4In0=</vt:lpwstr>
  </property>
</Properties>
</file>