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035C2">
      <w:pPr>
        <w:keepNext w:val="0"/>
        <w:keepLines w:val="0"/>
        <w:pageBreakBefore w:val="0"/>
        <w:widowControl/>
        <w:kinsoku/>
        <w:wordWrap/>
        <w:overflowPunct/>
        <w:topLinePunct w:val="0"/>
        <w:autoSpaceDE/>
        <w:autoSpaceDN/>
        <w:bidi w:val="0"/>
        <w:adjustRightInd/>
        <w:snapToGrid/>
        <w:jc w:val="center"/>
        <w:textAlignment w:val="baseline"/>
        <w:rPr>
          <w:rFonts w:hint="eastAsia" w:ascii="黑体" w:hAnsi="黑体" w:eastAsia="黑体"/>
          <w:b/>
          <w:bCs/>
          <w:color w:val="auto"/>
          <w:sz w:val="72"/>
          <w:szCs w:val="72"/>
          <w:highlight w:val="none"/>
        </w:rPr>
      </w:pPr>
      <w:bookmarkStart w:id="0" w:name="_Toc434315322"/>
    </w:p>
    <w:p w14:paraId="52192A0C">
      <w:pPr>
        <w:pStyle w:val="9"/>
        <w:tabs>
          <w:tab w:val="left" w:pos="7854"/>
        </w:tabs>
        <w:jc w:val="center"/>
        <w:rPr>
          <w:rFonts w:hint="eastAsia" w:ascii="方正小标宋简体" w:hAnsi="方正小标宋简体" w:eastAsia="方正小标宋简体" w:cs="方正小标宋简体"/>
          <w:color w:val="auto"/>
          <w:sz w:val="20"/>
          <w:lang w:eastAsia="zh-CN"/>
        </w:rPr>
      </w:pPr>
      <w:r>
        <w:rPr>
          <w:rFonts w:hint="eastAsia" w:asciiTheme="majorEastAsia" w:hAnsiTheme="majorEastAsia" w:eastAsiaTheme="majorEastAsia" w:cstheme="majorEastAsia"/>
          <w:b w:val="0"/>
          <w:bCs w:val="0"/>
          <w:color w:val="auto"/>
          <w:sz w:val="44"/>
          <w:szCs w:val="44"/>
          <w:u w:val="none"/>
          <w:lang w:val="en-US" w:eastAsia="zh-CN"/>
        </w:rPr>
        <w:t>钦北区2025年巩固拓展脱贫攻坚成果同乡村振兴有效衔接项目(道路部分)</w:t>
      </w:r>
    </w:p>
    <w:p w14:paraId="46CCFD7F">
      <w:pPr>
        <w:tabs>
          <w:tab w:val="left" w:pos="1079"/>
          <w:tab w:val="left" w:pos="3240"/>
        </w:tabs>
        <w:spacing w:line="821" w:lineRule="exact"/>
        <w:ind w:right="138"/>
        <w:jc w:val="both"/>
        <w:rPr>
          <w:rFonts w:hint="eastAsia" w:ascii="方正小标宋简体" w:hAnsi="方正小标宋简体" w:eastAsia="方正小标宋简体" w:cs="方正小标宋简体"/>
          <w:color w:val="auto"/>
          <w:sz w:val="72"/>
          <w:lang w:eastAsia="zh-CN"/>
        </w:rPr>
      </w:pPr>
    </w:p>
    <w:p w14:paraId="3503E74F">
      <w:pPr>
        <w:tabs>
          <w:tab w:val="left" w:pos="1079"/>
          <w:tab w:val="left" w:pos="3240"/>
        </w:tabs>
        <w:spacing w:line="821" w:lineRule="exact"/>
        <w:ind w:right="138"/>
        <w:jc w:val="center"/>
        <w:rPr>
          <w:rFonts w:hint="eastAsia" w:ascii="方正小标宋简体" w:hAnsi="方正小标宋简体" w:eastAsia="方正小标宋简体" w:cs="方正小标宋简体"/>
          <w:color w:val="auto"/>
          <w:sz w:val="72"/>
          <w:lang w:eastAsia="zh-CN"/>
        </w:rPr>
      </w:pPr>
      <w:r>
        <w:rPr>
          <w:rFonts w:hint="eastAsia" w:ascii="方正小标宋简体" w:hAnsi="方正小标宋简体" w:eastAsia="方正小标宋简体" w:cs="方正小标宋简体"/>
          <w:color w:val="auto"/>
          <w:sz w:val="72"/>
          <w:lang w:val="en-US" w:eastAsia="zh-CN"/>
        </w:rPr>
        <w:t>竞争性磋商采购文件</w:t>
      </w:r>
    </w:p>
    <w:p w14:paraId="441C0384">
      <w:pPr>
        <w:pStyle w:val="9"/>
        <w:rPr>
          <w:rFonts w:hint="eastAsia" w:ascii="方正小标宋简体" w:hAnsi="方正小标宋简体" w:eastAsia="方正小标宋简体" w:cs="方正小标宋简体"/>
          <w:color w:val="auto"/>
          <w:sz w:val="68"/>
          <w:lang w:eastAsia="zh-CN"/>
        </w:rPr>
      </w:pPr>
    </w:p>
    <w:p w14:paraId="08DE8D72">
      <w:pPr>
        <w:pStyle w:val="9"/>
        <w:ind w:firstLine="2240" w:firstLineChars="700"/>
        <w:rPr>
          <w:rFonts w:hint="eastAsia"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z w:val="32"/>
          <w:szCs w:val="32"/>
          <w:lang w:eastAsia="zh-CN"/>
        </w:rPr>
        <w:t>项目编号：QZZC2025-C2-030026-ZYXM</w:t>
      </w:r>
    </w:p>
    <w:p w14:paraId="234C3F7D">
      <w:pPr>
        <w:pStyle w:val="9"/>
        <w:rPr>
          <w:rFonts w:hint="eastAsia" w:ascii="方正小标宋简体" w:hAnsi="方正小标宋简体" w:eastAsia="方正小标宋简体" w:cs="方正小标宋简体"/>
          <w:color w:val="auto"/>
          <w:sz w:val="20"/>
          <w:lang w:eastAsia="zh-CN"/>
        </w:rPr>
      </w:pPr>
    </w:p>
    <w:p w14:paraId="14448CBF">
      <w:pPr>
        <w:pStyle w:val="9"/>
        <w:rPr>
          <w:rFonts w:hint="eastAsia" w:ascii="方正小标宋简体" w:hAnsi="方正小标宋简体" w:eastAsia="方正小标宋简体" w:cs="方正小标宋简体"/>
          <w:color w:val="auto"/>
          <w:sz w:val="20"/>
          <w:lang w:eastAsia="zh-CN"/>
        </w:rPr>
      </w:pPr>
    </w:p>
    <w:p w14:paraId="046FA91B">
      <w:pPr>
        <w:pStyle w:val="9"/>
        <w:spacing w:before="10"/>
        <w:rPr>
          <w:rFonts w:hint="eastAsia" w:ascii="方正小标宋简体" w:hAnsi="方正小标宋简体" w:eastAsia="方正小标宋简体" w:cs="方正小标宋简体"/>
          <w:color w:val="auto"/>
          <w:sz w:val="15"/>
          <w:lang w:eastAsia="zh-CN"/>
        </w:rPr>
      </w:pPr>
    </w:p>
    <w:p w14:paraId="5B629F51">
      <w:pPr>
        <w:spacing w:before="1"/>
        <w:jc w:val="center"/>
        <w:rPr>
          <w:rFonts w:hint="eastAsia" w:ascii="方正小标宋简体" w:hAnsi="方正小标宋简体" w:eastAsia="方正小标宋简体" w:cs="方正小标宋简体"/>
          <w:color w:val="auto"/>
          <w:sz w:val="32"/>
          <w:lang w:eastAsia="zh-CN"/>
        </w:rPr>
      </w:pPr>
      <w:r>
        <w:rPr>
          <w:rFonts w:hint="eastAsia" w:ascii="方正小标宋简体" w:hAnsi="方正小标宋简体" w:eastAsia="方正小标宋简体" w:cs="方正小标宋简体"/>
          <w:color w:val="auto"/>
          <w:w w:val="95"/>
          <w:sz w:val="32"/>
          <w:lang w:eastAsia="zh-CN"/>
        </w:rPr>
        <w:t>招标人：</w:t>
      </w:r>
      <w:r>
        <w:rPr>
          <w:rFonts w:hint="eastAsia" w:ascii="方正小标宋简体" w:hAnsi="方正小标宋简体" w:eastAsia="方正小标宋简体" w:cs="方正小标宋简体"/>
          <w:color w:val="auto"/>
          <w:w w:val="95"/>
          <w:sz w:val="32"/>
          <w:u w:val="single"/>
          <w:lang w:eastAsia="zh-CN"/>
        </w:rPr>
        <w:t>钦州市钦北</w:t>
      </w:r>
      <w:r>
        <w:rPr>
          <w:rFonts w:hint="eastAsia" w:ascii="方正小标宋简体" w:hAnsi="方正小标宋简体" w:eastAsia="方正小标宋简体" w:cs="方正小标宋简体"/>
          <w:b w:val="0"/>
          <w:bCs w:val="0"/>
          <w:color w:val="auto"/>
          <w:w w:val="95"/>
          <w:sz w:val="32"/>
          <w:u w:val="single"/>
          <w:lang w:eastAsia="zh-CN"/>
        </w:rPr>
        <w:t xml:space="preserve">区交通运输局 </w:t>
      </w:r>
    </w:p>
    <w:p w14:paraId="5FDAAC27">
      <w:pPr>
        <w:pStyle w:val="9"/>
        <w:rPr>
          <w:rFonts w:hint="eastAsia" w:ascii="方正小标宋简体" w:hAnsi="方正小标宋简体" w:eastAsia="方正小标宋简体" w:cs="方正小标宋简体"/>
          <w:color w:val="auto"/>
          <w:sz w:val="20"/>
          <w:lang w:eastAsia="zh-CN"/>
        </w:rPr>
      </w:pPr>
    </w:p>
    <w:p w14:paraId="603E639C">
      <w:pPr>
        <w:pStyle w:val="9"/>
        <w:rPr>
          <w:rFonts w:hint="eastAsia" w:ascii="方正小标宋简体" w:hAnsi="方正小标宋简体" w:eastAsia="方正小标宋简体" w:cs="方正小标宋简体"/>
          <w:color w:val="auto"/>
          <w:sz w:val="20"/>
          <w:lang w:eastAsia="zh-CN"/>
        </w:rPr>
      </w:pPr>
    </w:p>
    <w:p w14:paraId="73C6784B">
      <w:pPr>
        <w:spacing w:before="138"/>
        <w:jc w:val="center"/>
        <w:rPr>
          <w:rFonts w:hint="eastAsia" w:ascii="方正小标宋简体" w:hAnsi="方正小标宋简体" w:eastAsia="方正小标宋简体" w:cs="方正小标宋简体"/>
          <w:color w:val="auto"/>
          <w:sz w:val="32"/>
          <w:u w:val="single"/>
          <w:lang w:eastAsia="zh-CN"/>
        </w:rPr>
      </w:pPr>
      <w:r>
        <w:rPr>
          <w:rFonts w:hint="eastAsia" w:ascii="方正小标宋简体" w:hAnsi="方正小标宋简体" w:eastAsia="方正小标宋简体" w:cs="方正小标宋简体"/>
          <w:color w:val="auto"/>
          <w:sz w:val="32"/>
          <w:lang w:eastAsia="zh-CN"/>
        </w:rPr>
        <w:t>招标代理机构：</w:t>
      </w:r>
      <w:r>
        <w:rPr>
          <w:rFonts w:hint="eastAsia" w:asciiTheme="majorEastAsia" w:hAnsiTheme="majorEastAsia" w:eastAsiaTheme="majorEastAsia" w:cstheme="majorEastAsia"/>
          <w:b/>
          <w:bCs/>
          <w:color w:val="auto"/>
          <w:sz w:val="32"/>
          <w:u w:val="single"/>
          <w:lang w:eastAsia="zh-CN"/>
        </w:rPr>
        <w:t xml:space="preserve">广西中烨项目管理有限公司 </w:t>
      </w:r>
    </w:p>
    <w:p w14:paraId="6E312DBD">
      <w:pPr>
        <w:pStyle w:val="9"/>
        <w:rPr>
          <w:rFonts w:hint="eastAsia" w:ascii="方正小标宋简体" w:hAnsi="方正小标宋简体" w:eastAsia="方正小标宋简体" w:cs="方正小标宋简体"/>
          <w:color w:val="auto"/>
          <w:sz w:val="20"/>
          <w:lang w:eastAsia="zh-CN"/>
        </w:rPr>
      </w:pPr>
    </w:p>
    <w:p w14:paraId="35499BE8">
      <w:pPr>
        <w:pStyle w:val="9"/>
        <w:rPr>
          <w:rFonts w:hint="eastAsia" w:ascii="方正小标宋简体" w:hAnsi="方正小标宋简体" w:eastAsia="方正小标宋简体" w:cs="方正小标宋简体"/>
          <w:color w:val="auto"/>
          <w:sz w:val="20"/>
          <w:lang w:eastAsia="zh-CN"/>
        </w:rPr>
      </w:pPr>
    </w:p>
    <w:p w14:paraId="07FBD4F5">
      <w:pPr>
        <w:spacing w:before="138"/>
        <w:ind w:left="2607"/>
        <w:rPr>
          <w:rFonts w:hint="eastAsia" w:ascii="方正小标宋简体" w:hAnsi="方正小标宋简体" w:eastAsia="方正小标宋简体" w:cs="方正小标宋简体"/>
          <w:color w:val="auto"/>
          <w:sz w:val="32"/>
          <w:u w:val="none"/>
          <w:lang w:val="en-US" w:eastAsia="zh-CN"/>
        </w:rPr>
        <w:sectPr>
          <w:headerReference r:id="rId3" w:type="default"/>
          <w:pgSz w:w="11910" w:h="16840"/>
          <w:pgMar w:top="1580" w:right="1180" w:bottom="280" w:left="1680" w:header="720" w:footer="720" w:gutter="0"/>
          <w:cols w:space="720" w:num="1"/>
        </w:sectPr>
      </w:pPr>
      <w:r>
        <w:rPr>
          <w:rFonts w:hint="eastAsia" w:ascii="方正小标宋简体" w:hAnsi="方正小标宋简体" w:eastAsia="方正小标宋简体" w:cs="方正小标宋简体"/>
          <w:color w:val="auto"/>
          <w:sz w:val="32"/>
          <w:lang w:eastAsia="zh-CN"/>
        </w:rPr>
        <w:t>发布日期：</w:t>
      </w:r>
      <w:r>
        <w:rPr>
          <w:rFonts w:hint="eastAsia" w:ascii="方正小标宋简体" w:hAnsi="方正小标宋简体" w:eastAsia="方正小标宋简体" w:cs="方正小标宋简体"/>
          <w:color w:val="auto"/>
          <w:sz w:val="32"/>
          <w:u w:val="single"/>
          <w:lang w:eastAsia="zh-CN"/>
        </w:rPr>
        <w:t>202</w:t>
      </w:r>
      <w:r>
        <w:rPr>
          <w:rFonts w:hint="eastAsia" w:ascii="方正小标宋简体" w:hAnsi="方正小标宋简体" w:eastAsia="方正小标宋简体" w:cs="方正小标宋简体"/>
          <w:color w:val="auto"/>
          <w:sz w:val="32"/>
          <w:u w:val="single"/>
          <w:lang w:val="en-US" w:eastAsia="zh-CN"/>
        </w:rPr>
        <w:t>5</w:t>
      </w:r>
      <w:r>
        <w:rPr>
          <w:rFonts w:hint="eastAsia" w:ascii="方正小标宋简体" w:hAnsi="方正小标宋简体" w:eastAsia="方正小标宋简体" w:cs="方正小标宋简体"/>
          <w:color w:val="auto"/>
          <w:sz w:val="32"/>
          <w:lang w:eastAsia="zh-CN"/>
        </w:rPr>
        <w:t>年</w:t>
      </w:r>
      <w:r>
        <w:rPr>
          <w:rFonts w:hint="eastAsia" w:ascii="方正小标宋简体" w:hAnsi="方正小标宋简体" w:eastAsia="方正小标宋简体" w:cs="方正小标宋简体"/>
          <w:color w:val="auto"/>
          <w:sz w:val="32"/>
          <w:u w:val="single"/>
          <w:lang w:val="en-US" w:eastAsia="zh-CN"/>
        </w:rPr>
        <w:t xml:space="preserve"> 4 </w:t>
      </w:r>
      <w:r>
        <w:rPr>
          <w:rFonts w:hint="eastAsia" w:ascii="方正小标宋简体" w:hAnsi="方正小标宋简体" w:eastAsia="方正小标宋简体" w:cs="方正小标宋简体"/>
          <w:color w:val="auto"/>
          <w:sz w:val="32"/>
          <w:lang w:eastAsia="zh-CN"/>
        </w:rPr>
        <w:t>月</w:t>
      </w:r>
    </w:p>
    <w:p w14:paraId="43133F29">
      <w:pPr>
        <w:rPr>
          <w:rFonts w:hint="eastAsia"/>
          <w:color w:val="auto"/>
        </w:rPr>
      </w:pPr>
    </w:p>
    <w:p w14:paraId="6BA17B2C">
      <w:pPr>
        <w:pStyle w:val="35"/>
        <w:rPr>
          <w:color w:val="auto"/>
          <w:lang w:val="en-US" w:eastAsia="zh-CN"/>
        </w:rPr>
      </w:pPr>
    </w:p>
    <w:sdt>
      <w:sdtPr>
        <w:rPr>
          <w:rFonts w:ascii="宋体" w:hAnsi="宋体" w:eastAsia="宋体" w:cs="Times New Roman"/>
          <w:color w:val="auto"/>
          <w:kern w:val="2"/>
          <w:sz w:val="28"/>
          <w:szCs w:val="36"/>
          <w:lang w:val="en-US" w:eastAsia="zh-CN" w:bidi="ar-SA"/>
        </w:rPr>
        <w:id w:val="147475717"/>
        <w15:color w:val="DBDBDB"/>
        <w:docPartObj>
          <w:docPartGallery w:val="Table of Contents"/>
          <w:docPartUnique/>
        </w:docPartObj>
      </w:sdtPr>
      <w:sdtEndPr>
        <w:rPr>
          <w:rFonts w:ascii="宋体" w:hAnsi="宋体" w:eastAsia="宋体" w:cs="宋体"/>
          <w:color w:val="auto"/>
          <w:kern w:val="2"/>
          <w:sz w:val="28"/>
          <w:szCs w:val="40"/>
          <w:lang w:val="en-US" w:eastAsia="zh-CN" w:bidi="ar-SA"/>
        </w:rPr>
      </w:sdtEndPr>
      <w:sdtContent>
        <w:p w14:paraId="69A13909">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color w:val="auto"/>
              <w:sz w:val="44"/>
              <w:szCs w:val="44"/>
            </w:rPr>
          </w:pPr>
          <w:r>
            <w:rPr>
              <w:rFonts w:ascii="宋体" w:hAnsi="宋体" w:eastAsia="宋体"/>
              <w:b/>
              <w:bCs/>
              <w:color w:val="auto"/>
              <w:sz w:val="44"/>
              <w:szCs w:val="44"/>
            </w:rPr>
            <w:t>目</w:t>
          </w:r>
          <w:r>
            <w:rPr>
              <w:rFonts w:hint="eastAsia" w:ascii="宋体" w:hAnsi="宋体"/>
              <w:b/>
              <w:bCs/>
              <w:color w:val="auto"/>
              <w:sz w:val="44"/>
              <w:szCs w:val="44"/>
              <w:lang w:val="en-US" w:eastAsia="zh-CN"/>
            </w:rPr>
            <w:t xml:space="preserve">  </w:t>
          </w:r>
          <w:r>
            <w:rPr>
              <w:rFonts w:ascii="宋体" w:hAnsi="宋体" w:eastAsia="宋体"/>
              <w:b/>
              <w:bCs/>
              <w:color w:val="auto"/>
              <w:sz w:val="44"/>
              <w:szCs w:val="44"/>
            </w:rPr>
            <w:t>录</w:t>
          </w:r>
        </w:p>
        <w:p w14:paraId="4E3311D3">
          <w:pPr>
            <w:pStyle w:val="17"/>
            <w:tabs>
              <w:tab w:val="right" w:leader="dot" w:pos="9799"/>
            </w:tabs>
            <w:rPr>
              <w:rFonts w:hint="eastAsia" w:ascii="宋体" w:hAnsi="宋体" w:eastAsia="宋体" w:cs="宋体"/>
              <w:color w:val="auto"/>
              <w:sz w:val="28"/>
              <w:szCs w:val="36"/>
            </w:rPr>
          </w:pPr>
          <w:r>
            <w:rPr>
              <w:rFonts w:ascii="宋体" w:hAnsi="宋体" w:cs="宋体"/>
              <w:color w:val="auto"/>
              <w:sz w:val="32"/>
              <w:szCs w:val="40"/>
            </w:rPr>
            <w:fldChar w:fldCharType="begin"/>
          </w:r>
          <w:r>
            <w:rPr>
              <w:rFonts w:ascii="宋体" w:hAnsi="宋体" w:cs="宋体"/>
              <w:color w:val="auto"/>
              <w:sz w:val="32"/>
              <w:szCs w:val="40"/>
            </w:rPr>
            <w:instrText xml:space="preserve">TOC \o "1-1" \h \u </w:instrText>
          </w:r>
          <w:r>
            <w:rPr>
              <w:rFonts w:ascii="宋体" w:hAnsi="宋体" w:cs="宋体"/>
              <w:color w:val="auto"/>
              <w:sz w:val="32"/>
              <w:szCs w:val="40"/>
            </w:rPr>
            <w:fldChar w:fldCharType="separate"/>
          </w:r>
        </w:p>
        <w:p w14:paraId="06B6EDE0">
          <w:pPr>
            <w:pStyle w:val="17"/>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_Toc29312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第一章</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竞争性磋商公告</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fldChar w:fldCharType="end"/>
          </w:r>
        </w:p>
        <w:p w14:paraId="05EE1C67">
          <w:pPr>
            <w:pStyle w:val="17"/>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_Toc5416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pacing w:val="-14"/>
              <w:kern w:val="0"/>
              <w:position w:val="-6"/>
              <w:sz w:val="24"/>
              <w:szCs w:val="24"/>
            </w:rPr>
            <w:t xml:space="preserve">第二章 </w:t>
          </w:r>
          <w:r>
            <w:rPr>
              <w:rFonts w:hint="eastAsia" w:ascii="宋体" w:hAnsi="宋体" w:cs="宋体"/>
              <w:bCs/>
              <w:color w:val="auto"/>
              <w:spacing w:val="-14"/>
              <w:kern w:val="0"/>
              <w:position w:val="-6"/>
              <w:sz w:val="24"/>
              <w:szCs w:val="24"/>
              <w:lang w:val="en-US" w:eastAsia="zh-CN"/>
            </w:rPr>
            <w:t xml:space="preserve">  供应商</w:t>
          </w:r>
          <w:r>
            <w:rPr>
              <w:rFonts w:hint="eastAsia" w:ascii="宋体" w:hAnsi="宋体" w:eastAsia="宋体" w:cs="宋体"/>
              <w:bCs/>
              <w:color w:val="auto"/>
              <w:spacing w:val="-14"/>
              <w:kern w:val="0"/>
              <w:position w:val="-6"/>
              <w:sz w:val="24"/>
              <w:szCs w:val="24"/>
            </w:rPr>
            <w:t>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_Toc5416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FA702D7">
          <w:pPr>
            <w:pStyle w:val="17"/>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_Toc26558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pacing w:val="-14"/>
              <w:kern w:val="0"/>
              <w:position w:val="-6"/>
              <w:sz w:val="24"/>
              <w:szCs w:val="24"/>
            </w:rPr>
            <w:t xml:space="preserve">第三章  </w:t>
          </w:r>
          <w:r>
            <w:rPr>
              <w:rFonts w:hint="eastAsia" w:ascii="宋体" w:hAnsi="宋体" w:cs="宋体"/>
              <w:bCs/>
              <w:color w:val="auto"/>
              <w:spacing w:val="-14"/>
              <w:kern w:val="0"/>
              <w:position w:val="-6"/>
              <w:sz w:val="24"/>
              <w:szCs w:val="24"/>
              <w:lang w:val="en-US" w:eastAsia="zh-CN"/>
            </w:rPr>
            <w:t xml:space="preserve"> </w:t>
          </w:r>
          <w:r>
            <w:rPr>
              <w:rFonts w:hint="eastAsia" w:ascii="宋体" w:hAnsi="宋体" w:eastAsia="宋体" w:cs="宋体"/>
              <w:bCs/>
              <w:color w:val="auto"/>
              <w:spacing w:val="-14"/>
              <w:kern w:val="0"/>
              <w:position w:val="-6"/>
              <w:sz w:val="24"/>
              <w:szCs w:val="24"/>
            </w:rPr>
            <w:t>项目基本情况及要求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_Toc26558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1928C85">
          <w:pPr>
            <w:pStyle w:val="17"/>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_Toc20069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0"/>
              <w:sz w:val="24"/>
              <w:szCs w:val="24"/>
              <w:lang w:val="en-US" w:eastAsia="zh-CN"/>
            </w:rPr>
            <w:t>第四章</w:t>
          </w:r>
          <w:r>
            <w:rPr>
              <w:rFonts w:hint="eastAsia" w:ascii="宋体" w:hAnsi="宋体" w:eastAsia="宋体" w:cs="宋体"/>
              <w:bCs/>
              <w:color w:val="auto"/>
              <w:kern w:val="0"/>
              <w:sz w:val="24"/>
              <w:szCs w:val="24"/>
            </w:rPr>
            <w:t xml:space="preserve"> </w:t>
          </w:r>
          <w:r>
            <w:rPr>
              <w:rFonts w:hint="eastAsia" w:ascii="宋体" w:hAnsi="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评审标准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_Toc20069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8520160">
          <w:pPr>
            <w:pStyle w:val="17"/>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_Toc15543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0"/>
              <w:sz w:val="24"/>
              <w:szCs w:val="24"/>
            </w:rPr>
            <w:t>第</w:t>
          </w:r>
          <w:r>
            <w:rPr>
              <w:rFonts w:hint="eastAsia" w:ascii="宋体" w:hAnsi="宋体" w:eastAsia="宋体" w:cs="宋体"/>
              <w:bCs/>
              <w:color w:val="auto"/>
              <w:kern w:val="0"/>
              <w:sz w:val="24"/>
              <w:szCs w:val="24"/>
              <w:lang w:val="en-US" w:eastAsia="zh-CN"/>
            </w:rPr>
            <w:t>五</w:t>
          </w:r>
          <w:r>
            <w:rPr>
              <w:rFonts w:hint="eastAsia" w:ascii="宋体" w:hAnsi="宋体" w:eastAsia="宋体" w:cs="宋体"/>
              <w:bCs/>
              <w:color w:val="auto"/>
              <w:kern w:val="0"/>
              <w:sz w:val="24"/>
              <w:szCs w:val="24"/>
            </w:rPr>
            <w:t>章</w:t>
          </w:r>
          <w:r>
            <w:rPr>
              <w:rFonts w:hint="eastAsia" w:ascii="宋体" w:hAnsi="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 xml:space="preserve">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_Toc15543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D75C4AE">
          <w:pPr>
            <w:pStyle w:val="17"/>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32"/>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_Toc3612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14"/>
              <w:kern w:val="0"/>
              <w:position w:val="-6"/>
              <w:sz w:val="24"/>
              <w:szCs w:val="24"/>
            </w:rPr>
            <w:t xml:space="preserve">第六章 </w:t>
          </w:r>
          <w:r>
            <w:rPr>
              <w:rFonts w:hint="eastAsia" w:ascii="宋体" w:hAnsi="宋体" w:cs="宋体"/>
              <w:color w:val="auto"/>
              <w:spacing w:val="-14"/>
              <w:kern w:val="0"/>
              <w:position w:val="-6"/>
              <w:sz w:val="24"/>
              <w:szCs w:val="24"/>
              <w:lang w:val="en-US" w:eastAsia="zh-CN"/>
            </w:rPr>
            <w:t xml:space="preserve">  </w:t>
          </w:r>
          <w:r>
            <w:rPr>
              <w:rFonts w:hint="eastAsia" w:ascii="宋体" w:hAnsi="宋体" w:eastAsia="宋体" w:cs="宋体"/>
              <w:color w:val="auto"/>
              <w:spacing w:val="-14"/>
              <w:kern w:val="0"/>
              <w:position w:val="-6"/>
              <w:sz w:val="24"/>
              <w:szCs w:val="24"/>
            </w:rPr>
            <w:t>合同主要条款 (参考格式)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_Toc3612 \h </w:instrText>
          </w:r>
          <w:r>
            <w:rPr>
              <w:rFonts w:hint="eastAsia" w:ascii="宋体" w:hAnsi="宋体" w:eastAsia="宋体" w:cs="宋体"/>
              <w:color w:val="auto"/>
              <w:sz w:val="24"/>
              <w:szCs w:val="24"/>
            </w:rPr>
            <w:fldChar w:fldCharType="separate"/>
          </w:r>
          <w:r>
            <w:rPr>
              <w:rFonts w:hint="eastAsia" w:ascii="宋体" w:hAnsi="宋体" w:cs="宋体"/>
              <w:color w:val="auto"/>
              <w:sz w:val="24"/>
              <w:szCs w:val="24"/>
              <w:lang w:val="en-US" w:eastAsia="zh-CN"/>
            </w:rPr>
            <w:t>54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6EB9AC0">
          <w:pPr>
            <w:pStyle w:val="17"/>
            <w:tabs>
              <w:tab w:val="right" w:leader="dot" w:pos="9799"/>
            </w:tabs>
            <w:spacing w:line="360" w:lineRule="auto"/>
            <w:rPr>
              <w:color w:val="auto"/>
              <w:sz w:val="20"/>
              <w:szCs w:val="22"/>
            </w:rPr>
          </w:pPr>
        </w:p>
        <w:p w14:paraId="273A65E1">
          <w:pPr>
            <w:pStyle w:val="17"/>
            <w:keepNext w:val="0"/>
            <w:keepLines w:val="0"/>
            <w:pageBreakBefore w:val="0"/>
            <w:tabs>
              <w:tab w:val="center" w:pos="4899"/>
            </w:tabs>
            <w:kinsoku/>
            <w:wordWrap/>
            <w:overflowPunct/>
            <w:topLinePunct w:val="0"/>
            <w:autoSpaceDE/>
            <w:autoSpaceDN/>
            <w:bidi w:val="0"/>
            <w:adjustRightInd/>
            <w:snapToGrid/>
            <w:spacing w:line="360" w:lineRule="auto"/>
            <w:textAlignment w:val="auto"/>
            <w:rPr>
              <w:rFonts w:ascii="宋体" w:hAnsi="宋体" w:cs="宋体"/>
              <w:color w:val="auto"/>
              <w:sz w:val="32"/>
              <w:szCs w:val="40"/>
            </w:rPr>
          </w:pPr>
          <w:r>
            <w:rPr>
              <w:rFonts w:ascii="宋体" w:hAnsi="宋体" w:cs="宋体"/>
              <w:color w:val="auto"/>
              <w:szCs w:val="40"/>
            </w:rPr>
            <w:fldChar w:fldCharType="end"/>
          </w:r>
          <w:r>
            <w:rPr>
              <w:rFonts w:hint="eastAsia" w:ascii="宋体" w:hAnsi="宋体" w:cs="宋体"/>
              <w:color w:val="auto"/>
              <w:szCs w:val="40"/>
              <w:lang w:eastAsia="zh-CN"/>
            </w:rPr>
            <w:tab/>
          </w:r>
        </w:p>
      </w:sdtContent>
    </w:sdt>
    <w:p w14:paraId="11D9E0FE">
      <w:pPr>
        <w:pStyle w:val="9"/>
        <w:tabs>
          <w:tab w:val="left" w:pos="4386"/>
        </w:tabs>
        <w:autoSpaceDE/>
        <w:autoSpaceDN/>
        <w:adjustRightInd/>
        <w:spacing w:line="320" w:lineRule="exact"/>
        <w:jc w:val="left"/>
        <w:rPr>
          <w:rFonts w:hint="eastAsia" w:hAnsi="宋体" w:eastAsia="宋体" w:cs="宋体"/>
          <w:b/>
          <w:bCs/>
          <w:color w:val="auto"/>
          <w:spacing w:val="-14"/>
          <w:position w:val="-6"/>
          <w:sz w:val="36"/>
          <w:szCs w:val="36"/>
          <w:lang w:eastAsia="zh-CN"/>
        </w:rPr>
      </w:pPr>
      <w:r>
        <w:rPr>
          <w:rFonts w:hint="eastAsia" w:hAnsi="宋体" w:cs="宋体"/>
          <w:b/>
          <w:bCs/>
          <w:color w:val="auto"/>
          <w:spacing w:val="-14"/>
          <w:position w:val="-6"/>
          <w:sz w:val="36"/>
          <w:szCs w:val="36"/>
          <w:lang w:eastAsia="zh-CN"/>
        </w:rPr>
        <w:tab/>
      </w:r>
    </w:p>
    <w:p w14:paraId="72CE667C">
      <w:pPr>
        <w:tabs>
          <w:tab w:val="left" w:pos="6703"/>
        </w:tabs>
        <w:bidi w:val="0"/>
        <w:jc w:val="left"/>
        <w:rPr>
          <w:rFonts w:hint="eastAsia" w:eastAsia="宋体"/>
          <w:color w:val="auto"/>
          <w:lang w:eastAsia="zh-CN"/>
        </w:rPr>
        <w:sectPr>
          <w:headerReference r:id="rId4" w:type="default"/>
          <w:footerReference r:id="rId5" w:type="default"/>
          <w:pgSz w:w="11906" w:h="16838"/>
          <w:pgMar w:top="1440" w:right="1080" w:bottom="1440" w:left="460" w:header="851" w:footer="794" w:gutter="567"/>
          <w:pgNumType w:fmt="decimal" w:start="1"/>
          <w:cols w:space="720" w:num="1"/>
        </w:sectPr>
      </w:pPr>
      <w:r>
        <w:rPr>
          <w:rFonts w:hint="eastAsia"/>
          <w:color w:val="auto"/>
          <w:lang w:eastAsia="zh-CN"/>
        </w:rPr>
        <w:tab/>
      </w:r>
    </w:p>
    <w:p w14:paraId="4B5BC63D">
      <w:pPr>
        <w:pStyle w:val="2"/>
        <w:keepNext/>
        <w:keepLines/>
        <w:pageBreakBefore w:val="0"/>
        <w:widowControl w:val="0"/>
        <w:kinsoku/>
        <w:wordWrap/>
        <w:overflowPunct/>
        <w:topLinePunct w:val="0"/>
        <w:autoSpaceDE/>
        <w:autoSpaceDN/>
        <w:bidi w:val="0"/>
        <w:adjustRightInd/>
        <w:snapToGrid/>
        <w:spacing w:before="0" w:after="0" w:afterLines="50" w:line="520" w:lineRule="exact"/>
        <w:jc w:val="center"/>
        <w:textAlignment w:val="auto"/>
        <w:rPr>
          <w:rFonts w:hint="eastAsia"/>
          <w:color w:val="auto"/>
          <w:sz w:val="32"/>
          <w:szCs w:val="32"/>
          <w:lang w:eastAsia="zh-CN"/>
        </w:rPr>
      </w:pPr>
      <w:bookmarkStart w:id="1" w:name="_Toc29312"/>
      <w:r>
        <w:rPr>
          <w:rFonts w:hint="eastAsia"/>
          <w:color w:val="auto"/>
          <w:sz w:val="32"/>
          <w:szCs w:val="32"/>
        </w:rPr>
        <w:t>第一章</w:t>
      </w:r>
      <w:bookmarkEnd w:id="0"/>
      <w:bookmarkEnd w:id="1"/>
      <w:bookmarkStart w:id="2" w:name="_Toc434315323"/>
      <w:r>
        <w:rPr>
          <w:rFonts w:hint="eastAsia"/>
          <w:color w:val="auto"/>
          <w:sz w:val="32"/>
          <w:szCs w:val="32"/>
          <w:lang w:val="en-US" w:eastAsia="zh-CN"/>
        </w:rPr>
        <w:t xml:space="preserve">  竞争性</w:t>
      </w:r>
      <w:r>
        <w:rPr>
          <w:rFonts w:hint="eastAsia"/>
          <w:color w:val="auto"/>
          <w:sz w:val="32"/>
          <w:szCs w:val="32"/>
          <w:lang w:eastAsia="zh-CN"/>
        </w:rPr>
        <w:t>磋商公告</w:t>
      </w:r>
    </w:p>
    <w:p w14:paraId="5149B385">
      <w:pPr>
        <w:keepNext w:val="0"/>
        <w:keepLines w:val="0"/>
        <w:pageBreakBefore w:val="0"/>
        <w:widowControl w:val="0"/>
        <w:kinsoku/>
        <w:wordWrap/>
        <w:overflowPunct/>
        <w:topLinePunct w:val="0"/>
        <w:autoSpaceDE/>
        <w:autoSpaceDN/>
        <w:bidi w:val="0"/>
        <w:adjustRightInd/>
        <w:snapToGrid/>
        <w:spacing w:after="0" w:afterLines="50" w:line="460" w:lineRule="exact"/>
        <w:jc w:val="center"/>
        <w:textAlignment w:val="auto"/>
        <w:rPr>
          <w:color w:val="auto"/>
        </w:rPr>
      </w:pPr>
      <w:r>
        <w:rPr>
          <w:rFonts w:hint="eastAsia" w:ascii="宋体" w:hAnsi="宋体"/>
          <w:b/>
          <w:color w:val="auto"/>
          <w:sz w:val="28"/>
          <w:szCs w:val="28"/>
          <w:lang w:val="en-US" w:eastAsia="zh-CN"/>
        </w:rPr>
        <w:t>广西中烨项目管理有限公司</w:t>
      </w:r>
      <w:r>
        <w:rPr>
          <w:rFonts w:hint="eastAsia" w:ascii="宋体" w:hAnsi="宋体"/>
          <w:b/>
          <w:color w:val="auto"/>
          <w:sz w:val="28"/>
          <w:szCs w:val="28"/>
        </w:rPr>
        <w:t>关于</w:t>
      </w:r>
      <w:bookmarkStart w:id="3" w:name="_Toc2948"/>
      <w:r>
        <w:rPr>
          <w:rFonts w:hint="eastAsia" w:ascii="宋体" w:hAnsi="宋体"/>
          <w:b/>
          <w:color w:val="auto"/>
          <w:sz w:val="28"/>
          <w:szCs w:val="28"/>
          <w:u w:val="none"/>
          <w:lang w:val="en-US" w:eastAsia="zh-CN"/>
        </w:rPr>
        <w:t>钦北区2025年巩固拓展脱贫攻坚成果同乡村振兴有效衔接项目(道路部分)</w:t>
      </w:r>
      <w:r>
        <w:rPr>
          <w:rFonts w:hint="eastAsia" w:ascii="宋体" w:hAnsi="宋体" w:eastAsia="宋体"/>
          <w:b/>
          <w:color w:val="auto"/>
          <w:sz w:val="28"/>
          <w:szCs w:val="28"/>
          <w:lang w:val="en-US" w:eastAsia="zh-CN"/>
        </w:rPr>
        <w:t>竞争性</w:t>
      </w:r>
      <w:r>
        <w:rPr>
          <w:rFonts w:hint="eastAsia" w:ascii="宋体" w:hAnsi="宋体" w:eastAsia="宋体"/>
          <w:b/>
          <w:color w:val="auto"/>
          <w:sz w:val="28"/>
          <w:szCs w:val="28"/>
          <w:lang w:eastAsia="zh-CN"/>
        </w:rPr>
        <w:t>磋商公告</w:t>
      </w:r>
      <w:bookmarkEnd w:id="3"/>
    </w:p>
    <w:tbl>
      <w:tblPr>
        <w:tblStyle w:val="26"/>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14:paraId="2BE8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14:paraId="684ED5D4">
            <w:pPr>
              <w:spacing w:line="400" w:lineRule="exact"/>
              <w:rPr>
                <w:rFonts w:ascii="宋体" w:hAnsi="宋体" w:cs="宋体"/>
                <w:color w:val="auto"/>
                <w:szCs w:val="21"/>
              </w:rPr>
            </w:pPr>
            <w:r>
              <w:rPr>
                <w:rFonts w:hint="eastAsia" w:ascii="宋体" w:hAnsi="宋体" w:cs="宋体"/>
                <w:color w:val="auto"/>
                <w:szCs w:val="21"/>
              </w:rPr>
              <w:t>项目概况</w:t>
            </w:r>
          </w:p>
          <w:p w14:paraId="0A3EFA64">
            <w:pPr>
              <w:spacing w:line="400" w:lineRule="exact"/>
              <w:ind w:firstLine="420" w:firstLineChars="200"/>
              <w:rPr>
                <w:color w:val="auto"/>
              </w:rPr>
            </w:pPr>
            <w:r>
              <w:rPr>
                <w:rFonts w:hint="eastAsia" w:ascii="宋体" w:hAnsi="宋体" w:cs="宋体"/>
                <w:color w:val="auto"/>
                <w:szCs w:val="21"/>
                <w:u w:val="single"/>
                <w:lang w:val="en-US" w:eastAsia="zh-CN"/>
              </w:rPr>
              <w:t>钦北区2025年巩固拓展脱贫攻坚成果同乡村振兴有效衔接项目(道路部分)</w:t>
            </w:r>
            <w:r>
              <w:rPr>
                <w:rFonts w:hint="eastAsia" w:ascii="宋体" w:hAnsi="宋体" w:eastAsia="宋体" w:cs="Arial"/>
                <w:color w:val="auto"/>
                <w:kern w:val="0"/>
                <w:szCs w:val="21"/>
                <w:highlight w:val="none"/>
                <w:lang w:eastAsia="zh-CN"/>
              </w:rPr>
              <w:t>采购项目的潜在供应商应在广西政府采购云平台线上获取采购文件</w:t>
            </w:r>
            <w:r>
              <w:rPr>
                <w:rFonts w:hint="eastAsia" w:ascii="宋体" w:hAnsi="宋体" w:cs="Arial"/>
                <w:color w:val="auto"/>
                <w:kern w:val="0"/>
                <w:szCs w:val="21"/>
                <w:highlight w:val="none"/>
              </w:rPr>
              <w:t>，</w:t>
            </w:r>
            <w:r>
              <w:rPr>
                <w:rFonts w:hint="eastAsia" w:ascii="宋体" w:hAnsi="宋体" w:cs="宋体"/>
                <w:color w:val="auto"/>
                <w:szCs w:val="21"/>
              </w:rPr>
              <w:t>并于</w:t>
            </w:r>
            <w:r>
              <w:rPr>
                <w:rFonts w:hint="eastAsia" w:ascii="宋体" w:hAnsi="宋体" w:cs="宋体"/>
                <w:color w:val="auto"/>
                <w:szCs w:val="21"/>
                <w:u w:val="single"/>
                <w:lang w:eastAsia="zh-CN"/>
              </w:rPr>
              <w:t>2025年</w:t>
            </w:r>
            <w:r>
              <w:rPr>
                <w:rFonts w:hint="eastAsia" w:ascii="宋体" w:hAnsi="宋体" w:cs="宋体"/>
                <w:color w:val="auto"/>
                <w:szCs w:val="21"/>
                <w:u w:val="single"/>
                <w:lang w:val="en-US" w:eastAsia="zh-CN"/>
              </w:rPr>
              <w:t>5</w:t>
            </w:r>
            <w:r>
              <w:rPr>
                <w:rFonts w:hint="eastAsia" w:ascii="宋体" w:hAnsi="宋体" w:cs="宋体"/>
                <w:color w:val="auto"/>
                <w:szCs w:val="21"/>
                <w:u w:val="single"/>
              </w:rPr>
              <w:t>月</w:t>
            </w:r>
            <w:r>
              <w:rPr>
                <w:rFonts w:hint="eastAsia" w:ascii="宋体" w:hAnsi="宋体" w:cs="宋体"/>
                <w:color w:val="auto"/>
                <w:szCs w:val="21"/>
                <w:u w:val="single"/>
                <w:lang w:val="en-US" w:eastAsia="zh-CN"/>
              </w:rPr>
              <w:t>6</w:t>
            </w:r>
            <w:r>
              <w:rPr>
                <w:rFonts w:hint="eastAsia" w:ascii="宋体" w:hAnsi="宋体" w:cs="宋体"/>
                <w:color w:val="auto"/>
                <w:szCs w:val="21"/>
                <w:u w:val="single"/>
              </w:rPr>
              <w:t>日</w:t>
            </w:r>
            <w:r>
              <w:rPr>
                <w:rFonts w:hint="eastAsia" w:ascii="宋体" w:hAnsi="宋体" w:cs="宋体"/>
                <w:color w:val="auto"/>
                <w:szCs w:val="21"/>
                <w:u w:val="single"/>
                <w:lang w:val="en-US" w:eastAsia="zh-CN"/>
              </w:rPr>
              <w:t>9</w:t>
            </w:r>
            <w:r>
              <w:rPr>
                <w:rFonts w:hint="eastAsia" w:ascii="宋体" w:hAnsi="宋体" w:cs="宋体"/>
                <w:color w:val="auto"/>
                <w:szCs w:val="21"/>
                <w:u w:val="single"/>
                <w:lang w:eastAsia="zh-CN"/>
              </w:rPr>
              <w:t>：</w:t>
            </w:r>
            <w:r>
              <w:rPr>
                <w:rFonts w:hint="eastAsia" w:ascii="宋体" w:hAnsi="宋体" w:cs="宋体"/>
                <w:color w:val="auto"/>
                <w:szCs w:val="21"/>
                <w:u w:val="single"/>
                <w:lang w:val="en-US" w:eastAsia="zh-CN"/>
              </w:rPr>
              <w:t>30</w:t>
            </w:r>
            <w:r>
              <w:rPr>
                <w:rFonts w:hint="eastAsia" w:ascii="宋体" w:hAnsi="宋体" w:cs="宋体"/>
                <w:color w:val="auto"/>
                <w:szCs w:val="21"/>
                <w:u w:val="single"/>
              </w:rPr>
              <w:t>（北京时间）</w:t>
            </w:r>
            <w:r>
              <w:rPr>
                <w:rFonts w:hint="eastAsia" w:ascii="宋体" w:hAnsi="宋体" w:cs="宋体"/>
                <w:color w:val="auto"/>
                <w:szCs w:val="21"/>
              </w:rPr>
              <w:t>前提交响应文件。</w:t>
            </w:r>
          </w:p>
        </w:tc>
      </w:tr>
    </w:tbl>
    <w:p w14:paraId="490BED1E">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rPr>
      </w:pPr>
      <w:bookmarkStart w:id="4" w:name="_Toc35393798"/>
      <w:bookmarkStart w:id="5" w:name="_Toc9324"/>
      <w:bookmarkStart w:id="6" w:name="_Toc31859"/>
      <w:bookmarkStart w:id="7" w:name="_Toc35393629"/>
      <w:bookmarkStart w:id="8" w:name="_Toc28359089"/>
      <w:bookmarkStart w:id="9" w:name="_Toc28359012"/>
      <w:r>
        <w:rPr>
          <w:rFonts w:hint="eastAsia" w:ascii="宋体" w:hAnsi="宋体" w:eastAsia="宋体" w:cs="宋体"/>
          <w:bCs w:val="0"/>
          <w:color w:val="auto"/>
          <w:sz w:val="21"/>
          <w:szCs w:val="21"/>
        </w:rPr>
        <w:t>一、项目基本情况</w:t>
      </w:r>
      <w:bookmarkEnd w:id="4"/>
      <w:bookmarkEnd w:id="5"/>
      <w:bookmarkEnd w:id="6"/>
      <w:bookmarkEnd w:id="7"/>
      <w:bookmarkEnd w:id="8"/>
      <w:bookmarkEnd w:id="9"/>
    </w:p>
    <w:p w14:paraId="372696B0">
      <w:pPr>
        <w:pageBreakBefore w:val="0"/>
        <w:widowControl w:val="0"/>
        <w:kinsoku/>
        <w:wordWrap/>
        <w:overflowPunct/>
        <w:topLinePunct w:val="0"/>
        <w:bidi w:val="0"/>
        <w:adjustRightInd/>
        <w:spacing w:line="420" w:lineRule="exact"/>
        <w:ind w:firstLine="480" w:firstLineChars="200"/>
        <w:textAlignment w:val="auto"/>
        <w:rPr>
          <w:rFonts w:hint="eastAsia" w:ascii="宋体" w:hAnsi="宋体" w:cs="宋体"/>
          <w:color w:val="auto"/>
          <w:sz w:val="24"/>
          <w:szCs w:val="24"/>
          <w:u w:val="none"/>
          <w:lang w:val="en-US" w:eastAsia="zh-CN"/>
        </w:rPr>
      </w:pPr>
      <w:r>
        <w:rPr>
          <w:rFonts w:hint="eastAsia" w:ascii="宋体" w:hAnsi="宋体" w:eastAsia="宋体" w:cs="宋体"/>
          <w:color w:val="auto"/>
          <w:sz w:val="24"/>
          <w:szCs w:val="24"/>
        </w:rPr>
        <w:t>项目编号</w:t>
      </w:r>
      <w:r>
        <w:rPr>
          <w:rFonts w:hint="eastAsia" w:ascii="宋体" w:hAnsi="宋体" w:cs="宋体"/>
          <w:color w:val="auto"/>
          <w:sz w:val="24"/>
          <w:szCs w:val="24"/>
          <w:u w:val="none"/>
          <w:lang w:val="en-US" w:eastAsia="zh-CN"/>
        </w:rPr>
        <w:t>：QZZC2025-C2-030026-ZYXM</w:t>
      </w:r>
    </w:p>
    <w:p w14:paraId="59105507">
      <w:pPr>
        <w:pageBreakBefore w:val="0"/>
        <w:widowControl w:val="0"/>
        <w:kinsoku/>
        <w:wordWrap/>
        <w:overflowPunct/>
        <w:topLinePunct w:val="0"/>
        <w:bidi w:val="0"/>
        <w:adjustRightInd/>
        <w:spacing w:line="42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项目名称：</w:t>
      </w:r>
      <w:r>
        <w:rPr>
          <w:rFonts w:hint="eastAsia" w:ascii="宋体" w:hAnsi="宋体" w:cs="宋体"/>
          <w:color w:val="auto"/>
          <w:sz w:val="24"/>
          <w:szCs w:val="24"/>
          <w:u w:val="none"/>
          <w:lang w:val="en-US" w:eastAsia="zh-CN"/>
        </w:rPr>
        <w:t>钦北区2025年巩固拓展脱贫攻坚成果同乡村振兴有效衔接项目(道路部分)</w:t>
      </w:r>
    </w:p>
    <w:p w14:paraId="0AB18EE8">
      <w:pPr>
        <w:pageBreakBefore w:val="0"/>
        <w:widowControl w:val="0"/>
        <w:kinsoku/>
        <w:wordWrap/>
        <w:overflowPunct/>
        <w:topLinePunct w:val="0"/>
        <w:bidi w:val="0"/>
        <w:adjustRightIn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采购方式：竞争性磋商</w:t>
      </w:r>
    </w:p>
    <w:p w14:paraId="6FA9D3D3">
      <w:pPr>
        <w:pageBreakBefore w:val="0"/>
        <w:widowControl w:val="0"/>
        <w:kinsoku/>
        <w:wordWrap/>
        <w:overflowPunct/>
        <w:topLinePunct w:val="0"/>
        <w:bidi w:val="0"/>
        <w:adjustRightIn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预算</w:t>
      </w:r>
      <w:r>
        <w:rPr>
          <w:rFonts w:hint="eastAsia" w:ascii="宋体" w:hAnsi="宋体" w:eastAsia="宋体" w:cs="宋体"/>
          <w:color w:val="auto"/>
          <w:sz w:val="24"/>
          <w:szCs w:val="24"/>
          <w:lang w:eastAsia="zh-CN"/>
        </w:rPr>
        <w:t>总</w:t>
      </w:r>
      <w:r>
        <w:rPr>
          <w:rFonts w:hint="eastAsia" w:ascii="宋体" w:hAnsi="宋体" w:eastAsia="宋体" w:cs="宋体"/>
          <w:color w:val="auto"/>
          <w:sz w:val="24"/>
          <w:szCs w:val="24"/>
        </w:rPr>
        <w:t>金额</w:t>
      </w:r>
      <w:r>
        <w:rPr>
          <w:rFonts w:hint="eastAsia" w:ascii="宋体" w:hAnsi="宋体" w:eastAsia="宋体" w:cs="宋体"/>
          <w:color w:val="auto"/>
          <w:sz w:val="24"/>
          <w:szCs w:val="24"/>
          <w:highlight w:val="none"/>
          <w:lang w:val="en-US" w:eastAsia="zh-CN" w:bidi="ar-SA"/>
        </w:rPr>
        <w:t>（元）</w:t>
      </w:r>
      <w:r>
        <w:rPr>
          <w:rFonts w:hint="eastAsia" w:ascii="宋体" w:hAnsi="宋体" w:eastAsia="宋体" w:cs="宋体"/>
          <w:color w:val="auto"/>
          <w:sz w:val="24"/>
          <w:szCs w:val="24"/>
        </w:rPr>
        <w:t>：</w:t>
      </w:r>
      <w:r>
        <w:rPr>
          <w:rFonts w:hint="eastAsia" w:ascii="宋体" w:hAnsi="宋体" w:cs="宋体"/>
          <w:color w:val="auto"/>
          <w:sz w:val="24"/>
          <w:szCs w:val="24"/>
          <w:lang w:eastAsia="zh-CN"/>
        </w:rPr>
        <w:t>935206.00</w:t>
      </w:r>
    </w:p>
    <w:p w14:paraId="6DD15B56">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标项名称:</w:t>
      </w:r>
      <w:r>
        <w:rPr>
          <w:rFonts w:hint="eastAsia" w:ascii="宋体" w:hAnsi="宋体" w:cs="Times New Roman"/>
          <w:color w:val="auto"/>
          <w:kern w:val="2"/>
          <w:sz w:val="21"/>
          <w:szCs w:val="21"/>
          <w:highlight w:val="none"/>
          <w:lang w:val="en-US" w:eastAsia="zh-CN" w:bidi="ar-SA"/>
        </w:rPr>
        <w:t>钦北区2025年巩固拓展脱贫攻坚成果同乡村振兴有效衔接项目(道路部分)</w:t>
      </w:r>
    </w:p>
    <w:p w14:paraId="0E88BEEF">
      <w:pPr>
        <w:pStyle w:val="33"/>
        <w:ind w:firstLine="460" w:firstLineChars="200"/>
        <w:rPr>
          <w:rFonts w:hint="eastAsia"/>
          <w:color w:val="auto"/>
        </w:rPr>
      </w:pPr>
      <w:r>
        <w:rPr>
          <w:rFonts w:hint="eastAsia" w:ascii="宋体" w:hAnsi="宋体" w:eastAsia="宋体" w:cs="Times New Roman"/>
          <w:color w:val="auto"/>
          <w:kern w:val="2"/>
          <w:sz w:val="21"/>
          <w:szCs w:val="21"/>
          <w:highlight w:val="none"/>
          <w:lang w:val="en-US" w:eastAsia="zh-CN" w:bidi="ar-SA"/>
        </w:rPr>
        <w:t>数量:1</w:t>
      </w:r>
    </w:p>
    <w:p w14:paraId="28F3D273">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预算金额（元）:</w:t>
      </w:r>
      <w:r>
        <w:rPr>
          <w:rFonts w:hint="eastAsia" w:ascii="宋体" w:hAnsi="宋体" w:cs="宋体"/>
          <w:color w:val="auto"/>
          <w:szCs w:val="21"/>
          <w:lang w:val="en-US" w:eastAsia="zh-CN"/>
        </w:rPr>
        <w:t>935206.00</w:t>
      </w:r>
    </w:p>
    <w:p w14:paraId="292FC4CE">
      <w:pPr>
        <w:pageBreakBefore w:val="0"/>
        <w:widowControl w:val="0"/>
        <w:kinsoku/>
        <w:wordWrap/>
        <w:overflowPunct/>
        <w:topLinePunct w:val="0"/>
        <w:bidi w:val="0"/>
        <w:adjustRightInd/>
        <w:spacing w:line="420" w:lineRule="exact"/>
        <w:ind w:firstLine="420" w:firstLineChars="200"/>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采购需求：</w:t>
      </w:r>
      <w:r>
        <w:rPr>
          <w:rFonts w:hint="eastAsia" w:ascii="宋体" w:hAnsi="宋体" w:cs="宋体"/>
          <w:color w:val="auto"/>
          <w:szCs w:val="21"/>
          <w:lang w:val="en-US" w:eastAsia="zh-CN"/>
        </w:rPr>
        <w:t>本工程的建设单位是钦州市钦北区交通运输局。该项目含两个单位工程， 其中一个单位工程建设地点位于钦州市钦北区小董镇替头村委宝鸭坪村、鸡笠山附近，建设内容为长度0.44km的道路硬化工程；另一个单位工程建设地点位于钦州市钦北区新棠镇，建设内容为长度1.349km的道路硬化工程。资金来源为2025年财政衔接推进乡村振兴补助资金。</w:t>
      </w:r>
    </w:p>
    <w:p w14:paraId="74279274">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工期要求：</w:t>
      </w:r>
      <w:r>
        <w:rPr>
          <w:rFonts w:hint="eastAsia" w:ascii="宋体" w:hAnsi="宋体" w:cs="宋体"/>
          <w:color w:val="auto"/>
          <w:szCs w:val="21"/>
          <w:lang w:val="en-US" w:eastAsia="zh-CN"/>
        </w:rPr>
        <w:t>210</w:t>
      </w:r>
      <w:r>
        <w:rPr>
          <w:rFonts w:hint="eastAsia" w:ascii="宋体" w:hAnsi="宋体" w:eastAsia="宋体" w:cs="宋体"/>
          <w:color w:val="auto"/>
          <w:szCs w:val="21"/>
          <w:lang w:val="en-US" w:eastAsia="zh-CN"/>
        </w:rPr>
        <w:t>日历天</w:t>
      </w:r>
    </w:p>
    <w:p w14:paraId="4FBF1867">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s="宋体"/>
          <w:color w:val="auto"/>
          <w:szCs w:val="21"/>
        </w:rPr>
      </w:pPr>
      <w:r>
        <w:rPr>
          <w:rFonts w:hint="eastAsia" w:ascii="宋体" w:hAnsi="宋体" w:eastAsia="宋体" w:cs="Times New Roman"/>
          <w:color w:val="auto"/>
          <w:kern w:val="2"/>
          <w:sz w:val="21"/>
          <w:szCs w:val="21"/>
          <w:highlight w:val="none"/>
          <w:lang w:val="en-US" w:eastAsia="zh-CN" w:bidi="ar-SA"/>
        </w:rPr>
        <w:t>最高限价（如有）：</w:t>
      </w:r>
      <w:r>
        <w:rPr>
          <w:rFonts w:hint="eastAsia" w:ascii="宋体" w:hAnsi="宋体" w:cs="宋体"/>
          <w:color w:val="auto"/>
          <w:szCs w:val="21"/>
          <w:lang w:eastAsia="zh-CN"/>
        </w:rPr>
        <w:t>935206.00</w:t>
      </w:r>
      <w:r>
        <w:rPr>
          <w:rFonts w:hint="eastAsia" w:ascii="宋体" w:hAnsi="宋体" w:eastAsia="宋体" w:cs="Times New Roman"/>
          <w:color w:val="auto"/>
          <w:kern w:val="2"/>
          <w:sz w:val="21"/>
          <w:szCs w:val="21"/>
          <w:highlight w:val="none"/>
          <w:lang w:val="en-US" w:eastAsia="zh-CN" w:bidi="ar-SA"/>
        </w:rPr>
        <w:t>元</w:t>
      </w:r>
    </w:p>
    <w:p w14:paraId="187B5BFC">
      <w:pPr>
        <w:pageBreakBefore w:val="0"/>
        <w:widowControl w:val="0"/>
        <w:kinsoku/>
        <w:wordWrap/>
        <w:overflowPunct/>
        <w:topLinePunct w:val="0"/>
        <w:bidi w:val="0"/>
        <w:adjustRightInd/>
        <w:spacing w:line="420" w:lineRule="exact"/>
        <w:ind w:firstLine="420" w:firstLineChars="200"/>
        <w:textAlignment w:val="auto"/>
        <w:rPr>
          <w:rFonts w:ascii="宋体" w:hAnsi="宋体" w:cs="宋体"/>
          <w:color w:val="auto"/>
          <w:szCs w:val="21"/>
        </w:rPr>
      </w:pPr>
      <w:r>
        <w:rPr>
          <w:rFonts w:hint="eastAsia" w:ascii="宋体" w:hAnsi="宋体" w:cs="宋体"/>
          <w:color w:val="auto"/>
          <w:szCs w:val="21"/>
        </w:rPr>
        <w:t>合同履行期限：</w:t>
      </w:r>
      <w:r>
        <w:rPr>
          <w:rFonts w:hint="eastAsia" w:ascii="宋体" w:hAnsi="宋体" w:cs="宋体"/>
          <w:color w:val="auto"/>
          <w:szCs w:val="21"/>
          <w:u w:val="single"/>
          <w:lang w:val="en-US" w:eastAsia="zh-CN"/>
        </w:rPr>
        <w:t>210</w:t>
      </w:r>
      <w:r>
        <w:rPr>
          <w:rFonts w:hint="eastAsia" w:ascii="宋体" w:hAnsi="宋体" w:cs="宋体"/>
          <w:color w:val="auto"/>
          <w:szCs w:val="21"/>
          <w:lang w:eastAsia="zh-CN"/>
        </w:rPr>
        <w:t>日历天</w:t>
      </w:r>
    </w:p>
    <w:p w14:paraId="0319B0C6">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本项目</w:t>
      </w:r>
      <w:r>
        <w:rPr>
          <w:rFonts w:hint="eastAsia" w:ascii="宋体" w:hAnsi="宋体" w:cs="宋体"/>
          <w:color w:val="auto"/>
          <w:szCs w:val="21"/>
          <w:u w:val="single"/>
        </w:rPr>
        <w:t>不接受</w:t>
      </w:r>
      <w:r>
        <w:rPr>
          <w:rFonts w:hint="eastAsia" w:ascii="宋体" w:hAnsi="宋体" w:cs="宋体"/>
          <w:color w:val="auto"/>
          <w:szCs w:val="21"/>
        </w:rPr>
        <w:t>联合体</w:t>
      </w:r>
      <w:r>
        <w:rPr>
          <w:rFonts w:hint="eastAsia" w:ascii="宋体" w:hAnsi="宋体" w:cs="宋体"/>
          <w:color w:val="auto"/>
          <w:szCs w:val="21"/>
          <w:lang w:eastAsia="zh-CN"/>
        </w:rPr>
        <w:t>竞标</w:t>
      </w:r>
    </w:p>
    <w:p w14:paraId="422585E5">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rPr>
      </w:pPr>
      <w:bookmarkStart w:id="10" w:name="_Toc21513"/>
      <w:bookmarkStart w:id="11" w:name="_Toc28359090"/>
      <w:bookmarkStart w:id="12" w:name="_Toc28359013"/>
      <w:bookmarkStart w:id="13" w:name="_Toc35393630"/>
      <w:bookmarkStart w:id="14" w:name="_Toc35393799"/>
      <w:r>
        <w:rPr>
          <w:rFonts w:hint="eastAsia" w:ascii="宋体" w:hAnsi="宋体" w:eastAsia="宋体" w:cs="宋体"/>
          <w:bCs w:val="0"/>
          <w:color w:val="auto"/>
          <w:sz w:val="21"/>
          <w:szCs w:val="21"/>
        </w:rPr>
        <w:t>二、申请人的资格要求：</w:t>
      </w:r>
      <w:bookmarkEnd w:id="10"/>
      <w:bookmarkEnd w:id="11"/>
      <w:bookmarkEnd w:id="12"/>
      <w:bookmarkEnd w:id="13"/>
      <w:bookmarkEnd w:id="14"/>
    </w:p>
    <w:p w14:paraId="3401F399">
      <w:pPr>
        <w:pageBreakBefore w:val="0"/>
        <w:widowControl w:val="0"/>
        <w:kinsoku/>
        <w:wordWrap/>
        <w:overflowPunct/>
        <w:topLinePunct w:val="0"/>
        <w:bidi w:val="0"/>
        <w:adjustRightInd/>
        <w:snapToGrid w:val="0"/>
        <w:spacing w:line="420" w:lineRule="exact"/>
        <w:ind w:firstLine="420" w:firstLineChars="200"/>
        <w:textAlignment w:val="auto"/>
        <w:rPr>
          <w:rFonts w:ascii="宋体" w:hAnsi="宋体" w:cs="宋体"/>
          <w:color w:val="auto"/>
          <w:szCs w:val="21"/>
        </w:rPr>
      </w:pPr>
      <w:r>
        <w:rPr>
          <w:rFonts w:hint="eastAsia" w:ascii="宋体" w:hAnsi="宋体" w:cs="宋体"/>
          <w:color w:val="auto"/>
          <w:szCs w:val="21"/>
        </w:rPr>
        <w:t>1.符合《中华人民共和国政府采购法》第二十二条规定</w:t>
      </w:r>
      <w:r>
        <w:rPr>
          <w:rFonts w:hint="eastAsia" w:ascii="宋体" w:hAnsi="宋体" w:cs="宋体"/>
          <w:color w:val="auto"/>
          <w:szCs w:val="21"/>
          <w:lang w:eastAsia="zh-CN"/>
        </w:rPr>
        <w:t>；</w:t>
      </w:r>
      <w:r>
        <w:rPr>
          <w:rFonts w:hint="eastAsia" w:ascii="宋体" w:hAnsi="宋体" w:cs="宋体"/>
          <w:color w:val="auto"/>
          <w:szCs w:val="21"/>
        </w:rPr>
        <w:t xml:space="preserve"> </w:t>
      </w:r>
    </w:p>
    <w:p w14:paraId="5507DF21">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2.落实政府采购政策需满足的资格要求：</w:t>
      </w:r>
      <w:r>
        <w:rPr>
          <w:rFonts w:hint="eastAsia" w:ascii="宋体" w:hAnsi="宋体" w:eastAsia="宋体" w:cs="Times New Roman"/>
          <w:color w:val="auto"/>
          <w:kern w:val="2"/>
          <w:sz w:val="21"/>
          <w:szCs w:val="21"/>
          <w:highlight w:val="none"/>
          <w:lang w:val="en-US" w:eastAsia="zh-CN" w:bidi="ar-SA"/>
        </w:rPr>
        <w:t>分标1：供应商为中小企业</w:t>
      </w:r>
      <w:r>
        <w:rPr>
          <w:rFonts w:hint="eastAsia" w:ascii="宋体" w:hAnsi="宋体" w:cs="宋体"/>
          <w:color w:val="auto"/>
          <w:szCs w:val="21"/>
          <w:lang w:eastAsia="zh-CN"/>
        </w:rPr>
        <w:t>；</w:t>
      </w:r>
    </w:p>
    <w:p w14:paraId="5B4DEA9F">
      <w:pPr>
        <w:pStyle w:val="9"/>
        <w:keepNext w:val="0"/>
        <w:keepLines w:val="0"/>
        <w:pageBreakBefore w:val="0"/>
        <w:widowControl w:val="0"/>
        <w:kinsoku/>
        <w:wordWrap/>
        <w:overflowPunct/>
        <w:topLinePunct w:val="0"/>
        <w:autoSpaceDE/>
        <w:autoSpaceDN/>
        <w:bidi w:val="0"/>
        <w:adjustRightInd/>
        <w:snapToGrid/>
        <w:spacing w:after="0" w:line="420" w:lineRule="exact"/>
        <w:ind w:firstLine="420" w:firstLineChars="200"/>
        <w:textAlignment w:val="auto"/>
        <w:rPr>
          <w:rFonts w:hint="eastAsia" w:hAnsi="宋体" w:cs="宋体"/>
          <w:color w:val="auto"/>
          <w:sz w:val="21"/>
          <w:szCs w:val="21"/>
        </w:rPr>
      </w:pPr>
      <w:bookmarkStart w:id="15" w:name="_Toc28359091"/>
      <w:bookmarkStart w:id="16" w:name="_Toc28359014"/>
      <w:r>
        <w:rPr>
          <w:rFonts w:hint="eastAsia" w:hAnsi="宋体" w:cs="宋体"/>
          <w:color w:val="auto"/>
          <w:sz w:val="21"/>
          <w:szCs w:val="21"/>
        </w:rPr>
        <w:t>3.本项目的特定资格要求：</w:t>
      </w:r>
    </w:p>
    <w:p w14:paraId="7CF47432">
      <w:pPr>
        <w:pStyle w:val="15"/>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hAnsi="宋体" w:cs="宋体"/>
          <w:color w:val="auto"/>
          <w:sz w:val="21"/>
          <w:szCs w:val="21"/>
          <w:lang w:val="en-US" w:eastAsia="zh-CN"/>
        </w:rPr>
      </w:pPr>
      <w:r>
        <w:rPr>
          <w:rFonts w:hint="eastAsia" w:ascii="宋体" w:hAnsi="宋体" w:eastAsia="宋体" w:cs="宋体"/>
          <w:color w:val="auto"/>
          <w:kern w:val="0"/>
          <w:sz w:val="21"/>
          <w:szCs w:val="21"/>
          <w:lang w:val="en-US" w:eastAsia="zh-CN" w:bidi="ar-SA"/>
        </w:rPr>
        <w:t xml:space="preserve">3.1 </w:t>
      </w:r>
      <w:r>
        <w:rPr>
          <w:rFonts w:hint="eastAsia" w:hAnsi="宋体" w:cs="宋体"/>
          <w:color w:val="auto"/>
          <w:sz w:val="21"/>
          <w:szCs w:val="21"/>
          <w:lang w:val="en-US" w:eastAsia="zh-CN"/>
        </w:rPr>
        <w:t>投标人须</w:t>
      </w:r>
      <w:r>
        <w:rPr>
          <w:rFonts w:hint="eastAsia" w:asciiTheme="minorEastAsia" w:hAnsiTheme="minorEastAsia" w:eastAsiaTheme="minorEastAsia" w:cstheme="minorEastAsia"/>
          <w:color w:val="auto"/>
          <w:sz w:val="21"/>
          <w:szCs w:val="21"/>
          <w:lang w:eastAsia="zh-CN"/>
        </w:rPr>
        <w:t>具备公路工程施工总承包三级（含三级）以上资质，</w:t>
      </w:r>
      <w:r>
        <w:rPr>
          <w:rFonts w:hint="eastAsia" w:hAnsi="宋体" w:cs="宋体"/>
          <w:color w:val="auto"/>
          <w:sz w:val="21"/>
          <w:szCs w:val="21"/>
          <w:lang w:val="en-US" w:eastAsia="zh-CN"/>
        </w:rPr>
        <w:t>在人员、设备、资金等方面具备相应的施工能力；</w:t>
      </w:r>
    </w:p>
    <w:p w14:paraId="704D6B27">
      <w:pPr>
        <w:pStyle w:val="15"/>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SA"/>
        </w:rPr>
        <w:t>3.2</w:t>
      </w:r>
      <w:r>
        <w:rPr>
          <w:rFonts w:hint="eastAsia" w:ascii="宋体" w:hAnsi="宋体" w:eastAsia="宋体" w:cs="宋体"/>
          <w:color w:val="auto"/>
          <w:sz w:val="21"/>
          <w:szCs w:val="21"/>
          <w:lang w:val="en-US" w:eastAsia="zh-CN"/>
        </w:rPr>
        <w:t>拟投入本工程的项目经理必须</w:t>
      </w:r>
      <w:r>
        <w:rPr>
          <w:rFonts w:hint="eastAsia" w:asciiTheme="minorEastAsia" w:hAnsiTheme="minorEastAsia" w:eastAsiaTheme="minorEastAsia" w:cstheme="minorEastAsia"/>
          <w:color w:val="auto"/>
          <w:sz w:val="21"/>
          <w:szCs w:val="21"/>
          <w:lang w:eastAsia="zh-CN"/>
        </w:rPr>
        <w:t>具备公路工程专业二级以上（含二级）注册建造师执业资格，且具备有效的安全生产考核合格证书（B类）</w:t>
      </w:r>
      <w:r>
        <w:rPr>
          <w:rFonts w:hint="eastAsia" w:ascii="宋体" w:hAnsi="宋体" w:eastAsia="宋体" w:cs="宋体"/>
          <w:color w:val="auto"/>
          <w:sz w:val="21"/>
          <w:szCs w:val="21"/>
          <w:lang w:val="en-US" w:eastAsia="zh-CN"/>
        </w:rPr>
        <w:t>。</w:t>
      </w:r>
    </w:p>
    <w:p w14:paraId="37F46747">
      <w:pPr>
        <w:pStyle w:val="3"/>
        <w:pageBreakBefore w:val="0"/>
        <w:widowControl w:val="0"/>
        <w:kinsoku/>
        <w:wordWrap/>
        <w:overflowPunct/>
        <w:topLinePunct w:val="0"/>
        <w:bidi w:val="0"/>
        <w:adjustRightInd/>
        <w:spacing w:line="420" w:lineRule="exact"/>
        <w:textAlignment w:val="auto"/>
        <w:outlineLvl w:val="0"/>
        <w:rPr>
          <w:rFonts w:hint="eastAsia" w:ascii="宋体" w:hAnsi="宋体" w:eastAsia="宋体" w:cs="宋体"/>
          <w:bCs w:val="0"/>
          <w:color w:val="auto"/>
          <w:sz w:val="21"/>
          <w:szCs w:val="21"/>
        </w:rPr>
      </w:pPr>
      <w:bookmarkStart w:id="17" w:name="_Toc13777"/>
      <w:bookmarkStart w:id="18" w:name="_Toc35393631"/>
      <w:bookmarkStart w:id="19" w:name="_Toc9125"/>
      <w:bookmarkStart w:id="20" w:name="_Toc35393800"/>
      <w:r>
        <w:rPr>
          <w:rFonts w:hint="eastAsia" w:ascii="宋体" w:hAnsi="宋体" w:eastAsia="宋体" w:cs="宋体"/>
          <w:bCs w:val="0"/>
          <w:color w:val="auto"/>
          <w:sz w:val="21"/>
          <w:szCs w:val="21"/>
        </w:rPr>
        <w:t>三、获取采购文件</w:t>
      </w:r>
      <w:bookmarkEnd w:id="15"/>
      <w:bookmarkEnd w:id="16"/>
      <w:bookmarkEnd w:id="17"/>
      <w:bookmarkEnd w:id="18"/>
      <w:bookmarkEnd w:id="19"/>
      <w:bookmarkEnd w:id="20"/>
    </w:p>
    <w:p w14:paraId="502A41D7">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zCs w:val="21"/>
          <w:u w:val="none"/>
          <w:lang w:eastAsia="zh-CN"/>
        </w:rPr>
      </w:pPr>
      <w:r>
        <w:rPr>
          <w:rFonts w:hint="eastAsia" w:ascii="宋体" w:hAnsi="宋体" w:cs="宋体"/>
          <w:color w:val="auto"/>
          <w:szCs w:val="21"/>
          <w:u w:val="none"/>
        </w:rPr>
        <w:t>时间：</w:t>
      </w:r>
      <w:r>
        <w:rPr>
          <w:rFonts w:hint="eastAsia" w:ascii="宋体" w:hAnsi="宋体" w:cs="宋体"/>
          <w:color w:val="auto"/>
          <w:szCs w:val="21"/>
          <w:u w:val="none"/>
          <w:lang w:eastAsia="zh-CN"/>
        </w:rPr>
        <w:t>2025年</w:t>
      </w:r>
      <w:r>
        <w:rPr>
          <w:rFonts w:hint="eastAsia" w:ascii="宋体" w:hAnsi="宋体" w:cs="宋体"/>
          <w:color w:val="auto"/>
          <w:szCs w:val="21"/>
          <w:u w:val="none"/>
          <w:lang w:val="en-US" w:eastAsia="zh-CN"/>
        </w:rPr>
        <w:t>4</w:t>
      </w:r>
      <w:r>
        <w:rPr>
          <w:rFonts w:hint="eastAsia" w:ascii="宋体" w:hAnsi="宋体" w:cs="宋体"/>
          <w:color w:val="auto"/>
          <w:szCs w:val="21"/>
          <w:u w:val="none"/>
        </w:rPr>
        <w:t>月</w:t>
      </w:r>
      <w:r>
        <w:rPr>
          <w:rFonts w:hint="eastAsia" w:ascii="宋体" w:hAnsi="宋体" w:cs="宋体"/>
          <w:color w:val="auto"/>
          <w:szCs w:val="21"/>
          <w:u w:val="none"/>
          <w:lang w:val="en-US" w:eastAsia="zh-CN"/>
        </w:rPr>
        <w:t>22</w:t>
      </w:r>
      <w:r>
        <w:rPr>
          <w:rFonts w:hint="eastAsia" w:ascii="宋体" w:hAnsi="宋体" w:cs="宋体"/>
          <w:color w:val="auto"/>
          <w:szCs w:val="21"/>
          <w:u w:val="none"/>
        </w:rPr>
        <w:t>日至</w:t>
      </w:r>
      <w:r>
        <w:rPr>
          <w:rFonts w:hint="eastAsia" w:ascii="宋体" w:hAnsi="宋体" w:cs="宋体"/>
          <w:color w:val="auto"/>
          <w:szCs w:val="21"/>
          <w:u w:val="none"/>
          <w:lang w:eastAsia="zh-CN"/>
        </w:rPr>
        <w:t>2025年</w:t>
      </w:r>
      <w:r>
        <w:rPr>
          <w:rFonts w:hint="eastAsia" w:ascii="宋体" w:hAnsi="宋体" w:cs="宋体"/>
          <w:color w:val="auto"/>
          <w:szCs w:val="21"/>
          <w:u w:val="none"/>
          <w:lang w:val="en-US" w:eastAsia="zh-CN"/>
        </w:rPr>
        <w:t>4</w:t>
      </w:r>
      <w:r>
        <w:rPr>
          <w:rFonts w:hint="eastAsia" w:ascii="宋体" w:hAnsi="宋体" w:cs="宋体"/>
          <w:color w:val="auto"/>
          <w:szCs w:val="21"/>
          <w:u w:val="none"/>
        </w:rPr>
        <w:t>月</w:t>
      </w:r>
      <w:r>
        <w:rPr>
          <w:rFonts w:hint="eastAsia" w:ascii="宋体" w:hAnsi="宋体" w:cs="宋体"/>
          <w:color w:val="auto"/>
          <w:szCs w:val="21"/>
          <w:u w:val="none"/>
          <w:lang w:val="en-US" w:eastAsia="zh-CN"/>
        </w:rPr>
        <w:t>29</w:t>
      </w:r>
      <w:r>
        <w:rPr>
          <w:rFonts w:hint="eastAsia" w:ascii="宋体" w:hAnsi="宋体" w:cs="宋体"/>
          <w:color w:val="auto"/>
          <w:szCs w:val="21"/>
          <w:u w:val="none"/>
        </w:rPr>
        <w:t>日，每天上午8:00至12:00，下午</w:t>
      </w:r>
      <w:r>
        <w:rPr>
          <w:rFonts w:hint="eastAsia" w:ascii="宋体" w:hAnsi="宋体" w:cs="宋体"/>
          <w:color w:val="auto"/>
          <w:szCs w:val="21"/>
          <w:u w:val="none"/>
          <w:lang w:val="en-US" w:eastAsia="zh-CN"/>
        </w:rPr>
        <w:t>12</w:t>
      </w:r>
      <w:r>
        <w:rPr>
          <w:rFonts w:hint="eastAsia" w:ascii="宋体" w:hAnsi="宋体" w:cs="宋体"/>
          <w:color w:val="auto"/>
          <w:szCs w:val="21"/>
          <w:u w:val="none"/>
        </w:rPr>
        <w:t>:00至</w:t>
      </w:r>
      <w:r>
        <w:rPr>
          <w:rFonts w:hint="eastAsia" w:ascii="宋体" w:hAnsi="宋体" w:cs="宋体"/>
          <w:color w:val="auto"/>
          <w:szCs w:val="21"/>
          <w:u w:val="none"/>
          <w:lang w:val="en-US" w:eastAsia="zh-CN"/>
        </w:rPr>
        <w:t>23</w:t>
      </w:r>
      <w:r>
        <w:rPr>
          <w:rFonts w:hint="eastAsia" w:ascii="宋体" w:hAnsi="宋体" w:cs="宋体"/>
          <w:color w:val="auto"/>
          <w:szCs w:val="21"/>
          <w:u w:val="none"/>
        </w:rPr>
        <w:t>:</w:t>
      </w:r>
      <w:r>
        <w:rPr>
          <w:rFonts w:hint="eastAsia" w:ascii="宋体" w:hAnsi="宋体" w:cs="宋体"/>
          <w:color w:val="auto"/>
          <w:szCs w:val="21"/>
          <w:u w:val="none"/>
          <w:lang w:val="en-US" w:eastAsia="zh-CN"/>
        </w:rPr>
        <w:t>59</w:t>
      </w:r>
      <w:r>
        <w:rPr>
          <w:rFonts w:hint="eastAsia" w:ascii="宋体" w:hAnsi="宋体" w:cs="宋体"/>
          <w:color w:val="auto"/>
          <w:szCs w:val="21"/>
          <w:u w:val="none"/>
        </w:rPr>
        <w:t>（北京时间，法定节假日除外）</w:t>
      </w:r>
      <w:r>
        <w:rPr>
          <w:rFonts w:hint="eastAsia" w:ascii="宋体" w:hAnsi="宋体" w:cs="宋体"/>
          <w:color w:val="auto"/>
          <w:szCs w:val="21"/>
          <w:u w:val="none"/>
          <w:lang w:eastAsia="zh-CN"/>
        </w:rPr>
        <w:t>。</w:t>
      </w:r>
    </w:p>
    <w:p w14:paraId="7C408361">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hint="eastAsia" w:ascii="宋体" w:hAnsi="宋体" w:eastAsia="宋体" w:cs="宋体"/>
          <w:iCs/>
          <w:color w:val="auto"/>
          <w:spacing w:val="0"/>
          <w:sz w:val="21"/>
          <w:szCs w:val="21"/>
          <w:u w:val="none"/>
          <w:lang w:eastAsia="zh-CN"/>
        </w:rPr>
      </w:pPr>
      <w:r>
        <w:rPr>
          <w:rFonts w:hint="eastAsia" w:ascii="宋体" w:hAnsi="宋体" w:eastAsia="宋体" w:cs="宋体"/>
          <w:color w:val="auto"/>
          <w:spacing w:val="0"/>
          <w:sz w:val="21"/>
          <w:szCs w:val="21"/>
          <w:u w:val="none"/>
        </w:rPr>
        <w:t>地</w:t>
      </w:r>
      <w:r>
        <w:rPr>
          <w:rFonts w:hint="eastAsia" w:ascii="宋体" w:hAnsi="宋体" w:cs="宋体"/>
          <w:color w:val="auto"/>
          <w:spacing w:val="0"/>
          <w:sz w:val="21"/>
          <w:szCs w:val="21"/>
          <w:u w:val="none"/>
          <w:lang w:eastAsia="zh-CN"/>
        </w:rPr>
        <w:t>点</w:t>
      </w:r>
      <w:r>
        <w:rPr>
          <w:rFonts w:hint="eastAsia" w:ascii="宋体" w:hAnsi="宋体" w:eastAsia="宋体" w:cs="宋体"/>
          <w:color w:val="auto"/>
          <w:spacing w:val="0"/>
          <w:sz w:val="21"/>
          <w:szCs w:val="21"/>
          <w:u w:val="none"/>
          <w:lang w:val="en-US" w:eastAsia="zh-CN"/>
        </w:rPr>
        <w:t>：</w:t>
      </w:r>
      <w:r>
        <w:rPr>
          <w:rFonts w:hint="eastAsia" w:ascii="宋体" w:hAnsi="宋体" w:eastAsia="宋体" w:cs="宋体"/>
          <w:color w:val="auto"/>
          <w:kern w:val="0"/>
          <w:szCs w:val="21"/>
          <w:highlight w:val="none"/>
        </w:rPr>
        <w:t>广西政府采购云平台线上获取</w:t>
      </w:r>
    </w:p>
    <w:p w14:paraId="5318E52B">
      <w:pPr>
        <w:keepNext w:val="0"/>
        <w:keepLines w:val="0"/>
        <w:pageBreakBefore w:val="0"/>
        <w:widowControl w:val="0"/>
        <w:kinsoku/>
        <w:wordWrap/>
        <w:overflowPunct/>
        <w:topLinePunct w:val="0"/>
        <w:autoSpaceDE/>
        <w:autoSpaceDN/>
        <w:bidi w:val="0"/>
        <w:adjustRightInd/>
        <w:snapToGrid w:val="0"/>
        <w:spacing w:line="420" w:lineRule="exact"/>
        <w:ind w:left="0" w:leftChars="0" w:firstLine="367" w:firstLineChars="175"/>
        <w:textAlignment w:val="auto"/>
        <w:rPr>
          <w:rFonts w:hint="eastAsia" w:ascii="宋体" w:hAnsi="宋体"/>
          <w:color w:val="auto"/>
          <w:szCs w:val="21"/>
          <w:lang w:eastAsia="zh-CN"/>
        </w:rPr>
      </w:pPr>
      <w:r>
        <w:rPr>
          <w:rFonts w:hint="eastAsia" w:ascii="宋体" w:hAnsi="宋体"/>
          <w:color w:val="auto"/>
          <w:szCs w:val="21"/>
        </w:rPr>
        <w:t>方式</w:t>
      </w:r>
      <w:r>
        <w:rPr>
          <w:rFonts w:hint="eastAsia" w:ascii="宋体" w:hAnsi="宋体"/>
          <w:color w:val="auto"/>
          <w:szCs w:val="21"/>
          <w:lang w:eastAsia="zh-CN"/>
        </w:rPr>
        <w:t>：供应商登录广西政府采购云平台（https://www.gcy.zfcg.gxzf.gov.cn/）在线申请获取采购文件（进入“项目采购”应用，在获取采购文件菜单中选择项目，申请获取采购文件）。</w:t>
      </w:r>
    </w:p>
    <w:p w14:paraId="0BB174BA">
      <w:pPr>
        <w:pStyle w:val="33"/>
        <w:ind w:firstLine="260" w:firstLineChars="100"/>
        <w:rPr>
          <w:color w:val="auto"/>
        </w:rPr>
      </w:pPr>
      <w:r>
        <w:rPr>
          <w:rFonts w:hint="eastAsia" w:ascii="宋体" w:hAnsi="宋体" w:cs="宋体"/>
          <w:bCs/>
          <w:color w:val="auto"/>
          <w:kern w:val="0"/>
          <w:szCs w:val="21"/>
          <w:highlight w:val="none"/>
        </w:rPr>
        <w:t>售价（元）：0。</w:t>
      </w:r>
    </w:p>
    <w:p w14:paraId="4A66C0E5">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rPr>
      </w:pPr>
      <w:bookmarkStart w:id="21" w:name="_Toc35393801"/>
      <w:bookmarkStart w:id="22" w:name="_Toc28359092"/>
      <w:bookmarkStart w:id="23" w:name="_Toc35393632"/>
      <w:bookmarkStart w:id="24" w:name="_Toc28970"/>
      <w:bookmarkStart w:id="25" w:name="_Toc28359015"/>
      <w:bookmarkStart w:id="26" w:name="_Toc18110"/>
      <w:r>
        <w:rPr>
          <w:rFonts w:hint="eastAsia" w:ascii="宋体" w:hAnsi="宋体" w:eastAsia="宋体" w:cs="宋体"/>
          <w:bCs w:val="0"/>
          <w:color w:val="auto"/>
          <w:sz w:val="21"/>
          <w:szCs w:val="21"/>
        </w:rPr>
        <w:t>四、响应文件提交</w:t>
      </w:r>
      <w:bookmarkEnd w:id="21"/>
      <w:bookmarkEnd w:id="22"/>
      <w:bookmarkEnd w:id="23"/>
      <w:bookmarkEnd w:id="24"/>
      <w:bookmarkEnd w:id="25"/>
      <w:bookmarkEnd w:id="26"/>
    </w:p>
    <w:p w14:paraId="158DB1E1">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hint="eastAsia" w:ascii="宋体" w:hAnsi="宋体" w:eastAsia="宋体" w:cs="宋体"/>
          <w:color w:val="auto"/>
          <w:szCs w:val="21"/>
          <w:u w:val="none"/>
          <w:lang w:eastAsia="zh-CN"/>
        </w:rPr>
      </w:pPr>
      <w:r>
        <w:rPr>
          <w:rFonts w:hint="eastAsia" w:ascii="宋体" w:hAnsi="宋体"/>
          <w:bCs/>
          <w:color w:val="auto"/>
          <w:szCs w:val="21"/>
          <w:u w:val="none"/>
        </w:rPr>
        <w:t>截止时间：</w:t>
      </w:r>
      <w:r>
        <w:rPr>
          <w:rFonts w:hint="eastAsia" w:ascii="宋体" w:hAnsi="宋体" w:eastAsia="宋体" w:cs="Times New Roman"/>
          <w:color w:val="auto"/>
          <w:szCs w:val="21"/>
          <w:highlight w:val="none"/>
          <w:lang w:eastAsia="zh-CN"/>
        </w:rPr>
        <w:t>2025</w:t>
      </w:r>
      <w:r>
        <w:rPr>
          <w:rFonts w:hint="eastAsia" w:ascii="宋体" w:hAnsi="宋体" w:eastAsia="宋体" w:cs="Times New Roman"/>
          <w:color w:val="auto"/>
          <w:szCs w:val="21"/>
          <w:highlight w:val="none"/>
        </w:rPr>
        <w:t>年</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月</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lang w:val="en-US" w:eastAsia="zh-CN"/>
        </w:rPr>
        <w:t xml:space="preserve"> 9 ：30 </w:t>
      </w:r>
      <w:r>
        <w:rPr>
          <w:rFonts w:hint="eastAsia" w:ascii="宋体" w:hAnsi="宋体"/>
          <w:bCs/>
          <w:color w:val="auto"/>
          <w:szCs w:val="21"/>
          <w:u w:val="none"/>
        </w:rPr>
        <w:t>（北京时间）</w:t>
      </w:r>
    </w:p>
    <w:p w14:paraId="08D63CEF">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ascii="宋体" w:hAnsi="宋体" w:cs="宋体"/>
          <w:bCs/>
          <w:color w:val="auto"/>
          <w:szCs w:val="21"/>
          <w:u w:val="none"/>
        </w:rPr>
      </w:pPr>
      <w:r>
        <w:rPr>
          <w:rFonts w:hint="eastAsia" w:ascii="宋体" w:hAnsi="宋体"/>
          <w:color w:val="auto"/>
          <w:szCs w:val="21"/>
          <w:highlight w:val="none"/>
        </w:rPr>
        <w:t>地点：</w:t>
      </w:r>
      <w:r>
        <w:rPr>
          <w:rFonts w:hint="eastAsia" w:ascii="宋体" w:hAnsi="宋体" w:eastAsia="宋体" w:cs="Times New Roman"/>
          <w:color w:val="auto"/>
          <w:szCs w:val="21"/>
          <w:highlight w:val="none"/>
        </w:rPr>
        <w:t>请登录广西政府采购云平台投标客户端投标</w:t>
      </w:r>
    </w:p>
    <w:p w14:paraId="150EDAE9">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u w:val="none"/>
        </w:rPr>
      </w:pPr>
      <w:bookmarkStart w:id="27" w:name="_Toc35393633"/>
      <w:bookmarkStart w:id="28" w:name="_Toc35393802"/>
      <w:bookmarkStart w:id="29" w:name="_Toc28359093"/>
      <w:bookmarkStart w:id="30" w:name="_Toc24973"/>
      <w:bookmarkStart w:id="31" w:name="_Toc3197"/>
      <w:bookmarkStart w:id="32" w:name="_Toc28359016"/>
      <w:r>
        <w:rPr>
          <w:rFonts w:hint="eastAsia" w:ascii="宋体" w:hAnsi="宋体" w:eastAsia="宋体" w:cs="宋体"/>
          <w:bCs w:val="0"/>
          <w:color w:val="auto"/>
          <w:sz w:val="21"/>
          <w:szCs w:val="21"/>
          <w:u w:val="none"/>
        </w:rPr>
        <w:t>五、响应文件开启</w:t>
      </w:r>
      <w:bookmarkEnd w:id="27"/>
      <w:bookmarkEnd w:id="28"/>
      <w:bookmarkEnd w:id="29"/>
      <w:bookmarkEnd w:id="30"/>
      <w:bookmarkEnd w:id="31"/>
      <w:bookmarkEnd w:id="32"/>
    </w:p>
    <w:p w14:paraId="0E676CC8">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hint="eastAsia" w:ascii="宋体" w:hAnsi="宋体" w:eastAsia="宋体"/>
          <w:bCs/>
          <w:color w:val="auto"/>
          <w:szCs w:val="21"/>
          <w:u w:val="none"/>
          <w:lang w:eastAsia="zh-CN"/>
        </w:rPr>
      </w:pPr>
      <w:r>
        <w:rPr>
          <w:rFonts w:hint="eastAsia" w:ascii="宋体" w:hAnsi="宋体"/>
          <w:bCs/>
          <w:color w:val="auto"/>
          <w:szCs w:val="21"/>
          <w:u w:val="none"/>
        </w:rPr>
        <w:t>开启时间：</w:t>
      </w:r>
      <w:r>
        <w:rPr>
          <w:rFonts w:hint="eastAsia" w:ascii="宋体" w:hAnsi="宋体" w:eastAsia="宋体" w:cs="Times New Roman"/>
          <w:color w:val="auto"/>
          <w:szCs w:val="21"/>
          <w:highlight w:val="none"/>
          <w:lang w:eastAsia="zh-CN"/>
        </w:rPr>
        <w:t>2025年</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月</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eastAsia="zh-CN"/>
        </w:rPr>
        <w:t>日</w:t>
      </w:r>
      <w:r>
        <w:rPr>
          <w:rFonts w:hint="eastAsia" w:ascii="宋体" w:hAnsi="宋体" w:eastAsia="宋体" w:cs="Times New Roman"/>
          <w:color w:val="auto"/>
          <w:szCs w:val="21"/>
          <w:highlight w:val="none"/>
          <w:lang w:val="en-US" w:eastAsia="zh-CN"/>
        </w:rPr>
        <w:t xml:space="preserve"> 9 ：30 </w:t>
      </w:r>
      <w:r>
        <w:rPr>
          <w:rFonts w:hint="eastAsia" w:ascii="宋体" w:hAnsi="宋体"/>
          <w:bCs/>
          <w:color w:val="auto"/>
          <w:szCs w:val="21"/>
          <w:u w:val="none"/>
        </w:rPr>
        <w:t>（北京时间）</w:t>
      </w:r>
    </w:p>
    <w:p w14:paraId="7012F03E">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bCs/>
          <w:color w:val="auto"/>
          <w:szCs w:val="21"/>
          <w:u w:val="none"/>
          <w:lang w:eastAsia="zh-CN"/>
        </w:rPr>
      </w:pPr>
      <w:r>
        <w:rPr>
          <w:rFonts w:hint="eastAsia" w:ascii="宋体" w:hAnsi="宋体"/>
          <w:bCs/>
          <w:color w:val="auto"/>
          <w:szCs w:val="21"/>
          <w:u w:val="none"/>
        </w:rPr>
        <w:t>地点：</w:t>
      </w:r>
      <w:r>
        <w:rPr>
          <w:rFonts w:hint="eastAsia" w:ascii="宋体" w:hAnsi="宋体" w:eastAsia="宋体" w:cs="Times New Roman"/>
          <w:color w:val="auto"/>
          <w:szCs w:val="21"/>
          <w:highlight w:val="none"/>
        </w:rPr>
        <w:t>广西政府采购云平台在线解密</w:t>
      </w:r>
      <w:r>
        <w:rPr>
          <w:rFonts w:hint="eastAsia" w:ascii="宋体" w:hAnsi="宋体"/>
          <w:bCs/>
          <w:color w:val="auto"/>
          <w:szCs w:val="21"/>
          <w:u w:val="none"/>
        </w:rPr>
        <w:t> </w:t>
      </w:r>
    </w:p>
    <w:p w14:paraId="6FBB8D8E">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u w:val="none"/>
        </w:rPr>
      </w:pPr>
      <w:bookmarkStart w:id="33" w:name="_Toc28359017"/>
      <w:bookmarkStart w:id="34" w:name="_Toc17419"/>
      <w:bookmarkStart w:id="35" w:name="_Toc35393803"/>
      <w:bookmarkStart w:id="36" w:name="_Toc5452"/>
      <w:bookmarkStart w:id="37" w:name="_Toc28359094"/>
      <w:bookmarkStart w:id="38" w:name="_Toc35393634"/>
      <w:r>
        <w:rPr>
          <w:rFonts w:hint="eastAsia" w:ascii="宋体" w:hAnsi="宋体" w:eastAsia="宋体" w:cs="宋体"/>
          <w:bCs w:val="0"/>
          <w:color w:val="auto"/>
          <w:sz w:val="21"/>
          <w:szCs w:val="21"/>
          <w:u w:val="none"/>
        </w:rPr>
        <w:t>六、公告期限</w:t>
      </w:r>
      <w:bookmarkEnd w:id="33"/>
      <w:bookmarkEnd w:id="34"/>
      <w:bookmarkEnd w:id="35"/>
      <w:bookmarkEnd w:id="36"/>
      <w:bookmarkEnd w:id="37"/>
      <w:bookmarkEnd w:id="38"/>
    </w:p>
    <w:p w14:paraId="729BB605">
      <w:pPr>
        <w:pageBreakBefore w:val="0"/>
        <w:widowControl w:val="0"/>
        <w:kinsoku/>
        <w:wordWrap/>
        <w:overflowPunct/>
        <w:topLinePunct w:val="0"/>
        <w:bidi w:val="0"/>
        <w:adjustRightInd/>
        <w:spacing w:line="420" w:lineRule="exact"/>
        <w:ind w:firstLine="420" w:firstLineChars="200"/>
        <w:textAlignment w:val="auto"/>
        <w:rPr>
          <w:rFonts w:ascii="宋体" w:hAnsi="宋体" w:cs="宋体"/>
          <w:color w:val="auto"/>
          <w:szCs w:val="21"/>
        </w:rPr>
      </w:pPr>
      <w:r>
        <w:rPr>
          <w:rFonts w:hint="eastAsia" w:ascii="宋体" w:hAnsi="宋体" w:cs="宋体"/>
          <w:color w:val="auto"/>
          <w:szCs w:val="21"/>
        </w:rPr>
        <w:t>自本公告发布之日起5个工作日。</w:t>
      </w:r>
    </w:p>
    <w:p w14:paraId="2227D9DB">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rPr>
      </w:pPr>
      <w:bookmarkStart w:id="39" w:name="_Toc321"/>
      <w:bookmarkStart w:id="40" w:name="_Toc26297"/>
      <w:bookmarkStart w:id="41" w:name="_Toc35393635"/>
      <w:bookmarkStart w:id="42" w:name="_Toc35393804"/>
      <w:r>
        <w:rPr>
          <w:rFonts w:hint="eastAsia" w:ascii="宋体" w:hAnsi="宋体" w:eastAsia="宋体" w:cs="宋体"/>
          <w:bCs w:val="0"/>
          <w:color w:val="auto"/>
          <w:sz w:val="21"/>
          <w:szCs w:val="21"/>
        </w:rPr>
        <w:t>七、其他补充事宜</w:t>
      </w:r>
      <w:bookmarkEnd w:id="39"/>
      <w:bookmarkEnd w:id="40"/>
      <w:bookmarkEnd w:id="41"/>
      <w:bookmarkEnd w:id="42"/>
    </w:p>
    <w:p w14:paraId="30E8826F">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olor w:val="auto"/>
          <w:szCs w:val="21"/>
          <w:u w:val="none"/>
        </w:rPr>
      </w:pPr>
      <w:bookmarkStart w:id="43" w:name="_Toc35393636"/>
      <w:bookmarkStart w:id="44" w:name="_Toc35393805"/>
      <w:bookmarkStart w:id="45" w:name="_Toc28359095"/>
      <w:bookmarkStart w:id="46" w:name="_Toc28359018"/>
      <w:r>
        <w:rPr>
          <w:rFonts w:hint="eastAsia" w:ascii="宋体" w:hAnsi="宋体" w:cs="宋体"/>
          <w:b w:val="0"/>
          <w:bCs w:val="0"/>
          <w:color w:val="auto"/>
          <w:szCs w:val="21"/>
          <w:lang w:val="en-US" w:eastAsia="zh-CN"/>
        </w:rPr>
        <w:t>1</w:t>
      </w:r>
      <w:r>
        <w:rPr>
          <w:rFonts w:hint="eastAsia" w:ascii="宋体" w:hAnsi="宋体" w:cs="宋体"/>
          <w:b w:val="0"/>
          <w:bCs w:val="0"/>
          <w:color w:val="auto"/>
          <w:szCs w:val="21"/>
        </w:rPr>
        <w:t>.</w:t>
      </w:r>
      <w:r>
        <w:rPr>
          <w:rFonts w:hint="eastAsia" w:hAnsi="宋体"/>
          <w:b w:val="0"/>
          <w:bCs w:val="0"/>
          <w:color w:val="auto"/>
        </w:rPr>
        <w:t>网上公告媒体查询：</w:t>
      </w:r>
      <w:r>
        <w:rPr>
          <w:rFonts w:hint="eastAsia" w:ascii="宋体" w:hAnsi="宋体"/>
          <w:color w:val="auto"/>
          <w:szCs w:val="21"/>
        </w:rPr>
        <w:t>广西壮族自治区政府采购网</w:t>
      </w:r>
      <w:r>
        <w:rPr>
          <w:rFonts w:hint="eastAsia" w:ascii="宋体" w:hAnsi="宋体"/>
          <w:color w:val="auto"/>
          <w:szCs w:val="21"/>
          <w:lang w:eastAsia="zh-CN"/>
        </w:rPr>
        <w:t>、</w:t>
      </w:r>
      <w:r>
        <w:rPr>
          <w:rFonts w:hint="eastAsia" w:ascii="宋体" w:hAnsi="宋体"/>
          <w:color w:val="auto"/>
          <w:szCs w:val="21"/>
          <w:u w:val="none"/>
        </w:rPr>
        <w:fldChar w:fldCharType="begin"/>
      </w:r>
      <w:r>
        <w:rPr>
          <w:rFonts w:hint="eastAsia" w:ascii="宋体" w:hAnsi="宋体"/>
          <w:color w:val="auto"/>
          <w:szCs w:val="21"/>
          <w:u w:val="none"/>
        </w:rPr>
        <w:instrText xml:space="preserve"> HYPERLINK "http://www.chinabidding.com.cn/（中国采购与招标网）" </w:instrText>
      </w:r>
      <w:r>
        <w:rPr>
          <w:rFonts w:hint="eastAsia" w:ascii="宋体" w:hAnsi="宋体"/>
          <w:color w:val="auto"/>
          <w:szCs w:val="21"/>
          <w:u w:val="none"/>
        </w:rPr>
        <w:fldChar w:fldCharType="separate"/>
      </w:r>
      <w:r>
        <w:rPr>
          <w:rStyle w:val="30"/>
          <w:rFonts w:hint="eastAsia" w:ascii="宋体" w:hAnsi="宋体"/>
          <w:color w:val="auto"/>
          <w:szCs w:val="21"/>
          <w:u w:val="none"/>
          <w:lang w:eastAsia="zh-CN"/>
        </w:rPr>
        <w:t>中国政府采购网</w:t>
      </w:r>
      <w:r>
        <w:rPr>
          <w:rFonts w:hint="eastAsia" w:ascii="宋体" w:hAnsi="宋体"/>
          <w:color w:val="auto"/>
          <w:szCs w:val="21"/>
          <w:u w:val="none"/>
        </w:rPr>
        <w:fldChar w:fldCharType="end"/>
      </w:r>
    </w:p>
    <w:p w14:paraId="6810F349">
      <w:pPr>
        <w:pageBreakBefore w:val="0"/>
        <w:widowControl w:val="0"/>
        <w:kinsoku/>
        <w:wordWrap/>
        <w:overflowPunct/>
        <w:topLinePunct w:val="0"/>
        <w:bidi w:val="0"/>
        <w:adjustRightInd/>
        <w:spacing w:line="420" w:lineRule="exact"/>
        <w:ind w:firstLine="420" w:firstLineChars="200"/>
        <w:textAlignment w:val="auto"/>
        <w:rPr>
          <w:rFonts w:hint="eastAsia" w:hAnsi="宋体" w:eastAsia="宋体"/>
          <w:b w:val="0"/>
          <w:bCs w:val="0"/>
          <w:color w:val="auto"/>
          <w:lang w:val="en-US" w:eastAsia="zh-CN"/>
        </w:rPr>
      </w:pPr>
      <w:r>
        <w:rPr>
          <w:rFonts w:hint="eastAsia" w:ascii="宋体" w:hAnsi="宋体" w:cs="宋体"/>
          <w:b w:val="0"/>
          <w:bCs w:val="0"/>
          <w:color w:val="auto"/>
          <w:szCs w:val="21"/>
          <w:lang w:val="en-US" w:eastAsia="zh-CN"/>
        </w:rPr>
        <w:t>2.磋商保证金：9000元</w:t>
      </w:r>
    </w:p>
    <w:p w14:paraId="0CB3054F">
      <w:pPr>
        <w:pageBreakBefore w:val="0"/>
        <w:widowControl w:val="0"/>
        <w:kinsoku/>
        <w:wordWrap/>
        <w:overflowPunct/>
        <w:topLinePunct w:val="0"/>
        <w:bidi w:val="0"/>
        <w:adjustRightInd/>
        <w:spacing w:line="420" w:lineRule="exact"/>
        <w:ind w:firstLine="420" w:firstLineChars="200"/>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lang w:val="en-US" w:eastAsia="zh-CN"/>
        </w:rPr>
        <w:t>3.供应商竞</w:t>
      </w:r>
      <w:r>
        <w:rPr>
          <w:rFonts w:hint="eastAsia" w:asciiTheme="minorEastAsia" w:hAnsiTheme="minorEastAsia" w:eastAsiaTheme="minorEastAsia" w:cstheme="minorEastAsia"/>
          <w:color w:val="auto"/>
          <w:kern w:val="0"/>
          <w:sz w:val="21"/>
          <w:szCs w:val="21"/>
          <w:highlight w:val="none"/>
        </w:rPr>
        <w:t>标注意事项</w:t>
      </w:r>
      <w:r>
        <w:rPr>
          <w:rFonts w:hint="eastAsia" w:asciiTheme="minorEastAsia" w:hAnsiTheme="minorEastAsia" w:eastAsiaTheme="minorEastAsia" w:cstheme="minorEastAsia"/>
          <w:color w:val="auto"/>
          <w:kern w:val="0"/>
          <w:sz w:val="21"/>
          <w:szCs w:val="21"/>
          <w:highlight w:val="none"/>
          <w:lang w:val="en-US" w:eastAsia="zh-CN"/>
        </w:rPr>
        <w:t xml:space="preserve">                                                                                             </w:t>
      </w:r>
    </w:p>
    <w:p w14:paraId="5B2C979A">
      <w:pPr>
        <w:pageBreakBefore w:val="0"/>
        <w:widowControl w:val="0"/>
        <w:kinsoku/>
        <w:wordWrap/>
        <w:overflowPunct/>
        <w:topLinePunct w:val="0"/>
        <w:bidi w:val="0"/>
        <w:adjustRightInd/>
        <w:spacing w:line="440" w:lineRule="exact"/>
        <w:ind w:firstLine="315" w:firstLineChars="150"/>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本项目为全流程电子化采购项目，通过</w:t>
      </w:r>
      <w:r>
        <w:rPr>
          <w:rFonts w:hint="eastAsia" w:ascii="宋体" w:hAnsi="宋体"/>
          <w:color w:val="auto"/>
          <w:szCs w:val="21"/>
          <w:u w:val="none"/>
          <w:lang w:eastAsia="zh-CN"/>
        </w:rPr>
        <w:t>“</w:t>
      </w:r>
      <w:r>
        <w:rPr>
          <w:rFonts w:hint="eastAsia" w:ascii="宋体" w:hAnsi="宋体"/>
          <w:color w:val="auto"/>
          <w:szCs w:val="21"/>
          <w:lang w:eastAsia="zh-CN"/>
        </w:rPr>
        <w:t>广西政府采购云平台</w:t>
      </w:r>
      <w:r>
        <w:rPr>
          <w:rFonts w:hint="eastAsia" w:ascii="宋体" w:hAnsi="宋体"/>
          <w:color w:val="auto"/>
          <w:szCs w:val="21"/>
          <w:u w:val="none"/>
          <w:lang w:eastAsia="zh-CN"/>
        </w:rPr>
        <w:t>”（</w:t>
      </w:r>
      <w:r>
        <w:rPr>
          <w:rFonts w:hint="eastAsia" w:ascii="宋体" w:hAnsi="宋体"/>
          <w:color w:val="auto"/>
          <w:szCs w:val="21"/>
          <w:lang w:eastAsia="zh-CN"/>
        </w:rPr>
        <w:t>https://www.gcy.zfcg.gxzf.gov.cn/</w:t>
      </w:r>
      <w:r>
        <w:rPr>
          <w:rFonts w:hint="eastAsia" w:ascii="宋体" w:hAnsi="宋体"/>
          <w:color w:val="auto"/>
          <w:szCs w:val="21"/>
          <w:u w:val="none"/>
          <w:lang w:eastAsia="zh-CN"/>
        </w:rPr>
        <w:t>）</w:t>
      </w:r>
      <w:r>
        <w:rPr>
          <w:rFonts w:hint="eastAsia" w:ascii="宋体" w:hAnsi="宋体" w:eastAsia="宋体" w:cs="宋体"/>
          <w:color w:val="auto"/>
          <w:kern w:val="0"/>
          <w:sz w:val="21"/>
          <w:szCs w:val="21"/>
          <w:highlight w:val="none"/>
        </w:rPr>
        <w:t>实行在线电子</w:t>
      </w:r>
      <w:r>
        <w:rPr>
          <w:rFonts w:hint="eastAsia" w:ascii="宋体" w:hAnsi="宋体" w:eastAsia="宋体" w:cs="宋体"/>
          <w:color w:val="auto"/>
          <w:kern w:val="0"/>
          <w:sz w:val="21"/>
          <w:szCs w:val="21"/>
          <w:highlight w:val="none"/>
          <w:lang w:eastAsia="zh-CN"/>
        </w:rPr>
        <w:t>竞</w:t>
      </w:r>
      <w:r>
        <w:rPr>
          <w:rFonts w:hint="eastAsia" w:ascii="宋体" w:hAnsi="宋体" w:eastAsia="宋体" w:cs="宋体"/>
          <w:color w:val="auto"/>
          <w:kern w:val="0"/>
          <w:sz w:val="21"/>
          <w:szCs w:val="21"/>
          <w:highlight w:val="none"/>
        </w:rPr>
        <w:t>标，</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应先安装“广西政府采购云平台新版客户端”（新版客户端下载路径：请自行前往广西政府采购网（访问地址http://zfcg.gxzf.gov.cn/）—办事服务—下载专区），并按照本项目</w:t>
      </w:r>
      <w:r>
        <w:rPr>
          <w:rFonts w:hint="eastAsia" w:ascii="宋体" w:hAnsi="宋体" w:eastAsia="宋体" w:cs="宋体"/>
          <w:color w:val="auto"/>
          <w:kern w:val="0"/>
          <w:sz w:val="21"/>
          <w:szCs w:val="21"/>
          <w:highlight w:val="none"/>
          <w:lang w:eastAsia="zh-CN"/>
        </w:rPr>
        <w:t>竞争性磋商</w:t>
      </w:r>
      <w:r>
        <w:rPr>
          <w:rFonts w:hint="eastAsia" w:ascii="宋体" w:hAnsi="宋体" w:eastAsia="宋体" w:cs="宋体"/>
          <w:color w:val="auto"/>
          <w:kern w:val="0"/>
          <w:sz w:val="21"/>
          <w:szCs w:val="21"/>
          <w:highlight w:val="none"/>
        </w:rPr>
        <w:t>文件和“</w:t>
      </w:r>
      <w:r>
        <w:rPr>
          <w:rFonts w:hint="eastAsia" w:ascii="宋体" w:hAnsi="宋体"/>
          <w:color w:val="auto"/>
          <w:szCs w:val="21"/>
          <w:lang w:eastAsia="zh-CN"/>
        </w:rPr>
        <w:t>广西政府采购云平台</w:t>
      </w:r>
      <w:r>
        <w:rPr>
          <w:rFonts w:hint="eastAsia" w:ascii="宋体" w:hAnsi="宋体" w:eastAsia="宋体" w:cs="宋体"/>
          <w:color w:val="auto"/>
          <w:kern w:val="0"/>
          <w:sz w:val="21"/>
          <w:szCs w:val="21"/>
          <w:highlight w:val="none"/>
        </w:rPr>
        <w:t>”的要求编制、加密后在</w:t>
      </w:r>
      <w:r>
        <w:rPr>
          <w:rFonts w:hint="eastAsia" w:ascii="宋体" w:hAnsi="宋体" w:eastAsia="宋体" w:cs="宋体"/>
          <w:color w:val="auto"/>
          <w:kern w:val="0"/>
          <w:sz w:val="21"/>
          <w:szCs w:val="21"/>
          <w:highlight w:val="none"/>
          <w:lang w:eastAsia="zh-CN"/>
        </w:rPr>
        <w:t>竞</w:t>
      </w:r>
      <w:r>
        <w:rPr>
          <w:rFonts w:hint="eastAsia" w:ascii="宋体" w:hAnsi="宋体" w:eastAsia="宋体" w:cs="宋体"/>
          <w:color w:val="auto"/>
          <w:kern w:val="0"/>
          <w:sz w:val="21"/>
          <w:szCs w:val="21"/>
          <w:highlight w:val="none"/>
        </w:rPr>
        <w:t>标截止时间前通过网络上传至 “</w:t>
      </w:r>
      <w:r>
        <w:rPr>
          <w:rFonts w:hint="eastAsia" w:ascii="宋体" w:hAnsi="宋体"/>
          <w:color w:val="auto"/>
          <w:szCs w:val="21"/>
          <w:lang w:eastAsia="zh-CN"/>
        </w:rPr>
        <w:t>广西政府采购云平台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在</w:t>
      </w:r>
      <w:r>
        <w:rPr>
          <w:rFonts w:hint="eastAsia" w:ascii="宋体" w:hAnsi="宋体" w:eastAsia="宋体" w:cs="宋体"/>
          <w:color w:val="auto"/>
          <w:kern w:val="0"/>
          <w:sz w:val="21"/>
          <w:szCs w:val="21"/>
          <w:highlight w:val="none"/>
          <w:lang w:eastAsia="zh-CN"/>
        </w:rPr>
        <w:t>“广西政府采购云平台”</w:t>
      </w:r>
      <w:r>
        <w:rPr>
          <w:rFonts w:hint="eastAsia" w:ascii="宋体" w:hAnsi="宋体" w:eastAsia="宋体" w:cs="宋体"/>
          <w:color w:val="auto"/>
          <w:kern w:val="0"/>
          <w:sz w:val="21"/>
          <w:szCs w:val="21"/>
          <w:highlight w:val="none"/>
        </w:rPr>
        <w:t>提交电子</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文件时，请填写参加远程开标活动经办人联系方式。</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登录</w:t>
      </w:r>
      <w:r>
        <w:rPr>
          <w:rFonts w:hint="eastAsia" w:ascii="宋体" w:hAnsi="宋体" w:eastAsia="宋体" w:cs="宋体"/>
          <w:color w:val="auto"/>
          <w:kern w:val="0"/>
          <w:sz w:val="21"/>
          <w:szCs w:val="21"/>
          <w:highlight w:val="none"/>
          <w:lang w:eastAsia="zh-CN"/>
        </w:rPr>
        <w:t>“广西政府采购云平台”</w:t>
      </w:r>
      <w:r>
        <w:rPr>
          <w:rFonts w:hint="eastAsia" w:ascii="宋体" w:hAnsi="宋体" w:eastAsia="宋体" w:cs="宋体"/>
          <w:color w:val="auto"/>
          <w:kern w:val="0"/>
          <w:sz w:val="21"/>
          <w:szCs w:val="21"/>
          <w:highlight w:val="none"/>
        </w:rPr>
        <w:t>，依次进入“服务中心-项目采购-操作流程-电子招投标-政府采购项目电子交易管理操作指南-供应商”查看电子</w:t>
      </w:r>
      <w:r>
        <w:rPr>
          <w:rFonts w:hint="eastAsia" w:ascii="宋体" w:hAnsi="宋体" w:eastAsia="宋体" w:cs="宋体"/>
          <w:color w:val="auto"/>
          <w:kern w:val="0"/>
          <w:sz w:val="21"/>
          <w:szCs w:val="21"/>
          <w:highlight w:val="none"/>
          <w:lang w:eastAsia="zh-CN"/>
        </w:rPr>
        <w:t>竞</w:t>
      </w:r>
      <w:r>
        <w:rPr>
          <w:rFonts w:hint="eastAsia" w:ascii="宋体" w:hAnsi="宋体" w:eastAsia="宋体" w:cs="宋体"/>
          <w:color w:val="auto"/>
          <w:kern w:val="0"/>
          <w:sz w:val="21"/>
          <w:szCs w:val="21"/>
          <w:highlight w:val="none"/>
        </w:rPr>
        <w:t>标具体操作流程。</w:t>
      </w:r>
    </w:p>
    <w:p w14:paraId="69B50FE0">
      <w:pPr>
        <w:pageBreakBefore w:val="0"/>
        <w:widowControl w:val="0"/>
        <w:kinsoku/>
        <w:wordWrap/>
        <w:overflowPunct/>
        <w:topLinePunct w:val="0"/>
        <w:bidi w:val="0"/>
        <w:adjustRightInd/>
        <w:spacing w:line="420" w:lineRule="exact"/>
        <w:ind w:firstLine="315" w:firstLineChars="15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（2）未进行网上注册并办理数字证书（CA认证）的</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将无法参与本项目政府采购活动，</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应当在</w:t>
      </w:r>
      <w:r>
        <w:rPr>
          <w:rFonts w:hint="eastAsia" w:asciiTheme="minorEastAsia" w:hAnsiTheme="minorEastAsia" w:eastAsiaTheme="minorEastAsia" w:cstheme="minorEastAsia"/>
          <w:color w:val="auto"/>
          <w:kern w:val="0"/>
          <w:sz w:val="21"/>
          <w:szCs w:val="21"/>
          <w:highlight w:val="none"/>
          <w:lang w:eastAsia="zh-CN"/>
        </w:rPr>
        <w:t>竞</w:t>
      </w:r>
      <w:r>
        <w:rPr>
          <w:rFonts w:hint="eastAsia" w:asciiTheme="minorEastAsia" w:hAnsiTheme="minorEastAsia" w:eastAsiaTheme="minorEastAsia" w:cstheme="minorEastAsia"/>
          <w:color w:val="auto"/>
          <w:kern w:val="0"/>
          <w:sz w:val="21"/>
          <w:szCs w:val="21"/>
          <w:highlight w:val="none"/>
        </w:rPr>
        <w:t>标截止时间前，完成电子交易平台上的CA数字证书办理及</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文件的提交（</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可登录“广西政府采购网”，依次进入“办事服务-下载专区”或者登陆“政采云”平台，依次进入“服务中心-入驻与配置”中查看CA数字证书办理操作流程。如在操作过程中遇到问题或者需要技术支持，请致电政采云客服热线：</w:t>
      </w:r>
      <w:r>
        <w:rPr>
          <w:rFonts w:hint="eastAsia" w:asciiTheme="minorEastAsia" w:hAnsiTheme="minorEastAsia" w:eastAsiaTheme="minorEastAsia" w:cstheme="minorEastAsia"/>
          <w:color w:val="auto"/>
          <w:kern w:val="0"/>
          <w:sz w:val="21"/>
          <w:szCs w:val="21"/>
          <w:highlight w:val="none"/>
          <w:lang w:eastAsia="zh-CN"/>
        </w:rPr>
        <w:t>95763</w:t>
      </w:r>
      <w:r>
        <w:rPr>
          <w:rFonts w:hint="eastAsia" w:asciiTheme="minorEastAsia" w:hAnsiTheme="minorEastAsia" w:eastAsiaTheme="minorEastAsia" w:cstheme="minorEastAsia"/>
          <w:color w:val="auto"/>
          <w:kern w:val="0"/>
          <w:sz w:val="21"/>
          <w:szCs w:val="21"/>
          <w:highlight w:val="none"/>
        </w:rPr>
        <w:t>）。</w:t>
      </w:r>
    </w:p>
    <w:p w14:paraId="2AADE53C">
      <w:pPr>
        <w:pageBreakBefore w:val="0"/>
        <w:widowControl w:val="0"/>
        <w:kinsoku/>
        <w:wordWrap/>
        <w:overflowPunct/>
        <w:topLinePunct w:val="0"/>
        <w:bidi w:val="0"/>
        <w:adjustRightInd/>
        <w:spacing w:line="420" w:lineRule="exact"/>
        <w:ind w:firstLine="315" w:firstLineChars="15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（3）CA证书在线解密：</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投标时，需凭制作</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文件时用来加密的有效数字证书（CA认证）登录“政采云”平台电子开标大厅现场按规定时间对加密的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文件进行解密，否则后果自负。</w:t>
      </w:r>
    </w:p>
    <w:p w14:paraId="32D3B055">
      <w:pPr>
        <w:keepNext w:val="0"/>
        <w:keepLines w:val="0"/>
        <w:pageBreakBefore w:val="0"/>
        <w:widowControl w:val="0"/>
        <w:kinsoku/>
        <w:wordWrap/>
        <w:overflowPunct/>
        <w:topLinePunct w:val="0"/>
        <w:autoSpaceDE w:val="0"/>
        <w:autoSpaceDN w:val="0"/>
        <w:bidi w:val="0"/>
        <w:adjustRightInd/>
        <w:snapToGrid/>
        <w:spacing w:line="360" w:lineRule="auto"/>
        <w:ind w:firstLine="315" w:firstLineChars="150"/>
        <w:textAlignment w:val="auto"/>
        <w:rPr>
          <w:rFonts w:hint="eastAsia" w:ascii="宋体" w:hAnsi="宋体" w:eastAsia="宋体" w:cs="宋体"/>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注：1）为确保网上操作合法、有效和安全，请</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确保在电子投标过程中能够对相关数据电文进行加密和使用电子签章，妥善保管CA数字证书并使用有效的CA数字证书参与整个</w:t>
      </w:r>
      <w:r>
        <w:rPr>
          <w:rFonts w:hint="eastAsia" w:asciiTheme="minorEastAsia" w:hAnsiTheme="minorEastAsia" w:eastAsiaTheme="minorEastAsia" w:cstheme="minorEastAsia"/>
          <w:color w:val="auto"/>
          <w:kern w:val="0"/>
          <w:sz w:val="21"/>
          <w:szCs w:val="21"/>
          <w:highlight w:val="none"/>
          <w:lang w:eastAsia="zh-CN"/>
        </w:rPr>
        <w:t>采购</w:t>
      </w:r>
      <w:r>
        <w:rPr>
          <w:rFonts w:hint="eastAsia" w:asciiTheme="minorEastAsia" w:hAnsiTheme="minorEastAsia" w:eastAsiaTheme="minorEastAsia" w:cstheme="minorEastAsia"/>
          <w:color w:val="auto"/>
          <w:kern w:val="0"/>
          <w:sz w:val="21"/>
          <w:szCs w:val="21"/>
          <w:highlight w:val="none"/>
        </w:rPr>
        <w:t>活动。2）</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应当在</w:t>
      </w:r>
      <w:r>
        <w:rPr>
          <w:rFonts w:hint="eastAsia" w:asciiTheme="minorEastAsia" w:hAnsiTheme="minorEastAsia" w:eastAsiaTheme="minorEastAsia" w:cstheme="minorEastAsia"/>
          <w:color w:val="auto"/>
          <w:kern w:val="0"/>
          <w:sz w:val="21"/>
          <w:szCs w:val="21"/>
          <w:highlight w:val="none"/>
          <w:lang w:eastAsia="zh-CN"/>
        </w:rPr>
        <w:t>竞</w:t>
      </w:r>
      <w:r>
        <w:rPr>
          <w:rFonts w:hint="eastAsia" w:asciiTheme="minorEastAsia" w:hAnsiTheme="minorEastAsia" w:eastAsiaTheme="minorEastAsia" w:cstheme="minorEastAsia"/>
          <w:color w:val="auto"/>
          <w:kern w:val="0"/>
          <w:sz w:val="21"/>
          <w:szCs w:val="21"/>
          <w:highlight w:val="none"/>
        </w:rPr>
        <w:t>标截止时间前完成电子</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文件的上传、提交，</w:t>
      </w:r>
      <w:r>
        <w:rPr>
          <w:rFonts w:hint="eastAsia" w:asciiTheme="minorEastAsia" w:hAnsiTheme="minorEastAsia" w:eastAsiaTheme="minorEastAsia" w:cstheme="minorEastAsia"/>
          <w:color w:val="auto"/>
          <w:kern w:val="0"/>
          <w:sz w:val="21"/>
          <w:szCs w:val="21"/>
          <w:highlight w:val="none"/>
          <w:lang w:eastAsia="zh-CN"/>
        </w:rPr>
        <w:t>竞</w:t>
      </w:r>
      <w:r>
        <w:rPr>
          <w:rFonts w:hint="eastAsia" w:asciiTheme="minorEastAsia" w:hAnsiTheme="minorEastAsia" w:eastAsiaTheme="minorEastAsia" w:cstheme="minorEastAsia"/>
          <w:color w:val="auto"/>
          <w:kern w:val="0"/>
          <w:sz w:val="21"/>
          <w:szCs w:val="21"/>
          <w:highlight w:val="none"/>
        </w:rPr>
        <w:t>标截止时间前可以补充、修改或者撤回</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w:t>
      </w:r>
      <w:r>
        <w:rPr>
          <w:rFonts w:hint="eastAsia" w:ascii="宋体" w:hAnsi="宋体" w:eastAsia="宋体" w:cs="宋体"/>
          <w:color w:val="auto"/>
          <w:kern w:val="0"/>
          <w:sz w:val="21"/>
          <w:szCs w:val="21"/>
          <w:highlight w:val="none"/>
        </w:rPr>
        <w:t>件。补充或者修改</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文件的，应当先行撤回原</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文件，补充、修改后重新上传、提交，</w:t>
      </w:r>
      <w:r>
        <w:rPr>
          <w:rFonts w:hint="eastAsia" w:ascii="宋体" w:hAnsi="宋体" w:eastAsia="宋体" w:cs="宋体"/>
          <w:color w:val="auto"/>
          <w:kern w:val="0"/>
          <w:sz w:val="21"/>
          <w:szCs w:val="21"/>
          <w:highlight w:val="none"/>
          <w:lang w:eastAsia="zh-CN"/>
        </w:rPr>
        <w:t>提交响应文件</w:t>
      </w:r>
      <w:r>
        <w:rPr>
          <w:rFonts w:hint="eastAsia" w:ascii="宋体" w:hAnsi="宋体" w:eastAsia="宋体" w:cs="宋体"/>
          <w:color w:val="auto"/>
          <w:kern w:val="0"/>
          <w:sz w:val="21"/>
          <w:szCs w:val="21"/>
          <w:highlight w:val="none"/>
        </w:rPr>
        <w:t>截止时间前未完成上传、提交的，视为撤回</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w:t>
      </w:r>
      <w:r>
        <w:rPr>
          <w:rFonts w:hint="eastAsia" w:ascii="宋体" w:hAnsi="宋体" w:eastAsia="宋体" w:cs="宋体"/>
          <w:color w:val="auto"/>
          <w:kern w:val="0"/>
          <w:sz w:val="21"/>
          <w:szCs w:val="21"/>
          <w:highlight w:val="none"/>
          <w:lang w:eastAsia="zh-CN"/>
        </w:rPr>
        <w:t>提交响应文件</w:t>
      </w:r>
      <w:r>
        <w:rPr>
          <w:rFonts w:hint="eastAsia" w:ascii="宋体" w:hAnsi="宋体" w:eastAsia="宋体" w:cs="宋体"/>
          <w:color w:val="auto"/>
          <w:kern w:val="0"/>
          <w:sz w:val="21"/>
          <w:szCs w:val="21"/>
          <w:highlight w:val="none"/>
        </w:rPr>
        <w:t>截止时间以后上传递交的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文件，“政采云”平台将予以拒收。</w:t>
      </w:r>
    </w:p>
    <w:p w14:paraId="063F8A6C">
      <w:pPr>
        <w:pStyle w:val="3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bCs w:val="0"/>
          <w:color w:val="auto"/>
          <w:spacing w:val="0"/>
          <w:kern w:val="0"/>
          <w:sz w:val="21"/>
          <w:szCs w:val="21"/>
          <w:highlight w:val="none"/>
          <w:lang w:val="en-US" w:eastAsia="zh-CN" w:bidi="ar-SA"/>
        </w:rPr>
      </w:pPr>
      <w:r>
        <w:rPr>
          <w:rFonts w:hint="eastAsia" w:ascii="宋体" w:hAnsi="宋体" w:eastAsia="宋体" w:cs="宋体"/>
          <w:bCs w:val="0"/>
          <w:color w:val="auto"/>
          <w:spacing w:val="0"/>
          <w:kern w:val="0"/>
          <w:sz w:val="21"/>
          <w:szCs w:val="21"/>
          <w:highlight w:val="none"/>
          <w:lang w:val="en-US" w:eastAsia="zh-CN" w:bidi="ar-SA"/>
        </w:rPr>
        <w:t>（4）供应商需要在具备有摄像头及语音功能且互联网网络状况良好的电脑登录“政采云”平台远程开标大厅参与本次磋商，否则后果自负。</w:t>
      </w:r>
    </w:p>
    <w:p w14:paraId="6EE7024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若对项目采购电子交易系统操作有疑问，可登录</w:t>
      </w:r>
      <w:r>
        <w:rPr>
          <w:rFonts w:hint="eastAsia" w:ascii="宋体" w:hAnsi="宋体" w:cs="宋体"/>
          <w:color w:val="auto"/>
          <w:kern w:val="0"/>
          <w:sz w:val="21"/>
          <w:szCs w:val="21"/>
          <w:highlight w:val="none"/>
          <w:lang w:eastAsia="zh-CN"/>
        </w:rPr>
        <w:t>广西政府采购云平台（https://www.gcy.zfcg.gxzf.gov.cn/）</w:t>
      </w:r>
      <w:r>
        <w:rPr>
          <w:rFonts w:hint="eastAsia" w:ascii="宋体" w:hAnsi="宋体" w:eastAsia="宋体" w:cs="宋体"/>
          <w:color w:val="auto"/>
          <w:kern w:val="0"/>
          <w:sz w:val="21"/>
          <w:szCs w:val="21"/>
          <w:highlight w:val="none"/>
        </w:rPr>
        <w:t>，点击右侧咨询小采，获取采小蜜智能服务管家帮助，或拨打政采云服务热线</w:t>
      </w:r>
      <w:r>
        <w:rPr>
          <w:rFonts w:hint="eastAsia" w:ascii="宋体" w:hAnsi="宋体" w:cs="宋体"/>
          <w:color w:val="auto"/>
          <w:kern w:val="0"/>
          <w:sz w:val="21"/>
          <w:szCs w:val="21"/>
          <w:highlight w:val="none"/>
          <w:lang w:eastAsia="zh-CN"/>
        </w:rPr>
        <w:t>95763</w:t>
      </w:r>
      <w:r>
        <w:rPr>
          <w:rFonts w:hint="eastAsia" w:ascii="宋体" w:hAnsi="宋体" w:eastAsia="宋体" w:cs="宋体"/>
          <w:color w:val="auto"/>
          <w:kern w:val="0"/>
          <w:sz w:val="21"/>
          <w:szCs w:val="21"/>
          <w:highlight w:val="none"/>
        </w:rPr>
        <w:t>获取热线服务帮助。</w:t>
      </w:r>
    </w:p>
    <w:p w14:paraId="49032779">
      <w:pPr>
        <w:pStyle w:val="3"/>
        <w:pageBreakBefore w:val="0"/>
        <w:widowControl w:val="0"/>
        <w:kinsoku/>
        <w:wordWrap/>
        <w:overflowPunct/>
        <w:topLinePunct w:val="0"/>
        <w:bidi w:val="0"/>
        <w:adjustRightInd/>
        <w:spacing w:line="360" w:lineRule="auto"/>
        <w:textAlignment w:val="auto"/>
        <w:outlineLvl w:val="0"/>
        <w:rPr>
          <w:rFonts w:hint="eastAsia" w:ascii="宋体" w:hAnsi="宋体" w:eastAsia="宋体" w:cs="宋体"/>
          <w:bCs w:val="0"/>
          <w:color w:val="auto"/>
          <w:sz w:val="21"/>
          <w:szCs w:val="21"/>
        </w:rPr>
      </w:pPr>
      <w:bookmarkStart w:id="47" w:name="_Toc227"/>
      <w:bookmarkStart w:id="48" w:name="_Toc23726"/>
      <w:r>
        <w:rPr>
          <w:rFonts w:hint="eastAsia" w:ascii="宋体" w:hAnsi="宋体" w:eastAsia="宋体" w:cs="宋体"/>
          <w:bCs w:val="0"/>
          <w:color w:val="auto"/>
          <w:sz w:val="21"/>
          <w:szCs w:val="21"/>
        </w:rPr>
        <w:t>八、凡对本次采购提出询问，请按以下方式联系</w:t>
      </w:r>
      <w:bookmarkEnd w:id="43"/>
      <w:bookmarkEnd w:id="44"/>
      <w:bookmarkEnd w:id="45"/>
      <w:bookmarkEnd w:id="46"/>
      <w:bookmarkEnd w:id="47"/>
      <w:bookmarkEnd w:id="48"/>
    </w:p>
    <w:p w14:paraId="052B9A04">
      <w:pPr>
        <w:pStyle w:val="3"/>
        <w:pageBreakBefore w:val="0"/>
        <w:widowControl w:val="0"/>
        <w:kinsoku/>
        <w:wordWrap/>
        <w:overflowPunct/>
        <w:topLinePunct w:val="0"/>
        <w:bidi w:val="0"/>
        <w:adjustRightInd/>
        <w:spacing w:line="360" w:lineRule="auto"/>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bookmarkStart w:id="49" w:name="_Toc35393806"/>
      <w:bookmarkStart w:id="50" w:name="_Toc28359096"/>
      <w:bookmarkStart w:id="51" w:name="_Toc35393637"/>
      <w:bookmarkStart w:id="52" w:name="_Toc28359019"/>
      <w:r>
        <w:rPr>
          <w:rFonts w:hint="eastAsia" w:asciiTheme="minorEastAsia" w:hAnsiTheme="minorEastAsia" w:eastAsiaTheme="minorEastAsia" w:cstheme="minorEastAsia"/>
          <w:b w:val="0"/>
          <w:bCs w:val="0"/>
          <w:color w:val="auto"/>
          <w:kern w:val="0"/>
          <w:sz w:val="21"/>
          <w:szCs w:val="21"/>
          <w:highlight w:val="none"/>
          <w:lang w:val="en-US" w:eastAsia="zh-CN" w:bidi="ar-SA"/>
        </w:rPr>
        <w:t>1.采购人信息</w:t>
      </w:r>
      <w:bookmarkEnd w:id="49"/>
      <w:bookmarkEnd w:id="50"/>
      <w:bookmarkEnd w:id="51"/>
      <w:bookmarkEnd w:id="52"/>
    </w:p>
    <w:p w14:paraId="7FB603E2">
      <w:pPr>
        <w:pageBreakBefore w:val="0"/>
        <w:widowControl w:val="0"/>
        <w:kinsoku/>
        <w:wordWrap/>
        <w:overflowPunct/>
        <w:topLinePunct w:val="0"/>
        <w:bidi w:val="0"/>
        <w:adjustRightInd/>
        <w:spacing w:line="360" w:lineRule="auto"/>
        <w:ind w:left="1041" w:leftChars="371" w:hanging="262" w:hangingChars="125"/>
        <w:jc w:val="left"/>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 xml:space="preserve">名    称：钦州市钦北区交通运输局 </w:t>
      </w:r>
    </w:p>
    <w:p w14:paraId="6F08BF6C">
      <w:pPr>
        <w:pageBreakBefore w:val="0"/>
        <w:widowControl w:val="0"/>
        <w:kinsoku/>
        <w:wordWrap/>
        <w:overflowPunct/>
        <w:topLinePunct w:val="0"/>
        <w:bidi w:val="0"/>
        <w:adjustRightInd/>
        <w:spacing w:line="360" w:lineRule="auto"/>
        <w:ind w:left="1041" w:leftChars="371" w:hanging="262" w:hangingChars="125"/>
        <w:jc w:val="left"/>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地    址：钦州市钦北区交通运输局六楼     </w:t>
      </w:r>
    </w:p>
    <w:p w14:paraId="6E1AD858">
      <w:pPr>
        <w:pageBreakBefore w:val="0"/>
        <w:widowControl w:val="0"/>
        <w:kinsoku/>
        <w:wordWrap/>
        <w:overflowPunct/>
        <w:topLinePunct w:val="0"/>
        <w:bidi w:val="0"/>
        <w:adjustRightInd/>
        <w:spacing w:line="360" w:lineRule="auto"/>
        <w:ind w:left="1041" w:leftChars="371" w:hanging="262" w:hangingChars="125"/>
        <w:jc w:val="left"/>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 xml:space="preserve">项目联系人：黄工   </w:t>
      </w:r>
    </w:p>
    <w:p w14:paraId="45F1D793">
      <w:pPr>
        <w:pageBreakBefore w:val="0"/>
        <w:widowControl w:val="0"/>
        <w:kinsoku/>
        <w:wordWrap/>
        <w:overflowPunct/>
        <w:topLinePunct w:val="0"/>
        <w:bidi w:val="0"/>
        <w:adjustRightInd/>
        <w:spacing w:line="360" w:lineRule="auto"/>
        <w:ind w:left="1041" w:leftChars="371" w:hanging="262" w:hangingChars="125"/>
        <w:jc w:val="left"/>
        <w:textAlignment w:val="auto"/>
        <w:rPr>
          <w:rFonts w:hint="default"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 xml:space="preserve">项目联系方式：17707700832 </w:t>
      </w:r>
    </w:p>
    <w:p w14:paraId="3CBC8EFA">
      <w:pPr>
        <w:pStyle w:val="3"/>
        <w:pageBreakBefore w:val="0"/>
        <w:widowControl w:val="0"/>
        <w:kinsoku/>
        <w:wordWrap/>
        <w:overflowPunct/>
        <w:topLinePunct w:val="0"/>
        <w:bidi w:val="0"/>
        <w:adjustRightInd/>
        <w:spacing w:line="360" w:lineRule="auto"/>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bookmarkStart w:id="53" w:name="_Toc28359020"/>
      <w:bookmarkStart w:id="54" w:name="_Toc35393807"/>
      <w:bookmarkStart w:id="55" w:name="_Toc28359097"/>
      <w:bookmarkStart w:id="56" w:name="_Toc35393638"/>
      <w:r>
        <w:rPr>
          <w:rFonts w:hint="eastAsia" w:asciiTheme="minorEastAsia" w:hAnsiTheme="minorEastAsia" w:eastAsiaTheme="minorEastAsia" w:cstheme="minorEastAsia"/>
          <w:b w:val="0"/>
          <w:bCs w:val="0"/>
          <w:color w:val="auto"/>
          <w:kern w:val="0"/>
          <w:sz w:val="21"/>
          <w:szCs w:val="21"/>
          <w:highlight w:val="none"/>
          <w:lang w:val="en-US" w:eastAsia="zh-CN" w:bidi="ar-SA"/>
        </w:rPr>
        <w:t>2.采购代理机构信息</w:t>
      </w:r>
      <w:bookmarkEnd w:id="53"/>
      <w:bookmarkEnd w:id="54"/>
      <w:bookmarkEnd w:id="55"/>
      <w:bookmarkEnd w:id="56"/>
    </w:p>
    <w:p w14:paraId="4025AC17">
      <w:pPr>
        <w:pageBreakBefore w:val="0"/>
        <w:widowControl w:val="0"/>
        <w:kinsoku/>
        <w:wordWrap/>
        <w:overflowPunct/>
        <w:topLinePunct w:val="0"/>
        <w:bidi w:val="0"/>
        <w:adjustRightInd/>
        <w:spacing w:line="360" w:lineRule="auto"/>
        <w:ind w:firstLine="840" w:firstLineChars="4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名    称：广西中烨项目管理有限公司　</w:t>
      </w:r>
    </w:p>
    <w:p w14:paraId="23FEC7C3">
      <w:pPr>
        <w:pageBreakBefore w:val="0"/>
        <w:widowControl w:val="0"/>
        <w:kinsoku/>
        <w:wordWrap/>
        <w:overflowPunct/>
        <w:topLinePunct w:val="0"/>
        <w:bidi w:val="0"/>
        <w:adjustRightInd/>
        <w:spacing w:line="360" w:lineRule="auto"/>
        <w:ind w:firstLine="840" w:firstLineChars="4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地　　址：</w:t>
      </w:r>
      <w:bookmarkStart w:id="57" w:name="_Toc28359098"/>
      <w:bookmarkStart w:id="58" w:name="_Toc35393639"/>
      <w:bookmarkStart w:id="59" w:name="_Toc28359021"/>
      <w:bookmarkStart w:id="60" w:name="_Toc35393808"/>
      <w:r>
        <w:rPr>
          <w:rFonts w:hint="eastAsia" w:asciiTheme="minorEastAsia" w:hAnsiTheme="minorEastAsia" w:eastAsiaTheme="minorEastAsia" w:cstheme="minorEastAsia"/>
          <w:b w:val="0"/>
          <w:bCs w:val="0"/>
          <w:color w:val="auto"/>
          <w:kern w:val="0"/>
          <w:sz w:val="21"/>
          <w:szCs w:val="21"/>
          <w:highlight w:val="none"/>
          <w:lang w:val="en-US" w:eastAsia="zh-CN" w:bidi="ar-SA"/>
        </w:rPr>
        <w:t>钦州市钦北区永福西大街25-6号二楼       </w:t>
      </w:r>
    </w:p>
    <w:p w14:paraId="3DBF7D6A">
      <w:pPr>
        <w:pStyle w:val="3"/>
        <w:pageBreakBefore w:val="0"/>
        <w:widowControl w:val="0"/>
        <w:kinsoku/>
        <w:wordWrap/>
        <w:overflowPunct/>
        <w:topLinePunct w:val="0"/>
        <w:bidi w:val="0"/>
        <w:adjustRightInd/>
        <w:spacing w:line="360" w:lineRule="auto"/>
        <w:ind w:firstLine="630" w:firstLineChars="300"/>
        <w:textAlignment w:val="auto"/>
        <w:rPr>
          <w:rFonts w:hint="default"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 项目联系人：林清</w:t>
      </w:r>
      <w:r>
        <w:rPr>
          <w:rFonts w:hint="eastAsia" w:asciiTheme="minorEastAsia" w:hAnsiTheme="minorEastAsia" w:eastAsiaTheme="minorEastAsia" w:cstheme="minorEastAsia"/>
          <w:b w:val="0"/>
          <w:bCs w:val="0"/>
          <w:color w:val="auto"/>
          <w:kern w:val="0"/>
          <w:sz w:val="21"/>
          <w:szCs w:val="21"/>
          <w:highlight w:val="none"/>
          <w:lang w:val="en-US" w:eastAsia="zh-CN" w:bidi="ar-SA"/>
        </w:rPr>
        <w:tab/>
      </w:r>
    </w:p>
    <w:p w14:paraId="27918CFB">
      <w:pPr>
        <w:pStyle w:val="3"/>
        <w:pageBreakBefore w:val="0"/>
        <w:widowControl w:val="0"/>
        <w:kinsoku/>
        <w:wordWrap/>
        <w:overflowPunct/>
        <w:topLinePunct w:val="0"/>
        <w:bidi w:val="0"/>
        <w:adjustRightInd/>
        <w:spacing w:line="360" w:lineRule="auto"/>
        <w:ind w:firstLine="630" w:firstLineChars="300"/>
        <w:textAlignment w:val="auto"/>
        <w:rPr>
          <w:rFonts w:hint="default"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 项目联系方式：</w:t>
      </w:r>
      <w:bookmarkEnd w:id="57"/>
      <w:bookmarkEnd w:id="58"/>
      <w:bookmarkEnd w:id="59"/>
      <w:bookmarkEnd w:id="60"/>
      <w:r>
        <w:rPr>
          <w:rFonts w:hint="eastAsia" w:asciiTheme="minorEastAsia" w:hAnsiTheme="minorEastAsia" w:eastAsiaTheme="minorEastAsia" w:cstheme="minorEastAsia"/>
          <w:b w:val="0"/>
          <w:bCs w:val="0"/>
          <w:color w:val="auto"/>
          <w:kern w:val="0"/>
          <w:sz w:val="21"/>
          <w:szCs w:val="21"/>
          <w:highlight w:val="none"/>
          <w:lang w:val="en-US" w:eastAsia="zh-CN" w:bidi="ar-SA"/>
        </w:rPr>
        <w:t>0777-3813938</w:t>
      </w:r>
    </w:p>
    <w:p w14:paraId="305FB85F">
      <w:pPr>
        <w:pStyle w:val="35"/>
        <w:numPr>
          <w:ilvl w:val="0"/>
          <w:numId w:val="0"/>
        </w:numPr>
        <w:rPr>
          <w:rFonts w:hint="default"/>
          <w:color w:val="auto"/>
          <w:lang w:val="en-US" w:eastAsia="zh-CN"/>
        </w:rPr>
      </w:pPr>
    </w:p>
    <w:p w14:paraId="510065FC">
      <w:pPr>
        <w:rPr>
          <w:rFonts w:hint="eastAsia" w:asciiTheme="minorEastAsia" w:hAnsiTheme="minorEastAsia" w:eastAsiaTheme="minorEastAsia" w:cstheme="minorEastAsia"/>
          <w:b w:val="0"/>
          <w:bCs w:val="0"/>
          <w:color w:val="auto"/>
          <w:kern w:val="0"/>
          <w:sz w:val="21"/>
          <w:szCs w:val="21"/>
          <w:highlight w:val="none"/>
          <w:lang w:val="en-US" w:eastAsia="zh-CN" w:bidi="ar-SA"/>
        </w:rPr>
      </w:pPr>
    </w:p>
    <w:p w14:paraId="09BFFF20">
      <w:pPr>
        <w:pStyle w:val="35"/>
        <w:rPr>
          <w:rFonts w:hint="eastAsia" w:asciiTheme="minorEastAsia" w:hAnsiTheme="minorEastAsia" w:eastAsiaTheme="minorEastAsia" w:cstheme="minorEastAsia"/>
          <w:b w:val="0"/>
          <w:bCs w:val="0"/>
          <w:color w:val="auto"/>
          <w:kern w:val="0"/>
          <w:sz w:val="21"/>
          <w:szCs w:val="21"/>
          <w:highlight w:val="none"/>
          <w:lang w:val="en-US" w:eastAsia="zh-CN" w:bidi="ar-SA"/>
        </w:rPr>
      </w:pPr>
    </w:p>
    <w:p w14:paraId="78573457">
      <w:pPr>
        <w:pStyle w:val="35"/>
        <w:rPr>
          <w:rFonts w:hint="eastAsia" w:ascii="宋体" w:hAnsi="宋体" w:eastAsia="宋体" w:cs="宋体"/>
          <w:b w:val="0"/>
          <w:color w:val="auto"/>
          <w:sz w:val="21"/>
          <w:szCs w:val="21"/>
          <w:lang w:val="en-US" w:eastAsia="zh-CN"/>
        </w:rPr>
      </w:pPr>
    </w:p>
    <w:p w14:paraId="50EAECF4">
      <w:pPr>
        <w:pStyle w:val="35"/>
        <w:rPr>
          <w:rFonts w:hint="eastAsia" w:ascii="宋体" w:hAnsi="宋体" w:eastAsia="宋体" w:cs="宋体"/>
          <w:b w:val="0"/>
          <w:color w:val="auto"/>
          <w:sz w:val="21"/>
          <w:szCs w:val="21"/>
          <w:lang w:val="en-US" w:eastAsia="zh-CN"/>
        </w:rPr>
      </w:pPr>
    </w:p>
    <w:p w14:paraId="1038ADE8">
      <w:pPr>
        <w:pStyle w:val="35"/>
        <w:rPr>
          <w:rFonts w:hint="eastAsia" w:ascii="宋体" w:hAnsi="宋体" w:eastAsia="宋体" w:cs="宋体"/>
          <w:b w:val="0"/>
          <w:color w:val="auto"/>
          <w:sz w:val="21"/>
          <w:szCs w:val="21"/>
          <w:lang w:val="en-US" w:eastAsia="zh-CN"/>
        </w:rPr>
      </w:pPr>
    </w:p>
    <w:p w14:paraId="5A1F15AE">
      <w:pPr>
        <w:pStyle w:val="35"/>
        <w:rPr>
          <w:rFonts w:hint="eastAsia" w:ascii="宋体" w:hAnsi="宋体" w:eastAsia="宋体" w:cs="宋体"/>
          <w:b w:val="0"/>
          <w:color w:val="auto"/>
          <w:sz w:val="21"/>
          <w:szCs w:val="21"/>
          <w:lang w:val="en-US" w:eastAsia="zh-CN"/>
        </w:rPr>
      </w:pPr>
    </w:p>
    <w:p w14:paraId="150546F1">
      <w:pPr>
        <w:pStyle w:val="35"/>
        <w:rPr>
          <w:rFonts w:hint="default" w:ascii="宋体" w:hAnsi="宋体" w:eastAsia="宋体" w:cs="宋体"/>
          <w:b w:val="0"/>
          <w:color w:val="auto"/>
          <w:sz w:val="21"/>
          <w:szCs w:val="21"/>
          <w:lang w:val="en-US" w:eastAsia="zh-CN"/>
        </w:rPr>
      </w:pPr>
    </w:p>
    <w:p w14:paraId="230829E6">
      <w:pPr>
        <w:pStyle w:val="35"/>
        <w:rPr>
          <w:rFonts w:hint="eastAsia" w:ascii="宋体" w:hAnsi="宋体"/>
          <w:color w:val="auto"/>
          <w:szCs w:val="21"/>
        </w:rPr>
      </w:pPr>
    </w:p>
    <w:p w14:paraId="06071194">
      <w:pPr>
        <w:rPr>
          <w:rFonts w:hint="eastAsia" w:ascii="宋体" w:hAnsi="宋体"/>
          <w:color w:val="auto"/>
          <w:szCs w:val="21"/>
        </w:rPr>
      </w:pPr>
      <w:r>
        <w:rPr>
          <w:rFonts w:hint="eastAsia" w:ascii="宋体" w:hAnsi="宋体"/>
          <w:color w:val="auto"/>
          <w:szCs w:val="21"/>
        </w:rPr>
        <w:br w:type="page"/>
      </w:r>
    </w:p>
    <w:p w14:paraId="3364BC73">
      <w:pPr>
        <w:numPr>
          <w:ilvl w:val="0"/>
          <w:numId w:val="1"/>
        </w:numPr>
        <w:jc w:val="center"/>
        <w:outlineLvl w:val="0"/>
        <w:rPr>
          <w:rFonts w:ascii="宋体" w:hAnsi="宋体" w:cs="宋体"/>
          <w:b/>
          <w:bCs/>
          <w:color w:val="auto"/>
          <w:spacing w:val="-14"/>
          <w:kern w:val="0"/>
          <w:position w:val="-6"/>
          <w:sz w:val="36"/>
          <w:szCs w:val="36"/>
        </w:rPr>
      </w:pPr>
      <w:bookmarkStart w:id="61" w:name="_Toc5416"/>
      <w:r>
        <w:rPr>
          <w:rFonts w:hint="eastAsia" w:ascii="宋体" w:hAnsi="宋体" w:cs="宋体"/>
          <w:b/>
          <w:bCs/>
          <w:color w:val="auto"/>
          <w:spacing w:val="-14"/>
          <w:kern w:val="0"/>
          <w:position w:val="-6"/>
          <w:sz w:val="36"/>
          <w:szCs w:val="36"/>
          <w:lang w:eastAsia="zh-CN"/>
        </w:rPr>
        <w:t>供应商</w:t>
      </w:r>
      <w:r>
        <w:rPr>
          <w:rFonts w:hint="eastAsia" w:ascii="宋体" w:hAnsi="宋体" w:cs="宋体"/>
          <w:b/>
          <w:bCs/>
          <w:color w:val="auto"/>
          <w:spacing w:val="-14"/>
          <w:kern w:val="0"/>
          <w:position w:val="-6"/>
          <w:sz w:val="36"/>
          <w:szCs w:val="36"/>
        </w:rPr>
        <w:t>须知前附表</w:t>
      </w:r>
      <w:bookmarkEnd w:id="61"/>
    </w:p>
    <w:bookmarkEnd w:id="2"/>
    <w:tbl>
      <w:tblPr>
        <w:tblStyle w:val="26"/>
        <w:tblpPr w:leftFromText="180" w:rightFromText="180" w:vertAnchor="text" w:horzAnchor="page" w:tblpX="1215" w:tblpY="304"/>
        <w:tblOverlap w:val="never"/>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92"/>
        <w:gridCol w:w="7164"/>
      </w:tblGrid>
      <w:tr w14:paraId="3D2C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14:paraId="0398C048">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序号</w:t>
            </w:r>
          </w:p>
        </w:tc>
        <w:tc>
          <w:tcPr>
            <w:tcW w:w="1992" w:type="dxa"/>
            <w:tcBorders>
              <w:top w:val="single" w:color="auto" w:sz="4" w:space="0"/>
              <w:left w:val="single" w:color="auto" w:sz="4" w:space="0"/>
              <w:bottom w:val="single" w:color="auto" w:sz="4" w:space="0"/>
              <w:right w:val="single" w:color="auto" w:sz="4" w:space="0"/>
            </w:tcBorders>
            <w:vAlign w:val="center"/>
          </w:tcPr>
          <w:p w14:paraId="7B7F3A0D">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条款名称</w:t>
            </w:r>
          </w:p>
        </w:tc>
        <w:tc>
          <w:tcPr>
            <w:tcW w:w="7164" w:type="dxa"/>
            <w:tcBorders>
              <w:top w:val="single" w:color="auto" w:sz="4" w:space="0"/>
              <w:left w:val="single" w:color="auto" w:sz="4" w:space="0"/>
              <w:bottom w:val="single" w:color="auto" w:sz="4" w:space="0"/>
              <w:right w:val="single" w:color="auto" w:sz="4" w:space="0"/>
            </w:tcBorders>
            <w:vAlign w:val="center"/>
          </w:tcPr>
          <w:p w14:paraId="4F29CABC">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内容</w:t>
            </w:r>
          </w:p>
        </w:tc>
      </w:tr>
      <w:tr w14:paraId="0D81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48" w:type="dxa"/>
            <w:tcBorders>
              <w:top w:val="single" w:color="auto" w:sz="4" w:space="0"/>
              <w:left w:val="single" w:color="auto" w:sz="4" w:space="0"/>
              <w:bottom w:val="single" w:color="auto" w:sz="4" w:space="0"/>
              <w:right w:val="single" w:color="auto" w:sz="4" w:space="0"/>
            </w:tcBorders>
            <w:vAlign w:val="center"/>
          </w:tcPr>
          <w:p w14:paraId="2CB4DECB">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1</w:t>
            </w:r>
          </w:p>
        </w:tc>
        <w:tc>
          <w:tcPr>
            <w:tcW w:w="1992" w:type="dxa"/>
            <w:tcBorders>
              <w:top w:val="single" w:color="auto" w:sz="4" w:space="0"/>
              <w:left w:val="single" w:color="auto" w:sz="4" w:space="0"/>
              <w:bottom w:val="single" w:color="auto" w:sz="4" w:space="0"/>
              <w:right w:val="single" w:color="auto" w:sz="4" w:space="0"/>
            </w:tcBorders>
            <w:vAlign w:val="center"/>
          </w:tcPr>
          <w:p w14:paraId="54C316C8">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项目名称和编号</w:t>
            </w:r>
          </w:p>
        </w:tc>
        <w:tc>
          <w:tcPr>
            <w:tcW w:w="7164" w:type="dxa"/>
            <w:tcBorders>
              <w:top w:val="single" w:color="auto" w:sz="4" w:space="0"/>
              <w:left w:val="single" w:color="auto" w:sz="4" w:space="0"/>
              <w:bottom w:val="single" w:color="auto" w:sz="4" w:space="0"/>
              <w:right w:val="single" w:color="auto" w:sz="4" w:space="0"/>
            </w:tcBorders>
            <w:vAlign w:val="center"/>
          </w:tcPr>
          <w:p w14:paraId="73DDEF66">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钦北区2025年巩固拓展脱贫攻坚成果同乡村振兴有效衔接项目(道路部分)</w:t>
            </w:r>
          </w:p>
          <w:p w14:paraId="52C8A48F">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auto"/>
                <w:szCs w:val="21"/>
                <w:lang w:eastAsia="zh-CN"/>
              </w:rPr>
            </w:pPr>
            <w:r>
              <w:rPr>
                <w:rFonts w:hint="eastAsia" w:ascii="宋体" w:hAnsi="宋体" w:cs="宋体"/>
                <w:color w:val="auto"/>
                <w:szCs w:val="21"/>
                <w:lang w:val="en-US" w:eastAsia="zh-CN"/>
              </w:rPr>
              <w:t>项目</w:t>
            </w:r>
            <w:r>
              <w:rPr>
                <w:rFonts w:hint="eastAsia" w:ascii="宋体" w:hAnsi="宋体" w:cs="宋体"/>
                <w:color w:val="auto"/>
                <w:szCs w:val="21"/>
              </w:rPr>
              <w:t>编号：QZZC2025-C2-030026-ZYXM</w:t>
            </w:r>
          </w:p>
        </w:tc>
      </w:tr>
      <w:tr w14:paraId="2FA2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14:paraId="6501294E">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2</w:t>
            </w:r>
          </w:p>
        </w:tc>
        <w:tc>
          <w:tcPr>
            <w:tcW w:w="1992" w:type="dxa"/>
            <w:tcBorders>
              <w:top w:val="single" w:color="auto" w:sz="4" w:space="0"/>
              <w:left w:val="single" w:color="auto" w:sz="4" w:space="0"/>
              <w:bottom w:val="single" w:color="auto" w:sz="4" w:space="0"/>
              <w:right w:val="single" w:color="auto" w:sz="4" w:space="0"/>
            </w:tcBorders>
            <w:vAlign w:val="center"/>
          </w:tcPr>
          <w:p w14:paraId="06B30C2C">
            <w:pPr>
              <w:pStyle w:val="12"/>
              <w:keepNext w:val="0"/>
              <w:keepLines w:val="0"/>
              <w:pageBreakBefore w:val="0"/>
              <w:widowControl w:val="0"/>
              <w:kinsoku/>
              <w:wordWrap/>
              <w:overflowPunct/>
              <w:topLinePunct w:val="0"/>
              <w:autoSpaceDE/>
              <w:autoSpaceDN/>
              <w:bidi w:val="0"/>
              <w:adjustRightInd/>
              <w:spacing w:line="400" w:lineRule="exact"/>
              <w:jc w:val="center"/>
              <w:textAlignment w:val="auto"/>
              <w:rPr>
                <w:rFonts w:hAnsi="宋体" w:cs="宋体"/>
                <w:color w:val="auto"/>
              </w:rPr>
            </w:pPr>
            <w:r>
              <w:rPr>
                <w:rFonts w:hint="eastAsia"/>
                <w:color w:val="auto"/>
                <w:lang w:eastAsia="zh-CN"/>
              </w:rPr>
              <w:t>供应商</w:t>
            </w:r>
            <w:r>
              <w:rPr>
                <w:rFonts w:hint="eastAsia"/>
                <w:color w:val="auto"/>
              </w:rPr>
              <w:t>资格</w:t>
            </w:r>
          </w:p>
        </w:tc>
        <w:tc>
          <w:tcPr>
            <w:tcW w:w="7164" w:type="dxa"/>
            <w:tcBorders>
              <w:top w:val="single" w:color="auto" w:sz="4" w:space="0"/>
              <w:left w:val="single" w:color="auto" w:sz="4" w:space="0"/>
              <w:bottom w:val="single" w:color="auto" w:sz="4" w:space="0"/>
              <w:right w:val="single" w:color="auto" w:sz="4" w:space="0"/>
            </w:tcBorders>
            <w:vAlign w:val="center"/>
          </w:tcPr>
          <w:p w14:paraId="5D9FB3DD">
            <w:pPr>
              <w:keepNext w:val="0"/>
              <w:keepLines w:val="0"/>
              <w:pageBreakBefore w:val="0"/>
              <w:widowControl w:val="0"/>
              <w:kinsoku/>
              <w:wordWrap/>
              <w:overflowPunct/>
              <w:topLinePunct w:val="0"/>
              <w:autoSpaceDE/>
              <w:autoSpaceDN/>
              <w:bidi w:val="0"/>
              <w:adjustRightInd/>
              <w:spacing w:line="400" w:lineRule="exact"/>
              <w:jc w:val="left"/>
              <w:textAlignment w:val="auto"/>
              <w:rPr>
                <w:color w:val="auto"/>
              </w:rPr>
            </w:pPr>
            <w:bookmarkStart w:id="62" w:name="OLE_LINK8"/>
            <w:r>
              <w:rPr>
                <w:rFonts w:hint="eastAsia"/>
                <w:color w:val="auto"/>
                <w:lang w:eastAsia="zh-CN"/>
              </w:rPr>
              <w:t>供应商</w:t>
            </w:r>
            <w:r>
              <w:rPr>
                <w:rFonts w:hint="eastAsia"/>
                <w:color w:val="auto"/>
              </w:rPr>
              <w:t>资格</w:t>
            </w:r>
            <w:r>
              <w:rPr>
                <w:rFonts w:hint="eastAsia"/>
                <w:color w:val="auto"/>
                <w:lang w:eastAsia="zh-CN"/>
              </w:rPr>
              <w:t>要求</w:t>
            </w:r>
            <w:r>
              <w:rPr>
                <w:rFonts w:hint="eastAsia"/>
                <w:color w:val="auto"/>
              </w:rPr>
              <w:t>：</w:t>
            </w:r>
          </w:p>
          <w:bookmarkEnd w:id="62"/>
          <w:p w14:paraId="57BCF86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1.符合《中华人民共和国政府采购法》第二十二条规定</w:t>
            </w:r>
            <w:r>
              <w:rPr>
                <w:rFonts w:hint="eastAsia" w:ascii="宋体" w:hAnsi="宋体" w:cs="宋体"/>
                <w:color w:val="auto"/>
                <w:szCs w:val="21"/>
                <w:lang w:eastAsia="zh-CN"/>
              </w:rPr>
              <w:t>；</w:t>
            </w:r>
            <w:r>
              <w:rPr>
                <w:rFonts w:hint="eastAsia" w:ascii="宋体" w:hAnsi="宋体" w:cs="宋体"/>
                <w:color w:val="auto"/>
                <w:szCs w:val="21"/>
              </w:rPr>
              <w:t xml:space="preserve"> </w:t>
            </w:r>
          </w:p>
          <w:p w14:paraId="1C254AA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cs="宋体"/>
                <w:color w:val="auto"/>
                <w:szCs w:val="21"/>
              </w:rPr>
              <w:t>2.落实政府采购政策需满足的资格要求：</w:t>
            </w:r>
            <w:r>
              <w:rPr>
                <w:rFonts w:hint="eastAsia" w:ascii="宋体" w:hAnsi="宋体" w:eastAsia="宋体" w:cs="Times New Roman"/>
                <w:color w:val="auto"/>
                <w:kern w:val="2"/>
                <w:sz w:val="21"/>
                <w:szCs w:val="21"/>
                <w:highlight w:val="none"/>
                <w:lang w:val="en-US" w:eastAsia="zh-CN" w:bidi="ar-SA"/>
              </w:rPr>
              <w:t>供应商为中小企业</w:t>
            </w:r>
            <w:r>
              <w:rPr>
                <w:rFonts w:hint="eastAsia" w:ascii="宋体" w:hAnsi="宋体" w:cs="宋体"/>
                <w:color w:val="auto"/>
                <w:szCs w:val="21"/>
                <w:lang w:eastAsia="zh-CN"/>
              </w:rPr>
              <w:t>；</w:t>
            </w:r>
          </w:p>
          <w:p w14:paraId="00DEDCB2">
            <w:pPr>
              <w:pStyle w:val="9"/>
              <w:keepNext w:val="0"/>
              <w:keepLines w:val="0"/>
              <w:pageBreakBefore w:val="0"/>
              <w:widowControl w:val="0"/>
              <w:kinsoku/>
              <w:wordWrap/>
              <w:overflowPunct/>
              <w:topLinePunct w:val="0"/>
              <w:autoSpaceDE/>
              <w:autoSpaceDN/>
              <w:bidi w:val="0"/>
              <w:adjustRightInd/>
              <w:spacing w:after="0" w:line="400" w:lineRule="exact"/>
              <w:ind w:firstLine="420" w:firstLineChars="200"/>
              <w:textAlignment w:val="auto"/>
              <w:rPr>
                <w:rFonts w:hint="eastAsia" w:hAnsi="宋体" w:cs="宋体"/>
                <w:color w:val="auto"/>
                <w:sz w:val="21"/>
                <w:szCs w:val="21"/>
              </w:rPr>
            </w:pPr>
            <w:r>
              <w:rPr>
                <w:rFonts w:hint="eastAsia" w:hAnsi="宋体" w:cs="宋体"/>
                <w:color w:val="auto"/>
                <w:sz w:val="21"/>
                <w:szCs w:val="21"/>
              </w:rPr>
              <w:t>3.本项目的特定资格要求：</w:t>
            </w:r>
          </w:p>
          <w:p w14:paraId="0862A4A6">
            <w:pPr>
              <w:pStyle w:val="15"/>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hAnsi="宋体" w:cs="宋体"/>
                <w:color w:val="auto"/>
                <w:sz w:val="21"/>
                <w:szCs w:val="21"/>
                <w:lang w:val="en-US" w:eastAsia="zh-CN"/>
              </w:rPr>
            </w:pPr>
            <w:r>
              <w:rPr>
                <w:rFonts w:hint="eastAsia" w:ascii="宋体" w:hAnsi="宋体" w:eastAsia="宋体" w:cs="宋体"/>
                <w:color w:val="auto"/>
                <w:kern w:val="0"/>
                <w:sz w:val="21"/>
                <w:szCs w:val="21"/>
                <w:lang w:val="en-US" w:eastAsia="zh-CN" w:bidi="ar-SA"/>
              </w:rPr>
              <w:t xml:space="preserve">3.1 </w:t>
            </w:r>
            <w:r>
              <w:rPr>
                <w:rFonts w:hint="eastAsia" w:hAnsi="宋体" w:cs="宋体"/>
                <w:color w:val="auto"/>
                <w:sz w:val="21"/>
                <w:szCs w:val="21"/>
                <w:lang w:val="en-US" w:eastAsia="zh-CN"/>
              </w:rPr>
              <w:t>投标人须</w:t>
            </w:r>
            <w:r>
              <w:rPr>
                <w:rFonts w:hint="eastAsia" w:asciiTheme="minorEastAsia" w:hAnsiTheme="minorEastAsia" w:eastAsiaTheme="minorEastAsia" w:cstheme="minorEastAsia"/>
                <w:color w:val="auto"/>
                <w:sz w:val="21"/>
                <w:szCs w:val="21"/>
                <w:lang w:eastAsia="zh-CN"/>
              </w:rPr>
              <w:t>具备公路工程施工总承包三级（含三级）以上资质，</w:t>
            </w:r>
            <w:r>
              <w:rPr>
                <w:rFonts w:hint="eastAsia" w:hAnsi="宋体" w:cs="宋体"/>
                <w:color w:val="auto"/>
                <w:sz w:val="21"/>
                <w:szCs w:val="21"/>
                <w:lang w:val="en-US" w:eastAsia="zh-CN"/>
              </w:rPr>
              <w:t>在人员、设备、资金等方面具备相应的施工能力；</w:t>
            </w:r>
          </w:p>
          <w:p w14:paraId="3F3EDAF0">
            <w:pPr>
              <w:pStyle w:val="15"/>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color w:val="auto"/>
              </w:rPr>
            </w:pPr>
            <w:r>
              <w:rPr>
                <w:rFonts w:hint="eastAsia" w:ascii="宋体" w:hAnsi="宋体" w:eastAsia="宋体" w:cs="宋体"/>
                <w:color w:val="auto"/>
                <w:kern w:val="0"/>
                <w:sz w:val="21"/>
                <w:szCs w:val="21"/>
                <w:lang w:val="en-US" w:eastAsia="zh-CN" w:bidi="ar-SA"/>
              </w:rPr>
              <w:t>3.2</w:t>
            </w:r>
            <w:r>
              <w:rPr>
                <w:rFonts w:hint="eastAsia" w:ascii="宋体" w:hAnsi="宋体" w:eastAsia="宋体" w:cs="宋体"/>
                <w:color w:val="auto"/>
                <w:sz w:val="21"/>
                <w:szCs w:val="21"/>
                <w:lang w:val="en-US" w:eastAsia="zh-CN"/>
              </w:rPr>
              <w:t>拟投入本工程的项目经理必须</w:t>
            </w:r>
            <w:r>
              <w:rPr>
                <w:rFonts w:hint="eastAsia" w:asciiTheme="minorEastAsia" w:hAnsiTheme="minorEastAsia" w:eastAsiaTheme="minorEastAsia" w:cstheme="minorEastAsia"/>
                <w:color w:val="auto"/>
                <w:sz w:val="21"/>
                <w:szCs w:val="21"/>
                <w:lang w:eastAsia="zh-CN"/>
              </w:rPr>
              <w:t>具备公路工程专业二级以上（含二级）注册建造师执业资格，且具备有效的安全生产考核合格证书（B类）</w:t>
            </w:r>
            <w:r>
              <w:rPr>
                <w:rFonts w:hint="eastAsia" w:ascii="宋体" w:hAnsi="宋体" w:eastAsia="宋体" w:cs="宋体"/>
                <w:color w:val="auto"/>
                <w:sz w:val="21"/>
                <w:szCs w:val="21"/>
                <w:lang w:val="en-US" w:eastAsia="zh-CN"/>
              </w:rPr>
              <w:t>。</w:t>
            </w:r>
          </w:p>
        </w:tc>
      </w:tr>
      <w:tr w14:paraId="49F4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14:paraId="1E025A23">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3</w:t>
            </w:r>
          </w:p>
        </w:tc>
        <w:tc>
          <w:tcPr>
            <w:tcW w:w="1992" w:type="dxa"/>
            <w:tcBorders>
              <w:top w:val="single" w:color="auto" w:sz="4" w:space="0"/>
              <w:left w:val="single" w:color="auto" w:sz="4" w:space="0"/>
              <w:bottom w:val="single" w:color="auto" w:sz="4" w:space="0"/>
              <w:right w:val="single" w:color="auto" w:sz="4" w:space="0"/>
            </w:tcBorders>
            <w:vAlign w:val="center"/>
          </w:tcPr>
          <w:p w14:paraId="2DACF946">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lang w:eastAsia="zh-CN"/>
              </w:rPr>
              <w:t>竞标</w:t>
            </w:r>
            <w:r>
              <w:rPr>
                <w:rFonts w:hint="eastAsia" w:ascii="宋体" w:hAnsi="宋体" w:cs="宋体"/>
                <w:color w:val="auto"/>
                <w:szCs w:val="21"/>
              </w:rPr>
              <w:t>报价</w:t>
            </w:r>
          </w:p>
        </w:tc>
        <w:tc>
          <w:tcPr>
            <w:tcW w:w="7164" w:type="dxa"/>
            <w:tcBorders>
              <w:top w:val="single" w:color="auto" w:sz="4" w:space="0"/>
              <w:left w:val="single" w:color="auto" w:sz="4" w:space="0"/>
              <w:bottom w:val="single" w:color="auto" w:sz="4" w:space="0"/>
              <w:right w:val="single" w:color="auto" w:sz="4" w:space="0"/>
            </w:tcBorders>
            <w:vAlign w:val="center"/>
          </w:tcPr>
          <w:p w14:paraId="60688F35">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auto"/>
                <w:lang w:eastAsia="zh-CN"/>
              </w:rPr>
            </w:pPr>
            <w:r>
              <w:rPr>
                <w:rFonts w:hint="eastAsia" w:ascii="宋体" w:hAnsi="宋体" w:cs="宋体"/>
                <w:color w:val="auto"/>
                <w:lang w:val="en-US" w:eastAsia="zh-CN"/>
              </w:rPr>
              <w:t>竞标</w:t>
            </w:r>
            <w:r>
              <w:rPr>
                <w:rFonts w:hint="eastAsia" w:ascii="宋体" w:hAnsi="宋体" w:cs="宋体"/>
                <w:color w:val="auto"/>
                <w:lang w:eastAsia="zh-CN"/>
              </w:rPr>
              <w:t>报价：</w:t>
            </w:r>
          </w:p>
          <w:p w14:paraId="654458D0">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auto"/>
                <w:lang w:eastAsia="zh-CN"/>
              </w:rPr>
            </w:pPr>
            <w:r>
              <w:rPr>
                <w:rFonts w:hint="eastAsia" w:ascii="宋体" w:hAnsi="宋体" w:cs="宋体"/>
                <w:color w:val="auto"/>
                <w:lang w:eastAsia="zh-CN"/>
              </w:rPr>
              <w:t>1.供应商必须就所投项目的全部内容作完整唯一报价，漏项报价的或有选择的或有条件的报价，其磋商将视为无效。</w:t>
            </w:r>
          </w:p>
          <w:p w14:paraId="3EF91286">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ascii="宋体" w:hAnsi="宋体" w:cs="宋体"/>
                <w:color w:val="auto"/>
                <w:lang w:val="en-US" w:eastAsia="zh-CN"/>
              </w:rPr>
              <w:t>2.</w:t>
            </w:r>
            <w:r>
              <w:rPr>
                <w:rFonts w:hint="eastAsia" w:ascii="宋体" w:hAnsi="宋体" w:cs="宋体"/>
                <w:color w:val="auto"/>
                <w:lang w:eastAsia="zh-CN"/>
              </w:rPr>
              <w:t xml:space="preserve">磋商报价为二次报价，第二次报价为最后报价。                            </w:t>
            </w:r>
          </w:p>
        </w:tc>
      </w:tr>
      <w:tr w14:paraId="41D1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4E615A7A">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4</w:t>
            </w:r>
          </w:p>
        </w:tc>
        <w:tc>
          <w:tcPr>
            <w:tcW w:w="1992" w:type="dxa"/>
            <w:tcBorders>
              <w:top w:val="single" w:color="auto" w:sz="4" w:space="0"/>
              <w:left w:val="single" w:color="auto" w:sz="4" w:space="0"/>
              <w:bottom w:val="single" w:color="auto" w:sz="4" w:space="0"/>
              <w:right w:val="single" w:color="auto" w:sz="4" w:space="0"/>
            </w:tcBorders>
            <w:vAlign w:val="center"/>
          </w:tcPr>
          <w:p w14:paraId="3B8B5923">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响应文件电子版要求</w:t>
            </w:r>
          </w:p>
        </w:tc>
        <w:tc>
          <w:tcPr>
            <w:tcW w:w="7164" w:type="dxa"/>
            <w:tcBorders>
              <w:top w:val="single" w:color="auto" w:sz="4" w:space="0"/>
              <w:left w:val="single" w:color="auto" w:sz="4" w:space="0"/>
              <w:bottom w:val="single" w:color="auto" w:sz="4" w:space="0"/>
              <w:right w:val="single" w:color="auto" w:sz="4" w:space="0"/>
            </w:tcBorders>
            <w:vAlign w:val="center"/>
          </w:tcPr>
          <w:p w14:paraId="25F95381">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宋体" w:hAnsi="宋体" w:cs="宋体"/>
                <w:color w:val="auto"/>
                <w:szCs w:val="21"/>
              </w:rPr>
            </w:pPr>
            <w:r>
              <w:rPr>
                <w:rFonts w:hint="eastAsia" w:ascii="宋体" w:hAnsi="宋体" w:cs="宋体"/>
                <w:color w:val="auto"/>
                <w:szCs w:val="21"/>
              </w:rPr>
              <w:t>1.响应文件电子版要求：按照本采购文件“</w:t>
            </w:r>
            <w:r>
              <w:rPr>
                <w:rFonts w:hint="eastAsia" w:ascii="宋体" w:hAnsi="宋体"/>
                <w:color w:val="auto"/>
                <w:szCs w:val="21"/>
              </w:rPr>
              <w:t>第五章 响应文件格式</w:t>
            </w:r>
            <w:r>
              <w:rPr>
                <w:rFonts w:hint="eastAsia" w:ascii="宋体" w:hAnsi="宋体" w:cs="宋体"/>
                <w:color w:val="auto"/>
                <w:szCs w:val="21"/>
              </w:rPr>
              <w:t>”编写（第五章未附格式的，由供应商自行拟定），不可涂改并在规定加盖公章处加盖电子公章，</w:t>
            </w:r>
            <w:r>
              <w:rPr>
                <w:rFonts w:hint="eastAsia" w:ascii="宋体" w:hAnsi="宋体" w:cs="宋体"/>
                <w:b/>
                <w:color w:val="auto"/>
                <w:szCs w:val="21"/>
              </w:rPr>
              <w:t>否则响应文件按无效响应处理</w:t>
            </w:r>
            <w:r>
              <w:rPr>
                <w:rFonts w:hint="eastAsia" w:ascii="宋体" w:hAnsi="宋体" w:cs="宋体"/>
                <w:color w:val="auto"/>
                <w:szCs w:val="21"/>
              </w:rPr>
              <w:t>。</w:t>
            </w:r>
          </w:p>
          <w:p w14:paraId="5C9332DB">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ascii="宋体" w:hAnsi="宋体" w:cs="宋体"/>
                <w:color w:val="auto"/>
                <w:szCs w:val="21"/>
              </w:rPr>
              <w:t>2</w:t>
            </w:r>
            <w:r>
              <w:rPr>
                <w:rFonts w:hint="eastAsia" w:ascii="宋体" w:hAnsi="宋体" w:cs="Courier New"/>
                <w:color w:val="auto"/>
                <w:szCs w:val="21"/>
              </w:rPr>
              <w:t>.响应文件电子版密封方式：电子响应文件通过平台有效CA加密后在“政采云”平台</w:t>
            </w:r>
            <w:r>
              <w:rPr>
                <w:rFonts w:hint="eastAsia" w:ascii="宋体" w:hAnsi="宋体" w:cs="Courier New"/>
                <w:color w:val="auto"/>
                <w:szCs w:val="21"/>
                <w:lang w:eastAsia="zh-CN"/>
              </w:rPr>
              <w:t>递交</w:t>
            </w:r>
            <w:r>
              <w:rPr>
                <w:rFonts w:hint="eastAsia" w:ascii="宋体" w:hAnsi="宋体" w:cs="Courier New"/>
                <w:color w:val="auto"/>
                <w:szCs w:val="21"/>
              </w:rPr>
              <w:t>。</w:t>
            </w:r>
          </w:p>
        </w:tc>
      </w:tr>
      <w:tr w14:paraId="0B59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451CD99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468463FC">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rPr>
            </w:pPr>
            <w:r>
              <w:rPr>
                <w:rFonts w:hint="eastAsia" w:ascii="宋体" w:hAnsi="宋体" w:cs="宋体"/>
                <w:color w:val="auto"/>
                <w:szCs w:val="21"/>
              </w:rPr>
              <w:t>备份响应文件</w:t>
            </w:r>
          </w:p>
        </w:tc>
        <w:tc>
          <w:tcPr>
            <w:tcW w:w="7164" w:type="dxa"/>
            <w:tcBorders>
              <w:top w:val="single" w:color="auto" w:sz="4" w:space="0"/>
              <w:left w:val="single" w:color="auto" w:sz="4" w:space="0"/>
              <w:bottom w:val="single" w:color="auto" w:sz="4" w:space="0"/>
              <w:right w:val="single" w:color="auto" w:sz="4" w:space="0"/>
            </w:tcBorders>
            <w:vAlign w:val="center"/>
          </w:tcPr>
          <w:p w14:paraId="20E9DE06">
            <w:pPr>
              <w:pStyle w:val="8"/>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宋体" w:hAnsi="宋体" w:eastAsia="宋体"/>
                <w:color w:val="auto"/>
                <w:szCs w:val="21"/>
                <w:lang w:val="en-US" w:eastAsia="zh-CN"/>
              </w:rPr>
            </w:pPr>
            <w:r>
              <w:rPr>
                <w:rFonts w:hint="eastAsia" w:ascii="宋体" w:hAnsi="宋体"/>
                <w:color w:val="auto"/>
                <w:szCs w:val="21"/>
                <w:lang w:val="en-US" w:eastAsia="zh-CN"/>
              </w:rPr>
              <w:t>□</w:t>
            </w:r>
            <w:r>
              <w:rPr>
                <w:rFonts w:hint="eastAsia" w:ascii="宋体" w:hAnsi="宋体"/>
                <w:color w:val="auto"/>
                <w:szCs w:val="21"/>
              </w:rPr>
              <w:t>本项目不接受</w:t>
            </w:r>
            <w:r>
              <w:rPr>
                <w:color w:val="auto"/>
                <w:spacing w:val="-3"/>
                <w:sz w:val="21"/>
              </w:rPr>
              <w:t>以介质存储的数据电文形式的电子备份响应文件</w:t>
            </w:r>
            <w:r>
              <w:rPr>
                <w:rFonts w:hint="eastAsia"/>
                <w:color w:val="auto"/>
                <w:spacing w:val="-3"/>
                <w:sz w:val="21"/>
                <w:lang w:eastAsia="zh-CN"/>
              </w:rPr>
              <w:t>。</w:t>
            </w:r>
          </w:p>
          <w:p w14:paraId="2C93B878">
            <w:pPr>
              <w:pStyle w:val="8"/>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宋体" w:hAnsi="宋体"/>
                <w:color w:val="auto"/>
                <w:szCs w:val="21"/>
                <w:lang w:eastAsia="zh-CN"/>
              </w:rPr>
            </w:pPr>
            <w:r>
              <w:rPr>
                <w:rFonts w:hint="eastAsia" w:ascii="宋体" w:hAnsi="宋体"/>
                <w:color w:val="auto"/>
                <w:szCs w:val="21"/>
                <w:lang w:val="en-US" w:eastAsia="zh-CN"/>
              </w:rPr>
              <w:t>☑</w:t>
            </w:r>
            <w:r>
              <w:rPr>
                <w:rFonts w:hint="eastAsia" w:ascii="宋体" w:hAnsi="宋体"/>
                <w:color w:val="auto"/>
                <w:szCs w:val="21"/>
              </w:rPr>
              <w:t>本项目接受</w:t>
            </w:r>
            <w:r>
              <w:rPr>
                <w:color w:val="auto"/>
                <w:spacing w:val="-3"/>
                <w:sz w:val="21"/>
              </w:rPr>
              <w:t>以介质存储的数据电文形式的电子备份响应文件</w:t>
            </w:r>
            <w:r>
              <w:rPr>
                <w:rFonts w:hint="eastAsia" w:ascii="宋体" w:hAnsi="宋体"/>
                <w:color w:val="auto"/>
                <w:szCs w:val="21"/>
                <w:lang w:eastAsia="zh-CN"/>
              </w:rPr>
              <w:t>。</w:t>
            </w:r>
          </w:p>
          <w:p w14:paraId="5B695095">
            <w:pPr>
              <w:pStyle w:val="8"/>
              <w:keepNext w:val="0"/>
              <w:keepLines w:val="0"/>
              <w:pageBreakBefore w:val="0"/>
              <w:widowControl w:val="0"/>
              <w:kinsoku/>
              <w:wordWrap/>
              <w:overflowPunct/>
              <w:topLinePunct w:val="0"/>
              <w:autoSpaceDE/>
              <w:autoSpaceDN/>
              <w:bidi w:val="0"/>
              <w:adjustRightInd/>
              <w:spacing w:line="400" w:lineRule="exact"/>
              <w:ind w:left="0"/>
              <w:textAlignment w:val="auto"/>
              <w:rPr>
                <w:color w:val="auto"/>
                <w:spacing w:val="-3"/>
                <w:sz w:val="21"/>
              </w:rPr>
            </w:pPr>
            <w:r>
              <w:rPr>
                <w:color w:val="auto"/>
                <w:spacing w:val="-3"/>
                <w:sz w:val="21"/>
              </w:rPr>
              <w:t>供应商</w:t>
            </w:r>
            <w:r>
              <w:rPr>
                <w:rFonts w:hint="eastAsia"/>
                <w:color w:val="auto"/>
                <w:spacing w:val="-3"/>
                <w:sz w:val="21"/>
                <w:lang w:eastAsia="zh-CN"/>
              </w:rPr>
              <w:t>可根据自身情况自行准备</w:t>
            </w:r>
            <w:r>
              <w:rPr>
                <w:color w:val="auto"/>
                <w:spacing w:val="-3"/>
                <w:sz w:val="21"/>
              </w:rPr>
              <w:t xml:space="preserve">以介质存储的数据电文形式的电子备份响应文件： </w:t>
            </w:r>
          </w:p>
          <w:p w14:paraId="7C2E807E">
            <w:pPr>
              <w:pStyle w:val="8"/>
              <w:keepNext w:val="0"/>
              <w:keepLines w:val="0"/>
              <w:pageBreakBefore w:val="0"/>
              <w:widowControl w:val="0"/>
              <w:kinsoku/>
              <w:wordWrap/>
              <w:overflowPunct/>
              <w:topLinePunct w:val="0"/>
              <w:autoSpaceDE/>
              <w:autoSpaceDN/>
              <w:bidi w:val="0"/>
              <w:adjustRightInd/>
              <w:spacing w:line="400" w:lineRule="exact"/>
              <w:ind w:left="0"/>
              <w:textAlignment w:val="auto"/>
              <w:rPr>
                <w:rFonts w:ascii="Times New Roman" w:hAnsi="Times New Roman" w:eastAsia="宋体" w:cs="Times New Roman"/>
                <w:color w:val="auto"/>
                <w:spacing w:val="-3"/>
                <w:sz w:val="21"/>
              </w:rPr>
            </w:pPr>
            <w:r>
              <w:rPr>
                <w:rFonts w:hint="eastAsia"/>
                <w:color w:val="auto"/>
                <w:spacing w:val="-5"/>
                <w:sz w:val="21"/>
                <w:lang w:val="en-US" w:eastAsia="zh-CN"/>
              </w:rPr>
              <w:t>（1）</w:t>
            </w:r>
            <w:r>
              <w:rPr>
                <w:color w:val="auto"/>
                <w:spacing w:val="-3"/>
                <w:sz w:val="21"/>
              </w:rPr>
              <w:t>以介质存储的数据电文形式的电子备份响应文件，按政采云平台项目采购-电子招</w:t>
            </w:r>
            <w:r>
              <w:rPr>
                <w:color w:val="auto"/>
                <w:spacing w:val="-7"/>
                <w:sz w:val="21"/>
              </w:rPr>
              <w:t>投标操作指南中上传的电子响应文件格式</w:t>
            </w:r>
            <w:r>
              <w:rPr>
                <w:rFonts w:hint="eastAsia"/>
                <w:color w:val="auto"/>
                <w:spacing w:val="-7"/>
                <w:sz w:val="21"/>
                <w:lang w:eastAsia="zh-CN"/>
              </w:rPr>
              <w:t>，</w:t>
            </w:r>
            <w:r>
              <w:rPr>
                <w:color w:val="auto"/>
                <w:spacing w:val="-7"/>
                <w:sz w:val="21"/>
              </w:rPr>
              <w:t>以</w:t>
            </w:r>
            <w:r>
              <w:rPr>
                <w:rFonts w:hint="eastAsia"/>
                <w:color w:val="auto"/>
                <w:spacing w:val="-7"/>
                <w:sz w:val="21"/>
                <w:lang w:eastAsia="zh-CN"/>
              </w:rPr>
              <w:t>邮件</w:t>
            </w:r>
            <w:r>
              <w:rPr>
                <w:color w:val="auto"/>
                <w:spacing w:val="-10"/>
                <w:sz w:val="21"/>
              </w:rPr>
              <w:t>形式提供。数量</w:t>
            </w:r>
            <w:r>
              <w:rPr>
                <w:rFonts w:ascii="Times New Roman" w:hAnsi="Times New Roman" w:eastAsia="宋体" w:cs="Times New Roman"/>
                <w:color w:val="auto"/>
                <w:spacing w:val="-3"/>
                <w:sz w:val="21"/>
              </w:rPr>
              <w:t>为1份。</w:t>
            </w:r>
          </w:p>
          <w:p w14:paraId="202ED791">
            <w:pPr>
              <w:pStyle w:val="8"/>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Times New Roman" w:hAnsi="Times New Roman" w:eastAsia="宋体" w:cs="Times New Roman"/>
                <w:b w:val="0"/>
                <w:bCs w:val="0"/>
                <w:color w:val="auto"/>
                <w:spacing w:val="-3"/>
                <w:sz w:val="21"/>
                <w:lang w:eastAsia="zh-CN"/>
              </w:rPr>
            </w:pPr>
            <w:r>
              <w:rPr>
                <w:rFonts w:hint="eastAsia" w:ascii="Times New Roman" w:hAnsi="Times New Roman" w:eastAsia="宋体" w:cs="Times New Roman"/>
                <w:b w:val="0"/>
                <w:bCs w:val="0"/>
                <w:color w:val="auto"/>
                <w:spacing w:val="-3"/>
                <w:sz w:val="21"/>
                <w:lang w:eastAsia="zh-CN"/>
              </w:rPr>
              <w:t>（</w:t>
            </w:r>
            <w:r>
              <w:rPr>
                <w:rFonts w:hint="eastAsia" w:ascii="Times New Roman" w:hAnsi="Times New Roman" w:eastAsia="宋体" w:cs="Times New Roman"/>
                <w:b w:val="0"/>
                <w:bCs w:val="0"/>
                <w:color w:val="auto"/>
                <w:spacing w:val="-3"/>
                <w:sz w:val="21"/>
                <w:lang w:val="en-US" w:eastAsia="zh-CN"/>
              </w:rPr>
              <w:t>2</w:t>
            </w:r>
            <w:r>
              <w:rPr>
                <w:rFonts w:hint="eastAsia" w:ascii="Times New Roman" w:hAnsi="Times New Roman" w:eastAsia="宋体" w:cs="Times New Roman"/>
                <w:b w:val="0"/>
                <w:bCs w:val="0"/>
                <w:color w:val="auto"/>
                <w:spacing w:val="-3"/>
                <w:sz w:val="21"/>
                <w:lang w:eastAsia="zh-CN"/>
              </w:rPr>
              <w:t>）递交时间：出现电子加密响应文件（</w:t>
            </w:r>
            <w:r>
              <w:rPr>
                <w:color w:val="auto"/>
                <w:spacing w:val="-9"/>
                <w:sz w:val="21"/>
              </w:rPr>
              <w:t>按政采云平台要求及本</w:t>
            </w:r>
            <w:r>
              <w:rPr>
                <w:rFonts w:hint="eastAsia"/>
                <w:color w:val="auto"/>
                <w:spacing w:val="-9"/>
                <w:sz w:val="21"/>
                <w:lang w:eastAsia="zh-CN"/>
              </w:rPr>
              <w:t>竞争性磋商</w:t>
            </w:r>
            <w:r>
              <w:rPr>
                <w:color w:val="auto"/>
                <w:spacing w:val="-9"/>
                <w:sz w:val="21"/>
              </w:rPr>
              <w:t>要求制作、加</w:t>
            </w:r>
            <w:r>
              <w:rPr>
                <w:color w:val="auto"/>
                <w:spacing w:val="-5"/>
                <w:sz w:val="21"/>
              </w:rPr>
              <w:t>密并递交</w:t>
            </w:r>
            <w:r>
              <w:rPr>
                <w:rFonts w:hint="eastAsia" w:ascii="Times New Roman" w:hAnsi="Times New Roman" w:eastAsia="宋体" w:cs="Times New Roman"/>
                <w:b w:val="0"/>
                <w:bCs w:val="0"/>
                <w:color w:val="auto"/>
                <w:spacing w:val="-3"/>
                <w:sz w:val="21"/>
                <w:lang w:eastAsia="zh-CN"/>
              </w:rPr>
              <w:t>）无法按时在</w:t>
            </w:r>
            <w:r>
              <w:rPr>
                <w:rFonts w:hint="eastAsia" w:hAnsi="宋体"/>
                <w:b w:val="0"/>
                <w:bCs w:val="0"/>
                <w:color w:val="auto"/>
                <w:sz w:val="21"/>
              </w:rPr>
              <w:t>30分钟</w:t>
            </w:r>
            <w:r>
              <w:rPr>
                <w:rFonts w:hint="eastAsia" w:hAnsi="宋体"/>
                <w:b w:val="0"/>
                <w:bCs w:val="0"/>
                <w:color w:val="auto"/>
                <w:sz w:val="21"/>
                <w:lang w:eastAsia="zh-CN"/>
              </w:rPr>
              <w:t>内完成在线</w:t>
            </w:r>
            <w:r>
              <w:rPr>
                <w:rFonts w:hint="eastAsia" w:hAnsi="宋体"/>
                <w:b w:val="0"/>
                <w:bCs w:val="0"/>
                <w:color w:val="auto"/>
                <w:sz w:val="21"/>
              </w:rPr>
              <w:t>解密</w:t>
            </w:r>
            <w:r>
              <w:rPr>
                <w:rFonts w:hint="eastAsia" w:hAnsi="宋体"/>
                <w:b w:val="0"/>
                <w:bCs w:val="0"/>
                <w:color w:val="auto"/>
                <w:sz w:val="21"/>
                <w:lang w:eastAsia="zh-CN"/>
              </w:rPr>
              <w:t>的</w:t>
            </w:r>
            <w:r>
              <w:rPr>
                <w:rFonts w:hint="eastAsia" w:ascii="Times New Roman" w:hAnsi="Times New Roman" w:eastAsia="宋体" w:cs="Times New Roman"/>
                <w:b w:val="0"/>
                <w:bCs w:val="0"/>
                <w:color w:val="auto"/>
                <w:spacing w:val="-3"/>
                <w:sz w:val="21"/>
                <w:lang w:eastAsia="zh-CN"/>
              </w:rPr>
              <w:t>，</w:t>
            </w:r>
            <w:r>
              <w:rPr>
                <w:rFonts w:hint="eastAsia" w:ascii="Times New Roman" w:hAnsi="Times New Roman" w:eastAsia="宋体" w:cs="Times New Roman"/>
                <w:b/>
                <w:bCs/>
                <w:color w:val="auto"/>
                <w:spacing w:val="-3"/>
                <w:sz w:val="21"/>
                <w:lang w:eastAsia="zh-CN"/>
              </w:rPr>
              <w:t>在采购代理机构电话通知递交</w:t>
            </w:r>
            <w:r>
              <w:rPr>
                <w:b/>
                <w:bCs/>
                <w:color w:val="auto"/>
                <w:spacing w:val="-3"/>
                <w:sz w:val="21"/>
              </w:rPr>
              <w:t>电子备份响应文件</w:t>
            </w:r>
            <w:r>
              <w:rPr>
                <w:rFonts w:hint="eastAsia" w:ascii="Times New Roman" w:hAnsi="Times New Roman" w:eastAsia="宋体" w:cs="Times New Roman"/>
                <w:b/>
                <w:bCs/>
                <w:color w:val="auto"/>
                <w:spacing w:val="-3"/>
                <w:sz w:val="21"/>
                <w:lang w:eastAsia="zh-CN"/>
              </w:rPr>
              <w:t>之时起</w:t>
            </w:r>
            <w:r>
              <w:rPr>
                <w:rFonts w:hint="eastAsia" w:ascii="Times New Roman" w:hAnsi="Times New Roman" w:eastAsia="宋体" w:cs="Times New Roman"/>
                <w:b/>
                <w:bCs/>
                <w:color w:val="auto"/>
                <w:spacing w:val="-3"/>
                <w:sz w:val="21"/>
                <w:lang w:val="en-US" w:eastAsia="zh-CN"/>
              </w:rPr>
              <w:t>15</w:t>
            </w:r>
            <w:r>
              <w:rPr>
                <w:rFonts w:hint="eastAsia" w:ascii="Times New Roman" w:hAnsi="Times New Roman" w:eastAsia="宋体" w:cs="Times New Roman"/>
                <w:b/>
                <w:bCs/>
                <w:color w:val="auto"/>
                <w:spacing w:val="-3"/>
                <w:sz w:val="21"/>
                <w:lang w:eastAsia="zh-CN"/>
              </w:rPr>
              <w:t>分钟内递交，否则，竞标无效。</w:t>
            </w:r>
          </w:p>
          <w:p w14:paraId="17F5DAEE">
            <w:pPr>
              <w:pStyle w:val="1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imes New Roman"/>
                <w:b w:val="0"/>
                <w:bCs w:val="0"/>
                <w:color w:val="auto"/>
                <w:szCs w:val="21"/>
                <w:highlight w:val="none"/>
                <w:lang w:eastAsia="zh-CN"/>
              </w:rPr>
            </w:pP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lang w:val="en-US" w:eastAsia="zh-CN"/>
              </w:rPr>
              <w:t>3</w:t>
            </w:r>
            <w:r>
              <w:rPr>
                <w:rFonts w:hint="eastAsia" w:ascii="宋体" w:hAnsi="宋体" w:eastAsia="宋体" w:cs="Times New Roman"/>
                <w:b w:val="0"/>
                <w:bCs w:val="0"/>
                <w:color w:val="auto"/>
                <w:szCs w:val="21"/>
                <w:highlight w:val="none"/>
                <w:lang w:eastAsia="zh-CN"/>
              </w:rPr>
              <w:t>）供应商邮件发送的内容如下：</w:t>
            </w:r>
          </w:p>
          <w:p w14:paraId="54F022FB">
            <w:pPr>
              <w:pStyle w:val="1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u w:val="single"/>
                <w:lang w:val="en-US" w:eastAsia="zh-CN"/>
              </w:rPr>
            </w:pPr>
            <w:r>
              <w:rPr>
                <w:rFonts w:hint="eastAsia" w:ascii="宋体" w:hAnsi="宋体" w:eastAsia="宋体" w:cs="宋体"/>
                <w:b w:val="0"/>
                <w:bCs w:val="0"/>
                <w:color w:val="auto"/>
                <w:spacing w:val="0"/>
                <w:sz w:val="21"/>
                <w:szCs w:val="21"/>
                <w:u w:val="none"/>
                <w:lang w:eastAsia="zh-CN"/>
              </w:rPr>
              <w:t>项目名称：</w:t>
            </w:r>
            <w:r>
              <w:rPr>
                <w:rFonts w:hint="eastAsia" w:ascii="宋体" w:hAnsi="宋体" w:eastAsia="宋体" w:cs="宋体"/>
                <w:b w:val="0"/>
                <w:bCs w:val="0"/>
                <w:color w:val="auto"/>
                <w:spacing w:val="0"/>
                <w:sz w:val="21"/>
                <w:szCs w:val="21"/>
                <w:u w:val="single"/>
                <w:lang w:val="en-US" w:eastAsia="zh-CN"/>
              </w:rPr>
              <w:t xml:space="preserve">                 </w:t>
            </w:r>
          </w:p>
          <w:p w14:paraId="4E82058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u w:val="single"/>
                <w:lang w:eastAsia="zh-CN"/>
              </w:rPr>
            </w:pPr>
            <w:r>
              <w:rPr>
                <w:rFonts w:hint="eastAsia" w:ascii="宋体" w:hAnsi="宋体" w:eastAsia="宋体" w:cs="宋体"/>
                <w:b w:val="0"/>
                <w:bCs w:val="0"/>
                <w:color w:val="auto"/>
                <w:spacing w:val="0"/>
                <w:sz w:val="21"/>
                <w:szCs w:val="21"/>
                <w:u w:val="none"/>
                <w:lang w:eastAsia="zh-CN"/>
              </w:rPr>
              <w:t>项目编号</w:t>
            </w:r>
            <w:r>
              <w:rPr>
                <w:rFonts w:hint="eastAsia" w:ascii="宋体" w:hAnsi="宋体" w:eastAsia="宋体" w:cs="宋体"/>
                <w:b w:val="0"/>
                <w:bCs w:val="0"/>
                <w:color w:val="auto"/>
                <w:spacing w:val="0"/>
                <w:sz w:val="21"/>
                <w:szCs w:val="21"/>
                <w:u w:val="single"/>
                <w:lang w:eastAsia="zh-CN"/>
              </w:rPr>
              <w:t>：</w:t>
            </w:r>
            <w:r>
              <w:rPr>
                <w:rFonts w:hint="eastAsia" w:ascii="宋体" w:hAnsi="宋体" w:eastAsia="宋体" w:cs="宋体"/>
                <w:b w:val="0"/>
                <w:bCs w:val="0"/>
                <w:color w:val="auto"/>
                <w:spacing w:val="0"/>
                <w:sz w:val="21"/>
                <w:szCs w:val="21"/>
                <w:u w:val="single"/>
                <w:lang w:val="en-US" w:eastAsia="zh-CN"/>
              </w:rPr>
              <w:t xml:space="preserve">                 </w:t>
            </w:r>
          </w:p>
          <w:p w14:paraId="072C3214">
            <w:pPr>
              <w:pStyle w:val="1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u w:val="single"/>
                <w:lang w:eastAsia="zh-CN"/>
              </w:rPr>
            </w:pPr>
            <w:r>
              <w:rPr>
                <w:rFonts w:hint="eastAsia" w:ascii="宋体" w:hAnsi="宋体" w:eastAsia="宋体" w:cs="宋体"/>
                <w:b w:val="0"/>
                <w:bCs w:val="0"/>
                <w:color w:val="auto"/>
                <w:spacing w:val="0"/>
                <w:sz w:val="21"/>
                <w:szCs w:val="21"/>
                <w:u w:val="none"/>
                <w:lang w:eastAsia="zh-CN"/>
              </w:rPr>
              <w:t>标段（如有）：</w:t>
            </w:r>
            <w:r>
              <w:rPr>
                <w:rFonts w:hint="eastAsia" w:ascii="宋体" w:hAnsi="宋体" w:eastAsia="宋体" w:cs="宋体"/>
                <w:b w:val="0"/>
                <w:bCs w:val="0"/>
                <w:color w:val="auto"/>
                <w:spacing w:val="0"/>
                <w:sz w:val="21"/>
                <w:szCs w:val="21"/>
                <w:u w:val="single"/>
                <w:lang w:val="en-US" w:eastAsia="zh-CN"/>
              </w:rPr>
              <w:t xml:space="preserve">                 </w:t>
            </w:r>
          </w:p>
          <w:p w14:paraId="6C80FCF7">
            <w:pPr>
              <w:pStyle w:val="1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u w:val="single"/>
                <w:lang w:val="en-US" w:eastAsia="zh-CN"/>
              </w:rPr>
            </w:pPr>
            <w:r>
              <w:rPr>
                <w:rFonts w:hint="eastAsia" w:ascii="宋体" w:hAnsi="宋体" w:eastAsia="宋体" w:cs="宋体"/>
                <w:b w:val="0"/>
                <w:bCs w:val="0"/>
                <w:color w:val="auto"/>
                <w:spacing w:val="0"/>
                <w:sz w:val="21"/>
                <w:szCs w:val="21"/>
                <w:u w:val="none"/>
                <w:lang w:eastAsia="zh-CN"/>
              </w:rPr>
              <w:t>供应商名称：</w:t>
            </w:r>
            <w:r>
              <w:rPr>
                <w:rFonts w:hint="eastAsia" w:ascii="宋体" w:hAnsi="宋体" w:eastAsia="宋体" w:cs="宋体"/>
                <w:b w:val="0"/>
                <w:bCs w:val="0"/>
                <w:color w:val="auto"/>
                <w:spacing w:val="0"/>
                <w:sz w:val="21"/>
                <w:szCs w:val="21"/>
                <w:u w:val="single"/>
                <w:lang w:val="en-US" w:eastAsia="zh-CN"/>
              </w:rPr>
              <w:t xml:space="preserve">                 </w:t>
            </w:r>
          </w:p>
          <w:p w14:paraId="765DD192">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宋体" w:hAnsi="宋体" w:eastAsia="宋体" w:cs="宋体"/>
                <w:b w:val="0"/>
                <w:bCs w:val="0"/>
                <w:color w:val="auto"/>
                <w:spacing w:val="0"/>
                <w:sz w:val="21"/>
                <w:szCs w:val="21"/>
                <w:u w:val="single"/>
                <w:lang w:val="en-US" w:eastAsia="zh-CN"/>
              </w:rPr>
            </w:pPr>
            <w:r>
              <w:rPr>
                <w:rFonts w:hint="eastAsia" w:ascii="宋体" w:hAnsi="宋体" w:eastAsia="宋体" w:cs="宋体"/>
                <w:b w:val="0"/>
                <w:bCs w:val="0"/>
                <w:color w:val="auto"/>
                <w:spacing w:val="0"/>
                <w:sz w:val="21"/>
                <w:szCs w:val="21"/>
                <w:u w:val="none"/>
                <w:lang w:val="en-US" w:eastAsia="zh-CN"/>
              </w:rPr>
              <w:t>法定代表人或其委托代理人姓名：</w:t>
            </w:r>
            <w:r>
              <w:rPr>
                <w:rFonts w:hint="eastAsia" w:ascii="宋体" w:hAnsi="宋体" w:eastAsia="宋体" w:cs="宋体"/>
                <w:b w:val="0"/>
                <w:bCs w:val="0"/>
                <w:color w:val="auto"/>
                <w:spacing w:val="0"/>
                <w:sz w:val="21"/>
                <w:szCs w:val="21"/>
                <w:u w:val="single"/>
                <w:lang w:val="en-US" w:eastAsia="zh-CN"/>
              </w:rPr>
              <w:t xml:space="preserve">                  </w:t>
            </w:r>
          </w:p>
          <w:p w14:paraId="03A0CA54">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宋体" w:hAnsi="宋体" w:eastAsia="宋体" w:cs="Times New Roman"/>
                <w:b w:val="0"/>
                <w:bCs w:val="0"/>
                <w:color w:val="auto"/>
                <w:szCs w:val="21"/>
                <w:highlight w:val="none"/>
                <w:u w:val="single"/>
                <w:lang w:eastAsia="zh-CN"/>
              </w:rPr>
            </w:pPr>
            <w:r>
              <w:rPr>
                <w:rFonts w:hint="eastAsia" w:ascii="宋体" w:hAnsi="宋体" w:eastAsia="宋体" w:cs="宋体"/>
                <w:b w:val="0"/>
                <w:bCs w:val="0"/>
                <w:color w:val="auto"/>
                <w:spacing w:val="0"/>
                <w:sz w:val="21"/>
                <w:szCs w:val="21"/>
                <w:u w:val="none"/>
                <w:lang w:val="en-US" w:eastAsia="zh-CN"/>
              </w:rPr>
              <w:t>法定代表人或其委托代理人手机号码：</w:t>
            </w:r>
            <w:r>
              <w:rPr>
                <w:rFonts w:hint="eastAsia" w:ascii="宋体" w:hAnsi="宋体" w:eastAsia="宋体" w:cs="宋体"/>
                <w:b w:val="0"/>
                <w:bCs w:val="0"/>
                <w:color w:val="auto"/>
                <w:spacing w:val="0"/>
                <w:sz w:val="21"/>
                <w:szCs w:val="21"/>
                <w:u w:val="single"/>
                <w:lang w:val="en-US" w:eastAsia="zh-CN"/>
              </w:rPr>
              <w:t xml:space="preserve">                  </w:t>
            </w:r>
          </w:p>
          <w:p w14:paraId="4B06E039">
            <w:pPr>
              <w:pStyle w:val="8"/>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宋体" w:hAnsi="宋体" w:cs="宋体"/>
                <w:color w:val="auto"/>
                <w:szCs w:val="21"/>
              </w:rPr>
            </w:pPr>
            <w:r>
              <w:rPr>
                <w:rFonts w:hint="eastAsia" w:ascii="Times New Roman" w:hAnsi="Times New Roman" w:eastAsia="宋体" w:cs="Times New Roman"/>
                <w:b w:val="0"/>
                <w:bCs w:val="0"/>
                <w:color w:val="auto"/>
                <w:spacing w:val="-3"/>
                <w:sz w:val="21"/>
                <w:lang w:eastAsia="zh-CN"/>
              </w:rPr>
              <w:t>（</w:t>
            </w:r>
            <w:r>
              <w:rPr>
                <w:rFonts w:hint="eastAsia" w:ascii="Times New Roman" w:hAnsi="Times New Roman" w:eastAsia="宋体" w:cs="Times New Roman"/>
                <w:b w:val="0"/>
                <w:bCs w:val="0"/>
                <w:color w:val="auto"/>
                <w:spacing w:val="-3"/>
                <w:sz w:val="21"/>
                <w:lang w:val="en-US" w:eastAsia="zh-CN"/>
              </w:rPr>
              <w:t>4</w:t>
            </w:r>
            <w:r>
              <w:rPr>
                <w:rFonts w:hint="eastAsia" w:ascii="Times New Roman" w:hAnsi="Times New Roman" w:eastAsia="宋体" w:cs="Times New Roman"/>
                <w:b w:val="0"/>
                <w:bCs w:val="0"/>
                <w:color w:val="auto"/>
                <w:spacing w:val="-3"/>
                <w:sz w:val="21"/>
                <w:lang w:eastAsia="zh-CN"/>
              </w:rPr>
              <w:t>）</w:t>
            </w:r>
            <w:r>
              <w:rPr>
                <w:rFonts w:ascii="Times New Roman" w:hAnsi="Times New Roman" w:eastAsia="宋体" w:cs="Times New Roman"/>
                <w:b w:val="0"/>
                <w:bCs w:val="0"/>
                <w:color w:val="auto"/>
                <w:spacing w:val="-3"/>
                <w:sz w:val="21"/>
              </w:rPr>
              <w:t>响应文件启用顺序和效力：响应文件的启用，按先后顺位</w:t>
            </w:r>
            <w:r>
              <w:rPr>
                <w:rFonts w:ascii="Times New Roman" w:hAnsi="Times New Roman" w:eastAsia="宋体" w:cs="Times New Roman"/>
                <w:color w:val="auto"/>
                <w:spacing w:val="-3"/>
                <w:sz w:val="21"/>
              </w:rPr>
              <w:t>分别为电子响应文件、以介质存储的数据电文形式的电子备份响应文件。顺位在先的响应文件已按时解密的</w:t>
            </w:r>
            <w:r>
              <w:rPr>
                <w:rFonts w:hint="eastAsia" w:ascii="Times New Roman" w:hAnsi="Times New Roman" w:eastAsia="宋体" w:cs="Times New Roman"/>
                <w:color w:val="auto"/>
                <w:spacing w:val="-3"/>
                <w:sz w:val="21"/>
                <w:lang w:eastAsia="zh-CN"/>
              </w:rPr>
              <w:t>，</w:t>
            </w:r>
            <w:r>
              <w:rPr>
                <w:rFonts w:ascii="Times New Roman" w:hAnsi="Times New Roman" w:eastAsia="宋体" w:cs="Times New Roman"/>
                <w:color w:val="auto"/>
                <w:spacing w:val="-3"/>
                <w:sz w:val="21"/>
              </w:rPr>
              <w:t>下一顺位响应文件自动失效。在下一顺位的响应文件启用时，前一顺位的响应文件自动失效。</w:t>
            </w:r>
          </w:p>
        </w:tc>
      </w:tr>
      <w:tr w14:paraId="5BCB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2BF5D5F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713D40CF">
            <w:pPr>
              <w:keepNext w:val="0"/>
              <w:keepLines w:val="0"/>
              <w:pageBreakBefore w:val="0"/>
              <w:widowControl w:val="0"/>
              <w:kinsoku/>
              <w:wordWrap/>
              <w:overflowPunct/>
              <w:topLinePunct w:val="0"/>
              <w:autoSpaceDE/>
              <w:autoSpaceDN/>
              <w:bidi w:val="0"/>
              <w:adjustRightInd/>
              <w:spacing w:line="400" w:lineRule="exact"/>
              <w:jc w:val="center"/>
              <w:textAlignment w:val="auto"/>
              <w:rPr>
                <w:color w:val="auto"/>
              </w:rPr>
            </w:pPr>
            <w:r>
              <w:rPr>
                <w:rFonts w:hint="eastAsia"/>
                <w:color w:val="auto"/>
                <w:lang w:eastAsia="zh-CN"/>
              </w:rPr>
              <w:t>竞标</w:t>
            </w:r>
            <w:r>
              <w:rPr>
                <w:rFonts w:hint="eastAsia"/>
                <w:color w:val="auto"/>
              </w:rPr>
              <w:t>有效期</w:t>
            </w:r>
          </w:p>
        </w:tc>
        <w:tc>
          <w:tcPr>
            <w:tcW w:w="7164" w:type="dxa"/>
            <w:tcBorders>
              <w:top w:val="single" w:color="auto" w:sz="4" w:space="0"/>
              <w:left w:val="single" w:color="auto" w:sz="4" w:space="0"/>
              <w:bottom w:val="single" w:color="auto" w:sz="4" w:space="0"/>
              <w:right w:val="single" w:color="auto" w:sz="4" w:space="0"/>
            </w:tcBorders>
            <w:vAlign w:val="center"/>
          </w:tcPr>
          <w:p w14:paraId="791E93BD">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color w:val="auto"/>
                <w:lang w:eastAsia="zh-CN"/>
              </w:rPr>
              <w:t>竞</w:t>
            </w:r>
            <w:r>
              <w:rPr>
                <w:rFonts w:hint="eastAsia" w:ascii="宋体" w:hAnsi="宋体" w:cs="宋体"/>
                <w:color w:val="auto"/>
                <w:szCs w:val="21"/>
                <w:lang w:eastAsia="zh-CN"/>
              </w:rPr>
              <w:t>标</w:t>
            </w:r>
            <w:r>
              <w:rPr>
                <w:rFonts w:hint="eastAsia" w:ascii="宋体" w:hAnsi="宋体" w:cs="宋体"/>
                <w:color w:val="auto"/>
                <w:szCs w:val="21"/>
              </w:rPr>
              <w:t>有效期：</w:t>
            </w:r>
            <w:r>
              <w:rPr>
                <w:rFonts w:hint="eastAsia"/>
                <w:color w:val="auto"/>
                <w:lang w:eastAsia="zh-CN"/>
              </w:rPr>
              <w:t>竞</w:t>
            </w:r>
            <w:r>
              <w:rPr>
                <w:rFonts w:hint="eastAsia" w:ascii="宋体" w:hAnsi="宋体" w:cs="宋体"/>
                <w:color w:val="auto"/>
                <w:szCs w:val="21"/>
                <w:lang w:eastAsia="zh-CN"/>
              </w:rPr>
              <w:t>标</w:t>
            </w:r>
            <w:r>
              <w:rPr>
                <w:rFonts w:hint="eastAsia" w:ascii="宋体" w:hAnsi="宋体" w:cs="宋体"/>
                <w:color w:val="auto"/>
                <w:szCs w:val="21"/>
              </w:rPr>
              <w:t>截止日期后60天</w:t>
            </w:r>
          </w:p>
        </w:tc>
      </w:tr>
      <w:tr w14:paraId="1F8A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49AC804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7</w:t>
            </w:r>
          </w:p>
        </w:tc>
        <w:tc>
          <w:tcPr>
            <w:tcW w:w="1992" w:type="dxa"/>
            <w:tcBorders>
              <w:top w:val="single" w:color="auto" w:sz="4" w:space="0"/>
              <w:left w:val="single" w:color="auto" w:sz="4" w:space="0"/>
              <w:bottom w:val="single" w:color="auto" w:sz="4" w:space="0"/>
              <w:right w:val="single" w:color="auto" w:sz="4" w:space="0"/>
            </w:tcBorders>
            <w:vAlign w:val="center"/>
          </w:tcPr>
          <w:p w14:paraId="0B234E37">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磋商保证金</w:t>
            </w:r>
          </w:p>
        </w:tc>
        <w:tc>
          <w:tcPr>
            <w:tcW w:w="7164" w:type="dxa"/>
            <w:tcBorders>
              <w:top w:val="single" w:color="auto" w:sz="4" w:space="0"/>
              <w:left w:val="single" w:color="auto" w:sz="4" w:space="0"/>
              <w:bottom w:val="single" w:color="auto" w:sz="4" w:space="0"/>
              <w:right w:val="single" w:color="auto" w:sz="4" w:space="0"/>
            </w:tcBorders>
            <w:vAlign w:val="center"/>
          </w:tcPr>
          <w:p w14:paraId="2E9AC59C">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本项目收取</w:t>
            </w:r>
            <w:r>
              <w:rPr>
                <w:rFonts w:hint="eastAsia" w:ascii="宋体" w:hAnsi="宋体"/>
                <w:color w:val="auto"/>
                <w:szCs w:val="21"/>
                <w:lang w:eastAsia="zh-CN"/>
              </w:rPr>
              <w:t>磋商</w:t>
            </w:r>
            <w:r>
              <w:rPr>
                <w:rFonts w:hint="eastAsia" w:ascii="宋体" w:hAnsi="宋体"/>
                <w:color w:val="auto"/>
                <w:szCs w:val="21"/>
              </w:rPr>
              <w:t>保证金</w:t>
            </w:r>
            <w:r>
              <w:rPr>
                <w:rFonts w:hint="eastAsia" w:ascii="宋体" w:hAnsi="宋体"/>
                <w:color w:val="auto"/>
                <w:szCs w:val="21"/>
                <w:lang w:eastAsia="zh-CN"/>
              </w:rPr>
              <w:t>：</w:t>
            </w:r>
            <w:r>
              <w:rPr>
                <w:rFonts w:hint="eastAsia" w:ascii="宋体" w:hAnsi="宋体"/>
                <w:color w:val="auto"/>
                <w:szCs w:val="21"/>
                <w:lang w:val="en-US" w:eastAsia="zh-CN"/>
              </w:rPr>
              <w:t>9000元</w:t>
            </w:r>
            <w:r>
              <w:rPr>
                <w:rFonts w:hint="eastAsia" w:ascii="宋体" w:hAnsi="宋体"/>
                <w:color w:val="auto"/>
                <w:szCs w:val="21"/>
              </w:rPr>
              <w:t>。</w:t>
            </w:r>
          </w:p>
          <w:p w14:paraId="2C878EFF">
            <w:pPr>
              <w:snapToGrid w:val="0"/>
              <w:spacing w:line="360" w:lineRule="auto"/>
              <w:rPr>
                <w:rFonts w:hint="eastAsia" w:ascii="宋体" w:hAnsi="宋体"/>
                <w:color w:val="auto"/>
                <w:szCs w:val="21"/>
                <w:highlight w:val="none"/>
              </w:rPr>
            </w:pPr>
            <w:r>
              <w:rPr>
                <w:rFonts w:hint="eastAsia" w:ascii="宋体" w:hAnsi="宋体" w:cs="宋体"/>
                <w:color w:val="auto"/>
                <w:kern w:val="0"/>
                <w:szCs w:val="21"/>
                <w:highlight w:val="none"/>
                <w:lang w:eastAsia="zh-CN"/>
              </w:rPr>
              <w:t>磋商</w:t>
            </w:r>
            <w:r>
              <w:rPr>
                <w:rFonts w:hint="eastAsia" w:ascii="宋体" w:hAnsi="宋体" w:cs="宋体"/>
                <w:color w:val="auto"/>
                <w:kern w:val="0"/>
                <w:szCs w:val="21"/>
                <w:highlight w:val="none"/>
              </w:rPr>
              <w:t>保证金的交纳方式：银行转账、支票、汇票、本票或者金融、担保机构出具的保函，禁止采用现钞方式。采用银行转账方式的，在响应文件提交截止时间前交至指定账户并且到账（开户银行：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中国建设银行股份有限公司钦州新兴街支行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，开户名称：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广西中烨项目管理有限公司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，银行账号：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45050165986100000773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）；采用支票、汇票、本票或者保函等方式的，在响应文件提交截止时间前，供应商必须提交支票、汇票、本票或者保函原件。否则视为无效</w:t>
            </w:r>
            <w:r>
              <w:rPr>
                <w:rFonts w:hint="eastAsia" w:ascii="宋体" w:hAnsi="宋体" w:cs="宋体"/>
                <w:color w:val="auto"/>
                <w:kern w:val="0"/>
                <w:szCs w:val="21"/>
                <w:highlight w:val="none"/>
                <w:lang w:eastAsia="zh-CN"/>
              </w:rPr>
              <w:t>磋商</w:t>
            </w:r>
            <w:r>
              <w:rPr>
                <w:rFonts w:hint="eastAsia" w:ascii="宋体" w:hAnsi="宋体" w:cs="宋体"/>
                <w:color w:val="auto"/>
                <w:kern w:val="0"/>
                <w:szCs w:val="21"/>
                <w:highlight w:val="none"/>
              </w:rPr>
              <w:t>保证金。</w:t>
            </w:r>
          </w:p>
          <w:p w14:paraId="339BC0D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相关要求：</w:t>
            </w:r>
          </w:p>
          <w:p w14:paraId="566A0FF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保证金采用银行转账交纳方式的，在响应文件提交截止时间前交至指定账户并且到账，供应商应将银行转账底单的复印件作为</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保证金提交凭证，放置于</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文件资格审查部分中</w:t>
            </w:r>
            <w:r>
              <w:rPr>
                <w:rFonts w:hint="eastAsia" w:ascii="宋体" w:hAnsi="宋体" w:cs="宋体"/>
                <w:color w:val="auto"/>
                <w:szCs w:val="21"/>
                <w:highlight w:val="none"/>
              </w:rPr>
              <w:t>，</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28DC6578">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磋商</w:t>
            </w:r>
            <w:r>
              <w:rPr>
                <w:rFonts w:hint="eastAsia" w:ascii="宋体" w:hAnsi="宋体"/>
                <w:color w:val="auto"/>
                <w:szCs w:val="21"/>
                <w:highlight w:val="none"/>
              </w:rPr>
              <w:t>保证金采用支票、汇票、本票或者金融、担保机构出具的保函交纳方式的，供应商应将支票、汇票、本票或者金融、担保机构出具的保函的复印件作为</w:t>
            </w:r>
            <w:r>
              <w:rPr>
                <w:rFonts w:hint="eastAsia" w:ascii="宋体" w:hAnsi="宋体"/>
                <w:color w:val="auto"/>
                <w:szCs w:val="21"/>
                <w:highlight w:val="none"/>
                <w:lang w:eastAsia="zh-CN"/>
              </w:rPr>
              <w:t>磋商</w:t>
            </w:r>
            <w:r>
              <w:rPr>
                <w:rFonts w:hint="eastAsia" w:ascii="宋体" w:hAnsi="宋体"/>
                <w:color w:val="auto"/>
                <w:szCs w:val="21"/>
                <w:highlight w:val="none"/>
              </w:rPr>
              <w:t>保证金提交凭证，放置于</w:t>
            </w:r>
            <w:r>
              <w:rPr>
                <w:rFonts w:hint="eastAsia" w:ascii="宋体" w:hAnsi="宋体" w:eastAsia="宋体" w:cs="宋体"/>
                <w:color w:val="auto"/>
                <w:szCs w:val="21"/>
                <w:highlight w:val="none"/>
                <w:lang w:eastAsia="zh-CN"/>
              </w:rPr>
              <w:t>响</w:t>
            </w:r>
            <w:r>
              <w:rPr>
                <w:rFonts w:hint="eastAsia" w:ascii="宋体" w:hAnsi="宋体" w:eastAsia="宋体" w:cs="Times New Roman"/>
                <w:color w:val="auto"/>
                <w:szCs w:val="21"/>
                <w:highlight w:val="none"/>
                <w:lang w:eastAsia="zh-CN"/>
              </w:rPr>
              <w:t>应</w:t>
            </w:r>
            <w:r>
              <w:rPr>
                <w:rFonts w:hint="eastAsia" w:ascii="宋体" w:hAnsi="宋体" w:eastAsia="宋体" w:cs="Times New Roman"/>
                <w:color w:val="auto"/>
                <w:szCs w:val="21"/>
                <w:highlight w:val="none"/>
              </w:rPr>
              <w:t>文件资格审查部分中</w:t>
            </w:r>
            <w:r>
              <w:rPr>
                <w:rFonts w:hint="eastAsia" w:ascii="宋体" w:hAnsi="宋体"/>
                <w:color w:val="auto"/>
                <w:szCs w:val="21"/>
                <w:highlight w:val="none"/>
              </w:rPr>
              <w:t>，</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w:t>
            </w:r>
            <w:r>
              <w:rPr>
                <w:rFonts w:hint="eastAsia" w:ascii="宋体" w:hAnsi="宋体" w:eastAsia="宋体" w:cs="Times New Roman"/>
                <w:color w:val="auto"/>
                <w:szCs w:val="21"/>
                <w:highlight w:val="none"/>
              </w:rPr>
              <w:t>须在响应文件提交截止时间前将支票、汇票、本票或者金融、</w:t>
            </w:r>
            <w:r>
              <w:rPr>
                <w:rFonts w:hint="eastAsia" w:ascii="宋体" w:hAnsi="宋体"/>
                <w:color w:val="auto"/>
                <w:szCs w:val="21"/>
                <w:highlight w:val="none"/>
              </w:rPr>
              <w:t>担保机构出具的保函原件提交给采购人或者采购代理机构，由采购人或者采购代理机构向供应商出具回执，并妥善保管。</w:t>
            </w:r>
          </w:p>
          <w:p w14:paraId="6A6424B2">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14:paraId="6517F390">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eastAsia="zh-CN"/>
              </w:rPr>
              <w:t>磋商</w:t>
            </w:r>
            <w:r>
              <w:rPr>
                <w:rFonts w:hint="eastAsia" w:ascii="宋体" w:hAnsi="宋体" w:cs="宋体"/>
                <w:b/>
                <w:color w:val="auto"/>
                <w:szCs w:val="21"/>
                <w:highlight w:val="none"/>
              </w:rPr>
              <w:t>保证金在响应文件提交截止时间后提交的，或者不按规定交纳方式交纳的，或者未足额交纳的（包含保函额度不足的），视为无效</w:t>
            </w:r>
            <w:r>
              <w:rPr>
                <w:rFonts w:hint="eastAsia" w:ascii="宋体" w:hAnsi="宋体" w:cs="宋体"/>
                <w:b/>
                <w:color w:val="auto"/>
                <w:szCs w:val="21"/>
                <w:highlight w:val="none"/>
                <w:lang w:eastAsia="zh-CN"/>
              </w:rPr>
              <w:t>磋商</w:t>
            </w:r>
            <w:r>
              <w:rPr>
                <w:rFonts w:hint="eastAsia" w:ascii="宋体" w:hAnsi="宋体" w:cs="宋体"/>
                <w:b/>
                <w:color w:val="auto"/>
                <w:szCs w:val="21"/>
                <w:highlight w:val="none"/>
              </w:rPr>
              <w:t>保证金。</w:t>
            </w:r>
          </w:p>
          <w:p w14:paraId="0E283AEF">
            <w:pPr>
              <w:snapToGrid w:val="0"/>
              <w:spacing w:line="360" w:lineRule="auto"/>
              <w:rPr>
                <w:rFonts w:hint="eastAsia" w:ascii="宋体" w:hAnsi="宋体" w:eastAsia="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w:t>
            </w:r>
            <w:r>
              <w:rPr>
                <w:rFonts w:hint="eastAsia" w:ascii="宋体" w:hAnsi="宋体" w:cs="宋体"/>
                <w:b/>
                <w:color w:val="auto"/>
                <w:szCs w:val="21"/>
                <w:highlight w:val="none"/>
                <w:lang w:eastAsia="zh-CN"/>
              </w:rPr>
              <w:t>磋商</w:t>
            </w:r>
            <w:r>
              <w:rPr>
                <w:rFonts w:hint="eastAsia" w:ascii="宋体" w:hAnsi="宋体" w:cs="宋体"/>
                <w:b/>
                <w:color w:val="auto"/>
                <w:szCs w:val="21"/>
                <w:highlight w:val="none"/>
              </w:rPr>
              <w:t>保证金，视为</w:t>
            </w:r>
            <w:r>
              <w:rPr>
                <w:rFonts w:hint="eastAsia" w:ascii="宋体" w:hAnsi="宋体" w:eastAsia="宋体" w:cs="宋体"/>
                <w:b/>
                <w:color w:val="auto"/>
                <w:szCs w:val="21"/>
                <w:highlight w:val="none"/>
              </w:rPr>
              <w:t>无效</w:t>
            </w:r>
            <w:r>
              <w:rPr>
                <w:rFonts w:hint="eastAsia" w:ascii="宋体" w:hAnsi="宋体" w:eastAsia="宋体" w:cs="宋体"/>
                <w:b/>
                <w:color w:val="auto"/>
                <w:szCs w:val="21"/>
                <w:highlight w:val="none"/>
                <w:lang w:eastAsia="zh-CN"/>
              </w:rPr>
              <w:t>磋商</w:t>
            </w:r>
            <w:r>
              <w:rPr>
                <w:rFonts w:hint="eastAsia" w:ascii="宋体" w:hAnsi="宋体" w:eastAsia="宋体" w:cs="宋体"/>
                <w:b/>
                <w:color w:val="auto"/>
                <w:szCs w:val="21"/>
                <w:highlight w:val="none"/>
              </w:rPr>
              <w:t>保证金。</w:t>
            </w:r>
          </w:p>
          <w:p w14:paraId="3070FE0D">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w:t>
            </w:r>
            <w:r>
              <w:rPr>
                <w:rFonts w:hint="eastAsia" w:ascii="宋体" w:hAnsi="宋体" w:eastAsia="宋体" w:cs="宋体"/>
                <w:b/>
                <w:color w:val="auto"/>
                <w:szCs w:val="21"/>
                <w:highlight w:val="none"/>
                <w:lang w:eastAsia="zh-CN"/>
              </w:rPr>
              <w:t>磋商</w:t>
            </w:r>
            <w:r>
              <w:rPr>
                <w:rFonts w:hint="eastAsia" w:ascii="宋体" w:hAnsi="宋体" w:eastAsia="宋体" w:cs="宋体"/>
                <w:b/>
                <w:color w:val="auto"/>
                <w:szCs w:val="21"/>
                <w:highlight w:val="none"/>
              </w:rPr>
              <w:t>保证金。</w:t>
            </w:r>
          </w:p>
          <w:p w14:paraId="20D0AF43">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4.保函有效期低于竞标有效期的，视为无效</w:t>
            </w:r>
            <w:r>
              <w:rPr>
                <w:rFonts w:hint="eastAsia" w:ascii="宋体" w:hAnsi="宋体" w:eastAsia="宋体" w:cs="宋体"/>
                <w:b/>
                <w:color w:val="auto"/>
                <w:szCs w:val="21"/>
                <w:highlight w:val="none"/>
                <w:lang w:eastAsia="zh-CN"/>
              </w:rPr>
              <w:t>磋商</w:t>
            </w:r>
            <w:r>
              <w:rPr>
                <w:rFonts w:hint="eastAsia" w:ascii="宋体" w:hAnsi="宋体" w:eastAsia="宋体" w:cs="宋体"/>
                <w:b/>
                <w:color w:val="auto"/>
                <w:szCs w:val="21"/>
                <w:highlight w:val="none"/>
              </w:rPr>
              <w:t>保证金。</w:t>
            </w:r>
          </w:p>
          <w:p w14:paraId="1CE9CF4D">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eastAsia="宋体"/>
                <w:color w:val="auto"/>
                <w:lang w:eastAsia="zh-CN"/>
              </w:rPr>
            </w:pPr>
            <w:r>
              <w:rPr>
                <w:rFonts w:hint="eastAsia" w:ascii="宋体" w:hAnsi="宋体" w:eastAsia="宋体" w:cs="宋体"/>
                <w:b/>
                <w:color w:val="auto"/>
                <w:szCs w:val="21"/>
                <w:highlight w:val="none"/>
              </w:rPr>
              <w:t>5.采用金融、担保机构出具保函的，必须为无条件保函，否则视为无效</w:t>
            </w:r>
            <w:r>
              <w:rPr>
                <w:rFonts w:hint="eastAsia" w:ascii="宋体" w:hAnsi="宋体" w:eastAsia="宋体" w:cs="宋体"/>
                <w:b/>
                <w:color w:val="auto"/>
                <w:szCs w:val="21"/>
                <w:highlight w:val="none"/>
                <w:lang w:eastAsia="zh-CN"/>
              </w:rPr>
              <w:t>磋商</w:t>
            </w:r>
            <w:r>
              <w:rPr>
                <w:rFonts w:hint="eastAsia" w:ascii="宋体" w:hAnsi="宋体" w:eastAsia="宋体" w:cs="宋体"/>
                <w:b/>
                <w:color w:val="auto"/>
                <w:szCs w:val="21"/>
                <w:highlight w:val="none"/>
              </w:rPr>
              <w:t>保证金。</w:t>
            </w:r>
          </w:p>
        </w:tc>
      </w:tr>
      <w:tr w14:paraId="6371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0BE3B30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8</w:t>
            </w:r>
          </w:p>
        </w:tc>
        <w:tc>
          <w:tcPr>
            <w:tcW w:w="1992" w:type="dxa"/>
            <w:tcBorders>
              <w:top w:val="single" w:color="auto" w:sz="4" w:space="0"/>
              <w:left w:val="single" w:color="auto" w:sz="4" w:space="0"/>
              <w:bottom w:val="single" w:color="auto" w:sz="4" w:space="0"/>
              <w:right w:val="single" w:color="auto" w:sz="4" w:space="0"/>
            </w:tcBorders>
            <w:vAlign w:val="center"/>
          </w:tcPr>
          <w:p w14:paraId="4384B2D0">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hAnsi="宋体" w:cs="宋体"/>
                <w:color w:val="auto"/>
                <w:lang w:eastAsia="zh-CN"/>
              </w:rPr>
              <w:t>响应</w:t>
            </w:r>
            <w:r>
              <w:rPr>
                <w:rFonts w:hint="eastAsia" w:hAnsi="宋体" w:cs="宋体"/>
                <w:color w:val="auto"/>
              </w:rPr>
              <w:t>文件递交截止时间和地点</w:t>
            </w:r>
          </w:p>
        </w:tc>
        <w:tc>
          <w:tcPr>
            <w:tcW w:w="7164" w:type="dxa"/>
            <w:tcBorders>
              <w:top w:val="single" w:color="auto" w:sz="4" w:space="0"/>
              <w:left w:val="single" w:color="auto" w:sz="4" w:space="0"/>
              <w:bottom w:val="single" w:color="auto" w:sz="4" w:space="0"/>
              <w:right w:val="single" w:color="auto" w:sz="4" w:space="0"/>
            </w:tcBorders>
            <w:vAlign w:val="center"/>
          </w:tcPr>
          <w:p w14:paraId="48ECD002">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ascii="宋体" w:hAnsi="宋体" w:cs="宋体"/>
                <w:color w:val="auto"/>
                <w:szCs w:val="21"/>
              </w:rPr>
              <w:t>详见竞争性磋商公告</w:t>
            </w:r>
          </w:p>
        </w:tc>
      </w:tr>
      <w:tr w14:paraId="69E8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691449A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9</w:t>
            </w:r>
          </w:p>
        </w:tc>
        <w:tc>
          <w:tcPr>
            <w:tcW w:w="1992" w:type="dxa"/>
            <w:tcBorders>
              <w:top w:val="single" w:color="auto" w:sz="4" w:space="0"/>
              <w:left w:val="single" w:color="auto" w:sz="4" w:space="0"/>
              <w:bottom w:val="single" w:color="auto" w:sz="4" w:space="0"/>
              <w:right w:val="single" w:color="auto" w:sz="4" w:space="0"/>
            </w:tcBorders>
            <w:vAlign w:val="center"/>
          </w:tcPr>
          <w:p w14:paraId="01CAD487">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rPr>
              <w:t>评标委员会的组建</w:t>
            </w:r>
          </w:p>
        </w:tc>
        <w:tc>
          <w:tcPr>
            <w:tcW w:w="7164" w:type="dxa"/>
            <w:tcBorders>
              <w:top w:val="single" w:color="auto" w:sz="4" w:space="0"/>
              <w:left w:val="single" w:color="auto" w:sz="4" w:space="0"/>
              <w:bottom w:val="single" w:color="auto" w:sz="4" w:space="0"/>
              <w:right w:val="single" w:color="auto" w:sz="4" w:space="0"/>
            </w:tcBorders>
            <w:vAlign w:val="center"/>
          </w:tcPr>
          <w:p w14:paraId="2CA17A56">
            <w:pPr>
              <w:pStyle w:val="12"/>
              <w:keepNext w:val="0"/>
              <w:keepLines w:val="0"/>
              <w:pageBreakBefore w:val="0"/>
              <w:widowControl w:val="0"/>
              <w:kinsoku/>
              <w:wordWrap/>
              <w:overflowPunct/>
              <w:topLinePunct w:val="0"/>
              <w:autoSpaceDE/>
              <w:autoSpaceDN/>
              <w:bidi w:val="0"/>
              <w:adjustRightInd/>
              <w:spacing w:line="400" w:lineRule="exact"/>
              <w:jc w:val="left"/>
              <w:textAlignment w:val="auto"/>
              <w:rPr>
                <w:rFonts w:hAnsi="宋体" w:cs="宋体"/>
                <w:color w:val="auto"/>
              </w:rPr>
            </w:pPr>
            <w:r>
              <w:rPr>
                <w:rFonts w:hint="eastAsia" w:hAnsi="宋体" w:cs="宋体"/>
                <w:color w:val="auto"/>
              </w:rPr>
              <w:t>评标委员会构成：</w:t>
            </w:r>
            <w:r>
              <w:rPr>
                <w:rFonts w:hint="eastAsia" w:hAnsi="宋体" w:cs="宋体"/>
                <w:color w:val="auto"/>
                <w:lang w:val="en-US" w:eastAsia="zh-CN"/>
              </w:rPr>
              <w:t>3</w:t>
            </w:r>
            <w:r>
              <w:rPr>
                <w:rFonts w:hint="eastAsia" w:hAnsi="宋体" w:cs="宋体"/>
                <w:color w:val="auto"/>
              </w:rPr>
              <w:t>人，其中采购单位代表</w:t>
            </w:r>
            <w:r>
              <w:rPr>
                <w:rFonts w:hint="eastAsia" w:hAnsi="宋体" w:cs="宋体"/>
                <w:color w:val="auto"/>
                <w:lang w:val="en-US" w:eastAsia="zh-CN"/>
              </w:rPr>
              <w:t>1</w:t>
            </w:r>
            <w:r>
              <w:rPr>
                <w:rFonts w:hint="eastAsia" w:hAnsi="宋体" w:cs="宋体"/>
                <w:color w:val="auto"/>
              </w:rPr>
              <w:t>人，专家</w:t>
            </w:r>
            <w:r>
              <w:rPr>
                <w:rFonts w:hint="eastAsia" w:hAnsi="宋体" w:cs="宋体"/>
                <w:color w:val="auto"/>
                <w:lang w:val="en-US" w:eastAsia="zh-CN"/>
              </w:rPr>
              <w:t>2</w:t>
            </w:r>
            <w:r>
              <w:rPr>
                <w:rFonts w:hint="eastAsia" w:hAnsi="宋体" w:cs="宋体"/>
                <w:color w:val="auto"/>
              </w:rPr>
              <w:t>人；</w:t>
            </w:r>
          </w:p>
          <w:p w14:paraId="31920981">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ascii="宋体" w:hAnsi="宋体" w:cs="宋体"/>
                <w:color w:val="auto"/>
                <w:szCs w:val="21"/>
              </w:rPr>
              <w:t>评标专家确定方式：随机抽取。</w:t>
            </w:r>
          </w:p>
        </w:tc>
      </w:tr>
      <w:tr w14:paraId="728F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3138840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1992" w:type="dxa"/>
            <w:tcBorders>
              <w:top w:val="single" w:color="auto" w:sz="4" w:space="0"/>
              <w:left w:val="single" w:color="auto" w:sz="4" w:space="0"/>
              <w:bottom w:val="single" w:color="auto" w:sz="4" w:space="0"/>
              <w:right w:val="single" w:color="auto" w:sz="4" w:space="0"/>
            </w:tcBorders>
            <w:vAlign w:val="center"/>
          </w:tcPr>
          <w:p w14:paraId="23FC0F95">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磋商时间和地点</w:t>
            </w:r>
          </w:p>
        </w:tc>
        <w:tc>
          <w:tcPr>
            <w:tcW w:w="7164" w:type="dxa"/>
            <w:tcBorders>
              <w:top w:val="single" w:color="auto" w:sz="4" w:space="0"/>
              <w:left w:val="single" w:color="auto" w:sz="4" w:space="0"/>
              <w:bottom w:val="single" w:color="auto" w:sz="4" w:space="0"/>
              <w:right w:val="single" w:color="auto" w:sz="4" w:space="0"/>
            </w:tcBorders>
            <w:vAlign w:val="center"/>
          </w:tcPr>
          <w:p w14:paraId="6C142445">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ascii="宋体" w:hAnsi="宋体" w:cs="宋体"/>
                <w:color w:val="auto"/>
                <w:szCs w:val="21"/>
              </w:rPr>
              <w:t>详见竞争性磋商公告</w:t>
            </w:r>
          </w:p>
        </w:tc>
      </w:tr>
      <w:tr w14:paraId="413E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25DD6A7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64B5EFF2">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评标方法</w:t>
            </w:r>
          </w:p>
        </w:tc>
        <w:tc>
          <w:tcPr>
            <w:tcW w:w="7164" w:type="dxa"/>
            <w:tcBorders>
              <w:top w:val="single" w:color="auto" w:sz="4" w:space="0"/>
              <w:left w:val="single" w:color="auto" w:sz="4" w:space="0"/>
              <w:bottom w:val="single" w:color="auto" w:sz="4" w:space="0"/>
              <w:right w:val="single" w:color="auto" w:sz="4" w:space="0"/>
            </w:tcBorders>
            <w:vAlign w:val="center"/>
          </w:tcPr>
          <w:p w14:paraId="09A1C059">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ascii="宋体" w:hAnsi="宋体"/>
                <w:color w:val="auto"/>
                <w:szCs w:val="21"/>
              </w:rPr>
              <w:t>评标方法：</w:t>
            </w:r>
            <w:r>
              <w:rPr>
                <w:rFonts w:hint="eastAsia"/>
                <w:color w:val="auto"/>
              </w:rPr>
              <w:t>综合评分法</w:t>
            </w:r>
          </w:p>
        </w:tc>
      </w:tr>
      <w:tr w14:paraId="4AA2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14:paraId="3D699DA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w:t>
            </w:r>
          </w:p>
        </w:tc>
        <w:tc>
          <w:tcPr>
            <w:tcW w:w="1992" w:type="dxa"/>
            <w:tcBorders>
              <w:top w:val="single" w:color="auto" w:sz="4" w:space="0"/>
              <w:left w:val="single" w:color="auto" w:sz="4" w:space="0"/>
              <w:bottom w:val="single" w:color="auto" w:sz="4" w:space="0"/>
              <w:right w:val="single" w:color="auto" w:sz="4" w:space="0"/>
            </w:tcBorders>
            <w:vAlign w:val="center"/>
          </w:tcPr>
          <w:p w14:paraId="7B19F30E">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rPr>
            </w:pPr>
            <w:r>
              <w:rPr>
                <w:rFonts w:hint="eastAsia" w:ascii="宋体" w:hAnsi="宋体" w:cs="宋体"/>
                <w:color w:val="auto"/>
                <w:szCs w:val="21"/>
              </w:rPr>
              <w:t>负偏离要求</w:t>
            </w:r>
          </w:p>
        </w:tc>
        <w:tc>
          <w:tcPr>
            <w:tcW w:w="7164" w:type="dxa"/>
            <w:tcBorders>
              <w:top w:val="single" w:color="auto" w:sz="4" w:space="0"/>
              <w:left w:val="single" w:color="auto" w:sz="4" w:space="0"/>
              <w:bottom w:val="single" w:color="auto" w:sz="4" w:space="0"/>
              <w:right w:val="single" w:color="auto" w:sz="4" w:space="0"/>
            </w:tcBorders>
            <w:vAlign w:val="center"/>
          </w:tcPr>
          <w:p w14:paraId="29B8862A">
            <w:pPr>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ascii="宋体" w:hAnsi="宋体" w:cs="宋体"/>
                <w:color w:val="auto"/>
                <w:szCs w:val="21"/>
              </w:rPr>
            </w:pPr>
            <w:r>
              <w:rPr>
                <w:rFonts w:hint="eastAsia" w:ascii="宋体" w:hAnsi="宋体" w:cs="宋体"/>
                <w:color w:val="auto"/>
                <w:szCs w:val="21"/>
              </w:rPr>
              <w:t>商务条款评审中允许负偏离的非实质性条款数为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0</w:t>
            </w:r>
            <w:r>
              <w:rPr>
                <w:rFonts w:hint="eastAsia" w:ascii="宋体" w:hAnsi="宋体" w:cs="宋体"/>
                <w:color w:val="auto"/>
                <w:szCs w:val="21"/>
                <w:u w:val="single"/>
              </w:rPr>
              <w:t xml:space="preserve"> </w:t>
            </w:r>
            <w:r>
              <w:rPr>
                <w:rFonts w:hint="eastAsia" w:ascii="宋体" w:hAnsi="宋体" w:cs="宋体"/>
                <w:color w:val="auto"/>
                <w:szCs w:val="21"/>
              </w:rPr>
              <w:t>项。</w:t>
            </w:r>
          </w:p>
          <w:p w14:paraId="69AD5C4A">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宋体" w:hAnsi="宋体"/>
                <w:color w:val="auto"/>
                <w:szCs w:val="21"/>
              </w:rPr>
            </w:pPr>
            <w:r>
              <w:rPr>
                <w:rFonts w:hint="eastAsia" w:ascii="宋体" w:hAnsi="宋体" w:cs="宋体"/>
                <w:color w:val="auto"/>
                <w:szCs w:val="21"/>
              </w:rPr>
              <w:t>服务需求评审中允许负偏离的非实质性条款数为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0</w:t>
            </w:r>
            <w:r>
              <w:rPr>
                <w:rFonts w:hint="eastAsia" w:ascii="宋体" w:hAnsi="宋体" w:cs="宋体"/>
                <w:color w:val="auto"/>
                <w:szCs w:val="21"/>
                <w:u w:val="single"/>
              </w:rPr>
              <w:t xml:space="preserve"> </w:t>
            </w:r>
            <w:r>
              <w:rPr>
                <w:rFonts w:hint="eastAsia" w:ascii="宋体" w:hAnsi="宋体" w:cs="宋体"/>
                <w:color w:val="auto"/>
                <w:szCs w:val="21"/>
              </w:rPr>
              <w:t>项。</w:t>
            </w:r>
          </w:p>
        </w:tc>
      </w:tr>
      <w:tr w14:paraId="29FD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vAlign w:val="center"/>
          </w:tcPr>
          <w:p w14:paraId="580CBDF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3</w:t>
            </w:r>
          </w:p>
        </w:tc>
        <w:tc>
          <w:tcPr>
            <w:tcW w:w="1992" w:type="dxa"/>
            <w:tcBorders>
              <w:top w:val="single" w:color="auto" w:sz="4" w:space="0"/>
              <w:left w:val="single" w:color="auto" w:sz="4" w:space="0"/>
              <w:bottom w:val="single" w:color="auto" w:sz="4" w:space="0"/>
              <w:right w:val="single" w:color="auto" w:sz="4" w:space="0"/>
            </w:tcBorders>
            <w:vAlign w:val="center"/>
          </w:tcPr>
          <w:p w14:paraId="1FD748D4">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履约保证金</w:t>
            </w:r>
          </w:p>
        </w:tc>
        <w:tc>
          <w:tcPr>
            <w:tcW w:w="7164" w:type="dxa"/>
            <w:tcBorders>
              <w:top w:val="single" w:color="auto" w:sz="4" w:space="0"/>
              <w:left w:val="single" w:color="auto" w:sz="4" w:space="0"/>
              <w:bottom w:val="single" w:color="auto" w:sz="4" w:space="0"/>
              <w:right w:val="single" w:color="auto" w:sz="4" w:space="0"/>
            </w:tcBorders>
            <w:vAlign w:val="center"/>
          </w:tcPr>
          <w:p w14:paraId="796D08CA">
            <w:pPr>
              <w:pStyle w:val="38"/>
              <w:spacing w:before="76" w:line="348" w:lineRule="auto"/>
              <w:ind w:right="96"/>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kern w:val="2"/>
                <w:sz w:val="21"/>
                <w:szCs w:val="21"/>
                <w:lang w:eastAsia="zh-CN"/>
              </w:rPr>
              <w:t>履约保证金的形式：</w:t>
            </w:r>
            <w:r>
              <w:rPr>
                <w:rFonts w:hint="eastAsia" w:asciiTheme="minorEastAsia" w:hAnsiTheme="minorEastAsia" w:eastAsiaTheme="minorEastAsia" w:cstheme="minorEastAsia"/>
                <w:color w:val="auto"/>
                <w:spacing w:val="5"/>
                <w:kern w:val="2"/>
                <w:sz w:val="21"/>
                <w:szCs w:val="21"/>
                <w:u w:val="single"/>
                <w:lang w:eastAsia="zh-CN"/>
              </w:rPr>
              <w:t>支票、汇票、本票或者金融机构、担保机构出具的保函等非现金形式提交。</w:t>
            </w:r>
          </w:p>
          <w:p w14:paraId="34DEBF37">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asciiTheme="minorEastAsia" w:hAnsiTheme="minorEastAsia" w:eastAsiaTheme="minorEastAsia" w:cstheme="minorEastAsia"/>
                <w:color w:val="auto"/>
                <w:kern w:val="2"/>
                <w:sz w:val="21"/>
                <w:szCs w:val="21"/>
              </w:rPr>
              <w:t>履约</w:t>
            </w:r>
            <w:r>
              <w:rPr>
                <w:rFonts w:hint="eastAsia" w:asciiTheme="minorEastAsia" w:hAnsiTheme="minorEastAsia" w:eastAsiaTheme="minorEastAsia" w:cstheme="minorEastAsia"/>
                <w:color w:val="auto"/>
                <w:spacing w:val="-3"/>
                <w:kern w:val="2"/>
                <w:sz w:val="21"/>
                <w:szCs w:val="21"/>
              </w:rPr>
              <w:t>保</w:t>
            </w:r>
            <w:r>
              <w:rPr>
                <w:rFonts w:hint="eastAsia" w:asciiTheme="minorEastAsia" w:hAnsiTheme="minorEastAsia" w:eastAsiaTheme="minorEastAsia" w:cstheme="minorEastAsia"/>
                <w:color w:val="auto"/>
                <w:kern w:val="2"/>
                <w:sz w:val="21"/>
                <w:szCs w:val="21"/>
              </w:rPr>
              <w:t>证</w:t>
            </w:r>
            <w:r>
              <w:rPr>
                <w:rFonts w:hint="eastAsia" w:asciiTheme="minorEastAsia" w:hAnsiTheme="minorEastAsia" w:eastAsiaTheme="minorEastAsia" w:cstheme="minorEastAsia"/>
                <w:color w:val="auto"/>
                <w:spacing w:val="-3"/>
                <w:kern w:val="2"/>
                <w:sz w:val="21"/>
                <w:szCs w:val="21"/>
              </w:rPr>
              <w:t>金</w:t>
            </w:r>
            <w:r>
              <w:rPr>
                <w:rFonts w:hint="eastAsia" w:asciiTheme="minorEastAsia" w:hAnsiTheme="minorEastAsia" w:eastAsiaTheme="minorEastAsia" w:cstheme="minorEastAsia"/>
                <w:color w:val="auto"/>
                <w:kern w:val="2"/>
                <w:sz w:val="21"/>
                <w:szCs w:val="21"/>
              </w:rPr>
              <w:t>的</w:t>
            </w:r>
            <w:r>
              <w:rPr>
                <w:rFonts w:hint="eastAsia" w:asciiTheme="minorEastAsia" w:hAnsiTheme="minorEastAsia" w:eastAsiaTheme="minorEastAsia" w:cstheme="minorEastAsia"/>
                <w:color w:val="auto"/>
                <w:spacing w:val="-3"/>
                <w:kern w:val="2"/>
                <w:sz w:val="21"/>
                <w:szCs w:val="21"/>
              </w:rPr>
              <w:t>金</w:t>
            </w:r>
            <w:r>
              <w:rPr>
                <w:rFonts w:hint="eastAsia" w:asciiTheme="minorEastAsia" w:hAnsiTheme="minorEastAsia" w:eastAsiaTheme="minorEastAsia" w:cstheme="minorEastAsia"/>
                <w:color w:val="auto"/>
                <w:kern w:val="2"/>
                <w:sz w:val="21"/>
                <w:szCs w:val="21"/>
              </w:rPr>
              <w:t>额：</w:t>
            </w:r>
            <w:r>
              <w:rPr>
                <w:rFonts w:hint="eastAsia" w:asciiTheme="minorEastAsia" w:hAnsiTheme="minorEastAsia" w:eastAsiaTheme="minorEastAsia" w:cstheme="minorEastAsia"/>
                <w:color w:val="auto"/>
                <w:kern w:val="2"/>
                <w:sz w:val="21"/>
                <w:szCs w:val="21"/>
                <w:u w:val="single"/>
                <w:lang w:val="en-US" w:eastAsia="zh-CN"/>
              </w:rPr>
              <w:t>无。</w:t>
            </w:r>
          </w:p>
        </w:tc>
      </w:tr>
      <w:tr w14:paraId="7A29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48" w:type="dxa"/>
            <w:tcBorders>
              <w:top w:val="single" w:color="auto" w:sz="4" w:space="0"/>
              <w:left w:val="single" w:color="auto" w:sz="4" w:space="0"/>
              <w:bottom w:val="single" w:color="auto" w:sz="4" w:space="0"/>
              <w:right w:val="single" w:color="auto" w:sz="4" w:space="0"/>
            </w:tcBorders>
            <w:vAlign w:val="center"/>
          </w:tcPr>
          <w:p w14:paraId="0031473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4</w:t>
            </w:r>
          </w:p>
        </w:tc>
        <w:tc>
          <w:tcPr>
            <w:tcW w:w="1992" w:type="dxa"/>
            <w:tcBorders>
              <w:top w:val="single" w:color="auto" w:sz="4" w:space="0"/>
              <w:left w:val="single" w:color="auto" w:sz="4" w:space="0"/>
              <w:bottom w:val="single" w:color="auto" w:sz="4" w:space="0"/>
              <w:right w:val="single" w:color="auto" w:sz="4" w:space="0"/>
            </w:tcBorders>
            <w:vAlign w:val="center"/>
          </w:tcPr>
          <w:p w14:paraId="15B78C80">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采购预算价</w:t>
            </w:r>
          </w:p>
        </w:tc>
        <w:tc>
          <w:tcPr>
            <w:tcW w:w="7164" w:type="dxa"/>
            <w:tcBorders>
              <w:top w:val="single" w:color="auto" w:sz="4" w:space="0"/>
              <w:left w:val="single" w:color="auto" w:sz="4" w:space="0"/>
              <w:bottom w:val="single" w:color="auto" w:sz="4" w:space="0"/>
              <w:right w:val="single" w:color="auto" w:sz="4" w:space="0"/>
            </w:tcBorders>
            <w:vAlign w:val="center"/>
          </w:tcPr>
          <w:p w14:paraId="3C5B8B4A">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Cs w:val="21"/>
                <w:lang w:val="en-US" w:eastAsia="zh-CN"/>
              </w:rPr>
            </w:pPr>
            <w:r>
              <w:rPr>
                <w:rFonts w:hint="eastAsia" w:ascii="宋体" w:hAnsi="宋体" w:cs="宋体"/>
                <w:color w:val="auto"/>
                <w:szCs w:val="21"/>
              </w:rPr>
              <w:t>本项目采购预算价：</w:t>
            </w:r>
            <w:r>
              <w:rPr>
                <w:rFonts w:hint="eastAsia" w:ascii="宋体" w:hAnsi="宋体" w:cs="宋体"/>
                <w:color w:val="auto"/>
                <w:szCs w:val="21"/>
                <w:lang w:val="en-US" w:eastAsia="zh-CN"/>
              </w:rPr>
              <w:t>935206.00</w:t>
            </w:r>
            <w:r>
              <w:rPr>
                <w:rFonts w:hint="eastAsia" w:asciiTheme="minorEastAsia" w:hAnsiTheme="minorEastAsia" w:eastAsiaTheme="minorEastAsia" w:cstheme="minorEastAsia"/>
                <w:color w:val="auto"/>
                <w:spacing w:val="-3"/>
                <w:kern w:val="2"/>
                <w:sz w:val="21"/>
                <w:szCs w:val="21"/>
                <w:lang w:val="en-US" w:eastAsia="zh-CN"/>
              </w:rPr>
              <w:t>元</w:t>
            </w:r>
          </w:p>
        </w:tc>
      </w:tr>
      <w:tr w14:paraId="1C96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14:paraId="3C24E2C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4812A84F">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ascii="宋体" w:hAnsi="宋体" w:cs="宋体"/>
                <w:color w:val="auto"/>
                <w:szCs w:val="21"/>
              </w:rPr>
            </w:pPr>
            <w:r>
              <w:rPr>
                <w:rFonts w:hint="eastAsia" w:ascii="宋体" w:hAnsi="宋体"/>
                <w:color w:val="auto"/>
                <w:szCs w:val="21"/>
              </w:rPr>
              <w:t>接收质疑函方式</w:t>
            </w:r>
          </w:p>
        </w:tc>
        <w:tc>
          <w:tcPr>
            <w:tcW w:w="7164" w:type="dxa"/>
            <w:tcBorders>
              <w:top w:val="single" w:color="auto" w:sz="4" w:space="0"/>
              <w:left w:val="single" w:color="auto" w:sz="4" w:space="0"/>
              <w:bottom w:val="single" w:color="auto" w:sz="4" w:space="0"/>
              <w:right w:val="single" w:color="auto" w:sz="4" w:space="0"/>
            </w:tcBorders>
            <w:vAlign w:val="center"/>
          </w:tcPr>
          <w:p w14:paraId="3C32703D">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ascii="宋体" w:hAnsi="宋体" w:cs="宋体"/>
                <w:color w:val="auto"/>
                <w:szCs w:val="21"/>
              </w:rPr>
            </w:pPr>
            <w:r>
              <w:rPr>
                <w:rFonts w:hint="eastAsia" w:ascii="宋体" w:hAnsi="宋体"/>
                <w:color w:val="auto"/>
                <w:szCs w:val="21"/>
              </w:rPr>
              <w:t>以书面形式</w:t>
            </w:r>
          </w:p>
        </w:tc>
      </w:tr>
      <w:tr w14:paraId="7D58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266BCA3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11292B9C">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ascii="宋体" w:hAnsi="宋体" w:cs="宋体"/>
                <w:color w:val="auto"/>
                <w:szCs w:val="21"/>
              </w:rPr>
            </w:pPr>
            <w:r>
              <w:rPr>
                <w:rFonts w:hint="eastAsia" w:ascii="宋体" w:hAnsi="宋体"/>
                <w:color w:val="auto"/>
                <w:szCs w:val="21"/>
              </w:rPr>
              <w:t>质疑联系部门及联系方式</w:t>
            </w:r>
          </w:p>
        </w:tc>
        <w:tc>
          <w:tcPr>
            <w:tcW w:w="7164" w:type="dxa"/>
            <w:tcBorders>
              <w:top w:val="single" w:color="auto" w:sz="4" w:space="0"/>
              <w:left w:val="single" w:color="auto" w:sz="4" w:space="0"/>
              <w:bottom w:val="single" w:color="auto" w:sz="4" w:space="0"/>
              <w:right w:val="single" w:color="auto" w:sz="4" w:space="0"/>
            </w:tcBorders>
            <w:vAlign w:val="center"/>
          </w:tcPr>
          <w:p w14:paraId="5CE2EE03">
            <w:pPr>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default" w:ascii="宋体" w:hAnsi="宋体"/>
                <w:color w:val="auto"/>
                <w:szCs w:val="21"/>
                <w:u w:val="none"/>
                <w:lang w:val="en-US"/>
              </w:rPr>
            </w:pPr>
            <w:r>
              <w:rPr>
                <w:rFonts w:hint="eastAsia" w:ascii="宋体" w:hAnsi="宋体"/>
                <w:color w:val="auto"/>
                <w:szCs w:val="21"/>
                <w:u w:val="none"/>
                <w:lang w:eastAsia="zh-CN"/>
              </w:rPr>
              <w:t>广西中烨项目管理有限公司</w:t>
            </w:r>
          </w:p>
          <w:p w14:paraId="636EF86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olor w:val="auto"/>
                <w:szCs w:val="21"/>
                <w:u w:val="none"/>
                <w:lang w:val="en-US" w:eastAsia="zh-CN"/>
              </w:rPr>
            </w:pPr>
            <w:r>
              <w:rPr>
                <w:rFonts w:ascii="宋体" w:hAnsi="宋体"/>
                <w:color w:val="auto"/>
                <w:szCs w:val="21"/>
                <w:u w:val="none"/>
              </w:rPr>
              <w:t>联系电话</w:t>
            </w:r>
            <w:r>
              <w:rPr>
                <w:rFonts w:hint="eastAsia" w:ascii="宋体" w:hAnsi="宋体"/>
                <w:color w:val="auto"/>
                <w:szCs w:val="21"/>
                <w:u w:val="none"/>
              </w:rPr>
              <w:t>：</w:t>
            </w:r>
            <w:r>
              <w:rPr>
                <w:rFonts w:hint="eastAsia" w:ascii="宋体" w:hAnsi="宋体"/>
                <w:color w:val="auto"/>
                <w:szCs w:val="21"/>
                <w:u w:val="none"/>
                <w:lang w:val="en-US" w:eastAsia="zh-CN"/>
              </w:rPr>
              <w:t>0777-3813938</w:t>
            </w:r>
          </w:p>
          <w:p w14:paraId="6C944DF6">
            <w:pPr>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Ansi="宋体"/>
                <w:b/>
                <w:color w:val="auto"/>
              </w:rPr>
            </w:pPr>
            <w:r>
              <w:rPr>
                <w:rFonts w:ascii="宋体" w:hAnsi="宋体"/>
                <w:color w:val="auto"/>
                <w:szCs w:val="21"/>
                <w:u w:val="none"/>
              </w:rPr>
              <w:t>通讯地址</w:t>
            </w:r>
            <w:r>
              <w:rPr>
                <w:rFonts w:hint="eastAsia" w:ascii="宋体" w:hAnsi="宋体" w:cs="Helvetica"/>
                <w:color w:val="auto"/>
                <w:szCs w:val="21"/>
                <w:u w:val="none"/>
              </w:rPr>
              <w:t>：</w:t>
            </w:r>
            <w:r>
              <w:rPr>
                <w:rFonts w:hint="eastAsia" w:asciiTheme="minorEastAsia" w:hAnsiTheme="minorEastAsia" w:eastAsiaTheme="minorEastAsia" w:cstheme="minorEastAsia"/>
                <w:b w:val="0"/>
                <w:bCs w:val="0"/>
                <w:color w:val="auto"/>
                <w:kern w:val="0"/>
                <w:sz w:val="21"/>
                <w:szCs w:val="21"/>
                <w:highlight w:val="none"/>
                <w:lang w:val="en-US" w:eastAsia="zh-CN" w:bidi="ar-SA"/>
              </w:rPr>
              <w:t>钦州市钦北区永福西大街25-6号二楼</w:t>
            </w:r>
          </w:p>
        </w:tc>
      </w:tr>
      <w:tr w14:paraId="6459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14:paraId="6ADAAFE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17</w:t>
            </w:r>
          </w:p>
        </w:tc>
        <w:tc>
          <w:tcPr>
            <w:tcW w:w="1992" w:type="dxa"/>
            <w:tcBorders>
              <w:top w:val="single" w:color="auto" w:sz="4" w:space="0"/>
              <w:left w:val="single" w:color="auto" w:sz="4" w:space="0"/>
              <w:bottom w:val="single" w:color="auto" w:sz="4" w:space="0"/>
              <w:right w:val="single" w:color="auto" w:sz="4" w:space="0"/>
            </w:tcBorders>
            <w:vAlign w:val="center"/>
          </w:tcPr>
          <w:p w14:paraId="6206B3B4">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ascii="宋体" w:hAnsi="宋体" w:cs="宋体"/>
                <w:color w:val="auto"/>
                <w:szCs w:val="21"/>
              </w:rPr>
            </w:pPr>
            <w:r>
              <w:rPr>
                <w:rFonts w:hint="eastAsia" w:hAnsi="宋体"/>
                <w:color w:val="auto"/>
              </w:rPr>
              <w:t>现场提交质疑办理业务时间</w:t>
            </w:r>
          </w:p>
        </w:tc>
        <w:tc>
          <w:tcPr>
            <w:tcW w:w="7164" w:type="dxa"/>
            <w:tcBorders>
              <w:top w:val="single" w:color="auto" w:sz="4" w:space="0"/>
              <w:left w:val="single" w:color="auto" w:sz="4" w:space="0"/>
              <w:bottom w:val="single" w:color="auto" w:sz="4" w:space="0"/>
              <w:right w:val="single" w:color="auto" w:sz="4" w:space="0"/>
            </w:tcBorders>
            <w:vAlign w:val="center"/>
          </w:tcPr>
          <w:p w14:paraId="3EFBBBBD">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Ansi="宋体"/>
                <w:b/>
                <w:color w:val="auto"/>
              </w:rPr>
            </w:pPr>
            <w:r>
              <w:rPr>
                <w:rFonts w:hint="eastAsia" w:hAnsi="宋体"/>
                <w:color w:val="auto"/>
              </w:rPr>
              <w:t>质疑期内每个工作日</w:t>
            </w:r>
            <w:r>
              <w:rPr>
                <w:rFonts w:hint="eastAsia" w:hAnsi="宋体"/>
                <w:color w:val="auto"/>
                <w:u w:val="single"/>
              </w:rPr>
              <w:t>08</w:t>
            </w:r>
            <w:r>
              <w:rPr>
                <w:rFonts w:hint="eastAsia" w:hAnsi="宋体"/>
                <w:color w:val="auto"/>
              </w:rPr>
              <w:t>时</w:t>
            </w:r>
            <w:r>
              <w:rPr>
                <w:rFonts w:hint="eastAsia" w:hAnsi="宋体"/>
                <w:color w:val="auto"/>
                <w:u w:val="single"/>
              </w:rPr>
              <w:t>00</w:t>
            </w:r>
            <w:r>
              <w:rPr>
                <w:rFonts w:hint="eastAsia" w:hAnsi="宋体"/>
                <w:color w:val="auto"/>
              </w:rPr>
              <w:t>分到</w:t>
            </w:r>
            <w:r>
              <w:rPr>
                <w:rFonts w:hint="eastAsia" w:hAnsi="宋体"/>
                <w:color w:val="auto"/>
                <w:u w:val="single"/>
              </w:rPr>
              <w:t>12</w:t>
            </w:r>
            <w:r>
              <w:rPr>
                <w:rFonts w:hint="eastAsia" w:hAnsi="宋体"/>
                <w:color w:val="auto"/>
              </w:rPr>
              <w:t>时</w:t>
            </w:r>
            <w:r>
              <w:rPr>
                <w:rFonts w:hint="eastAsia" w:hAnsi="宋体"/>
                <w:color w:val="auto"/>
                <w:u w:val="single"/>
              </w:rPr>
              <w:t>00</w:t>
            </w:r>
            <w:r>
              <w:rPr>
                <w:rFonts w:hint="eastAsia" w:hAnsi="宋体"/>
                <w:color w:val="auto"/>
              </w:rPr>
              <w:t>分，</w:t>
            </w:r>
            <w:r>
              <w:rPr>
                <w:rFonts w:hint="eastAsia" w:hAnsi="宋体"/>
                <w:color w:val="auto"/>
                <w:u w:val="single"/>
              </w:rPr>
              <w:t>15</w:t>
            </w:r>
            <w:r>
              <w:rPr>
                <w:rFonts w:hint="eastAsia" w:hAnsi="宋体"/>
                <w:color w:val="auto"/>
              </w:rPr>
              <w:t>时</w:t>
            </w:r>
            <w:r>
              <w:rPr>
                <w:rFonts w:hint="eastAsia" w:hAnsi="宋体"/>
                <w:color w:val="auto"/>
                <w:u w:val="single"/>
              </w:rPr>
              <w:t>00</w:t>
            </w:r>
            <w:r>
              <w:rPr>
                <w:rFonts w:hint="eastAsia" w:hAnsi="宋体"/>
                <w:color w:val="auto"/>
              </w:rPr>
              <w:t>分到</w:t>
            </w:r>
            <w:r>
              <w:rPr>
                <w:rFonts w:hint="eastAsia" w:hAnsi="宋体"/>
                <w:color w:val="auto"/>
                <w:u w:val="single"/>
              </w:rPr>
              <w:t>18</w:t>
            </w:r>
            <w:r>
              <w:rPr>
                <w:rFonts w:hint="eastAsia" w:hAnsi="宋体"/>
                <w:color w:val="auto"/>
              </w:rPr>
              <w:t>时</w:t>
            </w:r>
            <w:r>
              <w:rPr>
                <w:rFonts w:hint="eastAsia" w:hAnsi="宋体"/>
                <w:color w:val="auto"/>
                <w:u w:val="single"/>
              </w:rPr>
              <w:t>00</w:t>
            </w:r>
            <w:r>
              <w:rPr>
                <w:rFonts w:hint="eastAsia" w:hAnsi="宋体"/>
                <w:color w:val="auto"/>
              </w:rPr>
              <w:t>分</w:t>
            </w:r>
          </w:p>
        </w:tc>
      </w:tr>
      <w:tr w14:paraId="0BEB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1EA7059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18</w:t>
            </w:r>
          </w:p>
        </w:tc>
        <w:tc>
          <w:tcPr>
            <w:tcW w:w="1992" w:type="dxa"/>
            <w:tcBorders>
              <w:top w:val="single" w:color="auto" w:sz="4" w:space="0"/>
              <w:left w:val="single" w:color="auto" w:sz="4" w:space="0"/>
              <w:bottom w:val="single" w:color="auto" w:sz="4" w:space="0"/>
              <w:right w:val="single" w:color="auto" w:sz="4" w:space="0"/>
            </w:tcBorders>
            <w:vAlign w:val="center"/>
          </w:tcPr>
          <w:p w14:paraId="4C532AB5">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hAnsi="宋体"/>
                <w:color w:val="auto"/>
              </w:rPr>
            </w:pPr>
            <w:r>
              <w:rPr>
                <w:rFonts w:hint="eastAsia" w:ascii="宋体" w:hAnsi="宋体" w:cs="宋体"/>
                <w:color w:val="auto"/>
                <w:szCs w:val="21"/>
              </w:rPr>
              <w:t>采购代理费</w:t>
            </w:r>
          </w:p>
        </w:tc>
        <w:tc>
          <w:tcPr>
            <w:tcW w:w="7164" w:type="dxa"/>
            <w:tcBorders>
              <w:top w:val="single" w:color="auto" w:sz="4" w:space="0"/>
              <w:left w:val="single" w:color="auto" w:sz="4" w:space="0"/>
              <w:bottom w:val="single" w:color="auto" w:sz="4" w:space="0"/>
              <w:right w:val="single" w:color="auto" w:sz="4" w:space="0"/>
            </w:tcBorders>
            <w:vAlign w:val="center"/>
          </w:tcPr>
          <w:p w14:paraId="3F027B27">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hAnsi="宋体" w:cs="宋体"/>
                <w:color w:val="auto"/>
                <w:sz w:val="21"/>
                <w:lang w:val="en-US" w:eastAsia="zh-CN"/>
              </w:rPr>
              <w:t>1.是否收取采购代理费：</w:t>
            </w:r>
          </w:p>
          <w:p w14:paraId="161B45F9">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ascii="MS Mincho" w:hAnsi="MS Mincho" w:eastAsia="MS Mincho" w:cs="MS Mincho"/>
                <w:color w:val="auto"/>
                <w:sz w:val="21"/>
                <w:lang w:val="en-US" w:eastAsia="zh-CN"/>
              </w:rPr>
              <w:t>☑</w:t>
            </w:r>
            <w:r>
              <w:rPr>
                <w:rFonts w:hint="eastAsia" w:hAnsi="宋体" w:cs="宋体"/>
                <w:color w:val="auto"/>
                <w:sz w:val="21"/>
                <w:lang w:val="en-US" w:eastAsia="zh-CN"/>
              </w:rPr>
              <w:t>是    □ 否</w:t>
            </w:r>
          </w:p>
          <w:p w14:paraId="0FB30B7E">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hAnsi="宋体" w:cs="宋体"/>
                <w:color w:val="auto"/>
                <w:sz w:val="21"/>
                <w:lang w:val="en-US" w:eastAsia="zh-CN"/>
              </w:rPr>
              <w:t>2.采购代理费支付方式：</w:t>
            </w:r>
          </w:p>
          <w:p w14:paraId="5541E4DF">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ascii="MS Mincho" w:hAnsi="MS Mincho" w:eastAsia="MS Mincho" w:cs="MS Mincho"/>
                <w:color w:val="auto"/>
                <w:sz w:val="21"/>
                <w:lang w:val="en-US" w:eastAsia="zh-CN"/>
              </w:rPr>
              <w:t>☑</w:t>
            </w:r>
            <w:r>
              <w:rPr>
                <w:rFonts w:hint="eastAsia" w:hAnsi="宋体" w:cs="宋体"/>
                <w:color w:val="auto"/>
                <w:sz w:val="21"/>
                <w:lang w:val="en-US" w:eastAsia="zh-CN"/>
              </w:rPr>
              <w:t>本项目代理服务费由</w:t>
            </w:r>
            <w:r>
              <w:rPr>
                <w:rFonts w:hint="eastAsia" w:hAnsi="宋体" w:cs="宋体"/>
                <w:color w:val="auto"/>
                <w:sz w:val="21"/>
                <w:u w:val="single"/>
                <w:lang w:val="en-US" w:eastAsia="zh-CN"/>
              </w:rPr>
              <w:t xml:space="preserve"> 成交供应商 </w:t>
            </w:r>
            <w:r>
              <w:rPr>
                <w:rFonts w:hint="eastAsia" w:hAnsi="宋体" w:cs="宋体"/>
                <w:color w:val="auto"/>
                <w:sz w:val="21"/>
                <w:lang w:val="en-US" w:eastAsia="zh-CN"/>
              </w:rPr>
              <w:t>一次性向采购代理机构支付。</w:t>
            </w:r>
          </w:p>
          <w:p w14:paraId="15CC22FB">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hAnsi="宋体" w:cs="宋体"/>
                <w:color w:val="auto"/>
                <w:sz w:val="21"/>
                <w:lang w:val="en-US" w:eastAsia="zh-CN"/>
              </w:rPr>
              <w:t>□采购人支付。</w:t>
            </w:r>
          </w:p>
          <w:p w14:paraId="29AF2A97">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hAnsi="宋体" w:cs="宋体"/>
                <w:color w:val="auto"/>
                <w:sz w:val="21"/>
                <w:lang w:val="en-US" w:eastAsia="zh-CN"/>
              </w:rPr>
              <w:t>3.采购代理费收取标准：</w:t>
            </w:r>
          </w:p>
          <w:p w14:paraId="0DF0D9FD">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ascii="MS Mincho" w:hAnsi="MS Mincho" w:eastAsia="MS Mincho" w:cs="MS Mincho"/>
                <w:color w:val="auto"/>
                <w:sz w:val="21"/>
                <w:lang w:val="en-US" w:eastAsia="zh-CN"/>
              </w:rPr>
              <w:t>☑</w:t>
            </w:r>
            <w:r>
              <w:rPr>
                <w:rFonts w:hint="eastAsia" w:hAnsi="宋体" w:cs="宋体"/>
                <w:color w:val="auto"/>
                <w:sz w:val="21"/>
                <w:lang w:val="en-US" w:eastAsia="zh-CN"/>
              </w:rPr>
              <w:t>以分标（☑成交金额/</w:t>
            </w:r>
            <w:r>
              <w:rPr>
                <w:rFonts w:hint="eastAsia" w:ascii="MS Mincho" w:hAnsi="MS Mincho" w:eastAsia="MS Mincho" w:cs="MS Mincho"/>
                <w:color w:val="auto"/>
                <w:sz w:val="21"/>
                <w:lang w:val="en-US" w:eastAsia="zh-CN"/>
              </w:rPr>
              <w:t>□</w:t>
            </w:r>
            <w:r>
              <w:rPr>
                <w:rFonts w:hint="eastAsia" w:hAnsi="宋体" w:cs="宋体"/>
                <w:color w:val="auto"/>
                <w:sz w:val="21"/>
                <w:lang w:val="en-US" w:eastAsia="zh-CN"/>
              </w:rPr>
              <w:t>采购预算/□暂定成交金额/□其他</w:t>
            </w:r>
            <w:r>
              <w:rPr>
                <w:rFonts w:hint="eastAsia" w:hAnsi="宋体" w:cs="宋体"/>
                <w:color w:val="auto"/>
                <w:sz w:val="21"/>
                <w:u w:val="single"/>
                <w:lang w:val="en-US" w:eastAsia="zh-CN"/>
              </w:rPr>
              <w:t xml:space="preserve"> </w:t>
            </w:r>
            <w:r>
              <w:rPr>
                <w:rFonts w:hAnsi="宋体" w:cs="宋体"/>
                <w:color w:val="auto"/>
                <w:sz w:val="21"/>
                <w:u w:val="single"/>
                <w:lang w:val="en-US" w:eastAsia="zh-CN"/>
              </w:rPr>
              <w:t xml:space="preserve">  </w:t>
            </w:r>
            <w:r>
              <w:rPr>
                <w:rFonts w:hint="eastAsia" w:hAnsi="宋体" w:cs="宋体"/>
                <w:color w:val="auto"/>
                <w:sz w:val="21"/>
                <w:lang w:val="en-US" w:eastAsia="zh-CN"/>
              </w:rPr>
              <w:t>）为计费额，按收费计算标准（□货物类/□服务类/</w:t>
            </w:r>
            <w:r>
              <w:rPr>
                <w:rFonts w:hint="eastAsia" w:hAnsi="宋体" w:cs="宋体"/>
                <w:color w:val="auto"/>
                <w:sz w:val="21"/>
                <w:lang w:val="en-US" w:eastAsia="zh-CN"/>
              </w:rPr>
              <w:sym w:font="Wingdings 2" w:char="0052"/>
            </w:r>
            <w:r>
              <w:rPr>
                <w:rFonts w:hint="eastAsia" w:hAnsi="宋体" w:cs="宋体"/>
                <w:color w:val="auto"/>
                <w:sz w:val="21"/>
                <w:lang w:val="en-US" w:eastAsia="zh-CN"/>
              </w:rPr>
              <w:t>工程类）采用差额定率累进法计算出收费基准价格，采购代理收费以（</w:t>
            </w:r>
            <w:r>
              <w:rPr>
                <w:rFonts w:hint="eastAsia" w:ascii="MS Mincho" w:hAnsi="MS Mincho" w:eastAsia="MS Mincho" w:cs="MS Mincho"/>
                <w:color w:val="auto"/>
                <w:sz w:val="21"/>
                <w:lang w:val="en-US" w:eastAsia="zh-CN"/>
              </w:rPr>
              <w:t>☑</w:t>
            </w:r>
            <w:r>
              <w:rPr>
                <w:rFonts w:hint="eastAsia" w:hAnsi="宋体" w:cs="宋体"/>
                <w:color w:val="auto"/>
                <w:sz w:val="21"/>
                <w:lang w:val="en-US" w:eastAsia="zh-CN"/>
              </w:rPr>
              <w:t>收费基准价格/□收费基准价格下浮</w:t>
            </w:r>
            <w:r>
              <w:rPr>
                <w:rFonts w:hint="eastAsia" w:hAnsi="宋体" w:cs="宋体"/>
                <w:color w:val="auto"/>
                <w:sz w:val="21"/>
                <w:u w:val="single"/>
                <w:lang w:val="en-US" w:eastAsia="zh-CN"/>
              </w:rPr>
              <w:t xml:space="preserve"> </w:t>
            </w:r>
            <w:r>
              <w:rPr>
                <w:rFonts w:hAnsi="宋体" w:cs="宋体"/>
                <w:color w:val="auto"/>
                <w:sz w:val="21"/>
                <w:u w:val="single"/>
                <w:lang w:val="en-US" w:eastAsia="zh-CN"/>
              </w:rPr>
              <w:t xml:space="preserve"> </w:t>
            </w:r>
            <w:r>
              <w:rPr>
                <w:rFonts w:hint="eastAsia" w:hAnsi="宋体" w:cs="宋体"/>
                <w:color w:val="auto"/>
                <w:sz w:val="21"/>
                <w:u w:val="single"/>
                <w:lang w:val="en-US" w:eastAsia="zh-CN"/>
              </w:rPr>
              <w:t>%</w:t>
            </w:r>
            <w:r>
              <w:rPr>
                <w:rFonts w:hAnsi="宋体" w:cs="宋体"/>
                <w:color w:val="auto"/>
                <w:sz w:val="21"/>
                <w:lang w:val="en-US" w:eastAsia="zh-CN"/>
              </w:rPr>
              <w:t>/</w:t>
            </w:r>
            <w:r>
              <w:rPr>
                <w:rFonts w:hint="eastAsia" w:hAnsi="宋体" w:cs="宋体"/>
                <w:color w:val="auto"/>
                <w:sz w:val="21"/>
                <w:lang w:val="en-US" w:eastAsia="zh-CN"/>
              </w:rPr>
              <w:t>□收费基准价格上浮</w:t>
            </w:r>
            <w:r>
              <w:rPr>
                <w:rFonts w:hint="eastAsia" w:hAnsi="宋体" w:cs="宋体"/>
                <w:color w:val="auto"/>
                <w:sz w:val="21"/>
                <w:u w:val="single"/>
                <w:lang w:val="en-US" w:eastAsia="zh-CN"/>
              </w:rPr>
              <w:t xml:space="preserve"> </w:t>
            </w:r>
            <w:r>
              <w:rPr>
                <w:rFonts w:hAnsi="宋体" w:cs="宋体"/>
                <w:color w:val="auto"/>
                <w:sz w:val="21"/>
                <w:u w:val="single"/>
                <w:lang w:val="en-US" w:eastAsia="zh-CN"/>
              </w:rPr>
              <w:t xml:space="preserve">  </w:t>
            </w:r>
            <w:r>
              <w:rPr>
                <w:rFonts w:hint="eastAsia" w:hAnsi="宋体" w:cs="宋体"/>
                <w:color w:val="auto"/>
                <w:sz w:val="21"/>
                <w:u w:val="single"/>
                <w:lang w:val="en-US" w:eastAsia="zh-CN"/>
              </w:rPr>
              <w:t>%</w:t>
            </w:r>
            <w:r>
              <w:rPr>
                <w:rFonts w:hint="eastAsia" w:hAnsi="宋体" w:cs="宋体"/>
                <w:color w:val="auto"/>
                <w:sz w:val="21"/>
                <w:lang w:val="en-US" w:eastAsia="zh-CN"/>
              </w:rPr>
              <w:t>）收取。</w:t>
            </w:r>
          </w:p>
          <w:p w14:paraId="2C158418">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Ansi="宋体" w:cs="宋体"/>
                <w:color w:val="auto"/>
                <w:sz w:val="21"/>
                <w:u w:val="single"/>
                <w:lang w:val="en-US" w:eastAsia="zh-CN"/>
              </w:rPr>
            </w:pPr>
            <w:r>
              <w:rPr>
                <w:rFonts w:hint="eastAsia" w:hAnsi="宋体" w:cs="宋体"/>
                <w:color w:val="auto"/>
                <w:sz w:val="21"/>
                <w:lang w:val="en-US" w:eastAsia="zh-CN"/>
              </w:rPr>
              <w:t>□固定采购代理收费</w:t>
            </w:r>
            <w:r>
              <w:rPr>
                <w:rFonts w:hint="eastAsia" w:hAnsi="宋体" w:cs="宋体"/>
                <w:color w:val="auto"/>
                <w:sz w:val="21"/>
                <w:u w:val="single"/>
                <w:lang w:val="en-US" w:eastAsia="zh-CN"/>
              </w:rPr>
              <w:t xml:space="preserve">                </w:t>
            </w:r>
            <w:r>
              <w:rPr>
                <w:rFonts w:hint="eastAsia" w:hAnsi="宋体" w:cs="宋体"/>
                <w:color w:val="auto"/>
                <w:sz w:val="21"/>
                <w:u w:val="none"/>
                <w:lang w:val="en-US" w:eastAsia="zh-CN"/>
              </w:rPr>
              <w:t>。</w:t>
            </w:r>
          </w:p>
          <w:p w14:paraId="416C002E">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hAnsi="宋体" w:cs="宋体"/>
                <w:color w:val="auto"/>
                <w:sz w:val="21"/>
                <w:lang w:val="en-US" w:eastAsia="zh-CN"/>
              </w:rPr>
              <w:t>4. 采购代理费收取银行账户</w:t>
            </w:r>
          </w:p>
          <w:p w14:paraId="422A33D7">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开户名称：</w:t>
            </w:r>
            <w:r>
              <w:rPr>
                <w:rFonts w:hint="eastAsia" w:hAnsi="宋体" w:cs="宋体"/>
                <w:color w:val="auto"/>
                <w:sz w:val="21"/>
                <w:lang w:val="en-US" w:eastAsia="zh-CN"/>
              </w:rPr>
              <w:t>广西中烨项目管理有限公司</w:t>
            </w:r>
          </w:p>
          <w:p w14:paraId="5E788DFC">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ascii="宋体" w:hAnsi="宋体" w:eastAsia="宋体" w:cs="宋体"/>
                <w:b/>
                <w:bCs/>
                <w:color w:val="auto"/>
                <w:sz w:val="21"/>
                <w:lang w:val="en-US" w:eastAsia="zh-CN"/>
              </w:rPr>
            </w:pPr>
            <w:r>
              <w:rPr>
                <w:rFonts w:hint="eastAsia" w:ascii="宋体" w:hAnsi="宋体" w:eastAsia="宋体" w:cs="宋体"/>
                <w:color w:val="auto"/>
                <w:sz w:val="21"/>
                <w:lang w:val="en-US" w:eastAsia="zh-CN"/>
              </w:rPr>
              <w:t>账</w:t>
            </w:r>
            <w:r>
              <w:rPr>
                <w:rFonts w:hint="eastAsia" w:hAnsi="宋体" w:cs="宋体"/>
                <w:color w:val="auto"/>
                <w:sz w:val="21"/>
                <w:lang w:val="en-US" w:eastAsia="zh-CN"/>
              </w:rPr>
              <w:t xml:space="preserve">  </w:t>
            </w:r>
            <w:r>
              <w:rPr>
                <w:rFonts w:hint="eastAsia" w:ascii="宋体" w:hAnsi="宋体" w:eastAsia="宋体" w:cs="宋体"/>
                <w:color w:val="auto"/>
                <w:sz w:val="21"/>
                <w:lang w:val="en-US" w:eastAsia="zh-CN"/>
              </w:rPr>
              <w:t>号：45050165986100000773</w:t>
            </w:r>
          </w:p>
          <w:p w14:paraId="6CF4619D">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hAnsi="宋体"/>
                <w:color w:val="auto"/>
              </w:rPr>
            </w:pPr>
            <w:r>
              <w:rPr>
                <w:rFonts w:hint="eastAsia" w:ascii="宋体" w:hAnsi="宋体" w:eastAsia="宋体" w:cs="宋体"/>
                <w:color w:val="auto"/>
                <w:sz w:val="21"/>
                <w:lang w:val="en-US" w:eastAsia="zh-CN"/>
              </w:rPr>
              <w:t>开户行：中国建设银行股份有限公司钦州新兴街支行</w:t>
            </w:r>
          </w:p>
        </w:tc>
      </w:tr>
      <w:tr w14:paraId="01B6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1A613D9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19</w:t>
            </w:r>
          </w:p>
        </w:tc>
        <w:tc>
          <w:tcPr>
            <w:tcW w:w="1992" w:type="dxa"/>
            <w:tcBorders>
              <w:top w:val="single" w:color="auto" w:sz="4" w:space="0"/>
              <w:left w:val="single" w:color="auto" w:sz="4" w:space="0"/>
              <w:bottom w:val="single" w:color="auto" w:sz="4" w:space="0"/>
              <w:right w:val="single" w:color="auto" w:sz="4" w:space="0"/>
            </w:tcBorders>
            <w:vAlign w:val="center"/>
          </w:tcPr>
          <w:p w14:paraId="38A3DD68">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rPr>
            </w:pPr>
            <w:r>
              <w:rPr>
                <w:rFonts w:hint="eastAsia" w:hAnsi="宋体"/>
                <w:color w:val="auto"/>
              </w:rPr>
              <w:t>解释</w:t>
            </w:r>
          </w:p>
        </w:tc>
        <w:tc>
          <w:tcPr>
            <w:tcW w:w="7164" w:type="dxa"/>
            <w:tcBorders>
              <w:top w:val="single" w:color="auto" w:sz="4" w:space="0"/>
              <w:left w:val="single" w:color="auto" w:sz="4" w:space="0"/>
              <w:bottom w:val="single" w:color="auto" w:sz="4" w:space="0"/>
              <w:right w:val="single" w:color="auto" w:sz="4" w:space="0"/>
            </w:tcBorders>
            <w:vAlign w:val="center"/>
          </w:tcPr>
          <w:p w14:paraId="25FC8A87">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b/>
                <w:color w:val="auto"/>
                <w:sz w:val="21"/>
                <w:lang w:val="en-US" w:eastAsia="zh-CN"/>
              </w:rPr>
            </w:pPr>
            <w:r>
              <w:rPr>
                <w:rFonts w:hint="eastAsia" w:hAnsi="宋体" w:cs="宋体"/>
                <w:b/>
                <w:color w:val="auto"/>
                <w:sz w:val="21"/>
                <w:lang w:val="en-US" w:eastAsia="zh-CN"/>
              </w:rPr>
              <w:t>解释权：</w:t>
            </w:r>
            <w:r>
              <w:rPr>
                <w:rFonts w:hAnsi="宋体" w:cs="宋体"/>
                <w:color w:val="auto"/>
                <w:sz w:val="21"/>
                <w:lang w:val="en-US" w:eastAsia="zh-CN"/>
              </w:rPr>
              <w:t>构成本</w:t>
            </w:r>
            <w:r>
              <w:rPr>
                <w:rFonts w:hint="eastAsia" w:hAnsi="宋体" w:cs="宋体"/>
                <w:color w:val="auto"/>
                <w:sz w:val="21"/>
                <w:lang w:val="en-US" w:eastAsia="zh-CN"/>
              </w:rPr>
              <w:t>磋商文件</w:t>
            </w:r>
            <w:r>
              <w:rPr>
                <w:rFonts w:hAnsi="宋体" w:cs="宋体"/>
                <w:color w:val="auto"/>
                <w:sz w:val="21"/>
                <w:lang w:val="en-US" w:eastAsia="zh-CN"/>
              </w:rPr>
              <w:t>的各个组成文件应互为解释，互为说明；除</w:t>
            </w:r>
            <w:r>
              <w:rPr>
                <w:rFonts w:hint="eastAsia" w:hAnsi="宋体" w:cs="宋体"/>
                <w:color w:val="auto"/>
                <w:sz w:val="21"/>
                <w:lang w:val="en-US" w:eastAsia="zh-CN"/>
              </w:rPr>
              <w:t>磋商文件</w:t>
            </w:r>
            <w:r>
              <w:rPr>
                <w:rFonts w:hAnsi="宋体" w:cs="宋体"/>
                <w:color w:val="auto"/>
                <w:sz w:val="21"/>
                <w:lang w:val="en-US" w:eastAsia="zh-CN"/>
              </w:rPr>
              <w:t>中有特别规定外，仅适用于</w:t>
            </w:r>
            <w:r>
              <w:rPr>
                <w:rFonts w:hint="eastAsia" w:hAnsi="宋体" w:cs="宋体"/>
                <w:color w:val="auto"/>
                <w:sz w:val="21"/>
                <w:lang w:val="en-US" w:eastAsia="zh-CN"/>
              </w:rPr>
              <w:t>竞标</w:t>
            </w:r>
            <w:r>
              <w:rPr>
                <w:rFonts w:hAnsi="宋体" w:cs="宋体"/>
                <w:color w:val="auto"/>
                <w:sz w:val="21"/>
                <w:lang w:val="en-US" w:eastAsia="zh-CN"/>
              </w:rPr>
              <w:t>阶段的规定，按</w:t>
            </w:r>
            <w:r>
              <w:rPr>
                <w:rFonts w:hint="eastAsia" w:hAnsi="宋体" w:cs="宋体"/>
                <w:color w:val="auto"/>
                <w:sz w:val="21"/>
                <w:lang w:val="en-US" w:eastAsia="zh-CN"/>
              </w:rPr>
              <w:t>更正公告（澄清公告）</w:t>
            </w:r>
            <w:r>
              <w:rPr>
                <w:rFonts w:hAnsi="宋体" w:cs="宋体"/>
                <w:color w:val="auto"/>
                <w:sz w:val="21"/>
                <w:lang w:val="en-US" w:eastAsia="zh-CN"/>
              </w:rPr>
              <w:t>、</w:t>
            </w:r>
            <w:r>
              <w:rPr>
                <w:rFonts w:hint="eastAsia" w:hAnsi="宋体" w:cs="宋体"/>
                <w:color w:val="auto"/>
                <w:sz w:val="21"/>
                <w:lang w:val="en-US" w:eastAsia="zh-CN"/>
              </w:rPr>
              <w:t>竞争性磋商</w:t>
            </w:r>
            <w:r>
              <w:rPr>
                <w:rFonts w:hAnsi="宋体" w:cs="宋体"/>
                <w:color w:val="auto"/>
                <w:sz w:val="21"/>
                <w:lang w:val="en-US" w:eastAsia="zh-CN"/>
              </w:rPr>
              <w:t>公告、</w:t>
            </w:r>
            <w:r>
              <w:rPr>
                <w:rFonts w:hint="eastAsia" w:hAnsi="宋体" w:cs="宋体"/>
                <w:color w:val="auto"/>
                <w:sz w:val="21"/>
                <w:lang w:val="en-US" w:eastAsia="zh-CN"/>
              </w:rPr>
              <w:t>供应商</w:t>
            </w:r>
            <w:r>
              <w:rPr>
                <w:rFonts w:hAnsi="宋体" w:cs="宋体"/>
                <w:color w:val="auto"/>
                <w:sz w:val="21"/>
                <w:lang w:val="en-US" w:eastAsia="zh-CN"/>
              </w:rPr>
              <w:t>须知</w:t>
            </w:r>
            <w:r>
              <w:rPr>
                <w:rFonts w:hint="eastAsia" w:hAnsi="宋体" w:cs="宋体"/>
                <w:color w:val="auto"/>
                <w:sz w:val="21"/>
                <w:lang w:val="en-US" w:eastAsia="zh-CN"/>
              </w:rPr>
              <w:t>、采购需求</w:t>
            </w:r>
            <w:r>
              <w:rPr>
                <w:rFonts w:hAnsi="宋体" w:cs="宋体"/>
                <w:color w:val="auto"/>
                <w:sz w:val="21"/>
                <w:lang w:val="en-US" w:eastAsia="zh-CN"/>
              </w:rPr>
              <w:t>、</w:t>
            </w:r>
            <w:r>
              <w:rPr>
                <w:rFonts w:hint="eastAsia" w:hAnsi="宋体" w:cs="宋体"/>
                <w:color w:val="auto"/>
                <w:sz w:val="21"/>
                <w:lang w:val="en-US" w:eastAsia="zh-CN"/>
              </w:rPr>
              <w:t>评审程序、评审方法和评审标准</w:t>
            </w:r>
            <w:r>
              <w:rPr>
                <w:rFonts w:hAnsi="宋体" w:cs="宋体"/>
                <w:color w:val="auto"/>
                <w:sz w:val="21"/>
                <w:lang w:val="en-US" w:eastAsia="zh-CN"/>
              </w:rPr>
              <w:t>、</w:t>
            </w:r>
            <w:r>
              <w:rPr>
                <w:rFonts w:hint="eastAsia" w:hAnsi="宋体" w:cs="宋体"/>
                <w:color w:val="auto"/>
                <w:sz w:val="21"/>
                <w:lang w:val="en-US" w:eastAsia="zh-CN"/>
              </w:rPr>
              <w:t>响应</w:t>
            </w:r>
            <w:r>
              <w:rPr>
                <w:rFonts w:hAnsi="宋体" w:cs="宋体"/>
                <w:color w:val="auto"/>
                <w:sz w:val="21"/>
                <w:lang w:val="en-US" w:eastAsia="zh-CN"/>
              </w:rPr>
              <w:t>文件格式</w:t>
            </w:r>
            <w:r>
              <w:rPr>
                <w:rFonts w:hint="eastAsia" w:hAnsi="宋体" w:cs="宋体"/>
                <w:color w:val="auto"/>
                <w:sz w:val="21"/>
                <w:lang w:val="en-US" w:eastAsia="zh-CN"/>
              </w:rPr>
              <w:t>、合同文本</w:t>
            </w:r>
            <w:r>
              <w:rPr>
                <w:rFonts w:hAnsi="宋体" w:cs="宋体"/>
                <w:color w:val="auto"/>
                <w:sz w:val="21"/>
                <w:lang w:val="en-US" w:eastAsia="zh-CN"/>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sz w:val="21"/>
                <w:lang w:val="en-US" w:eastAsia="zh-CN"/>
              </w:rPr>
              <w:t>更正公告（澄清公告）</w:t>
            </w:r>
            <w:r>
              <w:rPr>
                <w:rFonts w:hAnsi="宋体" w:cs="宋体"/>
                <w:color w:val="auto"/>
                <w:sz w:val="21"/>
                <w:lang w:val="en-US" w:eastAsia="zh-CN"/>
              </w:rPr>
              <w:t>与同步更新的</w:t>
            </w:r>
            <w:r>
              <w:rPr>
                <w:rFonts w:hint="eastAsia" w:hAnsi="宋体" w:cs="宋体"/>
                <w:color w:val="auto"/>
                <w:sz w:val="21"/>
                <w:lang w:val="en-US" w:eastAsia="zh-CN"/>
              </w:rPr>
              <w:t>磋商文件</w:t>
            </w:r>
            <w:r>
              <w:rPr>
                <w:rFonts w:hAnsi="宋体" w:cs="宋体"/>
                <w:color w:val="auto"/>
                <w:sz w:val="21"/>
                <w:lang w:val="en-US" w:eastAsia="zh-CN"/>
              </w:rPr>
              <w:t>不一致时以</w:t>
            </w:r>
            <w:r>
              <w:rPr>
                <w:rFonts w:hint="eastAsia" w:hAnsi="宋体" w:cs="宋体"/>
                <w:color w:val="auto"/>
                <w:sz w:val="21"/>
                <w:lang w:val="en-US" w:eastAsia="zh-CN"/>
              </w:rPr>
              <w:t>更正公告（澄清公告）</w:t>
            </w:r>
            <w:r>
              <w:rPr>
                <w:rFonts w:hAnsi="宋体" w:cs="宋体"/>
                <w:color w:val="auto"/>
                <w:sz w:val="21"/>
                <w:lang w:val="en-US" w:eastAsia="zh-CN"/>
              </w:rPr>
              <w:t>为准。按本款前述规定仍不能形成结论的，</w:t>
            </w:r>
            <w:r>
              <w:rPr>
                <w:rFonts w:hAnsi="宋体" w:cs="宋体"/>
                <w:b/>
                <w:color w:val="auto"/>
                <w:sz w:val="21"/>
                <w:lang w:val="en-US" w:eastAsia="zh-CN"/>
              </w:rPr>
              <w:t>由</w:t>
            </w:r>
            <w:r>
              <w:rPr>
                <w:rFonts w:hint="eastAsia" w:hAnsi="宋体" w:cs="宋体"/>
                <w:b/>
                <w:color w:val="auto"/>
                <w:sz w:val="21"/>
                <w:lang w:val="en-US" w:eastAsia="zh-CN"/>
              </w:rPr>
              <w:t>采购</w:t>
            </w:r>
            <w:r>
              <w:rPr>
                <w:rFonts w:hAnsi="宋体" w:cs="宋体"/>
                <w:b/>
                <w:color w:val="auto"/>
                <w:sz w:val="21"/>
                <w:lang w:val="en-US" w:eastAsia="zh-CN"/>
              </w:rPr>
              <w:t>人</w:t>
            </w:r>
            <w:r>
              <w:rPr>
                <w:rFonts w:hint="eastAsia" w:hAnsi="宋体" w:cs="宋体"/>
                <w:b/>
                <w:color w:val="auto"/>
                <w:sz w:val="21"/>
                <w:lang w:val="en-US" w:eastAsia="zh-CN"/>
              </w:rPr>
              <w:t>或者采购代理机构</w:t>
            </w:r>
            <w:r>
              <w:rPr>
                <w:rFonts w:hAnsi="宋体" w:cs="宋体"/>
                <w:b/>
                <w:color w:val="auto"/>
                <w:sz w:val="21"/>
                <w:lang w:val="en-US" w:eastAsia="zh-CN"/>
              </w:rPr>
              <w:t>负责解释。</w:t>
            </w:r>
          </w:p>
          <w:p w14:paraId="18549BB2">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宋体" w:hAnsi="宋体" w:eastAsia="宋体" w:cs="宋体"/>
                <w:color w:val="auto"/>
                <w:sz w:val="21"/>
                <w:lang w:val="en-US" w:eastAsia="zh-CN"/>
              </w:rPr>
            </w:pPr>
            <w:r>
              <w:rPr>
                <w:rFonts w:hint="eastAsia" w:hAnsi="宋体" w:cs="宋体"/>
                <w:b/>
                <w:color w:val="auto"/>
                <w:sz w:val="21"/>
                <w:lang w:val="en-US" w:eastAsia="zh-CN"/>
              </w:rPr>
              <w:t>法律责任：</w:t>
            </w:r>
            <w:r>
              <w:rPr>
                <w:rFonts w:hint="eastAsia" w:hAnsi="宋体" w:cs="宋体"/>
                <w:color w:val="auto"/>
                <w:sz w:val="21"/>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50624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2BEADE7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1992" w:type="dxa"/>
            <w:tcBorders>
              <w:top w:val="single" w:color="auto" w:sz="4" w:space="0"/>
              <w:left w:val="single" w:color="auto" w:sz="4" w:space="0"/>
              <w:bottom w:val="single" w:color="auto" w:sz="4" w:space="0"/>
              <w:right w:val="single" w:color="auto" w:sz="4" w:space="0"/>
            </w:tcBorders>
            <w:vAlign w:val="center"/>
          </w:tcPr>
          <w:p w14:paraId="500A9155">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rPr>
            </w:pPr>
            <w:r>
              <w:rPr>
                <w:rFonts w:hint="eastAsia" w:ascii="宋体" w:hAnsi="宋体" w:cs="宋体"/>
                <w:color w:val="auto"/>
                <w:szCs w:val="21"/>
              </w:rPr>
              <w:t>其他</w:t>
            </w:r>
          </w:p>
        </w:tc>
        <w:tc>
          <w:tcPr>
            <w:tcW w:w="7164" w:type="dxa"/>
            <w:tcBorders>
              <w:top w:val="single" w:color="auto" w:sz="4" w:space="0"/>
              <w:left w:val="single" w:color="auto" w:sz="4" w:space="0"/>
              <w:bottom w:val="single" w:color="auto" w:sz="4" w:space="0"/>
              <w:right w:val="single" w:color="auto" w:sz="4" w:space="0"/>
            </w:tcBorders>
            <w:vAlign w:val="center"/>
          </w:tcPr>
          <w:p w14:paraId="50D005D6">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hAnsi="宋体" w:cs="宋体"/>
                <w:color w:val="auto"/>
                <w:sz w:val="21"/>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D291366">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Ansi="宋体" w:cs="宋体"/>
                <w:color w:val="auto"/>
                <w:sz w:val="21"/>
                <w:lang w:val="en-US" w:eastAsia="zh-CN"/>
              </w:rPr>
            </w:pPr>
            <w:r>
              <w:rPr>
                <w:rFonts w:hint="eastAsia" w:hAnsi="宋体" w:cs="宋体"/>
                <w:color w:val="auto"/>
                <w:sz w:val="21"/>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1ACD3FE">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Ansi="宋体" w:cs="宋体"/>
                <w:color w:val="auto"/>
                <w:sz w:val="21"/>
                <w:lang w:val="en-US" w:eastAsia="zh-CN"/>
              </w:rPr>
              <w:t>3.</w:t>
            </w:r>
            <w:r>
              <w:rPr>
                <w:rFonts w:hint="eastAsia" w:hAnsi="宋体" w:cs="宋体"/>
                <w:color w:val="auto"/>
                <w:sz w:val="21"/>
                <w:lang w:val="en-US" w:eastAsia="zh-CN"/>
              </w:rPr>
              <w:t>本磋商文件中描述供应商的“签字”是指供应商的法定代表人或者委托代理人亲自在文件规定签署处亲笔写上个人的名字的行为，私章、签字章、印鉴、影印等其他形式均不能代替亲笔签字。</w:t>
            </w:r>
          </w:p>
          <w:p w14:paraId="788158A9">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Ansi="宋体" w:cs="宋体"/>
                <w:color w:val="auto"/>
                <w:sz w:val="21"/>
                <w:lang w:val="en-US" w:eastAsia="zh-CN"/>
              </w:rPr>
            </w:pPr>
            <w:r>
              <w:rPr>
                <w:rFonts w:hAnsi="宋体" w:cs="宋体"/>
                <w:color w:val="auto"/>
                <w:sz w:val="21"/>
                <w:lang w:val="en-US" w:eastAsia="zh-CN"/>
              </w:rPr>
              <w:t>4.</w:t>
            </w:r>
            <w:r>
              <w:rPr>
                <w:rFonts w:hint="eastAsia" w:hAnsi="宋体" w:cs="宋体"/>
                <w:color w:val="auto"/>
                <w:sz w:val="21"/>
                <w:lang w:val="en-US" w:eastAsia="zh-CN"/>
              </w:rPr>
              <w:t>自然人竞标的，磋商文件规定盖公章处由自然人摁手指指印。</w:t>
            </w:r>
          </w:p>
          <w:p w14:paraId="0DB73ACC">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宋体" w:hAnsi="宋体" w:eastAsia="宋体" w:cs="宋体"/>
                <w:color w:val="auto"/>
                <w:sz w:val="21"/>
                <w:lang w:val="en-US" w:eastAsia="zh-CN"/>
              </w:rPr>
            </w:pPr>
            <w:r>
              <w:rPr>
                <w:rFonts w:hint="eastAsia" w:hAnsi="宋体" w:cs="宋体"/>
                <w:color w:val="auto"/>
                <w:sz w:val="21"/>
                <w:lang w:val="en-US" w:eastAsia="zh-CN"/>
              </w:rPr>
              <w:t>5</w:t>
            </w:r>
            <w:r>
              <w:rPr>
                <w:rFonts w:hAnsi="宋体" w:cs="宋体"/>
                <w:color w:val="auto"/>
                <w:sz w:val="21"/>
                <w:lang w:val="en-US" w:eastAsia="zh-CN"/>
              </w:rPr>
              <w:t>.</w:t>
            </w:r>
            <w:r>
              <w:rPr>
                <w:rFonts w:hint="eastAsia" w:hAnsi="宋体" w:cs="宋体"/>
                <w:color w:val="auto"/>
                <w:sz w:val="21"/>
                <w:lang w:val="en-US" w:eastAsia="zh-CN"/>
              </w:rPr>
              <w:t>本磋商文件所称的“以上”“以下”“以内”“届满”，包括本数；所称的“不满”“超过”“以外”，不包括本数。</w:t>
            </w:r>
          </w:p>
        </w:tc>
      </w:tr>
      <w:tr w14:paraId="1653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056C07D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21</w:t>
            </w:r>
          </w:p>
        </w:tc>
        <w:tc>
          <w:tcPr>
            <w:tcW w:w="1992" w:type="dxa"/>
            <w:tcBorders>
              <w:top w:val="single" w:color="auto" w:sz="4" w:space="0"/>
              <w:left w:val="single" w:color="auto" w:sz="4" w:space="0"/>
              <w:bottom w:val="single" w:color="auto" w:sz="4" w:space="0"/>
              <w:right w:val="single" w:color="auto" w:sz="4" w:space="0"/>
            </w:tcBorders>
            <w:vAlign w:val="center"/>
          </w:tcPr>
          <w:p w14:paraId="0C52482D">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rPr>
            </w:pPr>
            <w:r>
              <w:rPr>
                <w:rFonts w:hint="eastAsia" w:ascii="宋体" w:hAnsi="宋体" w:eastAsia="宋体" w:cs="宋体"/>
                <w:b/>
                <w:color w:val="auto"/>
                <w:spacing w:val="0"/>
                <w:szCs w:val="21"/>
                <w:highlight w:val="none"/>
              </w:rPr>
              <w:t>特别说明</w:t>
            </w:r>
          </w:p>
        </w:tc>
        <w:tc>
          <w:tcPr>
            <w:tcW w:w="7164" w:type="dxa"/>
            <w:tcBorders>
              <w:top w:val="single" w:color="auto" w:sz="4" w:space="0"/>
              <w:left w:val="single" w:color="auto" w:sz="4" w:space="0"/>
              <w:bottom w:val="single" w:color="auto" w:sz="4" w:space="0"/>
              <w:right w:val="single" w:color="auto" w:sz="4" w:space="0"/>
            </w:tcBorders>
            <w:vAlign w:val="center"/>
          </w:tcPr>
          <w:p w14:paraId="2D89B5E6">
            <w:pPr>
              <w:pStyle w:val="12"/>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color w:val="auto"/>
              </w:rPr>
            </w:pPr>
            <w:r>
              <w:rPr>
                <w:rFonts w:hint="eastAsia"/>
                <w:color w:val="auto"/>
              </w:rPr>
              <w:t>（1）</w:t>
            </w:r>
            <w:r>
              <w:rPr>
                <w:rFonts w:hint="eastAsia"/>
                <w:color w:val="auto"/>
                <w:lang w:eastAsia="zh-CN"/>
              </w:rPr>
              <w:t>响应文件</w:t>
            </w:r>
            <w:r>
              <w:rPr>
                <w:rFonts w:hint="eastAsia"/>
                <w:color w:val="auto"/>
              </w:rPr>
              <w:t>中须加盖供应商公章位置均采用CA签章，并根据“政府采购项目电子交易管理操作指南-供应商”及本</w:t>
            </w:r>
            <w:r>
              <w:rPr>
                <w:rFonts w:hint="eastAsia"/>
                <w:color w:val="auto"/>
                <w:lang w:eastAsia="zh-CN"/>
              </w:rPr>
              <w:t>竞争性磋商文件</w:t>
            </w:r>
            <w:r>
              <w:rPr>
                <w:rFonts w:hint="eastAsia"/>
                <w:color w:val="auto"/>
              </w:rPr>
              <w:t>规定的</w:t>
            </w:r>
            <w:r>
              <w:rPr>
                <w:rFonts w:hint="eastAsia"/>
                <w:color w:val="auto"/>
                <w:lang w:eastAsia="zh-CN"/>
              </w:rPr>
              <w:t>要求</w:t>
            </w:r>
            <w:r>
              <w:rPr>
                <w:rFonts w:hint="eastAsia"/>
                <w:color w:val="auto"/>
              </w:rPr>
              <w:t>编制</w:t>
            </w:r>
            <w:r>
              <w:rPr>
                <w:rFonts w:hint="eastAsia"/>
                <w:color w:val="auto"/>
                <w:lang w:eastAsia="zh-CN"/>
              </w:rPr>
              <w:t>响应文件</w:t>
            </w:r>
            <w:r>
              <w:rPr>
                <w:rFonts w:hint="eastAsia"/>
                <w:color w:val="auto"/>
              </w:rPr>
              <w:t>并进行关联定位，以便</w:t>
            </w:r>
            <w:r>
              <w:rPr>
                <w:rFonts w:hint="eastAsia"/>
                <w:color w:val="auto"/>
                <w:lang w:eastAsia="zh-CN"/>
              </w:rPr>
              <w:t>磋商小组</w:t>
            </w:r>
            <w:r>
              <w:rPr>
                <w:rFonts w:hint="eastAsia"/>
                <w:color w:val="auto"/>
              </w:rPr>
              <w:t>在评审时，点击评分项可直接定位到该评分项内容。如对</w:t>
            </w:r>
            <w:r>
              <w:rPr>
                <w:rFonts w:hint="eastAsia"/>
                <w:color w:val="auto"/>
                <w:lang w:eastAsia="zh-CN"/>
              </w:rPr>
              <w:t>竞争性磋商文件</w:t>
            </w:r>
            <w:r>
              <w:rPr>
                <w:rFonts w:hint="eastAsia"/>
                <w:color w:val="auto"/>
              </w:rPr>
              <w:t>的某项要求，供应商的</w:t>
            </w:r>
            <w:r>
              <w:rPr>
                <w:rFonts w:hint="eastAsia"/>
                <w:color w:val="auto"/>
                <w:lang w:eastAsia="zh-CN"/>
              </w:rPr>
              <w:t>响应文件</w:t>
            </w:r>
            <w:r>
              <w:rPr>
                <w:rFonts w:hint="eastAsia"/>
                <w:color w:val="auto"/>
              </w:rPr>
              <w:t>未能关联定位提供相应的内容与其对应，则</w:t>
            </w:r>
            <w:r>
              <w:rPr>
                <w:rFonts w:hint="eastAsia"/>
                <w:color w:val="auto"/>
                <w:lang w:eastAsia="zh-CN"/>
              </w:rPr>
              <w:t>磋商小组</w:t>
            </w:r>
            <w:r>
              <w:rPr>
                <w:rFonts w:hint="eastAsia"/>
                <w:color w:val="auto"/>
              </w:rPr>
              <w:t>在评审时如做出对供应商不利的评审由供应商自行承担。</w:t>
            </w:r>
            <w:r>
              <w:rPr>
                <w:rFonts w:hint="eastAsia"/>
                <w:color w:val="auto"/>
                <w:lang w:eastAsia="zh-CN"/>
              </w:rPr>
              <w:t>响应文件</w:t>
            </w:r>
            <w:r>
              <w:rPr>
                <w:rFonts w:hint="eastAsia"/>
                <w:color w:val="auto"/>
              </w:rPr>
              <w:t>如内容不完整、编排混乱导致</w:t>
            </w:r>
            <w:r>
              <w:rPr>
                <w:rFonts w:hint="eastAsia"/>
                <w:color w:val="auto"/>
                <w:lang w:eastAsia="zh-CN"/>
              </w:rPr>
              <w:t>响应文件</w:t>
            </w:r>
            <w:r>
              <w:rPr>
                <w:rFonts w:hint="eastAsia"/>
                <w:color w:val="auto"/>
              </w:rPr>
              <w:t>被误读、 漏读，或者在按</w:t>
            </w:r>
            <w:r>
              <w:rPr>
                <w:rFonts w:hint="eastAsia"/>
                <w:color w:val="auto"/>
                <w:lang w:eastAsia="zh-CN"/>
              </w:rPr>
              <w:t>磋商文件</w:t>
            </w:r>
            <w:r>
              <w:rPr>
                <w:rFonts w:hint="eastAsia"/>
                <w:color w:val="auto"/>
              </w:rPr>
              <w:t>规定的部位查找不到相关内容的，由供应商自行承担。</w:t>
            </w:r>
          </w:p>
          <w:p w14:paraId="6E056B3C">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color w:val="auto"/>
              </w:rPr>
            </w:pPr>
            <w:r>
              <w:rPr>
                <w:rFonts w:hint="eastAsia"/>
                <w:color w:val="auto"/>
              </w:rPr>
              <w:t>（2）</w:t>
            </w:r>
            <w:r>
              <w:rPr>
                <w:rFonts w:hint="eastAsia"/>
                <w:color w:val="auto"/>
                <w:lang w:eastAsia="zh-CN"/>
              </w:rPr>
              <w:t>竞争性磋商文件</w:t>
            </w:r>
            <w:r>
              <w:rPr>
                <w:rFonts w:hint="eastAsia"/>
                <w:color w:val="auto"/>
              </w:rPr>
              <w:t>要求法定代表人或委托代理人签字的部分必须签字然后扫描或者拍照做成pdf格式上传，无签字的</w:t>
            </w:r>
            <w:r>
              <w:rPr>
                <w:rFonts w:hint="eastAsia"/>
                <w:color w:val="auto"/>
                <w:lang w:eastAsia="zh-CN"/>
              </w:rPr>
              <w:t>，</w:t>
            </w:r>
            <w:r>
              <w:rPr>
                <w:rFonts w:hint="eastAsia"/>
                <w:color w:val="auto"/>
              </w:rPr>
              <w:t>响应文件按无效响应处理。</w:t>
            </w:r>
          </w:p>
          <w:p w14:paraId="47701F03">
            <w:pPr>
              <w:pStyle w:val="33"/>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color w:val="auto"/>
                <w:lang w:val="en-US" w:eastAsia="zh-CN"/>
              </w:rPr>
            </w:pPr>
            <w:r>
              <w:rPr>
                <w:rFonts w:hint="eastAsia" w:ascii="Times New Roman" w:eastAsia="宋体" w:cs="Times New Roman"/>
                <w:bCs w:val="0"/>
                <w:color w:val="auto"/>
                <w:spacing w:val="0"/>
                <w:kern w:val="2"/>
                <w:sz w:val="21"/>
                <w:szCs w:val="24"/>
                <w:lang w:val="en-US" w:eastAsia="zh-CN" w:bidi="ar-SA"/>
              </w:rPr>
              <w:t>（3）补充事项：</w:t>
            </w:r>
            <w:r>
              <w:rPr>
                <w:rFonts w:hint="eastAsia" w:ascii="Times New Roman" w:hAnsi="Times New Roman" w:eastAsia="宋体" w:cs="Times New Roman"/>
                <w:bCs w:val="0"/>
                <w:color w:val="auto"/>
                <w:spacing w:val="0"/>
                <w:kern w:val="2"/>
                <w:sz w:val="21"/>
                <w:szCs w:val="24"/>
                <w:lang w:val="en-US" w:eastAsia="zh-CN" w:bidi="ar-SA"/>
              </w:rPr>
              <w:t>成交</w:t>
            </w:r>
            <w:r>
              <w:rPr>
                <w:rFonts w:hint="eastAsia" w:ascii="Times New Roman" w:eastAsia="宋体" w:cs="Times New Roman"/>
                <w:bCs w:val="0"/>
                <w:color w:val="auto"/>
                <w:spacing w:val="0"/>
                <w:kern w:val="2"/>
                <w:sz w:val="21"/>
                <w:szCs w:val="24"/>
                <w:lang w:val="en-US" w:eastAsia="zh-CN" w:bidi="ar-SA"/>
              </w:rPr>
              <w:t>供应商</w:t>
            </w:r>
            <w:r>
              <w:rPr>
                <w:rFonts w:hint="eastAsia" w:ascii="Times New Roman" w:hAnsi="Times New Roman" w:eastAsia="宋体" w:cs="Times New Roman"/>
                <w:bCs w:val="0"/>
                <w:color w:val="auto"/>
                <w:spacing w:val="0"/>
                <w:kern w:val="2"/>
                <w:sz w:val="21"/>
                <w:szCs w:val="24"/>
                <w:lang w:val="en-US" w:eastAsia="zh-CN" w:bidi="ar-SA"/>
              </w:rPr>
              <w:t>需在确定成交3日内打印盖章叁份响应文件提供给代理机构，作为成果文件装订使用。</w:t>
            </w:r>
          </w:p>
        </w:tc>
      </w:tr>
      <w:tr w14:paraId="39ED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74EE39C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cs="宋体"/>
                <w:color w:val="auto"/>
                <w:szCs w:val="21"/>
                <w:lang w:val="en-US" w:eastAsia="zh-CN"/>
              </w:rPr>
            </w:pPr>
            <w:bookmarkStart w:id="63" w:name="_Toc8441"/>
            <w:bookmarkStart w:id="64" w:name="_Toc16298"/>
            <w:r>
              <w:rPr>
                <w:rFonts w:hint="eastAsia" w:ascii="宋体" w:hAnsi="宋体" w:cs="宋体"/>
                <w:color w:val="auto"/>
                <w:szCs w:val="21"/>
                <w:lang w:val="en-US" w:eastAsia="zh-CN"/>
              </w:rPr>
              <w:t>22</w:t>
            </w: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14:paraId="0B1414C9">
            <w:pPr>
              <w:spacing w:line="440" w:lineRule="exact"/>
              <w:jc w:val="center"/>
              <w:rPr>
                <w:rFonts w:hint="eastAsia" w:ascii="宋体" w:hAnsi="宋体" w:eastAsia="宋体" w:cs="宋体"/>
                <w:b/>
                <w:color w:val="auto"/>
                <w:spacing w:val="0"/>
                <w:kern w:val="2"/>
                <w:sz w:val="21"/>
                <w:szCs w:val="21"/>
                <w:highlight w:val="none"/>
                <w:lang w:val="en-US" w:eastAsia="zh-CN" w:bidi="ar-SA"/>
              </w:rPr>
            </w:pPr>
            <w:r>
              <w:rPr>
                <w:rFonts w:hint="eastAsia" w:ascii="宋体" w:hAnsi="宋体" w:cs="宋体"/>
                <w:b/>
                <w:bCs/>
                <w:color w:val="auto"/>
                <w:szCs w:val="21"/>
                <w:highlight w:val="none"/>
              </w:rPr>
              <w:t>政采贷</w:t>
            </w:r>
          </w:p>
        </w:tc>
        <w:tc>
          <w:tcPr>
            <w:tcW w:w="7164" w:type="dxa"/>
            <w:tcBorders>
              <w:top w:val="single" w:color="auto" w:sz="4" w:space="0"/>
              <w:left w:val="single" w:color="auto" w:sz="4" w:space="0"/>
              <w:bottom w:val="single" w:color="auto" w:sz="4" w:space="0"/>
              <w:right w:val="single" w:color="auto" w:sz="4" w:space="0"/>
            </w:tcBorders>
            <w:shd w:val="clear" w:color="auto" w:fill="auto"/>
            <w:vAlign w:val="center"/>
          </w:tcPr>
          <w:p w14:paraId="49619CA8">
            <w:pPr>
              <w:spacing w:line="440" w:lineRule="exact"/>
              <w:jc w:val="center"/>
              <w:rPr>
                <w:rFonts w:hint="eastAsia" w:ascii="Times New Roman" w:hAnsi="Times New Roman" w:eastAsia="宋体" w:cs="Times New Roman"/>
                <w:b/>
                <w:bCs/>
                <w:color w:val="auto"/>
                <w:spacing w:val="0"/>
                <w:kern w:val="2"/>
                <w:sz w:val="21"/>
                <w:szCs w:val="24"/>
                <w:lang w:val="en-US" w:eastAsia="zh-CN" w:bidi="ar-SA"/>
              </w:rPr>
            </w:pPr>
            <w:r>
              <w:rPr>
                <w:rFonts w:hint="eastAsia" w:ascii="宋体" w:hAnsi="宋体" w:cs="宋体"/>
                <w:color w:val="auto"/>
                <w:szCs w:val="21"/>
                <w:highlight w:val="none"/>
              </w:rPr>
              <w:t>供应商可凭中标（成交）通知书或政府采购合同等在内的相关材料、信息，通过中征应收账款融资服务平台向银行业金融机构在线申请“政采贷”融资</w:t>
            </w:r>
            <w:r>
              <w:rPr>
                <w:rFonts w:hint="eastAsia" w:ascii="宋体" w:hAnsi="宋体" w:cs="宋体"/>
                <w:color w:val="auto"/>
                <w:szCs w:val="21"/>
                <w:highlight w:val="none"/>
                <w:lang w:eastAsia="zh-CN"/>
              </w:rPr>
              <w:t>。</w:t>
            </w:r>
          </w:p>
        </w:tc>
      </w:tr>
    </w:tbl>
    <w:p w14:paraId="6B7B64EF">
      <w:pPr>
        <w:rPr>
          <w:rFonts w:hint="eastAsia"/>
          <w:color w:val="auto"/>
          <w:lang w:val="en-US" w:eastAsia="zh-CN"/>
        </w:rPr>
      </w:pPr>
    </w:p>
    <w:p w14:paraId="5E381468">
      <w:pPr>
        <w:pStyle w:val="35"/>
        <w:rPr>
          <w:rFonts w:hint="eastAsia"/>
          <w:color w:val="auto"/>
          <w:lang w:val="en-US" w:eastAsia="zh-CN"/>
        </w:rPr>
      </w:pPr>
    </w:p>
    <w:p w14:paraId="2CDFCCB9">
      <w:pPr>
        <w:pStyle w:val="2"/>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hint="eastAsia" w:ascii="宋体" w:hAnsi="宋体" w:cs="宋体"/>
          <w:b/>
          <w:bCs w:val="0"/>
          <w:color w:val="auto"/>
          <w:sz w:val="32"/>
          <w:szCs w:val="32"/>
          <w:lang w:val="en-US" w:eastAsia="zh-CN"/>
        </w:rPr>
      </w:pPr>
    </w:p>
    <w:p w14:paraId="38F07A31">
      <w:pPr>
        <w:rPr>
          <w:rFonts w:hint="eastAsia" w:ascii="宋体" w:hAnsi="宋体" w:cs="宋体"/>
          <w:b/>
          <w:bCs w:val="0"/>
          <w:color w:val="auto"/>
          <w:sz w:val="32"/>
          <w:szCs w:val="32"/>
          <w:lang w:val="en-US" w:eastAsia="zh-CN"/>
        </w:rPr>
      </w:pPr>
    </w:p>
    <w:p w14:paraId="24CEE992">
      <w:pPr>
        <w:pStyle w:val="33"/>
        <w:rPr>
          <w:rFonts w:hint="eastAsia" w:ascii="宋体" w:hAnsi="宋体" w:cs="宋体"/>
          <w:b/>
          <w:bCs w:val="0"/>
          <w:color w:val="auto"/>
          <w:sz w:val="32"/>
          <w:szCs w:val="32"/>
          <w:lang w:val="en-US" w:eastAsia="zh-CN"/>
        </w:rPr>
      </w:pPr>
    </w:p>
    <w:p w14:paraId="3A1011BE">
      <w:pPr>
        <w:pStyle w:val="33"/>
        <w:rPr>
          <w:rFonts w:hint="eastAsia" w:ascii="宋体" w:hAnsi="宋体" w:cs="宋体"/>
          <w:b/>
          <w:bCs w:val="0"/>
          <w:color w:val="auto"/>
          <w:sz w:val="32"/>
          <w:szCs w:val="32"/>
          <w:lang w:val="en-US" w:eastAsia="zh-CN"/>
        </w:rPr>
      </w:pPr>
    </w:p>
    <w:p w14:paraId="4BFB9E10">
      <w:pPr>
        <w:pStyle w:val="33"/>
        <w:rPr>
          <w:rFonts w:hint="eastAsia" w:ascii="宋体" w:hAnsi="宋体" w:cs="宋体"/>
          <w:b/>
          <w:bCs w:val="0"/>
          <w:color w:val="auto"/>
          <w:sz w:val="32"/>
          <w:szCs w:val="32"/>
          <w:lang w:val="en-US" w:eastAsia="zh-CN"/>
        </w:rPr>
      </w:pPr>
    </w:p>
    <w:p w14:paraId="6E469179">
      <w:pPr>
        <w:pStyle w:val="33"/>
        <w:rPr>
          <w:rFonts w:hint="eastAsia" w:ascii="宋体" w:hAnsi="宋体" w:cs="宋体"/>
          <w:b/>
          <w:bCs w:val="0"/>
          <w:color w:val="auto"/>
          <w:sz w:val="32"/>
          <w:szCs w:val="32"/>
          <w:lang w:val="en-US" w:eastAsia="zh-CN"/>
        </w:rPr>
      </w:pPr>
    </w:p>
    <w:p w14:paraId="407DE38E">
      <w:pPr>
        <w:pStyle w:val="33"/>
        <w:rPr>
          <w:rFonts w:hint="eastAsia" w:ascii="宋体" w:hAnsi="宋体" w:cs="宋体"/>
          <w:b/>
          <w:bCs w:val="0"/>
          <w:color w:val="auto"/>
          <w:sz w:val="32"/>
          <w:szCs w:val="32"/>
          <w:lang w:val="en-US" w:eastAsia="zh-CN"/>
        </w:rPr>
      </w:pPr>
    </w:p>
    <w:p w14:paraId="26DED9C0">
      <w:pPr>
        <w:pStyle w:val="33"/>
        <w:rPr>
          <w:rFonts w:hint="eastAsia" w:ascii="宋体" w:hAnsi="宋体" w:cs="宋体"/>
          <w:b/>
          <w:bCs w:val="0"/>
          <w:color w:val="auto"/>
          <w:sz w:val="32"/>
          <w:szCs w:val="32"/>
          <w:lang w:val="en-US" w:eastAsia="zh-CN"/>
        </w:rPr>
      </w:pPr>
    </w:p>
    <w:p w14:paraId="6D370057">
      <w:pPr>
        <w:pStyle w:val="33"/>
        <w:rPr>
          <w:rFonts w:hint="eastAsia" w:ascii="宋体" w:hAnsi="宋体" w:cs="宋体"/>
          <w:b/>
          <w:bCs w:val="0"/>
          <w:color w:val="auto"/>
          <w:sz w:val="32"/>
          <w:szCs w:val="32"/>
          <w:lang w:val="en-US" w:eastAsia="zh-CN"/>
        </w:rPr>
      </w:pPr>
    </w:p>
    <w:p w14:paraId="5FB2B092">
      <w:pPr>
        <w:pStyle w:val="33"/>
        <w:rPr>
          <w:rFonts w:hint="eastAsia" w:ascii="宋体" w:hAnsi="宋体" w:cs="宋体"/>
          <w:b/>
          <w:bCs w:val="0"/>
          <w:color w:val="auto"/>
          <w:sz w:val="32"/>
          <w:szCs w:val="32"/>
          <w:lang w:val="en-US" w:eastAsia="zh-CN"/>
        </w:rPr>
      </w:pPr>
    </w:p>
    <w:p w14:paraId="04DA6F12">
      <w:pPr>
        <w:pStyle w:val="33"/>
        <w:rPr>
          <w:rFonts w:hint="eastAsia" w:ascii="宋体" w:hAnsi="宋体" w:cs="宋体"/>
          <w:b/>
          <w:bCs w:val="0"/>
          <w:color w:val="auto"/>
          <w:sz w:val="32"/>
          <w:szCs w:val="32"/>
          <w:lang w:val="en-US" w:eastAsia="zh-CN"/>
        </w:rPr>
      </w:pPr>
    </w:p>
    <w:p w14:paraId="3C0079B0">
      <w:pPr>
        <w:pStyle w:val="33"/>
        <w:rPr>
          <w:rFonts w:hint="eastAsia" w:ascii="宋体" w:hAnsi="宋体" w:cs="宋体"/>
          <w:b/>
          <w:bCs w:val="0"/>
          <w:color w:val="auto"/>
          <w:sz w:val="32"/>
          <w:szCs w:val="32"/>
          <w:lang w:val="en-US" w:eastAsia="zh-CN"/>
        </w:rPr>
      </w:pPr>
    </w:p>
    <w:p w14:paraId="5AF0042C">
      <w:pPr>
        <w:pStyle w:val="33"/>
        <w:rPr>
          <w:rFonts w:hint="eastAsia" w:ascii="宋体" w:hAnsi="宋体" w:cs="宋体"/>
          <w:b/>
          <w:bCs w:val="0"/>
          <w:color w:val="auto"/>
          <w:sz w:val="32"/>
          <w:szCs w:val="32"/>
          <w:lang w:val="en-US" w:eastAsia="zh-CN"/>
        </w:rPr>
      </w:pPr>
    </w:p>
    <w:p w14:paraId="32C353E0">
      <w:pPr>
        <w:pStyle w:val="33"/>
        <w:rPr>
          <w:rFonts w:hint="eastAsia" w:ascii="宋体" w:hAnsi="宋体" w:cs="宋体"/>
          <w:b/>
          <w:bCs w:val="0"/>
          <w:color w:val="auto"/>
          <w:sz w:val="32"/>
          <w:szCs w:val="32"/>
          <w:lang w:val="en-US" w:eastAsia="zh-CN"/>
        </w:rPr>
      </w:pPr>
    </w:p>
    <w:p w14:paraId="4CD421BC">
      <w:pPr>
        <w:pStyle w:val="33"/>
        <w:rPr>
          <w:rFonts w:hint="eastAsia" w:ascii="宋体" w:hAnsi="宋体" w:cs="宋体"/>
          <w:b/>
          <w:bCs w:val="0"/>
          <w:color w:val="auto"/>
          <w:sz w:val="32"/>
          <w:szCs w:val="32"/>
          <w:lang w:val="en-US" w:eastAsia="zh-CN"/>
        </w:rPr>
      </w:pPr>
    </w:p>
    <w:p w14:paraId="0CB0C9F6">
      <w:pPr>
        <w:pStyle w:val="33"/>
        <w:rPr>
          <w:rFonts w:hint="eastAsia" w:ascii="宋体" w:hAnsi="宋体" w:cs="宋体"/>
          <w:b/>
          <w:bCs w:val="0"/>
          <w:color w:val="auto"/>
          <w:sz w:val="32"/>
          <w:szCs w:val="32"/>
          <w:lang w:val="en-US" w:eastAsia="zh-CN"/>
        </w:rPr>
      </w:pPr>
    </w:p>
    <w:p w14:paraId="53BA8EEB">
      <w:pPr>
        <w:pStyle w:val="33"/>
        <w:rPr>
          <w:rFonts w:hint="eastAsia" w:ascii="宋体" w:hAnsi="宋体" w:cs="宋体"/>
          <w:b/>
          <w:bCs w:val="0"/>
          <w:color w:val="auto"/>
          <w:sz w:val="32"/>
          <w:szCs w:val="32"/>
          <w:lang w:val="en-US" w:eastAsia="zh-CN"/>
        </w:rPr>
      </w:pPr>
    </w:p>
    <w:p w14:paraId="618526AE">
      <w:pPr>
        <w:pStyle w:val="33"/>
        <w:rPr>
          <w:rFonts w:hint="eastAsia" w:ascii="宋体" w:hAnsi="宋体" w:cs="宋体"/>
          <w:b/>
          <w:bCs w:val="0"/>
          <w:color w:val="auto"/>
          <w:sz w:val="32"/>
          <w:szCs w:val="32"/>
          <w:lang w:val="en-US" w:eastAsia="zh-CN"/>
        </w:rPr>
      </w:pPr>
    </w:p>
    <w:p w14:paraId="257DF1C2">
      <w:pPr>
        <w:pStyle w:val="33"/>
        <w:rPr>
          <w:rFonts w:hint="eastAsia" w:ascii="宋体" w:hAnsi="宋体" w:cs="宋体"/>
          <w:b/>
          <w:bCs w:val="0"/>
          <w:color w:val="auto"/>
          <w:sz w:val="32"/>
          <w:szCs w:val="32"/>
          <w:lang w:val="en-US" w:eastAsia="zh-CN"/>
        </w:rPr>
      </w:pPr>
    </w:p>
    <w:p w14:paraId="7F1E3025">
      <w:pPr>
        <w:pStyle w:val="33"/>
        <w:rPr>
          <w:rFonts w:hint="eastAsia" w:ascii="宋体" w:hAnsi="宋体" w:cs="宋体"/>
          <w:b/>
          <w:bCs w:val="0"/>
          <w:color w:val="auto"/>
          <w:sz w:val="32"/>
          <w:szCs w:val="32"/>
          <w:lang w:val="en-US" w:eastAsia="zh-CN"/>
        </w:rPr>
      </w:pPr>
    </w:p>
    <w:p w14:paraId="3F4093DC">
      <w:pPr>
        <w:pStyle w:val="33"/>
        <w:rPr>
          <w:rFonts w:hint="eastAsia" w:ascii="宋体" w:hAnsi="宋体" w:cs="宋体"/>
          <w:b/>
          <w:bCs w:val="0"/>
          <w:color w:val="auto"/>
          <w:sz w:val="32"/>
          <w:szCs w:val="32"/>
          <w:lang w:val="en-US" w:eastAsia="zh-CN"/>
        </w:rPr>
      </w:pPr>
    </w:p>
    <w:p w14:paraId="7E3BADA2">
      <w:pPr>
        <w:pStyle w:val="33"/>
        <w:rPr>
          <w:rFonts w:hint="eastAsia" w:ascii="宋体" w:hAnsi="宋体" w:cs="宋体"/>
          <w:b/>
          <w:bCs w:val="0"/>
          <w:color w:val="auto"/>
          <w:sz w:val="32"/>
          <w:szCs w:val="32"/>
          <w:lang w:val="en-US" w:eastAsia="zh-CN"/>
        </w:rPr>
      </w:pPr>
    </w:p>
    <w:p w14:paraId="052A121F">
      <w:pPr>
        <w:pStyle w:val="33"/>
        <w:rPr>
          <w:rFonts w:hint="eastAsia" w:ascii="宋体" w:hAnsi="宋体" w:cs="宋体"/>
          <w:b/>
          <w:bCs w:val="0"/>
          <w:color w:val="auto"/>
          <w:sz w:val="32"/>
          <w:szCs w:val="32"/>
          <w:lang w:val="en-US" w:eastAsia="zh-CN"/>
        </w:rPr>
      </w:pPr>
    </w:p>
    <w:p w14:paraId="0297A829">
      <w:pPr>
        <w:pStyle w:val="2"/>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ascii="宋体" w:hAnsi="宋体" w:cs="宋体"/>
          <w:b/>
          <w:bCs w:val="0"/>
          <w:color w:val="auto"/>
          <w:szCs w:val="21"/>
        </w:rPr>
      </w:pPr>
      <w:r>
        <w:rPr>
          <w:rFonts w:hint="eastAsia" w:ascii="宋体" w:hAnsi="宋体" w:cs="宋体"/>
          <w:b/>
          <w:bCs w:val="0"/>
          <w:color w:val="auto"/>
          <w:sz w:val="32"/>
          <w:szCs w:val="32"/>
          <w:lang w:val="en-US" w:eastAsia="zh-CN"/>
        </w:rPr>
        <w:t>供应商</w:t>
      </w:r>
      <w:r>
        <w:rPr>
          <w:rFonts w:hint="eastAsia" w:ascii="宋体" w:hAnsi="宋体" w:cs="宋体"/>
          <w:b/>
          <w:bCs w:val="0"/>
          <w:color w:val="auto"/>
          <w:sz w:val="32"/>
          <w:szCs w:val="32"/>
        </w:rPr>
        <w:t>须知</w:t>
      </w:r>
      <w:bookmarkEnd w:id="63"/>
      <w:bookmarkEnd w:id="64"/>
    </w:p>
    <w:p w14:paraId="3E2EB9FB">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color w:val="auto"/>
          <w:szCs w:val="21"/>
        </w:rPr>
      </w:pPr>
      <w:r>
        <w:rPr>
          <w:rFonts w:hint="eastAsia" w:ascii="宋体" w:hAnsi="宋体" w:cs="宋体"/>
          <w:b/>
          <w:color w:val="auto"/>
          <w:szCs w:val="21"/>
        </w:rPr>
        <w:t>一、总则</w:t>
      </w:r>
    </w:p>
    <w:p w14:paraId="38723E7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rPr>
      </w:pPr>
      <w:r>
        <w:rPr>
          <w:rFonts w:hint="eastAsia" w:ascii="宋体" w:hAnsi="宋体" w:cs="宋体"/>
          <w:color w:val="auto"/>
          <w:szCs w:val="21"/>
        </w:rPr>
        <w:t>1.适用范围</w:t>
      </w:r>
    </w:p>
    <w:p w14:paraId="274394F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1.1 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F413A5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1.2 本竞争性磋商文件适用于本项目的所有采购程序和环节 (法律、法规另有规定的，从其规定) 。</w:t>
      </w:r>
    </w:p>
    <w:p w14:paraId="07AD2C1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rPr>
      </w:pPr>
      <w:r>
        <w:rPr>
          <w:rFonts w:hint="eastAsia" w:ascii="宋体" w:hAnsi="宋体" w:cs="宋体"/>
          <w:color w:val="auto"/>
          <w:szCs w:val="21"/>
        </w:rPr>
        <w:t>2.定义</w:t>
      </w:r>
    </w:p>
    <w:p w14:paraId="41B5932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2.1“采购人”是指依法进行采购的国家机关、事业单位、团体组织。</w:t>
      </w:r>
    </w:p>
    <w:p w14:paraId="2BC0907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2.2“采购代理机构”是指政府采购代理机构 (以下简称采购代理机构) 是指集中采购机构以外、受采购人委托从事政府采购代理业务的社会中介机构。</w:t>
      </w:r>
    </w:p>
    <w:p w14:paraId="47EB7D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14:paraId="3EC442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2.4“工程”是指建设工程，包括建筑物和构筑物的新建、改建、扩建、装修、拆除、修缮等。</w:t>
      </w:r>
    </w:p>
    <w:p w14:paraId="313AD0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2.5“竞标”是指供应商按照本项目竞争性磋商公告规定的方式获取竞争性磋商文件、提交响应文件并希望获得标的的行为。</w:t>
      </w:r>
    </w:p>
    <w:p w14:paraId="6CC99B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2.6“响应文件”是指：供应商根据本竞争性磋商文件要求，编制包含资格证明、报价商务技术等所有内容的文件。</w:t>
      </w:r>
    </w:p>
    <w:p w14:paraId="38F957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2.7“实质性要求”是指竞争性磋商文件中已经指明不满足则响应文件按无效响应处理的条款，或不能负偏离的条款，或采购需求中带“▲”的条款。</w:t>
      </w:r>
    </w:p>
    <w:p w14:paraId="7F7A09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2.8“正偏离”，是指响应文件对竞争性磋商文件“采购需求”中有关条款作出的响应优于条款要求并有利于采购人的情形。</w:t>
      </w:r>
    </w:p>
    <w:p w14:paraId="7A998B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2.9“负偏离”，是指响应文件对竞争性磋商文件“采购需求”中有关条款作出的响应不满足条款要求导致采购人要求不能得到满足的情形。</w:t>
      </w:r>
    </w:p>
    <w:p w14:paraId="47FE7C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2.10“允许负偏离的条款”是指采购需求中的不属于“实质性要求”的条款。</w:t>
      </w:r>
    </w:p>
    <w:p w14:paraId="08ADEC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2.11“书面形式”是指合同书、信件和数据电文 (包括电报、电传、传真、电子数据交换和电子邮件) 等可以有形地表现所载内容的形式。</w:t>
      </w:r>
    </w:p>
    <w:p w14:paraId="4BFA99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 xml:space="preserve">2.12“首次报价”是指供应商提交的首次响应文件中的报价。                     </w:t>
      </w:r>
    </w:p>
    <w:p w14:paraId="1A1D24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2.13“评审价”是指供应商提交的最后报价并经修正和政策功能价格扣除后的价格。</w:t>
      </w:r>
    </w:p>
    <w:p w14:paraId="2BAF2F2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rPr>
      </w:pPr>
      <w:r>
        <w:rPr>
          <w:rFonts w:hint="eastAsia" w:ascii="宋体" w:hAnsi="宋体" w:cs="宋体"/>
          <w:color w:val="auto"/>
          <w:szCs w:val="21"/>
        </w:rPr>
        <w:t>3.供应商的资格条件</w:t>
      </w:r>
    </w:p>
    <w:p w14:paraId="358E068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供应商的资格条件详见“供应商须知前附表”。</w:t>
      </w:r>
    </w:p>
    <w:p w14:paraId="68AE4AD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rPr>
      </w:pPr>
      <w:r>
        <w:rPr>
          <w:rFonts w:hint="eastAsia" w:ascii="宋体" w:hAnsi="宋体" w:cs="宋体"/>
          <w:color w:val="auto"/>
          <w:szCs w:val="21"/>
        </w:rPr>
        <w:t>4.竞标费用</w:t>
      </w:r>
    </w:p>
    <w:p w14:paraId="242EB51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 xml:space="preserve">供应商应承担参与本次采购活动有关的所有费用，包括但不限于获取磋商文件、勘查现场、编制和提交响应文件、参加磋商与应答、签订合同等，不论磋商结果如何，均应自行承担。  </w:t>
      </w:r>
    </w:p>
    <w:p w14:paraId="1127239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5.联合体竞标</w:t>
      </w:r>
    </w:p>
    <w:p w14:paraId="48EDEDC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5.1 本项目不接受联合体竞标。</w:t>
      </w:r>
    </w:p>
    <w:p w14:paraId="6661238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rPr>
      </w:pPr>
      <w:r>
        <w:rPr>
          <w:rFonts w:hint="eastAsia" w:ascii="宋体" w:hAnsi="宋体" w:cs="宋体"/>
          <w:color w:val="auto"/>
          <w:szCs w:val="21"/>
        </w:rPr>
        <w:t>6.转包与分包</w:t>
      </w:r>
    </w:p>
    <w:p w14:paraId="3558DF3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6.1 本项目不允许转包。</w:t>
      </w:r>
    </w:p>
    <w:p w14:paraId="2E7377E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rPr>
      </w:pPr>
      <w:r>
        <w:rPr>
          <w:rFonts w:hint="eastAsia" w:ascii="宋体" w:hAnsi="宋体" w:cs="宋体"/>
          <w:color w:val="auto"/>
          <w:szCs w:val="21"/>
        </w:rPr>
        <w:t>7.特别说明</w:t>
      </w:r>
    </w:p>
    <w:p w14:paraId="0275129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7.1 如果本磋商文件要求供应商提供资格、信誉、荣誉、业绩与企业认证等材料的，则供应商所提供的以上材料必须为供应商所拥有。</w:t>
      </w:r>
    </w:p>
    <w:p w14:paraId="3AAC30D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7.2 供应商应仔细阅读竞争性磋商文件的所有内容，按照竞争性磋商文件的要求提交响应文件，并对所提供的全部资料的真实性承担法律责任。</w:t>
      </w:r>
    </w:p>
    <w:p w14:paraId="0E85B74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7.3 供应商在磋商活动中提供任何疑似虚假材料，将报监管部门查处；签订合同后发现的， 成交供应商须依照《中华人民共和国消费者权益保护法》规定赔偿采购人，且民事赔偿并不免除违法供应商的行政与刑事责任。</w:t>
      </w:r>
    </w:p>
    <w:p w14:paraId="7DC825C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7.4 在政府采购活动中，采购人员及相关人员与供应商有下列利害关系之一的，应当回避：</w:t>
      </w:r>
    </w:p>
    <w:p w14:paraId="31FDD6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 参加采购活动前 3 年内与供应商存在劳动关系；</w:t>
      </w:r>
    </w:p>
    <w:p w14:paraId="64C81F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 参加采购活动前 3 年内担任供应商的董事、监事；</w:t>
      </w:r>
    </w:p>
    <w:p w14:paraId="700CF8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(3) 参加采购活动前 3 年内是供应商的控股股东或者实际控制人；</w:t>
      </w:r>
    </w:p>
    <w:p w14:paraId="4E54FD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(4) 与供应商的法定代表人或负责人有夫妻、直系血亲、三代以内旁系血亲或者近姻亲关系；</w:t>
      </w:r>
    </w:p>
    <w:p w14:paraId="731CA0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(5) 与供应商有其他可能影响政府采购活动公平、公正进行的关系。</w:t>
      </w:r>
    </w:p>
    <w:p w14:paraId="70FD50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 机构书面提出回避申请，并说明理由。采购人或者采购代理机构应当及时询问被申请回避人员，有利害关系的被申请回避人员应当回避。</w:t>
      </w:r>
    </w:p>
    <w:p w14:paraId="460F178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7.5 有下列情形之一的视为供应商相互串通竞标，响应文件将被视为无效：</w:t>
      </w:r>
    </w:p>
    <w:p w14:paraId="71943E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 不同供应商的响应文件由同一单位或者个人编制；或者不同供应商报名的 IP地址一致的；</w:t>
      </w:r>
    </w:p>
    <w:p w14:paraId="4D20EA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 不同供应商委托同一单位或者个人办理磋商事宜；</w:t>
      </w:r>
    </w:p>
    <w:p w14:paraId="4EB00C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(3) 不同的供应商的响应文件载明的项目管理员为同一个人；</w:t>
      </w:r>
    </w:p>
    <w:p w14:paraId="4E2A51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(4) 不同供应商的响应文件异常一致或者报价呈规律性差异；</w:t>
      </w:r>
    </w:p>
    <w:p w14:paraId="567A8B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(5) 不同供应商的响应文件相互混装；</w:t>
      </w:r>
    </w:p>
    <w:p w14:paraId="223B86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(6) 不同供应商的磋商保证金从同一单位或者个人账户转出。</w:t>
      </w:r>
    </w:p>
    <w:p w14:paraId="0561C7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7.6 供应商有下列情形之一的，属于恶意串通行为：</w:t>
      </w:r>
    </w:p>
    <w:p w14:paraId="696115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 供应商直接或者间接从采购人或者采购代理机构处获得其他供应商的相关信息并修改其响应文件；</w:t>
      </w:r>
    </w:p>
    <w:p w14:paraId="095ECA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 供应商按照采购人或者采购代理机构的授意撤换、修改响应文件；</w:t>
      </w:r>
    </w:p>
    <w:p w14:paraId="02B27B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(3) 供应商之间协商报价、技术方案等响应文件或者响应文件的实质性内容；</w:t>
      </w:r>
    </w:p>
    <w:p w14:paraId="15FBD9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(4) 属于同一集团、协会、商会等组织成员的供应商按照该组织要求协同参加政府采购活动；</w:t>
      </w:r>
    </w:p>
    <w:p w14:paraId="4F7C6A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(5) 供应商之间事先约定一致抬高或者压低报价，或者在政府采购活动中事先约定轮流以高价位或者低价位成交，或者事先约定由某一特定供应商成交，然后再参加竞标；</w:t>
      </w:r>
    </w:p>
    <w:p w14:paraId="51FF4C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(6) 供应商之间商定部分供应商放弃参加政府采购活动或者放弃成交；</w:t>
      </w:r>
    </w:p>
    <w:p w14:paraId="7A4818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 供应商与采购人或者采购代理机构之间、供应商相互之间，为谋求特定供应商成交或者排斥其他供应商的其他串通行为。</w:t>
      </w:r>
    </w:p>
    <w:p w14:paraId="22598D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7.7 关联供应商不得参加同一合同项下政府采购活动，否则响应文件将被视为无效：</w:t>
      </w:r>
    </w:p>
    <w:p w14:paraId="02A8D6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 单位负责人为同一人或者存在直接控股、管理关系的不同的供应商，不得参加同一合同项下的政府采购活动。</w:t>
      </w:r>
    </w:p>
    <w:p w14:paraId="536989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Cs w:val="21"/>
          <w:lang w:val="en-US" w:eastAsia="zh-CN"/>
        </w:rPr>
      </w:pPr>
      <w:r>
        <w:rPr>
          <w:rFonts w:hint="eastAsia" w:ascii="宋体" w:hAnsi="宋体" w:cs="宋体"/>
          <w:b/>
          <w:bCs/>
          <w:color w:val="auto"/>
          <w:szCs w:val="21"/>
          <w:lang w:val="en-US" w:eastAsia="zh-CN"/>
        </w:rPr>
        <w:t>二、响应文件的编制</w:t>
      </w:r>
    </w:p>
    <w:p w14:paraId="43C080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8.响应文件的编制原则</w:t>
      </w:r>
    </w:p>
    <w:p w14:paraId="4B3ECD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供应商应当按照竞争性磋商文件的要求编制响应文件，并对其提交的响应文件的真实性、合法性承担法律责任。响应文件应当对竞争性磋商文件作出实质性响应。</w:t>
      </w:r>
    </w:p>
    <w:p w14:paraId="45E138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 响应文件编制基本要求</w:t>
      </w:r>
    </w:p>
    <w:p w14:paraId="622FC85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cs="宋体"/>
          <w:b w:val="0"/>
          <w:bCs/>
          <w:color w:val="auto"/>
          <w:szCs w:val="21"/>
        </w:rPr>
      </w:pPr>
      <w:r>
        <w:rPr>
          <w:rFonts w:hint="eastAsia" w:ascii="宋体" w:hAnsi="宋体" w:cs="宋体"/>
          <w:b w:val="0"/>
          <w:bCs/>
          <w:color w:val="auto"/>
          <w:szCs w:val="21"/>
        </w:rPr>
        <w:t>9.1 本项目实行电子开评标，供应商应准备电子磋商响应文件。供应商应仔细阅读竞争性磋商采购文件，在充分了解采购的内容、服务要求和商务条款以及实质性要求和条件后，编写响应文件。电子响应文件按政采云平台要求及本竞争性磋商采购文件要求制作、加密并递交。具体操作流程可参考《</w:t>
      </w:r>
      <w:r>
        <w:rPr>
          <w:rFonts w:hint="eastAsia" w:ascii="宋体" w:hAnsi="宋体" w:cs="宋体"/>
          <w:b w:val="0"/>
          <w:bCs/>
          <w:color w:val="auto"/>
          <w:szCs w:val="21"/>
          <w:lang w:val="en-US" w:eastAsia="zh-CN"/>
        </w:rPr>
        <w:t>政府采购项目电子交易管理操作指南-供应商</w:t>
      </w:r>
      <w:r>
        <w:rPr>
          <w:rFonts w:hint="eastAsia" w:ascii="宋体" w:hAnsi="宋体" w:cs="宋体"/>
          <w:b w:val="0"/>
          <w:bCs/>
          <w:color w:val="auto"/>
          <w:szCs w:val="21"/>
        </w:rPr>
        <w:t>》</w:t>
      </w:r>
      <w:r>
        <w:rPr>
          <w:rFonts w:hint="eastAsia" w:ascii="宋体" w:hAnsi="宋体" w:cs="宋体"/>
          <w:b w:val="0"/>
          <w:bCs/>
          <w:color w:val="auto"/>
          <w:szCs w:val="21"/>
          <w:lang w:eastAsia="zh-CN"/>
        </w:rPr>
        <w:t>，</w:t>
      </w:r>
      <w:r>
        <w:rPr>
          <w:rFonts w:hint="eastAsia" w:ascii="宋体" w:hAnsi="宋体" w:cs="宋体"/>
          <w:b w:val="0"/>
          <w:bCs/>
          <w:color w:val="auto"/>
          <w:szCs w:val="21"/>
          <w:lang w:val="en-US" w:eastAsia="zh-CN"/>
        </w:rPr>
        <w:t>指南可</w:t>
      </w:r>
      <w:r>
        <w:rPr>
          <w:rFonts w:hint="eastAsia" w:ascii="宋体" w:hAnsi="宋体" w:cs="宋体"/>
          <w:b w:val="0"/>
          <w:bCs/>
          <w:color w:val="auto"/>
          <w:szCs w:val="21"/>
        </w:rPr>
        <w:t>在“http://zfcg.gxzf.gov.cn/PurchaseAdvisory/ImportantNotice/2866753.html”下载。</w:t>
      </w:r>
    </w:p>
    <w:p w14:paraId="5B2562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9.2 供应商提交的竞争性磋商响应文件以及供应商与</w:t>
      </w:r>
      <w:r>
        <w:rPr>
          <w:rFonts w:hint="eastAsia" w:ascii="宋体" w:hAnsi="宋体" w:cs="宋体"/>
          <w:b w:val="0"/>
          <w:bCs/>
          <w:color w:val="auto"/>
          <w:szCs w:val="21"/>
          <w:lang w:eastAsia="zh-CN"/>
        </w:rPr>
        <w:t>广西中烨项目管理有限公司</w:t>
      </w:r>
      <w:r>
        <w:rPr>
          <w:rFonts w:hint="eastAsia" w:ascii="宋体" w:hAnsi="宋体" w:cs="宋体"/>
          <w:b w:val="0"/>
          <w:bCs/>
          <w:color w:val="auto"/>
          <w:szCs w:val="21"/>
        </w:rPr>
        <w:t>和采购人就有关磋商的所有来往函电均应使用中文。供应商提交的支持文件和印刷的文献可以使用别的语言，但其相应内容必须附有中文翻译文本，在解释竞争性磋商响应文件时以翻译文本为准。</w:t>
      </w:r>
    </w:p>
    <w:p w14:paraId="382EE2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9.3 供应商应认真阅读、并充分理解本文件的全部内容 (包括所有的补充、修改内容)，承诺并履行本文件中各项条款规定及要求。</w:t>
      </w:r>
    </w:p>
    <w:p w14:paraId="4A51D5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9.4 竞争性磋商响应文件必须按本文件的全部内容，包括所有的补充通知及附件进行编制。</w:t>
      </w:r>
    </w:p>
    <w:p w14:paraId="6CAFB9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9.5 如因供应商只填写和提供了本文件要求的部分内容和附件，而给评审造成困难，其可能导致的结果和责任由供应商自行承担。</w:t>
      </w:r>
    </w:p>
    <w:p w14:paraId="586398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9.6 响应文件的组成：响应文件应分为资格证明文件、商务技术文件、</w:t>
      </w:r>
      <w:r>
        <w:rPr>
          <w:rFonts w:hint="eastAsia" w:ascii="宋体" w:hAnsi="宋体" w:cs="宋体"/>
          <w:b w:val="0"/>
          <w:bCs/>
          <w:color w:val="auto"/>
          <w:szCs w:val="21"/>
          <w:lang w:eastAsia="zh-CN"/>
        </w:rPr>
        <w:t>竞</w:t>
      </w:r>
      <w:r>
        <w:rPr>
          <w:rFonts w:hint="eastAsia" w:ascii="宋体" w:hAnsi="宋体" w:cs="宋体"/>
          <w:b w:val="0"/>
          <w:bCs/>
          <w:color w:val="auto"/>
          <w:szCs w:val="21"/>
        </w:rPr>
        <w:t>标报价文件三个部分组成。</w:t>
      </w:r>
    </w:p>
    <w:p w14:paraId="1E0CEE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1.资格证明文件</w:t>
      </w:r>
    </w:p>
    <w:p w14:paraId="671960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w:t>
      </w:r>
      <w:r>
        <w:rPr>
          <w:rFonts w:hint="eastAsia" w:ascii="宋体" w:hAnsi="宋体" w:cs="宋体"/>
          <w:b w:val="0"/>
          <w:bCs/>
          <w:color w:val="auto"/>
          <w:szCs w:val="21"/>
          <w:lang w:eastAsia="zh-CN"/>
        </w:rPr>
        <w:t>竞</w:t>
      </w:r>
      <w:r>
        <w:rPr>
          <w:rFonts w:hint="eastAsia" w:ascii="宋体" w:hAnsi="宋体" w:cs="宋体"/>
          <w:b w:val="0"/>
          <w:bCs/>
          <w:color w:val="auto"/>
          <w:szCs w:val="21"/>
        </w:rPr>
        <w:t>标声明书(格式见附件)；(必须提供，并加盖公章)</w:t>
      </w:r>
    </w:p>
    <w:p w14:paraId="151760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(2)法定代表人授权委托书和委托代理人正反面身份证复印件 (委托代理时</w:t>
      </w:r>
      <w:r>
        <w:rPr>
          <w:rFonts w:hint="eastAsia" w:ascii="宋体" w:hAnsi="宋体" w:cs="宋体"/>
          <w:b w:val="0"/>
          <w:bCs/>
          <w:color w:val="auto"/>
          <w:szCs w:val="21"/>
          <w:lang w:eastAsia="zh-CN"/>
        </w:rPr>
        <w:t>必</w:t>
      </w:r>
      <w:r>
        <w:rPr>
          <w:rFonts w:hint="eastAsia" w:ascii="宋体" w:hAnsi="宋体" w:cs="宋体"/>
          <w:b w:val="0"/>
          <w:bCs/>
          <w:color w:val="auto"/>
          <w:szCs w:val="21"/>
        </w:rPr>
        <w:t>须提供，</w:t>
      </w:r>
      <w:r>
        <w:rPr>
          <w:rFonts w:hint="eastAsia" w:ascii="宋体" w:hAnsi="宋体" w:cs="宋体"/>
          <w:b w:val="0"/>
          <w:bCs/>
          <w:color w:val="auto"/>
          <w:szCs w:val="21"/>
          <w:lang w:eastAsia="zh-CN"/>
        </w:rPr>
        <w:t>并</w:t>
      </w:r>
      <w:r>
        <w:rPr>
          <w:rFonts w:hint="eastAsia" w:ascii="宋体" w:hAnsi="宋体" w:cs="宋体"/>
          <w:b w:val="0"/>
          <w:bCs/>
          <w:color w:val="auto"/>
          <w:szCs w:val="21"/>
        </w:rPr>
        <w:t>加盖公章) (格式见附件)；</w:t>
      </w:r>
    </w:p>
    <w:p w14:paraId="05B38A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(3)法定代表人正反面身份证复印件；(必须提供，并加盖公章)</w:t>
      </w:r>
    </w:p>
    <w:p w14:paraId="0B7F96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(4)</w:t>
      </w:r>
      <w:r>
        <w:rPr>
          <w:rFonts w:hint="eastAsia" w:ascii="宋体" w:hAnsi="宋体" w:cs="宋体"/>
          <w:b w:val="0"/>
          <w:bCs/>
          <w:color w:val="auto"/>
          <w:szCs w:val="21"/>
          <w:lang w:eastAsia="zh-CN"/>
        </w:rPr>
        <w:t>供应商</w:t>
      </w:r>
      <w:r>
        <w:rPr>
          <w:rFonts w:hint="eastAsia" w:ascii="宋体" w:hAnsi="宋体" w:cs="宋体"/>
          <w:b w:val="0"/>
          <w:bCs/>
          <w:color w:val="auto"/>
          <w:szCs w:val="21"/>
        </w:rPr>
        <w:t>有效的三证合一的营业执照或事业单位法人证书副本复印件；(必须提供，并加盖公章)</w:t>
      </w:r>
    </w:p>
    <w:p w14:paraId="528769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（5）有效的资质证明复印件（必须提供）；</w:t>
      </w:r>
    </w:p>
    <w:p w14:paraId="4AA970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val="en-US" w:eastAsia="zh-CN"/>
        </w:rPr>
      </w:pPr>
      <w:r>
        <w:rPr>
          <w:rFonts w:hint="eastAsia" w:ascii="宋体" w:hAnsi="宋体" w:cs="宋体"/>
          <w:b w:val="0"/>
          <w:bCs/>
          <w:color w:val="auto"/>
          <w:szCs w:val="21"/>
        </w:rPr>
        <w:t>（</w:t>
      </w:r>
      <w:r>
        <w:rPr>
          <w:rFonts w:hint="eastAsia" w:ascii="宋体" w:hAnsi="宋体" w:cs="宋体"/>
          <w:b w:val="0"/>
          <w:bCs/>
          <w:color w:val="auto"/>
          <w:szCs w:val="21"/>
          <w:lang w:val="en-US" w:eastAsia="zh-CN"/>
        </w:rPr>
        <w:t>6</w:t>
      </w:r>
      <w:r>
        <w:rPr>
          <w:rFonts w:hint="eastAsia" w:ascii="宋体" w:hAnsi="宋体" w:cs="宋体"/>
          <w:b w:val="0"/>
          <w:bCs/>
          <w:color w:val="auto"/>
          <w:szCs w:val="21"/>
        </w:rPr>
        <w:t>）安全生产许可证复印件（必须提供）</w:t>
      </w:r>
      <w:r>
        <w:rPr>
          <w:rFonts w:hint="eastAsia" w:ascii="宋体" w:hAnsi="宋体" w:cs="宋体"/>
          <w:b w:val="0"/>
          <w:bCs/>
          <w:color w:val="auto"/>
          <w:szCs w:val="21"/>
          <w:lang w:eastAsia="zh-CN"/>
        </w:rPr>
        <w:t>；</w:t>
      </w:r>
    </w:p>
    <w:p w14:paraId="0E5A95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eastAsia="zh-CN"/>
        </w:rPr>
      </w:pPr>
      <w:r>
        <w:rPr>
          <w:rFonts w:hint="eastAsia" w:ascii="宋体" w:hAnsi="宋体" w:cs="宋体"/>
          <w:b w:val="0"/>
          <w:bCs/>
          <w:color w:val="auto"/>
          <w:szCs w:val="21"/>
        </w:rPr>
        <w:t>（</w:t>
      </w:r>
      <w:r>
        <w:rPr>
          <w:rFonts w:hint="eastAsia" w:ascii="宋体" w:hAnsi="宋体" w:cs="宋体"/>
          <w:b w:val="0"/>
          <w:bCs/>
          <w:color w:val="auto"/>
          <w:szCs w:val="21"/>
          <w:lang w:val="en-US" w:eastAsia="zh-CN"/>
        </w:rPr>
        <w:t>7</w:t>
      </w:r>
      <w:r>
        <w:rPr>
          <w:rFonts w:hint="eastAsia" w:ascii="宋体" w:hAnsi="宋体" w:cs="宋体"/>
          <w:b w:val="0"/>
          <w:bCs/>
          <w:color w:val="auto"/>
          <w:szCs w:val="21"/>
        </w:rPr>
        <w:t>）投入本工程的项目经理注册建造师执业资格证书复印件、安全生产考核合格证书（B证）复印件、身份证复印件（附</w:t>
      </w:r>
      <w:r>
        <w:rPr>
          <w:rFonts w:hint="eastAsia" w:ascii="宋体" w:hAnsi="宋体" w:cs="宋体"/>
          <w:b w:val="0"/>
          <w:bCs/>
          <w:color w:val="auto"/>
          <w:szCs w:val="21"/>
          <w:lang w:eastAsia="zh-CN"/>
        </w:rPr>
        <w:t>磋商</w:t>
      </w:r>
      <w:r>
        <w:rPr>
          <w:rFonts w:hint="eastAsia" w:ascii="宋体" w:hAnsi="宋体" w:cs="宋体"/>
          <w:b w:val="0"/>
          <w:bCs/>
          <w:color w:val="auto"/>
          <w:szCs w:val="21"/>
        </w:rPr>
        <w:t>单位为项目经理缴纳的由社保机构出具的</w:t>
      </w:r>
      <w:r>
        <w:rPr>
          <w:rFonts w:hint="eastAsia" w:ascii="宋体" w:hAnsi="宋体" w:cs="宋体"/>
          <w:b w:val="0"/>
          <w:bCs/>
          <w:color w:val="auto"/>
          <w:szCs w:val="21"/>
          <w:lang w:eastAsia="zh-CN"/>
        </w:rPr>
        <w:t>2025年1月至2025年3月</w:t>
      </w:r>
      <w:r>
        <w:rPr>
          <w:rFonts w:hint="eastAsia" w:ascii="宋体" w:hAnsi="宋体" w:cs="宋体"/>
          <w:b w:val="0"/>
          <w:bCs/>
          <w:color w:val="auto"/>
          <w:szCs w:val="21"/>
        </w:rPr>
        <w:t>份的社会保险证明复印件）（必须提供）</w:t>
      </w:r>
      <w:r>
        <w:rPr>
          <w:rFonts w:hint="eastAsia" w:ascii="宋体" w:hAnsi="宋体" w:cs="宋体"/>
          <w:b w:val="0"/>
          <w:bCs/>
          <w:color w:val="auto"/>
          <w:szCs w:val="21"/>
          <w:lang w:eastAsia="zh-CN"/>
        </w:rPr>
        <w:t>；</w:t>
      </w:r>
    </w:p>
    <w:p w14:paraId="050B3C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eastAsia="zh-CN"/>
        </w:rPr>
      </w:pPr>
      <w:r>
        <w:rPr>
          <w:rFonts w:hint="eastAsia" w:ascii="宋体" w:hAnsi="宋体" w:cs="宋体"/>
          <w:b w:val="0"/>
          <w:bCs/>
          <w:color w:val="auto"/>
          <w:szCs w:val="21"/>
        </w:rPr>
        <w:t>（</w:t>
      </w:r>
      <w:r>
        <w:rPr>
          <w:rFonts w:hint="eastAsia" w:ascii="宋体" w:hAnsi="宋体" w:cs="宋体"/>
          <w:b w:val="0"/>
          <w:bCs/>
          <w:color w:val="auto"/>
          <w:szCs w:val="21"/>
          <w:lang w:val="en-US" w:eastAsia="zh-CN"/>
        </w:rPr>
        <w:t>8</w:t>
      </w:r>
      <w:r>
        <w:rPr>
          <w:rFonts w:hint="eastAsia" w:ascii="宋体" w:hAnsi="宋体" w:cs="宋体"/>
          <w:b w:val="0"/>
          <w:bCs/>
          <w:color w:val="auto"/>
          <w:szCs w:val="21"/>
        </w:rPr>
        <w:t>）对在“信用中国”网站(www.creditchina.gov.cn)、中国政府采购网(www.ccgp.gov.cn)等渠道列入失信被执行人、重大税收违法案件当事人名单、政府采购严重违法失信行为记录（必须提供）</w:t>
      </w:r>
      <w:r>
        <w:rPr>
          <w:rFonts w:hint="eastAsia" w:ascii="宋体" w:hAnsi="宋体" w:cs="宋体"/>
          <w:b w:val="0"/>
          <w:bCs/>
          <w:color w:val="auto"/>
          <w:szCs w:val="21"/>
          <w:lang w:eastAsia="zh-CN"/>
        </w:rPr>
        <w:t>；</w:t>
      </w:r>
      <w:r>
        <w:rPr>
          <w:rFonts w:hint="eastAsia" w:ascii="宋体" w:hAnsi="宋体" w:cs="宋体"/>
          <w:b w:val="0"/>
          <w:bCs/>
          <w:color w:val="auto"/>
          <w:szCs w:val="21"/>
        </w:rPr>
        <w:t>其中“信用中国”网站须提供供应商在“失信被执行人、重大税收违法案件当事人名单、政府采购严重违法失信行为记录名单”3个页面下的截图，“中国政府采购网”须提供供应商在“政府采购严重违法失信行为信息记录”页面下的截图。两个网站的查询结果截图加盖单位公章与</w:t>
      </w:r>
      <w:r>
        <w:rPr>
          <w:rFonts w:hint="eastAsia" w:ascii="宋体" w:hAnsi="宋体" w:cs="宋体"/>
          <w:b w:val="0"/>
          <w:bCs/>
          <w:color w:val="auto"/>
          <w:szCs w:val="21"/>
          <w:lang w:val="en-US" w:eastAsia="zh-CN"/>
        </w:rPr>
        <w:t>无重大违法记录声明书</w:t>
      </w:r>
      <w:r>
        <w:rPr>
          <w:rFonts w:hint="eastAsia" w:ascii="宋体" w:hAnsi="宋体" w:cs="宋体"/>
          <w:b w:val="0"/>
          <w:bCs/>
          <w:color w:val="auto"/>
          <w:szCs w:val="21"/>
        </w:rPr>
        <w:t>一并提交</w:t>
      </w:r>
      <w:r>
        <w:rPr>
          <w:rFonts w:hint="eastAsia" w:ascii="宋体" w:hAnsi="宋体" w:cs="宋体"/>
          <w:b w:val="0"/>
          <w:bCs/>
          <w:color w:val="auto"/>
          <w:szCs w:val="21"/>
          <w:lang w:eastAsia="zh-CN"/>
        </w:rPr>
        <w:t>；</w:t>
      </w:r>
      <w:r>
        <w:rPr>
          <w:rFonts w:hint="eastAsia" w:ascii="宋体" w:hAnsi="宋体" w:cs="宋体"/>
          <w:b w:val="0"/>
          <w:bCs/>
          <w:color w:val="auto"/>
          <w:szCs w:val="21"/>
        </w:rPr>
        <w:t>（必须提供）</w:t>
      </w:r>
      <w:r>
        <w:rPr>
          <w:rFonts w:hint="eastAsia" w:ascii="宋体" w:hAnsi="宋体" w:cs="宋体"/>
          <w:b w:val="0"/>
          <w:bCs/>
          <w:color w:val="auto"/>
          <w:szCs w:val="21"/>
          <w:lang w:eastAsia="zh-CN"/>
        </w:rPr>
        <w:t>；</w:t>
      </w:r>
    </w:p>
    <w:p w14:paraId="7092EB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lang w:val="en-US" w:eastAsia="zh-CN"/>
        </w:rPr>
        <w:t>（9）</w:t>
      </w:r>
      <w:r>
        <w:rPr>
          <w:rFonts w:hint="eastAsia" w:ascii="宋体" w:hAnsi="宋体" w:cs="宋体"/>
          <w:b w:val="0"/>
          <w:bCs/>
          <w:color w:val="auto"/>
          <w:szCs w:val="21"/>
        </w:rPr>
        <w:t>供应商</w:t>
      </w:r>
      <w:r>
        <w:rPr>
          <w:rFonts w:hint="eastAsia" w:ascii="宋体" w:hAnsi="宋体" w:cs="宋体"/>
          <w:b w:val="0"/>
          <w:bCs/>
          <w:color w:val="auto"/>
          <w:szCs w:val="21"/>
          <w:lang w:eastAsia="zh-CN"/>
        </w:rPr>
        <w:t>2025年1月至2025年3月</w:t>
      </w:r>
      <w:r>
        <w:rPr>
          <w:rFonts w:hint="eastAsia" w:ascii="宋体" w:hAnsi="宋体" w:cs="宋体"/>
          <w:b w:val="0"/>
          <w:bCs/>
          <w:color w:val="auto"/>
          <w:szCs w:val="21"/>
        </w:rPr>
        <w:t>内连续3个月的依法缴纳税费的凭据复印件；无纳税记录的，应提供由供应商所在地的税务部门出具的免税证明复印件。从取得营业执照时间起到首次响应文件提交截止时间为止不足要求月数的，只需提供从取得营业执照起的依法缴纳税费或依法免缴税费的凭据复印件；（必须提供）</w:t>
      </w:r>
      <w:r>
        <w:rPr>
          <w:rFonts w:hint="eastAsia" w:ascii="宋体" w:hAnsi="宋体" w:cs="宋体"/>
          <w:b w:val="0"/>
          <w:bCs/>
          <w:color w:val="auto"/>
          <w:szCs w:val="21"/>
          <w:lang w:eastAsia="zh-CN"/>
        </w:rPr>
        <w:t>；</w:t>
      </w:r>
    </w:p>
    <w:p w14:paraId="5E5FFF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eastAsia="zh-CN"/>
        </w:rPr>
      </w:pPr>
      <w:r>
        <w:rPr>
          <w:rFonts w:hint="eastAsia" w:ascii="宋体" w:hAnsi="宋体" w:cs="宋体"/>
          <w:b w:val="0"/>
          <w:bCs/>
          <w:color w:val="auto"/>
          <w:szCs w:val="21"/>
          <w:lang w:val="en-US" w:eastAsia="zh-CN"/>
        </w:rPr>
        <w:t>（10）</w:t>
      </w:r>
      <w:r>
        <w:rPr>
          <w:rFonts w:hint="eastAsia" w:ascii="宋体" w:hAnsi="宋体" w:cs="宋体"/>
          <w:b w:val="0"/>
          <w:bCs/>
          <w:color w:val="auto"/>
          <w:szCs w:val="21"/>
        </w:rPr>
        <w:t>供应商</w:t>
      </w:r>
      <w:r>
        <w:rPr>
          <w:rFonts w:hint="eastAsia" w:ascii="宋体" w:hAnsi="宋体" w:cs="宋体"/>
          <w:b w:val="0"/>
          <w:bCs/>
          <w:color w:val="auto"/>
          <w:szCs w:val="21"/>
          <w:lang w:eastAsia="zh-CN"/>
        </w:rPr>
        <w:t>2025年1月至2025年3月</w:t>
      </w:r>
      <w:r>
        <w:rPr>
          <w:rFonts w:hint="eastAsia" w:ascii="宋体" w:hAnsi="宋体" w:cs="宋体"/>
          <w:b w:val="0"/>
          <w:bCs/>
          <w:color w:val="auto"/>
          <w:szCs w:val="21"/>
        </w:rPr>
        <w:t>内连续3个月的依法缴纳社保费的缴费凭证（专用收据或社会保险缴纳清单）复印件；无缴费记录的，应提供由供应商所在地行政主管部门出具的依法免缴社保费证明复印件。从取得营业执照时间起到首次响应文件提交截止时间为止不足要求月数的只需提供从取得营业执照起的依法缴纳社保费的缴费凭证（专用收据或社会保险缴纳清单）复印件；（必须提供）</w:t>
      </w:r>
      <w:r>
        <w:rPr>
          <w:rFonts w:hint="eastAsia" w:ascii="宋体" w:hAnsi="宋体" w:cs="宋体"/>
          <w:b w:val="0"/>
          <w:bCs/>
          <w:color w:val="auto"/>
          <w:szCs w:val="21"/>
          <w:lang w:eastAsia="zh-CN"/>
        </w:rPr>
        <w:t>；</w:t>
      </w:r>
    </w:p>
    <w:p w14:paraId="3BCFC1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11）近三年（2021年、2022年、2023年）经审计的财务报表【备注：对于从取得营业执照时间起到投标截止时间为止不足要求年数的企业，只需提交企业取得营业执照年份至所要求最近年份经审计的财务报表】（必须提供）；</w:t>
      </w:r>
    </w:p>
    <w:p w14:paraId="593D05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（12）直接控股、管理关系信息表（必须提供）；</w:t>
      </w:r>
    </w:p>
    <w:p w14:paraId="2291E4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w:t>
      </w:r>
      <w:r>
        <w:rPr>
          <w:rFonts w:hint="eastAsia" w:ascii="宋体" w:hAnsi="宋体" w:cs="宋体"/>
          <w:b w:val="0"/>
          <w:bCs/>
          <w:color w:val="auto"/>
          <w:szCs w:val="21"/>
          <w:lang w:val="en-US" w:eastAsia="zh-CN"/>
        </w:rPr>
        <w:t>13</w:t>
      </w:r>
      <w:r>
        <w:rPr>
          <w:rFonts w:hint="eastAsia" w:ascii="宋体" w:hAnsi="宋体" w:cs="宋体"/>
          <w:b w:val="0"/>
          <w:bCs/>
          <w:color w:val="auto"/>
          <w:szCs w:val="21"/>
        </w:rPr>
        <w:t>)</w:t>
      </w:r>
      <w:r>
        <w:rPr>
          <w:rFonts w:hint="eastAsia" w:ascii="宋体" w:hAnsi="宋体" w:cs="宋体"/>
          <w:b w:val="0"/>
          <w:bCs/>
          <w:color w:val="auto"/>
          <w:szCs w:val="21"/>
          <w:lang w:eastAsia="zh-CN"/>
        </w:rPr>
        <w:t>供应商</w:t>
      </w:r>
      <w:r>
        <w:rPr>
          <w:rFonts w:hint="eastAsia" w:ascii="宋体" w:hAnsi="宋体" w:cs="宋体"/>
          <w:b w:val="0"/>
          <w:bCs/>
          <w:color w:val="auto"/>
          <w:szCs w:val="21"/>
        </w:rPr>
        <w:t>提供《采购项目</w:t>
      </w:r>
      <w:r>
        <w:rPr>
          <w:rFonts w:hint="eastAsia" w:ascii="宋体" w:hAnsi="宋体" w:cs="宋体"/>
          <w:b w:val="0"/>
          <w:bCs/>
          <w:color w:val="auto"/>
          <w:szCs w:val="21"/>
          <w:lang w:eastAsia="zh-CN"/>
        </w:rPr>
        <w:t>竞</w:t>
      </w:r>
      <w:r>
        <w:rPr>
          <w:rFonts w:hint="eastAsia" w:ascii="宋体" w:hAnsi="宋体" w:cs="宋体"/>
          <w:b w:val="0"/>
          <w:bCs/>
          <w:color w:val="auto"/>
          <w:szCs w:val="21"/>
        </w:rPr>
        <w:t>标资格承诺函》</w:t>
      </w:r>
      <w:r>
        <w:rPr>
          <w:rFonts w:hint="eastAsia" w:ascii="宋体" w:hAnsi="宋体" w:cs="宋体"/>
          <w:b w:val="0"/>
          <w:bCs/>
          <w:color w:val="auto"/>
          <w:szCs w:val="21"/>
          <w:lang w:eastAsia="zh-CN"/>
        </w:rPr>
        <w:t>；</w:t>
      </w:r>
      <w:r>
        <w:rPr>
          <w:rFonts w:hint="eastAsia" w:ascii="宋体" w:hAnsi="宋体" w:cs="宋体"/>
          <w:b w:val="0"/>
          <w:bCs/>
          <w:color w:val="auto"/>
          <w:szCs w:val="21"/>
        </w:rPr>
        <w:t>(必须提供，并加盖公章)</w:t>
      </w:r>
    </w:p>
    <w:p w14:paraId="590999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w:t>
      </w:r>
      <w:r>
        <w:rPr>
          <w:rFonts w:hint="eastAsia" w:ascii="宋体" w:hAnsi="宋体" w:cs="宋体"/>
          <w:b w:val="0"/>
          <w:bCs/>
          <w:color w:val="auto"/>
          <w:szCs w:val="21"/>
          <w:lang w:val="en-US" w:eastAsia="zh-CN"/>
        </w:rPr>
        <w:t>14</w:t>
      </w:r>
      <w:r>
        <w:rPr>
          <w:rFonts w:hint="eastAsia" w:ascii="宋体" w:hAnsi="宋体" w:cs="宋体"/>
          <w:b w:val="0"/>
          <w:bCs/>
          <w:color w:val="auto"/>
          <w:szCs w:val="21"/>
        </w:rPr>
        <w:t>)中小企业声明函 (参照《政府采购促进中小企业发展暂行办法》(财库﹝2020﹞46号)要求，提供中小企业声明函</w:t>
      </w:r>
      <w:r>
        <w:rPr>
          <w:rFonts w:hint="eastAsia" w:ascii="宋体" w:hAnsi="宋体" w:cs="宋体"/>
          <w:b w:val="0"/>
          <w:bCs/>
          <w:color w:val="auto"/>
          <w:szCs w:val="21"/>
          <w:lang w:eastAsia="zh-CN"/>
        </w:rPr>
        <w:t>；（</w:t>
      </w:r>
      <w:r>
        <w:rPr>
          <w:rFonts w:hint="eastAsia" w:ascii="宋体" w:hAnsi="宋体" w:cs="宋体"/>
          <w:b w:val="0"/>
          <w:bCs/>
          <w:color w:val="auto"/>
          <w:szCs w:val="21"/>
          <w:lang w:val="en-US" w:eastAsia="zh-CN"/>
        </w:rPr>
        <w:t>必须提供）</w:t>
      </w:r>
    </w:p>
    <w:p w14:paraId="44E645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w:t>
      </w:r>
      <w:r>
        <w:rPr>
          <w:rFonts w:hint="eastAsia" w:ascii="宋体" w:hAnsi="宋体" w:cs="宋体"/>
          <w:b w:val="0"/>
          <w:bCs/>
          <w:color w:val="auto"/>
          <w:szCs w:val="21"/>
          <w:lang w:val="en-US" w:eastAsia="zh-CN"/>
        </w:rPr>
        <w:t>15</w:t>
      </w:r>
      <w:r>
        <w:rPr>
          <w:rFonts w:hint="eastAsia" w:ascii="宋体" w:hAnsi="宋体" w:cs="宋体"/>
          <w:b w:val="0"/>
          <w:bCs/>
          <w:color w:val="auto"/>
          <w:szCs w:val="21"/>
        </w:rPr>
        <w:t>)</w:t>
      </w:r>
      <w:r>
        <w:rPr>
          <w:rFonts w:hint="eastAsia" w:ascii="宋体" w:hAnsi="宋体" w:cs="宋体"/>
          <w:b w:val="0"/>
          <w:bCs/>
          <w:color w:val="auto"/>
          <w:szCs w:val="21"/>
          <w:lang w:eastAsia="zh-CN"/>
        </w:rPr>
        <w:t>供应商</w:t>
      </w:r>
      <w:r>
        <w:rPr>
          <w:rFonts w:hint="eastAsia" w:ascii="宋体" w:hAnsi="宋体" w:cs="宋体"/>
          <w:b w:val="0"/>
          <w:bCs/>
          <w:color w:val="auto"/>
          <w:szCs w:val="21"/>
        </w:rPr>
        <w:t>针对资格证明需要说明的其他证明文件和说明。(格式自拟)</w:t>
      </w:r>
    </w:p>
    <w:p w14:paraId="476202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2.商务技术文件</w:t>
      </w:r>
    </w:p>
    <w:p w14:paraId="49DFBE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val="0"/>
          <w:color w:val="auto"/>
          <w:szCs w:val="21"/>
        </w:rPr>
      </w:pPr>
      <w:r>
        <w:rPr>
          <w:rFonts w:hint="eastAsia" w:ascii="宋体" w:hAnsi="宋体" w:cs="宋体"/>
          <w:b w:val="0"/>
          <w:bCs/>
          <w:color w:val="auto"/>
          <w:szCs w:val="21"/>
        </w:rPr>
        <w:t>(1)施工组织设计；</w:t>
      </w:r>
      <w:r>
        <w:rPr>
          <w:rFonts w:hint="eastAsia" w:ascii="宋体" w:hAnsi="宋体" w:cs="宋体"/>
          <w:b/>
          <w:bCs w:val="0"/>
          <w:color w:val="auto"/>
          <w:szCs w:val="21"/>
        </w:rPr>
        <w:t>(必须提供)</w:t>
      </w:r>
    </w:p>
    <w:p w14:paraId="50664C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(2)项目管理机构配备情况表；</w:t>
      </w:r>
      <w:r>
        <w:rPr>
          <w:rFonts w:hint="eastAsia" w:ascii="宋体" w:hAnsi="宋体" w:cs="宋体"/>
          <w:b/>
          <w:bCs w:val="0"/>
          <w:color w:val="auto"/>
          <w:szCs w:val="21"/>
        </w:rPr>
        <w:t>(必须提供)</w:t>
      </w:r>
    </w:p>
    <w:p w14:paraId="2573F4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w:t>
      </w:r>
      <w:r>
        <w:rPr>
          <w:rFonts w:hint="eastAsia" w:ascii="宋体" w:hAnsi="宋体" w:cs="宋体"/>
          <w:b w:val="0"/>
          <w:bCs/>
          <w:color w:val="auto"/>
          <w:szCs w:val="21"/>
          <w:lang w:eastAsia="zh-CN"/>
        </w:rPr>
        <w:t>供应商</w:t>
      </w:r>
      <w:r>
        <w:rPr>
          <w:rFonts w:hint="eastAsia" w:ascii="宋体" w:hAnsi="宋体" w:cs="宋体"/>
          <w:b w:val="0"/>
          <w:bCs/>
          <w:color w:val="auto"/>
          <w:szCs w:val="21"/>
        </w:rPr>
        <w:t>针对商务技术需要说明的其他文件和说明(格式自拟) ；</w:t>
      </w:r>
    </w:p>
    <w:p w14:paraId="60EA8B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3.</w:t>
      </w:r>
      <w:r>
        <w:rPr>
          <w:rFonts w:hint="eastAsia" w:ascii="宋体" w:hAnsi="宋体" w:cs="宋体"/>
          <w:b/>
          <w:bCs w:val="0"/>
          <w:color w:val="auto"/>
          <w:szCs w:val="21"/>
          <w:lang w:eastAsia="zh-CN"/>
        </w:rPr>
        <w:t>竞</w:t>
      </w:r>
      <w:r>
        <w:rPr>
          <w:rFonts w:hint="eastAsia" w:ascii="宋体" w:hAnsi="宋体" w:cs="宋体"/>
          <w:b/>
          <w:bCs w:val="0"/>
          <w:color w:val="auto"/>
          <w:szCs w:val="21"/>
        </w:rPr>
        <w:t>标报价文件</w:t>
      </w:r>
    </w:p>
    <w:p w14:paraId="4D071F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(1)磋商函</w:t>
      </w:r>
      <w:r>
        <w:rPr>
          <w:rFonts w:hint="eastAsia" w:ascii="宋体" w:hAnsi="宋体" w:cs="宋体"/>
          <w:b/>
          <w:bCs w:val="0"/>
          <w:color w:val="auto"/>
          <w:szCs w:val="21"/>
        </w:rPr>
        <w:t>(必须提供)</w:t>
      </w:r>
      <w:r>
        <w:rPr>
          <w:rFonts w:hint="eastAsia" w:ascii="宋体" w:hAnsi="宋体" w:cs="宋体"/>
          <w:b w:val="0"/>
          <w:bCs/>
          <w:color w:val="auto"/>
          <w:szCs w:val="21"/>
        </w:rPr>
        <w:t>；</w:t>
      </w:r>
    </w:p>
    <w:p w14:paraId="215640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val="0"/>
          <w:color w:val="auto"/>
          <w:szCs w:val="21"/>
        </w:rPr>
      </w:pPr>
      <w:r>
        <w:rPr>
          <w:rFonts w:hint="eastAsia" w:ascii="宋体" w:hAnsi="宋体" w:cs="宋体"/>
          <w:b w:val="0"/>
          <w:bCs/>
          <w:color w:val="auto"/>
          <w:szCs w:val="21"/>
        </w:rPr>
        <w:t>(2)磋商函附录</w:t>
      </w:r>
      <w:r>
        <w:rPr>
          <w:rFonts w:hint="eastAsia" w:ascii="宋体" w:hAnsi="宋体" w:cs="宋体"/>
          <w:b/>
          <w:bCs w:val="0"/>
          <w:color w:val="auto"/>
          <w:szCs w:val="21"/>
        </w:rPr>
        <w:t>(必须提供)</w:t>
      </w:r>
    </w:p>
    <w:p w14:paraId="50EC61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(3)已标价工程量清单</w:t>
      </w:r>
      <w:r>
        <w:rPr>
          <w:rFonts w:hint="eastAsia" w:ascii="宋体" w:hAnsi="宋体" w:cs="宋体"/>
          <w:b/>
          <w:bCs w:val="0"/>
          <w:color w:val="auto"/>
          <w:szCs w:val="21"/>
        </w:rPr>
        <w:t>(必须提供)</w:t>
      </w:r>
      <w:r>
        <w:rPr>
          <w:rFonts w:hint="eastAsia" w:ascii="宋体" w:hAnsi="宋体" w:cs="宋体"/>
          <w:b w:val="0"/>
          <w:bCs/>
          <w:color w:val="auto"/>
          <w:szCs w:val="21"/>
        </w:rPr>
        <w:t>；</w:t>
      </w:r>
    </w:p>
    <w:p w14:paraId="25BAAE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(4)</w:t>
      </w:r>
      <w:r>
        <w:rPr>
          <w:rFonts w:hint="eastAsia" w:ascii="宋体" w:hAnsi="宋体" w:cs="宋体"/>
          <w:b w:val="0"/>
          <w:bCs/>
          <w:color w:val="auto"/>
          <w:szCs w:val="21"/>
          <w:lang w:eastAsia="zh-CN"/>
        </w:rPr>
        <w:t>供应商</w:t>
      </w:r>
      <w:r>
        <w:rPr>
          <w:rFonts w:hint="eastAsia" w:ascii="宋体" w:hAnsi="宋体" w:cs="宋体"/>
          <w:b w:val="0"/>
          <w:bCs/>
          <w:color w:val="auto"/>
          <w:szCs w:val="21"/>
        </w:rPr>
        <w:t>针对商务及报价需要说明的其他文件和说明(格式自拟)</w:t>
      </w:r>
    </w:p>
    <w:p w14:paraId="1D6F2C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特别说明：</w:t>
      </w:r>
      <w:r>
        <w:rPr>
          <w:rFonts w:hint="eastAsia" w:ascii="宋体" w:hAnsi="宋体" w:cs="宋体"/>
          <w:b w:val="0"/>
          <w:bCs/>
          <w:color w:val="auto"/>
          <w:szCs w:val="21"/>
          <w:lang w:eastAsia="zh-CN"/>
        </w:rPr>
        <w:t>①</w:t>
      </w:r>
      <w:r>
        <w:rPr>
          <w:rFonts w:hint="eastAsia" w:ascii="宋体" w:hAnsi="宋体" w:cs="宋体"/>
          <w:b w:val="0"/>
          <w:bCs/>
          <w:color w:val="auto"/>
          <w:szCs w:val="21"/>
        </w:rPr>
        <w:t>电子磋商响应文件中所</w:t>
      </w:r>
      <w:r>
        <w:rPr>
          <w:rFonts w:hint="eastAsia" w:ascii="宋体" w:hAnsi="宋体" w:cs="宋体"/>
          <w:b/>
          <w:bCs w:val="0"/>
          <w:i w:val="0"/>
          <w:iCs w:val="0"/>
          <w:color w:val="auto"/>
          <w:szCs w:val="21"/>
        </w:rPr>
        <w:t>须加盖公章部分均采用CA签章</w:t>
      </w:r>
      <w:r>
        <w:rPr>
          <w:rFonts w:hint="eastAsia" w:ascii="宋体" w:hAnsi="宋体" w:cs="宋体"/>
          <w:b w:val="0"/>
          <w:bCs/>
          <w:color w:val="auto"/>
          <w:szCs w:val="21"/>
        </w:rPr>
        <w:t>。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21E4A5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lang w:eastAsia="zh-CN"/>
        </w:rPr>
        <w:t>②</w:t>
      </w:r>
      <w:r>
        <w:rPr>
          <w:rFonts w:hint="eastAsia" w:ascii="宋体" w:hAnsi="宋体" w:cs="宋体"/>
          <w:b w:val="0"/>
          <w:bCs/>
          <w:color w:val="auto"/>
          <w:szCs w:val="21"/>
        </w:rPr>
        <w:t>竞争性磋商文件要求法定代表人(负责人)或委托代理人签字的部分必须签字然后扫描或者拍照做成pdf格式上传，无签字的视为磋商无效。</w:t>
      </w:r>
    </w:p>
    <w:p w14:paraId="32605C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lang w:eastAsia="zh-CN"/>
        </w:rPr>
        <w:t>③</w:t>
      </w:r>
      <w:r>
        <w:rPr>
          <w:rFonts w:hint="eastAsia" w:ascii="宋体" w:hAnsi="宋体" w:cs="宋体"/>
          <w:b w:val="0"/>
          <w:bCs/>
          <w:color w:val="auto"/>
          <w:szCs w:val="21"/>
        </w:rPr>
        <w:t>竞争性磋商采购文件要求提供的各种复印件，须加盖供应商CA签章，否则其磋商无效。</w:t>
      </w:r>
    </w:p>
    <w:p w14:paraId="357B62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lang w:eastAsia="zh-CN"/>
        </w:rPr>
        <w:t>④</w:t>
      </w:r>
      <w:r>
        <w:rPr>
          <w:rFonts w:hint="eastAsia" w:ascii="宋体" w:hAnsi="宋体" w:cs="宋体"/>
          <w:b w:val="0"/>
          <w:bCs/>
          <w:color w:val="auto"/>
          <w:szCs w:val="21"/>
        </w:rPr>
        <w:t>磋商报价表、磋商书、法定代表人(负责人)授权委托书必须按格式要求由法定代表人(负责人)或委托代理人签名并加盖单位公章，否则磋商响应无效。</w:t>
      </w:r>
    </w:p>
    <w:p w14:paraId="348A63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9.7 响应文件有效期：见</w:t>
      </w:r>
      <w:r>
        <w:rPr>
          <w:rFonts w:hint="eastAsia" w:ascii="宋体" w:hAnsi="宋体" w:cs="宋体"/>
          <w:b w:val="0"/>
          <w:bCs/>
          <w:color w:val="auto"/>
          <w:szCs w:val="21"/>
          <w:lang w:eastAsia="zh-CN"/>
        </w:rPr>
        <w:t>供应商</w:t>
      </w:r>
      <w:r>
        <w:rPr>
          <w:rFonts w:hint="eastAsia" w:ascii="宋体" w:hAnsi="宋体" w:cs="宋体"/>
          <w:b w:val="0"/>
          <w:bCs/>
          <w:color w:val="auto"/>
          <w:szCs w:val="21"/>
        </w:rPr>
        <w:t>须知前附表。</w:t>
      </w:r>
    </w:p>
    <w:p w14:paraId="5462B7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9.8 磋商保证金：见</w:t>
      </w:r>
      <w:r>
        <w:rPr>
          <w:rFonts w:hint="eastAsia" w:ascii="宋体" w:hAnsi="宋体" w:cs="宋体"/>
          <w:b w:val="0"/>
          <w:bCs/>
          <w:color w:val="auto"/>
          <w:szCs w:val="21"/>
          <w:lang w:eastAsia="zh-CN"/>
        </w:rPr>
        <w:t>供应商</w:t>
      </w:r>
      <w:r>
        <w:rPr>
          <w:rFonts w:hint="eastAsia" w:ascii="宋体" w:hAnsi="宋体" w:cs="宋体"/>
          <w:b w:val="0"/>
          <w:bCs/>
          <w:color w:val="auto"/>
          <w:szCs w:val="21"/>
        </w:rPr>
        <w:t>须知前附表。</w:t>
      </w:r>
    </w:p>
    <w:p w14:paraId="1F7FD4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10. 计量单位</w:t>
      </w:r>
    </w:p>
    <w:p w14:paraId="47589E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10.1 磋商文件已有明确规定的，使用磋商文件规定的计量单位；磋商文件没有规定的，应采用</w:t>
      </w:r>
      <w:r>
        <w:rPr>
          <w:rFonts w:hint="eastAsia" w:ascii="宋体" w:hAnsi="宋体" w:cs="宋体"/>
          <w:b w:val="0"/>
          <w:bCs/>
          <w:color w:val="auto"/>
          <w:szCs w:val="21"/>
          <w:lang w:eastAsia="zh-CN"/>
        </w:rPr>
        <w:t>国家</w:t>
      </w:r>
      <w:r>
        <w:rPr>
          <w:rFonts w:hint="eastAsia" w:ascii="宋体" w:hAnsi="宋体" w:cs="宋体"/>
          <w:b w:val="0"/>
          <w:bCs/>
          <w:color w:val="auto"/>
          <w:szCs w:val="21"/>
        </w:rPr>
        <w:t>法定计量单位，货币种类为人民币，否则视同未响应。</w:t>
      </w:r>
    </w:p>
    <w:p w14:paraId="04069A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三、磋商报价及采购预算</w:t>
      </w:r>
    </w:p>
    <w:p w14:paraId="20E4E3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11.1对于本文件中未列明，而供应商认为必需的费用也需列入总报价。在合同实施时，采购人将不予支付成交供应商没有列入的项目费用，并认为此项目的费用已包括在总报价中。</w:t>
      </w:r>
    </w:p>
    <w:p w14:paraId="0811BF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11.2供应商必须就所磋商的采购项目的全部内容作完整唯一报价，漏项报价的或有选择的或有条件的报价，其竞标将视为无效。</w:t>
      </w:r>
    </w:p>
    <w:p w14:paraId="7F3BA4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11.3本项目磋商报价费用指按照采购需求完成该项目的所有服务工作的费用总和。</w:t>
      </w:r>
    </w:p>
    <w:p w14:paraId="42CBE9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663943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四、响应文件的份数、封装和递交</w:t>
      </w:r>
    </w:p>
    <w:p w14:paraId="635ABC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12. 竞争性磋商响应文件的份数：电子响应文件一份。</w:t>
      </w:r>
    </w:p>
    <w:p w14:paraId="3249E9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12.1 电子磋商响应文件中须加盖供应商公章位置均采用CA签章，并根据“政府采购项目电子交易管理操作指南-供应商”及本竞争性磋商采购文件规定的格式和顺序编制电子磋商响 应文件并进行关联定位，以便磋商小组在评审时，点击评分项可直接定位到该评分项内容。如 对竞争性磋商采购文件的某项要求，供应商的电子磋商响应文件未能关联定位提供相应的内容 与其对应，则磋商小组在评审时如做出对供应商不利的评审由供应商自行承担。电子磋商响应 文件如内容不完整、编排混乱导致磋商响应文件被误读、漏读，或者在按采购文件规定的部 位查找不到相关内容的，由供应商自行承担。</w:t>
      </w:r>
    </w:p>
    <w:p w14:paraId="0D86C4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12.2 CA 签章上目前没有法人 (负责人) 或授权代表签字信息，供应商在磋商响应文件中涉及到签字的位置线下签好字然后扫描或者拍照做成 PDF 的格式即可。</w:t>
      </w:r>
    </w:p>
    <w:p w14:paraId="069BD4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13. 响应文件的递交</w:t>
      </w:r>
    </w:p>
    <w:p w14:paraId="1B14D9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13.1 所有竞争性响应文件应于“第二章 磋商须知及前附表”中规定的截止时间前递交到规定地点。</w:t>
      </w:r>
    </w:p>
    <w:p w14:paraId="4F7D02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 者修改磋商响应文件的，应当先行撤回原文件，补充、修改后重新传输递交。递交截止时间前未完成传输的，视为撤回磋商响应文件。递交截止时间后递交的磋商响应文件，电子交易平台将拒收。</w:t>
      </w:r>
    </w:p>
    <w:p w14:paraId="415445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13.2 迟交的响应文件</w:t>
      </w:r>
    </w:p>
    <w:p w14:paraId="7BF107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采购人或采购代理人按照规定有权拒绝或原封退回在其规定的递交响应文件截止时间之后收到的任何响应文件。</w:t>
      </w:r>
    </w:p>
    <w:p w14:paraId="0D0CD3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五、竞争性磋商 (简称磋商) 与评审</w:t>
      </w:r>
    </w:p>
    <w:p w14:paraId="24F674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14.磋商小组成立及响应文件的开启</w:t>
      </w:r>
    </w:p>
    <w:p w14:paraId="4F6AD7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14.1 磋商小组由采购人代表和评审专家共 3 人以上单数组成，具体人数见“供应商须知前附表”，其中评审专家人数不得少于磋商小组成员总数的 2/3。采购人代表不得以评审专家身份参加本部门或本单位采购项目的评审。采购代理机构人员不得参加本机构代理的采购项目的评审。达到公开招标数额标准的货物或者服务采购项目，或者达到公开招标规模标准的政府 采购工程，经批准采用竞争性磋商方式采购的，磋商小组由 5 人以上单数组成。</w:t>
      </w:r>
    </w:p>
    <w:p w14:paraId="529AEF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14.2 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 强的采购项目，评审专家中应当包含 1 名法律专家。</w:t>
      </w:r>
    </w:p>
    <w:p w14:paraId="69ECCB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14.3 响应文件的开启：具体详见“供应商须知前附表”。</w:t>
      </w:r>
    </w:p>
    <w:p w14:paraId="5A3571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15.响应文件评审程序</w:t>
      </w:r>
    </w:p>
    <w:p w14:paraId="0E2F70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15.1 资格审查</w:t>
      </w:r>
    </w:p>
    <w:p w14:paraId="1DC70E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15.1.1 响应文件开启后， 由磋商小组依法对供应商的资格证明文件进行审查。</w:t>
      </w:r>
    </w:p>
    <w:p w14:paraId="782A94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15.1.2 通过资格审查的合格供应商不足3 家的，不得进入符合性审查环节，采购人或采购代理机构应当重新开展采购活动。</w:t>
      </w:r>
    </w:p>
    <w:p w14:paraId="45A013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 符合性审查</w:t>
      </w:r>
    </w:p>
    <w:p w14:paraId="58FA42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15.2.1 由磋商小组通过资格审查的合格供应商的响应文件的竞标报价、商务、技术等实质性要求进行符合性审查，以确定其是否满足竞争性磋商文件的实质性要求。</w:t>
      </w:r>
    </w:p>
    <w:p w14:paraId="1BE621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15.2.2 磋商小组在对响应文件进行符合性审查时，可以要求供应商对响应文件中含义不明确、同类问题表述不一致或者有明显文字和计算错误的内容等作出必要的澄清、说明或者更 正。供应商的澄清、说明或者更正不得超出响应文件的范围或者改变响应文件的实质性内容。</w:t>
      </w:r>
    </w:p>
    <w:p w14:paraId="27ABC4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15.2.3 磋商小组要求供应商澄清、说明或者更正响应文件应当要求供应商在合理时间内 通过政采云平台 (https://www.zcygov.cn/) 的方式形式作出。供应商的澄清、说明或者更正 必须通过政采云平台以书面形式按照磋商小组的要求作出明确的澄清、说明或者更正，未按磋 商小组的要求作出明确澄清、说明或者更正的供应商的响应文件将按照有利于采购人的原则由 磋商小组进行判定。供应商的澄清、说明或者更正必须由法定代表人或者其委托代理人签字或 者加盖 CA 签章。 由委托代理人签字的，若委托代理人不是响应文件中授权的委托代理人时， 必须同时出示有效的法定代表人授权委托书原件。供应商为自然人的，必须由本人签字并附身 份证明。</w:t>
      </w:r>
    </w:p>
    <w:p w14:paraId="5E6576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15.2.4 首次响应文件中报价出现前后不一致的，按照下列规定修正：</w:t>
      </w:r>
    </w:p>
    <w:p w14:paraId="5F68D1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 响应文件中报价表内容与响应文件中相应内容不一致的，以报价表为准；</w:t>
      </w:r>
    </w:p>
    <w:p w14:paraId="2313DA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 大写金额和小写金额不一致的，以大写金额为准；</w:t>
      </w:r>
    </w:p>
    <w:p w14:paraId="5F7F53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 单价金额小数点或者百分比有明显错位的，以报价表的总价为准，并修改单价；</w:t>
      </w:r>
    </w:p>
    <w:p w14:paraId="0F407F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(4) 总价金额与按单价汇总金额不一致的，以单价金额计算结果为准。</w:t>
      </w:r>
    </w:p>
    <w:p w14:paraId="123758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同时出现两种以上不一致的，按照以上 (1) - (4) 规定的顺序逐条进行修正。修正后的报价经供应商确认后产生约束力，供应商不确认的，其响应文件按无效响应处理。</w:t>
      </w:r>
    </w:p>
    <w:p w14:paraId="2DB4AD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15.2.5 磋商小组成员应当按照客观、公正、审慎的原则，根据第四章“评审程序、评审方法和评审标准”进行独立评审。磋商小组对响应文件进行评审，未实质性响应竞争性磋商文 件的响应文件按无效响应处理， 由磋商小组告知提交响应文件的供应商。</w:t>
      </w:r>
    </w:p>
    <w:p w14:paraId="47D399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15.2.6 通过符合性审查的合格供应商不足 3 家的，不得进入磋商环节，采购人或采购代理机构应当重新开展采购活动。</w:t>
      </w:r>
    </w:p>
    <w:p w14:paraId="0B405B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16.磋商</w:t>
      </w:r>
    </w:p>
    <w:p w14:paraId="291832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 xml:space="preserve">16.1 磋商小组按照“供应商须知前附表”确定的顺序，集中与单一供应商分别进行磋商，并予所有参加磋商的供应商平等的磋商机会。符合磋商资格的供应商必须实时关注政采云平台 </w:t>
      </w:r>
      <w:r>
        <w:rPr>
          <w:rFonts w:hint="eastAsia" w:ascii="宋体" w:hAnsi="宋体" w:cs="宋体"/>
          <w:b w:val="0"/>
          <w:bCs/>
          <w:color w:val="auto"/>
          <w:szCs w:val="21"/>
        </w:rPr>
        <w:tab/>
      </w:r>
      <w:r>
        <w:rPr>
          <w:rFonts w:hint="eastAsia" w:ascii="宋体" w:hAnsi="宋体" w:cs="宋体"/>
          <w:b w:val="0"/>
          <w:bCs/>
          <w:color w:val="auto"/>
          <w:szCs w:val="21"/>
        </w:rPr>
        <w:t>(https://www.zcygov.cn/) 开标信息，在接到磋商通知后规定时间内参加磋商，未在规定时间内参加磋商的视同放弃参加磋商权利，其响应文件按无效响应处理给。</w:t>
      </w:r>
    </w:p>
    <w:p w14:paraId="0D96CA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16.2 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575E36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16.3 对竞争性磋商文件作出的实质性变动是竞争性磋商文件的有效组成部分， 由磋商小组及时以书面形式同时通知所有参加磋商的供应商。</w:t>
      </w:r>
    </w:p>
    <w:p w14:paraId="34E8FD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16.4 供应商必须按照磋商文件的变动情况和磋商小组的要求重新提交响应文件，并由其法定代表人或者授权代表签字或者加盖 CA 签章在政采云平台 (https://www.zcygov.cn/) 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0E938A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16.5 磋商中，磋商的任何一方不得透露与磋商有关的其他供应商的技术资料、价格和其他信息。</w:t>
      </w:r>
    </w:p>
    <w:p w14:paraId="766D6F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16.6 采购代理机构对磋商过程和重要磋商内容进行记录，磋商双方应在记录上签字确认。</w:t>
      </w:r>
    </w:p>
    <w:p w14:paraId="0099A4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16.7 磋商过程中重新提交的响应文件，供应商可以在开启前补充、修改。</w:t>
      </w:r>
    </w:p>
    <w:p w14:paraId="49F824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16.8 根据《财政部关于政府采购竞争性磋商采购方式管理暂行办法有关问题的补充通知》 (财库〔2015〕124 号) 的规定，采用竞争性磋商采购方式采购的政府购买服务项目(含政府和社会资本合作项目) ，在采购过程中符合要求的供应商 (社会资本)只有 2 家的，竞争性磋商采购活动可以继续进行。采购过程中符合要求的供应商(社会资本)只有 1 家的，采购人(项目实施机构)或者采购代理机构应当终止竞争性磋商采购活动，发布项目终止公告并说明原因，重新开展采购活动。</w:t>
      </w:r>
    </w:p>
    <w:p w14:paraId="08F9B1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16.9 对磋商过程提交的响应文件进行有效性、完整性和响应程度审查，通过审查的合格供应商不足 3 家的，除本须知正文第 16.8 条的情形外，采购人或采购代理机构应当重新开展采购活动。</w:t>
      </w:r>
    </w:p>
    <w:p w14:paraId="7D464F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16.10 本项目所有响应文件的首次报价及所有磋商报价均不公布。最后磋商结束后，磋商小组不得再与供应商进行任何形式的商谈。</w:t>
      </w:r>
    </w:p>
    <w:p w14:paraId="4C7A7E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17.最后报价</w:t>
      </w:r>
    </w:p>
    <w:p w14:paraId="217FAF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17.1 磋商文件能够详细列明采购标的的技术、服务要求的，磋商结束后，由磋商小组要求所有继续参加磋商的供应商在规定时间内在政采云平台 (https://www.zcygov.cn/) 提交最后报价，提交最后报价的供应商不得少于 3 家，除本章第 4.3 条外，否则必须重新采购。</w:t>
      </w:r>
    </w:p>
    <w:p w14:paraId="27A4CC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17.2 磋商文件不能详细列明采购标的的技术、服务要求，需经磋商由供应商提供最后设计方案或者解决方案的，磋商结束后， 由磋商小组按照少数服从多数的原则投票推荐 3 家以上供应商的设计方案 或者解决方案 ， 并要求其在规定时间内在政采云平台(https://www.zcygov.cn/) 提交最后报价。</w:t>
      </w:r>
    </w:p>
    <w:p w14:paraId="449B52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①最后报价与首次报价相比无调整的：供应商提交的最后报价只须注明与首次报价相同。</w:t>
      </w:r>
    </w:p>
    <w:p w14:paraId="32C330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②最后报价与首次报价相比有调整的：供应商提交的最后报价必须包含已标价的工程量清单，即最后报价是工程量清单全部工作内容的价格体现，具体包括供应商部分 (分部分项工程量清单费用、措施项目清单费用、规费、税金、其它项目) 和采购人部分 (暂列金、材料购置费) (如有) 等完成本工程并经验收合格至达到质量保修期限所需的费用、合理利润及风险。如磋商文件或磋商程中明确供应商应提供技术服务及其它服务的 (如检测费、验收发生的费 用)，相应费用也应包括在最后报价中。最后报价不允许采用汇总后优惠、打折的形式，否则 其报价无效并作无效响应处理。供应商在报价时可只报总价，但必须将包含已标价工程量清单 的最后报价在规定时间内在政采云平台 (https://www.zcygov.cn/) 提交，逾期则最后报价无效，以首次报价为准。</w:t>
      </w:r>
    </w:p>
    <w:p w14:paraId="1608CA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17.3 最后报价是供应商响应文件的有效组成部分。符合《政府采购竞争性磋商采购方式管理暂行办法》 (财库〔2014〕214 号) 第三条第四项“市场竞争不充分的科研项目，以及需要扶持的科技成果转化项目”的，提交最后报价的供应商可以为 2 家。</w:t>
      </w:r>
    </w:p>
    <w:p w14:paraId="734524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17.4 已经提交响应文件的供应商，在提交最后报价之前，可以根据磋商情况退出磋商，退出磋商的供应商的响应文件按无效响应处理。采购人、采购代理机构将退还退出磋商的供应商的保证金。</w:t>
      </w:r>
    </w:p>
    <w:p w14:paraId="549F33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17.5 供应商未在规定时间内提交最后报价的，视同退出磋商。</w:t>
      </w:r>
    </w:p>
    <w:p w14:paraId="261E1B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17.6 磋商小组收齐某一分标最后报价后统一开启，磋商小组对最后报价进行有效性、完整性和响应程度的审查。</w:t>
      </w:r>
    </w:p>
    <w:p w14:paraId="36503D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17.7 响应文件最后报价出现前后不一致的，按照本正文第 25.2.4 条的规定修正。</w:t>
      </w:r>
    </w:p>
    <w:p w14:paraId="53B4C5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17.8 修正后的报价出现下列情形的，按无效响应处理：</w:t>
      </w:r>
    </w:p>
    <w:p w14:paraId="4F8C1B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 供应商不确认的；</w:t>
      </w:r>
    </w:p>
    <w:p w14:paraId="74C359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 经供应商确认修正后的竞标报价 (包含首次报价、最后报价) 超过所竞标规定的采购预算金额或者最高限价的 (如本项目公布了最高限价) ；</w:t>
      </w:r>
    </w:p>
    <w:p w14:paraId="639850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 经供应商确认修正后的竞标报价 (包含首次报价、最后报价) 超过分项采购预算金额或者最高限价的 (如本项目公布了最高限价) 。</w:t>
      </w:r>
    </w:p>
    <w:p w14:paraId="60A3CF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17.9 经供应商确认修正后的最后报价作为评审及签订合同的依据。</w:t>
      </w:r>
    </w:p>
    <w:p w14:paraId="196EC5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 xml:space="preserve">17.10 最后报价结束后，磋商小组不得再与供应商进行任何形式的商谈。 </w:t>
      </w:r>
    </w:p>
    <w:p w14:paraId="31E721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18.比较与评价</w:t>
      </w:r>
    </w:p>
    <w:p w14:paraId="6DD8CB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18.1 评审方法：综合评分法。</w:t>
      </w:r>
    </w:p>
    <w:p w14:paraId="73ADA2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18.2 经磋商确定最终采购需求和提交最后报价的供应商后， 由磋商小组采用综合评分法对提交最后报价的供应商的响应文件和最后报价进行综合评分。详见第四章“评审程序、评审方法和评审标准”。</w:t>
      </w:r>
    </w:p>
    <w:p w14:paraId="1293F2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18.3 评审时，磋商小组各成员应当独立对每个有效的响应文件进行评价、打分，然后汇总每个供应商每项评分因素的得分。</w:t>
      </w:r>
    </w:p>
    <w:p w14:paraId="6D4120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 磋商小组按照竞争性磋商文件中规定的评审标准计算各供应商的报价得分。项目评审过程中，不得去掉最后报价中的最高报价和最低报价。</w:t>
      </w:r>
    </w:p>
    <w:p w14:paraId="06908C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 各供应商的得分为磋商小组所有成员的有效评分的算术平均数。</w:t>
      </w:r>
    </w:p>
    <w:p w14:paraId="34B952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18.4 评审价为供应商的最后报价进行政策性扣除后的价格，评审价只是作为评审时使用。最终成交供应商的成交金额等于最后报价 (如有修正，以确认修正后的最后报价为准) 。</w:t>
      </w:r>
    </w:p>
    <w:p w14:paraId="7E2324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18.5 由磋商小组根据综合评分情况，按照评审得分由高到低顺序推荐 3 名以上成交候选供应商，并编写评审报告。符合本须知正文第 17.3 条情形的，可以推荐 2 家成交候选供应商。评审得分相同的，按照最后报价由低到高的顺序推荐。评审得分且最后报价相同的，按照技术 指标优劣顺序推荐。</w:t>
      </w:r>
    </w:p>
    <w:p w14:paraId="04D57C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56519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特别说明：政采云公司如对电子化磋商及评审程序有调整的，按调整后的程序操作。</w:t>
      </w:r>
    </w:p>
    <w:p w14:paraId="56DABA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 采购过程中出现以下情形，导致电子交易平台无法正常运行，或者无法保证电子交 易的公平、公正和安全时，采购组织机构可中止电子交易活动：</w:t>
      </w:r>
    </w:p>
    <w:p w14:paraId="05F01D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18.6.1 电子交易平台发生故障而无法登录访问的；</w:t>
      </w:r>
    </w:p>
    <w:p w14:paraId="5F5E37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18.6.2 电子交易平台应用或数据库出现错误，不能进行正常操作的；</w:t>
      </w:r>
    </w:p>
    <w:p w14:paraId="67B977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18.6.3 电子交易平台发现严重安全漏洞，有潜在泄密危险的；</w:t>
      </w:r>
    </w:p>
    <w:p w14:paraId="3CEC5F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18.6.4 病毒发作导致不能进行正常操作的；</w:t>
      </w:r>
    </w:p>
    <w:p w14:paraId="3C7277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18.6.5 其他无法保证电子交易的公平、公正和安全的情况。</w:t>
      </w:r>
    </w:p>
    <w:p w14:paraId="790474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18.6.6 出现前款规定情形，不影响采购公平、公正性的，采购组织机构可以待上述情形消除后继续组织电子交易活动，也可以决定某些环节以纸质形式进行；影响或可能影响采购公平、公正性的，应当重新采购。</w:t>
      </w:r>
    </w:p>
    <w:p w14:paraId="424C10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六、确定成交供应商办法及结果公告</w:t>
      </w:r>
    </w:p>
    <w:p w14:paraId="0ED778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19.1 采购代理机构应当在评审结束后 2 个工作日内将评审报告送采购人确认。采购人应当在收到评审报告后 2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E43EA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19.2 采购代理机构应当在成交供应商确定后 2 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40F7EE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19.3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D3CD0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19.4 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056059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七、履约保证金</w:t>
      </w:r>
    </w:p>
    <w:p w14:paraId="79C40B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20.履约保证金：</w:t>
      </w:r>
      <w:r>
        <w:rPr>
          <w:rFonts w:hint="eastAsia" w:ascii="宋体" w:hAnsi="宋体" w:cs="宋体"/>
          <w:b w:val="0"/>
          <w:bCs/>
          <w:color w:val="auto"/>
          <w:szCs w:val="21"/>
          <w:lang w:val="en-US" w:eastAsia="zh-CN"/>
        </w:rPr>
        <w:t>详见须知前附表</w:t>
      </w:r>
      <w:r>
        <w:rPr>
          <w:rFonts w:hint="eastAsia" w:ascii="宋体" w:hAnsi="宋体" w:cs="宋体"/>
          <w:b w:val="0"/>
          <w:bCs/>
          <w:color w:val="auto"/>
          <w:szCs w:val="21"/>
        </w:rPr>
        <w:t>。</w:t>
      </w:r>
    </w:p>
    <w:p w14:paraId="27D830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八、签订合同</w:t>
      </w:r>
    </w:p>
    <w:p w14:paraId="7197A3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ascii="宋体" w:hAnsi="宋体" w:cs="宋体"/>
          <w:b w:val="0"/>
          <w:bCs/>
          <w:color w:val="auto"/>
          <w:szCs w:val="21"/>
        </w:rPr>
        <w:t>21.1 成交供应商在收到成交通知书后，按规定与采购人签订采购合同。采购代理机构将在评标结束 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14:paraId="340D30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21.2 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5D221D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九、政府采购合同公告</w:t>
      </w:r>
    </w:p>
    <w:p w14:paraId="204772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3173D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十、适用法律</w:t>
      </w:r>
    </w:p>
    <w:p w14:paraId="5EF8BA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cs="宋体"/>
          <w:b w:val="0"/>
          <w:bCs/>
          <w:color w:val="auto"/>
          <w:szCs w:val="21"/>
        </w:rPr>
      </w:pPr>
      <w:r>
        <w:rPr>
          <w:rFonts w:hint="eastAsia" w:ascii="宋体" w:hAnsi="宋体" w:cs="宋体"/>
          <w:b w:val="0"/>
          <w:bCs/>
          <w:color w:val="auto"/>
          <w:szCs w:val="21"/>
        </w:rPr>
        <w:t>23.本项目适用于《中华人民共和国政府采购法》《中华人民共和国政府采购法实施条例》</w:t>
      </w:r>
    </w:p>
    <w:p w14:paraId="7D4EA1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auto"/>
          <w:szCs w:val="21"/>
        </w:rPr>
      </w:pPr>
      <w:r>
        <w:rPr>
          <w:rFonts w:hint="eastAsia" w:ascii="宋体" w:hAnsi="宋体" w:cs="宋体"/>
          <w:b w:val="0"/>
          <w:bCs/>
          <w:color w:val="auto"/>
          <w:szCs w:val="21"/>
        </w:rPr>
        <w:t>《政府采购竞争性磋商采购方式管理暂行办法》《财政部关于政府采购竞争性磋商采购方式管理暂行办法有关问题的补充通知》及本项目本级和上级财政部门政府采购有关规定。</w:t>
      </w:r>
    </w:p>
    <w:p w14:paraId="5CB852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十一、其他事项</w:t>
      </w:r>
    </w:p>
    <w:p w14:paraId="1E2318D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24.1 招标代理服务费</w:t>
      </w:r>
    </w:p>
    <w:p w14:paraId="4092F1F5">
      <w:pPr>
        <w:pStyle w:val="12"/>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本项目的招标代理服务费按</w:t>
      </w:r>
      <w:r>
        <w:rPr>
          <w:rFonts w:hint="eastAsia" w:hAnsi="宋体" w:cs="宋体"/>
          <w:color w:val="auto"/>
          <w:sz w:val="21"/>
          <w:lang w:val="en-US" w:eastAsia="zh-CN"/>
        </w:rPr>
        <w:t>成交金额为计费额，按收费计算标准（工程类）采用差额定率累进法计算出收费基准价格，采购代理收费以收费基准价格计取，</w:t>
      </w:r>
      <w:r>
        <w:rPr>
          <w:rFonts w:hint="eastAsia" w:ascii="宋体" w:hAnsi="宋体" w:cs="宋体"/>
          <w:b w:val="0"/>
          <w:bCs/>
          <w:color w:val="auto"/>
          <w:szCs w:val="21"/>
        </w:rPr>
        <w:t>由成交人领取成交通知书前，向代理机构一次性付清。</w:t>
      </w:r>
    </w:p>
    <w:p w14:paraId="2D515C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代理服务费专用</w:t>
      </w:r>
      <w:r>
        <w:rPr>
          <w:rFonts w:hint="eastAsia" w:ascii="宋体" w:hAnsi="宋体" w:cs="宋体"/>
          <w:b w:val="0"/>
          <w:bCs/>
          <w:color w:val="auto"/>
          <w:szCs w:val="21"/>
          <w:lang w:eastAsia="zh-CN"/>
        </w:rPr>
        <w:t>账</w:t>
      </w:r>
      <w:r>
        <w:rPr>
          <w:rFonts w:hint="eastAsia" w:ascii="宋体" w:hAnsi="宋体" w:cs="宋体"/>
          <w:b w:val="0"/>
          <w:bCs/>
          <w:color w:val="auto"/>
          <w:szCs w:val="21"/>
        </w:rPr>
        <w:t>户：</w:t>
      </w:r>
    </w:p>
    <w:p w14:paraId="56DE77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开户名称：</w:t>
      </w:r>
      <w:r>
        <w:rPr>
          <w:rFonts w:hint="eastAsia" w:ascii="宋体" w:hAnsi="宋体" w:cs="宋体"/>
          <w:b w:val="0"/>
          <w:bCs/>
          <w:color w:val="auto"/>
          <w:szCs w:val="21"/>
          <w:lang w:eastAsia="zh-CN"/>
        </w:rPr>
        <w:t>广西中烨项目管理有限公司</w:t>
      </w:r>
    </w:p>
    <w:p w14:paraId="0752131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开户银行</w:t>
      </w:r>
      <w:r>
        <w:rPr>
          <w:rFonts w:hint="eastAsia" w:ascii="宋体" w:hAnsi="宋体" w:cs="宋体"/>
          <w:b w:val="0"/>
          <w:bCs/>
          <w:color w:val="auto"/>
          <w:szCs w:val="21"/>
          <w:lang w:eastAsia="zh-CN"/>
        </w:rPr>
        <w:t>：</w:t>
      </w:r>
      <w:r>
        <w:rPr>
          <w:rFonts w:hint="eastAsia" w:ascii="宋体" w:hAnsi="宋体" w:cs="宋体"/>
          <w:b w:val="0"/>
          <w:bCs/>
          <w:color w:val="auto"/>
          <w:szCs w:val="21"/>
          <w:lang w:val="en-US" w:eastAsia="zh-CN"/>
        </w:rPr>
        <w:t>中国建设银行股份有限公司钦州新兴街支行</w:t>
      </w:r>
      <w:r>
        <w:rPr>
          <w:rFonts w:hint="eastAsia" w:ascii="宋体" w:hAnsi="宋体" w:cs="宋体"/>
          <w:b w:val="0"/>
          <w:bCs/>
          <w:color w:val="auto"/>
          <w:szCs w:val="21"/>
        </w:rPr>
        <w:t xml:space="preserve">  </w:t>
      </w:r>
    </w:p>
    <w:p w14:paraId="2B3757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Cs w:val="21"/>
          <w:lang w:eastAsia="zh-CN"/>
        </w:rPr>
      </w:pPr>
      <w:r>
        <w:rPr>
          <w:rFonts w:hint="eastAsia" w:ascii="宋体" w:hAnsi="宋体" w:cs="宋体"/>
          <w:b w:val="0"/>
          <w:bCs/>
          <w:color w:val="auto"/>
          <w:szCs w:val="21"/>
          <w:lang w:eastAsia="zh-CN"/>
        </w:rPr>
        <w:t>账</w:t>
      </w:r>
      <w:r>
        <w:rPr>
          <w:rFonts w:hint="eastAsia" w:ascii="宋体" w:hAnsi="宋体" w:cs="宋体"/>
          <w:b w:val="0"/>
          <w:bCs/>
          <w:color w:val="auto"/>
          <w:szCs w:val="21"/>
        </w:rPr>
        <w:t xml:space="preserve">    号</w:t>
      </w:r>
      <w:r>
        <w:rPr>
          <w:rFonts w:hint="eastAsia" w:ascii="宋体" w:hAnsi="宋体" w:cs="宋体"/>
          <w:b w:val="0"/>
          <w:bCs/>
          <w:color w:val="auto"/>
          <w:szCs w:val="21"/>
          <w:lang w:eastAsia="zh-CN"/>
        </w:rPr>
        <w:t>：</w:t>
      </w:r>
      <w:r>
        <w:rPr>
          <w:rFonts w:hint="eastAsia" w:ascii="宋体" w:hAnsi="宋体" w:cs="宋体"/>
          <w:b w:val="0"/>
          <w:bCs/>
          <w:color w:val="auto"/>
          <w:szCs w:val="21"/>
          <w:lang w:val="en-US" w:eastAsia="zh-CN"/>
        </w:rPr>
        <w:t>45050165986100000773</w:t>
      </w:r>
    </w:p>
    <w:p w14:paraId="73AE5DC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代理服务费收费计算标准：</w:t>
      </w:r>
    </w:p>
    <w:tbl>
      <w:tblPr>
        <w:tblStyle w:val="47"/>
        <w:tblW w:w="82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579"/>
        <w:gridCol w:w="1579"/>
        <w:gridCol w:w="1581"/>
      </w:tblGrid>
      <w:tr w14:paraId="1B6E2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3474" w:type="dxa"/>
            <w:tcBorders>
              <w:tl2br w:val="single" w:color="000000" w:sz="4" w:space="0"/>
            </w:tcBorders>
            <w:vAlign w:val="center"/>
          </w:tcPr>
          <w:p w14:paraId="30579373">
            <w:pPr>
              <w:keepNext w:val="0"/>
              <w:keepLines w:val="0"/>
              <w:pageBreakBefore w:val="0"/>
              <w:widowControl w:val="0"/>
              <w:kinsoku/>
              <w:wordWrap/>
              <w:overflowPunct/>
              <w:topLinePunct w:val="0"/>
              <w:autoSpaceDE/>
              <w:autoSpaceDN/>
              <w:bidi w:val="0"/>
              <w:adjustRightInd/>
              <w:snapToGrid/>
              <w:spacing w:line="400" w:lineRule="exact"/>
              <w:ind w:left="1702" w:firstLine="1040" w:firstLineChars="500"/>
              <w:jc w:val="left"/>
              <w:textAlignment w:val="auto"/>
              <w:rPr>
                <w:rFonts w:ascii="宋体" w:hAnsi="宋体" w:eastAsia="宋体" w:cs="宋体"/>
                <w:color w:val="auto"/>
                <w:sz w:val="21"/>
                <w:szCs w:val="21"/>
              </w:rPr>
            </w:pPr>
            <w:r>
              <w:rPr>
                <w:rFonts w:ascii="宋体" w:hAnsi="宋体" w:eastAsia="宋体" w:cs="宋体"/>
                <w:color w:val="auto"/>
                <w:spacing w:val="-1"/>
                <w:sz w:val="21"/>
                <w:szCs w:val="21"/>
              </w:rPr>
              <w:t>费率</w:t>
            </w:r>
          </w:p>
          <w:p w14:paraId="330D40B5">
            <w:pPr>
              <w:keepNext w:val="0"/>
              <w:keepLines w:val="0"/>
              <w:pageBreakBefore w:val="0"/>
              <w:widowControl w:val="0"/>
              <w:kinsoku/>
              <w:wordWrap/>
              <w:overflowPunct/>
              <w:topLinePunct w:val="0"/>
              <w:autoSpaceDE/>
              <w:autoSpaceDN/>
              <w:bidi w:val="0"/>
              <w:adjustRightInd/>
              <w:snapToGrid/>
              <w:spacing w:line="400" w:lineRule="exact"/>
              <w:ind w:left="118"/>
              <w:jc w:val="left"/>
              <w:textAlignment w:val="auto"/>
              <w:rPr>
                <w:rFonts w:ascii="宋体" w:hAnsi="宋体" w:eastAsia="宋体" w:cs="宋体"/>
                <w:color w:val="auto"/>
                <w:sz w:val="21"/>
                <w:szCs w:val="21"/>
              </w:rPr>
            </w:pPr>
            <w:r>
              <w:rPr>
                <w:rFonts w:ascii="宋体" w:hAnsi="宋体" w:eastAsia="宋体" w:cs="宋体"/>
                <w:color w:val="auto"/>
                <w:spacing w:val="4"/>
                <w:sz w:val="21"/>
                <w:szCs w:val="21"/>
              </w:rPr>
              <w:t>金</w:t>
            </w:r>
            <w:r>
              <w:rPr>
                <w:rFonts w:ascii="宋体" w:hAnsi="宋体" w:eastAsia="宋体" w:cs="宋体"/>
                <w:color w:val="auto"/>
                <w:spacing w:val="3"/>
                <w:sz w:val="21"/>
                <w:szCs w:val="21"/>
              </w:rPr>
              <w:t>额</w:t>
            </w:r>
          </w:p>
        </w:tc>
        <w:tc>
          <w:tcPr>
            <w:tcW w:w="1579" w:type="dxa"/>
            <w:vAlign w:val="center"/>
          </w:tcPr>
          <w:p w14:paraId="4AF63D56">
            <w:pPr>
              <w:keepNext w:val="0"/>
              <w:keepLines w:val="0"/>
              <w:pageBreakBefore w:val="0"/>
              <w:widowControl w:val="0"/>
              <w:kinsoku/>
              <w:wordWrap/>
              <w:overflowPunct/>
              <w:topLinePunct w:val="0"/>
              <w:autoSpaceDE/>
              <w:autoSpaceDN/>
              <w:bidi w:val="0"/>
              <w:adjustRightInd/>
              <w:snapToGrid/>
              <w:spacing w:line="400" w:lineRule="exact"/>
              <w:ind w:left="578"/>
              <w:jc w:val="center"/>
              <w:textAlignment w:val="auto"/>
              <w:rPr>
                <w:rFonts w:ascii="宋体" w:hAnsi="宋体" w:eastAsia="宋体" w:cs="宋体"/>
                <w:color w:val="auto"/>
                <w:sz w:val="21"/>
                <w:szCs w:val="21"/>
              </w:rPr>
            </w:pPr>
            <w:r>
              <w:rPr>
                <w:rFonts w:ascii="宋体" w:hAnsi="宋体" w:eastAsia="宋体" w:cs="宋体"/>
                <w:color w:val="auto"/>
                <w:spacing w:val="5"/>
                <w:sz w:val="21"/>
                <w:szCs w:val="21"/>
              </w:rPr>
              <w:t>货物类</w:t>
            </w:r>
          </w:p>
        </w:tc>
        <w:tc>
          <w:tcPr>
            <w:tcW w:w="1579" w:type="dxa"/>
            <w:vAlign w:val="center"/>
          </w:tcPr>
          <w:p w14:paraId="0AD04F28">
            <w:pPr>
              <w:keepNext w:val="0"/>
              <w:keepLines w:val="0"/>
              <w:pageBreakBefore w:val="0"/>
              <w:widowControl w:val="0"/>
              <w:kinsoku/>
              <w:wordWrap/>
              <w:overflowPunct/>
              <w:topLinePunct w:val="0"/>
              <w:autoSpaceDE/>
              <w:autoSpaceDN/>
              <w:bidi w:val="0"/>
              <w:adjustRightInd/>
              <w:snapToGrid/>
              <w:spacing w:line="400" w:lineRule="exact"/>
              <w:ind w:left="458"/>
              <w:jc w:val="center"/>
              <w:textAlignment w:val="auto"/>
              <w:rPr>
                <w:rFonts w:ascii="宋体" w:hAnsi="宋体" w:eastAsia="宋体" w:cs="宋体"/>
                <w:color w:val="auto"/>
                <w:sz w:val="21"/>
                <w:szCs w:val="21"/>
              </w:rPr>
            </w:pPr>
            <w:r>
              <w:rPr>
                <w:rFonts w:ascii="宋体" w:hAnsi="宋体" w:eastAsia="宋体" w:cs="宋体"/>
                <w:color w:val="auto"/>
                <w:spacing w:val="7"/>
                <w:sz w:val="21"/>
                <w:szCs w:val="21"/>
              </w:rPr>
              <w:t>服务</w:t>
            </w:r>
            <w:r>
              <w:rPr>
                <w:rFonts w:ascii="宋体" w:hAnsi="宋体" w:eastAsia="宋体" w:cs="宋体"/>
                <w:color w:val="auto"/>
                <w:spacing w:val="6"/>
                <w:sz w:val="21"/>
                <w:szCs w:val="21"/>
              </w:rPr>
              <w:t>类</w:t>
            </w:r>
          </w:p>
        </w:tc>
        <w:tc>
          <w:tcPr>
            <w:tcW w:w="1581" w:type="dxa"/>
            <w:vAlign w:val="center"/>
          </w:tcPr>
          <w:p w14:paraId="6405580A">
            <w:pPr>
              <w:keepNext w:val="0"/>
              <w:keepLines w:val="0"/>
              <w:pageBreakBefore w:val="0"/>
              <w:widowControl w:val="0"/>
              <w:kinsoku/>
              <w:wordWrap/>
              <w:overflowPunct/>
              <w:topLinePunct w:val="0"/>
              <w:autoSpaceDE/>
              <w:autoSpaceDN/>
              <w:bidi w:val="0"/>
              <w:adjustRightInd/>
              <w:snapToGrid/>
              <w:spacing w:line="400" w:lineRule="exact"/>
              <w:ind w:left="468"/>
              <w:jc w:val="center"/>
              <w:textAlignment w:val="auto"/>
              <w:rPr>
                <w:rFonts w:ascii="宋体" w:hAnsi="宋体" w:eastAsia="宋体" w:cs="宋体"/>
                <w:color w:val="auto"/>
                <w:sz w:val="21"/>
                <w:szCs w:val="21"/>
              </w:rPr>
            </w:pPr>
            <w:r>
              <w:rPr>
                <w:rFonts w:ascii="宋体" w:hAnsi="宋体" w:eastAsia="宋体" w:cs="宋体"/>
                <w:color w:val="auto"/>
                <w:spacing w:val="6"/>
                <w:sz w:val="21"/>
                <w:szCs w:val="21"/>
              </w:rPr>
              <w:t>工程类</w:t>
            </w:r>
          </w:p>
        </w:tc>
      </w:tr>
      <w:tr w14:paraId="13FDC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7A5A6B40">
            <w:pPr>
              <w:spacing w:before="33" w:line="229" w:lineRule="auto"/>
              <w:ind w:left="131"/>
              <w:jc w:val="left"/>
              <w:rPr>
                <w:rFonts w:ascii="宋体" w:hAnsi="宋体" w:eastAsia="宋体" w:cs="宋体"/>
                <w:color w:val="auto"/>
                <w:sz w:val="21"/>
                <w:szCs w:val="21"/>
              </w:rPr>
            </w:pPr>
            <w:r>
              <w:rPr>
                <w:rFonts w:ascii="宋体" w:hAnsi="宋体" w:eastAsia="宋体" w:cs="宋体"/>
                <w:color w:val="auto"/>
                <w:spacing w:val="-4"/>
                <w:sz w:val="21"/>
                <w:szCs w:val="21"/>
              </w:rPr>
              <w:t>1</w:t>
            </w:r>
            <w:r>
              <w:rPr>
                <w:rFonts w:ascii="宋体" w:hAnsi="宋体" w:eastAsia="宋体" w:cs="宋体"/>
                <w:color w:val="auto"/>
                <w:spacing w:val="-3"/>
                <w:sz w:val="21"/>
                <w:szCs w:val="21"/>
              </w:rPr>
              <w:t>0</w:t>
            </w:r>
            <w:r>
              <w:rPr>
                <w:rFonts w:ascii="宋体" w:hAnsi="宋体" w:eastAsia="宋体" w:cs="宋体"/>
                <w:color w:val="auto"/>
                <w:spacing w:val="-2"/>
                <w:sz w:val="21"/>
                <w:szCs w:val="21"/>
              </w:rPr>
              <w:t>0 万元以下</w:t>
            </w:r>
          </w:p>
        </w:tc>
        <w:tc>
          <w:tcPr>
            <w:tcW w:w="1579" w:type="dxa"/>
            <w:vAlign w:val="center"/>
          </w:tcPr>
          <w:p w14:paraId="3EE918C6">
            <w:pPr>
              <w:spacing w:before="33" w:line="271" w:lineRule="exact"/>
              <w:ind w:left="339"/>
              <w:jc w:val="center"/>
              <w:rPr>
                <w:rFonts w:ascii="宋体" w:hAnsi="宋体" w:eastAsia="宋体" w:cs="宋体"/>
                <w:color w:val="auto"/>
                <w:sz w:val="21"/>
                <w:szCs w:val="21"/>
              </w:rPr>
            </w:pPr>
            <w:r>
              <w:rPr>
                <w:rFonts w:ascii="宋体" w:hAnsi="宋体" w:eastAsia="宋体" w:cs="宋体"/>
                <w:color w:val="auto"/>
                <w:spacing w:val="-1"/>
                <w:position w:val="1"/>
                <w:sz w:val="21"/>
                <w:szCs w:val="21"/>
              </w:rPr>
              <w:t>1.5</w:t>
            </w:r>
            <w:r>
              <w:rPr>
                <w:rFonts w:ascii="宋体" w:hAnsi="宋体" w:eastAsia="宋体" w:cs="宋体"/>
                <w:color w:val="auto"/>
                <w:position w:val="1"/>
                <w:sz w:val="21"/>
                <w:szCs w:val="21"/>
              </w:rPr>
              <w:t>%</w:t>
            </w:r>
          </w:p>
        </w:tc>
        <w:tc>
          <w:tcPr>
            <w:tcW w:w="1579" w:type="dxa"/>
            <w:vAlign w:val="center"/>
          </w:tcPr>
          <w:p w14:paraId="3C60422A">
            <w:pPr>
              <w:spacing w:before="33" w:line="271" w:lineRule="exact"/>
              <w:ind w:left="339"/>
              <w:jc w:val="center"/>
              <w:rPr>
                <w:rFonts w:ascii="宋体" w:hAnsi="宋体" w:eastAsia="宋体" w:cs="宋体"/>
                <w:color w:val="auto"/>
                <w:sz w:val="21"/>
                <w:szCs w:val="21"/>
              </w:rPr>
            </w:pPr>
            <w:r>
              <w:rPr>
                <w:rFonts w:ascii="宋体" w:hAnsi="宋体" w:eastAsia="宋体" w:cs="宋体"/>
                <w:color w:val="auto"/>
                <w:spacing w:val="-1"/>
                <w:position w:val="1"/>
                <w:sz w:val="21"/>
                <w:szCs w:val="21"/>
              </w:rPr>
              <w:t>1.5</w:t>
            </w:r>
            <w:r>
              <w:rPr>
                <w:rFonts w:ascii="宋体" w:hAnsi="宋体" w:eastAsia="宋体" w:cs="宋体"/>
                <w:color w:val="auto"/>
                <w:position w:val="1"/>
                <w:sz w:val="21"/>
                <w:szCs w:val="21"/>
              </w:rPr>
              <w:t>%</w:t>
            </w:r>
          </w:p>
        </w:tc>
        <w:tc>
          <w:tcPr>
            <w:tcW w:w="1581" w:type="dxa"/>
            <w:vAlign w:val="center"/>
          </w:tcPr>
          <w:p w14:paraId="0FDCD982">
            <w:pPr>
              <w:spacing w:before="33" w:line="271" w:lineRule="exact"/>
              <w:ind w:left="342"/>
              <w:jc w:val="center"/>
              <w:rPr>
                <w:rFonts w:ascii="宋体" w:hAnsi="宋体" w:eastAsia="宋体" w:cs="宋体"/>
                <w:color w:val="auto"/>
                <w:sz w:val="21"/>
                <w:szCs w:val="21"/>
              </w:rPr>
            </w:pPr>
            <w:r>
              <w:rPr>
                <w:rFonts w:ascii="宋体" w:hAnsi="宋体" w:eastAsia="宋体" w:cs="宋体"/>
                <w:color w:val="auto"/>
                <w:spacing w:val="-2"/>
                <w:position w:val="1"/>
                <w:sz w:val="21"/>
                <w:szCs w:val="21"/>
              </w:rPr>
              <w:t>1</w:t>
            </w:r>
            <w:r>
              <w:rPr>
                <w:rFonts w:ascii="宋体" w:hAnsi="宋体" w:eastAsia="宋体" w:cs="宋体"/>
                <w:color w:val="auto"/>
                <w:spacing w:val="-1"/>
                <w:position w:val="1"/>
                <w:sz w:val="21"/>
                <w:szCs w:val="21"/>
              </w:rPr>
              <w:t>.0%</w:t>
            </w:r>
          </w:p>
        </w:tc>
      </w:tr>
      <w:tr w14:paraId="37FD1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1A40459E">
            <w:pPr>
              <w:spacing w:before="33" w:line="229" w:lineRule="auto"/>
              <w:ind w:left="131"/>
              <w:jc w:val="left"/>
              <w:rPr>
                <w:rFonts w:ascii="宋体" w:hAnsi="宋体" w:eastAsia="宋体" w:cs="宋体"/>
                <w:color w:val="auto"/>
                <w:sz w:val="21"/>
                <w:szCs w:val="21"/>
              </w:rPr>
            </w:pPr>
            <w:r>
              <w:rPr>
                <w:rFonts w:ascii="宋体" w:hAnsi="宋体" w:eastAsia="宋体" w:cs="宋体"/>
                <w:color w:val="auto"/>
                <w:spacing w:val="12"/>
                <w:sz w:val="21"/>
                <w:szCs w:val="21"/>
              </w:rPr>
              <w:t>1</w:t>
            </w:r>
            <w:r>
              <w:rPr>
                <w:rFonts w:ascii="宋体" w:hAnsi="宋体" w:eastAsia="宋体" w:cs="宋体"/>
                <w:color w:val="auto"/>
                <w:spacing w:val="8"/>
                <w:sz w:val="21"/>
                <w:szCs w:val="21"/>
              </w:rPr>
              <w:t>00</w:t>
            </w:r>
            <w:r>
              <w:rPr>
                <w:rFonts w:hint="eastAsia" w:ascii="宋体" w:hAnsi="宋体" w:cs="宋体"/>
                <w:color w:val="auto"/>
                <w:spacing w:val="8"/>
                <w:sz w:val="21"/>
                <w:szCs w:val="21"/>
                <w:lang w:eastAsia="zh-CN"/>
              </w:rPr>
              <w:t>～</w:t>
            </w:r>
            <w:r>
              <w:rPr>
                <w:rFonts w:ascii="宋体" w:hAnsi="宋体" w:eastAsia="宋体" w:cs="宋体"/>
                <w:color w:val="auto"/>
                <w:spacing w:val="8"/>
                <w:sz w:val="21"/>
                <w:szCs w:val="21"/>
              </w:rPr>
              <w:t>500 万元</w:t>
            </w:r>
          </w:p>
        </w:tc>
        <w:tc>
          <w:tcPr>
            <w:tcW w:w="1579" w:type="dxa"/>
            <w:vAlign w:val="center"/>
          </w:tcPr>
          <w:p w14:paraId="5EDB1D15">
            <w:pPr>
              <w:spacing w:before="33" w:line="270" w:lineRule="exact"/>
              <w:ind w:left="339"/>
              <w:jc w:val="center"/>
              <w:rPr>
                <w:rFonts w:ascii="宋体" w:hAnsi="宋体" w:eastAsia="宋体" w:cs="宋体"/>
                <w:color w:val="auto"/>
                <w:sz w:val="21"/>
                <w:szCs w:val="21"/>
              </w:rPr>
            </w:pPr>
            <w:r>
              <w:rPr>
                <w:rFonts w:ascii="宋体" w:hAnsi="宋体" w:eastAsia="宋体" w:cs="宋体"/>
                <w:color w:val="auto"/>
                <w:spacing w:val="-1"/>
                <w:position w:val="1"/>
                <w:sz w:val="21"/>
                <w:szCs w:val="21"/>
              </w:rPr>
              <w:t>1.1</w:t>
            </w:r>
            <w:r>
              <w:rPr>
                <w:rFonts w:ascii="宋体" w:hAnsi="宋体" w:eastAsia="宋体" w:cs="宋体"/>
                <w:color w:val="auto"/>
                <w:position w:val="1"/>
                <w:sz w:val="21"/>
                <w:szCs w:val="21"/>
              </w:rPr>
              <w:t>%</w:t>
            </w:r>
          </w:p>
        </w:tc>
        <w:tc>
          <w:tcPr>
            <w:tcW w:w="1579" w:type="dxa"/>
            <w:vAlign w:val="center"/>
          </w:tcPr>
          <w:p w14:paraId="4D33BDCA">
            <w:pPr>
              <w:spacing w:before="33" w:line="269" w:lineRule="exact"/>
              <w:ind w:left="326"/>
              <w:jc w:val="center"/>
              <w:rPr>
                <w:rFonts w:ascii="宋体" w:hAnsi="宋体" w:eastAsia="宋体" w:cs="宋体"/>
                <w:color w:val="auto"/>
                <w:sz w:val="21"/>
                <w:szCs w:val="21"/>
              </w:rPr>
            </w:pPr>
            <w:r>
              <w:rPr>
                <w:rFonts w:ascii="宋体" w:hAnsi="宋体" w:eastAsia="宋体" w:cs="宋体"/>
                <w:color w:val="auto"/>
                <w:spacing w:val="3"/>
                <w:position w:val="1"/>
                <w:sz w:val="21"/>
                <w:szCs w:val="21"/>
              </w:rPr>
              <w:t>0.8</w:t>
            </w:r>
            <w:r>
              <w:rPr>
                <w:rFonts w:ascii="宋体" w:hAnsi="宋体" w:eastAsia="宋体" w:cs="宋体"/>
                <w:color w:val="auto"/>
                <w:spacing w:val="2"/>
                <w:position w:val="1"/>
                <w:sz w:val="21"/>
                <w:szCs w:val="21"/>
              </w:rPr>
              <w:t>%</w:t>
            </w:r>
          </w:p>
        </w:tc>
        <w:tc>
          <w:tcPr>
            <w:tcW w:w="1581" w:type="dxa"/>
            <w:vAlign w:val="center"/>
          </w:tcPr>
          <w:p w14:paraId="3D558592">
            <w:pPr>
              <w:spacing w:before="33" w:line="269" w:lineRule="exact"/>
              <w:ind w:left="328"/>
              <w:jc w:val="center"/>
              <w:rPr>
                <w:rFonts w:ascii="宋体" w:hAnsi="宋体" w:eastAsia="宋体" w:cs="宋体"/>
                <w:color w:val="auto"/>
                <w:sz w:val="21"/>
                <w:szCs w:val="21"/>
              </w:rPr>
            </w:pPr>
            <w:r>
              <w:rPr>
                <w:rFonts w:ascii="宋体" w:hAnsi="宋体" w:eastAsia="宋体" w:cs="宋体"/>
                <w:color w:val="auto"/>
                <w:spacing w:val="3"/>
                <w:position w:val="1"/>
                <w:sz w:val="21"/>
                <w:szCs w:val="21"/>
              </w:rPr>
              <w:t>0</w:t>
            </w:r>
            <w:r>
              <w:rPr>
                <w:rFonts w:ascii="宋体" w:hAnsi="宋体" w:eastAsia="宋体" w:cs="宋体"/>
                <w:color w:val="auto"/>
                <w:spacing w:val="2"/>
                <w:position w:val="1"/>
                <w:sz w:val="21"/>
                <w:szCs w:val="21"/>
              </w:rPr>
              <w:t>.7%</w:t>
            </w:r>
          </w:p>
        </w:tc>
      </w:tr>
      <w:tr w14:paraId="1F439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69B194DF">
            <w:pPr>
              <w:spacing w:before="32" w:line="229" w:lineRule="auto"/>
              <w:ind w:left="120"/>
              <w:jc w:val="left"/>
              <w:rPr>
                <w:rFonts w:ascii="宋体" w:hAnsi="宋体" w:eastAsia="宋体" w:cs="宋体"/>
                <w:color w:val="auto"/>
                <w:sz w:val="21"/>
                <w:szCs w:val="21"/>
              </w:rPr>
            </w:pPr>
            <w:r>
              <w:rPr>
                <w:rFonts w:ascii="宋体" w:hAnsi="宋体" w:eastAsia="宋体" w:cs="宋体"/>
                <w:color w:val="auto"/>
                <w:spacing w:val="11"/>
                <w:sz w:val="21"/>
                <w:szCs w:val="21"/>
              </w:rPr>
              <w:t>5</w:t>
            </w:r>
            <w:r>
              <w:rPr>
                <w:rFonts w:ascii="宋体" w:hAnsi="宋体" w:eastAsia="宋体" w:cs="宋体"/>
                <w:color w:val="auto"/>
                <w:spacing w:val="9"/>
                <w:sz w:val="21"/>
                <w:szCs w:val="21"/>
              </w:rPr>
              <w:t>00</w:t>
            </w:r>
            <w:r>
              <w:rPr>
                <w:rFonts w:hint="eastAsia" w:ascii="宋体" w:hAnsi="宋体" w:cs="宋体"/>
                <w:color w:val="auto"/>
                <w:spacing w:val="8"/>
                <w:sz w:val="21"/>
                <w:szCs w:val="21"/>
                <w:lang w:eastAsia="zh-CN"/>
              </w:rPr>
              <w:t>～</w:t>
            </w:r>
            <w:r>
              <w:rPr>
                <w:rFonts w:ascii="宋体" w:hAnsi="宋体" w:eastAsia="宋体" w:cs="宋体"/>
                <w:color w:val="auto"/>
                <w:spacing w:val="9"/>
                <w:sz w:val="21"/>
                <w:szCs w:val="21"/>
              </w:rPr>
              <w:t>1000 万元</w:t>
            </w:r>
          </w:p>
        </w:tc>
        <w:tc>
          <w:tcPr>
            <w:tcW w:w="1579" w:type="dxa"/>
            <w:vAlign w:val="center"/>
          </w:tcPr>
          <w:p w14:paraId="7ED4FE52">
            <w:pPr>
              <w:spacing w:before="32" w:line="269" w:lineRule="exact"/>
              <w:ind w:left="325"/>
              <w:jc w:val="center"/>
              <w:rPr>
                <w:rFonts w:ascii="宋体" w:hAnsi="宋体" w:eastAsia="宋体" w:cs="宋体"/>
                <w:color w:val="auto"/>
                <w:sz w:val="21"/>
                <w:szCs w:val="21"/>
              </w:rPr>
            </w:pPr>
            <w:r>
              <w:rPr>
                <w:rFonts w:ascii="宋体" w:hAnsi="宋体" w:eastAsia="宋体" w:cs="宋体"/>
                <w:color w:val="auto"/>
                <w:spacing w:val="3"/>
                <w:position w:val="1"/>
                <w:sz w:val="21"/>
                <w:szCs w:val="21"/>
              </w:rPr>
              <w:t>0.8</w:t>
            </w:r>
            <w:r>
              <w:rPr>
                <w:rFonts w:ascii="宋体" w:hAnsi="宋体" w:eastAsia="宋体" w:cs="宋体"/>
                <w:color w:val="auto"/>
                <w:spacing w:val="2"/>
                <w:position w:val="1"/>
                <w:sz w:val="21"/>
                <w:szCs w:val="21"/>
              </w:rPr>
              <w:t>%</w:t>
            </w:r>
          </w:p>
        </w:tc>
        <w:tc>
          <w:tcPr>
            <w:tcW w:w="1579" w:type="dxa"/>
            <w:vAlign w:val="center"/>
          </w:tcPr>
          <w:p w14:paraId="1F0E6AD8">
            <w:pPr>
              <w:spacing w:before="32" w:line="269" w:lineRule="exact"/>
              <w:ind w:left="326"/>
              <w:jc w:val="center"/>
              <w:rPr>
                <w:rFonts w:ascii="宋体" w:hAnsi="宋体" w:eastAsia="宋体" w:cs="宋体"/>
                <w:color w:val="auto"/>
                <w:sz w:val="21"/>
                <w:szCs w:val="21"/>
              </w:rPr>
            </w:pPr>
            <w:r>
              <w:rPr>
                <w:rFonts w:ascii="宋体" w:hAnsi="宋体" w:eastAsia="宋体" w:cs="宋体"/>
                <w:color w:val="auto"/>
                <w:spacing w:val="3"/>
                <w:position w:val="1"/>
                <w:sz w:val="21"/>
                <w:szCs w:val="21"/>
              </w:rPr>
              <w:t>0.45</w:t>
            </w:r>
            <w:r>
              <w:rPr>
                <w:rFonts w:ascii="宋体" w:hAnsi="宋体" w:eastAsia="宋体" w:cs="宋体"/>
                <w:color w:val="auto"/>
                <w:spacing w:val="2"/>
                <w:position w:val="1"/>
                <w:sz w:val="21"/>
                <w:szCs w:val="21"/>
              </w:rPr>
              <w:t>%</w:t>
            </w:r>
          </w:p>
        </w:tc>
        <w:tc>
          <w:tcPr>
            <w:tcW w:w="1581" w:type="dxa"/>
            <w:vAlign w:val="center"/>
          </w:tcPr>
          <w:p w14:paraId="1CB449D9">
            <w:pPr>
              <w:spacing w:before="32" w:line="269" w:lineRule="exact"/>
              <w:ind w:left="328"/>
              <w:jc w:val="center"/>
              <w:rPr>
                <w:rFonts w:ascii="宋体" w:hAnsi="宋体" w:eastAsia="宋体" w:cs="宋体"/>
                <w:color w:val="auto"/>
                <w:sz w:val="21"/>
                <w:szCs w:val="21"/>
              </w:rPr>
            </w:pPr>
            <w:r>
              <w:rPr>
                <w:rFonts w:ascii="宋体" w:hAnsi="宋体" w:eastAsia="宋体" w:cs="宋体"/>
                <w:color w:val="auto"/>
                <w:spacing w:val="3"/>
                <w:position w:val="1"/>
                <w:sz w:val="21"/>
                <w:szCs w:val="21"/>
              </w:rPr>
              <w:t>0.55</w:t>
            </w:r>
            <w:r>
              <w:rPr>
                <w:rFonts w:ascii="宋体" w:hAnsi="宋体" w:eastAsia="宋体" w:cs="宋体"/>
                <w:color w:val="auto"/>
                <w:spacing w:val="2"/>
                <w:position w:val="1"/>
                <w:sz w:val="21"/>
                <w:szCs w:val="21"/>
              </w:rPr>
              <w:t>%</w:t>
            </w:r>
          </w:p>
        </w:tc>
      </w:tr>
      <w:tr w14:paraId="6B155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48A39D6A">
            <w:pPr>
              <w:spacing w:before="32" w:line="229" w:lineRule="auto"/>
              <w:ind w:left="131"/>
              <w:jc w:val="left"/>
              <w:rPr>
                <w:rFonts w:ascii="宋体" w:hAnsi="宋体" w:eastAsia="宋体" w:cs="宋体"/>
                <w:color w:val="auto"/>
                <w:sz w:val="21"/>
                <w:szCs w:val="21"/>
              </w:rPr>
            </w:pPr>
            <w:r>
              <w:rPr>
                <w:rFonts w:ascii="宋体" w:hAnsi="宋体" w:eastAsia="宋体" w:cs="宋体"/>
                <w:color w:val="auto"/>
                <w:spacing w:val="8"/>
                <w:sz w:val="21"/>
                <w:szCs w:val="21"/>
              </w:rPr>
              <w:t>1000</w:t>
            </w:r>
            <w:r>
              <w:rPr>
                <w:rFonts w:hint="eastAsia" w:ascii="宋体" w:hAnsi="宋体" w:cs="宋体"/>
                <w:color w:val="auto"/>
                <w:spacing w:val="8"/>
                <w:sz w:val="21"/>
                <w:szCs w:val="21"/>
                <w:lang w:eastAsia="zh-CN"/>
              </w:rPr>
              <w:t>～</w:t>
            </w:r>
            <w:r>
              <w:rPr>
                <w:rFonts w:ascii="宋体" w:hAnsi="宋体" w:eastAsia="宋体" w:cs="宋体"/>
                <w:color w:val="auto"/>
                <w:spacing w:val="8"/>
                <w:sz w:val="21"/>
                <w:szCs w:val="21"/>
              </w:rPr>
              <w:t>5000万</w:t>
            </w:r>
            <w:r>
              <w:rPr>
                <w:rFonts w:ascii="宋体" w:hAnsi="宋体" w:eastAsia="宋体" w:cs="宋体"/>
                <w:color w:val="auto"/>
                <w:spacing w:val="7"/>
                <w:sz w:val="21"/>
                <w:szCs w:val="21"/>
              </w:rPr>
              <w:t>元</w:t>
            </w:r>
          </w:p>
        </w:tc>
        <w:tc>
          <w:tcPr>
            <w:tcW w:w="1579" w:type="dxa"/>
            <w:vAlign w:val="center"/>
          </w:tcPr>
          <w:p w14:paraId="38BB7167">
            <w:pPr>
              <w:spacing w:before="32" w:line="269" w:lineRule="exact"/>
              <w:ind w:left="325"/>
              <w:jc w:val="center"/>
              <w:rPr>
                <w:rFonts w:ascii="宋体" w:hAnsi="宋体" w:eastAsia="宋体" w:cs="宋体"/>
                <w:color w:val="auto"/>
                <w:sz w:val="21"/>
                <w:szCs w:val="21"/>
              </w:rPr>
            </w:pPr>
            <w:r>
              <w:rPr>
                <w:rFonts w:ascii="宋体" w:hAnsi="宋体" w:eastAsia="宋体" w:cs="宋体"/>
                <w:color w:val="auto"/>
                <w:spacing w:val="3"/>
                <w:position w:val="1"/>
                <w:sz w:val="21"/>
                <w:szCs w:val="21"/>
              </w:rPr>
              <w:t>0.5</w:t>
            </w:r>
            <w:r>
              <w:rPr>
                <w:rFonts w:ascii="宋体" w:hAnsi="宋体" w:eastAsia="宋体" w:cs="宋体"/>
                <w:color w:val="auto"/>
                <w:spacing w:val="2"/>
                <w:position w:val="1"/>
                <w:sz w:val="21"/>
                <w:szCs w:val="21"/>
              </w:rPr>
              <w:t>%</w:t>
            </w:r>
          </w:p>
        </w:tc>
        <w:tc>
          <w:tcPr>
            <w:tcW w:w="1579" w:type="dxa"/>
            <w:vAlign w:val="center"/>
          </w:tcPr>
          <w:p w14:paraId="38731AEC">
            <w:pPr>
              <w:spacing w:before="32" w:line="269" w:lineRule="exact"/>
              <w:ind w:left="326"/>
              <w:jc w:val="center"/>
              <w:rPr>
                <w:rFonts w:ascii="宋体" w:hAnsi="宋体" w:eastAsia="宋体" w:cs="宋体"/>
                <w:color w:val="auto"/>
                <w:sz w:val="21"/>
                <w:szCs w:val="21"/>
              </w:rPr>
            </w:pPr>
            <w:r>
              <w:rPr>
                <w:rFonts w:ascii="宋体" w:hAnsi="宋体" w:eastAsia="宋体" w:cs="宋体"/>
                <w:color w:val="auto"/>
                <w:spacing w:val="3"/>
                <w:position w:val="1"/>
                <w:sz w:val="21"/>
                <w:szCs w:val="21"/>
              </w:rPr>
              <w:t>0.25</w:t>
            </w:r>
            <w:r>
              <w:rPr>
                <w:rFonts w:ascii="宋体" w:hAnsi="宋体" w:eastAsia="宋体" w:cs="宋体"/>
                <w:color w:val="auto"/>
                <w:spacing w:val="2"/>
                <w:position w:val="1"/>
                <w:sz w:val="21"/>
                <w:szCs w:val="21"/>
              </w:rPr>
              <w:t>%</w:t>
            </w:r>
          </w:p>
        </w:tc>
        <w:tc>
          <w:tcPr>
            <w:tcW w:w="1581" w:type="dxa"/>
            <w:vAlign w:val="center"/>
          </w:tcPr>
          <w:p w14:paraId="1E4BC1E0">
            <w:pPr>
              <w:spacing w:before="32" w:line="269" w:lineRule="exact"/>
              <w:ind w:left="328"/>
              <w:jc w:val="center"/>
              <w:rPr>
                <w:rFonts w:ascii="宋体" w:hAnsi="宋体" w:eastAsia="宋体" w:cs="宋体"/>
                <w:color w:val="auto"/>
                <w:sz w:val="21"/>
                <w:szCs w:val="21"/>
              </w:rPr>
            </w:pPr>
            <w:r>
              <w:rPr>
                <w:rFonts w:ascii="宋体" w:hAnsi="宋体" w:eastAsia="宋体" w:cs="宋体"/>
                <w:color w:val="auto"/>
                <w:spacing w:val="3"/>
                <w:position w:val="1"/>
                <w:sz w:val="21"/>
                <w:szCs w:val="21"/>
              </w:rPr>
              <w:t>0.35</w:t>
            </w:r>
            <w:r>
              <w:rPr>
                <w:rFonts w:ascii="宋体" w:hAnsi="宋体" w:eastAsia="宋体" w:cs="宋体"/>
                <w:color w:val="auto"/>
                <w:spacing w:val="2"/>
                <w:position w:val="1"/>
                <w:sz w:val="21"/>
                <w:szCs w:val="21"/>
              </w:rPr>
              <w:t>%</w:t>
            </w:r>
          </w:p>
        </w:tc>
      </w:tr>
      <w:tr w14:paraId="4F91B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3E2A057F">
            <w:pPr>
              <w:spacing w:before="34" w:line="229" w:lineRule="auto"/>
              <w:ind w:left="120"/>
              <w:jc w:val="left"/>
              <w:rPr>
                <w:rFonts w:ascii="宋体" w:hAnsi="宋体" w:eastAsia="宋体" w:cs="宋体"/>
                <w:color w:val="auto"/>
                <w:sz w:val="21"/>
                <w:szCs w:val="21"/>
              </w:rPr>
            </w:pPr>
            <w:r>
              <w:rPr>
                <w:rFonts w:ascii="宋体" w:hAnsi="宋体" w:eastAsia="宋体" w:cs="宋体"/>
                <w:color w:val="auto"/>
                <w:spacing w:val="10"/>
                <w:sz w:val="21"/>
                <w:szCs w:val="21"/>
              </w:rPr>
              <w:t>5</w:t>
            </w:r>
            <w:r>
              <w:rPr>
                <w:rFonts w:ascii="宋体" w:hAnsi="宋体" w:eastAsia="宋体" w:cs="宋体"/>
                <w:color w:val="auto"/>
                <w:spacing w:val="5"/>
                <w:sz w:val="21"/>
                <w:szCs w:val="21"/>
              </w:rPr>
              <w:t>000万元</w:t>
            </w:r>
            <w:r>
              <w:rPr>
                <w:rFonts w:hint="eastAsia" w:ascii="宋体" w:hAnsi="宋体" w:cs="宋体"/>
                <w:color w:val="auto"/>
                <w:spacing w:val="8"/>
                <w:sz w:val="21"/>
                <w:szCs w:val="21"/>
                <w:lang w:eastAsia="zh-CN"/>
              </w:rPr>
              <w:t>～</w:t>
            </w:r>
            <w:r>
              <w:rPr>
                <w:rFonts w:ascii="宋体" w:hAnsi="宋体" w:eastAsia="宋体" w:cs="宋体"/>
                <w:color w:val="auto"/>
                <w:spacing w:val="5"/>
                <w:sz w:val="21"/>
                <w:szCs w:val="21"/>
              </w:rPr>
              <w:t>1亿元</w:t>
            </w:r>
          </w:p>
        </w:tc>
        <w:tc>
          <w:tcPr>
            <w:tcW w:w="1579" w:type="dxa"/>
            <w:vAlign w:val="center"/>
          </w:tcPr>
          <w:p w14:paraId="58635949">
            <w:pPr>
              <w:spacing w:before="34" w:line="269" w:lineRule="exact"/>
              <w:ind w:left="325"/>
              <w:jc w:val="center"/>
              <w:rPr>
                <w:rFonts w:ascii="宋体" w:hAnsi="宋体" w:eastAsia="宋体" w:cs="宋体"/>
                <w:color w:val="auto"/>
                <w:sz w:val="21"/>
                <w:szCs w:val="21"/>
              </w:rPr>
            </w:pPr>
            <w:r>
              <w:rPr>
                <w:rFonts w:ascii="宋体" w:hAnsi="宋体" w:eastAsia="宋体" w:cs="宋体"/>
                <w:color w:val="auto"/>
                <w:spacing w:val="3"/>
                <w:position w:val="1"/>
                <w:sz w:val="21"/>
                <w:szCs w:val="21"/>
              </w:rPr>
              <w:t>0.25</w:t>
            </w:r>
            <w:r>
              <w:rPr>
                <w:rFonts w:ascii="宋体" w:hAnsi="宋体" w:eastAsia="宋体" w:cs="宋体"/>
                <w:color w:val="auto"/>
                <w:spacing w:val="2"/>
                <w:position w:val="1"/>
                <w:sz w:val="21"/>
                <w:szCs w:val="21"/>
              </w:rPr>
              <w:t>%</w:t>
            </w:r>
          </w:p>
        </w:tc>
        <w:tc>
          <w:tcPr>
            <w:tcW w:w="1579" w:type="dxa"/>
            <w:vAlign w:val="center"/>
          </w:tcPr>
          <w:p w14:paraId="50E3B33B">
            <w:pPr>
              <w:spacing w:before="34" w:line="269" w:lineRule="exact"/>
              <w:ind w:left="326"/>
              <w:jc w:val="center"/>
              <w:rPr>
                <w:rFonts w:ascii="宋体" w:hAnsi="宋体" w:eastAsia="宋体" w:cs="宋体"/>
                <w:color w:val="auto"/>
                <w:sz w:val="21"/>
                <w:szCs w:val="21"/>
              </w:rPr>
            </w:pPr>
            <w:r>
              <w:rPr>
                <w:rFonts w:ascii="宋体" w:hAnsi="宋体" w:eastAsia="宋体" w:cs="宋体"/>
                <w:color w:val="auto"/>
                <w:spacing w:val="3"/>
                <w:position w:val="1"/>
                <w:sz w:val="21"/>
                <w:szCs w:val="21"/>
              </w:rPr>
              <w:t>0.1</w:t>
            </w:r>
            <w:r>
              <w:rPr>
                <w:rFonts w:ascii="宋体" w:hAnsi="宋体" w:eastAsia="宋体" w:cs="宋体"/>
                <w:color w:val="auto"/>
                <w:spacing w:val="2"/>
                <w:position w:val="1"/>
                <w:sz w:val="21"/>
                <w:szCs w:val="21"/>
              </w:rPr>
              <w:t>%</w:t>
            </w:r>
          </w:p>
        </w:tc>
        <w:tc>
          <w:tcPr>
            <w:tcW w:w="1581" w:type="dxa"/>
            <w:vAlign w:val="center"/>
          </w:tcPr>
          <w:p w14:paraId="391D08FD">
            <w:pPr>
              <w:spacing w:before="34" w:line="269" w:lineRule="exact"/>
              <w:ind w:left="328"/>
              <w:jc w:val="center"/>
              <w:rPr>
                <w:rFonts w:ascii="宋体" w:hAnsi="宋体" w:eastAsia="宋体" w:cs="宋体"/>
                <w:color w:val="auto"/>
                <w:sz w:val="21"/>
                <w:szCs w:val="21"/>
              </w:rPr>
            </w:pPr>
            <w:r>
              <w:rPr>
                <w:rFonts w:ascii="宋体" w:hAnsi="宋体" w:eastAsia="宋体" w:cs="宋体"/>
                <w:color w:val="auto"/>
                <w:spacing w:val="3"/>
                <w:position w:val="1"/>
                <w:sz w:val="21"/>
                <w:szCs w:val="21"/>
              </w:rPr>
              <w:t>0</w:t>
            </w:r>
            <w:r>
              <w:rPr>
                <w:rFonts w:ascii="宋体" w:hAnsi="宋体" w:eastAsia="宋体" w:cs="宋体"/>
                <w:color w:val="auto"/>
                <w:spacing w:val="2"/>
                <w:position w:val="1"/>
                <w:sz w:val="21"/>
                <w:szCs w:val="21"/>
              </w:rPr>
              <w:t>.2%</w:t>
            </w:r>
          </w:p>
        </w:tc>
      </w:tr>
      <w:tr w14:paraId="6C3FB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3474" w:type="dxa"/>
            <w:vAlign w:val="center"/>
          </w:tcPr>
          <w:p w14:paraId="13679B8C">
            <w:pPr>
              <w:spacing w:before="33" w:line="229" w:lineRule="auto"/>
              <w:ind w:left="131"/>
              <w:jc w:val="left"/>
              <w:rPr>
                <w:rFonts w:ascii="宋体" w:hAnsi="宋体" w:eastAsia="宋体" w:cs="宋体"/>
                <w:color w:val="auto"/>
                <w:sz w:val="21"/>
                <w:szCs w:val="21"/>
              </w:rPr>
            </w:pPr>
            <w:r>
              <w:rPr>
                <w:rFonts w:ascii="宋体" w:hAnsi="宋体" w:eastAsia="宋体" w:cs="宋体"/>
                <w:color w:val="auto"/>
                <w:spacing w:val="14"/>
                <w:sz w:val="21"/>
                <w:szCs w:val="21"/>
              </w:rPr>
              <w:t>1</w:t>
            </w:r>
            <w:r>
              <w:rPr>
                <w:rFonts w:hint="eastAsia" w:ascii="宋体" w:hAnsi="宋体" w:cs="宋体"/>
                <w:color w:val="auto"/>
                <w:spacing w:val="8"/>
                <w:sz w:val="21"/>
                <w:szCs w:val="21"/>
                <w:lang w:eastAsia="zh-CN"/>
              </w:rPr>
              <w:t>～</w:t>
            </w:r>
            <w:r>
              <w:rPr>
                <w:rFonts w:ascii="宋体" w:hAnsi="宋体" w:eastAsia="宋体" w:cs="宋体"/>
                <w:color w:val="auto"/>
                <w:spacing w:val="10"/>
                <w:sz w:val="21"/>
                <w:szCs w:val="21"/>
              </w:rPr>
              <w:t>5亿元</w:t>
            </w:r>
          </w:p>
        </w:tc>
        <w:tc>
          <w:tcPr>
            <w:tcW w:w="1579" w:type="dxa"/>
            <w:vAlign w:val="center"/>
          </w:tcPr>
          <w:p w14:paraId="4AF11E0E">
            <w:pPr>
              <w:spacing w:before="33" w:line="270" w:lineRule="exact"/>
              <w:ind w:left="325"/>
              <w:jc w:val="center"/>
              <w:rPr>
                <w:rFonts w:ascii="宋体" w:hAnsi="宋体" w:eastAsia="宋体" w:cs="宋体"/>
                <w:color w:val="auto"/>
                <w:sz w:val="21"/>
                <w:szCs w:val="21"/>
              </w:rPr>
            </w:pPr>
            <w:r>
              <w:rPr>
                <w:rFonts w:ascii="宋体" w:hAnsi="宋体" w:eastAsia="宋体" w:cs="宋体"/>
                <w:color w:val="auto"/>
                <w:spacing w:val="3"/>
                <w:position w:val="1"/>
                <w:sz w:val="21"/>
                <w:szCs w:val="21"/>
              </w:rPr>
              <w:t>0.05</w:t>
            </w:r>
            <w:r>
              <w:rPr>
                <w:rFonts w:ascii="宋体" w:hAnsi="宋体" w:eastAsia="宋体" w:cs="宋体"/>
                <w:color w:val="auto"/>
                <w:spacing w:val="2"/>
                <w:position w:val="1"/>
                <w:sz w:val="21"/>
                <w:szCs w:val="21"/>
              </w:rPr>
              <w:t>%</w:t>
            </w:r>
          </w:p>
        </w:tc>
        <w:tc>
          <w:tcPr>
            <w:tcW w:w="1579" w:type="dxa"/>
            <w:vAlign w:val="center"/>
          </w:tcPr>
          <w:p w14:paraId="29BF9CD9">
            <w:pPr>
              <w:spacing w:before="33" w:line="270" w:lineRule="exact"/>
              <w:ind w:left="326"/>
              <w:jc w:val="center"/>
              <w:rPr>
                <w:rFonts w:ascii="宋体" w:hAnsi="宋体" w:eastAsia="宋体" w:cs="宋体"/>
                <w:color w:val="auto"/>
                <w:sz w:val="21"/>
                <w:szCs w:val="21"/>
              </w:rPr>
            </w:pPr>
            <w:r>
              <w:rPr>
                <w:rFonts w:ascii="宋体" w:hAnsi="宋体" w:eastAsia="宋体" w:cs="宋体"/>
                <w:color w:val="auto"/>
                <w:spacing w:val="3"/>
                <w:position w:val="1"/>
                <w:sz w:val="21"/>
                <w:szCs w:val="21"/>
              </w:rPr>
              <w:t>0.05</w:t>
            </w:r>
            <w:r>
              <w:rPr>
                <w:rFonts w:ascii="宋体" w:hAnsi="宋体" w:eastAsia="宋体" w:cs="宋体"/>
                <w:color w:val="auto"/>
                <w:spacing w:val="2"/>
                <w:position w:val="1"/>
                <w:sz w:val="21"/>
                <w:szCs w:val="21"/>
              </w:rPr>
              <w:t>%</w:t>
            </w:r>
          </w:p>
        </w:tc>
        <w:tc>
          <w:tcPr>
            <w:tcW w:w="1581" w:type="dxa"/>
            <w:vAlign w:val="center"/>
          </w:tcPr>
          <w:p w14:paraId="4A8C5F5B">
            <w:pPr>
              <w:spacing w:before="33" w:line="270" w:lineRule="exact"/>
              <w:ind w:left="328"/>
              <w:jc w:val="center"/>
              <w:rPr>
                <w:rFonts w:ascii="宋体" w:hAnsi="宋体" w:eastAsia="宋体" w:cs="宋体"/>
                <w:color w:val="auto"/>
                <w:sz w:val="21"/>
                <w:szCs w:val="21"/>
              </w:rPr>
            </w:pPr>
            <w:r>
              <w:rPr>
                <w:rFonts w:ascii="宋体" w:hAnsi="宋体" w:eastAsia="宋体" w:cs="宋体"/>
                <w:color w:val="auto"/>
                <w:spacing w:val="3"/>
                <w:position w:val="1"/>
                <w:sz w:val="21"/>
                <w:szCs w:val="21"/>
              </w:rPr>
              <w:t>0.05</w:t>
            </w:r>
            <w:r>
              <w:rPr>
                <w:rFonts w:ascii="宋体" w:hAnsi="宋体" w:eastAsia="宋体" w:cs="宋体"/>
                <w:color w:val="auto"/>
                <w:spacing w:val="2"/>
                <w:position w:val="1"/>
                <w:sz w:val="21"/>
                <w:szCs w:val="21"/>
              </w:rPr>
              <w:t>%</w:t>
            </w:r>
          </w:p>
        </w:tc>
      </w:tr>
      <w:tr w14:paraId="4FE91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3474" w:type="dxa"/>
            <w:vAlign w:val="center"/>
          </w:tcPr>
          <w:p w14:paraId="7EDB29A2">
            <w:pPr>
              <w:spacing w:before="36" w:line="229" w:lineRule="auto"/>
              <w:ind w:left="120"/>
              <w:jc w:val="left"/>
              <w:rPr>
                <w:rFonts w:ascii="宋体" w:hAnsi="宋体" w:eastAsia="宋体" w:cs="宋体"/>
                <w:color w:val="auto"/>
                <w:sz w:val="21"/>
                <w:szCs w:val="21"/>
              </w:rPr>
            </w:pPr>
            <w:r>
              <w:rPr>
                <w:rFonts w:ascii="宋体" w:hAnsi="宋体" w:eastAsia="宋体" w:cs="宋体"/>
                <w:color w:val="auto"/>
                <w:spacing w:val="15"/>
                <w:sz w:val="21"/>
                <w:szCs w:val="21"/>
              </w:rPr>
              <w:t>5</w:t>
            </w:r>
            <w:r>
              <w:rPr>
                <w:rFonts w:hint="eastAsia" w:ascii="宋体" w:hAnsi="宋体" w:cs="宋体"/>
                <w:color w:val="auto"/>
                <w:spacing w:val="8"/>
                <w:sz w:val="21"/>
                <w:szCs w:val="21"/>
                <w:lang w:eastAsia="zh-CN"/>
              </w:rPr>
              <w:t>～</w:t>
            </w:r>
            <w:r>
              <w:rPr>
                <w:rFonts w:ascii="宋体" w:hAnsi="宋体" w:eastAsia="宋体" w:cs="宋体"/>
                <w:color w:val="auto"/>
                <w:spacing w:val="11"/>
                <w:sz w:val="21"/>
                <w:szCs w:val="21"/>
              </w:rPr>
              <w:t>10亿元</w:t>
            </w:r>
          </w:p>
        </w:tc>
        <w:tc>
          <w:tcPr>
            <w:tcW w:w="1579" w:type="dxa"/>
            <w:vAlign w:val="center"/>
          </w:tcPr>
          <w:p w14:paraId="675A5480">
            <w:pPr>
              <w:spacing w:before="36" w:line="270" w:lineRule="exact"/>
              <w:ind w:left="220"/>
              <w:jc w:val="center"/>
              <w:rPr>
                <w:rFonts w:ascii="宋体" w:hAnsi="宋体" w:eastAsia="宋体" w:cs="宋体"/>
                <w:color w:val="auto"/>
                <w:sz w:val="21"/>
                <w:szCs w:val="21"/>
              </w:rPr>
            </w:pPr>
            <w:r>
              <w:rPr>
                <w:rFonts w:ascii="宋体" w:hAnsi="宋体" w:eastAsia="宋体" w:cs="宋体"/>
                <w:color w:val="auto"/>
                <w:spacing w:val="5"/>
                <w:position w:val="1"/>
                <w:sz w:val="21"/>
                <w:szCs w:val="21"/>
              </w:rPr>
              <w:t>0</w:t>
            </w:r>
            <w:r>
              <w:rPr>
                <w:rFonts w:ascii="宋体" w:hAnsi="宋体" w:eastAsia="宋体" w:cs="宋体"/>
                <w:color w:val="auto"/>
                <w:spacing w:val="3"/>
                <w:position w:val="1"/>
                <w:sz w:val="21"/>
                <w:szCs w:val="21"/>
              </w:rPr>
              <w:t>.035%</w:t>
            </w:r>
          </w:p>
        </w:tc>
        <w:tc>
          <w:tcPr>
            <w:tcW w:w="1579" w:type="dxa"/>
            <w:vAlign w:val="center"/>
          </w:tcPr>
          <w:p w14:paraId="24530B83">
            <w:pPr>
              <w:spacing w:before="36" w:line="270" w:lineRule="exact"/>
              <w:ind w:left="326"/>
              <w:jc w:val="center"/>
              <w:rPr>
                <w:rFonts w:ascii="宋体" w:hAnsi="宋体" w:eastAsia="宋体" w:cs="宋体"/>
                <w:color w:val="auto"/>
                <w:sz w:val="21"/>
                <w:szCs w:val="21"/>
              </w:rPr>
            </w:pPr>
            <w:r>
              <w:rPr>
                <w:rFonts w:ascii="宋体" w:hAnsi="宋体" w:eastAsia="宋体" w:cs="宋体"/>
                <w:color w:val="auto"/>
                <w:spacing w:val="5"/>
                <w:position w:val="1"/>
                <w:sz w:val="21"/>
                <w:szCs w:val="21"/>
              </w:rPr>
              <w:t>0</w:t>
            </w:r>
            <w:r>
              <w:rPr>
                <w:rFonts w:ascii="宋体" w:hAnsi="宋体" w:eastAsia="宋体" w:cs="宋体"/>
                <w:color w:val="auto"/>
                <w:spacing w:val="3"/>
                <w:position w:val="1"/>
                <w:sz w:val="21"/>
                <w:szCs w:val="21"/>
              </w:rPr>
              <w:t>.035%</w:t>
            </w:r>
          </w:p>
        </w:tc>
        <w:tc>
          <w:tcPr>
            <w:tcW w:w="1581" w:type="dxa"/>
            <w:vAlign w:val="center"/>
          </w:tcPr>
          <w:p w14:paraId="6FCE7E27">
            <w:pPr>
              <w:spacing w:before="36" w:line="270" w:lineRule="exact"/>
              <w:ind w:left="223"/>
              <w:jc w:val="center"/>
              <w:rPr>
                <w:rFonts w:ascii="宋体" w:hAnsi="宋体" w:eastAsia="宋体" w:cs="宋体"/>
                <w:color w:val="auto"/>
                <w:sz w:val="21"/>
                <w:szCs w:val="21"/>
              </w:rPr>
            </w:pPr>
            <w:r>
              <w:rPr>
                <w:rFonts w:ascii="宋体" w:hAnsi="宋体" w:eastAsia="宋体" w:cs="宋体"/>
                <w:color w:val="auto"/>
                <w:spacing w:val="5"/>
                <w:position w:val="1"/>
                <w:sz w:val="21"/>
                <w:szCs w:val="21"/>
              </w:rPr>
              <w:t>0</w:t>
            </w:r>
            <w:r>
              <w:rPr>
                <w:rFonts w:ascii="宋体" w:hAnsi="宋体" w:eastAsia="宋体" w:cs="宋体"/>
                <w:color w:val="auto"/>
                <w:spacing w:val="3"/>
                <w:position w:val="1"/>
                <w:sz w:val="21"/>
                <w:szCs w:val="21"/>
              </w:rPr>
              <w:t>.035%</w:t>
            </w:r>
          </w:p>
        </w:tc>
      </w:tr>
    </w:tbl>
    <w:p w14:paraId="65CDDB7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注：招标代理服务收费按差额定率累进法计算。</w:t>
      </w:r>
    </w:p>
    <w:p w14:paraId="5B5604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24.2.解释权</w:t>
      </w:r>
    </w:p>
    <w:p w14:paraId="0778507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解释权属本采购代理机构。</w:t>
      </w:r>
    </w:p>
    <w:p w14:paraId="7251B70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 询问、质疑和投诉</w:t>
      </w:r>
    </w:p>
    <w:p w14:paraId="1A88793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24.3.1 供应商对政府采购活动事项有疑问的，可以向采购人、采购代理机构提出询问，采购人或者采购代理机构应当在 3个工作日内对供应商依法提出的询问作出答复。</w:t>
      </w:r>
    </w:p>
    <w:p w14:paraId="1A276D4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24.3.2 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 附表”。具体质疑起算时间如下：</w:t>
      </w:r>
    </w:p>
    <w:p w14:paraId="6527DF6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 对可以质疑的竞争性磋商文件提出质疑的，为收到竞争性磋商文件之日或竞争性磋商公告期限届满之日；</w:t>
      </w:r>
    </w:p>
    <w:p w14:paraId="15B59F6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 对采购过程提出质疑的，为各采购程序环节结束之日；</w:t>
      </w:r>
    </w:p>
    <w:p w14:paraId="4B19068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 对成交结果提出质疑的，为成交结果公告期限届满之日。</w:t>
      </w:r>
    </w:p>
    <w:p w14:paraId="224C15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供应商对采购人或采购代理机构的质疑答复不满意或者采购人或采购代理机构未在规定时间内作出答复的，可以在答复期满后十五个工作日内向同级采购监管部门投诉。</w:t>
      </w:r>
    </w:p>
    <w:p w14:paraId="7F5C41E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24.3.3 供应商提出的询问或者质疑超出采购人对采购代理机构委托授权范围的，采购代理机构应当告知供应商向采购人提出。政府采购评审专家应当配合采购人或者采购代理机构答复供应商的询问和质疑。</w:t>
      </w:r>
    </w:p>
    <w:p w14:paraId="2B27D82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24.3.4 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461C89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供应商提出质疑应当提交质疑函和必要的证明材料，针对同一采购程序环节的质疑必须在法定质疑期内一次性提出。质疑函应当包括下列内容：</w:t>
      </w:r>
    </w:p>
    <w:p w14:paraId="1A3EA8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 供应商的姓名或者名称、地址、邮编、联系人及联系电话；</w:t>
      </w:r>
    </w:p>
    <w:p w14:paraId="6BC6764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 质疑项目的名称、编号；</w:t>
      </w:r>
    </w:p>
    <w:p w14:paraId="4D4C7C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 具体、明确的质疑事项和与质疑事项相关的请求；</w:t>
      </w:r>
    </w:p>
    <w:p w14:paraId="3BE7381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(4) 事实依据；</w:t>
      </w:r>
    </w:p>
    <w:p w14:paraId="58FA69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(5) 必要的法律依据；</w:t>
      </w:r>
    </w:p>
    <w:p w14:paraId="267994E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(6) 提出质疑的日期。</w:t>
      </w:r>
    </w:p>
    <w:p w14:paraId="528BD36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供应商为自然人的，应当由本人签字；供应商为法人或者其他组织的，应当由法定代表人、主要负责人，或者其委托代理人签字或者盖章，并加盖公章。</w:t>
      </w:r>
    </w:p>
    <w:p w14:paraId="4C506D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24.3.5 采购人、采购代理机构认为供应商质疑不成立，或者成立但未对成交结果构成影响的，继续开展采购活动；认为供应商质疑成立且影响或者可能影响成交结果的，按照下列情况处理：</w:t>
      </w:r>
    </w:p>
    <w:p w14:paraId="55188E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 对竞争性磋商文件提出的质疑，依法通过澄清或者修改可以继续开展采购活动的，澄清或者修改竞争性磋商文件后继续开展采购活动；否则应当在修改竞争性磋商文件后重新开展采购活动。</w:t>
      </w:r>
    </w:p>
    <w:p w14:paraId="25EFA2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 对采购过程、成交结果提出的质疑，合格供应商符合法定数量时，可以从合格的成交候选人中另行确定成交供应商的，应当依法另行确定成交供应商；否则应当重新开展采购活动。</w:t>
      </w:r>
    </w:p>
    <w:p w14:paraId="2A7A62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质疑答复导致成交结果改变的，采购人或者采购代理机构应当将有关情况书面报告本级财政部门。</w:t>
      </w:r>
    </w:p>
    <w:p w14:paraId="252259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24.3.6 投诉的权利。质疑供应商对采购人、采购代理机构的答复不满意，或者采购人、采购代理机构未在规定时间内作出答复的，可以在答复期满后15个工作日内向《政府采购质疑和投诉办法》(财政部令第94号) 第六条规定的财政部门提起投诉。</w:t>
      </w:r>
    </w:p>
    <w:p w14:paraId="1B2458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所有与本磋商文件有关的函件请按下列通讯地址联系：</w:t>
      </w:r>
    </w:p>
    <w:p w14:paraId="43278A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b w:val="0"/>
          <w:bCs/>
          <w:color w:val="auto"/>
          <w:szCs w:val="21"/>
          <w:lang w:val="en-US" w:eastAsia="zh-CN"/>
        </w:rPr>
      </w:pPr>
      <w:r>
        <w:rPr>
          <w:rFonts w:hint="eastAsia" w:ascii="宋体" w:hAnsi="宋体" w:cs="宋体"/>
          <w:b w:val="0"/>
          <w:bCs/>
          <w:color w:val="auto"/>
          <w:szCs w:val="21"/>
        </w:rPr>
        <w:t>通讯地址：</w:t>
      </w:r>
      <w:r>
        <w:rPr>
          <w:rFonts w:hint="eastAsia" w:ascii="宋体" w:hAnsi="宋体" w:cs="宋体"/>
          <w:b w:val="0"/>
          <w:bCs/>
          <w:color w:val="auto"/>
          <w:szCs w:val="21"/>
          <w:lang w:eastAsia="zh-CN"/>
        </w:rPr>
        <w:t>钦州市</w:t>
      </w:r>
      <w:r>
        <w:rPr>
          <w:rFonts w:hint="eastAsia" w:ascii="宋体" w:hAnsi="宋体" w:cs="宋体"/>
          <w:b w:val="0"/>
          <w:bCs/>
          <w:color w:val="auto"/>
          <w:szCs w:val="21"/>
          <w:lang w:val="en-US" w:eastAsia="zh-CN"/>
        </w:rPr>
        <w:t>钦北区永福西大街25-6号二楼</w:t>
      </w:r>
    </w:p>
    <w:p w14:paraId="4D55AA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b w:val="0"/>
          <w:bCs/>
          <w:color w:val="auto"/>
          <w:szCs w:val="21"/>
          <w:lang w:val="en-US"/>
        </w:rPr>
      </w:pPr>
      <w:r>
        <w:rPr>
          <w:rFonts w:hint="eastAsia" w:ascii="宋体" w:hAnsi="宋体" w:cs="宋体"/>
          <w:b w:val="0"/>
          <w:bCs/>
          <w:color w:val="auto"/>
          <w:szCs w:val="21"/>
        </w:rPr>
        <w:t xml:space="preserve">电话： </w:t>
      </w:r>
      <w:r>
        <w:rPr>
          <w:rFonts w:hint="eastAsia" w:ascii="宋体" w:hAnsi="宋体" w:cs="宋体"/>
          <w:b w:val="0"/>
          <w:bCs/>
          <w:color w:val="auto"/>
          <w:szCs w:val="21"/>
          <w:lang w:eastAsia="zh-CN"/>
        </w:rPr>
        <w:t>0777-</w:t>
      </w:r>
      <w:r>
        <w:rPr>
          <w:rFonts w:hint="eastAsia" w:ascii="宋体" w:hAnsi="宋体" w:cs="宋体"/>
          <w:b w:val="0"/>
          <w:bCs/>
          <w:color w:val="auto"/>
          <w:szCs w:val="21"/>
          <w:lang w:val="en-US" w:eastAsia="zh-CN"/>
        </w:rPr>
        <w:t>3813938</w:t>
      </w:r>
    </w:p>
    <w:p w14:paraId="00B05E64">
      <w:pPr>
        <w:pStyle w:val="33"/>
        <w:ind w:firstLine="810"/>
        <w:rPr>
          <w:rFonts w:ascii="宋体" w:hAnsi="宋体" w:cs="宋体"/>
          <w:b/>
          <w:bCs w:val="0"/>
          <w:color w:val="auto"/>
          <w:kern w:val="2"/>
          <w:sz w:val="21"/>
          <w:szCs w:val="21"/>
        </w:rPr>
      </w:pPr>
    </w:p>
    <w:p w14:paraId="01B27AC7">
      <w:pPr>
        <w:pStyle w:val="33"/>
        <w:ind w:firstLine="810"/>
        <w:rPr>
          <w:rFonts w:ascii="宋体" w:hAnsi="宋体" w:cs="宋体"/>
          <w:b/>
          <w:bCs w:val="0"/>
          <w:color w:val="auto"/>
          <w:kern w:val="2"/>
          <w:sz w:val="21"/>
          <w:szCs w:val="21"/>
        </w:rPr>
      </w:pPr>
    </w:p>
    <w:p w14:paraId="6D0D2F06">
      <w:pPr>
        <w:pStyle w:val="33"/>
        <w:ind w:firstLine="810"/>
        <w:rPr>
          <w:rFonts w:ascii="宋体" w:hAnsi="宋体" w:cs="宋体"/>
          <w:b/>
          <w:bCs w:val="0"/>
          <w:color w:val="auto"/>
          <w:kern w:val="2"/>
          <w:sz w:val="21"/>
          <w:szCs w:val="21"/>
        </w:rPr>
      </w:pPr>
    </w:p>
    <w:p w14:paraId="083F46DF">
      <w:pPr>
        <w:pStyle w:val="33"/>
        <w:ind w:firstLine="810"/>
        <w:rPr>
          <w:rFonts w:ascii="宋体" w:hAnsi="宋体" w:cs="宋体"/>
          <w:b/>
          <w:bCs w:val="0"/>
          <w:color w:val="auto"/>
          <w:kern w:val="2"/>
          <w:sz w:val="21"/>
          <w:szCs w:val="21"/>
        </w:rPr>
      </w:pPr>
    </w:p>
    <w:p w14:paraId="7D8C9A13">
      <w:pPr>
        <w:pStyle w:val="9"/>
        <w:rPr>
          <w:rFonts w:ascii="宋体" w:hAnsi="宋体" w:cs="宋体"/>
          <w:b/>
          <w:bCs w:val="0"/>
          <w:color w:val="auto"/>
          <w:kern w:val="2"/>
          <w:sz w:val="21"/>
          <w:szCs w:val="21"/>
        </w:rPr>
      </w:pPr>
    </w:p>
    <w:p w14:paraId="393B1677">
      <w:pPr>
        <w:rPr>
          <w:rFonts w:ascii="宋体" w:hAnsi="宋体" w:cs="宋体"/>
          <w:b/>
          <w:bCs w:val="0"/>
          <w:color w:val="auto"/>
          <w:kern w:val="2"/>
          <w:sz w:val="21"/>
          <w:szCs w:val="21"/>
        </w:rPr>
      </w:pPr>
    </w:p>
    <w:p w14:paraId="7498317A">
      <w:pPr>
        <w:pStyle w:val="33"/>
        <w:rPr>
          <w:rFonts w:ascii="宋体" w:hAnsi="宋体" w:cs="宋体"/>
          <w:b/>
          <w:bCs w:val="0"/>
          <w:color w:val="auto"/>
          <w:kern w:val="2"/>
          <w:sz w:val="21"/>
          <w:szCs w:val="21"/>
        </w:rPr>
      </w:pPr>
    </w:p>
    <w:p w14:paraId="0A598906">
      <w:pPr>
        <w:pStyle w:val="9"/>
        <w:rPr>
          <w:rFonts w:ascii="宋体" w:hAnsi="宋体" w:cs="宋体"/>
          <w:b/>
          <w:bCs w:val="0"/>
          <w:color w:val="auto"/>
          <w:kern w:val="2"/>
          <w:sz w:val="21"/>
          <w:szCs w:val="21"/>
        </w:rPr>
      </w:pPr>
    </w:p>
    <w:p w14:paraId="785ACC9F">
      <w:pPr>
        <w:rPr>
          <w:rFonts w:ascii="宋体" w:hAnsi="宋体" w:cs="宋体"/>
          <w:b/>
          <w:bCs w:val="0"/>
          <w:color w:val="auto"/>
          <w:kern w:val="2"/>
          <w:sz w:val="21"/>
          <w:szCs w:val="21"/>
        </w:rPr>
      </w:pPr>
    </w:p>
    <w:p w14:paraId="2F4BAFFE">
      <w:pPr>
        <w:pStyle w:val="33"/>
        <w:rPr>
          <w:rFonts w:ascii="宋体" w:hAnsi="宋体" w:cs="宋体"/>
          <w:b/>
          <w:bCs w:val="0"/>
          <w:color w:val="auto"/>
          <w:kern w:val="2"/>
          <w:sz w:val="21"/>
          <w:szCs w:val="21"/>
        </w:rPr>
      </w:pPr>
    </w:p>
    <w:p w14:paraId="172A80F0">
      <w:pPr>
        <w:pStyle w:val="9"/>
        <w:rPr>
          <w:rFonts w:ascii="宋体" w:hAnsi="宋体" w:cs="宋体"/>
          <w:b/>
          <w:bCs w:val="0"/>
          <w:color w:val="auto"/>
          <w:kern w:val="2"/>
          <w:sz w:val="21"/>
          <w:szCs w:val="21"/>
        </w:rPr>
      </w:pPr>
    </w:p>
    <w:p w14:paraId="34F90ED8">
      <w:pPr>
        <w:jc w:val="center"/>
        <w:outlineLvl w:val="0"/>
        <w:rPr>
          <w:rFonts w:hint="eastAsia" w:ascii="宋体" w:hAnsi="宋体" w:cs="宋体"/>
          <w:b/>
          <w:bCs/>
          <w:color w:val="auto"/>
          <w:spacing w:val="-14"/>
          <w:kern w:val="0"/>
          <w:position w:val="-6"/>
          <w:sz w:val="36"/>
          <w:szCs w:val="36"/>
        </w:rPr>
      </w:pPr>
      <w:bookmarkStart w:id="65" w:name="_Toc26558"/>
    </w:p>
    <w:p w14:paraId="6582DD99">
      <w:pPr>
        <w:jc w:val="center"/>
        <w:outlineLvl w:val="0"/>
        <w:rPr>
          <w:rFonts w:hint="eastAsia" w:ascii="宋体" w:hAnsi="宋体" w:cs="宋体"/>
          <w:b/>
          <w:bCs/>
          <w:color w:val="auto"/>
          <w:spacing w:val="-14"/>
          <w:kern w:val="0"/>
          <w:position w:val="-6"/>
          <w:sz w:val="36"/>
          <w:szCs w:val="36"/>
        </w:rPr>
      </w:pPr>
      <w:r>
        <w:rPr>
          <w:rFonts w:hint="eastAsia" w:ascii="宋体" w:hAnsi="宋体" w:cs="宋体"/>
          <w:b/>
          <w:bCs/>
          <w:color w:val="auto"/>
          <w:spacing w:val="-14"/>
          <w:kern w:val="0"/>
          <w:position w:val="-6"/>
          <w:sz w:val="36"/>
          <w:szCs w:val="36"/>
        </w:rPr>
        <w:t>第三章  项目基本情况及要求</w:t>
      </w:r>
      <w:bookmarkEnd w:id="65"/>
    </w:p>
    <w:p w14:paraId="6F95A2AA">
      <w:pPr>
        <w:pStyle w:val="33"/>
        <w:ind w:firstLine="915"/>
        <w:rPr>
          <w:color w:val="auto"/>
        </w:rPr>
      </w:pPr>
    </w:p>
    <w:p w14:paraId="6DA85982">
      <w:pPr>
        <w:pStyle w:val="15"/>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rPr>
        <w:t>项目名称：</w:t>
      </w:r>
      <w:r>
        <w:rPr>
          <w:rFonts w:hint="eastAsia" w:ascii="宋体" w:hAnsi="宋体" w:cs="宋体"/>
          <w:b w:val="0"/>
          <w:bCs w:val="0"/>
          <w:color w:val="auto"/>
          <w:kern w:val="0"/>
          <w:sz w:val="21"/>
          <w:szCs w:val="21"/>
          <w:lang w:eastAsia="zh-CN"/>
        </w:rPr>
        <w:t>钦北区2025年巩固拓展脱贫攻坚成果同乡村振兴有效衔接项目(道路部分)</w:t>
      </w:r>
    </w:p>
    <w:p w14:paraId="3C7F51BA">
      <w:pPr>
        <w:pStyle w:val="15"/>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eastAsia="zh-CN"/>
        </w:rPr>
        <w:t>项目编号：QZZC2025-C2-030026-ZYXM</w:t>
      </w:r>
    </w:p>
    <w:p w14:paraId="2839930A">
      <w:pPr>
        <w:pStyle w:val="15"/>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rPr>
        <w:t>建设地点：</w:t>
      </w:r>
      <w:r>
        <w:rPr>
          <w:rFonts w:hint="eastAsia" w:ascii="宋体" w:hAnsi="宋体" w:cs="宋体"/>
          <w:b w:val="0"/>
          <w:bCs w:val="0"/>
          <w:color w:val="auto"/>
          <w:kern w:val="0"/>
          <w:sz w:val="21"/>
          <w:szCs w:val="21"/>
          <w:lang w:eastAsia="zh-CN"/>
        </w:rPr>
        <w:t>位于</w:t>
      </w:r>
      <w:r>
        <w:rPr>
          <w:rFonts w:hint="eastAsia" w:ascii="宋体" w:hAnsi="宋体" w:eastAsia="宋体" w:cs="宋体"/>
          <w:b w:val="0"/>
          <w:bCs w:val="0"/>
          <w:color w:val="auto"/>
          <w:kern w:val="0"/>
          <w:sz w:val="21"/>
          <w:szCs w:val="21"/>
          <w:lang w:eastAsia="zh-CN"/>
        </w:rPr>
        <w:t>钦州市钦北区小董镇替头村委宝鸭坪村、鸡笠山附近</w:t>
      </w:r>
      <w:r>
        <w:rPr>
          <w:rFonts w:hint="eastAsia" w:ascii="宋体" w:hAnsi="宋体" w:cs="宋体"/>
          <w:b w:val="0"/>
          <w:bCs w:val="0"/>
          <w:color w:val="auto"/>
          <w:kern w:val="0"/>
          <w:sz w:val="21"/>
          <w:szCs w:val="21"/>
          <w:lang w:eastAsia="zh-CN"/>
        </w:rPr>
        <w:t>及位于钦州市钦北区新棠镇</w:t>
      </w:r>
    </w:p>
    <w:p w14:paraId="049CBA66">
      <w:pPr>
        <w:pStyle w:val="15"/>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rPr>
        <w:t>工程概况：</w:t>
      </w:r>
      <w:r>
        <w:rPr>
          <w:rFonts w:hint="eastAsia" w:ascii="宋体" w:hAnsi="宋体" w:cs="宋体"/>
          <w:b w:val="0"/>
          <w:bCs w:val="0"/>
          <w:color w:val="auto"/>
          <w:kern w:val="0"/>
          <w:sz w:val="21"/>
          <w:szCs w:val="21"/>
          <w:lang w:eastAsia="zh-CN"/>
        </w:rPr>
        <w:t>本工程的建设单位是钦州市钦北区交通运输局。该项目含两个单位工程，其中一个单位工程建设地点位于钦州市钦北区小董镇替头村委宝鸭坪村、鸡笠山附近，建设内容为长度0.44km的道路硬化工程；另一个单位工程建设地点位于钦州市钦北区新棠镇，建设内容为长度1.349km的道路硬化工程。资金来源为2025年财政衔接推进乡村振兴补助资金。</w:t>
      </w:r>
    </w:p>
    <w:p w14:paraId="39127DAC">
      <w:pPr>
        <w:pStyle w:val="15"/>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rPr>
        <w:t>工期：</w:t>
      </w:r>
      <w:r>
        <w:rPr>
          <w:rFonts w:hint="eastAsia" w:ascii="宋体" w:hAnsi="宋体" w:cs="宋体"/>
          <w:b w:val="0"/>
          <w:bCs w:val="0"/>
          <w:color w:val="auto"/>
          <w:kern w:val="0"/>
          <w:sz w:val="21"/>
          <w:szCs w:val="21"/>
          <w:lang w:val="en-US" w:eastAsia="zh-CN"/>
        </w:rPr>
        <w:t>210</w:t>
      </w:r>
      <w:r>
        <w:rPr>
          <w:rFonts w:hint="eastAsia" w:ascii="宋体" w:hAnsi="宋体" w:eastAsia="宋体" w:cs="宋体"/>
          <w:b w:val="0"/>
          <w:bCs w:val="0"/>
          <w:color w:val="auto"/>
          <w:kern w:val="0"/>
          <w:sz w:val="21"/>
          <w:szCs w:val="21"/>
          <w:lang w:val="en-US" w:eastAsia="zh-CN"/>
        </w:rPr>
        <w:t>日历天</w:t>
      </w:r>
      <w:r>
        <w:rPr>
          <w:rFonts w:hint="eastAsia" w:ascii="宋体" w:hAnsi="宋体" w:eastAsia="宋体" w:cs="宋体"/>
          <w:b w:val="0"/>
          <w:bCs w:val="0"/>
          <w:color w:val="auto"/>
          <w:kern w:val="0"/>
          <w:sz w:val="21"/>
          <w:szCs w:val="21"/>
        </w:rPr>
        <w:t>。</w:t>
      </w:r>
    </w:p>
    <w:p w14:paraId="74EC1A9A">
      <w:pPr>
        <w:pStyle w:val="15"/>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质量要求：达到国家施工验收规范合格标准。</w:t>
      </w:r>
    </w:p>
    <w:p w14:paraId="660128E5">
      <w:pPr>
        <w:pStyle w:val="15"/>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采购预算控制价：</w:t>
      </w:r>
      <w:r>
        <w:rPr>
          <w:rFonts w:hint="eastAsia" w:ascii="宋体" w:hAnsi="宋体" w:cs="宋体"/>
          <w:b w:val="0"/>
          <w:bCs w:val="0"/>
          <w:color w:val="auto"/>
          <w:kern w:val="0"/>
          <w:sz w:val="21"/>
          <w:szCs w:val="21"/>
          <w:lang w:val="en-US" w:eastAsia="zh-CN"/>
        </w:rPr>
        <w:t>935206.00</w:t>
      </w:r>
      <w:r>
        <w:rPr>
          <w:rFonts w:hint="eastAsia" w:ascii="宋体" w:hAnsi="宋体" w:eastAsia="宋体" w:cs="宋体"/>
          <w:b w:val="0"/>
          <w:bCs w:val="0"/>
          <w:color w:val="auto"/>
          <w:kern w:val="0"/>
          <w:sz w:val="21"/>
          <w:szCs w:val="21"/>
          <w:lang w:val="en-US" w:eastAsia="zh-CN"/>
        </w:rPr>
        <w:t>元</w:t>
      </w:r>
      <w:r>
        <w:rPr>
          <w:rFonts w:hint="eastAsia" w:ascii="宋体" w:hAnsi="宋体" w:eastAsia="宋体" w:cs="宋体"/>
          <w:b w:val="0"/>
          <w:bCs w:val="0"/>
          <w:color w:val="auto"/>
          <w:kern w:val="0"/>
          <w:sz w:val="21"/>
          <w:szCs w:val="21"/>
        </w:rPr>
        <w:t>。</w:t>
      </w:r>
    </w:p>
    <w:p w14:paraId="2B71C3ED">
      <w:pPr>
        <w:pStyle w:val="15"/>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所属行业：建筑业。</w:t>
      </w:r>
    </w:p>
    <w:p w14:paraId="1F27B329">
      <w:pPr>
        <w:pStyle w:val="15"/>
        <w:keepNext w:val="0"/>
        <w:keepLines w:val="0"/>
        <w:pageBreakBefore w:val="0"/>
        <w:widowControl w:val="0"/>
        <w:kinsoku/>
        <w:wordWrap/>
        <w:overflowPunct/>
        <w:topLinePunct w:val="0"/>
        <w:autoSpaceDE/>
        <w:autoSpaceDN/>
        <w:bidi w:val="0"/>
        <w:adjustRightInd/>
        <w:snapToGrid w:val="0"/>
        <w:spacing w:line="360" w:lineRule="auto"/>
        <w:ind w:firstLine="803" w:firstLineChars="200"/>
        <w:textAlignment w:val="auto"/>
        <w:rPr>
          <w:rFonts w:ascii="黑体" w:hAnsi="宋体" w:eastAsia="黑体"/>
          <w:b/>
          <w:bCs/>
          <w:color w:val="auto"/>
          <w:kern w:val="0"/>
          <w:sz w:val="40"/>
          <w:szCs w:val="40"/>
        </w:rPr>
      </w:pPr>
    </w:p>
    <w:p w14:paraId="73617C8F">
      <w:pPr>
        <w:pStyle w:val="15"/>
        <w:rPr>
          <w:rFonts w:ascii="黑体" w:hAnsi="宋体" w:eastAsia="黑体"/>
          <w:b/>
          <w:bCs/>
          <w:color w:val="auto"/>
          <w:kern w:val="0"/>
          <w:sz w:val="40"/>
          <w:szCs w:val="40"/>
        </w:rPr>
      </w:pPr>
    </w:p>
    <w:p w14:paraId="66C22DDD">
      <w:pPr>
        <w:pStyle w:val="15"/>
        <w:rPr>
          <w:rFonts w:ascii="黑体" w:hAnsi="宋体" w:eastAsia="黑体"/>
          <w:b/>
          <w:bCs/>
          <w:color w:val="auto"/>
          <w:kern w:val="0"/>
          <w:sz w:val="40"/>
          <w:szCs w:val="40"/>
        </w:rPr>
      </w:pPr>
    </w:p>
    <w:p w14:paraId="68C50501">
      <w:pPr>
        <w:pStyle w:val="15"/>
        <w:rPr>
          <w:rFonts w:ascii="黑体" w:hAnsi="宋体" w:eastAsia="黑体"/>
          <w:b/>
          <w:bCs/>
          <w:color w:val="auto"/>
          <w:kern w:val="0"/>
          <w:sz w:val="40"/>
          <w:szCs w:val="40"/>
        </w:rPr>
      </w:pPr>
    </w:p>
    <w:p w14:paraId="44F9ACB4">
      <w:pPr>
        <w:pStyle w:val="15"/>
        <w:rPr>
          <w:rFonts w:ascii="黑体" w:hAnsi="宋体" w:eastAsia="黑体"/>
          <w:b/>
          <w:bCs/>
          <w:color w:val="auto"/>
          <w:kern w:val="0"/>
          <w:sz w:val="40"/>
          <w:szCs w:val="40"/>
        </w:rPr>
      </w:pPr>
    </w:p>
    <w:p w14:paraId="328D98C3">
      <w:pPr>
        <w:pStyle w:val="15"/>
        <w:rPr>
          <w:rFonts w:ascii="黑体" w:hAnsi="宋体" w:eastAsia="黑体"/>
          <w:b/>
          <w:bCs/>
          <w:color w:val="auto"/>
          <w:kern w:val="0"/>
          <w:sz w:val="40"/>
          <w:szCs w:val="40"/>
        </w:rPr>
      </w:pPr>
    </w:p>
    <w:p w14:paraId="3E5D95CC">
      <w:pPr>
        <w:pStyle w:val="15"/>
        <w:rPr>
          <w:rFonts w:ascii="黑体" w:hAnsi="宋体" w:eastAsia="黑体"/>
          <w:b/>
          <w:bCs/>
          <w:color w:val="auto"/>
          <w:kern w:val="0"/>
          <w:sz w:val="40"/>
          <w:szCs w:val="40"/>
        </w:rPr>
      </w:pPr>
    </w:p>
    <w:p w14:paraId="17EC29DB">
      <w:pPr>
        <w:pStyle w:val="15"/>
        <w:rPr>
          <w:rFonts w:ascii="黑体" w:hAnsi="宋体" w:eastAsia="黑体"/>
          <w:b/>
          <w:bCs/>
          <w:color w:val="auto"/>
          <w:kern w:val="0"/>
          <w:sz w:val="40"/>
          <w:szCs w:val="40"/>
        </w:rPr>
      </w:pPr>
    </w:p>
    <w:p w14:paraId="1308817C">
      <w:pPr>
        <w:pStyle w:val="15"/>
        <w:rPr>
          <w:rFonts w:ascii="黑体" w:hAnsi="宋体" w:eastAsia="黑体"/>
          <w:b/>
          <w:bCs/>
          <w:color w:val="auto"/>
          <w:kern w:val="0"/>
          <w:sz w:val="40"/>
          <w:szCs w:val="40"/>
        </w:rPr>
      </w:pPr>
    </w:p>
    <w:p w14:paraId="0277859F">
      <w:pPr>
        <w:pStyle w:val="15"/>
        <w:rPr>
          <w:rFonts w:ascii="黑体" w:hAnsi="宋体" w:eastAsia="黑体"/>
          <w:b/>
          <w:bCs/>
          <w:color w:val="auto"/>
          <w:kern w:val="0"/>
          <w:sz w:val="40"/>
          <w:szCs w:val="40"/>
        </w:rPr>
      </w:pPr>
    </w:p>
    <w:p w14:paraId="09B6A019">
      <w:pPr>
        <w:pStyle w:val="15"/>
        <w:rPr>
          <w:rFonts w:ascii="黑体" w:hAnsi="宋体" w:eastAsia="黑体"/>
          <w:b/>
          <w:bCs/>
          <w:color w:val="auto"/>
          <w:kern w:val="0"/>
          <w:sz w:val="40"/>
          <w:szCs w:val="40"/>
        </w:rPr>
      </w:pPr>
    </w:p>
    <w:p w14:paraId="22820542">
      <w:pPr>
        <w:pStyle w:val="15"/>
        <w:rPr>
          <w:rFonts w:ascii="黑体" w:hAnsi="宋体" w:eastAsia="黑体"/>
          <w:b/>
          <w:bCs/>
          <w:color w:val="auto"/>
          <w:kern w:val="0"/>
          <w:sz w:val="40"/>
          <w:szCs w:val="40"/>
        </w:rPr>
      </w:pPr>
    </w:p>
    <w:p w14:paraId="360AA4E4">
      <w:pPr>
        <w:pStyle w:val="15"/>
        <w:rPr>
          <w:rFonts w:ascii="黑体" w:hAnsi="宋体" w:eastAsia="黑体"/>
          <w:b/>
          <w:bCs/>
          <w:color w:val="auto"/>
          <w:kern w:val="0"/>
          <w:sz w:val="40"/>
          <w:szCs w:val="40"/>
        </w:rPr>
      </w:pPr>
    </w:p>
    <w:p w14:paraId="560DC741">
      <w:pPr>
        <w:pStyle w:val="15"/>
        <w:rPr>
          <w:rFonts w:ascii="黑体" w:hAnsi="宋体" w:eastAsia="黑体"/>
          <w:b/>
          <w:bCs/>
          <w:color w:val="auto"/>
          <w:kern w:val="0"/>
          <w:sz w:val="40"/>
          <w:szCs w:val="40"/>
        </w:rPr>
      </w:pPr>
    </w:p>
    <w:p w14:paraId="0D6855FF">
      <w:pPr>
        <w:pStyle w:val="15"/>
        <w:rPr>
          <w:rFonts w:ascii="黑体" w:hAnsi="宋体" w:eastAsia="黑体"/>
          <w:b/>
          <w:bCs/>
          <w:color w:val="auto"/>
          <w:kern w:val="0"/>
          <w:sz w:val="40"/>
          <w:szCs w:val="40"/>
        </w:rPr>
      </w:pPr>
    </w:p>
    <w:p w14:paraId="02A3EB83">
      <w:pPr>
        <w:pStyle w:val="15"/>
        <w:rPr>
          <w:rFonts w:ascii="黑体" w:hAnsi="宋体" w:eastAsia="黑体"/>
          <w:b/>
          <w:bCs/>
          <w:color w:val="auto"/>
          <w:kern w:val="0"/>
          <w:sz w:val="40"/>
          <w:szCs w:val="40"/>
        </w:rPr>
      </w:pPr>
    </w:p>
    <w:p w14:paraId="7D772770">
      <w:pPr>
        <w:rPr>
          <w:rFonts w:hint="eastAsia" w:ascii="黑体" w:hAnsi="宋体" w:eastAsia="黑体" w:cs="Times New Roman"/>
          <w:b/>
          <w:bCs/>
          <w:color w:val="auto"/>
          <w:kern w:val="0"/>
          <w:sz w:val="36"/>
          <w:szCs w:val="36"/>
          <w:lang w:val="en-US" w:eastAsia="zh-CN"/>
        </w:rPr>
      </w:pPr>
      <w:bookmarkStart w:id="66" w:name="_Toc20069"/>
    </w:p>
    <w:p w14:paraId="216213C4">
      <w:pPr>
        <w:pStyle w:val="12"/>
        <w:numPr>
          <w:ilvl w:val="0"/>
          <w:numId w:val="0"/>
        </w:numPr>
        <w:spacing w:line="360" w:lineRule="auto"/>
        <w:ind w:leftChars="0"/>
        <w:jc w:val="center"/>
        <w:outlineLvl w:val="0"/>
        <w:rPr>
          <w:rFonts w:hint="eastAsia" w:ascii="黑体" w:hAnsi="宋体" w:eastAsia="黑体" w:cs="Times New Roman"/>
          <w:b/>
          <w:bCs/>
          <w:color w:val="auto"/>
          <w:kern w:val="0"/>
          <w:sz w:val="36"/>
          <w:szCs w:val="36"/>
        </w:rPr>
      </w:pPr>
      <w:r>
        <w:rPr>
          <w:rFonts w:hint="eastAsia" w:ascii="黑体" w:hAnsi="宋体" w:eastAsia="黑体" w:cs="Times New Roman"/>
          <w:b/>
          <w:bCs/>
          <w:color w:val="auto"/>
          <w:kern w:val="0"/>
          <w:sz w:val="36"/>
          <w:szCs w:val="36"/>
          <w:lang w:val="en-US" w:eastAsia="zh-CN"/>
        </w:rPr>
        <w:t>第四章</w:t>
      </w:r>
      <w:r>
        <w:rPr>
          <w:rFonts w:hint="eastAsia" w:ascii="黑体" w:hAnsi="宋体" w:eastAsia="黑体" w:cs="Times New Roman"/>
          <w:b/>
          <w:bCs/>
          <w:color w:val="auto"/>
          <w:kern w:val="0"/>
          <w:sz w:val="36"/>
          <w:szCs w:val="36"/>
        </w:rPr>
        <w:t xml:space="preserve"> 评审标准</w:t>
      </w:r>
      <w:bookmarkEnd w:id="66"/>
    </w:p>
    <w:p w14:paraId="5FE67AEA">
      <w:pPr>
        <w:pStyle w:val="5"/>
        <w:numPr>
          <w:ilvl w:val="0"/>
          <w:numId w:val="0"/>
        </w:numPr>
        <w:spacing w:line="360" w:lineRule="auto"/>
        <w:ind w:leftChars="0"/>
        <w:jc w:val="center"/>
        <w:rPr>
          <w:rFonts w:hint="eastAsia"/>
          <w:color w:val="auto"/>
          <w:sz w:val="24"/>
          <w:szCs w:val="24"/>
        </w:rPr>
      </w:pPr>
      <w:r>
        <w:rPr>
          <w:rFonts w:hint="eastAsia"/>
          <w:color w:val="auto"/>
          <w:sz w:val="24"/>
          <w:szCs w:val="24"/>
        </w:rPr>
        <w:t>一、评审程序和评审方法</w:t>
      </w:r>
    </w:p>
    <w:p w14:paraId="53D88FE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1.资格审查</w:t>
      </w:r>
    </w:p>
    <w:p w14:paraId="07DA81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1.1 响应文件开启后，磋商小组依法对供应商的资格证明文件进行审查。</w:t>
      </w:r>
    </w:p>
    <w:p w14:paraId="5C2A9F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注：采购人或者采购代理机构在资格审查结束前，对供应商进行信用查询。</w:t>
      </w:r>
    </w:p>
    <w:p w14:paraId="1C5AE4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( 1 ) 查询渠道：“信用中国 ” 网站 (www.creditchina.gov.cn) 、 中国政府采购网 (www.ccgp.gov.cn)。</w:t>
      </w:r>
    </w:p>
    <w:p w14:paraId="479C22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信用查询截止时点：资格审查结束前。</w:t>
      </w:r>
    </w:p>
    <w:p w14:paraId="754A37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查询记录和证据留存方式：在查询网站中直接打印查询记录，打印材料作为评审资料保存。</w:t>
      </w:r>
    </w:p>
    <w:p w14:paraId="316F7B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信用信息使用规则：对在“信用中国”网站(www.creditchina.gov.cn) 、中国府采购网(www.ccgp.gov.cn)被列入失信被执行人、重大税收违法案件当事人名单、政府采购严重违 法失信行为记录名单及其他不符合《中华人民共和国政府采购法》第二十二条规定条件的供应商，资格审查不通过，不得参与政府采购活动。</w:t>
      </w:r>
    </w:p>
    <w:p w14:paraId="369728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1.2 资格审查标准为本磋商文件中载明对供应商资格要求的条件。资格审查采用合格制，凡符合磋商文件规定的供应商资格要求的响应文件均通过资格审查。</w:t>
      </w:r>
    </w:p>
    <w:p w14:paraId="6DD3AB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1.3 供应商有下列情形之一的，资格审查不通过，其响应文件按无效响应处理：</w:t>
      </w:r>
    </w:p>
    <w:p w14:paraId="19FC77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不具备磋商文件中规定的资格要求的；</w:t>
      </w:r>
    </w:p>
    <w:p w14:paraId="2B9A4D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响应文件未提供任一项“供应商须知前附表”资格证明文件规定的“必须提供”的文件资料的；</w:t>
      </w:r>
    </w:p>
    <w:p w14:paraId="26B4F0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 响应文件提供的资格证明文件出现任一项不符合“供应商须知前附表”资格证明文件规定的“必须提供”的文件资料要求或者无效的。</w:t>
      </w:r>
    </w:p>
    <w:p w14:paraId="4A1AF8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1.4 通过资格审查的合格供应商不足 3 家的，不得进入符合性审查环节，采购人或者采购代理机构应当重新开展采购活动。</w:t>
      </w:r>
    </w:p>
    <w:p w14:paraId="311EF4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2.符合性审查</w:t>
      </w:r>
    </w:p>
    <w:p w14:paraId="42A194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2.1 由磋商小组对通过资格审查的合格供应商的响应文件的竞标报价、商务、技术等实质性要求进行符合性审查，以确定其是否满足磋商文件的实质性要求。</w:t>
      </w:r>
    </w:p>
    <w:p w14:paraId="57D3BE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2.2 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8E1A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2.3 磋商小组要求供应商澄清、说明或者更正响应文件应当要求供应商在合理时间内通过政采云平台 (https://www.zcygov.cn/) 的方式形式作出。供应商的澄清、说明或者更正必须 通过政采云平台以书面形式按照磋商小组的要求作出明确的澄清、说明或者更正，未按磋商小 组的要求作出明确澄清、说明或者更正的供应商的响应文件将按照有利于采购人的原则由磋商 小组进行判定。供应商的澄清、说明或者更正必须由法定代表人或者其委托代理人签字或者加 盖 CA 签章。 由委托代理人签字的，若委托代理人不是响应文件中授权的委托代理人时，必须同时出示有效的法定代表人授权委托书原件。供应商为自然人的，必须由本人签字并附身份证明。</w:t>
      </w:r>
    </w:p>
    <w:p w14:paraId="7CC4A0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2.4 首次响应文件报价出现前后不一致的，按照下列规定修正：</w:t>
      </w:r>
    </w:p>
    <w:p w14:paraId="17988D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响应文件中报价表内容与响应文件中相应内容不一致的，以报价表为准；</w:t>
      </w:r>
    </w:p>
    <w:p w14:paraId="390588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大写金额和小写金额不一致的，以大写金额为准；</w:t>
      </w:r>
    </w:p>
    <w:p w14:paraId="0CA627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 单价金额小数点或者百分比有明显错位的，以报价表的总价为准，并修改单价；</w:t>
      </w:r>
    </w:p>
    <w:p w14:paraId="2E532C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 总价金额与按单价汇总金额不一致的，以单价金额计算结果为准。</w:t>
      </w:r>
    </w:p>
    <w:p w14:paraId="28761A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同时出现两种以上不一致的，按照以上 (1) - (4) 规定的顺序逐条进行修正。修正后的报价经供应商确认后产生约束力，供应商不确认的，其响应文件按无效响应处理。</w:t>
      </w:r>
    </w:p>
    <w:p w14:paraId="28A7C6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2.5 商务技术报价评审</w:t>
      </w:r>
    </w:p>
    <w:p w14:paraId="151427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在评审时，如发现下列情形之一的，将被视为响应文件无效处理：</w:t>
      </w:r>
    </w:p>
    <w:p w14:paraId="030A43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商务技术评审</w:t>
      </w:r>
    </w:p>
    <w:p w14:paraId="47B3F7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响应文件未按磋商文件要求签署、盖章；</w:t>
      </w:r>
    </w:p>
    <w:p w14:paraId="11ACB0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委托代理人未能出具有效身份证明或者出具的身份证明与授权委托书中的信息不符；</w:t>
      </w:r>
    </w:p>
    <w:p w14:paraId="0E0AD8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 响应文件未提供任一项“供应商须知前附表” 报价商务技术文件中“必须提供”或者“委托时必须提供”的文件资料；响应文件提供的报价商务技术文件出现任一项不符合“供应商须知前附表”报价商务技术文件中 “必须提供”或者“委托时必须提供”文件资料要求 的规定或者提供的报价商务技术文件无效。</w:t>
      </w:r>
    </w:p>
    <w:p w14:paraId="3017E7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 商务条款中标“▲”的条款发生负偏离的或者允许负偏离的条款数超过“供应商须知前附表”规定项数的或者标明实质性的要求发生负偏离；</w:t>
      </w:r>
    </w:p>
    <w:p w14:paraId="67BE33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 未对竞标有效期作出响应或者响应文件承诺的竞标有效期不满足磋商文件要求；</w:t>
      </w:r>
    </w:p>
    <w:p w14:paraId="73B19C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6) 响应文件的实质性内容未使用中文表述、使用计量单位不符合磋商文件要求；</w:t>
      </w:r>
    </w:p>
    <w:p w14:paraId="1B3DE9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7) 响应文件中的文件资料因填写不齐全或者内容虚假或者出现其他情形而导致被磋商小组认定无效；</w:t>
      </w:r>
    </w:p>
    <w:p w14:paraId="017489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8) 响应文件含有采购人不能接受的附加条件；</w:t>
      </w:r>
    </w:p>
    <w:p w14:paraId="682510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9) 属于“供应商须知正文”第 7.7 条情形；</w:t>
      </w:r>
    </w:p>
    <w:p w14:paraId="59D48A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10) 技术需求允许负偏离的条款数超过“供应商须知前附表”规定项数；</w:t>
      </w:r>
    </w:p>
    <w:p w14:paraId="524085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11) 虚假竞标，或者出现其他情形而导致被磋商小组认定无效；</w:t>
      </w:r>
    </w:p>
    <w:p w14:paraId="13B2DD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12) 竞标技术方案不明确，磋商文件未允许但响应文件中存在一个或者一个以上备选 (替代) 竞标方案；</w:t>
      </w:r>
    </w:p>
    <w:p w14:paraId="40B2A4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13)响应文件标注的项目名称或者项目编号与竞争性磋商文件标注的项目名称或者项目编号不一致的；</w:t>
      </w:r>
    </w:p>
    <w:p w14:paraId="73B1A0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14) 未响应磋商文件实质性要求；</w:t>
      </w:r>
    </w:p>
    <w:p w14:paraId="20E72B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15) 法律、法规和磋商文件规定的其他无效情形。</w:t>
      </w:r>
    </w:p>
    <w:p w14:paraId="63FD18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报价评审</w:t>
      </w:r>
    </w:p>
    <w:p w14:paraId="76F219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响应文件未提供“供应商须知前附表” 报价商务技术文件中规定的；</w:t>
      </w:r>
    </w:p>
    <w:p w14:paraId="556C0D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未采用人民币报价或者未按照磋商文件标明的币种报价；</w:t>
      </w:r>
    </w:p>
    <w:p w14:paraId="046907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 供应商未就所磋商分标进行报价或者存在漏项报价；供应商未就所磋商分标的单项内容作唯一报价；供应商未就所磋商分标的全部内容作唯一总价报价；供应商响应文件中存在有选择、有条件报价的 (磋商文件允许有备选方案或者其他约定的除外) ；</w:t>
      </w:r>
    </w:p>
    <w:p w14:paraId="587073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 磋商报价 (包含首次报价、最后报价) 超过的采购预算金额或者最高限价的 (如本项目公布了最高限价) ；磋商报价 (包含首次报价、最后报价) 超过磋商文件分项采购预算金额 或者最高限价的 (如本项目公布了最高限价) ；</w:t>
      </w:r>
    </w:p>
    <w:p w14:paraId="154FAF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 修正后的报价，供应商不确认的；或者经供应商确认修正后的磋商报价 (包含首次报价、最后报价)超过所磋商分标规定的采购预算金额或者最高限价(如本项目公布了最高限价)； 或者经供应商确认修正后磋商报价 (包含首次报价、最后报价) 超过磋商文件分项采购预算金额或者最高限价的 (如本项目公布了最高限价) 。</w:t>
      </w:r>
    </w:p>
    <w:p w14:paraId="47169F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6) 响应文件响应的标的数量及单位与竞争性磋商采购文件要求实质性不一致的。</w:t>
      </w:r>
    </w:p>
    <w:p w14:paraId="560319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2.6 磋商小组对响应文件进行评审，未实质性响应磋商文件的响应文件按无效处理，磋商小组应当将资格和符合性不通过的情况告知有关供应商。磋商小组从符合磋商文件规定的相应资格条件的供应商名单中确定不少于 3 家的供应商参加磋商。</w:t>
      </w:r>
    </w:p>
    <w:p w14:paraId="1295FD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2.7 通过符合性审查的合格供应商不足3家的，不得进入磋商环节，采购人或者采购代理机构应当重新开展采购活动。</w:t>
      </w:r>
    </w:p>
    <w:p w14:paraId="0B4C5E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3.磋商程序</w:t>
      </w:r>
    </w:p>
    <w:p w14:paraId="34B9AC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3.1 磋商小组按照“供应商须知前附表”确定的顺序，集中与单一供应商分别进行磋商，并给予所有参加磋商的供应商平等的磋商机会。符合磋商资格的供应商必须实时关注政采云平台 (https://www.zcygov.cn/) 开标信息，在接到磋商通知后规定时间内参加磋商，未在规定时间内参加磋商的视同放弃参加磋商权利，其响应文件按无效响应处理。</w:t>
      </w:r>
    </w:p>
    <w:p w14:paraId="245E24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3.2 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ECE5D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3.3 对磋商文件作出的实质性变动是磋商文件的有效组成部分，由磋商小组及时以书面形式同时通知所有参加磋商的供应商。</w:t>
      </w:r>
    </w:p>
    <w:p w14:paraId="054F68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3.4 供应商必须按照磋商文件的变动情况和磋商小组的要求重新提交响应文件，并由其法定代表人或者授权代表签字或者加盖 CA 签章在政采云平台(https://www.zcygov.cn/)提交。由委托代理人签字的，若委托代理人不是响应文件中授权的委托代理人时，必须同时出示有效 的法定代表人授权委托书原件。供应商为自然人的，必须由本人签字并附身份证明。参加磋商 的供应商未在规定时间内重新提交响应文件的，视同退出磋商。</w:t>
      </w:r>
    </w:p>
    <w:p w14:paraId="180970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3.5 磋商中，磋商的任何一方不得透露与磋商有关的其他供应商的技术资料、价格和其他信息。</w:t>
      </w:r>
    </w:p>
    <w:p w14:paraId="7A31BF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3.6 采购代理机构对磋商过程和重要磋商内容进行记录，磋商双方在记录上签字确认。</w:t>
      </w:r>
    </w:p>
    <w:p w14:paraId="5DF863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3.7 磋商过程中重新提交的响应文件，供应商可以在开启前补充、修改。</w:t>
      </w:r>
    </w:p>
    <w:p w14:paraId="20FA9A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3.8 对磋商过程提交的响应文件进行有效性、完整性和响应程度审查，通过审查的合格供应商不足 3 家的，采购人或者采购代理机构应当重新开展采购活动。</w:t>
      </w:r>
    </w:p>
    <w:p w14:paraId="059D1F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3.9 本项目所有响应文件的首次报价及所有磋商报价均不公布。最后磋商结束后，磋商小组不得再与供应商进行任何形式的商谈。</w:t>
      </w:r>
    </w:p>
    <w:p w14:paraId="24FC02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 最后报价</w:t>
      </w:r>
    </w:p>
    <w:p w14:paraId="73219E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4.1 磋商文件能够详细列明采购标的的技术、服务要求的，磋商结束后，由磋商小组要求所有继续参加磋商的供应商在规定时间内在政采云平台 (https://www.zcygov.cn/) 提交最后报价，提交最后报价的供应商不得少于 3 家，除本章第 4.3 条外，否则必须重新采购。</w:t>
      </w:r>
    </w:p>
    <w:p w14:paraId="256D8C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4.2 磋商文件不能详细列明采购标的的技术、服务要求，需经磋商由供应商提供最后设计方案或者解决方案的，磋商结束后，由磋商小组按照少数服从多数的原则投票推荐 3 家以上供应商的设计方案或者解决方案，并要求其在规定时间内在政采云平台 (https://www.zcygov.cn/) 提交最后报价。</w:t>
      </w:r>
    </w:p>
    <w:p w14:paraId="0099CE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①最后报价与首次报价相比无调整的：供应商提交的最后报价只须注明与首次报价相同。</w:t>
      </w:r>
    </w:p>
    <w:p w14:paraId="2F1322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②最后报价与首次报价相比有调整的：供应商提交的最后报价必须包含已标价的工程量清单，即最后报价是工程量清单全部工作内容的价格体现，具体包括供应商部分 (分部分项工程量清单费用、措施项目清单费用、规费、税金、其它项目) 和采购人部分 (暂列金、材料购置费)  (如有) 等完成本工程并经验收合格至达到质量保修期限所需的费用、合理利润及风险。 如磋商文件或磋商程中明确供应商应提供技术服务及其它服务的 (如检测费、验收发生的费 用) ，相应费用也应包括在最后报价中。最后报价不允许采用汇总后优惠、打折的形式，否则其报价无效并作无效响应处理。供应商在报价时可只报总价，但必须将包含已标价工程量清单的最后报价在规定时间内在政采云平台 (https://www.zcygov.cn/) 提交，逾期则最后报价无效，以首次报价为准。</w:t>
      </w:r>
    </w:p>
    <w:p w14:paraId="0223BE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4.3 最后报价是供应商响应文件的有效组成部分。符合《政府采购竞争性磋商采购方式管理暂行办法》  (财库〔2014〕214 号) 第三条第四项“市场竞争不充分的科研项目，以及需要扶持的科技成果转化项目”的，提交最后报价的供应商可以为2 家。</w:t>
      </w:r>
    </w:p>
    <w:p w14:paraId="4FD0EB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4.4 已经提交响应文件的供应商，在提交最后报价之前，可以根据磋商情况退出磋商，退出磋商的供应商的响应文件按无效响应处理。采购人、采购代理机构将退还退出磋商的供应商的保证金。</w:t>
      </w:r>
    </w:p>
    <w:p w14:paraId="064ED6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4.5 供应商未在规定时间内提交最后报价的，视同退出磋商。</w:t>
      </w:r>
    </w:p>
    <w:p w14:paraId="134AD6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4.6 磋商小组收齐某一分标最后报价后统一开启，磋商小组对最后报价进行有效性、完整性和响应程度的审查。</w:t>
      </w:r>
    </w:p>
    <w:p w14:paraId="4C0465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4.7 响应文件最后报价出现前后不一致的，按照本正文第 25.2.4 条的规定修正。</w:t>
      </w:r>
    </w:p>
    <w:p w14:paraId="217729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4.8 修正后的报价出现下列情形的，按无效响应处理：</w:t>
      </w:r>
    </w:p>
    <w:p w14:paraId="2BB72D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供应商不确认的；</w:t>
      </w:r>
    </w:p>
    <w:p w14:paraId="04DACA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经供应商确认修正后的竞标报价 (包含首次报价、最后报价) 超过所竞标规定的采购预算金额或者最高限价的 (如本项目公布了最高限价) ；</w:t>
      </w:r>
    </w:p>
    <w:p w14:paraId="4EBF34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 经供应商确认修正后的竞标报价 (包含首次报价、最后报价) 超过分项采购预算金额或者最高限价的 (如本项目公布了最高限价) 。</w:t>
      </w:r>
    </w:p>
    <w:p w14:paraId="7B645C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4.9 经供应商确认修正后的最后报价作为评审及签订合同的依据。</w:t>
      </w:r>
    </w:p>
    <w:p w14:paraId="03371E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4.10 最后报价结束后，磋商小组不得再与供应商进行任何形式的商谈。</w:t>
      </w:r>
    </w:p>
    <w:p w14:paraId="75EC2A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5.比较与评价</w:t>
      </w:r>
    </w:p>
    <w:p w14:paraId="4CA3E9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5.1 评审方法：综合评分法。</w:t>
      </w:r>
    </w:p>
    <w:p w14:paraId="782AA0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5.2 经磋商确定最终采购需求和提交最后报价的供应商后，由磋商小组采用综合评分法对提交最后报价的供应商的响应文件和最后报价进行综合评分。</w:t>
      </w:r>
    </w:p>
    <w:p w14:paraId="46850E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5.3 评审时，磋商小组各成员应当独立对每个有效响应的文件进行评价、打分，然后汇总每个供应商每项评分因素的得分。</w:t>
      </w:r>
    </w:p>
    <w:p w14:paraId="314A4E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磋商小组按照磋商文件中规定的评审标准计算各供应商的报价得分。项目评审过程中，不得去掉最后报价中的最高报价和最低报价。</w:t>
      </w:r>
    </w:p>
    <w:p w14:paraId="339A4A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各供应商的得分为磋商小组所有成员的有效评分的算术平均数。</w:t>
      </w:r>
    </w:p>
    <w:p w14:paraId="0D95AD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5.4 评审价为供应商的最后报价进行政策性扣除后的价格，评审价只是作为评审时使用。最终成交供应商的成交金额等于最后报价 (如有修正，以确认修正后的最后报价为准) 。</w:t>
      </w:r>
    </w:p>
    <w:p w14:paraId="66274E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5.5 由磋商小组根据综合评分情况，按照评审得分由高到低顺序推荐3名以上成交候选供应商，并编写评审报告。符合本章第 4.3 条情形的，可以推荐2家成交候选供应商。评审得分相同的，按照最后报价由低到高的顺序推荐。评审得分且最后报价相同的，按照技术指标优劣顺序推荐。</w:t>
      </w:r>
    </w:p>
    <w:p w14:paraId="064ADB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61F75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rPr>
      </w:pPr>
      <w:r>
        <w:rPr>
          <w:rFonts w:hint="eastAsia"/>
          <w:b/>
          <w:bCs/>
          <w:color w:val="auto"/>
        </w:rPr>
        <w:t>二、评定标准</w:t>
      </w:r>
    </w:p>
    <w:p w14:paraId="4628C6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一、评标原则</w:t>
      </w:r>
    </w:p>
    <w:p w14:paraId="5AACC9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(一) 磋商小组构成：本项目的磋商小组由采购人代表和评审专家共3人以上单数组成， 其中评审专家人数不得少于磋商小组成员总数的 2/3。采购人代表不得以评审专家身份参加本部门或本单位采购项目的评审。</w:t>
      </w:r>
    </w:p>
    <w:p w14:paraId="46E7D3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(二) 评审依据：磋商小组将以竞争性磋商文件和响应文件为评定依据进行评审，对供应商的报价、服务承诺、人员配备情况、信誉业绩及供应商对本项目的实施技术与服务等等内容 按百分制打分。</w:t>
      </w:r>
    </w:p>
    <w:p w14:paraId="47F27A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(三) 评审方法：综合评分法。</w:t>
      </w:r>
    </w:p>
    <w:p w14:paraId="3D5CD6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(四) 政策优惠：</w:t>
      </w:r>
    </w:p>
    <w:p w14:paraId="12519D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1.评审价为供应商的最后报价进行政策性扣除后的价格，评审价只是作为评审时使用。最终成交供应商的成交金额等于最后报价 (如有修正，以确认修正后的最后报价为准) 。</w:t>
      </w:r>
    </w:p>
    <w:p w14:paraId="619B85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2.政府采购政策性扣除</w:t>
      </w:r>
    </w:p>
    <w:p w14:paraId="365666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本项目为专门面向中小企业采购的项目，按照《政府采购促进中小企业发展管理办法》（财库〔2020〕46号）的规定，不再对供应商最后报价进行政策性扣除。</w:t>
      </w:r>
    </w:p>
    <w:p w14:paraId="7DAEFF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color w:val="auto"/>
        </w:rPr>
        <w:t>(2)</w:t>
      </w:r>
      <w:r>
        <w:rPr>
          <w:rFonts w:hint="eastAsia" w:ascii="宋体" w:hAnsi="宋体" w:cs="宋体"/>
          <w:color w:val="auto"/>
          <w:szCs w:val="21"/>
        </w:rPr>
        <w:t>评审价为供应商的最后报价，评审价只是作为评审时使用。最终成交供应商的成交金额等于最后报价（如有修正，以确认修正后的最后报价为准）。</w:t>
      </w:r>
    </w:p>
    <w:p w14:paraId="360773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 评审价＝最后报价。</w:t>
      </w:r>
    </w:p>
    <w:p w14:paraId="1EAC1CBB">
      <w:pPr>
        <w:pStyle w:val="35"/>
        <w:rPr>
          <w:rFonts w:hint="eastAsia"/>
          <w:color w:val="auto"/>
        </w:rPr>
      </w:pPr>
    </w:p>
    <w:p w14:paraId="4F87D145">
      <w:pPr>
        <w:pStyle w:val="35"/>
        <w:rPr>
          <w:rFonts w:hint="eastAsia"/>
          <w:color w:val="auto"/>
        </w:rPr>
      </w:pPr>
    </w:p>
    <w:p w14:paraId="4999E94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二、评定方法</w:t>
      </w:r>
    </w:p>
    <w:p w14:paraId="7112B3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 一) 对进入详评的，磋商小组将以竞争性磋商文件 、响应文件为评定依据，采用百分制综合评分法；计分办法</w:t>
      </w:r>
      <w:r>
        <w:rPr>
          <w:rFonts w:hint="eastAsia"/>
          <w:color w:val="auto"/>
          <w:lang w:eastAsia="zh-CN"/>
        </w:rPr>
        <w:t>（按四舍五入取至百分位）</w:t>
      </w:r>
      <w:r>
        <w:rPr>
          <w:rFonts w:hint="eastAsia"/>
          <w:color w:val="auto"/>
        </w:rPr>
        <w:t>。</w:t>
      </w:r>
    </w:p>
    <w:p w14:paraId="374D87C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1、价格分……………………………………………………………………………………30 分</w:t>
      </w:r>
    </w:p>
    <w:p w14:paraId="480EF7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价格分统一采用低价优先法计算，即满足磋商文件要求且评审价最低的有效供应商的评审价为磋商基准价，其价格分为满分。超出预算价和未通过资格、符合性审查的供应商， 其报价无效。报价评分以最后磋商报价的评审价为依据，根据上面的优惠政策计算各个磋商供应商的评审报价进行计算价格分。</w:t>
      </w:r>
    </w:p>
    <w:p w14:paraId="429F38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其他供应商的价格分统一按照下列公式计算：</w:t>
      </w:r>
    </w:p>
    <w:p w14:paraId="1031D3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某有效供应商价格分 = (磋商基准价/某有效供应商评审价) ×30 分</w:t>
      </w:r>
    </w:p>
    <w:p w14:paraId="4CAB302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2、技术分 ……………………………………………………………………………………</w:t>
      </w:r>
      <w:r>
        <w:rPr>
          <w:rFonts w:hint="eastAsia"/>
          <w:b/>
          <w:bCs/>
          <w:color w:val="auto"/>
          <w:lang w:val="en-US" w:eastAsia="zh-CN"/>
        </w:rPr>
        <w:t>70</w:t>
      </w:r>
      <w:r>
        <w:rPr>
          <w:rFonts w:hint="eastAsia"/>
          <w:b/>
          <w:bCs/>
          <w:color w:val="auto"/>
        </w:rPr>
        <w:t xml:space="preserve"> 分</w:t>
      </w:r>
    </w:p>
    <w:p w14:paraId="69782E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(1) 拟投入人员配备情况 (满分3分)</w:t>
      </w:r>
    </w:p>
    <w:p w14:paraId="5FB56C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①项目经理要求：具备</w:t>
      </w:r>
      <w:r>
        <w:rPr>
          <w:rFonts w:hint="eastAsia" w:asciiTheme="minorEastAsia" w:hAnsiTheme="minorEastAsia" w:eastAsiaTheme="minorEastAsia" w:cstheme="minorEastAsia"/>
          <w:color w:val="auto"/>
          <w:sz w:val="21"/>
          <w:szCs w:val="21"/>
          <w:lang w:eastAsia="zh-CN"/>
        </w:rPr>
        <w:t>公路工程专业</w:t>
      </w:r>
      <w:r>
        <w:rPr>
          <w:rFonts w:hint="eastAsia"/>
          <w:color w:val="auto"/>
        </w:rPr>
        <w:t>贰级及以上注册建造师执业资格，并具有效的安全生产考核合格 (B) 证书，得 1 分。  (满分1分)</w:t>
      </w:r>
    </w:p>
    <w:p w14:paraId="7C0078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②基本人员要求：拟派驻本项目的技术负责人应具有工程类中级及以上职称证件，安全员、施工员、质检员、材料员应具有相应岗位资格证书，且拟投入的项目管理人员符合国家及广西壮族自治区的规定，否则不得分。</w:t>
      </w:r>
    </w:p>
    <w:p w14:paraId="046466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(2分) ：投入人员齐备、搭配合理科学，完全满足施工需要。</w:t>
      </w:r>
    </w:p>
    <w:p w14:paraId="060EB9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(1.5分) ：投入人员基本齐备、搭配合理，满足施工需要。</w:t>
      </w:r>
    </w:p>
    <w:p w14:paraId="14E831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(1分) ：投入人员齐备、搭配一般合理，基本满足施工需要。</w:t>
      </w:r>
    </w:p>
    <w:p w14:paraId="6C0398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(0.5分) ：投入人员不齐备、不能满足施工需要。</w:t>
      </w:r>
    </w:p>
    <w:p w14:paraId="316AFE2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(2) 主要施工方法 (满分10分)</w:t>
      </w:r>
    </w:p>
    <w:p w14:paraId="6B1B70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(10分) ：各主要分部施工方法针对性强，施工技术方案详尽周密，工艺先进、方法科学、可行，能很好的指导具体施工并确保安全。</w:t>
      </w:r>
    </w:p>
    <w:p w14:paraId="383831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(7) ：各主要分部施工方法符合项目实际，施工技术方案齐全，工艺成熟、方法合理、可行，能指导具体施工并确保安全。</w:t>
      </w:r>
    </w:p>
    <w:p w14:paraId="51CA41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(3分) ：各主要分部施工方法基本符合项目实际，施工技术方案基本齐全，方法基本合理、基本可行，基本能指导具体施工并确保安全。</w:t>
      </w:r>
    </w:p>
    <w:p w14:paraId="0E05F3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(1分) ：各主要分部施工方法针对性差，施工技术方案差，工艺落后、方法不合理，不能指导具体施工和确保安全。</w:t>
      </w:r>
    </w:p>
    <w:p w14:paraId="354E51A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(3) 拟投入的主要物资计划 (满分</w:t>
      </w:r>
      <w:r>
        <w:rPr>
          <w:rFonts w:hint="eastAsia"/>
          <w:b/>
          <w:bCs/>
          <w:color w:val="auto"/>
          <w:lang w:val="en-US" w:eastAsia="zh-CN"/>
        </w:rPr>
        <w:t>4</w:t>
      </w:r>
      <w:r>
        <w:rPr>
          <w:rFonts w:hint="eastAsia"/>
          <w:b/>
          <w:bCs/>
          <w:color w:val="auto"/>
        </w:rPr>
        <w:t>分)</w:t>
      </w:r>
    </w:p>
    <w:p w14:paraId="7B9356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w:t>
      </w:r>
      <w:r>
        <w:rPr>
          <w:rFonts w:hint="eastAsia"/>
          <w:color w:val="auto"/>
          <w:lang w:val="en-US" w:eastAsia="zh-CN"/>
        </w:rPr>
        <w:t>4</w:t>
      </w:r>
      <w:r>
        <w:rPr>
          <w:rFonts w:hint="eastAsia"/>
          <w:color w:val="auto"/>
        </w:rPr>
        <w:t>分) ：投入的施工材料有详细的组织计划且计划周密，投入计划与进度计划呼应，较好满足施工需要，调配投入计划合理、准确。</w:t>
      </w:r>
    </w:p>
    <w:p w14:paraId="11172E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w:t>
      </w:r>
      <w:r>
        <w:rPr>
          <w:rFonts w:hint="eastAsia"/>
          <w:color w:val="auto"/>
          <w:lang w:val="en-US" w:eastAsia="zh-CN"/>
        </w:rPr>
        <w:t>3</w:t>
      </w:r>
      <w:r>
        <w:rPr>
          <w:rFonts w:hint="eastAsia"/>
          <w:color w:val="auto"/>
        </w:rPr>
        <w:t>分) ：投入的施工材料有详细的组织计划，投入计划与进度计划呼应，基本满足施工需要，调配投入计划基本合理、准确。</w:t>
      </w:r>
    </w:p>
    <w:p w14:paraId="325E51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w:t>
      </w:r>
      <w:r>
        <w:rPr>
          <w:rFonts w:hint="eastAsia"/>
          <w:color w:val="auto"/>
          <w:lang w:val="en-US" w:eastAsia="zh-CN"/>
        </w:rPr>
        <w:t>2</w:t>
      </w:r>
      <w:r>
        <w:rPr>
          <w:rFonts w:hint="eastAsia"/>
          <w:color w:val="auto"/>
        </w:rPr>
        <w:t>分) ：投入的施工材料有详细的组织计划，投入计划与进度计划呼应，基本满足施工需要，调配投入计划基本合理。</w:t>
      </w:r>
    </w:p>
    <w:p w14:paraId="67CFB0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w:t>
      </w:r>
      <w:r>
        <w:rPr>
          <w:rFonts w:hint="eastAsia"/>
          <w:color w:val="auto"/>
          <w:lang w:val="en-US" w:eastAsia="zh-CN"/>
        </w:rPr>
        <w:t>1</w:t>
      </w:r>
      <w:r>
        <w:rPr>
          <w:rFonts w:hint="eastAsia"/>
          <w:color w:val="auto"/>
        </w:rPr>
        <w:t>分) ：投入的施工材料的组织计划差，投入计划与进度计划不呼应，不能满足施工需要。</w:t>
      </w:r>
    </w:p>
    <w:p w14:paraId="5B88FA8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(4) 拟投入的主要施工机械、设备计划 (满分 5分)</w:t>
      </w:r>
    </w:p>
    <w:p w14:paraId="52632A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(5分) ：投入的施工机械、设备、机具有详细的组织计划且计划周密，设备数量、选型配置、进场时间安排合理，满足施工需要。</w:t>
      </w:r>
    </w:p>
    <w:p w14:paraId="5F83D9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(3分) ：投入的施工机械、设备、机具有详细的组织计划，设备数量、选型配置、进场投入计划与进度计划呼应，满足施工需要。</w:t>
      </w:r>
    </w:p>
    <w:p w14:paraId="3C3F0B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(1.5分) ：投入的施工机械、设备、机具有组织计划，设备数量、选型配置、进场投入计划与进度计划呼应，基本满足施工需要。</w:t>
      </w:r>
    </w:p>
    <w:p w14:paraId="25ECB5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(1分) ：投入的施工机械、设备、机具组织计划差，投入计划与进度计划不呼应，不能满足施工需要。</w:t>
      </w:r>
    </w:p>
    <w:p w14:paraId="3DC2B5B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(5) 劳动力安排计划 (满分 3分)</w:t>
      </w:r>
    </w:p>
    <w:p w14:paraId="6728B3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(3分) ：各主要施工工序有详细周密的劳动力安排计划，各工种劳动力安排计划齐全，劳动力投入与进度计划呼应合理，满足施工需要。</w:t>
      </w:r>
    </w:p>
    <w:p w14:paraId="6731BB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(1.5分) ：各主要施工工序有详细的劳动力安排计划，有各工种劳动力安排计划，劳动力投入合理，满足施工需要。</w:t>
      </w:r>
    </w:p>
    <w:p w14:paraId="4670A1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(1分) ：各主要施工工序应有劳动力安排计划，有各工种劳动力安排计划，劳动力投入基本合理，基本满足施工需要。</w:t>
      </w:r>
    </w:p>
    <w:p w14:paraId="092A56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(0.5分) ：各主要施工工序劳动力安排计划不全，无各工种劳动力安排计划或计划不全，劳动力投入不合理，不能满足施工需要。</w:t>
      </w:r>
    </w:p>
    <w:p w14:paraId="7E12E70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(6) 确保工程质量的技术组织措施 (满分 5分)</w:t>
      </w:r>
    </w:p>
    <w:p w14:paraId="02896F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(5分) ：有专门的质量技术管理班子和制度，且人员配备合理，制度健全。主要工序有质量技术保证措施和手段，且先进、可行、具体，高于</w:t>
      </w:r>
      <w:r>
        <w:rPr>
          <w:rFonts w:hint="eastAsia"/>
          <w:color w:val="auto"/>
          <w:lang w:eastAsia="zh-CN"/>
        </w:rPr>
        <w:t>采购</w:t>
      </w:r>
      <w:r>
        <w:rPr>
          <w:rFonts w:hint="eastAsia"/>
          <w:color w:val="auto"/>
        </w:rPr>
        <w:t>文件的质量要求及施工验收规范 要求，达到承诺的质量标准。</w:t>
      </w:r>
    </w:p>
    <w:p w14:paraId="3E1A98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(3分) ：有专门的质量技术管理班子和制度，且人员配备合理，制度健全。主要工序有质量技术保证措施和手段，自控体系完整，能有效保证技术质量，达到承诺的质量标准。</w:t>
      </w:r>
    </w:p>
    <w:p w14:paraId="31F179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(1.5分) ：质量技术管理班子人员配备基本合理，制度基本健全。主要工序有质量技术保证措施和手段，能有效保证技术质量，满足</w:t>
      </w:r>
      <w:r>
        <w:rPr>
          <w:rFonts w:hint="eastAsia"/>
          <w:color w:val="auto"/>
          <w:lang w:eastAsia="zh-CN"/>
        </w:rPr>
        <w:t>采购</w:t>
      </w:r>
      <w:r>
        <w:rPr>
          <w:rFonts w:hint="eastAsia"/>
          <w:color w:val="auto"/>
        </w:rPr>
        <w:t>文件的质量要求。</w:t>
      </w:r>
    </w:p>
    <w:p w14:paraId="4C63B8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(1分) ：质量技术管理班子人员配备不合理，制度不健全。质量技术保证措施和手段不可行，没有质量违约责任承诺。</w:t>
      </w:r>
    </w:p>
    <w:p w14:paraId="1ABEA8B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(7) 确保安全生产的技术组织措施 (满分10分)</w:t>
      </w:r>
    </w:p>
    <w:p w14:paraId="736E05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(10分) ：安全人员配备合理；有健全的安全管理制度，各道工序安全技术措施针对性强，符合实际且高于国家有关安全技术标准要求。现场防火、应急救援、社会治安安全措施得力。</w:t>
      </w:r>
    </w:p>
    <w:p w14:paraId="7C70EE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(7分) ：安全人员配备合理；有健全的安全管理制度，各道工序安全技术措施符合实际且满足有关安全技术标准要求。现场防火、应急救援、社会治安安全措施合理。</w:t>
      </w:r>
    </w:p>
    <w:p w14:paraId="6000B5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(3分) ：安全人员配备基本合理，安全管理制度基本健全，各道工序安全技术措施基本符合实际，基本满足有关安全技术标准要求。现场防火、应急救援、社会治安安全措施基本合理。</w:t>
      </w:r>
    </w:p>
    <w:p w14:paraId="1A3805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(1分) ：安全人员配备不合理，安全管理制度不健全，各道工序安全技术措施基本符合实际，不能满足有关安全技术标准要求。现场防火、应急救援、社会治安安全措施不合理。</w:t>
      </w:r>
    </w:p>
    <w:p w14:paraId="4213A8F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(8) 确保工期的技术组织措施 (满分10分)</w:t>
      </w:r>
    </w:p>
    <w:p w14:paraId="4E49A3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(10分) ：有保证工期的具体措施且措施得力。各项计划图表编制详尽周密，安排科学合理，符合本项目施工实际要求。</w:t>
      </w:r>
    </w:p>
    <w:p w14:paraId="327A15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(7分) ：有保证工期的具体措施且措施得当。各项计划图表编制完善，安排较合理，符合本项目施工实际要求。</w:t>
      </w:r>
    </w:p>
    <w:p w14:paraId="7D2DAC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(3分) ：有保证工期的具体措施，措施基本得当。各项计划图表编制基本齐全，安排基本合理，基本符合本项目施工实际要求。</w:t>
      </w:r>
    </w:p>
    <w:p w14:paraId="4379CC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(1分) ：有保证工期的具体措施。各项计划图表编制不完善，安排不合理，不能满足本项目施工实际要求。</w:t>
      </w:r>
    </w:p>
    <w:p w14:paraId="2120AA6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(9) 确保文明施工的技术组织措施 (满分10分)</w:t>
      </w:r>
    </w:p>
    <w:p w14:paraId="64CEC2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(10分) ：现场文明施工、环境保护措施和内容达到且高于《建筑施工安全生产检查标准》、《广西壮族自治区建筑工程文明施工导则》要求；有具体实现现场文明施工目标的承诺，而且各项措施科学、得力的。</w:t>
      </w:r>
    </w:p>
    <w:p w14:paraId="229604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(7分) ：现场文明施工、环境保护措施和内容达到《建筑施工安全生产检查标准》、《广西壮族自治区建筑工程文明施工导则》要求；有具体实现现场文明施工目标的承诺，而且各项措施周全、有效的。</w:t>
      </w:r>
    </w:p>
    <w:p w14:paraId="37203E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(3分) ：现场文明施工、环境保护措施和内容基本达到《建筑施工安全生产检查标准》、《广西壮族自治区建筑工程文明施工导则》要求；有具体实现现场文明施工目标的承诺， 而且各项措施基本全面、有效的。</w:t>
      </w:r>
    </w:p>
    <w:p w14:paraId="6CA4FC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(1分) ：现场文明施工、环境保护措施和内容与《建筑施工安全生产检查标准》、《广 西壮族自治区建筑工程文明施工导则》的要求偏差大，无现场文明施工目标的承诺。</w:t>
      </w:r>
    </w:p>
    <w:p w14:paraId="75998F7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(10) 工程施工的重点和难点及保证措施 (满分10分)</w:t>
      </w:r>
    </w:p>
    <w:p w14:paraId="077C5E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(10分) ：对项目关键技术、工艺有深入的表述。对重点、难点有先进合理的施工措施并有可行的安全措施，解决方案完整、经济、安全、切实可行，措施得力。</w:t>
      </w:r>
    </w:p>
    <w:p w14:paraId="7C7EDC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(7分) ：对项目关键技术、工艺有深入的表述，对重点、难点有合理的建议，解决方案经济、安全、基本可行。</w:t>
      </w:r>
    </w:p>
    <w:p w14:paraId="024CE6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 xml:space="preserve">中 (3分) ：对项目关键技术有一定了解，对重点、难点有建议，解决方案基本可行。 </w:t>
      </w:r>
    </w:p>
    <w:p w14:paraId="6535D2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(1分) ：对项目关键技术有表述，对重点、难点有建议，解决方案不可行。</w:t>
      </w:r>
    </w:p>
    <w:p w14:paraId="7893C7B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 xml:space="preserve">总得分 = 1 + 2 </w:t>
      </w:r>
    </w:p>
    <w:p w14:paraId="4FADF75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成交候选供应商推荐原则</w:t>
      </w:r>
    </w:p>
    <w:p w14:paraId="3A5218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 一) 磋商小组将根据总得分由高到低对供应商排列次序 (得分相同时，以最终报价由低到高顺序排列；得分相同且最终报价相同的，按技术指标优劣顺序排列) ，并推荐前三名为成交候选人。采购人应当确定磋商小组推荐排名第一的成交候选人为成交供应商。</w:t>
      </w:r>
    </w:p>
    <w:p w14:paraId="5FD098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(二) 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67EA80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注：成交价=成交供应商最后报价。</w:t>
      </w:r>
    </w:p>
    <w:p w14:paraId="3F7D68B1">
      <w:pPr>
        <w:pStyle w:val="35"/>
        <w:rPr>
          <w:rFonts w:hint="eastAsia" w:ascii="黑体" w:hAnsi="宋体" w:eastAsia="黑体" w:cs="Times New Roman"/>
          <w:b/>
          <w:bCs/>
          <w:color w:val="auto"/>
          <w:kern w:val="0"/>
          <w:sz w:val="36"/>
          <w:szCs w:val="36"/>
        </w:rPr>
      </w:pPr>
    </w:p>
    <w:p w14:paraId="71449B14">
      <w:pPr>
        <w:pStyle w:val="35"/>
        <w:rPr>
          <w:rFonts w:hint="eastAsia" w:ascii="黑体" w:hAnsi="宋体" w:eastAsia="黑体" w:cs="Times New Roman"/>
          <w:b/>
          <w:bCs/>
          <w:color w:val="auto"/>
          <w:kern w:val="0"/>
          <w:sz w:val="36"/>
          <w:szCs w:val="36"/>
        </w:rPr>
      </w:pPr>
    </w:p>
    <w:p w14:paraId="2F3158DD">
      <w:pPr>
        <w:pStyle w:val="35"/>
        <w:rPr>
          <w:rFonts w:hint="eastAsia" w:ascii="黑体" w:hAnsi="宋体" w:eastAsia="黑体" w:cs="Times New Roman"/>
          <w:b/>
          <w:bCs/>
          <w:color w:val="auto"/>
          <w:kern w:val="0"/>
          <w:sz w:val="36"/>
          <w:szCs w:val="36"/>
        </w:rPr>
      </w:pPr>
    </w:p>
    <w:p w14:paraId="322E524D">
      <w:pPr>
        <w:pStyle w:val="35"/>
        <w:rPr>
          <w:rFonts w:hint="eastAsia" w:ascii="黑体" w:hAnsi="宋体" w:eastAsia="黑体" w:cs="Times New Roman"/>
          <w:b/>
          <w:bCs/>
          <w:color w:val="auto"/>
          <w:kern w:val="0"/>
          <w:sz w:val="36"/>
          <w:szCs w:val="36"/>
        </w:rPr>
      </w:pPr>
    </w:p>
    <w:p w14:paraId="5E4D1C98">
      <w:pPr>
        <w:pStyle w:val="35"/>
        <w:rPr>
          <w:rFonts w:hint="eastAsia" w:ascii="黑体" w:hAnsi="宋体" w:eastAsia="黑体" w:cs="Times New Roman"/>
          <w:b/>
          <w:bCs/>
          <w:color w:val="auto"/>
          <w:kern w:val="0"/>
          <w:sz w:val="36"/>
          <w:szCs w:val="36"/>
        </w:rPr>
      </w:pPr>
    </w:p>
    <w:p w14:paraId="0FB76242">
      <w:pPr>
        <w:pStyle w:val="12"/>
        <w:spacing w:line="400" w:lineRule="exact"/>
        <w:jc w:val="center"/>
        <w:outlineLvl w:val="0"/>
        <w:rPr>
          <w:rFonts w:hint="eastAsia" w:ascii="黑体" w:hAnsi="宋体" w:eastAsia="黑体" w:cs="Times New Roman"/>
          <w:b/>
          <w:bCs/>
          <w:color w:val="auto"/>
          <w:kern w:val="0"/>
          <w:sz w:val="36"/>
          <w:szCs w:val="36"/>
        </w:rPr>
      </w:pPr>
    </w:p>
    <w:p w14:paraId="6499DF1C">
      <w:pPr>
        <w:rPr>
          <w:rFonts w:hint="eastAsia" w:ascii="黑体" w:hAnsi="宋体" w:eastAsia="黑体" w:cs="Times New Roman"/>
          <w:b/>
          <w:bCs/>
          <w:color w:val="auto"/>
          <w:kern w:val="0"/>
          <w:sz w:val="36"/>
          <w:szCs w:val="36"/>
        </w:rPr>
      </w:pPr>
      <w:bookmarkStart w:id="67" w:name="_Toc15543"/>
      <w:r>
        <w:rPr>
          <w:rFonts w:hint="eastAsia" w:ascii="黑体" w:hAnsi="宋体" w:eastAsia="黑体" w:cs="Times New Roman"/>
          <w:b/>
          <w:bCs/>
          <w:color w:val="auto"/>
          <w:kern w:val="0"/>
          <w:sz w:val="36"/>
          <w:szCs w:val="36"/>
        </w:rPr>
        <w:br w:type="page"/>
      </w:r>
    </w:p>
    <w:p w14:paraId="7491CF48">
      <w:pPr>
        <w:pStyle w:val="12"/>
        <w:spacing w:line="400" w:lineRule="exact"/>
        <w:jc w:val="center"/>
        <w:outlineLvl w:val="0"/>
        <w:rPr>
          <w:rFonts w:hint="eastAsia" w:ascii="黑体" w:hAnsi="宋体" w:eastAsia="黑体" w:cs="Times New Roman"/>
          <w:b/>
          <w:bCs/>
          <w:color w:val="auto"/>
          <w:kern w:val="0"/>
          <w:sz w:val="36"/>
          <w:szCs w:val="36"/>
        </w:rPr>
      </w:pPr>
    </w:p>
    <w:p w14:paraId="0DC6F1E5">
      <w:pPr>
        <w:pStyle w:val="12"/>
        <w:spacing w:line="400" w:lineRule="exact"/>
        <w:jc w:val="center"/>
        <w:outlineLvl w:val="0"/>
        <w:rPr>
          <w:rFonts w:ascii="黑体" w:hAnsi="宋体" w:eastAsia="黑体" w:cs="Times New Roman"/>
          <w:b/>
          <w:bCs/>
          <w:color w:val="auto"/>
          <w:kern w:val="0"/>
          <w:sz w:val="36"/>
          <w:szCs w:val="36"/>
        </w:rPr>
      </w:pPr>
      <w:r>
        <w:rPr>
          <w:rFonts w:hint="eastAsia" w:ascii="黑体" w:hAnsi="宋体" w:eastAsia="黑体" w:cs="Times New Roman"/>
          <w:b/>
          <w:bCs/>
          <w:color w:val="auto"/>
          <w:kern w:val="0"/>
          <w:sz w:val="36"/>
          <w:szCs w:val="36"/>
        </w:rPr>
        <w:t>第</w:t>
      </w:r>
      <w:r>
        <w:rPr>
          <w:rFonts w:hint="eastAsia" w:ascii="黑体" w:hAnsi="宋体" w:eastAsia="黑体" w:cs="Times New Roman"/>
          <w:b/>
          <w:bCs/>
          <w:color w:val="auto"/>
          <w:kern w:val="0"/>
          <w:sz w:val="36"/>
          <w:szCs w:val="36"/>
          <w:lang w:val="en-US" w:eastAsia="zh-CN"/>
        </w:rPr>
        <w:t>五</w:t>
      </w:r>
      <w:r>
        <w:rPr>
          <w:rFonts w:hint="eastAsia" w:ascii="黑体" w:hAnsi="宋体" w:eastAsia="黑体" w:cs="Times New Roman"/>
          <w:b/>
          <w:bCs/>
          <w:color w:val="auto"/>
          <w:kern w:val="0"/>
          <w:sz w:val="36"/>
          <w:szCs w:val="36"/>
        </w:rPr>
        <w:t>章  响应文件（格式）</w:t>
      </w:r>
      <w:bookmarkEnd w:id="67"/>
    </w:p>
    <w:p w14:paraId="2CDF0ADC">
      <w:pPr>
        <w:autoSpaceDE w:val="0"/>
        <w:autoSpaceDN w:val="0"/>
        <w:adjustRightInd w:val="0"/>
        <w:spacing w:line="360" w:lineRule="auto"/>
        <w:rPr>
          <w:rFonts w:ascii="宋体" w:cs="宋体"/>
          <w:color w:val="auto"/>
          <w:szCs w:val="21"/>
          <w:lang w:val="zh-CN"/>
        </w:rPr>
      </w:pPr>
    </w:p>
    <w:p w14:paraId="66B8FE89">
      <w:pPr>
        <w:spacing w:before="100" w:line="225" w:lineRule="auto"/>
        <w:ind w:left="16"/>
        <w:outlineLvl w:val="1"/>
        <w:rPr>
          <w:rFonts w:ascii="宋体" w:hAnsi="宋体" w:eastAsia="宋体" w:cs="宋体"/>
          <w:color w:val="auto"/>
          <w:sz w:val="31"/>
          <w:szCs w:val="31"/>
        </w:rPr>
      </w:pPr>
      <w:r>
        <w:rPr>
          <w:rFonts w:ascii="Cambria" w:hAnsi="Cambria" w:eastAsia="Cambria" w:cs="Cambria"/>
          <w:color w:val="auto"/>
          <w:spacing w:val="-1"/>
          <w:sz w:val="31"/>
          <w:szCs w:val="31"/>
        </w:rPr>
        <w:t xml:space="preserve">1. </w:t>
      </w:r>
      <w:r>
        <w:rPr>
          <w:rFonts w:ascii="宋体" w:hAnsi="宋体" w:eastAsia="宋体" w:cs="宋体"/>
          <w:color w:val="auto"/>
          <w:spacing w:val="-1"/>
          <w:sz w:val="31"/>
          <w:szCs w:val="31"/>
        </w:rPr>
        <w:t>响应文件封面格式</w:t>
      </w:r>
      <w:r>
        <w:rPr>
          <w:rFonts w:ascii="宋体" w:hAnsi="宋体" w:eastAsia="宋体" w:cs="宋体"/>
          <w:color w:val="auto"/>
          <w:sz w:val="31"/>
          <w:szCs w:val="31"/>
        </w:rPr>
        <w:t>：</w:t>
      </w:r>
    </w:p>
    <w:p w14:paraId="626171BB">
      <w:pPr>
        <w:spacing w:line="255" w:lineRule="auto"/>
        <w:rPr>
          <w:rFonts w:ascii="Arial"/>
          <w:color w:val="auto"/>
          <w:sz w:val="21"/>
        </w:rPr>
      </w:pPr>
    </w:p>
    <w:p w14:paraId="613C6B05">
      <w:pPr>
        <w:spacing w:line="255" w:lineRule="auto"/>
        <w:rPr>
          <w:rFonts w:ascii="Arial"/>
          <w:color w:val="auto"/>
          <w:sz w:val="21"/>
        </w:rPr>
      </w:pPr>
    </w:p>
    <w:p w14:paraId="14325D47">
      <w:pPr>
        <w:spacing w:line="255" w:lineRule="auto"/>
        <w:rPr>
          <w:rFonts w:ascii="Arial"/>
          <w:color w:val="auto"/>
          <w:sz w:val="21"/>
        </w:rPr>
      </w:pPr>
    </w:p>
    <w:p w14:paraId="51342562">
      <w:pPr>
        <w:spacing w:line="256" w:lineRule="auto"/>
        <w:rPr>
          <w:rFonts w:ascii="Arial"/>
          <w:color w:val="auto"/>
          <w:sz w:val="21"/>
        </w:rPr>
      </w:pPr>
    </w:p>
    <w:p w14:paraId="292E550C">
      <w:pPr>
        <w:spacing w:line="256" w:lineRule="auto"/>
        <w:rPr>
          <w:rFonts w:ascii="Arial"/>
          <w:color w:val="auto"/>
          <w:sz w:val="21"/>
        </w:rPr>
      </w:pPr>
    </w:p>
    <w:p w14:paraId="354FB14A">
      <w:pPr>
        <w:spacing w:line="256" w:lineRule="auto"/>
        <w:rPr>
          <w:rFonts w:ascii="Arial"/>
          <w:color w:val="auto"/>
          <w:sz w:val="21"/>
        </w:rPr>
      </w:pPr>
    </w:p>
    <w:p w14:paraId="3A493373">
      <w:pPr>
        <w:spacing w:line="256" w:lineRule="auto"/>
        <w:rPr>
          <w:rFonts w:ascii="Arial"/>
          <w:color w:val="auto"/>
          <w:sz w:val="21"/>
        </w:rPr>
      </w:pPr>
    </w:p>
    <w:p w14:paraId="76C229DC">
      <w:pPr>
        <w:spacing w:line="256" w:lineRule="auto"/>
        <w:rPr>
          <w:rFonts w:ascii="Arial"/>
          <w:color w:val="auto"/>
          <w:sz w:val="21"/>
        </w:rPr>
      </w:pPr>
    </w:p>
    <w:p w14:paraId="4C39EE1D">
      <w:pPr>
        <w:spacing w:line="256" w:lineRule="auto"/>
        <w:rPr>
          <w:rFonts w:ascii="Arial"/>
          <w:color w:val="auto"/>
          <w:sz w:val="21"/>
        </w:rPr>
      </w:pPr>
    </w:p>
    <w:p w14:paraId="5CCC2232">
      <w:pPr>
        <w:spacing w:before="231" w:line="223" w:lineRule="auto"/>
        <w:ind w:left="15" w:leftChars="0" w:hanging="15" w:firstLineChars="0"/>
        <w:jc w:val="center"/>
        <w:rPr>
          <w:rFonts w:ascii="宋体" w:hAnsi="宋体" w:eastAsia="宋体" w:cs="宋体"/>
          <w:color w:val="auto"/>
          <w:sz w:val="71"/>
          <w:szCs w:val="71"/>
        </w:rPr>
      </w:pPr>
      <w:r>
        <w:rPr>
          <w:rFonts w:ascii="宋体" w:hAnsi="宋体" w:eastAsia="宋体" w:cs="宋体"/>
          <w:color w:val="auto"/>
          <w:spacing w:val="6"/>
          <w:sz w:val="71"/>
          <w:szCs w:val="71"/>
        </w:rPr>
        <w:t>竞争性磋商响应文</w:t>
      </w:r>
      <w:r>
        <w:rPr>
          <w:rFonts w:ascii="宋体" w:hAnsi="宋体" w:eastAsia="宋体" w:cs="宋体"/>
          <w:color w:val="auto"/>
          <w:spacing w:val="5"/>
          <w:sz w:val="71"/>
          <w:szCs w:val="71"/>
        </w:rPr>
        <w:t>件</w:t>
      </w:r>
    </w:p>
    <w:p w14:paraId="365B922E">
      <w:pPr>
        <w:spacing w:line="313" w:lineRule="auto"/>
        <w:rPr>
          <w:rFonts w:ascii="Arial"/>
          <w:color w:val="auto"/>
          <w:sz w:val="21"/>
        </w:rPr>
      </w:pPr>
    </w:p>
    <w:p w14:paraId="3ADF8539">
      <w:pPr>
        <w:spacing w:line="314" w:lineRule="auto"/>
        <w:rPr>
          <w:rFonts w:ascii="Arial"/>
          <w:color w:val="auto"/>
          <w:sz w:val="21"/>
        </w:rPr>
      </w:pPr>
    </w:p>
    <w:p w14:paraId="68B25840">
      <w:pPr>
        <w:pStyle w:val="33"/>
        <w:rPr>
          <w:rFonts w:ascii="Arial"/>
          <w:color w:val="auto"/>
          <w:sz w:val="21"/>
        </w:rPr>
      </w:pPr>
    </w:p>
    <w:p w14:paraId="240644CC">
      <w:pPr>
        <w:pStyle w:val="9"/>
        <w:rPr>
          <w:rFonts w:ascii="Arial"/>
          <w:color w:val="auto"/>
          <w:sz w:val="21"/>
        </w:rPr>
      </w:pPr>
    </w:p>
    <w:p w14:paraId="6472D163">
      <w:pPr>
        <w:rPr>
          <w:rFonts w:ascii="Arial"/>
          <w:color w:val="auto"/>
          <w:sz w:val="21"/>
        </w:rPr>
      </w:pPr>
    </w:p>
    <w:p w14:paraId="50DFDEC4">
      <w:pPr>
        <w:pStyle w:val="33"/>
        <w:rPr>
          <w:color w:val="auto"/>
        </w:rPr>
      </w:pPr>
    </w:p>
    <w:p w14:paraId="1B857E00">
      <w:pPr>
        <w:keepNext w:val="0"/>
        <w:keepLines w:val="0"/>
        <w:pageBreakBefore w:val="0"/>
        <w:widowControl w:val="0"/>
        <w:kinsoku/>
        <w:wordWrap/>
        <w:overflowPunct/>
        <w:topLinePunct w:val="0"/>
        <w:autoSpaceDE/>
        <w:autoSpaceDN/>
        <w:bidi w:val="0"/>
        <w:adjustRightInd/>
        <w:snapToGrid/>
        <w:spacing w:line="700" w:lineRule="exact"/>
        <w:ind w:left="6" w:firstLine="1280" w:firstLineChars="400"/>
        <w:textAlignment w:val="auto"/>
        <w:rPr>
          <w:rFonts w:ascii="宋体" w:hAnsi="宋体" w:eastAsia="宋体" w:cs="宋体"/>
          <w:color w:val="auto"/>
          <w:sz w:val="31"/>
          <w:szCs w:val="31"/>
        </w:rPr>
      </w:pPr>
      <w:r>
        <w:rPr>
          <w:rFonts w:ascii="宋体" w:hAnsi="宋体" w:eastAsia="宋体" w:cs="宋体"/>
          <w:color w:val="auto"/>
          <w:spacing w:val="5"/>
          <w:sz w:val="31"/>
          <w:szCs w:val="31"/>
        </w:rPr>
        <w:t>项</w:t>
      </w:r>
      <w:r>
        <w:rPr>
          <w:rFonts w:ascii="宋体" w:hAnsi="宋体" w:eastAsia="宋体" w:cs="宋体"/>
          <w:color w:val="auto"/>
          <w:spacing w:val="4"/>
          <w:sz w:val="31"/>
          <w:szCs w:val="31"/>
        </w:rPr>
        <w:t>目名称：</w:t>
      </w:r>
      <w:r>
        <w:rPr>
          <w:rFonts w:ascii="宋体" w:hAnsi="宋体" w:eastAsia="宋体" w:cs="宋体"/>
          <w:color w:val="auto"/>
          <w:sz w:val="31"/>
          <w:szCs w:val="31"/>
          <w:u w:val="single" w:color="auto"/>
        </w:rPr>
        <w:t xml:space="preserve">              </w:t>
      </w:r>
      <w:r>
        <w:rPr>
          <w:rFonts w:hint="eastAsia" w:ascii="宋体" w:hAnsi="宋体" w:cs="宋体"/>
          <w:color w:val="auto"/>
          <w:sz w:val="31"/>
          <w:szCs w:val="31"/>
          <w:u w:val="single" w:color="auto"/>
          <w:lang w:val="en-US" w:eastAsia="zh-CN"/>
        </w:rPr>
        <w:t xml:space="preserve">   </w:t>
      </w:r>
      <w:r>
        <w:rPr>
          <w:rFonts w:ascii="宋体" w:hAnsi="宋体" w:eastAsia="宋体" w:cs="宋体"/>
          <w:color w:val="auto"/>
          <w:sz w:val="31"/>
          <w:szCs w:val="31"/>
          <w:u w:val="single" w:color="auto"/>
        </w:rPr>
        <w:t xml:space="preserve"> </w:t>
      </w:r>
      <w:r>
        <w:rPr>
          <w:rFonts w:hint="eastAsia" w:ascii="宋体" w:hAnsi="宋体" w:cs="宋体"/>
          <w:color w:val="auto"/>
          <w:sz w:val="31"/>
          <w:szCs w:val="31"/>
          <w:u w:val="single" w:color="auto"/>
          <w:lang w:val="en-US" w:eastAsia="zh-CN"/>
        </w:rPr>
        <w:t xml:space="preserve"> </w:t>
      </w:r>
      <w:r>
        <w:rPr>
          <w:rFonts w:ascii="宋体" w:hAnsi="宋体" w:eastAsia="宋体" w:cs="宋体"/>
          <w:color w:val="auto"/>
          <w:sz w:val="31"/>
          <w:szCs w:val="31"/>
          <w:u w:val="single" w:color="auto"/>
        </w:rPr>
        <w:t xml:space="preserve">      </w:t>
      </w:r>
    </w:p>
    <w:p w14:paraId="2BDBEB43">
      <w:pPr>
        <w:keepNext w:val="0"/>
        <w:keepLines w:val="0"/>
        <w:pageBreakBefore w:val="0"/>
        <w:widowControl w:val="0"/>
        <w:kinsoku/>
        <w:wordWrap/>
        <w:overflowPunct/>
        <w:topLinePunct w:val="0"/>
        <w:autoSpaceDE/>
        <w:autoSpaceDN/>
        <w:bidi w:val="0"/>
        <w:adjustRightInd/>
        <w:snapToGrid/>
        <w:spacing w:line="700" w:lineRule="exact"/>
        <w:ind w:left="6" w:firstLine="1280" w:firstLineChars="400"/>
        <w:textAlignment w:val="auto"/>
        <w:rPr>
          <w:rFonts w:ascii="宋体" w:hAnsi="宋体" w:eastAsia="宋体" w:cs="宋体"/>
          <w:color w:val="auto"/>
          <w:sz w:val="31"/>
          <w:szCs w:val="31"/>
        </w:rPr>
      </w:pPr>
      <w:r>
        <w:rPr>
          <w:rFonts w:ascii="宋体" w:hAnsi="宋体" w:eastAsia="宋体" w:cs="宋体"/>
          <w:color w:val="auto"/>
          <w:spacing w:val="5"/>
          <w:sz w:val="31"/>
          <w:szCs w:val="31"/>
        </w:rPr>
        <w:t>项</w:t>
      </w:r>
      <w:r>
        <w:rPr>
          <w:rFonts w:ascii="宋体" w:hAnsi="宋体" w:eastAsia="宋体" w:cs="宋体"/>
          <w:color w:val="auto"/>
          <w:spacing w:val="4"/>
          <w:sz w:val="31"/>
          <w:szCs w:val="31"/>
        </w:rPr>
        <w:t>目编号：</w:t>
      </w:r>
      <w:r>
        <w:rPr>
          <w:rFonts w:ascii="宋体" w:hAnsi="宋体" w:eastAsia="宋体" w:cs="宋体"/>
          <w:color w:val="auto"/>
          <w:sz w:val="31"/>
          <w:szCs w:val="31"/>
          <w:u w:val="single" w:color="auto"/>
        </w:rPr>
        <w:t xml:space="preserve">              </w:t>
      </w:r>
      <w:r>
        <w:rPr>
          <w:rFonts w:hint="eastAsia" w:ascii="宋体" w:hAnsi="宋体" w:cs="宋体"/>
          <w:color w:val="auto"/>
          <w:sz w:val="31"/>
          <w:szCs w:val="31"/>
          <w:u w:val="single" w:color="auto"/>
          <w:lang w:val="en-US" w:eastAsia="zh-CN"/>
        </w:rPr>
        <w:t xml:space="preserve">   </w:t>
      </w:r>
      <w:r>
        <w:rPr>
          <w:rFonts w:ascii="宋体" w:hAnsi="宋体" w:eastAsia="宋体" w:cs="宋体"/>
          <w:color w:val="auto"/>
          <w:sz w:val="31"/>
          <w:szCs w:val="31"/>
          <w:u w:val="single" w:color="auto"/>
        </w:rPr>
        <w:t xml:space="preserve"> </w:t>
      </w:r>
      <w:r>
        <w:rPr>
          <w:rFonts w:hint="eastAsia" w:ascii="宋体" w:hAnsi="宋体" w:cs="宋体"/>
          <w:color w:val="auto"/>
          <w:sz w:val="31"/>
          <w:szCs w:val="31"/>
          <w:u w:val="single" w:color="auto"/>
          <w:lang w:val="en-US" w:eastAsia="zh-CN"/>
        </w:rPr>
        <w:t xml:space="preserve"> </w:t>
      </w:r>
      <w:r>
        <w:rPr>
          <w:rFonts w:ascii="宋体" w:hAnsi="宋体" w:eastAsia="宋体" w:cs="宋体"/>
          <w:color w:val="auto"/>
          <w:sz w:val="31"/>
          <w:szCs w:val="31"/>
          <w:u w:val="single" w:color="auto"/>
        </w:rPr>
        <w:t xml:space="preserve">      </w:t>
      </w:r>
    </w:p>
    <w:p w14:paraId="686E89F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宋体" w:hAnsi="宋体" w:eastAsia="宋体" w:cs="宋体"/>
          <w:color w:val="auto"/>
          <w:sz w:val="31"/>
          <w:szCs w:val="31"/>
          <w:lang w:val="en-US" w:eastAsia="zh-CN"/>
        </w:rPr>
      </w:pPr>
      <w:r>
        <w:rPr>
          <w:rFonts w:hint="eastAsia" w:ascii="宋体" w:hAnsi="宋体" w:cs="宋体"/>
          <w:color w:val="auto"/>
          <w:spacing w:val="8"/>
          <w:sz w:val="31"/>
          <w:szCs w:val="31"/>
          <w:lang w:eastAsia="zh-CN"/>
        </w:rPr>
        <w:t>响应</w:t>
      </w:r>
      <w:r>
        <w:rPr>
          <w:rFonts w:ascii="宋体" w:hAnsi="宋体" w:eastAsia="宋体" w:cs="宋体"/>
          <w:color w:val="auto"/>
          <w:spacing w:val="4"/>
          <w:sz w:val="31"/>
          <w:szCs w:val="31"/>
        </w:rPr>
        <w:t>文件名称：</w:t>
      </w:r>
      <w:r>
        <w:rPr>
          <w:rFonts w:hint="eastAsia" w:ascii="宋体" w:hAnsi="宋体" w:cs="宋体"/>
          <w:color w:val="auto"/>
          <w:spacing w:val="4"/>
          <w:sz w:val="31"/>
          <w:szCs w:val="31"/>
          <w:u w:val="single" w:color="auto"/>
          <w:lang w:val="en-US" w:eastAsia="zh-CN"/>
        </w:rPr>
        <w:t>资格证明文件/商务技术文件/竞标报价文件</w:t>
      </w:r>
    </w:p>
    <w:p w14:paraId="52D1B809">
      <w:pPr>
        <w:keepNext w:val="0"/>
        <w:keepLines w:val="0"/>
        <w:pageBreakBefore w:val="0"/>
        <w:widowControl w:val="0"/>
        <w:kinsoku/>
        <w:wordWrap/>
        <w:overflowPunct/>
        <w:topLinePunct w:val="0"/>
        <w:autoSpaceDE/>
        <w:autoSpaceDN/>
        <w:bidi w:val="0"/>
        <w:adjustRightInd/>
        <w:snapToGrid/>
        <w:spacing w:line="700" w:lineRule="exact"/>
        <w:textAlignment w:val="auto"/>
        <w:rPr>
          <w:rFonts w:ascii="Arial"/>
          <w:color w:val="auto"/>
          <w:sz w:val="21"/>
        </w:rPr>
      </w:pPr>
    </w:p>
    <w:p w14:paraId="547BD176">
      <w:pPr>
        <w:keepNext w:val="0"/>
        <w:keepLines w:val="0"/>
        <w:pageBreakBefore w:val="0"/>
        <w:widowControl w:val="0"/>
        <w:kinsoku/>
        <w:wordWrap/>
        <w:overflowPunct/>
        <w:topLinePunct w:val="0"/>
        <w:autoSpaceDE/>
        <w:autoSpaceDN/>
        <w:bidi w:val="0"/>
        <w:adjustRightInd/>
        <w:snapToGrid/>
        <w:spacing w:line="700" w:lineRule="exact"/>
        <w:ind w:left="800"/>
        <w:textAlignment w:val="auto"/>
        <w:rPr>
          <w:rFonts w:ascii="宋体" w:hAnsi="宋体" w:eastAsia="宋体" w:cs="宋体"/>
          <w:color w:val="auto"/>
          <w:spacing w:val="5"/>
          <w:sz w:val="31"/>
          <w:szCs w:val="31"/>
        </w:rPr>
      </w:pPr>
    </w:p>
    <w:p w14:paraId="0A924504">
      <w:pPr>
        <w:keepNext w:val="0"/>
        <w:keepLines w:val="0"/>
        <w:pageBreakBefore w:val="0"/>
        <w:widowControl w:val="0"/>
        <w:kinsoku/>
        <w:wordWrap/>
        <w:overflowPunct/>
        <w:topLinePunct w:val="0"/>
        <w:autoSpaceDE/>
        <w:autoSpaceDN/>
        <w:bidi w:val="0"/>
        <w:adjustRightInd/>
        <w:snapToGrid/>
        <w:spacing w:line="700" w:lineRule="exact"/>
        <w:ind w:left="800"/>
        <w:textAlignment w:val="auto"/>
        <w:rPr>
          <w:rFonts w:ascii="宋体" w:hAnsi="宋体" w:eastAsia="宋体" w:cs="宋体"/>
          <w:color w:val="auto"/>
          <w:sz w:val="31"/>
          <w:szCs w:val="31"/>
        </w:rPr>
      </w:pPr>
      <w:r>
        <w:rPr>
          <w:rFonts w:ascii="宋体" w:hAnsi="宋体" w:eastAsia="宋体" w:cs="宋体"/>
          <w:color w:val="auto"/>
          <w:spacing w:val="5"/>
          <w:sz w:val="31"/>
          <w:szCs w:val="31"/>
        </w:rPr>
        <w:t>供</w:t>
      </w:r>
      <w:r>
        <w:rPr>
          <w:rFonts w:ascii="宋体" w:hAnsi="宋体" w:eastAsia="宋体" w:cs="宋体"/>
          <w:color w:val="auto"/>
          <w:spacing w:val="4"/>
          <w:sz w:val="31"/>
          <w:szCs w:val="31"/>
        </w:rPr>
        <w:t>应商：</w:t>
      </w:r>
      <w:r>
        <w:rPr>
          <w:rFonts w:ascii="宋体" w:hAnsi="宋体" w:eastAsia="宋体" w:cs="宋体"/>
          <w:color w:val="auto"/>
          <w:sz w:val="31"/>
          <w:szCs w:val="31"/>
          <w:u w:val="single" w:color="auto"/>
        </w:rPr>
        <w:t xml:space="preserve">                                         </w:t>
      </w:r>
    </w:p>
    <w:p w14:paraId="0B809FA5">
      <w:pPr>
        <w:keepNext w:val="0"/>
        <w:keepLines w:val="0"/>
        <w:pageBreakBefore w:val="0"/>
        <w:widowControl w:val="0"/>
        <w:kinsoku/>
        <w:wordWrap/>
        <w:overflowPunct/>
        <w:topLinePunct w:val="0"/>
        <w:autoSpaceDE/>
        <w:autoSpaceDN/>
        <w:bidi w:val="0"/>
        <w:adjustRightInd/>
        <w:snapToGrid/>
        <w:spacing w:line="700" w:lineRule="exact"/>
        <w:ind w:left="801"/>
        <w:textAlignment w:val="auto"/>
        <w:rPr>
          <w:rFonts w:ascii="宋体" w:hAnsi="宋体" w:eastAsia="宋体" w:cs="宋体"/>
          <w:color w:val="auto"/>
          <w:sz w:val="31"/>
          <w:szCs w:val="31"/>
        </w:rPr>
      </w:pPr>
      <w:r>
        <w:rPr>
          <w:rFonts w:ascii="宋体" w:hAnsi="宋体" w:eastAsia="宋体" w:cs="宋体"/>
          <w:color w:val="auto"/>
          <w:spacing w:val="9"/>
          <w:sz w:val="31"/>
          <w:szCs w:val="31"/>
        </w:rPr>
        <w:t>法</w:t>
      </w:r>
      <w:r>
        <w:rPr>
          <w:rFonts w:ascii="宋体" w:hAnsi="宋体" w:eastAsia="宋体" w:cs="宋体"/>
          <w:color w:val="auto"/>
          <w:spacing w:val="8"/>
          <w:sz w:val="31"/>
          <w:szCs w:val="31"/>
        </w:rPr>
        <w:t>定代表人或其委托代理人：</w:t>
      </w:r>
      <w:r>
        <w:rPr>
          <w:rFonts w:ascii="宋体" w:hAnsi="宋体" w:eastAsia="宋体" w:cs="宋体"/>
          <w:color w:val="auto"/>
          <w:sz w:val="31"/>
          <w:szCs w:val="31"/>
          <w:u w:val="single" w:color="auto"/>
        </w:rPr>
        <w:t xml:space="preserve">                       </w:t>
      </w:r>
    </w:p>
    <w:p w14:paraId="739B080F">
      <w:pPr>
        <w:spacing w:line="258" w:lineRule="auto"/>
        <w:rPr>
          <w:rFonts w:ascii="Arial"/>
          <w:color w:val="auto"/>
          <w:sz w:val="21"/>
        </w:rPr>
      </w:pPr>
    </w:p>
    <w:p w14:paraId="2E2B06CF">
      <w:pPr>
        <w:spacing w:line="258" w:lineRule="auto"/>
        <w:rPr>
          <w:rFonts w:ascii="Arial"/>
          <w:color w:val="auto"/>
          <w:sz w:val="21"/>
        </w:rPr>
      </w:pPr>
    </w:p>
    <w:p w14:paraId="5B29C80C">
      <w:pPr>
        <w:spacing w:before="101" w:line="225" w:lineRule="auto"/>
        <w:ind w:left="1827"/>
        <w:rPr>
          <w:rFonts w:ascii="宋体" w:hAnsi="宋体" w:eastAsia="宋体" w:cs="宋体"/>
          <w:color w:val="auto"/>
          <w:sz w:val="31"/>
          <w:szCs w:val="31"/>
        </w:rPr>
      </w:pPr>
      <w:r>
        <w:rPr>
          <w:rFonts w:ascii="宋体" w:hAnsi="宋体" w:eastAsia="宋体" w:cs="宋体"/>
          <w:color w:val="auto"/>
          <w:spacing w:val="-10"/>
          <w:sz w:val="31"/>
          <w:szCs w:val="31"/>
        </w:rPr>
        <w:t>日</w:t>
      </w:r>
      <w:r>
        <w:rPr>
          <w:rFonts w:ascii="宋体" w:hAnsi="宋体" w:eastAsia="宋体" w:cs="宋体"/>
          <w:color w:val="auto"/>
          <w:spacing w:val="-6"/>
          <w:sz w:val="31"/>
          <w:szCs w:val="31"/>
        </w:rPr>
        <w:t>期：</w:t>
      </w:r>
      <w:r>
        <w:rPr>
          <w:rFonts w:ascii="宋体" w:hAnsi="宋体" w:eastAsia="宋体" w:cs="宋体"/>
          <w:color w:val="auto"/>
          <w:spacing w:val="-6"/>
          <w:sz w:val="31"/>
          <w:szCs w:val="31"/>
          <w:u w:val="single" w:color="auto"/>
        </w:rPr>
        <w:t xml:space="preserve">          </w:t>
      </w:r>
      <w:r>
        <w:rPr>
          <w:rFonts w:ascii="宋体" w:hAnsi="宋体" w:eastAsia="宋体" w:cs="宋体"/>
          <w:color w:val="auto"/>
          <w:spacing w:val="-6"/>
          <w:sz w:val="31"/>
          <w:szCs w:val="31"/>
        </w:rPr>
        <w:t>年</w:t>
      </w:r>
      <w:r>
        <w:rPr>
          <w:rFonts w:ascii="宋体" w:hAnsi="宋体" w:eastAsia="宋体" w:cs="宋体"/>
          <w:color w:val="auto"/>
          <w:spacing w:val="-6"/>
          <w:sz w:val="31"/>
          <w:szCs w:val="31"/>
          <w:u w:val="single" w:color="auto"/>
        </w:rPr>
        <w:t xml:space="preserve">     </w:t>
      </w:r>
      <w:r>
        <w:rPr>
          <w:rFonts w:ascii="宋体" w:hAnsi="宋体" w:eastAsia="宋体" w:cs="宋体"/>
          <w:color w:val="auto"/>
          <w:spacing w:val="-6"/>
          <w:sz w:val="31"/>
          <w:szCs w:val="31"/>
        </w:rPr>
        <w:t>月</w:t>
      </w:r>
      <w:r>
        <w:rPr>
          <w:rFonts w:ascii="宋体" w:hAnsi="宋体" w:eastAsia="宋体" w:cs="宋体"/>
          <w:color w:val="auto"/>
          <w:spacing w:val="-6"/>
          <w:sz w:val="31"/>
          <w:szCs w:val="31"/>
          <w:u w:val="single" w:color="auto"/>
        </w:rPr>
        <w:t xml:space="preserve">     </w:t>
      </w:r>
      <w:r>
        <w:rPr>
          <w:rFonts w:ascii="宋体" w:hAnsi="宋体" w:eastAsia="宋体" w:cs="宋体"/>
          <w:color w:val="auto"/>
          <w:spacing w:val="-6"/>
          <w:sz w:val="31"/>
          <w:szCs w:val="31"/>
        </w:rPr>
        <w:t>日</w:t>
      </w:r>
    </w:p>
    <w:p w14:paraId="71B09D3D">
      <w:pPr>
        <w:rPr>
          <w:color w:val="auto"/>
        </w:rPr>
        <w:sectPr>
          <w:footerReference r:id="rId6" w:type="default"/>
          <w:pgSz w:w="11906" w:h="16839"/>
          <w:pgMar w:top="1240" w:right="1080" w:bottom="1119" w:left="1300" w:header="0" w:footer="680" w:gutter="0"/>
          <w:pgNumType w:fmt="decimal" w:start="3"/>
          <w:cols w:space="720" w:num="1"/>
        </w:sectPr>
      </w:pPr>
    </w:p>
    <w:p w14:paraId="36C0B3A0">
      <w:pPr>
        <w:pStyle w:val="35"/>
        <w:ind w:left="0" w:leftChars="0" w:firstLine="0" w:firstLineChars="0"/>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目  录</w:t>
      </w:r>
    </w:p>
    <w:p w14:paraId="19BEC823">
      <w:pPr>
        <w:pStyle w:val="35"/>
        <w:rPr>
          <w:rFonts w:hint="eastAsia" w:hAnsi="宋体"/>
          <w:color w:val="auto"/>
        </w:rPr>
      </w:pPr>
    </w:p>
    <w:p w14:paraId="2306D8F5">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2" w:firstLineChars="200"/>
        <w:textAlignment w:val="auto"/>
        <w:rPr>
          <w:rFonts w:hint="eastAsia" w:ascii="宋体" w:hAnsi="宋体" w:eastAsia="宋体" w:cs="宋体"/>
          <w:b/>
          <w:bCs/>
          <w:color w:val="auto"/>
        </w:rPr>
      </w:pPr>
      <w:r>
        <w:rPr>
          <w:rFonts w:hint="eastAsia" w:ascii="宋体" w:hAnsi="宋体" w:eastAsia="宋体" w:cs="宋体"/>
          <w:b/>
          <w:bCs/>
          <w:color w:val="auto"/>
        </w:rPr>
        <w:t>1. 资格证明文件</w:t>
      </w:r>
    </w:p>
    <w:p w14:paraId="512E87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w:t>
      </w:r>
      <w:r>
        <w:rPr>
          <w:rFonts w:hint="eastAsia" w:ascii="宋体" w:hAnsi="宋体" w:cs="宋体"/>
          <w:b w:val="0"/>
          <w:bCs/>
          <w:color w:val="auto"/>
          <w:szCs w:val="21"/>
          <w:lang w:eastAsia="zh-CN"/>
        </w:rPr>
        <w:t>竞</w:t>
      </w:r>
      <w:r>
        <w:rPr>
          <w:rFonts w:hint="eastAsia" w:ascii="宋体" w:hAnsi="宋体" w:cs="宋体"/>
          <w:b w:val="0"/>
          <w:bCs/>
          <w:color w:val="auto"/>
          <w:szCs w:val="21"/>
        </w:rPr>
        <w:t>标声明书(格式见附件)；(必须提供，并加盖公章)</w:t>
      </w:r>
    </w:p>
    <w:p w14:paraId="5988DC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(2)法定代表人授权委托书和委托代理人正反面身份证复印件 (委托代理时</w:t>
      </w:r>
      <w:r>
        <w:rPr>
          <w:rFonts w:hint="eastAsia" w:ascii="宋体" w:hAnsi="宋体" w:cs="宋体"/>
          <w:b w:val="0"/>
          <w:bCs/>
          <w:color w:val="auto"/>
          <w:szCs w:val="21"/>
          <w:lang w:eastAsia="zh-CN"/>
        </w:rPr>
        <w:t>必</w:t>
      </w:r>
      <w:r>
        <w:rPr>
          <w:rFonts w:hint="eastAsia" w:ascii="宋体" w:hAnsi="宋体" w:cs="宋体"/>
          <w:b w:val="0"/>
          <w:bCs/>
          <w:color w:val="auto"/>
          <w:szCs w:val="21"/>
        </w:rPr>
        <w:t>须提供，</w:t>
      </w:r>
      <w:r>
        <w:rPr>
          <w:rFonts w:hint="eastAsia" w:ascii="宋体" w:hAnsi="宋体" w:cs="宋体"/>
          <w:b w:val="0"/>
          <w:bCs/>
          <w:color w:val="auto"/>
          <w:szCs w:val="21"/>
          <w:lang w:eastAsia="zh-CN"/>
        </w:rPr>
        <w:t>并</w:t>
      </w:r>
      <w:r>
        <w:rPr>
          <w:rFonts w:hint="eastAsia" w:ascii="宋体" w:hAnsi="宋体" w:cs="宋体"/>
          <w:b w:val="0"/>
          <w:bCs/>
          <w:color w:val="auto"/>
          <w:szCs w:val="21"/>
        </w:rPr>
        <w:t>加盖公章) (格式见附件)；</w:t>
      </w:r>
    </w:p>
    <w:p w14:paraId="3294B6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(3)法定代表人正反面身份证复印件；(必须提供，并加盖公章)</w:t>
      </w:r>
    </w:p>
    <w:p w14:paraId="748E57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(4)</w:t>
      </w:r>
      <w:r>
        <w:rPr>
          <w:rFonts w:hint="eastAsia" w:ascii="宋体" w:hAnsi="宋体" w:cs="宋体"/>
          <w:b w:val="0"/>
          <w:bCs/>
          <w:color w:val="auto"/>
          <w:szCs w:val="21"/>
          <w:lang w:eastAsia="zh-CN"/>
        </w:rPr>
        <w:t>供应商</w:t>
      </w:r>
      <w:r>
        <w:rPr>
          <w:rFonts w:hint="eastAsia" w:ascii="宋体" w:hAnsi="宋体" w:cs="宋体"/>
          <w:b w:val="0"/>
          <w:bCs/>
          <w:color w:val="auto"/>
          <w:szCs w:val="21"/>
        </w:rPr>
        <w:t>有效的三证合一的营业执照或事业单位法人证书副本复印件；(必须提供，并加盖公章)</w:t>
      </w:r>
    </w:p>
    <w:p w14:paraId="6C0A82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（5）有效的资质证明复印件（必须提供）；</w:t>
      </w:r>
    </w:p>
    <w:p w14:paraId="13B78D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val="en-US" w:eastAsia="zh-CN"/>
        </w:rPr>
      </w:pPr>
      <w:r>
        <w:rPr>
          <w:rFonts w:hint="eastAsia" w:ascii="宋体" w:hAnsi="宋体" w:cs="宋体"/>
          <w:b w:val="0"/>
          <w:bCs/>
          <w:color w:val="auto"/>
          <w:szCs w:val="21"/>
        </w:rPr>
        <w:t>（</w:t>
      </w:r>
      <w:r>
        <w:rPr>
          <w:rFonts w:hint="eastAsia" w:ascii="宋体" w:hAnsi="宋体" w:cs="宋体"/>
          <w:b w:val="0"/>
          <w:bCs/>
          <w:color w:val="auto"/>
          <w:szCs w:val="21"/>
          <w:lang w:val="en-US" w:eastAsia="zh-CN"/>
        </w:rPr>
        <w:t>6</w:t>
      </w:r>
      <w:r>
        <w:rPr>
          <w:rFonts w:hint="eastAsia" w:ascii="宋体" w:hAnsi="宋体" w:cs="宋体"/>
          <w:b w:val="0"/>
          <w:bCs/>
          <w:color w:val="auto"/>
          <w:szCs w:val="21"/>
        </w:rPr>
        <w:t>）安全生产许可证复印件（必须提供）</w:t>
      </w:r>
      <w:r>
        <w:rPr>
          <w:rFonts w:hint="eastAsia" w:ascii="宋体" w:hAnsi="宋体" w:cs="宋体"/>
          <w:b w:val="0"/>
          <w:bCs/>
          <w:color w:val="auto"/>
          <w:szCs w:val="21"/>
          <w:lang w:eastAsia="zh-CN"/>
        </w:rPr>
        <w:t>；</w:t>
      </w:r>
    </w:p>
    <w:p w14:paraId="5A62E4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eastAsia="zh-CN"/>
        </w:rPr>
      </w:pPr>
      <w:r>
        <w:rPr>
          <w:rFonts w:hint="eastAsia" w:ascii="宋体" w:hAnsi="宋体" w:cs="宋体"/>
          <w:b w:val="0"/>
          <w:bCs/>
          <w:color w:val="auto"/>
          <w:szCs w:val="21"/>
        </w:rPr>
        <w:t>（</w:t>
      </w:r>
      <w:r>
        <w:rPr>
          <w:rFonts w:hint="eastAsia" w:ascii="宋体" w:hAnsi="宋体" w:cs="宋体"/>
          <w:b w:val="0"/>
          <w:bCs/>
          <w:color w:val="auto"/>
          <w:szCs w:val="21"/>
          <w:lang w:val="en-US" w:eastAsia="zh-CN"/>
        </w:rPr>
        <w:t>7</w:t>
      </w:r>
      <w:r>
        <w:rPr>
          <w:rFonts w:hint="eastAsia" w:ascii="宋体" w:hAnsi="宋体" w:cs="宋体"/>
          <w:b w:val="0"/>
          <w:bCs/>
          <w:color w:val="auto"/>
          <w:szCs w:val="21"/>
        </w:rPr>
        <w:t>）投入本工程的项目经理注册建造师执业资格证书复印件、安全生产考核合格证书（B证）复印件、身份证复印件（附</w:t>
      </w:r>
      <w:r>
        <w:rPr>
          <w:rFonts w:hint="eastAsia" w:ascii="宋体" w:hAnsi="宋体" w:cs="宋体"/>
          <w:b w:val="0"/>
          <w:bCs/>
          <w:color w:val="auto"/>
          <w:szCs w:val="21"/>
          <w:lang w:eastAsia="zh-CN"/>
        </w:rPr>
        <w:t>磋商</w:t>
      </w:r>
      <w:r>
        <w:rPr>
          <w:rFonts w:hint="eastAsia" w:ascii="宋体" w:hAnsi="宋体" w:cs="宋体"/>
          <w:b w:val="0"/>
          <w:bCs/>
          <w:color w:val="auto"/>
          <w:szCs w:val="21"/>
        </w:rPr>
        <w:t>单位为项目经理缴纳的由社保机构出具的</w:t>
      </w:r>
      <w:r>
        <w:rPr>
          <w:rFonts w:hint="eastAsia" w:ascii="宋体" w:hAnsi="宋体" w:cs="宋体"/>
          <w:b w:val="0"/>
          <w:bCs/>
          <w:color w:val="auto"/>
          <w:szCs w:val="21"/>
          <w:lang w:eastAsia="zh-CN"/>
        </w:rPr>
        <w:t>2025年1月至2025年3月</w:t>
      </w:r>
      <w:r>
        <w:rPr>
          <w:rFonts w:hint="eastAsia" w:ascii="宋体" w:hAnsi="宋体" w:cs="宋体"/>
          <w:b w:val="0"/>
          <w:bCs/>
          <w:color w:val="auto"/>
          <w:szCs w:val="21"/>
        </w:rPr>
        <w:t>份的社会保险证明复印件）（必须提供）</w:t>
      </w:r>
      <w:r>
        <w:rPr>
          <w:rFonts w:hint="eastAsia" w:ascii="宋体" w:hAnsi="宋体" w:cs="宋体"/>
          <w:b w:val="0"/>
          <w:bCs/>
          <w:color w:val="auto"/>
          <w:szCs w:val="21"/>
          <w:lang w:eastAsia="zh-CN"/>
        </w:rPr>
        <w:t>；</w:t>
      </w:r>
    </w:p>
    <w:p w14:paraId="32ACB1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eastAsia="zh-CN"/>
        </w:rPr>
      </w:pPr>
      <w:r>
        <w:rPr>
          <w:rFonts w:hint="eastAsia" w:ascii="宋体" w:hAnsi="宋体" w:cs="宋体"/>
          <w:b w:val="0"/>
          <w:bCs/>
          <w:color w:val="auto"/>
          <w:szCs w:val="21"/>
        </w:rPr>
        <w:t>（</w:t>
      </w:r>
      <w:r>
        <w:rPr>
          <w:rFonts w:hint="eastAsia" w:ascii="宋体" w:hAnsi="宋体" w:cs="宋体"/>
          <w:b w:val="0"/>
          <w:bCs/>
          <w:color w:val="auto"/>
          <w:szCs w:val="21"/>
          <w:lang w:val="en-US" w:eastAsia="zh-CN"/>
        </w:rPr>
        <w:t>8</w:t>
      </w:r>
      <w:r>
        <w:rPr>
          <w:rFonts w:hint="eastAsia" w:ascii="宋体" w:hAnsi="宋体" w:cs="宋体"/>
          <w:b w:val="0"/>
          <w:bCs/>
          <w:color w:val="auto"/>
          <w:szCs w:val="21"/>
        </w:rPr>
        <w:t>）对在“信用中国”网站(www.creditchina.gov.cn)、中国政府采购网(www.ccgp.gov.cn)等渠道列入失信被执行人、重大税收违法案件当事人名单、政府采购严重违法失信行为记录（必须提供）</w:t>
      </w:r>
      <w:r>
        <w:rPr>
          <w:rFonts w:hint="eastAsia" w:ascii="宋体" w:hAnsi="宋体" w:cs="宋体"/>
          <w:b w:val="0"/>
          <w:bCs/>
          <w:color w:val="auto"/>
          <w:szCs w:val="21"/>
          <w:lang w:eastAsia="zh-CN"/>
        </w:rPr>
        <w:t>；</w:t>
      </w:r>
      <w:r>
        <w:rPr>
          <w:rFonts w:hint="eastAsia" w:ascii="宋体" w:hAnsi="宋体" w:cs="宋体"/>
          <w:b w:val="0"/>
          <w:bCs/>
          <w:color w:val="auto"/>
          <w:szCs w:val="21"/>
        </w:rPr>
        <w:t>其中“信用中国”网站须提供供应商在“失信被执行人、重大税收违法案件当事人名单、政府采购严重违法失信行为记录名单”3个页面下的截图，“中国政府采购网”须提供供应商在“政府采购严重违法失信行为信息记录”页面下的截图。两个网站的查询结果截图加盖单位公章与</w:t>
      </w:r>
      <w:r>
        <w:rPr>
          <w:rFonts w:hint="eastAsia" w:ascii="宋体" w:hAnsi="宋体" w:cs="宋体"/>
          <w:b w:val="0"/>
          <w:bCs/>
          <w:color w:val="auto"/>
          <w:szCs w:val="21"/>
          <w:lang w:val="en-US" w:eastAsia="zh-CN"/>
        </w:rPr>
        <w:t>无重大违法记录声明书</w:t>
      </w:r>
      <w:r>
        <w:rPr>
          <w:rFonts w:hint="eastAsia" w:ascii="宋体" w:hAnsi="宋体" w:cs="宋体"/>
          <w:b w:val="0"/>
          <w:bCs/>
          <w:color w:val="auto"/>
          <w:szCs w:val="21"/>
        </w:rPr>
        <w:t>一并提交</w:t>
      </w:r>
      <w:r>
        <w:rPr>
          <w:rFonts w:hint="eastAsia" w:ascii="宋体" w:hAnsi="宋体" w:cs="宋体"/>
          <w:b w:val="0"/>
          <w:bCs/>
          <w:color w:val="auto"/>
          <w:szCs w:val="21"/>
          <w:lang w:eastAsia="zh-CN"/>
        </w:rPr>
        <w:t>；</w:t>
      </w:r>
      <w:r>
        <w:rPr>
          <w:rFonts w:hint="eastAsia" w:ascii="宋体" w:hAnsi="宋体" w:cs="宋体"/>
          <w:b w:val="0"/>
          <w:bCs/>
          <w:color w:val="auto"/>
          <w:szCs w:val="21"/>
        </w:rPr>
        <w:t>（必须提供）</w:t>
      </w:r>
      <w:r>
        <w:rPr>
          <w:rFonts w:hint="eastAsia" w:ascii="宋体" w:hAnsi="宋体" w:cs="宋体"/>
          <w:b w:val="0"/>
          <w:bCs/>
          <w:color w:val="auto"/>
          <w:szCs w:val="21"/>
          <w:lang w:eastAsia="zh-CN"/>
        </w:rPr>
        <w:t>；</w:t>
      </w:r>
    </w:p>
    <w:p w14:paraId="01B6E1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lang w:val="en-US" w:eastAsia="zh-CN"/>
        </w:rPr>
        <w:t>（9）</w:t>
      </w:r>
      <w:r>
        <w:rPr>
          <w:rFonts w:hint="eastAsia" w:ascii="宋体" w:hAnsi="宋体" w:cs="宋体"/>
          <w:b w:val="0"/>
          <w:bCs/>
          <w:color w:val="auto"/>
          <w:szCs w:val="21"/>
        </w:rPr>
        <w:t>供应商</w:t>
      </w:r>
      <w:r>
        <w:rPr>
          <w:rFonts w:hint="eastAsia" w:ascii="宋体" w:hAnsi="宋体" w:cs="宋体"/>
          <w:b w:val="0"/>
          <w:bCs/>
          <w:color w:val="auto"/>
          <w:szCs w:val="21"/>
          <w:lang w:eastAsia="zh-CN"/>
        </w:rPr>
        <w:t>2025年1月至2025年3月</w:t>
      </w:r>
      <w:r>
        <w:rPr>
          <w:rFonts w:hint="eastAsia" w:ascii="宋体" w:hAnsi="宋体" w:cs="宋体"/>
          <w:b w:val="0"/>
          <w:bCs/>
          <w:color w:val="auto"/>
          <w:szCs w:val="21"/>
        </w:rPr>
        <w:t>内连续3个月的依法缴纳税费的凭据复印件；无纳税记录的，应提供由供应商所在地的税务部门出具的免税证明复印件。从取得营业执照时间起到首次响应文件提交截止时间为止不足要求月数的，只需提供从取得营业执照起的依法缴纳税费或依法免缴税费的凭据复印件；（必须提供）</w:t>
      </w:r>
      <w:r>
        <w:rPr>
          <w:rFonts w:hint="eastAsia" w:ascii="宋体" w:hAnsi="宋体" w:cs="宋体"/>
          <w:b w:val="0"/>
          <w:bCs/>
          <w:color w:val="auto"/>
          <w:szCs w:val="21"/>
          <w:lang w:eastAsia="zh-CN"/>
        </w:rPr>
        <w:t>；</w:t>
      </w:r>
    </w:p>
    <w:p w14:paraId="382918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eastAsia="zh-CN"/>
        </w:rPr>
      </w:pPr>
      <w:r>
        <w:rPr>
          <w:rFonts w:hint="eastAsia" w:ascii="宋体" w:hAnsi="宋体" w:cs="宋体"/>
          <w:b w:val="0"/>
          <w:bCs/>
          <w:color w:val="auto"/>
          <w:szCs w:val="21"/>
          <w:lang w:val="en-US" w:eastAsia="zh-CN"/>
        </w:rPr>
        <w:t>（10）</w:t>
      </w:r>
      <w:r>
        <w:rPr>
          <w:rFonts w:hint="eastAsia" w:ascii="宋体" w:hAnsi="宋体" w:cs="宋体"/>
          <w:b w:val="0"/>
          <w:bCs/>
          <w:color w:val="auto"/>
          <w:szCs w:val="21"/>
        </w:rPr>
        <w:t>供应商</w:t>
      </w:r>
      <w:r>
        <w:rPr>
          <w:rFonts w:hint="eastAsia" w:ascii="宋体" w:hAnsi="宋体" w:cs="宋体"/>
          <w:b w:val="0"/>
          <w:bCs/>
          <w:color w:val="auto"/>
          <w:szCs w:val="21"/>
          <w:lang w:eastAsia="zh-CN"/>
        </w:rPr>
        <w:t>2025年1月至2025年3月</w:t>
      </w:r>
      <w:r>
        <w:rPr>
          <w:rFonts w:hint="eastAsia" w:ascii="宋体" w:hAnsi="宋体" w:cs="宋体"/>
          <w:b w:val="0"/>
          <w:bCs/>
          <w:color w:val="auto"/>
          <w:szCs w:val="21"/>
        </w:rPr>
        <w:t>内连续3个月的依法缴纳社保费的缴费凭证（专用收据或社会保险缴纳清单）复印件；无缴费记录的，应提供由供应商所在地行政主管部门出具的依法免缴社保费证明复印件。从取得营业执照时间起到首次响应文件提交截止时间为止不足要求月数的只需提供从取得营业执照起的依法缴纳社保费的缴费凭证（专用收据或社会保险缴纳清单）复印件；（必须提供）</w:t>
      </w:r>
      <w:r>
        <w:rPr>
          <w:rFonts w:hint="eastAsia" w:ascii="宋体" w:hAnsi="宋体" w:cs="宋体"/>
          <w:b w:val="0"/>
          <w:bCs/>
          <w:color w:val="auto"/>
          <w:szCs w:val="21"/>
          <w:lang w:eastAsia="zh-CN"/>
        </w:rPr>
        <w:t>；</w:t>
      </w:r>
    </w:p>
    <w:p w14:paraId="01199D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11）近三年（2021年、2022年、2023年）经审计的财务报表【备注：对于从取得营业执照时间起到投标截止时间为止不足要求年数的企业，只需提交企业取得营业执照年份至所要求最近年份经审计的财务报表】（必须提供）；</w:t>
      </w:r>
    </w:p>
    <w:p w14:paraId="7D8FCC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（12）直接控股、管理关系信息表（必须提供）；</w:t>
      </w:r>
    </w:p>
    <w:p w14:paraId="529A68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w:t>
      </w:r>
      <w:r>
        <w:rPr>
          <w:rFonts w:hint="eastAsia" w:ascii="宋体" w:hAnsi="宋体" w:cs="宋体"/>
          <w:b w:val="0"/>
          <w:bCs/>
          <w:color w:val="auto"/>
          <w:szCs w:val="21"/>
          <w:lang w:val="en-US" w:eastAsia="zh-CN"/>
        </w:rPr>
        <w:t>13</w:t>
      </w:r>
      <w:r>
        <w:rPr>
          <w:rFonts w:hint="eastAsia" w:ascii="宋体" w:hAnsi="宋体" w:cs="宋体"/>
          <w:b w:val="0"/>
          <w:bCs/>
          <w:color w:val="auto"/>
          <w:szCs w:val="21"/>
        </w:rPr>
        <w:t>)</w:t>
      </w:r>
      <w:r>
        <w:rPr>
          <w:rFonts w:hint="eastAsia" w:ascii="宋体" w:hAnsi="宋体" w:cs="宋体"/>
          <w:b w:val="0"/>
          <w:bCs/>
          <w:color w:val="auto"/>
          <w:szCs w:val="21"/>
          <w:lang w:eastAsia="zh-CN"/>
        </w:rPr>
        <w:t>供应商</w:t>
      </w:r>
      <w:r>
        <w:rPr>
          <w:rFonts w:hint="eastAsia" w:ascii="宋体" w:hAnsi="宋体" w:cs="宋体"/>
          <w:b w:val="0"/>
          <w:bCs/>
          <w:color w:val="auto"/>
          <w:szCs w:val="21"/>
        </w:rPr>
        <w:t>提供《采购项目</w:t>
      </w:r>
      <w:r>
        <w:rPr>
          <w:rFonts w:hint="eastAsia" w:ascii="宋体" w:hAnsi="宋体" w:cs="宋体"/>
          <w:b w:val="0"/>
          <w:bCs/>
          <w:color w:val="auto"/>
          <w:szCs w:val="21"/>
          <w:lang w:eastAsia="zh-CN"/>
        </w:rPr>
        <w:t>竞</w:t>
      </w:r>
      <w:r>
        <w:rPr>
          <w:rFonts w:hint="eastAsia" w:ascii="宋体" w:hAnsi="宋体" w:cs="宋体"/>
          <w:b w:val="0"/>
          <w:bCs/>
          <w:color w:val="auto"/>
          <w:szCs w:val="21"/>
        </w:rPr>
        <w:t>标资格承诺函》</w:t>
      </w:r>
      <w:r>
        <w:rPr>
          <w:rFonts w:hint="eastAsia" w:ascii="宋体" w:hAnsi="宋体" w:cs="宋体"/>
          <w:b w:val="0"/>
          <w:bCs/>
          <w:color w:val="auto"/>
          <w:szCs w:val="21"/>
          <w:lang w:eastAsia="zh-CN"/>
        </w:rPr>
        <w:t>；</w:t>
      </w:r>
      <w:r>
        <w:rPr>
          <w:rFonts w:hint="eastAsia" w:ascii="宋体" w:hAnsi="宋体" w:cs="宋体"/>
          <w:b w:val="0"/>
          <w:bCs/>
          <w:color w:val="auto"/>
          <w:szCs w:val="21"/>
        </w:rPr>
        <w:t>(必须提供，并加盖公章)</w:t>
      </w:r>
    </w:p>
    <w:p w14:paraId="2C7516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w:t>
      </w:r>
      <w:r>
        <w:rPr>
          <w:rFonts w:hint="eastAsia" w:ascii="宋体" w:hAnsi="宋体" w:cs="宋体"/>
          <w:b w:val="0"/>
          <w:bCs/>
          <w:color w:val="auto"/>
          <w:szCs w:val="21"/>
          <w:lang w:val="en-US" w:eastAsia="zh-CN"/>
        </w:rPr>
        <w:t>14</w:t>
      </w:r>
      <w:r>
        <w:rPr>
          <w:rFonts w:hint="eastAsia" w:ascii="宋体" w:hAnsi="宋体" w:cs="宋体"/>
          <w:b w:val="0"/>
          <w:bCs/>
          <w:color w:val="auto"/>
          <w:szCs w:val="21"/>
        </w:rPr>
        <w:t>)中小企业声明函 (参照《政府采购促进中小企业发展暂行办法》(财库﹝2020﹞46号)要求，提供中小企业声明函</w:t>
      </w:r>
      <w:r>
        <w:rPr>
          <w:rFonts w:hint="eastAsia" w:ascii="宋体" w:hAnsi="宋体" w:cs="宋体"/>
          <w:b w:val="0"/>
          <w:bCs/>
          <w:color w:val="auto"/>
          <w:szCs w:val="21"/>
          <w:lang w:eastAsia="zh-CN"/>
        </w:rPr>
        <w:t>；（</w:t>
      </w:r>
      <w:r>
        <w:rPr>
          <w:rFonts w:hint="eastAsia" w:ascii="宋体" w:hAnsi="宋体" w:cs="宋体"/>
          <w:b w:val="0"/>
          <w:bCs/>
          <w:color w:val="auto"/>
          <w:szCs w:val="21"/>
          <w:lang w:val="en-US" w:eastAsia="zh-CN"/>
        </w:rPr>
        <w:t>必须提供）</w:t>
      </w:r>
    </w:p>
    <w:p w14:paraId="3468E8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cs="宋体"/>
          <w:b w:val="0"/>
          <w:bCs/>
          <w:color w:val="auto"/>
          <w:szCs w:val="21"/>
        </w:rPr>
        <w:t>(</w:t>
      </w:r>
      <w:r>
        <w:rPr>
          <w:rFonts w:hint="eastAsia" w:ascii="宋体" w:hAnsi="宋体" w:cs="宋体"/>
          <w:b w:val="0"/>
          <w:bCs/>
          <w:color w:val="auto"/>
          <w:szCs w:val="21"/>
          <w:lang w:val="en-US" w:eastAsia="zh-CN"/>
        </w:rPr>
        <w:t>15</w:t>
      </w:r>
      <w:r>
        <w:rPr>
          <w:rFonts w:hint="eastAsia" w:ascii="宋体" w:hAnsi="宋体" w:cs="宋体"/>
          <w:b w:val="0"/>
          <w:bCs/>
          <w:color w:val="auto"/>
          <w:szCs w:val="21"/>
        </w:rPr>
        <w:t>)</w:t>
      </w:r>
      <w:r>
        <w:rPr>
          <w:rFonts w:hint="eastAsia" w:ascii="宋体" w:hAnsi="宋体" w:cs="宋体"/>
          <w:b w:val="0"/>
          <w:bCs/>
          <w:color w:val="auto"/>
          <w:szCs w:val="21"/>
          <w:lang w:eastAsia="zh-CN"/>
        </w:rPr>
        <w:t>供应商</w:t>
      </w:r>
      <w:r>
        <w:rPr>
          <w:rFonts w:hint="eastAsia" w:ascii="宋体" w:hAnsi="宋体" w:cs="宋体"/>
          <w:b w:val="0"/>
          <w:bCs/>
          <w:color w:val="auto"/>
          <w:szCs w:val="21"/>
        </w:rPr>
        <w:t>针对资格证明需要说明的其他证明文件和说明。(格式自拟)</w:t>
      </w:r>
      <w:r>
        <w:rPr>
          <w:rFonts w:hint="eastAsia" w:ascii="宋体" w:hAnsi="宋体" w:eastAsia="宋体" w:cs="宋体"/>
          <w:color w:val="auto"/>
        </w:rPr>
        <w:t xml:space="preserve">  </w:t>
      </w:r>
    </w:p>
    <w:p w14:paraId="59C4E9AC">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2" w:firstLineChars="200"/>
        <w:textAlignment w:val="auto"/>
        <w:rPr>
          <w:rFonts w:hint="eastAsia" w:ascii="宋体" w:hAnsi="宋体" w:eastAsia="宋体" w:cs="宋体"/>
          <w:b/>
          <w:bCs/>
          <w:color w:val="auto"/>
        </w:rPr>
      </w:pPr>
      <w:r>
        <w:rPr>
          <w:rFonts w:hint="eastAsia" w:ascii="宋体" w:hAnsi="宋体" w:eastAsia="宋体" w:cs="宋体"/>
          <w:b/>
          <w:bCs/>
          <w:color w:val="auto"/>
        </w:rPr>
        <w:t>2.商务技术文件</w:t>
      </w:r>
    </w:p>
    <w:p w14:paraId="2DB41D37">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(1) 施工组织设计；  </w:t>
      </w:r>
    </w:p>
    <w:p w14:paraId="72EE7CB2">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(2) 项目管理机构配备情况表；  </w:t>
      </w:r>
    </w:p>
    <w:p w14:paraId="7DD6811E">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(3) </w:t>
      </w:r>
      <w:r>
        <w:rPr>
          <w:rFonts w:hint="eastAsia" w:ascii="宋体" w:hAnsi="宋体" w:cs="宋体"/>
          <w:b w:val="0"/>
          <w:bCs/>
          <w:color w:val="auto"/>
          <w:szCs w:val="21"/>
          <w:lang w:eastAsia="zh-CN"/>
        </w:rPr>
        <w:t>供应商</w:t>
      </w:r>
      <w:r>
        <w:rPr>
          <w:rFonts w:hint="eastAsia" w:ascii="宋体" w:hAnsi="宋体" w:eastAsia="宋体" w:cs="宋体"/>
          <w:color w:val="auto"/>
        </w:rPr>
        <w:t>针对商务技术需要说明的其他文件和说明；</w:t>
      </w:r>
    </w:p>
    <w:p w14:paraId="29B5D758">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2" w:firstLineChars="200"/>
        <w:textAlignment w:val="auto"/>
        <w:rPr>
          <w:rFonts w:hint="eastAsia" w:ascii="宋体" w:hAnsi="宋体" w:eastAsia="宋体" w:cs="宋体"/>
          <w:b/>
          <w:bCs/>
          <w:color w:val="auto"/>
        </w:rPr>
      </w:pPr>
      <w:r>
        <w:rPr>
          <w:rFonts w:hint="eastAsia" w:ascii="宋体" w:hAnsi="宋体" w:eastAsia="宋体" w:cs="宋体"/>
          <w:b/>
          <w:bCs/>
          <w:color w:val="auto"/>
        </w:rPr>
        <w:t>3.</w:t>
      </w:r>
      <w:r>
        <w:rPr>
          <w:rFonts w:hint="eastAsia" w:ascii="宋体" w:hAnsi="宋体" w:eastAsia="宋体" w:cs="宋体"/>
          <w:b/>
          <w:bCs/>
          <w:color w:val="auto"/>
          <w:lang w:eastAsia="zh-CN"/>
        </w:rPr>
        <w:t>竞</w:t>
      </w:r>
      <w:r>
        <w:rPr>
          <w:rFonts w:hint="eastAsia" w:ascii="宋体" w:hAnsi="宋体" w:eastAsia="宋体" w:cs="宋体"/>
          <w:b/>
          <w:bCs/>
          <w:color w:val="auto"/>
        </w:rPr>
        <w:t>标报价文件</w:t>
      </w:r>
    </w:p>
    <w:p w14:paraId="54E9E757">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 磋商函；</w:t>
      </w:r>
    </w:p>
    <w:p w14:paraId="67628A0D">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(2) 磋商函附录</w:t>
      </w:r>
      <w:r>
        <w:rPr>
          <w:rFonts w:hint="eastAsia" w:ascii="宋体" w:hAnsi="宋体" w:eastAsia="宋体" w:cs="宋体"/>
          <w:color w:val="auto"/>
          <w:lang w:eastAsia="zh-CN"/>
        </w:rPr>
        <w:t>；</w:t>
      </w:r>
      <w:r>
        <w:rPr>
          <w:rFonts w:hint="eastAsia" w:ascii="宋体" w:hAnsi="宋体" w:eastAsia="宋体" w:cs="宋体"/>
          <w:color w:val="auto"/>
        </w:rPr>
        <w:t xml:space="preserve"> </w:t>
      </w:r>
    </w:p>
    <w:p w14:paraId="1FA563B1">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 已标价工程量清单；</w:t>
      </w:r>
    </w:p>
    <w:p w14:paraId="2F95113F">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rPr>
        <w:t xml:space="preserve">(4) </w:t>
      </w:r>
      <w:r>
        <w:rPr>
          <w:rFonts w:hint="eastAsia" w:ascii="宋体" w:hAnsi="宋体" w:cs="宋体"/>
          <w:b w:val="0"/>
          <w:bCs/>
          <w:color w:val="auto"/>
          <w:szCs w:val="21"/>
          <w:lang w:eastAsia="zh-CN"/>
        </w:rPr>
        <w:t>供应商</w:t>
      </w:r>
      <w:r>
        <w:rPr>
          <w:rFonts w:hint="eastAsia" w:ascii="宋体" w:hAnsi="宋体" w:eastAsia="宋体" w:cs="宋体"/>
          <w:color w:val="auto"/>
        </w:rPr>
        <w:t>针对商务及报价需要说明的其他文件和说明</w:t>
      </w:r>
      <w:r>
        <w:rPr>
          <w:rFonts w:hint="eastAsia" w:ascii="宋体" w:hAnsi="宋体" w:eastAsia="宋体" w:cs="宋体"/>
          <w:color w:val="auto"/>
          <w:lang w:eastAsia="zh-CN"/>
        </w:rPr>
        <w:t>。</w:t>
      </w:r>
    </w:p>
    <w:p w14:paraId="354B494D">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3C97D03A">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23C3A8C5">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1319BF78">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7AABD5F8">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71098A9C">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46A3DA6C">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41896E75">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1C882727">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4A75DA46">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009B05F1">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32A0E8F8">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09BD9E1A">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57061AE8">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7ABB5704">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34F8D18B">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2DE37B1F">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7CEF2523">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7CD21CE1">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273312F7">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19D14F2D">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5F296E8F">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46AF780F">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p>
    <w:p w14:paraId="4C6003E2">
      <w:pPr>
        <w:spacing w:before="259" w:line="241" w:lineRule="auto"/>
        <w:outlineLvl w:val="1"/>
        <w:rPr>
          <w:rFonts w:ascii="宋体" w:hAnsi="宋体" w:eastAsia="宋体" w:cs="宋体"/>
          <w:color w:val="auto"/>
          <w:sz w:val="31"/>
          <w:szCs w:val="31"/>
        </w:rPr>
      </w:pPr>
      <w:r>
        <w:rPr>
          <w:rFonts w:ascii="宋体" w:hAnsi="宋体" w:eastAsia="宋体" w:cs="宋体"/>
          <w:color w:val="auto"/>
          <w:spacing w:val="15"/>
          <w:sz w:val="20"/>
          <w:szCs w:val="20"/>
          <w14:textOutline w14:w="3795" w14:cap="sq" w14:cmpd="sng">
            <w14:solidFill>
              <w14:srgbClr w14:val="000000"/>
            </w14:solidFill>
            <w14:prstDash w14:val="solid"/>
            <w14:bevel/>
          </w14:textOutline>
        </w:rPr>
        <w:t>一</w:t>
      </w:r>
      <w:r>
        <w:rPr>
          <w:rFonts w:ascii="宋体" w:hAnsi="宋体" w:eastAsia="宋体" w:cs="宋体"/>
          <w:color w:val="auto"/>
          <w:spacing w:val="9"/>
          <w:sz w:val="31"/>
          <w:szCs w:val="31"/>
          <w14:textOutline w14:w="5793" w14:cap="sq" w14:cmpd="sng">
            <w14:solidFill>
              <w14:srgbClr w14:val="000000"/>
            </w14:solidFill>
            <w14:prstDash w14:val="solid"/>
            <w14:bevel/>
          </w14:textOutline>
        </w:rPr>
        <w:t>、资格证明文件格式</w:t>
      </w:r>
    </w:p>
    <w:p w14:paraId="5A74A92C">
      <w:pPr>
        <w:spacing w:line="241" w:lineRule="auto"/>
        <w:rPr>
          <w:rFonts w:ascii="Arial"/>
          <w:color w:val="auto"/>
          <w:sz w:val="21"/>
        </w:rPr>
      </w:pPr>
    </w:p>
    <w:p w14:paraId="21B6015D">
      <w:pPr>
        <w:spacing w:line="241" w:lineRule="auto"/>
        <w:rPr>
          <w:rFonts w:ascii="Arial"/>
          <w:color w:val="auto"/>
          <w:sz w:val="21"/>
        </w:rPr>
      </w:pPr>
    </w:p>
    <w:p w14:paraId="6C8B515A">
      <w:pPr>
        <w:spacing w:line="241" w:lineRule="auto"/>
        <w:rPr>
          <w:rFonts w:ascii="Arial"/>
          <w:color w:val="auto"/>
          <w:sz w:val="21"/>
        </w:rPr>
      </w:pPr>
    </w:p>
    <w:p w14:paraId="4F824FE9">
      <w:pPr>
        <w:spacing w:line="241" w:lineRule="auto"/>
        <w:rPr>
          <w:rFonts w:ascii="Arial"/>
          <w:color w:val="auto"/>
          <w:sz w:val="21"/>
        </w:rPr>
      </w:pPr>
    </w:p>
    <w:p w14:paraId="6AA38A34">
      <w:pPr>
        <w:spacing w:line="241" w:lineRule="auto"/>
        <w:rPr>
          <w:rFonts w:ascii="Arial"/>
          <w:color w:val="auto"/>
          <w:sz w:val="21"/>
        </w:rPr>
      </w:pPr>
    </w:p>
    <w:p w14:paraId="6BBB055B">
      <w:pPr>
        <w:spacing w:line="241" w:lineRule="auto"/>
        <w:rPr>
          <w:rFonts w:ascii="Arial"/>
          <w:color w:val="auto"/>
          <w:sz w:val="21"/>
        </w:rPr>
      </w:pPr>
    </w:p>
    <w:p w14:paraId="382AF29F">
      <w:pPr>
        <w:spacing w:line="242" w:lineRule="auto"/>
        <w:rPr>
          <w:rFonts w:ascii="Arial"/>
          <w:color w:val="auto"/>
          <w:sz w:val="21"/>
        </w:rPr>
      </w:pPr>
    </w:p>
    <w:p w14:paraId="3341D3AA">
      <w:pPr>
        <w:spacing w:line="242" w:lineRule="auto"/>
        <w:rPr>
          <w:rFonts w:ascii="Arial"/>
          <w:color w:val="auto"/>
          <w:sz w:val="21"/>
        </w:rPr>
      </w:pPr>
    </w:p>
    <w:p w14:paraId="53C28EF9">
      <w:pPr>
        <w:spacing w:line="242" w:lineRule="auto"/>
        <w:rPr>
          <w:rFonts w:ascii="Arial"/>
          <w:color w:val="auto"/>
          <w:sz w:val="21"/>
        </w:rPr>
      </w:pPr>
    </w:p>
    <w:p w14:paraId="50C59405">
      <w:pPr>
        <w:spacing w:line="242" w:lineRule="auto"/>
        <w:rPr>
          <w:rFonts w:ascii="Arial"/>
          <w:color w:val="auto"/>
          <w:sz w:val="21"/>
        </w:rPr>
      </w:pPr>
    </w:p>
    <w:p w14:paraId="2FE4B333">
      <w:pPr>
        <w:spacing w:line="242" w:lineRule="auto"/>
        <w:rPr>
          <w:rFonts w:ascii="Arial"/>
          <w:color w:val="auto"/>
          <w:sz w:val="21"/>
        </w:rPr>
      </w:pPr>
    </w:p>
    <w:p w14:paraId="1FE0EB85">
      <w:pPr>
        <w:spacing w:line="242" w:lineRule="auto"/>
        <w:rPr>
          <w:rFonts w:ascii="Arial"/>
          <w:color w:val="auto"/>
          <w:sz w:val="21"/>
        </w:rPr>
      </w:pPr>
    </w:p>
    <w:p w14:paraId="64F6C211">
      <w:pPr>
        <w:spacing w:line="242" w:lineRule="auto"/>
        <w:rPr>
          <w:rFonts w:ascii="Arial"/>
          <w:color w:val="auto"/>
          <w:sz w:val="21"/>
        </w:rPr>
      </w:pPr>
    </w:p>
    <w:p w14:paraId="6647A108">
      <w:pPr>
        <w:spacing w:line="242" w:lineRule="auto"/>
        <w:rPr>
          <w:rFonts w:ascii="Arial"/>
          <w:color w:val="auto"/>
          <w:sz w:val="21"/>
        </w:rPr>
      </w:pPr>
    </w:p>
    <w:p w14:paraId="6CACEFC7">
      <w:pPr>
        <w:spacing w:line="242" w:lineRule="auto"/>
        <w:rPr>
          <w:rFonts w:ascii="Arial"/>
          <w:color w:val="auto"/>
          <w:sz w:val="21"/>
        </w:rPr>
      </w:pPr>
    </w:p>
    <w:p w14:paraId="52D632E9">
      <w:pPr>
        <w:spacing w:line="242" w:lineRule="auto"/>
        <w:rPr>
          <w:rFonts w:ascii="Arial"/>
          <w:color w:val="auto"/>
          <w:sz w:val="21"/>
        </w:rPr>
      </w:pPr>
    </w:p>
    <w:p w14:paraId="60187935">
      <w:pPr>
        <w:spacing w:before="140" w:line="224" w:lineRule="auto"/>
        <w:ind w:left="0" w:leftChars="0" w:firstLine="0" w:firstLineChars="0"/>
        <w:jc w:val="center"/>
        <w:outlineLvl w:val="1"/>
        <w:rPr>
          <w:rFonts w:ascii="宋体" w:hAnsi="宋体" w:eastAsia="宋体" w:cs="宋体"/>
          <w:color w:val="auto"/>
          <w:sz w:val="43"/>
          <w:szCs w:val="43"/>
        </w:rPr>
      </w:pPr>
      <w:r>
        <w:rPr>
          <w:rFonts w:ascii="宋体" w:hAnsi="宋体" w:eastAsia="宋体" w:cs="宋体"/>
          <w:color w:val="auto"/>
          <w:spacing w:val="5"/>
          <w:sz w:val="43"/>
          <w:szCs w:val="43"/>
          <w14:textOutline w14:w="7972" w14:cap="sq" w14:cmpd="sng">
            <w14:solidFill>
              <w14:srgbClr w14:val="000000"/>
            </w14:solidFill>
            <w14:prstDash w14:val="solid"/>
            <w14:bevel/>
          </w14:textOutline>
        </w:rPr>
        <w:t>资格证明文件</w:t>
      </w:r>
    </w:p>
    <w:p w14:paraId="564A84B9">
      <w:pPr>
        <w:rPr>
          <w:color w:val="auto"/>
        </w:rPr>
      </w:pPr>
    </w:p>
    <w:p w14:paraId="4797209D">
      <w:pPr>
        <w:pStyle w:val="35"/>
        <w:rPr>
          <w:color w:val="auto"/>
        </w:rPr>
      </w:pPr>
    </w:p>
    <w:p w14:paraId="25F3A8B9">
      <w:pPr>
        <w:pStyle w:val="35"/>
        <w:rPr>
          <w:color w:val="auto"/>
        </w:rPr>
      </w:pPr>
    </w:p>
    <w:p w14:paraId="3B0E6206">
      <w:pPr>
        <w:pStyle w:val="35"/>
        <w:rPr>
          <w:color w:val="auto"/>
        </w:rPr>
      </w:pPr>
    </w:p>
    <w:p w14:paraId="35BBBA49">
      <w:pPr>
        <w:pStyle w:val="35"/>
        <w:rPr>
          <w:color w:val="auto"/>
        </w:rPr>
      </w:pPr>
    </w:p>
    <w:p w14:paraId="642BAE3E">
      <w:pPr>
        <w:pStyle w:val="35"/>
        <w:rPr>
          <w:color w:val="auto"/>
        </w:rPr>
      </w:pPr>
    </w:p>
    <w:p w14:paraId="065B316E">
      <w:pPr>
        <w:pStyle w:val="35"/>
        <w:rPr>
          <w:color w:val="auto"/>
        </w:rPr>
      </w:pPr>
    </w:p>
    <w:p w14:paraId="2495C394">
      <w:pPr>
        <w:pStyle w:val="35"/>
        <w:rPr>
          <w:color w:val="auto"/>
        </w:rPr>
      </w:pPr>
    </w:p>
    <w:p w14:paraId="0DE8E82F">
      <w:pPr>
        <w:pStyle w:val="35"/>
        <w:rPr>
          <w:color w:val="auto"/>
        </w:rPr>
      </w:pPr>
    </w:p>
    <w:p w14:paraId="51CBF028">
      <w:pPr>
        <w:pStyle w:val="35"/>
        <w:rPr>
          <w:color w:val="auto"/>
        </w:rPr>
      </w:pPr>
    </w:p>
    <w:p w14:paraId="5AD75AC3">
      <w:pPr>
        <w:pStyle w:val="35"/>
        <w:rPr>
          <w:color w:val="auto"/>
        </w:rPr>
      </w:pPr>
    </w:p>
    <w:p w14:paraId="052D97FB">
      <w:pPr>
        <w:pStyle w:val="35"/>
        <w:rPr>
          <w:color w:val="auto"/>
        </w:rPr>
      </w:pPr>
    </w:p>
    <w:p w14:paraId="2B07602B">
      <w:pPr>
        <w:pStyle w:val="35"/>
        <w:rPr>
          <w:color w:val="auto"/>
        </w:rPr>
      </w:pPr>
    </w:p>
    <w:p w14:paraId="555150CB">
      <w:pPr>
        <w:pStyle w:val="35"/>
        <w:rPr>
          <w:color w:val="auto"/>
        </w:rPr>
      </w:pPr>
    </w:p>
    <w:p w14:paraId="5417880A">
      <w:pPr>
        <w:pStyle w:val="35"/>
        <w:rPr>
          <w:color w:val="auto"/>
        </w:rPr>
      </w:pPr>
    </w:p>
    <w:p w14:paraId="1FDB6032">
      <w:pPr>
        <w:pStyle w:val="35"/>
        <w:rPr>
          <w:color w:val="auto"/>
        </w:rPr>
      </w:pPr>
    </w:p>
    <w:p w14:paraId="1293A1E7">
      <w:pPr>
        <w:pStyle w:val="35"/>
        <w:rPr>
          <w:color w:val="auto"/>
        </w:rPr>
      </w:pPr>
    </w:p>
    <w:p w14:paraId="410578CB">
      <w:pPr>
        <w:pStyle w:val="35"/>
        <w:rPr>
          <w:color w:val="auto"/>
        </w:rPr>
      </w:pPr>
    </w:p>
    <w:p w14:paraId="19E2CFF6">
      <w:pPr>
        <w:pStyle w:val="35"/>
        <w:rPr>
          <w:color w:val="auto"/>
        </w:rPr>
      </w:pPr>
    </w:p>
    <w:p w14:paraId="560D2EC4">
      <w:pPr>
        <w:pStyle w:val="35"/>
        <w:rPr>
          <w:color w:val="auto"/>
        </w:rPr>
      </w:pPr>
    </w:p>
    <w:p w14:paraId="38523D04">
      <w:pPr>
        <w:pStyle w:val="35"/>
        <w:rPr>
          <w:color w:val="auto"/>
        </w:rPr>
      </w:pPr>
    </w:p>
    <w:p w14:paraId="77188742">
      <w:pPr>
        <w:pStyle w:val="35"/>
        <w:rPr>
          <w:color w:val="auto"/>
        </w:rPr>
      </w:pPr>
    </w:p>
    <w:p w14:paraId="2BCCFAFD">
      <w:pPr>
        <w:pStyle w:val="35"/>
        <w:rPr>
          <w:color w:val="auto"/>
        </w:rPr>
      </w:pPr>
    </w:p>
    <w:p w14:paraId="10D22E0D">
      <w:pPr>
        <w:pStyle w:val="35"/>
        <w:rPr>
          <w:color w:val="auto"/>
        </w:rPr>
      </w:pPr>
    </w:p>
    <w:p w14:paraId="5C3B2779">
      <w:pPr>
        <w:pStyle w:val="35"/>
        <w:rPr>
          <w:color w:val="auto"/>
        </w:rPr>
      </w:pPr>
    </w:p>
    <w:p w14:paraId="1D0129B0">
      <w:pPr>
        <w:pStyle w:val="35"/>
        <w:rPr>
          <w:color w:val="auto"/>
        </w:rPr>
      </w:pPr>
    </w:p>
    <w:p w14:paraId="1D8D1DE3">
      <w:pPr>
        <w:pStyle w:val="35"/>
        <w:rPr>
          <w:color w:val="auto"/>
        </w:rPr>
      </w:pPr>
    </w:p>
    <w:p w14:paraId="1050294A">
      <w:pPr>
        <w:pStyle w:val="35"/>
        <w:rPr>
          <w:color w:val="auto"/>
        </w:rPr>
      </w:pPr>
    </w:p>
    <w:p w14:paraId="6BBBE06B">
      <w:pPr>
        <w:pStyle w:val="35"/>
        <w:rPr>
          <w:color w:val="auto"/>
        </w:rPr>
      </w:pPr>
    </w:p>
    <w:p w14:paraId="446C109F">
      <w:pPr>
        <w:pStyle w:val="35"/>
        <w:rPr>
          <w:color w:val="auto"/>
        </w:rPr>
      </w:pPr>
    </w:p>
    <w:p w14:paraId="36D258EA">
      <w:pPr>
        <w:pStyle w:val="35"/>
        <w:rPr>
          <w:color w:val="auto"/>
        </w:rPr>
      </w:pPr>
    </w:p>
    <w:p w14:paraId="0E8B04AD">
      <w:pPr>
        <w:pStyle w:val="35"/>
        <w:rPr>
          <w:color w:val="auto"/>
        </w:rPr>
      </w:pPr>
    </w:p>
    <w:p w14:paraId="641F5D8C">
      <w:pPr>
        <w:pStyle w:val="35"/>
        <w:rPr>
          <w:color w:val="auto"/>
        </w:rPr>
      </w:pPr>
    </w:p>
    <w:p w14:paraId="2E7E7796">
      <w:pPr>
        <w:pStyle w:val="35"/>
        <w:rPr>
          <w:rFonts w:hint="eastAsia" w:ascii="宋体" w:hAnsi="宋体" w:eastAsia="宋体" w:cs="宋体"/>
          <w:b/>
          <w:bCs/>
          <w:color w:val="auto"/>
          <w:sz w:val="24"/>
          <w:szCs w:val="32"/>
        </w:rPr>
      </w:pPr>
      <w:r>
        <w:rPr>
          <w:rFonts w:hint="eastAsia" w:ascii="宋体" w:hAnsi="宋体" w:eastAsia="宋体" w:cs="宋体"/>
          <w:b/>
          <w:bCs/>
          <w:color w:val="auto"/>
          <w:sz w:val="24"/>
          <w:szCs w:val="32"/>
        </w:rPr>
        <w:t>1.</w:t>
      </w:r>
      <w:r>
        <w:rPr>
          <w:rFonts w:hint="eastAsia" w:ascii="宋体" w:hAnsi="宋体" w:eastAsia="宋体" w:cs="宋体"/>
          <w:b/>
          <w:bCs/>
          <w:color w:val="auto"/>
          <w:sz w:val="24"/>
          <w:szCs w:val="32"/>
          <w:lang w:eastAsia="zh-CN"/>
        </w:rPr>
        <w:t>竞</w:t>
      </w:r>
      <w:r>
        <w:rPr>
          <w:rFonts w:hint="eastAsia" w:ascii="宋体" w:hAnsi="宋体" w:eastAsia="宋体" w:cs="宋体"/>
          <w:b/>
          <w:bCs/>
          <w:color w:val="auto"/>
          <w:sz w:val="24"/>
          <w:szCs w:val="32"/>
        </w:rPr>
        <w:t>标声明书格式：</w:t>
      </w:r>
    </w:p>
    <w:p w14:paraId="2872566A">
      <w:pPr>
        <w:pStyle w:val="35"/>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竞</w:t>
      </w:r>
      <w:r>
        <w:rPr>
          <w:rFonts w:hint="eastAsia" w:ascii="宋体" w:hAnsi="宋体" w:eastAsia="宋体" w:cs="宋体"/>
          <w:b/>
          <w:bCs/>
          <w:color w:val="auto"/>
          <w:sz w:val="32"/>
          <w:szCs w:val="32"/>
        </w:rPr>
        <w:t>标声明书</w:t>
      </w:r>
    </w:p>
    <w:p w14:paraId="127BC70E">
      <w:pPr>
        <w:pStyle w:val="35"/>
        <w:rPr>
          <w:rFonts w:hint="eastAsia" w:ascii="宋体" w:hAnsi="宋体" w:eastAsia="宋体" w:cs="宋体"/>
          <w:color w:val="auto"/>
        </w:rPr>
      </w:pPr>
    </w:p>
    <w:p w14:paraId="5F2E9D61">
      <w:pPr>
        <w:pStyle w:val="35"/>
        <w:rPr>
          <w:rFonts w:hint="eastAsia" w:ascii="宋体" w:hAnsi="宋体" w:eastAsia="宋体" w:cs="宋体"/>
          <w:color w:val="auto"/>
        </w:rPr>
      </w:pPr>
    </w:p>
    <w:p w14:paraId="444BF198">
      <w:pPr>
        <w:pStyle w:val="35"/>
        <w:spacing w:line="360" w:lineRule="auto"/>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 xml:space="preserve">       </w:t>
      </w:r>
      <w:r>
        <w:rPr>
          <w:rFonts w:hint="eastAsia" w:ascii="宋体" w:hAnsi="宋体" w:eastAsia="宋体" w:cs="宋体"/>
          <w:i w:val="0"/>
          <w:iCs w:val="0"/>
          <w:color w:val="auto"/>
          <w:u w:val="single"/>
        </w:rPr>
        <w:t>(采购</w:t>
      </w:r>
      <w:r>
        <w:rPr>
          <w:rFonts w:hint="eastAsia" w:ascii="宋体" w:hAnsi="宋体" w:eastAsia="宋体" w:cs="宋体"/>
          <w:i w:val="0"/>
          <w:iCs w:val="0"/>
          <w:color w:val="auto"/>
          <w:u w:val="single"/>
          <w:lang w:eastAsia="zh-CN"/>
        </w:rPr>
        <w:t>人</w:t>
      </w:r>
      <w:r>
        <w:rPr>
          <w:rFonts w:hint="eastAsia" w:ascii="宋体" w:hAnsi="宋体" w:eastAsia="宋体" w:cs="宋体"/>
          <w:i w:val="0"/>
          <w:iCs w:val="0"/>
          <w:color w:val="auto"/>
          <w:u w:val="single"/>
        </w:rPr>
        <w:t>名称)</w:t>
      </w:r>
      <w:r>
        <w:rPr>
          <w:rFonts w:hint="eastAsia" w:ascii="宋体" w:hAnsi="宋体" w:eastAsia="宋体" w:cs="宋体"/>
          <w:i w:val="0"/>
          <w:iCs w:val="0"/>
          <w:color w:val="auto"/>
          <w:u w:val="single"/>
          <w:lang w:val="en-US" w:eastAsia="zh-CN"/>
        </w:rPr>
        <w:t xml:space="preserve">       </w:t>
      </w:r>
      <w:r>
        <w:rPr>
          <w:rFonts w:hint="eastAsia" w:ascii="宋体" w:hAnsi="宋体" w:eastAsia="宋体" w:cs="宋体"/>
          <w:color w:val="auto"/>
        </w:rPr>
        <w:t>：</w:t>
      </w:r>
    </w:p>
    <w:p w14:paraId="4136848D">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u w:val="single"/>
        </w:rPr>
        <w:t>(</w:t>
      </w:r>
      <w:r>
        <w:rPr>
          <w:rFonts w:hint="eastAsia" w:ascii="宋体" w:hAnsi="宋体" w:eastAsia="宋体" w:cs="宋体"/>
          <w:color w:val="auto"/>
          <w:u w:val="single"/>
          <w:lang w:eastAsia="zh-CN"/>
        </w:rPr>
        <w:t>供应商</w:t>
      </w:r>
      <w:r>
        <w:rPr>
          <w:rFonts w:hint="eastAsia" w:ascii="宋体" w:hAnsi="宋体" w:eastAsia="宋体" w:cs="宋体"/>
          <w:color w:val="auto"/>
          <w:u w:val="single"/>
        </w:rPr>
        <w:t>名称)</w:t>
      </w:r>
      <w:r>
        <w:rPr>
          <w:rFonts w:hint="eastAsia" w:ascii="宋体" w:hAnsi="宋体" w:eastAsia="宋体" w:cs="宋体"/>
          <w:color w:val="auto"/>
        </w:rPr>
        <w:t>系中华人民共和国合法企业，经营地址</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w:t>
      </w:r>
    </w:p>
    <w:p w14:paraId="3444324E">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我</w:t>
      </w:r>
      <w:r>
        <w:rPr>
          <w:rFonts w:hint="eastAsia" w:ascii="宋体" w:hAnsi="宋体" w:eastAsia="宋体" w:cs="宋体"/>
          <w:color w:val="auto"/>
          <w:u w:val="single"/>
        </w:rPr>
        <w:t xml:space="preserve">     (姓名)</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系</w:t>
      </w:r>
      <w:r>
        <w:rPr>
          <w:rFonts w:hint="eastAsia" w:ascii="宋体" w:hAnsi="宋体" w:eastAsia="宋体" w:cs="宋体"/>
          <w:color w:val="auto"/>
          <w:u w:val="single"/>
        </w:rPr>
        <w:t xml:space="preserve">    (</w:t>
      </w:r>
      <w:r>
        <w:rPr>
          <w:rFonts w:hint="eastAsia" w:ascii="宋体" w:hAnsi="宋体" w:eastAsia="宋体" w:cs="宋体"/>
          <w:color w:val="auto"/>
          <w:u w:val="single"/>
          <w:lang w:eastAsia="zh-CN"/>
        </w:rPr>
        <w:t>供应商</w:t>
      </w:r>
      <w:r>
        <w:rPr>
          <w:rFonts w:hint="eastAsia" w:ascii="宋体" w:hAnsi="宋体" w:eastAsia="宋体" w:cs="宋体"/>
          <w:color w:val="auto"/>
          <w:u w:val="single"/>
        </w:rPr>
        <w:t>名称)</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的法定代表人，我方愿意参加贵方组织的</w:t>
      </w:r>
      <w:r>
        <w:rPr>
          <w:rFonts w:hint="eastAsia" w:ascii="宋体" w:hAnsi="宋体" w:eastAsia="宋体" w:cs="宋体"/>
          <w:color w:val="auto"/>
          <w:u w:val="single"/>
        </w:rPr>
        <w:t xml:space="preserve">                           </w:t>
      </w:r>
      <w:r>
        <w:rPr>
          <w:rFonts w:hint="eastAsia" w:ascii="宋体" w:hAnsi="宋体" w:eastAsia="宋体" w:cs="宋体"/>
          <w:color w:val="auto"/>
        </w:rPr>
        <w:t>项目的</w:t>
      </w:r>
      <w:r>
        <w:rPr>
          <w:rFonts w:hint="eastAsia" w:ascii="宋体" w:hAnsi="宋体" w:eastAsia="宋体" w:cs="宋体"/>
          <w:color w:val="auto"/>
          <w:lang w:eastAsia="zh-CN"/>
        </w:rPr>
        <w:t>竞争性磋商采购活动</w:t>
      </w:r>
      <w:r>
        <w:rPr>
          <w:rFonts w:hint="eastAsia" w:ascii="宋体" w:hAnsi="宋体" w:eastAsia="宋体" w:cs="宋体"/>
          <w:color w:val="auto"/>
        </w:rPr>
        <w:t>，为便于贵方公正、择优地确定</w:t>
      </w:r>
      <w:r>
        <w:rPr>
          <w:rFonts w:hint="eastAsia" w:ascii="宋体" w:hAnsi="宋体" w:eastAsia="宋体" w:cs="宋体"/>
          <w:color w:val="auto"/>
          <w:lang w:eastAsia="zh-CN"/>
        </w:rPr>
        <w:t>成交</w:t>
      </w:r>
      <w:r>
        <w:rPr>
          <w:rFonts w:hint="eastAsia" w:ascii="宋体" w:hAnsi="宋体" w:eastAsia="宋体" w:cs="宋体"/>
          <w:color w:val="auto"/>
        </w:rPr>
        <w:t>人及其</w:t>
      </w:r>
      <w:r>
        <w:rPr>
          <w:rFonts w:hint="eastAsia" w:ascii="宋体" w:hAnsi="宋体" w:eastAsia="宋体" w:cs="宋体"/>
          <w:color w:val="auto"/>
          <w:lang w:eastAsia="zh-CN"/>
        </w:rPr>
        <w:t>竞</w:t>
      </w:r>
      <w:r>
        <w:rPr>
          <w:rFonts w:hint="eastAsia" w:ascii="宋体" w:hAnsi="宋体" w:eastAsia="宋体" w:cs="宋体"/>
          <w:color w:val="auto"/>
        </w:rPr>
        <w:t>标产品和服务，我方就本次</w:t>
      </w:r>
      <w:r>
        <w:rPr>
          <w:rFonts w:hint="eastAsia" w:ascii="宋体" w:hAnsi="宋体" w:eastAsia="宋体" w:cs="宋体"/>
          <w:color w:val="auto"/>
          <w:lang w:eastAsia="zh-CN"/>
        </w:rPr>
        <w:t>竞</w:t>
      </w:r>
      <w:r>
        <w:rPr>
          <w:rFonts w:hint="eastAsia" w:ascii="宋体" w:hAnsi="宋体" w:eastAsia="宋体" w:cs="宋体"/>
          <w:color w:val="auto"/>
        </w:rPr>
        <w:t>标有关事项郑重声明如下：</w:t>
      </w:r>
    </w:p>
    <w:p w14:paraId="7633D51B">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1.我方向贵方提交的所有</w:t>
      </w:r>
      <w:r>
        <w:rPr>
          <w:rFonts w:hint="eastAsia" w:ascii="宋体" w:hAnsi="宋体" w:eastAsia="宋体" w:cs="宋体"/>
          <w:color w:val="auto"/>
          <w:lang w:eastAsia="zh-CN"/>
        </w:rPr>
        <w:t>响应</w:t>
      </w:r>
      <w:r>
        <w:rPr>
          <w:rFonts w:hint="eastAsia" w:ascii="宋体" w:hAnsi="宋体" w:eastAsia="宋体" w:cs="宋体"/>
          <w:color w:val="auto"/>
        </w:rPr>
        <w:t>文件、资料都是准确的和真实的。</w:t>
      </w:r>
    </w:p>
    <w:p w14:paraId="4BDBF759">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2.我方不是采购人的附属机构；在获知本项目采购信息后，与采购人聘请的为此项目提供咨询服务的公司及其附属机构没有任何联系。</w:t>
      </w:r>
    </w:p>
    <w:p w14:paraId="524ED67F">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default" w:ascii="宋体" w:hAnsi="宋体" w:eastAsia="宋体" w:cs="宋体"/>
          <w:color w:val="auto"/>
          <w:u w:val="single"/>
          <w:lang w:val="en-US" w:eastAsia="zh-CN"/>
        </w:rPr>
      </w:pPr>
      <w:r>
        <w:rPr>
          <w:rFonts w:hint="eastAsia" w:ascii="宋体" w:hAnsi="宋体" w:eastAsia="宋体" w:cs="宋体"/>
          <w:color w:val="auto"/>
          <w:lang w:val="en-US" w:eastAsia="zh-CN"/>
        </w:rPr>
        <w:t>3</w:t>
      </w:r>
      <w:r>
        <w:rPr>
          <w:rFonts w:hint="eastAsia" w:ascii="宋体" w:hAnsi="宋体" w:eastAsia="宋体" w:cs="宋体"/>
          <w:color w:val="auto"/>
        </w:rPr>
        <w:t>.我方及由本人担任法定代表人的其他机构最近三年内被通报或者被处罚的违法行为有：</w:t>
      </w:r>
      <w:r>
        <w:rPr>
          <w:rFonts w:hint="eastAsia" w:ascii="宋体" w:hAnsi="宋体" w:eastAsia="宋体" w:cs="宋体"/>
          <w:color w:val="auto"/>
          <w:u w:val="single"/>
          <w:lang w:val="en-US" w:eastAsia="zh-CN"/>
        </w:rPr>
        <w:t xml:space="preserve">           </w:t>
      </w:r>
    </w:p>
    <w:p w14:paraId="1670A362">
      <w:pPr>
        <w:pStyle w:val="35"/>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default" w:ascii="宋体" w:hAnsi="宋体" w:eastAsia="宋体" w:cs="宋体"/>
          <w:color w:val="auto"/>
          <w:lang w:val="en-US" w:eastAsia="zh-CN"/>
        </w:rPr>
      </w:pPr>
      <w:r>
        <w:rPr>
          <w:rFonts w:hint="eastAsia" w:ascii="宋体" w:hAnsi="宋体" w:eastAsia="宋体" w:cs="宋体"/>
          <w:color w:val="auto"/>
          <w:u w:val="single"/>
          <w:lang w:val="en-US" w:eastAsia="zh-CN"/>
        </w:rPr>
        <w:t xml:space="preserve">                                                                                              </w:t>
      </w:r>
    </w:p>
    <w:p w14:paraId="0102EB60">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.以上事项如有虚假或隐瞒，我方愿意承担一切后果，并不再寻求任何旨在减轻或免除法 律责任的辩解。</w:t>
      </w:r>
    </w:p>
    <w:p w14:paraId="754AD565">
      <w:pPr>
        <w:pStyle w:val="35"/>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rPr>
      </w:pPr>
    </w:p>
    <w:p w14:paraId="6F6BE617">
      <w:pPr>
        <w:pStyle w:val="35"/>
        <w:keepNext w:val="0"/>
        <w:keepLines w:val="0"/>
        <w:pageBreakBefore w:val="0"/>
        <w:widowControl w:val="0"/>
        <w:kinsoku/>
        <w:wordWrap/>
        <w:overflowPunct/>
        <w:topLinePunct w:val="0"/>
        <w:autoSpaceDE w:val="0"/>
        <w:autoSpaceDN w:val="0"/>
        <w:bidi w:val="0"/>
        <w:adjustRightInd w:val="0"/>
        <w:snapToGrid/>
        <w:spacing w:line="600" w:lineRule="exact"/>
        <w:ind w:firstLine="4830" w:firstLineChars="2300"/>
        <w:textAlignment w:val="auto"/>
        <w:rPr>
          <w:rFonts w:hint="eastAsia" w:ascii="宋体" w:hAnsi="宋体" w:eastAsia="宋体" w:cs="宋体"/>
          <w:color w:val="auto"/>
        </w:rPr>
      </w:pPr>
      <w:r>
        <w:rPr>
          <w:rFonts w:hint="eastAsia" w:ascii="宋体" w:hAnsi="宋体" w:eastAsia="宋体" w:cs="宋体"/>
          <w:color w:val="auto"/>
        </w:rPr>
        <w:t>法定代表人签字：</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 xml:space="preserve">               </w:t>
      </w:r>
    </w:p>
    <w:p w14:paraId="7D0DCD14">
      <w:pPr>
        <w:pStyle w:val="35"/>
        <w:keepNext w:val="0"/>
        <w:keepLines w:val="0"/>
        <w:pageBreakBefore w:val="0"/>
        <w:widowControl w:val="0"/>
        <w:kinsoku/>
        <w:wordWrap/>
        <w:overflowPunct/>
        <w:topLinePunct w:val="0"/>
        <w:autoSpaceDE w:val="0"/>
        <w:autoSpaceDN w:val="0"/>
        <w:bidi w:val="0"/>
        <w:adjustRightInd w:val="0"/>
        <w:snapToGrid/>
        <w:spacing w:line="600" w:lineRule="exact"/>
        <w:ind w:firstLine="4830" w:firstLineChars="2300"/>
        <w:textAlignment w:val="auto"/>
        <w:rPr>
          <w:rFonts w:hint="eastAsia" w:ascii="宋体" w:hAnsi="宋体" w:eastAsia="宋体" w:cs="宋体"/>
          <w:color w:val="auto"/>
          <w:u w:val="single"/>
        </w:rPr>
      </w:pPr>
      <w:r>
        <w:rPr>
          <w:rFonts w:hint="eastAsia" w:ascii="宋体" w:hAnsi="宋体" w:cs="宋体"/>
          <w:b w:val="0"/>
          <w:bCs/>
          <w:color w:val="auto"/>
          <w:szCs w:val="21"/>
          <w:lang w:eastAsia="zh-CN"/>
        </w:rPr>
        <w:t>供应商</w:t>
      </w:r>
      <w:r>
        <w:rPr>
          <w:rFonts w:hint="eastAsia" w:ascii="宋体" w:hAnsi="宋体" w:eastAsia="宋体" w:cs="宋体"/>
          <w:color w:val="auto"/>
        </w:rPr>
        <w:t>公章：</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p>
    <w:p w14:paraId="7E2CA940">
      <w:pPr>
        <w:pStyle w:val="35"/>
        <w:keepNext w:val="0"/>
        <w:keepLines w:val="0"/>
        <w:pageBreakBefore w:val="0"/>
        <w:widowControl w:val="0"/>
        <w:kinsoku/>
        <w:wordWrap/>
        <w:overflowPunct/>
        <w:topLinePunct w:val="0"/>
        <w:autoSpaceDE w:val="0"/>
        <w:autoSpaceDN w:val="0"/>
        <w:bidi w:val="0"/>
        <w:adjustRightInd w:val="0"/>
        <w:snapToGrid/>
        <w:spacing w:line="600" w:lineRule="exact"/>
        <w:ind w:firstLine="6930" w:firstLineChars="3300"/>
        <w:textAlignment w:val="auto"/>
        <w:rPr>
          <w:rFonts w:hint="eastAsia" w:ascii="宋体" w:hAnsi="宋体" w:eastAsia="宋体" w:cs="宋体"/>
          <w:color w:val="auto"/>
        </w:rPr>
      </w:pPr>
      <w:r>
        <w:rPr>
          <w:rFonts w:hint="eastAsia" w:ascii="宋体" w:hAnsi="宋体" w:eastAsia="宋体" w:cs="宋体"/>
          <w:color w:val="auto"/>
        </w:rPr>
        <w:t>年    月    日</w:t>
      </w:r>
    </w:p>
    <w:p w14:paraId="6E6FF4B7">
      <w:pPr>
        <w:pStyle w:val="35"/>
        <w:spacing w:line="360" w:lineRule="auto"/>
        <w:ind w:firstLine="5670" w:firstLineChars="2700"/>
        <w:rPr>
          <w:rFonts w:hint="eastAsia" w:ascii="宋体" w:hAnsi="宋体" w:eastAsia="宋体" w:cs="宋体"/>
          <w:color w:val="auto"/>
        </w:rPr>
      </w:pPr>
    </w:p>
    <w:p w14:paraId="3814B0EF">
      <w:pPr>
        <w:pStyle w:val="35"/>
        <w:spacing w:line="360" w:lineRule="auto"/>
        <w:ind w:firstLine="5670" w:firstLineChars="2700"/>
        <w:rPr>
          <w:rFonts w:hint="eastAsia" w:ascii="宋体" w:hAnsi="宋体" w:eastAsia="宋体" w:cs="宋体"/>
          <w:color w:val="auto"/>
        </w:rPr>
      </w:pPr>
    </w:p>
    <w:p w14:paraId="6BF69A29">
      <w:pPr>
        <w:pStyle w:val="35"/>
        <w:spacing w:line="360" w:lineRule="auto"/>
        <w:ind w:firstLine="5670" w:firstLineChars="2700"/>
        <w:rPr>
          <w:rFonts w:hint="eastAsia" w:ascii="宋体" w:hAnsi="宋体" w:eastAsia="宋体" w:cs="宋体"/>
          <w:color w:val="auto"/>
        </w:rPr>
      </w:pPr>
    </w:p>
    <w:p w14:paraId="3C3BAFC1">
      <w:pPr>
        <w:pStyle w:val="35"/>
        <w:spacing w:line="360" w:lineRule="auto"/>
        <w:ind w:firstLine="5670" w:firstLineChars="2700"/>
        <w:rPr>
          <w:rFonts w:hint="eastAsia" w:ascii="宋体" w:hAnsi="宋体" w:eastAsia="宋体" w:cs="宋体"/>
          <w:color w:val="auto"/>
        </w:rPr>
      </w:pPr>
    </w:p>
    <w:p w14:paraId="7F12CD7F">
      <w:pPr>
        <w:pStyle w:val="35"/>
        <w:spacing w:line="360" w:lineRule="auto"/>
        <w:ind w:firstLine="5670" w:firstLineChars="2700"/>
        <w:rPr>
          <w:rFonts w:hint="eastAsia" w:ascii="宋体" w:hAnsi="宋体" w:eastAsia="宋体" w:cs="宋体"/>
          <w:color w:val="auto"/>
        </w:rPr>
      </w:pPr>
    </w:p>
    <w:p w14:paraId="7EAEB97E">
      <w:pPr>
        <w:pStyle w:val="35"/>
        <w:spacing w:line="360" w:lineRule="auto"/>
        <w:ind w:firstLine="5670" w:firstLineChars="2700"/>
        <w:rPr>
          <w:rFonts w:hint="eastAsia" w:ascii="宋体" w:hAnsi="宋体" w:eastAsia="宋体" w:cs="宋体"/>
          <w:color w:val="auto"/>
        </w:rPr>
      </w:pPr>
    </w:p>
    <w:p w14:paraId="0F5F3505">
      <w:pPr>
        <w:pStyle w:val="35"/>
        <w:spacing w:line="360" w:lineRule="auto"/>
        <w:ind w:firstLine="5670" w:firstLineChars="2700"/>
        <w:rPr>
          <w:rFonts w:hint="eastAsia" w:ascii="宋体" w:hAnsi="宋体" w:eastAsia="宋体" w:cs="宋体"/>
          <w:color w:val="auto"/>
        </w:rPr>
      </w:pPr>
    </w:p>
    <w:p w14:paraId="5B71E3F0">
      <w:pPr>
        <w:pStyle w:val="35"/>
        <w:spacing w:line="360" w:lineRule="auto"/>
        <w:ind w:firstLine="5670" w:firstLineChars="2700"/>
        <w:rPr>
          <w:rFonts w:hint="eastAsia" w:ascii="宋体" w:hAnsi="宋体" w:eastAsia="宋体" w:cs="宋体"/>
          <w:color w:val="auto"/>
        </w:rPr>
      </w:pPr>
    </w:p>
    <w:p w14:paraId="06A5EFE9">
      <w:pPr>
        <w:pStyle w:val="35"/>
        <w:spacing w:line="360" w:lineRule="auto"/>
        <w:ind w:firstLine="5670" w:firstLineChars="2700"/>
        <w:rPr>
          <w:rFonts w:hint="eastAsia" w:ascii="宋体" w:hAnsi="宋体" w:eastAsia="宋体" w:cs="宋体"/>
          <w:color w:val="auto"/>
        </w:rPr>
      </w:pPr>
    </w:p>
    <w:p w14:paraId="52DC03AA">
      <w:pPr>
        <w:pStyle w:val="35"/>
        <w:spacing w:line="360" w:lineRule="auto"/>
        <w:ind w:firstLine="5670" w:firstLineChars="2700"/>
        <w:rPr>
          <w:rFonts w:hint="eastAsia" w:ascii="宋体" w:hAnsi="宋体" w:eastAsia="宋体" w:cs="宋体"/>
          <w:color w:val="auto"/>
        </w:rPr>
      </w:pPr>
    </w:p>
    <w:p w14:paraId="101A2B10">
      <w:pPr>
        <w:pStyle w:val="35"/>
        <w:spacing w:line="360" w:lineRule="auto"/>
        <w:ind w:firstLine="5670" w:firstLineChars="2700"/>
        <w:rPr>
          <w:rFonts w:hint="eastAsia" w:ascii="宋体" w:hAnsi="宋体" w:eastAsia="宋体" w:cs="宋体"/>
          <w:color w:val="auto"/>
        </w:rPr>
      </w:pPr>
    </w:p>
    <w:p w14:paraId="107C1135">
      <w:pPr>
        <w:pStyle w:val="35"/>
        <w:spacing w:line="360" w:lineRule="auto"/>
        <w:ind w:firstLine="5670" w:firstLineChars="2700"/>
        <w:rPr>
          <w:rFonts w:hint="eastAsia" w:ascii="宋体" w:hAnsi="宋体" w:eastAsia="宋体" w:cs="宋体"/>
          <w:color w:val="auto"/>
        </w:rPr>
      </w:pPr>
    </w:p>
    <w:p w14:paraId="4AC2D02B">
      <w:pPr>
        <w:pStyle w:val="35"/>
        <w:spacing w:line="360" w:lineRule="auto"/>
        <w:ind w:firstLine="5670" w:firstLineChars="2700"/>
        <w:rPr>
          <w:rFonts w:hint="eastAsia" w:ascii="宋体" w:hAnsi="宋体" w:eastAsia="宋体" w:cs="宋体"/>
          <w:color w:val="auto"/>
        </w:rPr>
      </w:pPr>
    </w:p>
    <w:p w14:paraId="0542AF12">
      <w:pPr>
        <w:pStyle w:val="35"/>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 法定代表人授权委托书和委托代理人正反面身份证复印件 (委托代理时需要提供) 格式：</w:t>
      </w:r>
    </w:p>
    <w:p w14:paraId="3D17F537">
      <w:pPr>
        <w:pStyle w:val="35"/>
        <w:spacing w:line="360" w:lineRule="auto"/>
        <w:jc w:val="center"/>
        <w:rPr>
          <w:rFonts w:hint="eastAsia" w:ascii="宋体" w:hAnsi="宋体" w:eastAsia="宋体" w:cs="宋体"/>
          <w:b/>
          <w:bCs/>
          <w:color w:val="auto"/>
          <w:sz w:val="22"/>
          <w:szCs w:val="22"/>
        </w:rPr>
      </w:pPr>
    </w:p>
    <w:p w14:paraId="47B4F9D5">
      <w:pPr>
        <w:pStyle w:val="35"/>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法定代表人授权委托书</w:t>
      </w:r>
    </w:p>
    <w:p w14:paraId="26B8CDDB">
      <w:pPr>
        <w:pStyle w:val="35"/>
        <w:spacing w:line="360" w:lineRule="auto"/>
        <w:rPr>
          <w:rFonts w:hint="eastAsia" w:ascii="宋体" w:hAnsi="宋体" w:eastAsia="宋体" w:cs="宋体"/>
          <w:color w:val="auto"/>
          <w:sz w:val="21"/>
          <w:szCs w:val="21"/>
        </w:rPr>
      </w:pPr>
    </w:p>
    <w:p w14:paraId="29E1793D">
      <w:pPr>
        <w:pStyle w:val="35"/>
        <w:spacing w:line="360" w:lineRule="auto"/>
        <w:rPr>
          <w:rFonts w:hint="eastAsia" w:ascii="宋体" w:hAnsi="宋体" w:eastAsia="宋体" w:cs="宋体"/>
          <w:color w:val="auto"/>
          <w:sz w:val="21"/>
          <w:szCs w:val="21"/>
        </w:rPr>
      </w:pPr>
    </w:p>
    <w:p w14:paraId="102901DC">
      <w:pPr>
        <w:pStyle w:val="35"/>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rPr>
        <w:t xml:space="preserve">     (采购</w:t>
      </w:r>
      <w:r>
        <w:rPr>
          <w:rFonts w:hint="eastAsia" w:ascii="宋体" w:hAnsi="宋体" w:eastAsia="宋体" w:cs="宋体"/>
          <w:color w:val="auto"/>
          <w:sz w:val="21"/>
          <w:szCs w:val="21"/>
          <w:u w:val="single"/>
          <w:lang w:eastAsia="zh-CN"/>
        </w:rPr>
        <w:t>人</w:t>
      </w:r>
      <w:r>
        <w:rPr>
          <w:rFonts w:hint="eastAsia" w:ascii="宋体" w:hAnsi="宋体" w:eastAsia="宋体" w:cs="宋体"/>
          <w:color w:val="auto"/>
          <w:sz w:val="21"/>
          <w:szCs w:val="21"/>
          <w:u w:val="single"/>
        </w:rPr>
        <w:t>名称)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6ECF1B6C">
      <w:pPr>
        <w:pStyle w:val="35"/>
        <w:spacing w:line="360" w:lineRule="auto"/>
        <w:rPr>
          <w:rFonts w:hint="eastAsia" w:ascii="宋体" w:hAnsi="宋体" w:eastAsia="宋体" w:cs="宋体"/>
          <w:color w:val="auto"/>
          <w:sz w:val="21"/>
          <w:szCs w:val="21"/>
        </w:rPr>
      </w:pPr>
    </w:p>
    <w:p w14:paraId="758A7D47">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我 </w:t>
      </w:r>
      <w:r>
        <w:rPr>
          <w:rFonts w:hint="eastAsia" w:ascii="宋体" w:hAnsi="宋体" w:eastAsia="宋体" w:cs="宋体"/>
          <w:color w:val="auto"/>
          <w:sz w:val="21"/>
          <w:szCs w:val="21"/>
          <w:u w:val="single"/>
        </w:rPr>
        <w:t xml:space="preserve">     (姓名)</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系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供应商</w:t>
      </w:r>
      <w:r>
        <w:rPr>
          <w:rFonts w:hint="eastAsia" w:ascii="宋体" w:hAnsi="宋体" w:eastAsia="宋体" w:cs="宋体"/>
          <w:color w:val="auto"/>
          <w:sz w:val="21"/>
          <w:szCs w:val="21"/>
          <w:u w:val="single"/>
        </w:rPr>
        <w:t xml:space="preserve">名称)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的法定代表人，现授权委托 本单位在职职工</w:t>
      </w:r>
      <w:r>
        <w:rPr>
          <w:rFonts w:hint="eastAsia" w:ascii="宋体" w:hAnsi="宋体" w:eastAsia="宋体" w:cs="宋体"/>
          <w:color w:val="auto"/>
          <w:sz w:val="21"/>
          <w:szCs w:val="21"/>
          <w:u w:val="single"/>
        </w:rPr>
        <w:t xml:space="preserve">                (姓名)</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以我方的名义参加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项目的</w:t>
      </w:r>
      <w:r>
        <w:rPr>
          <w:rFonts w:hint="eastAsia" w:ascii="宋体" w:hAnsi="宋体" w:eastAsia="宋体" w:cs="宋体"/>
          <w:color w:val="auto"/>
          <w:sz w:val="21"/>
          <w:szCs w:val="21"/>
          <w:lang w:eastAsia="zh-CN"/>
        </w:rPr>
        <w:t>竞争性磋商采购</w:t>
      </w:r>
      <w:r>
        <w:rPr>
          <w:rFonts w:hint="eastAsia" w:ascii="宋体" w:hAnsi="宋体" w:eastAsia="宋体" w:cs="宋体"/>
          <w:color w:val="auto"/>
          <w:sz w:val="21"/>
          <w:szCs w:val="21"/>
        </w:rPr>
        <w:t>活动， 并代表我方全权办理针对上述项目的</w:t>
      </w:r>
      <w:r>
        <w:rPr>
          <w:rFonts w:hint="eastAsia" w:ascii="宋体" w:hAnsi="宋体" w:eastAsia="宋体" w:cs="宋体"/>
          <w:color w:val="auto"/>
          <w:sz w:val="21"/>
          <w:szCs w:val="21"/>
          <w:lang w:eastAsia="zh-CN"/>
        </w:rPr>
        <w:t>竞</w:t>
      </w:r>
      <w:r>
        <w:rPr>
          <w:rFonts w:hint="eastAsia" w:ascii="宋体" w:hAnsi="宋体" w:eastAsia="宋体" w:cs="宋体"/>
          <w:color w:val="auto"/>
          <w:sz w:val="21"/>
          <w:szCs w:val="21"/>
        </w:rPr>
        <w:t>标、开标、评标、签约等具体事务和签署相关文件。</w:t>
      </w:r>
    </w:p>
    <w:p w14:paraId="354FBC31">
      <w:pPr>
        <w:pStyle w:val="35"/>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我方对被授权人的签名事项负全部责任。</w:t>
      </w:r>
    </w:p>
    <w:p w14:paraId="1A7F46C8">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在撤销授权的书面通知以前，本授权书一直有效。被授权人在授权书有效期内签署的所 有文件不因授权的撤销而失效。</w:t>
      </w:r>
    </w:p>
    <w:p w14:paraId="1A189F13">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被授权人无转委托权，特此委托。</w:t>
      </w:r>
    </w:p>
    <w:p w14:paraId="0C835176">
      <w:pPr>
        <w:pStyle w:val="35"/>
        <w:spacing w:line="360" w:lineRule="auto"/>
        <w:rPr>
          <w:rFonts w:hint="eastAsia" w:ascii="宋体" w:hAnsi="宋体" w:eastAsia="宋体" w:cs="宋体"/>
          <w:color w:val="auto"/>
          <w:sz w:val="21"/>
          <w:szCs w:val="21"/>
        </w:rPr>
      </w:pPr>
    </w:p>
    <w:p w14:paraId="4424F43D">
      <w:pPr>
        <w:pStyle w:val="35"/>
        <w:spacing w:line="360" w:lineRule="auto"/>
        <w:rPr>
          <w:rFonts w:hint="eastAsia" w:ascii="宋体" w:hAnsi="宋体" w:eastAsia="宋体" w:cs="宋体"/>
          <w:color w:val="auto"/>
          <w:sz w:val="21"/>
          <w:szCs w:val="21"/>
        </w:rPr>
      </w:pPr>
    </w:p>
    <w:p w14:paraId="3B255CCC">
      <w:pPr>
        <w:pStyle w:val="35"/>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被授权人签名：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法定代表人签名或盖章：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592C0411">
      <w:pPr>
        <w:pStyle w:val="35"/>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所在部门：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职务：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33C0065F">
      <w:pPr>
        <w:pStyle w:val="35"/>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被授权人身份证号码：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05013C0B">
      <w:pPr>
        <w:pStyle w:val="35"/>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宋体" w:hAnsi="宋体" w:eastAsia="宋体" w:cs="宋体"/>
          <w:color w:val="auto"/>
          <w:sz w:val="21"/>
          <w:szCs w:val="21"/>
        </w:rPr>
      </w:pPr>
    </w:p>
    <w:p w14:paraId="14112101">
      <w:pPr>
        <w:pStyle w:val="35"/>
        <w:keepNext w:val="0"/>
        <w:keepLines w:val="0"/>
        <w:pageBreakBefore w:val="0"/>
        <w:widowControl w:val="0"/>
        <w:kinsoku/>
        <w:wordWrap/>
        <w:overflowPunct/>
        <w:topLinePunct w:val="0"/>
        <w:autoSpaceDE w:val="0"/>
        <w:autoSpaceDN w:val="0"/>
        <w:bidi w:val="0"/>
        <w:adjustRightInd w:val="0"/>
        <w:snapToGrid/>
        <w:spacing w:line="640" w:lineRule="exact"/>
        <w:ind w:firstLine="4620" w:firstLineChars="2200"/>
        <w:textAlignment w:val="auto"/>
        <w:rPr>
          <w:rFonts w:hint="eastAsia" w:ascii="宋体" w:hAnsi="宋体" w:eastAsia="宋体" w:cs="宋体"/>
          <w:color w:val="auto"/>
          <w:sz w:val="21"/>
          <w:szCs w:val="21"/>
        </w:rPr>
      </w:pPr>
      <w:r>
        <w:rPr>
          <w:rFonts w:hint="eastAsia" w:ascii="宋体" w:hAnsi="宋体" w:cs="宋体"/>
          <w:b w:val="0"/>
          <w:bCs/>
          <w:color w:val="auto"/>
          <w:szCs w:val="21"/>
          <w:lang w:eastAsia="zh-CN"/>
        </w:rPr>
        <w:t>供应商</w:t>
      </w:r>
      <w:r>
        <w:rPr>
          <w:rFonts w:hint="eastAsia" w:ascii="宋体" w:hAnsi="宋体" w:eastAsia="宋体" w:cs="宋体"/>
          <w:color w:val="auto"/>
          <w:sz w:val="21"/>
          <w:szCs w:val="21"/>
        </w:rPr>
        <w:t>公章：</w:t>
      </w:r>
    </w:p>
    <w:p w14:paraId="61E117D2">
      <w:pPr>
        <w:pStyle w:val="35"/>
        <w:keepNext w:val="0"/>
        <w:keepLines w:val="0"/>
        <w:pageBreakBefore w:val="0"/>
        <w:widowControl w:val="0"/>
        <w:kinsoku/>
        <w:wordWrap/>
        <w:overflowPunct/>
        <w:topLinePunct w:val="0"/>
        <w:autoSpaceDE w:val="0"/>
        <w:autoSpaceDN w:val="0"/>
        <w:bidi w:val="0"/>
        <w:adjustRightInd w:val="0"/>
        <w:snapToGrid/>
        <w:spacing w:line="640" w:lineRule="exact"/>
        <w:ind w:firstLine="5460" w:firstLineChars="26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14:paraId="6666C628">
      <w:pPr>
        <w:pStyle w:val="35"/>
        <w:spacing w:line="360" w:lineRule="auto"/>
        <w:rPr>
          <w:rFonts w:hint="eastAsia" w:ascii="宋体" w:hAnsi="宋体" w:eastAsia="宋体" w:cs="宋体"/>
          <w:color w:val="auto"/>
          <w:sz w:val="21"/>
          <w:szCs w:val="21"/>
        </w:rPr>
      </w:pPr>
    </w:p>
    <w:p w14:paraId="211AEE42">
      <w:pPr>
        <w:pStyle w:val="35"/>
        <w:spacing w:line="360" w:lineRule="auto"/>
        <w:rPr>
          <w:rFonts w:hint="eastAsia" w:ascii="宋体" w:hAnsi="宋体" w:eastAsia="宋体" w:cs="宋体"/>
          <w:color w:val="auto"/>
          <w:sz w:val="21"/>
          <w:szCs w:val="21"/>
        </w:rPr>
      </w:pPr>
    </w:p>
    <w:p w14:paraId="6601B94B">
      <w:pPr>
        <w:pStyle w:val="35"/>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附：委托代理人正反面身份证复印件。</w:t>
      </w:r>
    </w:p>
    <w:p w14:paraId="412F343B">
      <w:pPr>
        <w:pStyle w:val="35"/>
        <w:spacing w:line="360" w:lineRule="auto"/>
        <w:rPr>
          <w:rFonts w:hint="eastAsia" w:ascii="宋体" w:hAnsi="宋体" w:eastAsia="宋体" w:cs="宋体"/>
          <w:color w:val="auto"/>
          <w:sz w:val="21"/>
          <w:szCs w:val="21"/>
        </w:rPr>
      </w:pPr>
    </w:p>
    <w:p w14:paraId="06B5077F">
      <w:pPr>
        <w:pStyle w:val="35"/>
        <w:spacing w:line="360" w:lineRule="auto"/>
        <w:rPr>
          <w:rFonts w:hint="eastAsia" w:ascii="宋体" w:hAnsi="宋体" w:eastAsia="宋体" w:cs="宋体"/>
          <w:color w:val="auto"/>
          <w:sz w:val="21"/>
          <w:szCs w:val="21"/>
        </w:rPr>
      </w:pPr>
    </w:p>
    <w:p w14:paraId="313AEFF7">
      <w:pPr>
        <w:pStyle w:val="35"/>
        <w:spacing w:line="360" w:lineRule="auto"/>
        <w:rPr>
          <w:rFonts w:hint="eastAsia" w:ascii="宋体" w:hAnsi="宋体" w:eastAsia="宋体" w:cs="宋体"/>
          <w:color w:val="auto"/>
          <w:sz w:val="21"/>
          <w:szCs w:val="21"/>
        </w:rPr>
      </w:pPr>
    </w:p>
    <w:p w14:paraId="2DC7173C">
      <w:pPr>
        <w:pStyle w:val="35"/>
        <w:spacing w:line="360" w:lineRule="auto"/>
        <w:rPr>
          <w:rFonts w:hint="eastAsia" w:ascii="宋体" w:hAnsi="宋体" w:eastAsia="宋体" w:cs="宋体"/>
          <w:color w:val="auto"/>
          <w:sz w:val="21"/>
          <w:szCs w:val="21"/>
        </w:rPr>
      </w:pPr>
    </w:p>
    <w:p w14:paraId="334AFE62">
      <w:pPr>
        <w:spacing w:line="193" w:lineRule="auto"/>
        <w:ind w:left="5"/>
        <w:rPr>
          <w:rFonts w:hint="eastAsia" w:ascii="宋体" w:hAnsi="宋体" w:eastAsia="宋体" w:cs="宋体"/>
          <w:b/>
          <w:bCs/>
          <w:color w:val="auto"/>
          <w:kern w:val="0"/>
          <w:sz w:val="21"/>
          <w:szCs w:val="21"/>
          <w:lang w:val="en-US" w:eastAsia="zh-CN" w:bidi="ar-SA"/>
        </w:rPr>
      </w:pPr>
    </w:p>
    <w:p w14:paraId="10EBABED">
      <w:pPr>
        <w:pStyle w:val="35"/>
        <w:numPr>
          <w:ilvl w:val="0"/>
          <w:numId w:val="0"/>
        </w:numPr>
        <w:spacing w:line="360" w:lineRule="auto"/>
        <w:ind w:left="5"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3.法定代表人正反面身份证复印件；</w:t>
      </w:r>
    </w:p>
    <w:p w14:paraId="62B0AEA2">
      <w:pPr>
        <w:pStyle w:val="35"/>
        <w:numPr>
          <w:ilvl w:val="0"/>
          <w:numId w:val="0"/>
        </w:numPr>
        <w:spacing w:line="360" w:lineRule="auto"/>
        <w:ind w:left="5"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4.供应商有效的三证合一的营业执照或事业单位法人证书</w:t>
      </w:r>
      <w:bookmarkStart w:id="70" w:name="_GoBack"/>
      <w:bookmarkEnd w:id="70"/>
      <w:r>
        <w:rPr>
          <w:rFonts w:hint="eastAsia" w:ascii="宋体" w:hAnsi="宋体" w:eastAsia="宋体" w:cs="宋体"/>
          <w:b/>
          <w:bCs/>
          <w:color w:val="auto"/>
          <w:sz w:val="21"/>
          <w:szCs w:val="21"/>
          <w:lang w:val="en-US" w:eastAsia="zh-CN"/>
        </w:rPr>
        <w:t>副本复印件；</w:t>
      </w:r>
    </w:p>
    <w:p w14:paraId="6EA777E2">
      <w:pPr>
        <w:pStyle w:val="35"/>
        <w:numPr>
          <w:ilvl w:val="0"/>
          <w:numId w:val="0"/>
        </w:numPr>
        <w:spacing w:line="360" w:lineRule="auto"/>
        <w:ind w:left="5"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5.有效的资质证明复印件（必须提供）；</w:t>
      </w:r>
    </w:p>
    <w:p w14:paraId="5ACE53AA">
      <w:pPr>
        <w:pStyle w:val="35"/>
        <w:numPr>
          <w:ilvl w:val="0"/>
          <w:numId w:val="0"/>
        </w:numPr>
        <w:spacing w:line="360" w:lineRule="auto"/>
        <w:ind w:left="5"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6.安全生产许可证复印件（必须提供）；</w:t>
      </w:r>
    </w:p>
    <w:p w14:paraId="1543EB7D">
      <w:pPr>
        <w:pStyle w:val="35"/>
        <w:numPr>
          <w:ilvl w:val="0"/>
          <w:numId w:val="0"/>
        </w:numPr>
        <w:spacing w:line="360" w:lineRule="auto"/>
        <w:ind w:left="5"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7.投入本工程的项目经理注册建造师执业资格证书复印件、安全生产考核合格证书（B证）复印件、身份证复印件（附磋商单位为项目经理缴纳的由社保机构出具的2025年1月至2025年3月份的社会保险证明复印件）（必须提供）；</w:t>
      </w:r>
    </w:p>
    <w:p w14:paraId="503E55DF">
      <w:pPr>
        <w:pStyle w:val="35"/>
        <w:numPr>
          <w:ilvl w:val="0"/>
          <w:numId w:val="0"/>
        </w:numPr>
        <w:spacing w:line="360" w:lineRule="auto"/>
        <w:ind w:left="5"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8.对在“信用中国”网站(www.creditchina.gov.cn)、中国政府采购网(www.ccgp.gov.cn)等渠道列入失信被执行人、重大税收违法案件当事人名单、政府采购严重违法失信行为记录（必须提供）；其中“信用中国”网站须提供供应商在“失信被执行人、重大税收违法案件当事人名单、政府采购严重违法失信行为记录名单”3个页面下的截图，“中国政府采购网”须提供供应商在“政府采购严重违法失信行为信息记录”页面下的截图。两个网站的查询结果截图加盖单位公章与无重大违法记录声明书一并提交；（必须提供）；</w:t>
      </w:r>
    </w:p>
    <w:p w14:paraId="71DEF30A">
      <w:pPr>
        <w:pStyle w:val="35"/>
        <w:widowControl w:val="0"/>
        <w:numPr>
          <w:ilvl w:val="0"/>
          <w:numId w:val="0"/>
        </w:numPr>
        <w:autoSpaceDE w:val="0"/>
        <w:autoSpaceDN w:val="0"/>
        <w:adjustRightInd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无重大违法记录声明书</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格式</w:t>
      </w:r>
      <w:r>
        <w:rPr>
          <w:rFonts w:hint="eastAsia" w:ascii="宋体" w:hAnsi="宋体" w:eastAsia="宋体" w:cs="宋体"/>
          <w:b/>
          <w:bCs/>
          <w:color w:val="auto"/>
          <w:sz w:val="32"/>
          <w:szCs w:val="32"/>
          <w:lang w:eastAsia="zh-CN"/>
        </w:rPr>
        <w:t>）</w:t>
      </w:r>
    </w:p>
    <w:p w14:paraId="2E9F38D4">
      <w:pPr>
        <w:pStyle w:val="35"/>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rPr>
      </w:pPr>
    </w:p>
    <w:p w14:paraId="48824168">
      <w:pPr>
        <w:pStyle w:val="35"/>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rPr>
      </w:pPr>
    </w:p>
    <w:p w14:paraId="0A2E01A2">
      <w:pPr>
        <w:pStyle w:val="35"/>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致</w:t>
      </w:r>
      <w:r>
        <w:rPr>
          <w:rFonts w:hint="eastAsia" w:ascii="宋体" w:hAnsi="宋体" w:eastAsia="宋体" w:cs="宋体"/>
          <w:b w:val="0"/>
          <w:bCs w:val="0"/>
          <w:color w:val="auto"/>
          <w:sz w:val="21"/>
          <w:szCs w:val="21"/>
          <w:u w:val="single"/>
        </w:rPr>
        <w:t xml:space="preserve">      (采购人</w:t>
      </w:r>
      <w:r>
        <w:rPr>
          <w:rFonts w:hint="eastAsia" w:ascii="宋体" w:hAnsi="宋体" w:eastAsia="宋体" w:cs="宋体"/>
          <w:b w:val="0"/>
          <w:bCs w:val="0"/>
          <w:color w:val="auto"/>
          <w:sz w:val="21"/>
          <w:szCs w:val="21"/>
          <w:u w:val="single"/>
          <w:lang w:eastAsia="zh-CN"/>
        </w:rPr>
        <w:t>名称</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rPr>
        <w:t xml:space="preserve"> ：</w:t>
      </w:r>
    </w:p>
    <w:p w14:paraId="2A23B758">
      <w:pPr>
        <w:pStyle w:val="35"/>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rPr>
      </w:pPr>
    </w:p>
    <w:p w14:paraId="3D80903F">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我公司参加贵公司组织 </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rPr>
        <w:t>项目的政府采购活动。我公司在此郑重声明，我公司参加本项目的政府采购活动前三年内在经营活动中没有重大违法记录，符合《中华人民共和国政府采购法》及《中华人民共和国政府采购实施条例》规定的供应商条件，我公司对此声明负全部法律责任。</w:t>
      </w:r>
    </w:p>
    <w:p w14:paraId="13AC4FC0">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特此承诺。</w:t>
      </w:r>
    </w:p>
    <w:p w14:paraId="205E07FB">
      <w:pPr>
        <w:pStyle w:val="35"/>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rPr>
      </w:pPr>
    </w:p>
    <w:p w14:paraId="6D5FBBF3">
      <w:pPr>
        <w:pStyle w:val="35"/>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rPr>
      </w:pPr>
    </w:p>
    <w:p w14:paraId="427DDBE5">
      <w:pPr>
        <w:pStyle w:val="35"/>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rPr>
      </w:pPr>
    </w:p>
    <w:p w14:paraId="16B0F2F9">
      <w:pPr>
        <w:pStyle w:val="35"/>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rPr>
      </w:pPr>
    </w:p>
    <w:p w14:paraId="07144ABA">
      <w:pPr>
        <w:pStyle w:val="35"/>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rPr>
      </w:pPr>
    </w:p>
    <w:p w14:paraId="16FF095F">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firstLine="420" w:firstLineChars="200"/>
        <w:textAlignment w:val="auto"/>
        <w:rPr>
          <w:rFonts w:hint="eastAsia" w:ascii="宋体" w:hAnsi="宋体" w:eastAsia="宋体" w:cs="宋体"/>
          <w:b w:val="0"/>
          <w:bCs w:val="0"/>
          <w:color w:val="auto"/>
          <w:sz w:val="21"/>
          <w:szCs w:val="21"/>
          <w:u w:val="single"/>
        </w:rPr>
      </w:pPr>
      <w:r>
        <w:rPr>
          <w:rFonts w:hint="eastAsia" w:ascii="宋体" w:hAnsi="宋体" w:cs="宋体"/>
          <w:b w:val="0"/>
          <w:bCs/>
          <w:color w:val="auto"/>
          <w:szCs w:val="21"/>
          <w:lang w:eastAsia="zh-CN"/>
        </w:rPr>
        <w:t>供应商</w:t>
      </w:r>
      <w:r>
        <w:rPr>
          <w:rFonts w:hint="eastAsia" w:ascii="宋体" w:hAnsi="宋体" w:eastAsia="宋体" w:cs="宋体"/>
          <w:b w:val="0"/>
          <w:bCs w:val="0"/>
          <w:color w:val="auto"/>
          <w:sz w:val="21"/>
          <w:szCs w:val="21"/>
        </w:rPr>
        <w:t>全称 (盖公章) ：</w:t>
      </w:r>
      <w:r>
        <w:rPr>
          <w:rFonts w:hint="eastAsia" w:ascii="宋体" w:hAnsi="宋体" w:eastAsia="宋体" w:cs="宋体"/>
          <w:b w:val="0"/>
          <w:bCs w:val="0"/>
          <w:color w:val="auto"/>
          <w:sz w:val="21"/>
          <w:szCs w:val="21"/>
          <w:u w:val="single"/>
        </w:rPr>
        <w:t xml:space="preserve">                   </w:t>
      </w:r>
    </w:p>
    <w:p w14:paraId="6F914365">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firstLine="420" w:firstLineChars="200"/>
        <w:textAlignment w:val="auto"/>
        <w:rPr>
          <w:rFonts w:hint="eastAsia" w:ascii="宋体" w:hAnsi="宋体" w:eastAsia="宋体" w:cs="宋体"/>
          <w:b w:val="0"/>
          <w:bCs w:val="0"/>
          <w:color w:val="auto"/>
          <w:sz w:val="21"/>
          <w:szCs w:val="21"/>
          <w:u w:val="single"/>
        </w:rPr>
      </w:pPr>
      <w:r>
        <w:rPr>
          <w:rFonts w:hint="eastAsia" w:ascii="宋体" w:hAnsi="宋体" w:eastAsia="宋体" w:cs="宋体"/>
          <w:b w:val="0"/>
          <w:bCs w:val="0"/>
          <w:color w:val="auto"/>
          <w:sz w:val="21"/>
          <w:szCs w:val="21"/>
        </w:rPr>
        <w:t>法定代表人或授权代表签字</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u w:val="single"/>
        </w:rPr>
        <w:t xml:space="preserve">              </w:t>
      </w:r>
    </w:p>
    <w:p w14:paraId="5DF20A2F">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rPr>
        <w:t>日期：</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rPr>
        <w:t xml:space="preserve">         </w:t>
      </w:r>
    </w:p>
    <w:p w14:paraId="78D84B51">
      <w:pPr>
        <w:pStyle w:val="35"/>
        <w:numPr>
          <w:ilvl w:val="0"/>
          <w:numId w:val="0"/>
        </w:numPr>
        <w:spacing w:line="360" w:lineRule="auto"/>
        <w:ind w:left="5"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9.供应商2025年1月至2025年3月内连续3个月的依法缴纳税费的凭据复印件；无纳税记录的，应提供由供应商所在地的税务部门出具的免税证明复印件。从取得营业执照时间起到首次响应文件提交截止时间为止不足要求月数的，只需提供从取得营业执照起的依法缴纳税费或依法免缴税费的凭据复印件；（必须提供）；</w:t>
      </w:r>
    </w:p>
    <w:p w14:paraId="6978C308">
      <w:pPr>
        <w:pStyle w:val="35"/>
        <w:numPr>
          <w:ilvl w:val="0"/>
          <w:numId w:val="0"/>
        </w:numPr>
        <w:spacing w:line="360" w:lineRule="auto"/>
        <w:ind w:left="5"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10.供应商2025年1月至2025年3月内连续3个月的依法缴纳社保费的缴费凭证（专用收据或社会保险缴纳清单）复印件；无缴费记录的，应提供由供应商所在地行政主管部门出具的依法免缴社保费证明复印件。从取得营业执照时间起到首次响应文件提交截止时间为止不足要求月数的只需提供从取得营业执照起的依法缴纳社保费的缴费凭证（专用收据或社会保险缴纳清单）复印件；（必须提供）；</w:t>
      </w:r>
    </w:p>
    <w:p w14:paraId="15A1963A">
      <w:pPr>
        <w:pStyle w:val="35"/>
        <w:numPr>
          <w:ilvl w:val="0"/>
          <w:numId w:val="0"/>
        </w:numPr>
        <w:spacing w:line="360" w:lineRule="auto"/>
        <w:ind w:left="5"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11.近三年（2021年、2022年、2023年）经审计的财务报表【备注：对于从取得营业执照时间起到投标截止时间为止不足要求年数的企业，只需提交企业取得营业执照年份至所要求最近年份经审计的财务报表】（必须提供）；</w:t>
      </w:r>
    </w:p>
    <w:p w14:paraId="625BB70A">
      <w:pPr>
        <w:pStyle w:val="35"/>
        <w:numPr>
          <w:ilvl w:val="0"/>
          <w:numId w:val="0"/>
        </w:numPr>
        <w:spacing w:line="360" w:lineRule="auto"/>
        <w:ind w:left="5"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12.直接控股、管理关系信息表（必须提供）；</w:t>
      </w:r>
    </w:p>
    <w:p w14:paraId="1F58CB7E">
      <w:pPr>
        <w:pStyle w:val="15"/>
        <w:widowControl w:val="0"/>
        <w:numPr>
          <w:ilvl w:val="0"/>
          <w:numId w:val="0"/>
        </w:numPr>
        <w:adjustRightInd w:val="0"/>
        <w:spacing w:line="240" w:lineRule="atLeast"/>
        <w:jc w:val="left"/>
        <w:textAlignment w:val="baseline"/>
        <w:rPr>
          <w:rFonts w:hint="eastAsia"/>
          <w:color w:val="auto"/>
          <w:lang w:val="en-US" w:eastAsia="zh-CN"/>
        </w:rPr>
      </w:pPr>
    </w:p>
    <w:tbl>
      <w:tblPr>
        <w:tblStyle w:val="26"/>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305FC59">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57C7D7">
            <w:pPr>
              <w:widowControl/>
              <w:spacing w:line="360" w:lineRule="auto"/>
              <w:jc w:val="center"/>
              <w:rPr>
                <w:rFonts w:ascii="宋体" w:hAnsi="宋体" w:eastAsia="宋体" w:cs="宋体"/>
                <w:b/>
                <w:bCs/>
                <w:color w:val="auto"/>
                <w:kern w:val="0"/>
                <w:sz w:val="24"/>
              </w:rPr>
            </w:pPr>
            <w:r>
              <w:rPr>
                <w:rFonts w:hint="eastAsia" w:ascii="宋体" w:hAnsi="宋体" w:eastAsia="宋体" w:cs="宋体"/>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BCB29C">
            <w:pPr>
              <w:widowControl/>
              <w:spacing w:line="360" w:lineRule="auto"/>
              <w:jc w:val="center"/>
              <w:rPr>
                <w:rFonts w:ascii="宋体" w:hAnsi="宋体" w:eastAsia="宋体" w:cs="宋体"/>
                <w:b/>
                <w:bCs/>
                <w:color w:val="auto"/>
                <w:kern w:val="0"/>
                <w:sz w:val="24"/>
              </w:rPr>
            </w:pPr>
            <w:r>
              <w:rPr>
                <w:rFonts w:hint="eastAsia" w:ascii="宋体" w:hAnsi="宋体" w:eastAsia="宋体" w:cs="宋体"/>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3A24B4">
            <w:pPr>
              <w:widowControl/>
              <w:spacing w:line="360" w:lineRule="auto"/>
              <w:jc w:val="center"/>
              <w:rPr>
                <w:rFonts w:ascii="宋体" w:hAnsi="宋体" w:eastAsia="宋体" w:cs="宋体"/>
                <w:b/>
                <w:bCs/>
                <w:color w:val="auto"/>
                <w:kern w:val="0"/>
                <w:sz w:val="24"/>
              </w:rPr>
            </w:pPr>
            <w:r>
              <w:rPr>
                <w:rFonts w:hint="eastAsia" w:ascii="宋体" w:hAnsi="宋体" w:eastAsia="宋体" w:cs="宋体"/>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ECC307">
            <w:pPr>
              <w:widowControl/>
              <w:spacing w:line="360" w:lineRule="auto"/>
              <w:jc w:val="center"/>
              <w:rPr>
                <w:rFonts w:ascii="宋体" w:hAnsi="宋体" w:eastAsia="宋体" w:cs="宋体"/>
                <w:b/>
                <w:bCs/>
                <w:color w:val="auto"/>
                <w:kern w:val="0"/>
                <w:sz w:val="24"/>
              </w:rPr>
            </w:pPr>
            <w:r>
              <w:rPr>
                <w:rFonts w:hint="eastAsia" w:ascii="宋体" w:hAnsi="宋体" w:eastAsia="宋体" w:cs="宋体"/>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E9E9B9">
            <w:pPr>
              <w:widowControl/>
              <w:spacing w:line="360" w:lineRule="auto"/>
              <w:jc w:val="center"/>
              <w:rPr>
                <w:rFonts w:ascii="宋体" w:hAnsi="宋体" w:eastAsia="宋体" w:cs="宋体"/>
                <w:b/>
                <w:bCs/>
                <w:color w:val="auto"/>
                <w:kern w:val="0"/>
                <w:sz w:val="24"/>
              </w:rPr>
            </w:pPr>
            <w:r>
              <w:rPr>
                <w:rFonts w:hint="eastAsia" w:ascii="宋体" w:hAnsi="宋体" w:eastAsia="宋体" w:cs="宋体"/>
                <w:b/>
                <w:bCs/>
                <w:color w:val="auto"/>
                <w:kern w:val="0"/>
                <w:sz w:val="24"/>
              </w:rPr>
              <w:t>备注</w:t>
            </w:r>
          </w:p>
        </w:tc>
      </w:tr>
      <w:tr w14:paraId="1D042DB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BCFDEB">
            <w:pPr>
              <w:widowControl/>
              <w:spacing w:line="360" w:lineRule="auto"/>
              <w:jc w:val="center"/>
              <w:rPr>
                <w:rFonts w:ascii="宋体" w:hAnsi="宋体" w:eastAsia="宋体" w:cs="宋体"/>
                <w:color w:val="auto"/>
                <w:kern w:val="0"/>
                <w:sz w:val="24"/>
              </w:rPr>
            </w:pPr>
            <w:r>
              <w:rPr>
                <w:rFonts w:hint="eastAsia" w:ascii="宋体" w:hAnsi="宋体" w:eastAsia="宋体" w:cs="宋体"/>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196E03">
            <w:pPr>
              <w:widowControl/>
              <w:spacing w:line="360" w:lineRule="auto"/>
              <w:jc w:val="center"/>
              <w:rPr>
                <w:rFonts w:ascii="宋体" w:hAnsi="宋体" w:eastAsia="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8ABB4D">
            <w:pPr>
              <w:widowControl/>
              <w:spacing w:line="360" w:lineRule="auto"/>
              <w:jc w:val="center"/>
              <w:rPr>
                <w:rFonts w:ascii="宋体" w:hAnsi="宋体" w:eastAsia="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F41107">
            <w:pPr>
              <w:widowControl/>
              <w:spacing w:line="360" w:lineRule="auto"/>
              <w:jc w:val="center"/>
              <w:rPr>
                <w:rFonts w:ascii="宋体" w:hAnsi="宋体" w:eastAsia="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76E5DE">
            <w:pPr>
              <w:widowControl/>
              <w:spacing w:line="360" w:lineRule="auto"/>
              <w:jc w:val="center"/>
              <w:rPr>
                <w:rFonts w:ascii="宋体" w:hAnsi="宋体" w:eastAsia="宋体" w:cs="宋体"/>
                <w:color w:val="auto"/>
                <w:kern w:val="0"/>
                <w:sz w:val="24"/>
              </w:rPr>
            </w:pPr>
          </w:p>
        </w:tc>
      </w:tr>
      <w:tr w14:paraId="7224F16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573707">
            <w:pPr>
              <w:widowControl/>
              <w:spacing w:line="360" w:lineRule="auto"/>
              <w:jc w:val="center"/>
              <w:rPr>
                <w:rFonts w:ascii="宋体" w:hAnsi="宋体" w:eastAsia="宋体" w:cs="宋体"/>
                <w:color w:val="auto"/>
                <w:kern w:val="0"/>
                <w:sz w:val="24"/>
              </w:rPr>
            </w:pPr>
            <w:r>
              <w:rPr>
                <w:rFonts w:hint="eastAsia" w:ascii="宋体" w:hAnsi="宋体" w:eastAsia="宋体" w:cs="宋体"/>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53AA0E">
            <w:pPr>
              <w:widowControl/>
              <w:spacing w:line="360" w:lineRule="auto"/>
              <w:jc w:val="center"/>
              <w:rPr>
                <w:rFonts w:ascii="宋体" w:hAnsi="宋体" w:eastAsia="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DD3E21">
            <w:pPr>
              <w:widowControl/>
              <w:spacing w:line="360" w:lineRule="auto"/>
              <w:jc w:val="center"/>
              <w:rPr>
                <w:rFonts w:ascii="宋体" w:hAnsi="宋体" w:eastAsia="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F905B6">
            <w:pPr>
              <w:widowControl/>
              <w:spacing w:line="360" w:lineRule="auto"/>
              <w:jc w:val="center"/>
              <w:rPr>
                <w:rFonts w:ascii="宋体" w:hAnsi="宋体" w:eastAsia="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7E0123">
            <w:pPr>
              <w:widowControl/>
              <w:spacing w:line="360" w:lineRule="auto"/>
              <w:jc w:val="center"/>
              <w:rPr>
                <w:rFonts w:ascii="宋体" w:hAnsi="宋体" w:eastAsia="宋体" w:cs="宋体"/>
                <w:color w:val="auto"/>
                <w:kern w:val="0"/>
                <w:sz w:val="24"/>
              </w:rPr>
            </w:pPr>
          </w:p>
        </w:tc>
      </w:tr>
      <w:tr w14:paraId="3350918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B3773B">
            <w:pPr>
              <w:widowControl/>
              <w:spacing w:line="360" w:lineRule="auto"/>
              <w:jc w:val="center"/>
              <w:rPr>
                <w:rFonts w:ascii="宋体" w:hAnsi="宋体" w:eastAsia="宋体" w:cs="宋体"/>
                <w:color w:val="auto"/>
                <w:kern w:val="0"/>
                <w:sz w:val="24"/>
              </w:rPr>
            </w:pPr>
            <w:r>
              <w:rPr>
                <w:rFonts w:hint="eastAsia" w:ascii="宋体" w:hAnsi="宋体" w:eastAsia="宋体" w:cs="宋体"/>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98C737">
            <w:pPr>
              <w:widowControl/>
              <w:spacing w:line="360" w:lineRule="auto"/>
              <w:jc w:val="center"/>
              <w:rPr>
                <w:rFonts w:ascii="宋体" w:hAnsi="宋体" w:eastAsia="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991F97">
            <w:pPr>
              <w:widowControl/>
              <w:spacing w:line="360" w:lineRule="auto"/>
              <w:jc w:val="center"/>
              <w:rPr>
                <w:rFonts w:ascii="宋体" w:hAnsi="宋体" w:eastAsia="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042BCC">
            <w:pPr>
              <w:widowControl/>
              <w:spacing w:line="360" w:lineRule="auto"/>
              <w:jc w:val="center"/>
              <w:rPr>
                <w:rFonts w:ascii="宋体" w:hAnsi="宋体" w:eastAsia="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5308D2">
            <w:pPr>
              <w:widowControl/>
              <w:spacing w:line="360" w:lineRule="auto"/>
              <w:jc w:val="center"/>
              <w:rPr>
                <w:rFonts w:ascii="宋体" w:hAnsi="宋体" w:eastAsia="宋体" w:cs="宋体"/>
                <w:color w:val="auto"/>
                <w:kern w:val="0"/>
                <w:sz w:val="24"/>
              </w:rPr>
            </w:pPr>
          </w:p>
        </w:tc>
      </w:tr>
      <w:tr w14:paraId="1166323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06906A">
            <w:pPr>
              <w:widowControl/>
              <w:spacing w:line="360" w:lineRule="auto"/>
              <w:jc w:val="center"/>
              <w:rPr>
                <w:rFonts w:ascii="宋体" w:hAnsi="宋体" w:eastAsia="宋体" w:cs="宋体"/>
                <w:color w:val="auto"/>
                <w:kern w:val="0"/>
                <w:sz w:val="24"/>
              </w:rPr>
            </w:pPr>
            <w:r>
              <w:rPr>
                <w:rFonts w:hint="eastAsia" w:ascii="宋体" w:hAnsi="宋体" w:eastAsia="宋体" w:cs="宋体"/>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3937EC">
            <w:pPr>
              <w:widowControl/>
              <w:spacing w:line="360" w:lineRule="auto"/>
              <w:jc w:val="center"/>
              <w:rPr>
                <w:rFonts w:ascii="宋体" w:hAnsi="宋体" w:eastAsia="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1845C8">
            <w:pPr>
              <w:widowControl/>
              <w:spacing w:line="360" w:lineRule="auto"/>
              <w:jc w:val="center"/>
              <w:rPr>
                <w:rFonts w:ascii="宋体" w:hAnsi="宋体" w:eastAsia="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23AC7A">
            <w:pPr>
              <w:widowControl/>
              <w:spacing w:line="360" w:lineRule="auto"/>
              <w:jc w:val="center"/>
              <w:rPr>
                <w:rFonts w:ascii="宋体" w:hAnsi="宋体" w:eastAsia="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530834">
            <w:pPr>
              <w:widowControl/>
              <w:spacing w:line="360" w:lineRule="auto"/>
              <w:jc w:val="center"/>
              <w:rPr>
                <w:rFonts w:ascii="宋体" w:hAnsi="宋体" w:eastAsia="宋体" w:cs="宋体"/>
                <w:color w:val="auto"/>
                <w:kern w:val="0"/>
                <w:sz w:val="24"/>
              </w:rPr>
            </w:pPr>
          </w:p>
        </w:tc>
      </w:tr>
    </w:tbl>
    <w:p w14:paraId="735CE379">
      <w:pPr>
        <w:pStyle w:val="15"/>
        <w:widowControl w:val="0"/>
        <w:numPr>
          <w:ilvl w:val="0"/>
          <w:numId w:val="0"/>
        </w:numPr>
        <w:adjustRightInd w:val="0"/>
        <w:spacing w:line="240" w:lineRule="atLeast"/>
        <w:jc w:val="left"/>
        <w:textAlignment w:val="baseline"/>
        <w:rPr>
          <w:rFonts w:hint="eastAsia"/>
          <w:color w:val="auto"/>
          <w:lang w:val="en-US" w:eastAsia="zh-CN"/>
        </w:rPr>
      </w:pPr>
    </w:p>
    <w:p w14:paraId="73C84FCC">
      <w:pPr>
        <w:spacing w:line="360" w:lineRule="auto"/>
        <w:jc w:val="left"/>
        <w:rPr>
          <w:rFonts w:ascii="宋体" w:hAnsi="宋体" w:eastAsia="宋体" w:cs="仿宋_GB2312"/>
          <w:color w:val="auto"/>
          <w:kern w:val="0"/>
          <w:szCs w:val="21"/>
        </w:rPr>
      </w:pPr>
      <w:r>
        <w:rPr>
          <w:rFonts w:hint="eastAsia" w:ascii="宋体" w:hAnsi="宋体" w:eastAsia="宋体" w:cs="仿宋_GB2312"/>
          <w:color w:val="auto"/>
          <w:kern w:val="0"/>
          <w:szCs w:val="21"/>
        </w:rPr>
        <w:t>注1：</w:t>
      </w:r>
    </w:p>
    <w:p w14:paraId="01936B53">
      <w:pPr>
        <w:spacing w:line="360" w:lineRule="auto"/>
        <w:ind w:firstLine="420" w:firstLineChars="200"/>
        <w:jc w:val="left"/>
        <w:rPr>
          <w:rFonts w:ascii="宋体" w:hAnsi="宋体" w:eastAsia="宋体" w:cs="仿宋_GB2312"/>
          <w:color w:val="auto"/>
          <w:kern w:val="0"/>
          <w:szCs w:val="21"/>
        </w:rPr>
      </w:pPr>
      <w:r>
        <w:rPr>
          <w:rFonts w:hint="eastAsia" w:ascii="宋体" w:hAnsi="宋体" w:eastAsia="宋体" w:cs="仿宋_GB2312"/>
          <w:color w:val="auto"/>
          <w:kern w:val="0"/>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762493D">
      <w:pPr>
        <w:spacing w:line="360" w:lineRule="auto"/>
        <w:ind w:firstLine="420" w:firstLineChars="200"/>
        <w:jc w:val="left"/>
        <w:rPr>
          <w:rFonts w:ascii="宋体" w:hAnsi="宋体" w:eastAsia="宋体" w:cs="仿宋_GB2312"/>
          <w:color w:val="auto"/>
          <w:kern w:val="0"/>
          <w:szCs w:val="21"/>
        </w:rPr>
      </w:pPr>
      <w:r>
        <w:rPr>
          <w:rFonts w:hint="eastAsia" w:ascii="宋体" w:hAnsi="宋体" w:eastAsia="宋体" w:cs="仿宋_GB2312"/>
          <w:color w:val="auto"/>
          <w:kern w:val="0"/>
          <w:szCs w:val="21"/>
        </w:rPr>
        <w:t>2.本表所指的控股关系仅限于直接控股关系，不包括间接的控股关系。公司实际控制人与公司之间的关系不属于本表所指的直接控股关系。</w:t>
      </w:r>
    </w:p>
    <w:p w14:paraId="31DEF1EC">
      <w:pPr>
        <w:spacing w:line="360" w:lineRule="auto"/>
        <w:ind w:firstLine="420" w:firstLineChars="200"/>
        <w:jc w:val="left"/>
        <w:rPr>
          <w:rFonts w:ascii="宋体" w:hAnsi="宋体" w:eastAsia="宋体" w:cs="仿宋_GB2312"/>
          <w:color w:val="auto"/>
          <w:kern w:val="0"/>
          <w:szCs w:val="21"/>
        </w:rPr>
      </w:pPr>
      <w:r>
        <w:rPr>
          <w:rFonts w:hint="eastAsia" w:ascii="宋体" w:hAnsi="宋体" w:eastAsia="宋体" w:cs="仿宋_GB2312"/>
          <w:color w:val="auto"/>
          <w:kern w:val="0"/>
          <w:szCs w:val="21"/>
        </w:rPr>
        <w:t>3.供应商不存在直接控股股东的，则填“无”。</w:t>
      </w:r>
    </w:p>
    <w:p w14:paraId="28CBF45F">
      <w:pPr>
        <w:snapToGrid w:val="0"/>
        <w:spacing w:before="120" w:beforeLines="50" w:after="50" w:line="380" w:lineRule="exact"/>
        <w:rPr>
          <w:rFonts w:ascii="宋体" w:hAnsi="宋体"/>
          <w:color w:val="auto"/>
          <w:szCs w:val="21"/>
        </w:rPr>
      </w:pPr>
      <w:r>
        <w:rPr>
          <w:rFonts w:hint="eastAsia" w:ascii="宋体" w:hAnsi="宋体"/>
          <w:color w:val="auto"/>
          <w:szCs w:val="21"/>
        </w:rPr>
        <w:t xml:space="preserve">注2： </w:t>
      </w:r>
    </w:p>
    <w:p w14:paraId="00080280">
      <w:pPr>
        <w:snapToGrid w:val="0"/>
        <w:spacing w:before="120" w:beforeLines="50" w:after="50" w:line="380" w:lineRule="exact"/>
        <w:rPr>
          <w:rFonts w:ascii="宋体" w:hAnsi="宋体"/>
          <w:color w:val="auto"/>
          <w:szCs w:val="21"/>
        </w:rPr>
      </w:pPr>
      <w:r>
        <w:rPr>
          <w:rFonts w:hint="eastAsia" w:ascii="宋体" w:hAnsi="宋体"/>
          <w:color w:val="auto"/>
          <w:szCs w:val="21"/>
        </w:rPr>
        <w:t xml:space="preserve">1、各股东名称必须与《国家企业信用信息公示系统》（网址：http://www.gsxt.gov.cn/index.html） </w:t>
      </w:r>
    </w:p>
    <w:p w14:paraId="10D98F1E">
      <w:pPr>
        <w:snapToGrid w:val="0"/>
        <w:spacing w:before="120" w:beforeLines="50" w:after="50" w:line="380" w:lineRule="exact"/>
        <w:rPr>
          <w:rFonts w:ascii="宋体" w:hAnsi="宋体"/>
          <w:b/>
          <w:bCs/>
          <w:color w:val="auto"/>
          <w:szCs w:val="21"/>
        </w:rPr>
      </w:pPr>
      <w:r>
        <w:rPr>
          <w:rFonts w:hint="eastAsia" w:ascii="宋体" w:hAnsi="宋体"/>
          <w:b/>
          <w:bCs/>
          <w:color w:val="auto"/>
          <w:szCs w:val="21"/>
        </w:rPr>
        <w:t xml:space="preserve">“股东及出资信息”的信息相符，否则竞标文件作无效处理。 </w:t>
      </w:r>
    </w:p>
    <w:p w14:paraId="6F4D438A">
      <w:pPr>
        <w:snapToGrid w:val="0"/>
        <w:spacing w:before="120" w:beforeLines="50" w:after="50" w:line="380" w:lineRule="exact"/>
        <w:rPr>
          <w:rFonts w:ascii="宋体" w:hAnsi="宋体"/>
          <w:b/>
          <w:bCs/>
          <w:color w:val="auto"/>
          <w:szCs w:val="21"/>
        </w:rPr>
      </w:pPr>
      <w:r>
        <w:rPr>
          <w:rFonts w:hint="eastAsia" w:ascii="宋体" w:hAnsi="宋体"/>
          <w:b/>
          <w:bCs/>
          <w:color w:val="auto"/>
          <w:szCs w:val="21"/>
        </w:rPr>
        <w:t xml:space="preserve">2、附竞标人在《国家企业信用信息公示系统》（网址：http://www.gsxt.gov.cn/index.html）中的“股东及出资信息”页面打印文件，否则竞标文件作无效处理。 </w:t>
      </w:r>
    </w:p>
    <w:p w14:paraId="3719E2BE">
      <w:pPr>
        <w:snapToGrid w:val="0"/>
        <w:spacing w:before="120" w:beforeLines="50" w:after="50" w:line="380" w:lineRule="exact"/>
        <w:rPr>
          <w:rFonts w:ascii="宋体" w:hAnsi="宋体"/>
          <w:color w:val="auto"/>
          <w:szCs w:val="21"/>
        </w:rPr>
      </w:pPr>
      <w:r>
        <w:rPr>
          <w:rFonts w:hint="eastAsia" w:ascii="宋体" w:hAnsi="宋体"/>
          <w:color w:val="auto"/>
          <w:szCs w:val="21"/>
        </w:rPr>
        <w:t>3、竞标人如为事业单位的，不需要提供本表。</w:t>
      </w:r>
    </w:p>
    <w:p w14:paraId="41E46CF5">
      <w:pPr>
        <w:snapToGrid w:val="0"/>
        <w:spacing w:before="120" w:beforeLines="50" w:after="50" w:line="380" w:lineRule="exact"/>
        <w:rPr>
          <w:rFonts w:ascii="宋体" w:hAnsi="宋体" w:cs="宋体"/>
          <w:color w:val="auto"/>
          <w:szCs w:val="21"/>
        </w:rPr>
      </w:pPr>
      <w:r>
        <w:rPr>
          <w:rFonts w:hint="eastAsia" w:ascii="宋体" w:hAnsi="宋体"/>
          <w:b/>
          <w:bCs/>
          <w:color w:val="auto"/>
          <w:szCs w:val="21"/>
        </w:rPr>
        <w:t>4、要求提供“天眼查”里面竞标人的公司信息及股东之间的关联图，否则竞标文件作无效处理。</w:t>
      </w:r>
    </w:p>
    <w:p w14:paraId="1C7138E0">
      <w:pPr>
        <w:snapToGrid w:val="0"/>
        <w:spacing w:line="360" w:lineRule="auto"/>
        <w:jc w:val="left"/>
        <w:rPr>
          <w:rFonts w:ascii="宋体" w:hAnsi="宋体" w:eastAsia="宋体" w:cs="宋体"/>
          <w:color w:val="auto"/>
          <w:sz w:val="24"/>
        </w:rPr>
      </w:pPr>
    </w:p>
    <w:p w14:paraId="11977168">
      <w:pPr>
        <w:autoSpaceDE w:val="0"/>
        <w:autoSpaceDN w:val="0"/>
        <w:spacing w:line="360" w:lineRule="auto"/>
        <w:ind w:left="4365" w:leftChars="1850" w:hanging="480" w:hangingChars="200"/>
        <w:rPr>
          <w:rFonts w:ascii="宋体" w:hAnsi="宋体" w:eastAsia="宋体" w:cs="仿宋_GB2312"/>
          <w:color w:val="auto"/>
          <w:kern w:val="0"/>
          <w:sz w:val="24"/>
        </w:rPr>
      </w:pPr>
      <w:r>
        <w:rPr>
          <w:rFonts w:hint="eastAsia" w:ascii="宋体" w:hAnsi="宋体" w:eastAsia="宋体" w:cs="仿宋_GB2312"/>
          <w:color w:val="auto"/>
          <w:kern w:val="0"/>
          <w:sz w:val="24"/>
        </w:rPr>
        <w:t>供应商名称（电子签章）：</w:t>
      </w:r>
    </w:p>
    <w:p w14:paraId="736F9BF6">
      <w:pPr>
        <w:spacing w:line="400" w:lineRule="exact"/>
        <w:ind w:firstLine="3840" w:firstLineChars="1600"/>
        <w:rPr>
          <w:rFonts w:hint="eastAsia" w:ascii="宋体" w:hAnsi="宋体" w:eastAsia="宋体" w:cs="仿宋_GB2312"/>
          <w:color w:val="auto"/>
          <w:kern w:val="0"/>
          <w:sz w:val="24"/>
          <w:lang w:val="zh-CN"/>
        </w:rPr>
      </w:pPr>
      <w:r>
        <w:rPr>
          <w:rFonts w:hint="eastAsia" w:ascii="宋体" w:hAnsi="宋体" w:eastAsia="宋体" w:cs="仿宋_GB2312"/>
          <w:color w:val="auto"/>
          <w:kern w:val="0"/>
          <w:sz w:val="24"/>
          <w:lang w:val="zh-CN"/>
        </w:rPr>
        <w:t>日期：  年  月   日</w:t>
      </w:r>
    </w:p>
    <w:p w14:paraId="74540F2D">
      <w:pPr>
        <w:spacing w:line="400" w:lineRule="exact"/>
        <w:ind w:firstLine="3840" w:firstLineChars="1600"/>
        <w:rPr>
          <w:rFonts w:hint="eastAsia" w:ascii="宋体" w:hAnsi="宋体" w:eastAsia="宋体" w:cs="仿宋_GB2312"/>
          <w:color w:val="auto"/>
          <w:kern w:val="0"/>
          <w:sz w:val="24"/>
          <w:lang w:val="zh-CN"/>
        </w:rPr>
      </w:pPr>
    </w:p>
    <w:p w14:paraId="27A43519">
      <w:pPr>
        <w:spacing w:line="400" w:lineRule="exact"/>
        <w:ind w:firstLine="3840" w:firstLineChars="1600"/>
        <w:rPr>
          <w:rFonts w:hint="eastAsia" w:ascii="宋体" w:hAnsi="宋体" w:eastAsia="宋体" w:cs="仿宋_GB2312"/>
          <w:color w:val="auto"/>
          <w:kern w:val="0"/>
          <w:sz w:val="24"/>
          <w:lang w:val="zh-CN"/>
        </w:rPr>
      </w:pPr>
    </w:p>
    <w:p w14:paraId="0DC2386F">
      <w:pPr>
        <w:spacing w:line="400" w:lineRule="exact"/>
        <w:ind w:firstLine="3840" w:firstLineChars="1600"/>
        <w:rPr>
          <w:rFonts w:hint="eastAsia" w:ascii="宋体" w:hAnsi="宋体" w:eastAsia="宋体" w:cs="仿宋_GB2312"/>
          <w:color w:val="auto"/>
          <w:kern w:val="0"/>
          <w:sz w:val="24"/>
          <w:lang w:val="zh-CN"/>
        </w:rPr>
      </w:pPr>
    </w:p>
    <w:p w14:paraId="55EC825D">
      <w:pPr>
        <w:spacing w:line="400" w:lineRule="exact"/>
        <w:ind w:firstLine="3840" w:firstLineChars="1600"/>
        <w:rPr>
          <w:rFonts w:hint="eastAsia" w:ascii="宋体" w:hAnsi="宋体" w:eastAsia="宋体" w:cs="仿宋_GB2312"/>
          <w:color w:val="auto"/>
          <w:kern w:val="0"/>
          <w:sz w:val="24"/>
          <w:lang w:val="zh-CN"/>
        </w:rPr>
      </w:pPr>
    </w:p>
    <w:p w14:paraId="17D91FE8">
      <w:pPr>
        <w:pStyle w:val="15"/>
        <w:widowControl w:val="0"/>
        <w:numPr>
          <w:ilvl w:val="0"/>
          <w:numId w:val="0"/>
        </w:numPr>
        <w:adjustRightInd w:val="0"/>
        <w:spacing w:line="240" w:lineRule="atLeast"/>
        <w:jc w:val="left"/>
        <w:textAlignment w:val="baseline"/>
        <w:rPr>
          <w:rFonts w:hint="eastAsia"/>
          <w:color w:val="auto"/>
          <w:lang w:val="en-US" w:eastAsia="zh-CN"/>
        </w:rPr>
      </w:pPr>
    </w:p>
    <w:tbl>
      <w:tblPr>
        <w:tblStyle w:val="26"/>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94B84B7">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4B7BB5">
            <w:pPr>
              <w:widowControl/>
              <w:spacing w:line="360" w:lineRule="auto"/>
              <w:jc w:val="center"/>
              <w:rPr>
                <w:rFonts w:ascii="宋体" w:hAnsi="宋体" w:eastAsia="宋体" w:cs="宋体"/>
                <w:b/>
                <w:bCs/>
                <w:color w:val="auto"/>
                <w:kern w:val="0"/>
                <w:sz w:val="24"/>
              </w:rPr>
            </w:pPr>
            <w:r>
              <w:rPr>
                <w:rFonts w:hint="eastAsia" w:ascii="宋体" w:hAnsi="宋体" w:eastAsia="宋体" w:cs="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44515D">
            <w:pPr>
              <w:widowControl/>
              <w:spacing w:line="360" w:lineRule="auto"/>
              <w:jc w:val="center"/>
              <w:rPr>
                <w:rFonts w:ascii="宋体" w:hAnsi="宋体" w:eastAsia="宋体" w:cs="宋体"/>
                <w:b/>
                <w:bCs/>
                <w:color w:val="auto"/>
                <w:kern w:val="0"/>
                <w:sz w:val="24"/>
              </w:rPr>
            </w:pPr>
            <w:r>
              <w:rPr>
                <w:rFonts w:hint="eastAsia" w:ascii="宋体" w:hAnsi="宋体" w:eastAsia="宋体" w:cs="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3A36D2">
            <w:pPr>
              <w:widowControl/>
              <w:spacing w:line="360" w:lineRule="auto"/>
              <w:jc w:val="center"/>
              <w:rPr>
                <w:rFonts w:ascii="宋体" w:hAnsi="宋体" w:eastAsia="宋体" w:cs="宋体"/>
                <w:b/>
                <w:bCs/>
                <w:color w:val="auto"/>
                <w:kern w:val="0"/>
                <w:sz w:val="24"/>
              </w:rPr>
            </w:pPr>
            <w:r>
              <w:rPr>
                <w:rFonts w:hint="eastAsia" w:ascii="宋体" w:hAnsi="宋体" w:eastAsia="宋体" w:cs="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DA3064">
            <w:pPr>
              <w:widowControl/>
              <w:spacing w:line="360" w:lineRule="auto"/>
              <w:jc w:val="center"/>
              <w:rPr>
                <w:rFonts w:ascii="宋体" w:hAnsi="宋体" w:eastAsia="宋体" w:cs="宋体"/>
                <w:b/>
                <w:bCs/>
                <w:color w:val="auto"/>
                <w:kern w:val="0"/>
                <w:sz w:val="24"/>
              </w:rPr>
            </w:pPr>
            <w:r>
              <w:rPr>
                <w:rFonts w:hint="eastAsia" w:ascii="宋体" w:hAnsi="宋体" w:eastAsia="宋体" w:cs="宋体"/>
                <w:b/>
                <w:bCs/>
                <w:color w:val="auto"/>
                <w:kern w:val="0"/>
                <w:sz w:val="24"/>
              </w:rPr>
              <w:t>备注</w:t>
            </w:r>
          </w:p>
        </w:tc>
      </w:tr>
      <w:tr w14:paraId="56843E3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7150D7">
            <w:pPr>
              <w:widowControl/>
              <w:spacing w:line="360" w:lineRule="auto"/>
              <w:jc w:val="center"/>
              <w:rPr>
                <w:rFonts w:ascii="宋体" w:hAnsi="宋体" w:eastAsia="宋体" w:cs="宋体"/>
                <w:color w:val="auto"/>
                <w:kern w:val="0"/>
                <w:sz w:val="24"/>
              </w:rPr>
            </w:pPr>
            <w:r>
              <w:rPr>
                <w:rFonts w:hint="eastAsia" w:ascii="宋体" w:hAnsi="宋体" w:eastAsia="宋体" w:cs="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9AAB1E">
            <w:pPr>
              <w:widowControl/>
              <w:spacing w:line="360" w:lineRule="auto"/>
              <w:jc w:val="center"/>
              <w:rPr>
                <w:rFonts w:ascii="宋体" w:hAnsi="宋体" w:eastAsia="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9A10B0">
            <w:pPr>
              <w:widowControl/>
              <w:spacing w:line="360" w:lineRule="auto"/>
              <w:jc w:val="center"/>
              <w:rPr>
                <w:rFonts w:ascii="宋体" w:hAnsi="宋体" w:eastAsia="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85550BA">
            <w:pPr>
              <w:widowControl/>
              <w:spacing w:line="360" w:lineRule="auto"/>
              <w:jc w:val="center"/>
              <w:rPr>
                <w:rFonts w:ascii="宋体" w:hAnsi="宋体" w:eastAsia="宋体" w:cs="宋体"/>
                <w:color w:val="auto"/>
                <w:kern w:val="0"/>
                <w:sz w:val="24"/>
              </w:rPr>
            </w:pPr>
          </w:p>
        </w:tc>
      </w:tr>
      <w:tr w14:paraId="1240056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3497A6">
            <w:pPr>
              <w:widowControl/>
              <w:spacing w:line="360" w:lineRule="auto"/>
              <w:jc w:val="center"/>
              <w:rPr>
                <w:rFonts w:ascii="宋体" w:hAnsi="宋体" w:eastAsia="宋体" w:cs="宋体"/>
                <w:color w:val="auto"/>
                <w:kern w:val="0"/>
                <w:sz w:val="24"/>
              </w:rPr>
            </w:pPr>
            <w:r>
              <w:rPr>
                <w:rFonts w:hint="eastAsia" w:ascii="宋体" w:hAnsi="宋体" w:eastAsia="宋体" w:cs="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F8F399">
            <w:pPr>
              <w:widowControl/>
              <w:spacing w:line="360" w:lineRule="auto"/>
              <w:jc w:val="center"/>
              <w:rPr>
                <w:rFonts w:ascii="宋体" w:hAnsi="宋体" w:eastAsia="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5FD070">
            <w:pPr>
              <w:widowControl/>
              <w:spacing w:line="360" w:lineRule="auto"/>
              <w:jc w:val="center"/>
              <w:rPr>
                <w:rFonts w:ascii="宋体" w:hAnsi="宋体" w:eastAsia="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19F999">
            <w:pPr>
              <w:widowControl/>
              <w:spacing w:line="360" w:lineRule="auto"/>
              <w:jc w:val="center"/>
              <w:rPr>
                <w:rFonts w:ascii="宋体" w:hAnsi="宋体" w:eastAsia="宋体" w:cs="宋体"/>
                <w:color w:val="auto"/>
                <w:kern w:val="0"/>
                <w:sz w:val="24"/>
              </w:rPr>
            </w:pPr>
          </w:p>
        </w:tc>
      </w:tr>
      <w:tr w14:paraId="04FB055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4E2D31">
            <w:pPr>
              <w:widowControl/>
              <w:spacing w:line="360" w:lineRule="auto"/>
              <w:jc w:val="center"/>
              <w:rPr>
                <w:rFonts w:ascii="宋体" w:hAnsi="宋体" w:eastAsia="宋体" w:cs="宋体"/>
                <w:color w:val="auto"/>
                <w:kern w:val="0"/>
                <w:sz w:val="24"/>
              </w:rPr>
            </w:pPr>
            <w:r>
              <w:rPr>
                <w:rFonts w:hint="eastAsia" w:ascii="宋体" w:hAnsi="宋体" w:eastAsia="宋体" w:cs="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7D1691">
            <w:pPr>
              <w:widowControl/>
              <w:spacing w:line="360" w:lineRule="auto"/>
              <w:jc w:val="center"/>
              <w:rPr>
                <w:rFonts w:ascii="宋体" w:hAnsi="宋体" w:eastAsia="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D7D0A6F">
            <w:pPr>
              <w:widowControl/>
              <w:spacing w:line="360" w:lineRule="auto"/>
              <w:jc w:val="center"/>
              <w:rPr>
                <w:rFonts w:ascii="宋体" w:hAnsi="宋体" w:eastAsia="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184CFE">
            <w:pPr>
              <w:widowControl/>
              <w:spacing w:line="360" w:lineRule="auto"/>
              <w:jc w:val="center"/>
              <w:rPr>
                <w:rFonts w:ascii="宋体" w:hAnsi="宋体" w:eastAsia="宋体" w:cs="宋体"/>
                <w:color w:val="auto"/>
                <w:kern w:val="0"/>
                <w:sz w:val="24"/>
              </w:rPr>
            </w:pPr>
          </w:p>
        </w:tc>
      </w:tr>
      <w:tr w14:paraId="49C4D8D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B2EECA">
            <w:pPr>
              <w:widowControl/>
              <w:spacing w:line="360" w:lineRule="auto"/>
              <w:jc w:val="center"/>
              <w:rPr>
                <w:rFonts w:ascii="宋体" w:hAnsi="宋体" w:eastAsia="宋体" w:cs="宋体"/>
                <w:color w:val="auto"/>
                <w:kern w:val="0"/>
                <w:sz w:val="24"/>
              </w:rPr>
            </w:pPr>
            <w:r>
              <w:rPr>
                <w:rFonts w:hint="eastAsia" w:ascii="宋体" w:hAnsi="宋体" w:eastAsia="宋体" w:cs="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4EECAB">
            <w:pPr>
              <w:widowControl/>
              <w:spacing w:line="360" w:lineRule="auto"/>
              <w:jc w:val="center"/>
              <w:rPr>
                <w:rFonts w:ascii="宋体" w:hAnsi="宋体" w:eastAsia="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67438C">
            <w:pPr>
              <w:widowControl/>
              <w:spacing w:line="360" w:lineRule="auto"/>
              <w:jc w:val="center"/>
              <w:rPr>
                <w:rFonts w:ascii="宋体" w:hAnsi="宋体" w:eastAsia="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3DF72E">
            <w:pPr>
              <w:widowControl/>
              <w:spacing w:line="360" w:lineRule="auto"/>
              <w:jc w:val="center"/>
              <w:rPr>
                <w:rFonts w:ascii="宋体" w:hAnsi="宋体" w:eastAsia="宋体" w:cs="宋体"/>
                <w:color w:val="auto"/>
                <w:kern w:val="0"/>
                <w:sz w:val="24"/>
              </w:rPr>
            </w:pPr>
          </w:p>
        </w:tc>
      </w:tr>
    </w:tbl>
    <w:p w14:paraId="1D75ADDD">
      <w:pPr>
        <w:pStyle w:val="15"/>
        <w:widowControl w:val="0"/>
        <w:numPr>
          <w:ilvl w:val="0"/>
          <w:numId w:val="0"/>
        </w:numPr>
        <w:adjustRightInd w:val="0"/>
        <w:spacing w:line="240" w:lineRule="atLeast"/>
        <w:jc w:val="left"/>
        <w:textAlignment w:val="baseline"/>
        <w:rPr>
          <w:rFonts w:hint="eastAsia"/>
          <w:color w:val="auto"/>
          <w:lang w:val="en-US" w:eastAsia="zh-CN"/>
        </w:rPr>
      </w:pPr>
    </w:p>
    <w:p w14:paraId="28D1A2EA">
      <w:pPr>
        <w:spacing w:line="360" w:lineRule="auto"/>
        <w:ind w:firstLine="420" w:firstLineChars="200"/>
        <w:jc w:val="left"/>
        <w:rPr>
          <w:rFonts w:ascii="宋体" w:hAnsi="宋体" w:eastAsia="宋体" w:cs="仿宋_GB2312"/>
          <w:color w:val="auto"/>
          <w:kern w:val="0"/>
          <w:szCs w:val="21"/>
        </w:rPr>
      </w:pPr>
      <w:r>
        <w:rPr>
          <w:rFonts w:hint="eastAsia" w:ascii="宋体" w:hAnsi="宋体" w:eastAsia="宋体" w:cs="仿宋_GB2312"/>
          <w:color w:val="auto"/>
          <w:kern w:val="0"/>
          <w:szCs w:val="21"/>
        </w:rPr>
        <w:t>注：</w:t>
      </w:r>
    </w:p>
    <w:p w14:paraId="69341DFE">
      <w:pPr>
        <w:spacing w:line="360" w:lineRule="auto"/>
        <w:ind w:firstLine="420" w:firstLineChars="200"/>
        <w:jc w:val="left"/>
        <w:rPr>
          <w:rFonts w:ascii="宋体" w:hAnsi="宋体" w:eastAsia="宋体" w:cs="仿宋_GB2312"/>
          <w:color w:val="auto"/>
          <w:kern w:val="0"/>
          <w:szCs w:val="21"/>
        </w:rPr>
      </w:pPr>
      <w:r>
        <w:rPr>
          <w:rFonts w:hint="eastAsia" w:ascii="宋体" w:hAnsi="宋体" w:eastAsia="宋体" w:cs="仿宋_GB2312"/>
          <w:color w:val="auto"/>
          <w:kern w:val="0"/>
          <w:szCs w:val="21"/>
        </w:rPr>
        <w:t>1.管理关系：是指不具有出资持股关系的其他单位之间存在的管理与被管理关系，如一些上下级关系的事业单位和团体组织。</w:t>
      </w:r>
    </w:p>
    <w:p w14:paraId="4FEA0F2F">
      <w:pPr>
        <w:spacing w:line="360" w:lineRule="auto"/>
        <w:ind w:firstLine="420" w:firstLineChars="200"/>
        <w:jc w:val="left"/>
        <w:rPr>
          <w:rFonts w:ascii="宋体" w:hAnsi="宋体" w:eastAsia="宋体" w:cs="仿宋_GB2312"/>
          <w:color w:val="auto"/>
          <w:kern w:val="0"/>
          <w:szCs w:val="21"/>
        </w:rPr>
      </w:pPr>
      <w:r>
        <w:rPr>
          <w:rFonts w:hint="eastAsia" w:ascii="宋体" w:hAnsi="宋体" w:eastAsia="宋体" w:cs="仿宋_GB2312"/>
          <w:color w:val="auto"/>
          <w:kern w:val="0"/>
          <w:szCs w:val="21"/>
        </w:rPr>
        <w:t>2.本表所指的管理关系仅限于直接管理关系，不包括间接的管理关系。</w:t>
      </w:r>
    </w:p>
    <w:p w14:paraId="070E5870">
      <w:pPr>
        <w:spacing w:line="360" w:lineRule="auto"/>
        <w:ind w:firstLine="420" w:firstLineChars="200"/>
        <w:jc w:val="left"/>
        <w:rPr>
          <w:rFonts w:ascii="宋体" w:hAnsi="宋体" w:eastAsia="宋体" w:cs="仿宋_GB2312"/>
          <w:color w:val="auto"/>
          <w:kern w:val="0"/>
          <w:szCs w:val="21"/>
        </w:rPr>
      </w:pPr>
      <w:r>
        <w:rPr>
          <w:rFonts w:hint="eastAsia" w:ascii="宋体" w:hAnsi="宋体" w:eastAsia="宋体" w:cs="仿宋_GB2312"/>
          <w:color w:val="auto"/>
          <w:kern w:val="0"/>
          <w:szCs w:val="21"/>
        </w:rPr>
        <w:t>3.供应商不存在直接管理关系的，则填“无”。</w:t>
      </w:r>
    </w:p>
    <w:p w14:paraId="6A346A90">
      <w:pPr>
        <w:spacing w:line="360" w:lineRule="auto"/>
        <w:jc w:val="left"/>
        <w:rPr>
          <w:rFonts w:ascii="宋体" w:hAnsi="宋体" w:eastAsia="宋体"/>
          <w:color w:val="auto"/>
          <w:sz w:val="24"/>
        </w:rPr>
      </w:pPr>
    </w:p>
    <w:p w14:paraId="72580AE0">
      <w:pPr>
        <w:autoSpaceDE w:val="0"/>
        <w:autoSpaceDN w:val="0"/>
        <w:spacing w:line="360" w:lineRule="auto"/>
        <w:ind w:left="4365" w:leftChars="1850" w:hanging="480" w:hangingChars="200"/>
        <w:rPr>
          <w:rFonts w:ascii="宋体" w:hAnsi="宋体" w:eastAsia="宋体" w:cs="仿宋_GB2312"/>
          <w:color w:val="auto"/>
          <w:kern w:val="0"/>
          <w:sz w:val="24"/>
        </w:rPr>
      </w:pPr>
      <w:r>
        <w:rPr>
          <w:rFonts w:hint="eastAsia" w:ascii="宋体" w:hAnsi="宋体" w:eastAsia="宋体" w:cs="仿宋_GB2312"/>
          <w:color w:val="auto"/>
          <w:kern w:val="0"/>
          <w:sz w:val="24"/>
        </w:rPr>
        <w:t>供应商名称（电子签章）：</w:t>
      </w:r>
    </w:p>
    <w:p w14:paraId="3A864AC1">
      <w:pPr>
        <w:spacing w:line="400" w:lineRule="exact"/>
        <w:ind w:firstLine="3840" w:firstLineChars="1600"/>
        <w:rPr>
          <w:rFonts w:hint="eastAsia" w:ascii="宋体" w:hAnsi="宋体" w:eastAsia="宋体" w:cs="仿宋_GB2312"/>
          <w:color w:val="auto"/>
          <w:kern w:val="0"/>
          <w:sz w:val="24"/>
          <w:lang w:val="zh-CN"/>
        </w:rPr>
      </w:pPr>
      <w:r>
        <w:rPr>
          <w:rFonts w:hint="eastAsia" w:ascii="宋体" w:hAnsi="宋体" w:eastAsia="宋体" w:cs="仿宋_GB2312"/>
          <w:color w:val="auto"/>
          <w:kern w:val="0"/>
          <w:sz w:val="24"/>
          <w:lang w:val="zh-CN"/>
        </w:rPr>
        <w:t>日期：  年  月   日</w:t>
      </w:r>
    </w:p>
    <w:p w14:paraId="507BCF07">
      <w:pPr>
        <w:pStyle w:val="35"/>
        <w:spacing w:line="360" w:lineRule="auto"/>
        <w:rPr>
          <w:rFonts w:hint="eastAsia" w:ascii="宋体" w:hAnsi="宋体" w:eastAsia="宋体" w:cs="宋体"/>
          <w:color w:val="auto"/>
          <w:sz w:val="21"/>
          <w:szCs w:val="21"/>
        </w:rPr>
      </w:pPr>
    </w:p>
    <w:p w14:paraId="1908C4C5">
      <w:pPr>
        <w:pStyle w:val="35"/>
        <w:spacing w:line="360" w:lineRule="auto"/>
        <w:rPr>
          <w:rFonts w:hint="eastAsia" w:ascii="宋体" w:hAnsi="宋体" w:eastAsia="宋体" w:cs="宋体"/>
          <w:color w:val="auto"/>
          <w:sz w:val="21"/>
          <w:szCs w:val="21"/>
        </w:rPr>
      </w:pPr>
    </w:p>
    <w:p w14:paraId="475351AF">
      <w:pPr>
        <w:pStyle w:val="35"/>
        <w:spacing w:line="360" w:lineRule="auto"/>
        <w:rPr>
          <w:rFonts w:hint="eastAsia" w:ascii="宋体" w:hAnsi="宋体" w:eastAsia="宋体" w:cs="宋体"/>
          <w:color w:val="auto"/>
          <w:sz w:val="21"/>
          <w:szCs w:val="21"/>
        </w:rPr>
      </w:pPr>
    </w:p>
    <w:p w14:paraId="719B0133">
      <w:pPr>
        <w:pStyle w:val="35"/>
        <w:spacing w:line="360" w:lineRule="auto"/>
        <w:rPr>
          <w:rFonts w:hint="eastAsia" w:ascii="宋体" w:hAnsi="宋体" w:eastAsia="宋体" w:cs="宋体"/>
          <w:color w:val="auto"/>
          <w:sz w:val="21"/>
          <w:szCs w:val="21"/>
        </w:rPr>
        <w:sectPr>
          <w:footerReference r:id="rId7" w:type="default"/>
          <w:pgSz w:w="11906" w:h="16839"/>
          <w:pgMar w:top="1440" w:right="1080" w:bottom="1440" w:left="1300" w:header="0" w:footer="434" w:gutter="0"/>
          <w:pgNumType w:fmt="decimal"/>
          <w:cols w:space="720" w:num="1"/>
        </w:sectPr>
      </w:pPr>
    </w:p>
    <w:p w14:paraId="7AC48A31">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lang w:eastAsia="zh-CN"/>
        </w:rPr>
      </w:pPr>
      <w:r>
        <w:rPr>
          <w:rFonts w:hint="eastAsia" w:ascii="宋体" w:hAnsi="宋体" w:eastAsia="宋体" w:cs="宋体"/>
          <w:b/>
          <w:bCs/>
          <w:color w:val="auto"/>
          <w:lang w:val="en-US" w:eastAsia="zh-CN"/>
        </w:rPr>
        <w:t>13</w:t>
      </w:r>
      <w:r>
        <w:rPr>
          <w:rFonts w:hint="eastAsia" w:ascii="宋体" w:hAnsi="宋体" w:eastAsia="宋体" w:cs="宋体"/>
          <w:b/>
          <w:bCs/>
          <w:color w:val="auto"/>
          <w:lang w:eastAsia="zh-CN"/>
        </w:rPr>
        <w:t>.供应商提供《采购项目竞标资格承诺函》</w:t>
      </w:r>
    </w:p>
    <w:p w14:paraId="3C168B0F">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7E74E511">
      <w:pPr>
        <w:pStyle w:val="35"/>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采购项目竞标资格承诺函</w:t>
      </w:r>
    </w:p>
    <w:p w14:paraId="2A4E5969">
      <w:pPr>
        <w:pStyle w:val="35"/>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2"/>
          <w:szCs w:val="28"/>
          <w:lang w:eastAsia="zh-CN"/>
        </w:rPr>
      </w:pPr>
    </w:p>
    <w:p w14:paraId="34CD270A">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本公司郑重承诺，根据《中华人民共和国政府采购法》第二十二条的规定， 本公司为参加政府采购活动的合格供应商。即本公司同时满足以下条件：</w:t>
      </w:r>
    </w:p>
    <w:p w14:paraId="57FD300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1、具有独立承担民事责任的能力。</w:t>
      </w:r>
    </w:p>
    <w:p w14:paraId="3959AFE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2、具有良好的商业信誉和健全的财务会计制度。</w:t>
      </w:r>
    </w:p>
    <w:p w14:paraId="46E1A381">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3、具有履行合同所必需的设备和专业技术能力。</w:t>
      </w:r>
    </w:p>
    <w:p w14:paraId="292B5966">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4、有依法缴纳税收和社会保障资金的良好记录。</w:t>
      </w:r>
    </w:p>
    <w:p w14:paraId="594A744F">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5、提交响应文件截止日期前三年内，在经营活动中没有重大违法记录。</w:t>
      </w:r>
    </w:p>
    <w:p w14:paraId="5A704EB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6、本公司对上述承诺的真实性负责，并接受政府采购、税务、社会保障等</w:t>
      </w:r>
    </w:p>
    <w:p w14:paraId="6879DC60">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监督管理部门、采购文件规定的资格审查机构、社会公众的监督和检查。如有虚 假，将依法承担相应责任。</w:t>
      </w:r>
    </w:p>
    <w:p w14:paraId="5BE09471">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p>
    <w:p w14:paraId="65EF590A">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2982CF88">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7AF24CAA">
      <w:pPr>
        <w:pStyle w:val="35"/>
        <w:keepNext w:val="0"/>
        <w:keepLines w:val="0"/>
        <w:pageBreakBefore w:val="0"/>
        <w:widowControl w:val="0"/>
        <w:kinsoku/>
        <w:wordWrap/>
        <w:overflowPunct/>
        <w:topLinePunct w:val="0"/>
        <w:autoSpaceDE w:val="0"/>
        <w:autoSpaceDN w:val="0"/>
        <w:bidi w:val="0"/>
        <w:adjustRightInd w:val="0"/>
        <w:snapToGrid/>
        <w:spacing w:line="640" w:lineRule="exact"/>
        <w:ind w:firstLine="420" w:firstLineChars="200"/>
        <w:textAlignment w:val="auto"/>
        <w:rPr>
          <w:rFonts w:hint="default" w:ascii="宋体" w:hAnsi="宋体" w:eastAsia="宋体" w:cs="宋体"/>
          <w:color w:val="auto"/>
          <w:u w:val="single"/>
          <w:lang w:val="en-US" w:eastAsia="zh-CN"/>
        </w:rPr>
      </w:pPr>
      <w:r>
        <w:rPr>
          <w:rFonts w:hint="eastAsia" w:ascii="宋体" w:hAnsi="宋体" w:eastAsia="宋体" w:cs="宋体"/>
          <w:color w:val="auto"/>
          <w:lang w:eastAsia="zh-CN"/>
        </w:rPr>
        <w:t>企业名称 (盖章) ：</w:t>
      </w:r>
      <w:r>
        <w:rPr>
          <w:rFonts w:hint="eastAsia" w:ascii="宋体" w:hAnsi="宋体" w:eastAsia="宋体" w:cs="宋体"/>
          <w:color w:val="auto"/>
          <w:u w:val="single"/>
          <w:lang w:val="en-US" w:eastAsia="zh-CN"/>
        </w:rPr>
        <w:t xml:space="preserve">                 </w:t>
      </w:r>
    </w:p>
    <w:p w14:paraId="0E5C9D97">
      <w:pPr>
        <w:pStyle w:val="35"/>
        <w:keepNext w:val="0"/>
        <w:keepLines w:val="0"/>
        <w:pageBreakBefore w:val="0"/>
        <w:widowControl w:val="0"/>
        <w:kinsoku/>
        <w:wordWrap/>
        <w:overflowPunct/>
        <w:topLinePunct w:val="0"/>
        <w:autoSpaceDE w:val="0"/>
        <w:autoSpaceDN w:val="0"/>
        <w:bidi w:val="0"/>
        <w:adjustRightInd w:val="0"/>
        <w:snapToGrid/>
        <w:spacing w:line="640" w:lineRule="exact"/>
        <w:ind w:firstLine="420" w:firstLineChars="200"/>
        <w:textAlignment w:val="auto"/>
        <w:rPr>
          <w:rFonts w:hint="default" w:ascii="宋体" w:hAnsi="宋体" w:eastAsia="宋体" w:cs="宋体"/>
          <w:color w:val="auto"/>
          <w:u w:val="single"/>
          <w:lang w:val="en-US" w:eastAsia="zh-CN"/>
        </w:rPr>
      </w:pPr>
      <w:r>
        <w:rPr>
          <w:rFonts w:hint="eastAsia" w:ascii="宋体" w:hAnsi="宋体" w:eastAsia="宋体" w:cs="宋体"/>
          <w:color w:val="auto"/>
          <w:lang w:eastAsia="zh-CN"/>
        </w:rPr>
        <w:t>法定代表人 (签名) ：</w:t>
      </w:r>
      <w:r>
        <w:rPr>
          <w:rFonts w:hint="eastAsia" w:ascii="宋体" w:hAnsi="宋体" w:eastAsia="宋体" w:cs="宋体"/>
          <w:color w:val="auto"/>
          <w:u w:val="single"/>
          <w:lang w:val="en-US" w:eastAsia="zh-CN"/>
        </w:rPr>
        <w:t xml:space="preserve">                   </w:t>
      </w:r>
    </w:p>
    <w:p w14:paraId="2611E56F">
      <w:pPr>
        <w:pStyle w:val="35"/>
        <w:keepNext w:val="0"/>
        <w:keepLines w:val="0"/>
        <w:pageBreakBefore w:val="0"/>
        <w:widowControl w:val="0"/>
        <w:kinsoku/>
        <w:wordWrap/>
        <w:overflowPunct/>
        <w:topLinePunct w:val="0"/>
        <w:autoSpaceDE w:val="0"/>
        <w:autoSpaceDN w:val="0"/>
        <w:bidi w:val="0"/>
        <w:adjustRightInd w:val="0"/>
        <w:snapToGrid/>
        <w:spacing w:line="640" w:lineRule="exact"/>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日期：</w:t>
      </w:r>
      <w:r>
        <w:rPr>
          <w:rFonts w:hint="eastAsia" w:ascii="宋体" w:hAnsi="宋体" w:eastAsia="宋体" w:cs="宋体"/>
          <w:color w:val="auto"/>
          <w:u w:val="single"/>
          <w:lang w:eastAsia="zh-CN"/>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年</w:t>
      </w:r>
      <w:r>
        <w:rPr>
          <w:rFonts w:hint="eastAsia" w:ascii="宋体" w:hAnsi="宋体" w:eastAsia="宋体" w:cs="宋体"/>
          <w:color w:val="auto"/>
          <w:u w:val="single"/>
          <w:lang w:eastAsia="zh-CN"/>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月</w:t>
      </w:r>
      <w:r>
        <w:rPr>
          <w:rFonts w:hint="eastAsia" w:ascii="宋体" w:hAnsi="宋体" w:eastAsia="宋体" w:cs="宋体"/>
          <w:color w:val="auto"/>
          <w:u w:val="single"/>
          <w:lang w:eastAsia="zh-CN"/>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日</w:t>
      </w:r>
    </w:p>
    <w:p w14:paraId="62D3FA0A">
      <w:pPr>
        <w:pStyle w:val="35"/>
        <w:rPr>
          <w:rFonts w:hAnsi="宋体"/>
          <w:color w:val="auto"/>
        </w:rPr>
      </w:pPr>
    </w:p>
    <w:p w14:paraId="2B744C20">
      <w:pPr>
        <w:pStyle w:val="35"/>
        <w:rPr>
          <w:rFonts w:hAnsi="宋体"/>
          <w:color w:val="auto"/>
        </w:rPr>
      </w:pPr>
    </w:p>
    <w:p w14:paraId="60BAA719">
      <w:pPr>
        <w:pStyle w:val="35"/>
        <w:rPr>
          <w:rFonts w:hAnsi="宋体"/>
          <w:color w:val="auto"/>
        </w:rPr>
      </w:pPr>
    </w:p>
    <w:p w14:paraId="1F2BD6A1">
      <w:pPr>
        <w:pStyle w:val="35"/>
        <w:rPr>
          <w:rFonts w:hAnsi="宋体"/>
          <w:color w:val="auto"/>
        </w:rPr>
      </w:pPr>
    </w:p>
    <w:p w14:paraId="40D63FD4">
      <w:pPr>
        <w:pStyle w:val="35"/>
        <w:rPr>
          <w:rFonts w:hAnsi="宋体"/>
          <w:color w:val="auto"/>
        </w:rPr>
      </w:pPr>
    </w:p>
    <w:p w14:paraId="375E320E">
      <w:pPr>
        <w:pStyle w:val="35"/>
        <w:rPr>
          <w:rFonts w:hAnsi="宋体"/>
          <w:color w:val="auto"/>
        </w:rPr>
      </w:pPr>
    </w:p>
    <w:p w14:paraId="05F2BE37">
      <w:pPr>
        <w:pStyle w:val="35"/>
        <w:rPr>
          <w:rFonts w:hAnsi="宋体"/>
          <w:color w:val="auto"/>
        </w:rPr>
      </w:pPr>
    </w:p>
    <w:p w14:paraId="3544DB4B">
      <w:pPr>
        <w:pStyle w:val="35"/>
        <w:rPr>
          <w:rFonts w:hAnsi="宋体"/>
          <w:color w:val="auto"/>
        </w:rPr>
      </w:pPr>
    </w:p>
    <w:p w14:paraId="2D85B073">
      <w:pPr>
        <w:pStyle w:val="35"/>
        <w:rPr>
          <w:rFonts w:hAnsi="宋体"/>
          <w:color w:val="auto"/>
        </w:rPr>
      </w:pPr>
    </w:p>
    <w:p w14:paraId="25D3CC97">
      <w:pPr>
        <w:pStyle w:val="35"/>
        <w:rPr>
          <w:rFonts w:hAnsi="宋体"/>
          <w:color w:val="auto"/>
        </w:rPr>
      </w:pPr>
    </w:p>
    <w:p w14:paraId="6DF8F96E">
      <w:pPr>
        <w:pStyle w:val="35"/>
        <w:rPr>
          <w:rFonts w:hAnsi="宋体"/>
          <w:color w:val="auto"/>
        </w:rPr>
      </w:pPr>
    </w:p>
    <w:p w14:paraId="23054023">
      <w:pPr>
        <w:pStyle w:val="35"/>
        <w:rPr>
          <w:rFonts w:hAnsi="宋体"/>
          <w:color w:val="auto"/>
        </w:rPr>
      </w:pPr>
    </w:p>
    <w:p w14:paraId="4F32C96C">
      <w:pPr>
        <w:pStyle w:val="35"/>
        <w:rPr>
          <w:rFonts w:hint="default" w:hAnsi="宋体" w:eastAsia="......."/>
          <w:b/>
          <w:bCs/>
          <w:color w:val="auto"/>
          <w:lang w:val="en-US" w:eastAsia="zh-CN"/>
        </w:rPr>
      </w:pPr>
      <w:r>
        <w:rPr>
          <w:rFonts w:hint="eastAsia" w:hAnsi="宋体"/>
          <w:b/>
          <w:bCs/>
          <w:color w:val="auto"/>
          <w:lang w:val="en-US" w:eastAsia="zh-CN"/>
        </w:rPr>
        <w:t>14.</w:t>
      </w:r>
      <w:r>
        <w:rPr>
          <w:rFonts w:hint="eastAsia" w:ascii="宋体" w:hAnsi="宋体" w:eastAsia="宋体" w:cs="宋体"/>
          <w:b/>
          <w:bCs/>
          <w:color w:val="auto"/>
        </w:rPr>
        <w:t>中小企业声明函 (参照《政府采购促进中小企业发展暂行办法》  (财库﹝2020﹞46号) 要求，提供中小企业声明函。</w:t>
      </w:r>
    </w:p>
    <w:p w14:paraId="040B221C">
      <w:pPr>
        <w:pStyle w:val="35"/>
        <w:rPr>
          <w:rFonts w:hAnsi="宋体"/>
          <w:color w:val="auto"/>
        </w:rPr>
      </w:pPr>
    </w:p>
    <w:p w14:paraId="3ADF2943">
      <w:pPr>
        <w:pStyle w:val="35"/>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中小企业声明函</w:t>
      </w:r>
    </w:p>
    <w:p w14:paraId="73C59B21">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1FBAEF2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本公司</w:t>
      </w:r>
      <w:r>
        <w:rPr>
          <w:rFonts w:hint="eastAsia" w:ascii="宋体" w:hAnsi="宋体" w:eastAsia="宋体" w:cs="宋体"/>
          <w:color w:val="auto"/>
          <w:u w:val="single"/>
        </w:rPr>
        <w:t xml:space="preserve">            </w:t>
      </w:r>
      <w:r>
        <w:rPr>
          <w:rFonts w:hint="eastAsia" w:ascii="宋体" w:hAnsi="宋体" w:eastAsia="宋体" w:cs="宋体"/>
          <w:color w:val="auto"/>
        </w:rPr>
        <w:t>郑重声明，根据《政府采购促进中小企业发展管理办法》(财库﹝2020﹞46 号) 的规定，本公司</w:t>
      </w:r>
      <w:r>
        <w:rPr>
          <w:rFonts w:hint="eastAsia" w:ascii="宋体" w:hAnsi="宋体" w:eastAsia="宋体" w:cs="宋体"/>
          <w:color w:val="auto"/>
          <w:u w:val="single"/>
        </w:rPr>
        <w:t xml:space="preserve">            </w:t>
      </w:r>
      <w:r>
        <w:rPr>
          <w:rFonts w:hint="eastAsia" w:ascii="宋体" w:hAnsi="宋体" w:eastAsia="宋体" w:cs="宋体"/>
          <w:color w:val="auto"/>
        </w:rPr>
        <w:t>参加</w:t>
      </w:r>
      <w:r>
        <w:rPr>
          <w:rFonts w:hint="eastAsia" w:ascii="宋体" w:hAnsi="宋体" w:eastAsia="宋体" w:cs="宋体"/>
          <w:color w:val="auto"/>
          <w:u w:val="single"/>
        </w:rPr>
        <w:t xml:space="preserve"> (单位名称) </w:t>
      </w:r>
      <w:r>
        <w:rPr>
          <w:rFonts w:hint="eastAsia" w:ascii="宋体" w:hAnsi="宋体" w:eastAsia="宋体" w:cs="宋体"/>
          <w:color w:val="auto"/>
        </w:rPr>
        <w:t xml:space="preserve">的 </w:t>
      </w:r>
      <w:r>
        <w:rPr>
          <w:rFonts w:hint="eastAsia" w:ascii="宋体" w:hAnsi="宋体" w:eastAsia="宋体" w:cs="宋体"/>
          <w:color w:val="auto"/>
          <w:u w:val="single"/>
        </w:rPr>
        <w:t xml:space="preserve">(项目名称) </w:t>
      </w:r>
      <w:r>
        <w:rPr>
          <w:rFonts w:hint="eastAsia" w:ascii="宋体" w:hAnsi="宋体" w:eastAsia="宋体" w:cs="宋体"/>
          <w:color w:val="auto"/>
        </w:rPr>
        <w:t>采购活动，工程的施工单位全部为符合政策要求的中小企业 (或者：服务全部由符合政策要求的中小企业承接) 。相关企业 (含联合体中的中小企业、签 订分包意向协议的中小企业) 的具体情况如下：</w:t>
      </w:r>
    </w:p>
    <w:p w14:paraId="16216D77">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 xml:space="preserve">1. </w:t>
      </w:r>
      <w:r>
        <w:rPr>
          <w:rFonts w:hint="eastAsia" w:ascii="宋体" w:hAnsi="宋体" w:eastAsia="宋体" w:cs="宋体"/>
          <w:color w:val="auto"/>
          <w:u w:val="single"/>
        </w:rPr>
        <w:t xml:space="preserve">(标的名称) </w:t>
      </w:r>
      <w:r>
        <w:rPr>
          <w:rFonts w:hint="eastAsia" w:ascii="宋体" w:hAnsi="宋体" w:eastAsia="宋体" w:cs="宋体"/>
          <w:color w:val="auto"/>
        </w:rPr>
        <w:t>，属于</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 xml:space="preserve"> ；承建 (承接) 企业为</w:t>
      </w:r>
      <w:r>
        <w:rPr>
          <w:rFonts w:hint="eastAsia" w:ascii="宋体" w:hAnsi="宋体" w:eastAsia="宋体" w:cs="宋体"/>
          <w:color w:val="auto"/>
          <w:u w:val="single"/>
        </w:rPr>
        <w:t xml:space="preserve"> (企业名称)</w:t>
      </w:r>
      <w:r>
        <w:rPr>
          <w:rFonts w:hint="eastAsia" w:ascii="宋体" w:hAnsi="宋体" w:eastAsia="宋体" w:cs="宋体"/>
          <w:color w:val="auto"/>
        </w:rPr>
        <w:t xml:space="preserve"> ，从业人员</w:t>
      </w:r>
      <w:r>
        <w:rPr>
          <w:rFonts w:hint="eastAsia" w:ascii="宋体" w:hAnsi="宋体" w:eastAsia="宋体" w:cs="宋体"/>
          <w:color w:val="auto"/>
          <w:u w:val="single"/>
        </w:rPr>
        <w:t xml:space="preserve">         </w:t>
      </w:r>
      <w:r>
        <w:rPr>
          <w:rFonts w:hint="eastAsia" w:ascii="宋体" w:hAnsi="宋体" w:eastAsia="宋体" w:cs="宋体"/>
          <w:color w:val="auto"/>
        </w:rPr>
        <w:t>人，营业收入为</w:t>
      </w:r>
      <w:r>
        <w:rPr>
          <w:rFonts w:hint="eastAsia" w:ascii="宋体" w:hAnsi="宋体" w:eastAsia="宋体" w:cs="宋体"/>
          <w:color w:val="auto"/>
          <w:u w:val="single"/>
        </w:rPr>
        <w:t xml:space="preserve">          </w:t>
      </w:r>
      <w:r>
        <w:rPr>
          <w:rFonts w:hint="eastAsia" w:ascii="宋体" w:hAnsi="宋体" w:eastAsia="宋体" w:cs="宋体"/>
          <w:color w:val="auto"/>
        </w:rPr>
        <w:t xml:space="preserve">万元，资产总额为 </w:t>
      </w:r>
      <w:r>
        <w:rPr>
          <w:rFonts w:hint="eastAsia" w:ascii="宋体" w:hAnsi="宋体" w:eastAsia="宋体" w:cs="宋体"/>
          <w:color w:val="auto"/>
          <w:u w:val="single"/>
        </w:rPr>
        <w:t xml:space="preserve">             </w:t>
      </w:r>
      <w:r>
        <w:rPr>
          <w:rFonts w:hint="eastAsia" w:ascii="宋体" w:hAnsi="宋体" w:eastAsia="宋体" w:cs="宋体"/>
          <w:color w:val="auto"/>
        </w:rPr>
        <w:t>万元，属于</w:t>
      </w:r>
      <w:r>
        <w:rPr>
          <w:rFonts w:hint="eastAsia" w:ascii="宋体" w:hAnsi="宋体" w:eastAsia="宋体" w:cs="宋体"/>
          <w:color w:val="auto"/>
          <w:u w:val="single"/>
        </w:rPr>
        <w:t xml:space="preserve"> (中型企业、小型企业、微型企业) </w:t>
      </w:r>
      <w:r>
        <w:rPr>
          <w:rFonts w:hint="eastAsia" w:ascii="宋体" w:hAnsi="宋体" w:eastAsia="宋体" w:cs="宋体"/>
          <w:color w:val="auto"/>
        </w:rPr>
        <w:t>；</w:t>
      </w:r>
    </w:p>
    <w:p w14:paraId="685415D5">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 xml:space="preserve">2.  </w:t>
      </w:r>
      <w:r>
        <w:rPr>
          <w:rFonts w:hint="eastAsia" w:ascii="宋体" w:hAnsi="宋体" w:eastAsia="宋体" w:cs="宋体"/>
          <w:color w:val="auto"/>
          <w:u w:val="single"/>
        </w:rPr>
        <w:t xml:space="preserve">(标的名称) </w:t>
      </w:r>
      <w:r>
        <w:rPr>
          <w:rFonts w:hint="eastAsia" w:ascii="宋体" w:hAnsi="宋体" w:eastAsia="宋体" w:cs="宋体"/>
          <w:color w:val="auto"/>
        </w:rPr>
        <w:t>，属于</w:t>
      </w:r>
      <w:r>
        <w:rPr>
          <w:rFonts w:hint="eastAsia" w:ascii="宋体" w:hAnsi="宋体" w:eastAsia="宋体" w:cs="宋体"/>
          <w:color w:val="auto"/>
          <w:u w:val="single"/>
        </w:rPr>
        <w:t xml:space="preserve">  其他  </w:t>
      </w:r>
      <w:r>
        <w:rPr>
          <w:rFonts w:hint="eastAsia" w:ascii="宋体" w:hAnsi="宋体" w:eastAsia="宋体" w:cs="宋体"/>
          <w:color w:val="auto"/>
        </w:rPr>
        <w:t xml:space="preserve"> ；承建 (承接) 企业为</w:t>
      </w:r>
      <w:r>
        <w:rPr>
          <w:rFonts w:hint="eastAsia" w:ascii="宋体" w:hAnsi="宋体" w:eastAsia="宋体" w:cs="宋体"/>
          <w:color w:val="auto"/>
          <w:u w:val="single"/>
        </w:rPr>
        <w:t xml:space="preserve"> (企业名称)</w:t>
      </w:r>
      <w:r>
        <w:rPr>
          <w:rFonts w:hint="eastAsia" w:ascii="宋体" w:hAnsi="宋体" w:eastAsia="宋体" w:cs="宋体"/>
          <w:color w:val="auto"/>
        </w:rPr>
        <w:t xml:space="preserve"> ，从业人员</w:t>
      </w:r>
      <w:r>
        <w:rPr>
          <w:rFonts w:hint="eastAsia" w:ascii="宋体" w:hAnsi="宋体" w:eastAsia="宋体" w:cs="宋体"/>
          <w:color w:val="auto"/>
          <w:u w:val="single"/>
        </w:rPr>
        <w:t xml:space="preserve">         </w:t>
      </w:r>
      <w:r>
        <w:rPr>
          <w:rFonts w:hint="eastAsia" w:ascii="宋体" w:hAnsi="宋体" w:eastAsia="宋体" w:cs="宋体"/>
          <w:color w:val="auto"/>
        </w:rPr>
        <w:t>人，营业收入为</w:t>
      </w:r>
      <w:r>
        <w:rPr>
          <w:rFonts w:hint="eastAsia" w:ascii="宋体" w:hAnsi="宋体" w:eastAsia="宋体" w:cs="宋体"/>
          <w:color w:val="auto"/>
          <w:u w:val="single"/>
        </w:rPr>
        <w:t xml:space="preserve">          </w:t>
      </w:r>
      <w:r>
        <w:rPr>
          <w:rFonts w:hint="eastAsia" w:ascii="宋体" w:hAnsi="宋体" w:eastAsia="宋体" w:cs="宋体"/>
          <w:color w:val="auto"/>
        </w:rPr>
        <w:t xml:space="preserve">万元，资产总额为 </w:t>
      </w:r>
      <w:r>
        <w:rPr>
          <w:rFonts w:hint="eastAsia" w:ascii="宋体" w:hAnsi="宋体" w:eastAsia="宋体" w:cs="宋体"/>
          <w:color w:val="auto"/>
          <w:u w:val="single"/>
        </w:rPr>
        <w:t xml:space="preserve">             </w:t>
      </w:r>
      <w:r>
        <w:rPr>
          <w:rFonts w:hint="eastAsia" w:ascii="宋体" w:hAnsi="宋体" w:eastAsia="宋体" w:cs="宋体"/>
          <w:color w:val="auto"/>
        </w:rPr>
        <w:t>万元，属于</w:t>
      </w:r>
      <w:r>
        <w:rPr>
          <w:rFonts w:hint="eastAsia" w:ascii="宋体" w:hAnsi="宋体" w:eastAsia="宋体" w:cs="宋体"/>
          <w:color w:val="auto"/>
          <w:u w:val="single"/>
        </w:rPr>
        <w:t xml:space="preserve"> (中型企业、小型企业、微型企业) </w:t>
      </w:r>
      <w:r>
        <w:rPr>
          <w:rFonts w:hint="eastAsia" w:ascii="宋体" w:hAnsi="宋体" w:eastAsia="宋体" w:cs="宋体"/>
          <w:color w:val="auto"/>
        </w:rPr>
        <w:t>；</w:t>
      </w:r>
    </w:p>
    <w:p w14:paraId="29C3565A">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w:t>
      </w:r>
    </w:p>
    <w:p w14:paraId="41517E38">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以上企业，不属于大企业的分支机构，不存在控股股东为大企业的情形，也不存在与大企业的负责人为同一人的情形。</w:t>
      </w:r>
    </w:p>
    <w:p w14:paraId="415CC05F">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本企业对上述声明内容的真实性负责。如有虚假，将依法承担相应责任。</w:t>
      </w:r>
    </w:p>
    <w:p w14:paraId="27228C78">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625416F6">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37E8ECDF">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5460" w:firstLineChars="2600"/>
        <w:textAlignment w:val="auto"/>
        <w:rPr>
          <w:rFonts w:hint="eastAsia" w:ascii="宋体" w:hAnsi="宋体" w:eastAsia="宋体" w:cs="宋体"/>
          <w:color w:val="auto"/>
        </w:rPr>
      </w:pPr>
      <w:r>
        <w:rPr>
          <w:rFonts w:hint="eastAsia" w:ascii="宋体" w:hAnsi="宋体" w:eastAsia="宋体" w:cs="宋体"/>
          <w:color w:val="auto"/>
        </w:rPr>
        <w:t>企业名称 (盖章) ：</w:t>
      </w:r>
    </w:p>
    <w:p w14:paraId="6C6DC80B">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6720" w:firstLineChars="3200"/>
        <w:textAlignment w:val="auto"/>
        <w:rPr>
          <w:rFonts w:hint="eastAsia" w:ascii="宋体" w:hAnsi="宋体" w:eastAsia="宋体" w:cs="宋体"/>
          <w:color w:val="auto"/>
        </w:rPr>
      </w:pPr>
      <w:r>
        <w:rPr>
          <w:rFonts w:hint="eastAsia" w:ascii="宋体" w:hAnsi="宋体" w:eastAsia="宋体" w:cs="宋体"/>
          <w:color w:val="auto"/>
        </w:rPr>
        <w:t>日期：</w:t>
      </w:r>
    </w:p>
    <w:p w14:paraId="42B9951E">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5FE33773">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1FB7F557">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从业人员、营业收入、资产总额填报上一年度数据，无上一年度数据的新成立企业可不填报。</w:t>
      </w:r>
    </w:p>
    <w:p w14:paraId="1A516B96">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74ACE7EF">
      <w:pPr>
        <w:pStyle w:val="35"/>
        <w:rPr>
          <w:rFonts w:hAnsi="宋体"/>
          <w:color w:val="auto"/>
        </w:rPr>
      </w:pPr>
    </w:p>
    <w:p w14:paraId="7B7E166A">
      <w:pPr>
        <w:pStyle w:val="35"/>
        <w:rPr>
          <w:rFonts w:hAnsi="宋体"/>
          <w:color w:val="auto"/>
        </w:rPr>
      </w:pPr>
    </w:p>
    <w:p w14:paraId="33A30117">
      <w:pPr>
        <w:pStyle w:val="35"/>
        <w:numPr>
          <w:ilvl w:val="0"/>
          <w:numId w:val="0"/>
        </w:numPr>
        <w:rPr>
          <w:rFonts w:hint="eastAsia" w:ascii="宋体" w:hAnsi="宋体" w:eastAsia="宋体" w:cs="宋体"/>
          <w:b/>
          <w:bCs/>
          <w:color w:val="auto"/>
        </w:rPr>
      </w:pPr>
      <w:r>
        <w:rPr>
          <w:rFonts w:hint="eastAsia" w:ascii="宋体" w:hAnsi="宋体" w:eastAsia="宋体" w:cs="宋体"/>
          <w:b/>
          <w:bCs/>
          <w:color w:val="auto"/>
          <w:lang w:val="en-US" w:eastAsia="zh-CN"/>
        </w:rPr>
        <w:t>15.供应商</w:t>
      </w:r>
      <w:r>
        <w:rPr>
          <w:rFonts w:hint="eastAsia" w:ascii="宋体" w:hAnsi="宋体" w:eastAsia="宋体" w:cs="宋体"/>
          <w:b/>
          <w:bCs/>
          <w:color w:val="auto"/>
        </w:rPr>
        <w:t xml:space="preserve">针对资格证明需要说明的其他证明文件和说明。 </w:t>
      </w:r>
    </w:p>
    <w:p w14:paraId="65FD1F56">
      <w:pPr>
        <w:pStyle w:val="35"/>
        <w:widowControl w:val="0"/>
        <w:numPr>
          <w:ilvl w:val="0"/>
          <w:numId w:val="0"/>
        </w:numPr>
        <w:autoSpaceDE w:val="0"/>
        <w:autoSpaceDN w:val="0"/>
        <w:adjustRightInd w:val="0"/>
        <w:rPr>
          <w:rFonts w:hint="eastAsia" w:ascii="宋体" w:hAnsi="宋体" w:eastAsia="宋体" w:cs="宋体"/>
          <w:b/>
          <w:bCs/>
          <w:color w:val="auto"/>
        </w:rPr>
      </w:pPr>
    </w:p>
    <w:p w14:paraId="76021F39">
      <w:pPr>
        <w:pStyle w:val="35"/>
        <w:widowControl w:val="0"/>
        <w:numPr>
          <w:ilvl w:val="0"/>
          <w:numId w:val="0"/>
        </w:numPr>
        <w:autoSpaceDE w:val="0"/>
        <w:autoSpaceDN w:val="0"/>
        <w:adjustRightInd w:val="0"/>
        <w:rPr>
          <w:rFonts w:hint="eastAsia" w:ascii="宋体" w:hAnsi="宋体" w:eastAsia="宋体" w:cs="宋体"/>
          <w:b/>
          <w:bCs/>
          <w:color w:val="auto"/>
        </w:rPr>
      </w:pPr>
    </w:p>
    <w:p w14:paraId="52117D11">
      <w:pPr>
        <w:pStyle w:val="35"/>
        <w:widowControl w:val="0"/>
        <w:numPr>
          <w:ilvl w:val="0"/>
          <w:numId w:val="0"/>
        </w:numPr>
        <w:autoSpaceDE w:val="0"/>
        <w:autoSpaceDN w:val="0"/>
        <w:adjustRightInd w:val="0"/>
        <w:rPr>
          <w:rFonts w:hint="eastAsia" w:ascii="宋体" w:hAnsi="宋体" w:eastAsia="宋体" w:cs="宋体"/>
          <w:b/>
          <w:bCs/>
          <w:color w:val="auto"/>
        </w:rPr>
      </w:pPr>
    </w:p>
    <w:p w14:paraId="3394C6AA">
      <w:pPr>
        <w:pStyle w:val="35"/>
        <w:widowControl w:val="0"/>
        <w:numPr>
          <w:ilvl w:val="0"/>
          <w:numId w:val="0"/>
        </w:numPr>
        <w:autoSpaceDE w:val="0"/>
        <w:autoSpaceDN w:val="0"/>
        <w:adjustRightInd w:val="0"/>
        <w:rPr>
          <w:rFonts w:hint="eastAsia" w:ascii="宋体" w:hAnsi="宋体" w:eastAsia="宋体" w:cs="宋体"/>
          <w:b/>
          <w:bCs/>
          <w:color w:val="auto"/>
        </w:rPr>
      </w:pPr>
    </w:p>
    <w:p w14:paraId="3212C08D">
      <w:pPr>
        <w:pStyle w:val="35"/>
        <w:widowControl w:val="0"/>
        <w:numPr>
          <w:ilvl w:val="0"/>
          <w:numId w:val="0"/>
        </w:numPr>
        <w:autoSpaceDE w:val="0"/>
        <w:autoSpaceDN w:val="0"/>
        <w:adjustRightInd w:val="0"/>
        <w:rPr>
          <w:rFonts w:hint="eastAsia" w:ascii="宋体" w:hAnsi="宋体" w:eastAsia="宋体" w:cs="宋体"/>
          <w:b/>
          <w:bCs/>
          <w:color w:val="auto"/>
        </w:rPr>
      </w:pPr>
    </w:p>
    <w:p w14:paraId="64553657">
      <w:pPr>
        <w:pStyle w:val="35"/>
        <w:rPr>
          <w:rFonts w:hAnsi="宋体"/>
          <w:color w:val="auto"/>
        </w:rPr>
      </w:pPr>
    </w:p>
    <w:p w14:paraId="732DC2B6">
      <w:pPr>
        <w:pStyle w:val="35"/>
        <w:numPr>
          <w:ilvl w:val="0"/>
          <w:numId w:val="3"/>
        </w:numPr>
        <w:rPr>
          <w:rFonts w:hint="eastAsia" w:ascii="宋体" w:hAnsi="宋体" w:eastAsia="宋体" w:cs="宋体"/>
          <w:b/>
          <w:bCs/>
          <w:color w:val="auto"/>
          <w:sz w:val="28"/>
          <w:szCs w:val="36"/>
        </w:rPr>
      </w:pPr>
      <w:r>
        <w:rPr>
          <w:rFonts w:hint="eastAsia" w:ascii="宋体" w:hAnsi="宋体" w:eastAsia="宋体" w:cs="宋体"/>
          <w:b/>
          <w:bCs/>
          <w:color w:val="auto"/>
          <w:sz w:val="28"/>
          <w:szCs w:val="36"/>
        </w:rPr>
        <w:t>商务技术文件格式</w:t>
      </w:r>
    </w:p>
    <w:p w14:paraId="593C19FF">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7AF246C1">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359F5983">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1CC5EFFF">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276043C3">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2C4B7C17">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11A74A1F">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7CA021B9">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3092D955">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62357ACB">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5BAD0910">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2CE5817D">
      <w:pPr>
        <w:pStyle w:val="35"/>
        <w:widowControl w:val="0"/>
        <w:numPr>
          <w:ilvl w:val="0"/>
          <w:numId w:val="0"/>
        </w:numPr>
        <w:autoSpaceDE w:val="0"/>
        <w:autoSpaceDN w:val="0"/>
        <w:adjustRightInd w:val="0"/>
        <w:jc w:val="center"/>
        <w:rPr>
          <w:rFonts w:hint="eastAsia" w:ascii="宋体" w:hAnsi="宋体" w:eastAsia="宋体" w:cs="宋体"/>
          <w:b/>
          <w:bCs/>
          <w:color w:val="auto"/>
          <w:sz w:val="40"/>
          <w:szCs w:val="48"/>
        </w:rPr>
      </w:pPr>
      <w:r>
        <w:rPr>
          <w:rFonts w:hint="eastAsia" w:ascii="宋体" w:hAnsi="宋体" w:eastAsia="宋体" w:cs="宋体"/>
          <w:b/>
          <w:bCs/>
          <w:color w:val="auto"/>
          <w:sz w:val="40"/>
          <w:szCs w:val="48"/>
        </w:rPr>
        <w:t>商 务 技 术 文 件</w:t>
      </w:r>
    </w:p>
    <w:p w14:paraId="68C63306">
      <w:pPr>
        <w:pStyle w:val="35"/>
        <w:rPr>
          <w:rFonts w:hAnsi="宋体"/>
          <w:color w:val="auto"/>
        </w:rPr>
      </w:pPr>
    </w:p>
    <w:p w14:paraId="7DF684D9">
      <w:pPr>
        <w:pStyle w:val="35"/>
        <w:rPr>
          <w:rFonts w:hAnsi="宋体"/>
          <w:color w:val="auto"/>
        </w:rPr>
      </w:pPr>
    </w:p>
    <w:p w14:paraId="4ECBB7D0">
      <w:pPr>
        <w:pStyle w:val="35"/>
        <w:rPr>
          <w:rFonts w:hAnsi="宋体"/>
          <w:color w:val="auto"/>
        </w:rPr>
      </w:pPr>
    </w:p>
    <w:p w14:paraId="4DC0DE1D">
      <w:pPr>
        <w:pStyle w:val="35"/>
        <w:rPr>
          <w:rFonts w:hAnsi="宋体"/>
          <w:color w:val="auto"/>
        </w:rPr>
      </w:pPr>
    </w:p>
    <w:p w14:paraId="67EE787A">
      <w:pPr>
        <w:pStyle w:val="35"/>
        <w:rPr>
          <w:rFonts w:hAnsi="宋体"/>
          <w:color w:val="auto"/>
        </w:rPr>
      </w:pPr>
    </w:p>
    <w:p w14:paraId="0EA6F31A">
      <w:pPr>
        <w:pStyle w:val="35"/>
        <w:rPr>
          <w:rFonts w:hAnsi="宋体"/>
          <w:color w:val="auto"/>
        </w:rPr>
      </w:pPr>
    </w:p>
    <w:p w14:paraId="0B74A4D6">
      <w:pPr>
        <w:pStyle w:val="35"/>
        <w:rPr>
          <w:rFonts w:hAnsi="宋体"/>
          <w:color w:val="auto"/>
        </w:rPr>
      </w:pPr>
    </w:p>
    <w:p w14:paraId="590328D3">
      <w:pPr>
        <w:pStyle w:val="35"/>
        <w:rPr>
          <w:rFonts w:hAnsi="宋体"/>
          <w:color w:val="auto"/>
        </w:rPr>
      </w:pPr>
    </w:p>
    <w:p w14:paraId="37BF2234">
      <w:pPr>
        <w:pStyle w:val="35"/>
        <w:rPr>
          <w:rFonts w:hAnsi="宋体"/>
          <w:color w:val="auto"/>
        </w:rPr>
      </w:pPr>
    </w:p>
    <w:p w14:paraId="5690E463">
      <w:pPr>
        <w:pStyle w:val="35"/>
        <w:rPr>
          <w:rFonts w:hAnsi="宋体"/>
          <w:color w:val="auto"/>
        </w:rPr>
      </w:pPr>
    </w:p>
    <w:p w14:paraId="616143D8">
      <w:pPr>
        <w:pStyle w:val="35"/>
        <w:rPr>
          <w:rFonts w:hAnsi="宋体"/>
          <w:color w:val="auto"/>
        </w:rPr>
      </w:pPr>
    </w:p>
    <w:p w14:paraId="67B20233">
      <w:pPr>
        <w:pStyle w:val="35"/>
        <w:rPr>
          <w:rFonts w:hAnsi="宋体"/>
          <w:color w:val="auto"/>
        </w:rPr>
      </w:pPr>
    </w:p>
    <w:p w14:paraId="4AA2699F">
      <w:pPr>
        <w:pStyle w:val="35"/>
        <w:rPr>
          <w:rFonts w:hAnsi="宋体"/>
          <w:color w:val="auto"/>
        </w:rPr>
      </w:pPr>
    </w:p>
    <w:p w14:paraId="42AAF88A">
      <w:pPr>
        <w:pStyle w:val="35"/>
        <w:rPr>
          <w:rFonts w:hAnsi="宋体"/>
          <w:color w:val="auto"/>
        </w:rPr>
      </w:pPr>
    </w:p>
    <w:p w14:paraId="656B9BFB">
      <w:pPr>
        <w:pStyle w:val="35"/>
        <w:rPr>
          <w:rFonts w:hAnsi="宋体"/>
          <w:color w:val="auto"/>
        </w:rPr>
      </w:pPr>
    </w:p>
    <w:p w14:paraId="33C87413">
      <w:pPr>
        <w:pStyle w:val="35"/>
        <w:rPr>
          <w:rFonts w:hAnsi="宋体"/>
          <w:color w:val="auto"/>
        </w:rPr>
      </w:pPr>
    </w:p>
    <w:p w14:paraId="1EBA0D8C">
      <w:pPr>
        <w:pStyle w:val="35"/>
        <w:rPr>
          <w:rFonts w:hAnsi="宋体"/>
          <w:color w:val="auto"/>
        </w:rPr>
      </w:pPr>
    </w:p>
    <w:p w14:paraId="19453294">
      <w:pPr>
        <w:pStyle w:val="35"/>
        <w:rPr>
          <w:rFonts w:hAnsi="宋体"/>
          <w:color w:val="auto"/>
        </w:rPr>
      </w:pPr>
    </w:p>
    <w:p w14:paraId="04EA3099">
      <w:pPr>
        <w:pStyle w:val="35"/>
        <w:rPr>
          <w:rFonts w:hAnsi="宋体"/>
          <w:color w:val="auto"/>
        </w:rPr>
      </w:pPr>
    </w:p>
    <w:p w14:paraId="4E05A859">
      <w:pPr>
        <w:pStyle w:val="35"/>
        <w:rPr>
          <w:rFonts w:hAnsi="宋体"/>
          <w:color w:val="auto"/>
        </w:rPr>
      </w:pPr>
    </w:p>
    <w:p w14:paraId="0DAD8468">
      <w:pPr>
        <w:pStyle w:val="35"/>
        <w:rPr>
          <w:rFonts w:hAnsi="宋体"/>
          <w:color w:val="auto"/>
        </w:rPr>
      </w:pPr>
    </w:p>
    <w:p w14:paraId="12B3F4CB">
      <w:pPr>
        <w:pStyle w:val="35"/>
        <w:rPr>
          <w:rFonts w:hAnsi="宋体"/>
          <w:color w:val="auto"/>
        </w:rPr>
      </w:pPr>
    </w:p>
    <w:p w14:paraId="053FA2AA">
      <w:pPr>
        <w:pStyle w:val="35"/>
        <w:rPr>
          <w:rFonts w:hAnsi="宋体"/>
          <w:color w:val="auto"/>
        </w:rPr>
      </w:pPr>
    </w:p>
    <w:p w14:paraId="10803780">
      <w:pPr>
        <w:pStyle w:val="35"/>
        <w:rPr>
          <w:rFonts w:hAnsi="宋体"/>
          <w:color w:val="auto"/>
        </w:rPr>
      </w:pPr>
    </w:p>
    <w:p w14:paraId="2463EE19">
      <w:pPr>
        <w:pStyle w:val="35"/>
        <w:rPr>
          <w:rFonts w:hAnsi="宋体"/>
          <w:color w:val="auto"/>
        </w:rPr>
      </w:pPr>
    </w:p>
    <w:p w14:paraId="38008967">
      <w:pPr>
        <w:pStyle w:val="35"/>
        <w:rPr>
          <w:rFonts w:hAnsi="宋体"/>
          <w:color w:val="auto"/>
        </w:rPr>
      </w:pPr>
    </w:p>
    <w:p w14:paraId="4D6E44FF">
      <w:pPr>
        <w:pStyle w:val="35"/>
        <w:rPr>
          <w:rFonts w:hAnsi="宋体"/>
          <w:color w:val="auto"/>
        </w:rPr>
      </w:pPr>
    </w:p>
    <w:p w14:paraId="3505BADC">
      <w:pPr>
        <w:pStyle w:val="35"/>
        <w:rPr>
          <w:rFonts w:hAnsi="宋体"/>
          <w:color w:val="auto"/>
        </w:rPr>
      </w:pPr>
    </w:p>
    <w:p w14:paraId="47A66AD7">
      <w:pPr>
        <w:pStyle w:val="35"/>
        <w:rPr>
          <w:rFonts w:hint="eastAsia" w:ascii="宋体" w:hAnsi="宋体" w:eastAsia="宋体" w:cs="宋体"/>
          <w:b/>
          <w:bCs/>
          <w:color w:val="auto"/>
        </w:rPr>
      </w:pPr>
      <w:r>
        <w:rPr>
          <w:rFonts w:hint="eastAsia" w:ascii="宋体" w:hAnsi="宋体" w:eastAsia="宋体" w:cs="宋体"/>
          <w:b/>
          <w:bCs/>
          <w:color w:val="auto"/>
        </w:rPr>
        <w:t>一、施工组织设计</w:t>
      </w:r>
    </w:p>
    <w:p w14:paraId="58BE8DA7">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1</w:t>
      </w:r>
      <w:r>
        <w:rPr>
          <w:rFonts w:hint="eastAsia" w:hAnsi="宋体"/>
          <w:color w:val="auto"/>
          <w:lang w:val="en-US" w:eastAsia="zh-CN"/>
        </w:rPr>
        <w:t>.</w:t>
      </w:r>
      <w:r>
        <w:rPr>
          <w:rFonts w:hint="eastAsia" w:ascii="宋体" w:hAnsi="宋体" w:cs="宋体"/>
          <w:b w:val="0"/>
          <w:bCs/>
          <w:color w:val="auto"/>
          <w:szCs w:val="21"/>
          <w:lang w:eastAsia="zh-CN"/>
        </w:rPr>
        <w:t>供应商</w:t>
      </w:r>
      <w:r>
        <w:rPr>
          <w:rFonts w:hint="eastAsia" w:hAnsi="宋体"/>
          <w:color w:val="auto"/>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 污染、地下管线及其他地上地下设施的保护加固措施等。</w:t>
      </w:r>
    </w:p>
    <w:p w14:paraId="6476D316">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2</w:t>
      </w:r>
      <w:r>
        <w:rPr>
          <w:rFonts w:hint="eastAsia" w:hAnsi="宋体"/>
          <w:color w:val="auto"/>
          <w:lang w:val="en-US" w:eastAsia="zh-CN"/>
        </w:rPr>
        <w:t>.</w:t>
      </w:r>
      <w:r>
        <w:rPr>
          <w:rFonts w:hint="eastAsia" w:hAnsi="宋体"/>
          <w:color w:val="auto"/>
        </w:rPr>
        <w:t>施工组织设计除采用文字表述外可附下列图表，图表及格式要求附后。</w:t>
      </w:r>
    </w:p>
    <w:p w14:paraId="1401FFD4">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附表一</w:t>
      </w:r>
      <w:r>
        <w:rPr>
          <w:rFonts w:hint="eastAsia" w:hAnsi="宋体"/>
          <w:color w:val="auto"/>
        </w:rPr>
        <w:tab/>
      </w:r>
      <w:r>
        <w:rPr>
          <w:rFonts w:hint="eastAsia" w:hAnsi="宋体"/>
          <w:color w:val="auto"/>
        </w:rPr>
        <w:t>拟投入本工程的主要施工设备表</w:t>
      </w:r>
    </w:p>
    <w:p w14:paraId="3CACF473">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附表二</w:t>
      </w:r>
      <w:r>
        <w:rPr>
          <w:rFonts w:hint="eastAsia" w:hAnsi="宋体"/>
          <w:color w:val="auto"/>
        </w:rPr>
        <w:tab/>
      </w:r>
      <w:r>
        <w:rPr>
          <w:rFonts w:hint="eastAsia" w:hAnsi="宋体"/>
          <w:color w:val="auto"/>
        </w:rPr>
        <w:t>拟配备本工程的试验和检测仪器设备表</w:t>
      </w:r>
    </w:p>
    <w:p w14:paraId="6072D510">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附表三</w:t>
      </w:r>
      <w:r>
        <w:rPr>
          <w:rFonts w:hint="eastAsia" w:hAnsi="宋体"/>
          <w:color w:val="auto"/>
        </w:rPr>
        <w:tab/>
      </w:r>
      <w:r>
        <w:rPr>
          <w:rFonts w:hint="eastAsia" w:hAnsi="宋体"/>
          <w:color w:val="auto"/>
        </w:rPr>
        <w:t>劳动力计划表</w:t>
      </w:r>
    </w:p>
    <w:p w14:paraId="1478DB6C">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附表四</w:t>
      </w:r>
      <w:r>
        <w:rPr>
          <w:rFonts w:hint="eastAsia" w:hAnsi="宋体"/>
          <w:color w:val="auto"/>
        </w:rPr>
        <w:tab/>
      </w:r>
      <w:r>
        <w:rPr>
          <w:rFonts w:hint="eastAsia" w:hAnsi="宋体"/>
          <w:color w:val="auto"/>
        </w:rPr>
        <w:t>计划开、竣工日期和施工进度网络图</w:t>
      </w:r>
    </w:p>
    <w:p w14:paraId="0F021505">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附表五</w:t>
      </w:r>
      <w:r>
        <w:rPr>
          <w:rFonts w:hint="eastAsia" w:hAnsi="宋体"/>
          <w:color w:val="auto"/>
        </w:rPr>
        <w:tab/>
      </w:r>
      <w:r>
        <w:rPr>
          <w:rFonts w:hint="eastAsia" w:hAnsi="宋体"/>
          <w:color w:val="auto"/>
        </w:rPr>
        <w:t>施工总平面图</w:t>
      </w:r>
    </w:p>
    <w:p w14:paraId="56416D75">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附表六</w:t>
      </w:r>
      <w:r>
        <w:rPr>
          <w:rFonts w:hint="eastAsia" w:hAnsi="宋体"/>
          <w:color w:val="auto"/>
        </w:rPr>
        <w:tab/>
      </w:r>
      <w:r>
        <w:rPr>
          <w:rFonts w:hint="eastAsia" w:hAnsi="宋体"/>
          <w:color w:val="auto"/>
        </w:rPr>
        <w:t>临时用地表</w:t>
      </w:r>
    </w:p>
    <w:p w14:paraId="1FB7F34A">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hAnsi="宋体"/>
          <w:color w:val="auto"/>
        </w:rPr>
      </w:pPr>
    </w:p>
    <w:p w14:paraId="4452C3AA">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hAnsi="宋体"/>
          <w:b/>
          <w:bCs/>
          <w:color w:val="auto"/>
        </w:rPr>
      </w:pPr>
      <w:r>
        <w:rPr>
          <w:rFonts w:hint="eastAsia" w:hAnsi="宋体"/>
          <w:b/>
          <w:bCs/>
          <w:color w:val="auto"/>
        </w:rPr>
        <w:t>附表一：劳动力计划表</w:t>
      </w:r>
    </w:p>
    <w:p w14:paraId="00F7E67C">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center"/>
        <w:textAlignment w:val="auto"/>
        <w:rPr>
          <w:rFonts w:hint="eastAsia" w:hAnsi="宋体"/>
          <w:color w:val="auto"/>
        </w:rPr>
      </w:pPr>
      <w:r>
        <w:rPr>
          <w:rFonts w:hint="eastAsia" w:hAnsi="宋体"/>
          <w:color w:val="auto"/>
          <w:lang w:val="en-US" w:eastAsia="zh-CN"/>
        </w:rPr>
        <w:t xml:space="preserve">                                                       </w:t>
      </w:r>
      <w:r>
        <w:rPr>
          <w:rFonts w:hint="eastAsia" w:hAnsi="宋体"/>
          <w:color w:val="auto"/>
        </w:rPr>
        <w:t>单位：人</w:t>
      </w:r>
    </w:p>
    <w:tbl>
      <w:tblPr>
        <w:tblStyle w:val="47"/>
        <w:tblW w:w="93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0"/>
        <w:gridCol w:w="1170"/>
        <w:gridCol w:w="1170"/>
        <w:gridCol w:w="1170"/>
        <w:gridCol w:w="1170"/>
        <w:gridCol w:w="1170"/>
        <w:gridCol w:w="1170"/>
        <w:gridCol w:w="1173"/>
      </w:tblGrid>
      <w:tr w14:paraId="2F707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170" w:type="dxa"/>
            <w:vAlign w:val="top"/>
          </w:tcPr>
          <w:p w14:paraId="77FFB4BD">
            <w:pPr>
              <w:spacing w:before="37" w:line="229" w:lineRule="auto"/>
              <w:ind w:left="0" w:leftChars="0" w:firstLine="0" w:firstLineChars="0"/>
              <w:jc w:val="center"/>
              <w:rPr>
                <w:rFonts w:ascii="宋体" w:hAnsi="宋体" w:eastAsia="宋体" w:cs="宋体"/>
                <w:color w:val="auto"/>
                <w:sz w:val="21"/>
                <w:szCs w:val="21"/>
              </w:rPr>
            </w:pPr>
            <w:r>
              <w:rPr>
                <w:rFonts w:ascii="宋体" w:hAnsi="宋体" w:eastAsia="宋体" w:cs="宋体"/>
                <w:color w:val="auto"/>
                <w:spacing w:val="4"/>
                <w:sz w:val="21"/>
                <w:szCs w:val="21"/>
              </w:rPr>
              <w:t>工</w:t>
            </w:r>
            <w:r>
              <w:rPr>
                <w:rFonts w:ascii="宋体" w:hAnsi="宋体" w:eastAsia="宋体" w:cs="宋体"/>
                <w:color w:val="auto"/>
                <w:spacing w:val="3"/>
                <w:sz w:val="21"/>
                <w:szCs w:val="21"/>
              </w:rPr>
              <w:t>种</w:t>
            </w:r>
          </w:p>
        </w:tc>
        <w:tc>
          <w:tcPr>
            <w:tcW w:w="8193" w:type="dxa"/>
            <w:gridSpan w:val="7"/>
            <w:vAlign w:val="top"/>
          </w:tcPr>
          <w:p w14:paraId="01D8E603">
            <w:pPr>
              <w:spacing w:before="37" w:line="228" w:lineRule="auto"/>
              <w:ind w:left="0" w:leftChars="0" w:firstLine="0" w:firstLineChars="0"/>
              <w:jc w:val="center"/>
              <w:rPr>
                <w:rFonts w:ascii="宋体" w:hAnsi="宋体" w:eastAsia="宋体" w:cs="宋体"/>
                <w:color w:val="auto"/>
                <w:sz w:val="21"/>
                <w:szCs w:val="21"/>
              </w:rPr>
            </w:pPr>
            <w:r>
              <w:rPr>
                <w:rFonts w:ascii="宋体" w:hAnsi="宋体" w:eastAsia="宋体" w:cs="宋体"/>
                <w:color w:val="auto"/>
                <w:spacing w:val="10"/>
                <w:sz w:val="21"/>
                <w:szCs w:val="21"/>
              </w:rPr>
              <w:t>按</w:t>
            </w:r>
            <w:r>
              <w:rPr>
                <w:rFonts w:ascii="宋体" w:hAnsi="宋体" w:eastAsia="宋体" w:cs="宋体"/>
                <w:color w:val="auto"/>
                <w:spacing w:val="9"/>
                <w:sz w:val="21"/>
                <w:szCs w:val="21"/>
              </w:rPr>
              <w:t>工程施工阶段投入劳动力情况</w:t>
            </w:r>
          </w:p>
        </w:tc>
      </w:tr>
      <w:tr w14:paraId="708B2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170" w:type="dxa"/>
            <w:vAlign w:val="top"/>
          </w:tcPr>
          <w:p w14:paraId="42C7BCDC">
            <w:pPr>
              <w:rPr>
                <w:rFonts w:ascii="Arial"/>
                <w:color w:val="auto"/>
                <w:sz w:val="21"/>
                <w:szCs w:val="21"/>
              </w:rPr>
            </w:pPr>
          </w:p>
        </w:tc>
        <w:tc>
          <w:tcPr>
            <w:tcW w:w="1170" w:type="dxa"/>
            <w:vAlign w:val="top"/>
          </w:tcPr>
          <w:p w14:paraId="6E9F8C09">
            <w:pPr>
              <w:rPr>
                <w:rFonts w:ascii="Arial"/>
                <w:color w:val="auto"/>
                <w:sz w:val="21"/>
                <w:szCs w:val="21"/>
              </w:rPr>
            </w:pPr>
          </w:p>
        </w:tc>
        <w:tc>
          <w:tcPr>
            <w:tcW w:w="1170" w:type="dxa"/>
            <w:vAlign w:val="top"/>
          </w:tcPr>
          <w:p w14:paraId="61EBC432">
            <w:pPr>
              <w:rPr>
                <w:rFonts w:ascii="Arial"/>
                <w:color w:val="auto"/>
                <w:sz w:val="21"/>
                <w:szCs w:val="21"/>
              </w:rPr>
            </w:pPr>
          </w:p>
        </w:tc>
        <w:tc>
          <w:tcPr>
            <w:tcW w:w="1170" w:type="dxa"/>
            <w:vAlign w:val="top"/>
          </w:tcPr>
          <w:p w14:paraId="40ADAA6E">
            <w:pPr>
              <w:rPr>
                <w:rFonts w:ascii="Arial"/>
                <w:color w:val="auto"/>
                <w:sz w:val="21"/>
                <w:szCs w:val="21"/>
              </w:rPr>
            </w:pPr>
          </w:p>
        </w:tc>
        <w:tc>
          <w:tcPr>
            <w:tcW w:w="1170" w:type="dxa"/>
            <w:vAlign w:val="top"/>
          </w:tcPr>
          <w:p w14:paraId="59DE2C5A">
            <w:pPr>
              <w:rPr>
                <w:rFonts w:ascii="Arial"/>
                <w:color w:val="auto"/>
                <w:sz w:val="21"/>
                <w:szCs w:val="21"/>
              </w:rPr>
            </w:pPr>
          </w:p>
        </w:tc>
        <w:tc>
          <w:tcPr>
            <w:tcW w:w="1170" w:type="dxa"/>
            <w:vAlign w:val="top"/>
          </w:tcPr>
          <w:p w14:paraId="1CC4F032">
            <w:pPr>
              <w:rPr>
                <w:rFonts w:ascii="Arial"/>
                <w:color w:val="auto"/>
                <w:sz w:val="21"/>
                <w:szCs w:val="21"/>
              </w:rPr>
            </w:pPr>
          </w:p>
        </w:tc>
        <w:tc>
          <w:tcPr>
            <w:tcW w:w="1170" w:type="dxa"/>
            <w:vAlign w:val="top"/>
          </w:tcPr>
          <w:p w14:paraId="1D974CF9">
            <w:pPr>
              <w:rPr>
                <w:rFonts w:ascii="Arial"/>
                <w:color w:val="auto"/>
                <w:sz w:val="21"/>
                <w:szCs w:val="21"/>
              </w:rPr>
            </w:pPr>
          </w:p>
        </w:tc>
        <w:tc>
          <w:tcPr>
            <w:tcW w:w="1173" w:type="dxa"/>
            <w:vAlign w:val="top"/>
          </w:tcPr>
          <w:p w14:paraId="323EE18A">
            <w:pPr>
              <w:rPr>
                <w:rFonts w:ascii="Arial"/>
                <w:color w:val="auto"/>
                <w:sz w:val="21"/>
                <w:szCs w:val="21"/>
              </w:rPr>
            </w:pPr>
          </w:p>
        </w:tc>
      </w:tr>
      <w:tr w14:paraId="52370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170" w:type="dxa"/>
            <w:vAlign w:val="top"/>
          </w:tcPr>
          <w:p w14:paraId="2F448CB9">
            <w:pPr>
              <w:rPr>
                <w:rFonts w:ascii="Arial"/>
                <w:color w:val="auto"/>
                <w:sz w:val="21"/>
                <w:szCs w:val="21"/>
              </w:rPr>
            </w:pPr>
          </w:p>
        </w:tc>
        <w:tc>
          <w:tcPr>
            <w:tcW w:w="1170" w:type="dxa"/>
            <w:vAlign w:val="top"/>
          </w:tcPr>
          <w:p w14:paraId="647B3F4A">
            <w:pPr>
              <w:rPr>
                <w:rFonts w:ascii="Arial"/>
                <w:color w:val="auto"/>
                <w:sz w:val="21"/>
                <w:szCs w:val="21"/>
              </w:rPr>
            </w:pPr>
          </w:p>
        </w:tc>
        <w:tc>
          <w:tcPr>
            <w:tcW w:w="1170" w:type="dxa"/>
            <w:vAlign w:val="top"/>
          </w:tcPr>
          <w:p w14:paraId="57F1DCB8">
            <w:pPr>
              <w:rPr>
                <w:rFonts w:ascii="Arial"/>
                <w:color w:val="auto"/>
                <w:sz w:val="21"/>
                <w:szCs w:val="21"/>
              </w:rPr>
            </w:pPr>
          </w:p>
        </w:tc>
        <w:tc>
          <w:tcPr>
            <w:tcW w:w="1170" w:type="dxa"/>
            <w:vAlign w:val="top"/>
          </w:tcPr>
          <w:p w14:paraId="69368B81">
            <w:pPr>
              <w:rPr>
                <w:rFonts w:ascii="Arial"/>
                <w:color w:val="auto"/>
                <w:sz w:val="21"/>
                <w:szCs w:val="21"/>
              </w:rPr>
            </w:pPr>
          </w:p>
        </w:tc>
        <w:tc>
          <w:tcPr>
            <w:tcW w:w="1170" w:type="dxa"/>
            <w:vAlign w:val="top"/>
          </w:tcPr>
          <w:p w14:paraId="5239A83D">
            <w:pPr>
              <w:rPr>
                <w:rFonts w:ascii="Arial"/>
                <w:color w:val="auto"/>
                <w:sz w:val="21"/>
                <w:szCs w:val="21"/>
              </w:rPr>
            </w:pPr>
          </w:p>
        </w:tc>
        <w:tc>
          <w:tcPr>
            <w:tcW w:w="1170" w:type="dxa"/>
            <w:vAlign w:val="top"/>
          </w:tcPr>
          <w:p w14:paraId="0380B55B">
            <w:pPr>
              <w:rPr>
                <w:rFonts w:ascii="Arial"/>
                <w:color w:val="auto"/>
                <w:sz w:val="21"/>
                <w:szCs w:val="21"/>
              </w:rPr>
            </w:pPr>
          </w:p>
        </w:tc>
        <w:tc>
          <w:tcPr>
            <w:tcW w:w="1170" w:type="dxa"/>
            <w:vAlign w:val="top"/>
          </w:tcPr>
          <w:p w14:paraId="726776CB">
            <w:pPr>
              <w:rPr>
                <w:rFonts w:ascii="Arial"/>
                <w:color w:val="auto"/>
                <w:sz w:val="21"/>
                <w:szCs w:val="21"/>
              </w:rPr>
            </w:pPr>
          </w:p>
        </w:tc>
        <w:tc>
          <w:tcPr>
            <w:tcW w:w="1173" w:type="dxa"/>
            <w:vAlign w:val="top"/>
          </w:tcPr>
          <w:p w14:paraId="55962097">
            <w:pPr>
              <w:rPr>
                <w:rFonts w:ascii="Arial"/>
                <w:color w:val="auto"/>
                <w:sz w:val="21"/>
                <w:szCs w:val="21"/>
              </w:rPr>
            </w:pPr>
          </w:p>
        </w:tc>
      </w:tr>
      <w:tr w14:paraId="15702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170" w:type="dxa"/>
            <w:vAlign w:val="top"/>
          </w:tcPr>
          <w:p w14:paraId="45795BC6">
            <w:pPr>
              <w:rPr>
                <w:rFonts w:ascii="Arial"/>
                <w:color w:val="auto"/>
                <w:sz w:val="21"/>
                <w:szCs w:val="21"/>
              </w:rPr>
            </w:pPr>
          </w:p>
        </w:tc>
        <w:tc>
          <w:tcPr>
            <w:tcW w:w="1170" w:type="dxa"/>
            <w:vAlign w:val="top"/>
          </w:tcPr>
          <w:p w14:paraId="7070C4D3">
            <w:pPr>
              <w:rPr>
                <w:rFonts w:ascii="Arial"/>
                <w:color w:val="auto"/>
                <w:sz w:val="21"/>
                <w:szCs w:val="21"/>
              </w:rPr>
            </w:pPr>
          </w:p>
        </w:tc>
        <w:tc>
          <w:tcPr>
            <w:tcW w:w="1170" w:type="dxa"/>
            <w:vAlign w:val="top"/>
          </w:tcPr>
          <w:p w14:paraId="13DC90D0">
            <w:pPr>
              <w:rPr>
                <w:rFonts w:ascii="Arial"/>
                <w:color w:val="auto"/>
                <w:sz w:val="21"/>
                <w:szCs w:val="21"/>
              </w:rPr>
            </w:pPr>
          </w:p>
        </w:tc>
        <w:tc>
          <w:tcPr>
            <w:tcW w:w="1170" w:type="dxa"/>
            <w:vAlign w:val="top"/>
          </w:tcPr>
          <w:p w14:paraId="5EB0A92C">
            <w:pPr>
              <w:rPr>
                <w:rFonts w:ascii="Arial"/>
                <w:color w:val="auto"/>
                <w:sz w:val="21"/>
                <w:szCs w:val="21"/>
              </w:rPr>
            </w:pPr>
          </w:p>
        </w:tc>
        <w:tc>
          <w:tcPr>
            <w:tcW w:w="1170" w:type="dxa"/>
            <w:vAlign w:val="top"/>
          </w:tcPr>
          <w:p w14:paraId="30A714A1">
            <w:pPr>
              <w:rPr>
                <w:rFonts w:ascii="Arial"/>
                <w:color w:val="auto"/>
                <w:sz w:val="21"/>
                <w:szCs w:val="21"/>
              </w:rPr>
            </w:pPr>
          </w:p>
        </w:tc>
        <w:tc>
          <w:tcPr>
            <w:tcW w:w="1170" w:type="dxa"/>
            <w:vAlign w:val="top"/>
          </w:tcPr>
          <w:p w14:paraId="2B7D61FC">
            <w:pPr>
              <w:rPr>
                <w:rFonts w:ascii="Arial"/>
                <w:color w:val="auto"/>
                <w:sz w:val="21"/>
                <w:szCs w:val="21"/>
              </w:rPr>
            </w:pPr>
          </w:p>
        </w:tc>
        <w:tc>
          <w:tcPr>
            <w:tcW w:w="1170" w:type="dxa"/>
            <w:vAlign w:val="top"/>
          </w:tcPr>
          <w:p w14:paraId="2AAA29AC">
            <w:pPr>
              <w:rPr>
                <w:rFonts w:ascii="Arial"/>
                <w:color w:val="auto"/>
                <w:sz w:val="21"/>
                <w:szCs w:val="21"/>
              </w:rPr>
            </w:pPr>
          </w:p>
        </w:tc>
        <w:tc>
          <w:tcPr>
            <w:tcW w:w="1173" w:type="dxa"/>
            <w:vAlign w:val="top"/>
          </w:tcPr>
          <w:p w14:paraId="7D326FF4">
            <w:pPr>
              <w:rPr>
                <w:rFonts w:ascii="Arial"/>
                <w:color w:val="auto"/>
                <w:sz w:val="21"/>
                <w:szCs w:val="21"/>
              </w:rPr>
            </w:pPr>
          </w:p>
        </w:tc>
      </w:tr>
      <w:tr w14:paraId="19CA2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170" w:type="dxa"/>
            <w:vAlign w:val="top"/>
          </w:tcPr>
          <w:p w14:paraId="062A764B">
            <w:pPr>
              <w:rPr>
                <w:rFonts w:ascii="Arial"/>
                <w:color w:val="auto"/>
                <w:sz w:val="21"/>
                <w:szCs w:val="21"/>
              </w:rPr>
            </w:pPr>
          </w:p>
        </w:tc>
        <w:tc>
          <w:tcPr>
            <w:tcW w:w="1170" w:type="dxa"/>
            <w:vAlign w:val="top"/>
          </w:tcPr>
          <w:p w14:paraId="6708DD84">
            <w:pPr>
              <w:rPr>
                <w:rFonts w:ascii="Arial"/>
                <w:color w:val="auto"/>
                <w:sz w:val="21"/>
                <w:szCs w:val="21"/>
              </w:rPr>
            </w:pPr>
          </w:p>
        </w:tc>
        <w:tc>
          <w:tcPr>
            <w:tcW w:w="1170" w:type="dxa"/>
            <w:vAlign w:val="top"/>
          </w:tcPr>
          <w:p w14:paraId="73801BC2">
            <w:pPr>
              <w:rPr>
                <w:rFonts w:ascii="Arial"/>
                <w:color w:val="auto"/>
                <w:sz w:val="21"/>
                <w:szCs w:val="21"/>
              </w:rPr>
            </w:pPr>
          </w:p>
        </w:tc>
        <w:tc>
          <w:tcPr>
            <w:tcW w:w="1170" w:type="dxa"/>
            <w:vAlign w:val="top"/>
          </w:tcPr>
          <w:p w14:paraId="2D6F73E9">
            <w:pPr>
              <w:rPr>
                <w:rFonts w:ascii="Arial"/>
                <w:color w:val="auto"/>
                <w:sz w:val="21"/>
                <w:szCs w:val="21"/>
              </w:rPr>
            </w:pPr>
          </w:p>
        </w:tc>
        <w:tc>
          <w:tcPr>
            <w:tcW w:w="1170" w:type="dxa"/>
            <w:vAlign w:val="top"/>
          </w:tcPr>
          <w:p w14:paraId="6A951ED5">
            <w:pPr>
              <w:rPr>
                <w:rFonts w:ascii="Arial"/>
                <w:color w:val="auto"/>
                <w:sz w:val="21"/>
                <w:szCs w:val="21"/>
              </w:rPr>
            </w:pPr>
          </w:p>
        </w:tc>
        <w:tc>
          <w:tcPr>
            <w:tcW w:w="1170" w:type="dxa"/>
            <w:vAlign w:val="top"/>
          </w:tcPr>
          <w:p w14:paraId="19453479">
            <w:pPr>
              <w:rPr>
                <w:rFonts w:ascii="Arial"/>
                <w:color w:val="auto"/>
                <w:sz w:val="21"/>
                <w:szCs w:val="21"/>
              </w:rPr>
            </w:pPr>
          </w:p>
        </w:tc>
        <w:tc>
          <w:tcPr>
            <w:tcW w:w="1170" w:type="dxa"/>
            <w:vAlign w:val="top"/>
          </w:tcPr>
          <w:p w14:paraId="1C00A6C0">
            <w:pPr>
              <w:rPr>
                <w:rFonts w:ascii="Arial"/>
                <w:color w:val="auto"/>
                <w:sz w:val="21"/>
                <w:szCs w:val="21"/>
              </w:rPr>
            </w:pPr>
          </w:p>
        </w:tc>
        <w:tc>
          <w:tcPr>
            <w:tcW w:w="1173" w:type="dxa"/>
            <w:vAlign w:val="top"/>
          </w:tcPr>
          <w:p w14:paraId="071BF1AC">
            <w:pPr>
              <w:rPr>
                <w:rFonts w:ascii="Arial"/>
                <w:color w:val="auto"/>
                <w:sz w:val="21"/>
                <w:szCs w:val="21"/>
              </w:rPr>
            </w:pPr>
          </w:p>
        </w:tc>
      </w:tr>
      <w:tr w14:paraId="5D869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170" w:type="dxa"/>
            <w:vAlign w:val="top"/>
          </w:tcPr>
          <w:p w14:paraId="0414F2FD">
            <w:pPr>
              <w:rPr>
                <w:rFonts w:ascii="Arial"/>
                <w:color w:val="auto"/>
                <w:sz w:val="21"/>
                <w:szCs w:val="21"/>
              </w:rPr>
            </w:pPr>
          </w:p>
        </w:tc>
        <w:tc>
          <w:tcPr>
            <w:tcW w:w="1170" w:type="dxa"/>
            <w:vAlign w:val="top"/>
          </w:tcPr>
          <w:p w14:paraId="6C6062C9">
            <w:pPr>
              <w:rPr>
                <w:rFonts w:ascii="Arial"/>
                <w:color w:val="auto"/>
                <w:sz w:val="21"/>
                <w:szCs w:val="21"/>
              </w:rPr>
            </w:pPr>
          </w:p>
        </w:tc>
        <w:tc>
          <w:tcPr>
            <w:tcW w:w="1170" w:type="dxa"/>
            <w:vAlign w:val="top"/>
          </w:tcPr>
          <w:p w14:paraId="484B3582">
            <w:pPr>
              <w:rPr>
                <w:rFonts w:ascii="Arial"/>
                <w:color w:val="auto"/>
                <w:sz w:val="21"/>
                <w:szCs w:val="21"/>
              </w:rPr>
            </w:pPr>
          </w:p>
        </w:tc>
        <w:tc>
          <w:tcPr>
            <w:tcW w:w="1170" w:type="dxa"/>
            <w:vAlign w:val="top"/>
          </w:tcPr>
          <w:p w14:paraId="73C5C8DF">
            <w:pPr>
              <w:rPr>
                <w:rFonts w:ascii="Arial"/>
                <w:color w:val="auto"/>
                <w:sz w:val="21"/>
                <w:szCs w:val="21"/>
              </w:rPr>
            </w:pPr>
          </w:p>
        </w:tc>
        <w:tc>
          <w:tcPr>
            <w:tcW w:w="1170" w:type="dxa"/>
            <w:vAlign w:val="top"/>
          </w:tcPr>
          <w:p w14:paraId="7FDDEFD8">
            <w:pPr>
              <w:rPr>
                <w:rFonts w:ascii="Arial"/>
                <w:color w:val="auto"/>
                <w:sz w:val="21"/>
                <w:szCs w:val="21"/>
              </w:rPr>
            </w:pPr>
          </w:p>
        </w:tc>
        <w:tc>
          <w:tcPr>
            <w:tcW w:w="1170" w:type="dxa"/>
            <w:vAlign w:val="top"/>
          </w:tcPr>
          <w:p w14:paraId="25D45B39">
            <w:pPr>
              <w:rPr>
                <w:rFonts w:ascii="Arial"/>
                <w:color w:val="auto"/>
                <w:sz w:val="21"/>
                <w:szCs w:val="21"/>
              </w:rPr>
            </w:pPr>
          </w:p>
        </w:tc>
        <w:tc>
          <w:tcPr>
            <w:tcW w:w="1170" w:type="dxa"/>
            <w:vAlign w:val="top"/>
          </w:tcPr>
          <w:p w14:paraId="0E21D433">
            <w:pPr>
              <w:rPr>
                <w:rFonts w:ascii="Arial"/>
                <w:color w:val="auto"/>
                <w:sz w:val="21"/>
                <w:szCs w:val="21"/>
              </w:rPr>
            </w:pPr>
          </w:p>
        </w:tc>
        <w:tc>
          <w:tcPr>
            <w:tcW w:w="1173" w:type="dxa"/>
            <w:vAlign w:val="top"/>
          </w:tcPr>
          <w:p w14:paraId="2D639280">
            <w:pPr>
              <w:rPr>
                <w:rFonts w:ascii="Arial"/>
                <w:color w:val="auto"/>
                <w:sz w:val="21"/>
                <w:szCs w:val="21"/>
              </w:rPr>
            </w:pPr>
          </w:p>
        </w:tc>
      </w:tr>
      <w:tr w14:paraId="787C0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170" w:type="dxa"/>
            <w:vAlign w:val="top"/>
          </w:tcPr>
          <w:p w14:paraId="0853D147">
            <w:pPr>
              <w:rPr>
                <w:rFonts w:ascii="Arial"/>
                <w:color w:val="auto"/>
                <w:sz w:val="21"/>
                <w:szCs w:val="21"/>
              </w:rPr>
            </w:pPr>
          </w:p>
        </w:tc>
        <w:tc>
          <w:tcPr>
            <w:tcW w:w="1170" w:type="dxa"/>
            <w:vAlign w:val="top"/>
          </w:tcPr>
          <w:p w14:paraId="4914501F">
            <w:pPr>
              <w:rPr>
                <w:rFonts w:ascii="Arial"/>
                <w:color w:val="auto"/>
                <w:sz w:val="21"/>
                <w:szCs w:val="21"/>
              </w:rPr>
            </w:pPr>
          </w:p>
        </w:tc>
        <w:tc>
          <w:tcPr>
            <w:tcW w:w="1170" w:type="dxa"/>
            <w:vAlign w:val="top"/>
          </w:tcPr>
          <w:p w14:paraId="12841D2F">
            <w:pPr>
              <w:rPr>
                <w:rFonts w:ascii="Arial"/>
                <w:color w:val="auto"/>
                <w:sz w:val="21"/>
                <w:szCs w:val="21"/>
              </w:rPr>
            </w:pPr>
          </w:p>
        </w:tc>
        <w:tc>
          <w:tcPr>
            <w:tcW w:w="1170" w:type="dxa"/>
            <w:vAlign w:val="top"/>
          </w:tcPr>
          <w:p w14:paraId="4B9E359D">
            <w:pPr>
              <w:rPr>
                <w:rFonts w:ascii="Arial"/>
                <w:color w:val="auto"/>
                <w:sz w:val="21"/>
                <w:szCs w:val="21"/>
              </w:rPr>
            </w:pPr>
          </w:p>
        </w:tc>
        <w:tc>
          <w:tcPr>
            <w:tcW w:w="1170" w:type="dxa"/>
            <w:vAlign w:val="top"/>
          </w:tcPr>
          <w:p w14:paraId="4480AE0A">
            <w:pPr>
              <w:rPr>
                <w:rFonts w:ascii="Arial"/>
                <w:color w:val="auto"/>
                <w:sz w:val="21"/>
                <w:szCs w:val="21"/>
              </w:rPr>
            </w:pPr>
          </w:p>
        </w:tc>
        <w:tc>
          <w:tcPr>
            <w:tcW w:w="1170" w:type="dxa"/>
            <w:vAlign w:val="top"/>
          </w:tcPr>
          <w:p w14:paraId="6329E2EC">
            <w:pPr>
              <w:rPr>
                <w:rFonts w:ascii="Arial"/>
                <w:color w:val="auto"/>
                <w:sz w:val="21"/>
                <w:szCs w:val="21"/>
              </w:rPr>
            </w:pPr>
          </w:p>
        </w:tc>
        <w:tc>
          <w:tcPr>
            <w:tcW w:w="1170" w:type="dxa"/>
            <w:vAlign w:val="top"/>
          </w:tcPr>
          <w:p w14:paraId="55864ED3">
            <w:pPr>
              <w:rPr>
                <w:rFonts w:ascii="Arial"/>
                <w:color w:val="auto"/>
                <w:sz w:val="21"/>
                <w:szCs w:val="21"/>
              </w:rPr>
            </w:pPr>
          </w:p>
        </w:tc>
        <w:tc>
          <w:tcPr>
            <w:tcW w:w="1173" w:type="dxa"/>
            <w:vAlign w:val="top"/>
          </w:tcPr>
          <w:p w14:paraId="3F41AD69">
            <w:pPr>
              <w:rPr>
                <w:rFonts w:ascii="Arial"/>
                <w:color w:val="auto"/>
                <w:sz w:val="21"/>
                <w:szCs w:val="21"/>
              </w:rPr>
            </w:pPr>
          </w:p>
        </w:tc>
      </w:tr>
      <w:tr w14:paraId="517AF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170" w:type="dxa"/>
            <w:vAlign w:val="top"/>
          </w:tcPr>
          <w:p w14:paraId="6012012C">
            <w:pPr>
              <w:rPr>
                <w:rFonts w:ascii="Arial"/>
                <w:color w:val="auto"/>
                <w:sz w:val="21"/>
                <w:szCs w:val="21"/>
              </w:rPr>
            </w:pPr>
          </w:p>
        </w:tc>
        <w:tc>
          <w:tcPr>
            <w:tcW w:w="1170" w:type="dxa"/>
            <w:vAlign w:val="top"/>
          </w:tcPr>
          <w:p w14:paraId="541651B9">
            <w:pPr>
              <w:rPr>
                <w:rFonts w:ascii="Arial"/>
                <w:color w:val="auto"/>
                <w:sz w:val="21"/>
                <w:szCs w:val="21"/>
              </w:rPr>
            </w:pPr>
          </w:p>
        </w:tc>
        <w:tc>
          <w:tcPr>
            <w:tcW w:w="1170" w:type="dxa"/>
            <w:vAlign w:val="top"/>
          </w:tcPr>
          <w:p w14:paraId="09CA637D">
            <w:pPr>
              <w:rPr>
                <w:rFonts w:ascii="Arial"/>
                <w:color w:val="auto"/>
                <w:sz w:val="21"/>
                <w:szCs w:val="21"/>
              </w:rPr>
            </w:pPr>
          </w:p>
        </w:tc>
        <w:tc>
          <w:tcPr>
            <w:tcW w:w="1170" w:type="dxa"/>
            <w:vAlign w:val="top"/>
          </w:tcPr>
          <w:p w14:paraId="24EB85A5">
            <w:pPr>
              <w:rPr>
                <w:rFonts w:ascii="Arial"/>
                <w:color w:val="auto"/>
                <w:sz w:val="21"/>
                <w:szCs w:val="21"/>
              </w:rPr>
            </w:pPr>
          </w:p>
        </w:tc>
        <w:tc>
          <w:tcPr>
            <w:tcW w:w="1170" w:type="dxa"/>
            <w:vAlign w:val="top"/>
          </w:tcPr>
          <w:p w14:paraId="6C89BF10">
            <w:pPr>
              <w:rPr>
                <w:rFonts w:ascii="Arial"/>
                <w:color w:val="auto"/>
                <w:sz w:val="21"/>
                <w:szCs w:val="21"/>
              </w:rPr>
            </w:pPr>
          </w:p>
        </w:tc>
        <w:tc>
          <w:tcPr>
            <w:tcW w:w="1170" w:type="dxa"/>
            <w:vAlign w:val="top"/>
          </w:tcPr>
          <w:p w14:paraId="760BF96A">
            <w:pPr>
              <w:rPr>
                <w:rFonts w:ascii="Arial"/>
                <w:color w:val="auto"/>
                <w:sz w:val="21"/>
                <w:szCs w:val="21"/>
              </w:rPr>
            </w:pPr>
          </w:p>
        </w:tc>
        <w:tc>
          <w:tcPr>
            <w:tcW w:w="1170" w:type="dxa"/>
            <w:vAlign w:val="top"/>
          </w:tcPr>
          <w:p w14:paraId="11528E74">
            <w:pPr>
              <w:rPr>
                <w:rFonts w:ascii="Arial"/>
                <w:color w:val="auto"/>
                <w:sz w:val="21"/>
                <w:szCs w:val="21"/>
              </w:rPr>
            </w:pPr>
          </w:p>
        </w:tc>
        <w:tc>
          <w:tcPr>
            <w:tcW w:w="1173" w:type="dxa"/>
            <w:vAlign w:val="top"/>
          </w:tcPr>
          <w:p w14:paraId="02675397">
            <w:pPr>
              <w:rPr>
                <w:rFonts w:ascii="Arial"/>
                <w:color w:val="auto"/>
                <w:sz w:val="21"/>
                <w:szCs w:val="21"/>
              </w:rPr>
            </w:pPr>
          </w:p>
        </w:tc>
      </w:tr>
    </w:tbl>
    <w:p w14:paraId="0D5E3E1B">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hAnsi="宋体"/>
          <w:color w:val="auto"/>
        </w:rPr>
      </w:pPr>
      <w:r>
        <w:rPr>
          <w:rFonts w:hint="eastAsia" w:hAnsi="宋体"/>
          <w:color w:val="auto"/>
        </w:rPr>
        <w:t>附表二：计划开、竣工日期和施工进度计划 (网络图或横道图)</w:t>
      </w:r>
    </w:p>
    <w:p w14:paraId="2DF62D92">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hAnsi="宋体"/>
          <w:color w:val="auto"/>
        </w:rPr>
      </w:pPr>
      <w:r>
        <w:rPr>
          <w:rFonts w:hint="eastAsia" w:hAnsi="宋体"/>
          <w:color w:val="auto"/>
        </w:rPr>
        <w:t xml:space="preserve">1. </w:t>
      </w:r>
      <w:r>
        <w:rPr>
          <w:rFonts w:hint="eastAsia" w:ascii="宋体" w:hAnsi="宋体" w:cs="宋体"/>
          <w:b w:val="0"/>
          <w:bCs/>
          <w:color w:val="auto"/>
          <w:szCs w:val="21"/>
          <w:lang w:eastAsia="zh-CN"/>
        </w:rPr>
        <w:t>供应商</w:t>
      </w:r>
      <w:r>
        <w:rPr>
          <w:rFonts w:hint="eastAsia" w:hAnsi="宋体"/>
          <w:color w:val="auto"/>
        </w:rPr>
        <w:t>应提交施工进度计划，说明按</w:t>
      </w:r>
      <w:r>
        <w:rPr>
          <w:rFonts w:hint="eastAsia" w:hAnsi="宋体"/>
          <w:color w:val="auto"/>
          <w:lang w:eastAsia="zh-CN"/>
        </w:rPr>
        <w:t>采购</w:t>
      </w:r>
      <w:r>
        <w:rPr>
          <w:rFonts w:hint="eastAsia" w:hAnsi="宋体"/>
          <w:color w:val="auto"/>
        </w:rPr>
        <w:t xml:space="preserve">文件要求的工期进行施工的各个关键日期。 </w:t>
      </w:r>
      <w:r>
        <w:rPr>
          <w:rFonts w:hint="eastAsia" w:hAnsi="宋体"/>
          <w:color w:val="auto"/>
          <w:lang w:eastAsia="zh-CN"/>
        </w:rPr>
        <w:t>成交</w:t>
      </w:r>
      <w:r>
        <w:rPr>
          <w:rFonts w:hint="eastAsia" w:hAnsi="宋体"/>
          <w:color w:val="auto"/>
        </w:rPr>
        <w:t>的</w:t>
      </w:r>
      <w:r>
        <w:rPr>
          <w:rFonts w:hint="eastAsia" w:ascii="宋体" w:hAnsi="宋体" w:cs="宋体"/>
          <w:b w:val="0"/>
          <w:bCs/>
          <w:color w:val="auto"/>
          <w:szCs w:val="21"/>
          <w:lang w:eastAsia="zh-CN"/>
        </w:rPr>
        <w:t>供应商</w:t>
      </w:r>
      <w:r>
        <w:rPr>
          <w:rFonts w:hint="eastAsia" w:hAnsi="宋体"/>
          <w:color w:val="auto"/>
        </w:rPr>
        <w:t>还应按合同条件有关条款的要求提交详细的施工进度计划。</w:t>
      </w:r>
    </w:p>
    <w:p w14:paraId="14507A62">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hAnsi="宋体"/>
          <w:color w:val="auto"/>
        </w:rPr>
      </w:pPr>
      <w:r>
        <w:rPr>
          <w:rFonts w:hint="eastAsia" w:hAnsi="宋体"/>
          <w:color w:val="auto"/>
        </w:rPr>
        <w:t>2. 施工进度计划可采用网络图 (或横道图) 表示，说明计划开工日期和各分项工程各阶段的完工日期和分包合同签订的日期。</w:t>
      </w:r>
    </w:p>
    <w:p w14:paraId="306C0BDA">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hAnsi="宋体"/>
          <w:color w:val="auto"/>
        </w:rPr>
      </w:pPr>
      <w:r>
        <w:rPr>
          <w:rFonts w:hint="eastAsia" w:hAnsi="宋体"/>
          <w:color w:val="auto"/>
        </w:rPr>
        <w:t>3. 施工进度计划应与施工组织设计相适应。</w:t>
      </w:r>
    </w:p>
    <w:p w14:paraId="417AAD87">
      <w:pPr>
        <w:pStyle w:val="35"/>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hAnsi="宋体"/>
          <w:color w:val="auto"/>
        </w:rPr>
      </w:pPr>
    </w:p>
    <w:p w14:paraId="6219A6F9">
      <w:pPr>
        <w:pStyle w:val="35"/>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hAnsi="宋体"/>
          <w:color w:val="auto"/>
        </w:rPr>
      </w:pPr>
    </w:p>
    <w:p w14:paraId="15A2B8E5">
      <w:pPr>
        <w:pStyle w:val="35"/>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hAnsi="宋体"/>
          <w:color w:val="auto"/>
        </w:rPr>
      </w:pPr>
    </w:p>
    <w:p w14:paraId="02182474">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hAnsi="宋体"/>
          <w:b/>
          <w:bCs/>
          <w:color w:val="auto"/>
        </w:rPr>
      </w:pPr>
      <w:r>
        <w:rPr>
          <w:rFonts w:hint="eastAsia" w:hAnsi="宋体"/>
          <w:b/>
          <w:bCs/>
          <w:color w:val="auto"/>
        </w:rPr>
        <w:t>附表三：施工总平面图</w:t>
      </w:r>
    </w:p>
    <w:p w14:paraId="791B7D31">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hAnsi="宋体"/>
          <w:color w:val="auto"/>
        </w:rPr>
      </w:pPr>
      <w:r>
        <w:rPr>
          <w:rFonts w:hint="eastAsia" w:ascii="宋体" w:hAnsi="宋体" w:cs="宋体"/>
          <w:b w:val="0"/>
          <w:bCs/>
          <w:color w:val="auto"/>
          <w:szCs w:val="21"/>
          <w:lang w:eastAsia="zh-CN"/>
        </w:rPr>
        <w:t>供应商</w:t>
      </w:r>
      <w:r>
        <w:rPr>
          <w:rFonts w:hint="eastAsia" w:hAnsi="宋体"/>
          <w:color w:val="auto"/>
        </w:rPr>
        <w:t>应递交一份施工总平面图，绘出现场临时设施布置图表并附文字说明，说明临时设施、加工车间、现场办公、设备及仓储、供电、供水、卫生、生活、道路、消防等设施的情况和布置。</w:t>
      </w:r>
    </w:p>
    <w:p w14:paraId="675E5EBB">
      <w:pPr>
        <w:pStyle w:val="35"/>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hAnsi="宋体"/>
          <w:color w:val="auto"/>
        </w:rPr>
      </w:pPr>
    </w:p>
    <w:p w14:paraId="06B8D18A">
      <w:pPr>
        <w:pStyle w:val="35"/>
        <w:keepNext w:val="0"/>
        <w:keepLines w:val="0"/>
        <w:pageBreakBefore w:val="0"/>
        <w:widowControl w:val="0"/>
        <w:kinsoku/>
        <w:wordWrap/>
        <w:overflowPunct/>
        <w:topLinePunct w:val="0"/>
        <w:autoSpaceDE w:val="0"/>
        <w:autoSpaceDN w:val="0"/>
        <w:bidi w:val="0"/>
        <w:adjustRightInd w:val="0"/>
        <w:snapToGrid/>
        <w:ind w:firstLine="422" w:firstLineChars="200"/>
        <w:textAlignment w:val="auto"/>
        <w:rPr>
          <w:rFonts w:hint="eastAsia" w:hAnsi="宋体"/>
          <w:b/>
          <w:bCs/>
          <w:color w:val="auto"/>
        </w:rPr>
      </w:pPr>
      <w:r>
        <w:rPr>
          <w:rFonts w:hint="eastAsia" w:hAnsi="宋体"/>
          <w:b/>
          <w:bCs/>
          <w:color w:val="auto"/>
        </w:rPr>
        <w:t>附表四：临时用地表</w:t>
      </w:r>
    </w:p>
    <w:tbl>
      <w:tblPr>
        <w:tblStyle w:val="47"/>
        <w:tblW w:w="94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9"/>
        <w:gridCol w:w="2356"/>
        <w:gridCol w:w="2355"/>
        <w:gridCol w:w="2360"/>
      </w:tblGrid>
      <w:tr w14:paraId="7C5DC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59" w:type="dxa"/>
            <w:vAlign w:val="top"/>
          </w:tcPr>
          <w:p w14:paraId="77825AAE">
            <w:pPr>
              <w:spacing w:before="205" w:line="230" w:lineRule="auto"/>
              <w:ind w:left="978"/>
              <w:rPr>
                <w:rFonts w:ascii="宋体" w:hAnsi="宋体" w:eastAsia="宋体" w:cs="宋体"/>
                <w:color w:val="auto"/>
                <w:sz w:val="21"/>
                <w:szCs w:val="21"/>
              </w:rPr>
            </w:pPr>
            <w:r>
              <w:rPr>
                <w:rFonts w:ascii="宋体" w:hAnsi="宋体" w:eastAsia="宋体" w:cs="宋体"/>
                <w:color w:val="auto"/>
                <w:spacing w:val="4"/>
                <w:sz w:val="21"/>
                <w:szCs w:val="21"/>
              </w:rPr>
              <w:t>用</w:t>
            </w:r>
            <w:r>
              <w:rPr>
                <w:rFonts w:ascii="宋体" w:hAnsi="宋体" w:eastAsia="宋体" w:cs="宋体"/>
                <w:color w:val="auto"/>
                <w:spacing w:val="3"/>
                <w:sz w:val="21"/>
                <w:szCs w:val="21"/>
              </w:rPr>
              <w:t>途</w:t>
            </w:r>
          </w:p>
        </w:tc>
        <w:tc>
          <w:tcPr>
            <w:tcW w:w="2356" w:type="dxa"/>
            <w:vAlign w:val="top"/>
          </w:tcPr>
          <w:p w14:paraId="31D85FE3">
            <w:pPr>
              <w:spacing w:before="206" w:line="228" w:lineRule="auto"/>
              <w:ind w:left="449"/>
              <w:rPr>
                <w:rFonts w:ascii="宋体" w:hAnsi="宋体" w:eastAsia="宋体" w:cs="宋体"/>
                <w:color w:val="auto"/>
                <w:sz w:val="21"/>
                <w:szCs w:val="21"/>
              </w:rPr>
            </w:pPr>
            <w:r>
              <w:rPr>
                <w:rFonts w:ascii="宋体" w:hAnsi="宋体" w:eastAsia="宋体" w:cs="宋体"/>
                <w:color w:val="auto"/>
                <w:spacing w:val="6"/>
                <w:sz w:val="21"/>
                <w:szCs w:val="21"/>
              </w:rPr>
              <w:t>面积 (平方米)</w:t>
            </w:r>
          </w:p>
        </w:tc>
        <w:tc>
          <w:tcPr>
            <w:tcW w:w="2355" w:type="dxa"/>
            <w:vAlign w:val="top"/>
          </w:tcPr>
          <w:p w14:paraId="0BCEF011">
            <w:pPr>
              <w:spacing w:before="205" w:line="230" w:lineRule="auto"/>
              <w:ind w:left="974"/>
              <w:rPr>
                <w:rFonts w:ascii="宋体" w:hAnsi="宋体" w:eastAsia="宋体" w:cs="宋体"/>
                <w:color w:val="auto"/>
                <w:sz w:val="21"/>
                <w:szCs w:val="21"/>
              </w:rPr>
            </w:pPr>
            <w:r>
              <w:rPr>
                <w:rFonts w:ascii="宋体" w:hAnsi="宋体" w:eastAsia="宋体" w:cs="宋体"/>
                <w:color w:val="auto"/>
                <w:spacing w:val="5"/>
                <w:sz w:val="21"/>
                <w:szCs w:val="21"/>
              </w:rPr>
              <w:t>位</w:t>
            </w:r>
            <w:r>
              <w:rPr>
                <w:rFonts w:ascii="宋体" w:hAnsi="宋体" w:eastAsia="宋体" w:cs="宋体"/>
                <w:color w:val="auto"/>
                <w:spacing w:val="4"/>
                <w:sz w:val="21"/>
                <w:szCs w:val="21"/>
              </w:rPr>
              <w:t>置</w:t>
            </w:r>
          </w:p>
        </w:tc>
        <w:tc>
          <w:tcPr>
            <w:tcW w:w="2360" w:type="dxa"/>
            <w:vAlign w:val="top"/>
          </w:tcPr>
          <w:p w14:paraId="3F64A1D8">
            <w:pPr>
              <w:spacing w:before="206" w:line="229" w:lineRule="auto"/>
              <w:ind w:left="775"/>
              <w:rPr>
                <w:rFonts w:ascii="宋体" w:hAnsi="宋体" w:eastAsia="宋体" w:cs="宋体"/>
                <w:color w:val="auto"/>
                <w:sz w:val="21"/>
                <w:szCs w:val="21"/>
              </w:rPr>
            </w:pPr>
            <w:r>
              <w:rPr>
                <w:rFonts w:ascii="宋体" w:hAnsi="宋体" w:eastAsia="宋体" w:cs="宋体"/>
                <w:color w:val="auto"/>
                <w:spacing w:val="5"/>
                <w:sz w:val="21"/>
                <w:szCs w:val="21"/>
              </w:rPr>
              <w:t>需用时</w:t>
            </w:r>
            <w:r>
              <w:rPr>
                <w:rFonts w:ascii="宋体" w:hAnsi="宋体" w:eastAsia="宋体" w:cs="宋体"/>
                <w:color w:val="auto"/>
                <w:spacing w:val="4"/>
                <w:sz w:val="21"/>
                <w:szCs w:val="21"/>
              </w:rPr>
              <w:t>间</w:t>
            </w:r>
          </w:p>
        </w:tc>
      </w:tr>
      <w:tr w14:paraId="1B5CB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14:paraId="2F6871EF">
            <w:pPr>
              <w:rPr>
                <w:rFonts w:ascii="Arial"/>
                <w:color w:val="auto"/>
                <w:sz w:val="21"/>
                <w:szCs w:val="21"/>
              </w:rPr>
            </w:pPr>
          </w:p>
        </w:tc>
        <w:tc>
          <w:tcPr>
            <w:tcW w:w="2356" w:type="dxa"/>
            <w:vAlign w:val="top"/>
          </w:tcPr>
          <w:p w14:paraId="40402016">
            <w:pPr>
              <w:rPr>
                <w:rFonts w:ascii="Arial"/>
                <w:color w:val="auto"/>
                <w:sz w:val="21"/>
                <w:szCs w:val="21"/>
              </w:rPr>
            </w:pPr>
          </w:p>
        </w:tc>
        <w:tc>
          <w:tcPr>
            <w:tcW w:w="2355" w:type="dxa"/>
            <w:vAlign w:val="top"/>
          </w:tcPr>
          <w:p w14:paraId="386FCD83">
            <w:pPr>
              <w:rPr>
                <w:rFonts w:ascii="Arial"/>
                <w:color w:val="auto"/>
                <w:sz w:val="21"/>
                <w:szCs w:val="21"/>
              </w:rPr>
            </w:pPr>
          </w:p>
        </w:tc>
        <w:tc>
          <w:tcPr>
            <w:tcW w:w="2360" w:type="dxa"/>
            <w:vAlign w:val="top"/>
          </w:tcPr>
          <w:p w14:paraId="3AFAB47B">
            <w:pPr>
              <w:rPr>
                <w:rFonts w:ascii="Arial"/>
                <w:color w:val="auto"/>
                <w:sz w:val="21"/>
                <w:szCs w:val="21"/>
              </w:rPr>
            </w:pPr>
          </w:p>
        </w:tc>
      </w:tr>
      <w:tr w14:paraId="451D1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14:paraId="597587D5">
            <w:pPr>
              <w:rPr>
                <w:rFonts w:ascii="Arial"/>
                <w:color w:val="auto"/>
                <w:sz w:val="21"/>
                <w:szCs w:val="21"/>
              </w:rPr>
            </w:pPr>
          </w:p>
        </w:tc>
        <w:tc>
          <w:tcPr>
            <w:tcW w:w="2356" w:type="dxa"/>
            <w:vAlign w:val="top"/>
          </w:tcPr>
          <w:p w14:paraId="6718B510">
            <w:pPr>
              <w:rPr>
                <w:rFonts w:ascii="Arial"/>
                <w:color w:val="auto"/>
                <w:sz w:val="21"/>
                <w:szCs w:val="21"/>
              </w:rPr>
            </w:pPr>
          </w:p>
        </w:tc>
        <w:tc>
          <w:tcPr>
            <w:tcW w:w="2355" w:type="dxa"/>
            <w:vAlign w:val="top"/>
          </w:tcPr>
          <w:p w14:paraId="72038EE0">
            <w:pPr>
              <w:rPr>
                <w:rFonts w:ascii="Arial"/>
                <w:color w:val="auto"/>
                <w:sz w:val="21"/>
                <w:szCs w:val="21"/>
              </w:rPr>
            </w:pPr>
          </w:p>
        </w:tc>
        <w:tc>
          <w:tcPr>
            <w:tcW w:w="2360" w:type="dxa"/>
            <w:vAlign w:val="top"/>
          </w:tcPr>
          <w:p w14:paraId="56885BB8">
            <w:pPr>
              <w:rPr>
                <w:rFonts w:ascii="Arial"/>
                <w:color w:val="auto"/>
                <w:sz w:val="21"/>
                <w:szCs w:val="21"/>
              </w:rPr>
            </w:pPr>
          </w:p>
        </w:tc>
      </w:tr>
      <w:tr w14:paraId="3618E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359" w:type="dxa"/>
            <w:vAlign w:val="top"/>
          </w:tcPr>
          <w:p w14:paraId="7DEB1358">
            <w:pPr>
              <w:rPr>
                <w:rFonts w:ascii="Arial"/>
                <w:color w:val="auto"/>
                <w:sz w:val="21"/>
                <w:szCs w:val="21"/>
              </w:rPr>
            </w:pPr>
          </w:p>
        </w:tc>
        <w:tc>
          <w:tcPr>
            <w:tcW w:w="2356" w:type="dxa"/>
            <w:vAlign w:val="top"/>
          </w:tcPr>
          <w:p w14:paraId="746725AB">
            <w:pPr>
              <w:rPr>
                <w:rFonts w:ascii="Arial"/>
                <w:color w:val="auto"/>
                <w:sz w:val="21"/>
                <w:szCs w:val="21"/>
              </w:rPr>
            </w:pPr>
          </w:p>
        </w:tc>
        <w:tc>
          <w:tcPr>
            <w:tcW w:w="2355" w:type="dxa"/>
            <w:vAlign w:val="top"/>
          </w:tcPr>
          <w:p w14:paraId="2335AA17">
            <w:pPr>
              <w:rPr>
                <w:rFonts w:ascii="Arial"/>
                <w:color w:val="auto"/>
                <w:sz w:val="21"/>
                <w:szCs w:val="21"/>
              </w:rPr>
            </w:pPr>
          </w:p>
        </w:tc>
        <w:tc>
          <w:tcPr>
            <w:tcW w:w="2360" w:type="dxa"/>
            <w:vAlign w:val="top"/>
          </w:tcPr>
          <w:p w14:paraId="05D6453F">
            <w:pPr>
              <w:rPr>
                <w:rFonts w:ascii="Arial"/>
                <w:color w:val="auto"/>
                <w:sz w:val="21"/>
                <w:szCs w:val="21"/>
              </w:rPr>
            </w:pPr>
          </w:p>
        </w:tc>
      </w:tr>
      <w:tr w14:paraId="75EEF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359" w:type="dxa"/>
            <w:vAlign w:val="top"/>
          </w:tcPr>
          <w:p w14:paraId="4CCC1707">
            <w:pPr>
              <w:rPr>
                <w:rFonts w:ascii="Arial"/>
                <w:color w:val="auto"/>
                <w:sz w:val="21"/>
                <w:szCs w:val="21"/>
              </w:rPr>
            </w:pPr>
          </w:p>
        </w:tc>
        <w:tc>
          <w:tcPr>
            <w:tcW w:w="2356" w:type="dxa"/>
            <w:vAlign w:val="top"/>
          </w:tcPr>
          <w:p w14:paraId="6F4B7AA3">
            <w:pPr>
              <w:rPr>
                <w:rFonts w:ascii="Arial"/>
                <w:color w:val="auto"/>
                <w:sz w:val="21"/>
                <w:szCs w:val="21"/>
              </w:rPr>
            </w:pPr>
          </w:p>
        </w:tc>
        <w:tc>
          <w:tcPr>
            <w:tcW w:w="2355" w:type="dxa"/>
            <w:vAlign w:val="top"/>
          </w:tcPr>
          <w:p w14:paraId="507C537E">
            <w:pPr>
              <w:rPr>
                <w:rFonts w:ascii="Arial"/>
                <w:color w:val="auto"/>
                <w:sz w:val="21"/>
                <w:szCs w:val="21"/>
              </w:rPr>
            </w:pPr>
          </w:p>
        </w:tc>
        <w:tc>
          <w:tcPr>
            <w:tcW w:w="2360" w:type="dxa"/>
            <w:vAlign w:val="top"/>
          </w:tcPr>
          <w:p w14:paraId="45ACE075">
            <w:pPr>
              <w:rPr>
                <w:rFonts w:ascii="Arial"/>
                <w:color w:val="auto"/>
                <w:sz w:val="21"/>
                <w:szCs w:val="21"/>
              </w:rPr>
            </w:pPr>
          </w:p>
        </w:tc>
      </w:tr>
    </w:tbl>
    <w:p w14:paraId="66898B8B">
      <w:pPr>
        <w:pStyle w:val="35"/>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hAnsi="宋体"/>
          <w:color w:val="auto"/>
        </w:rPr>
      </w:pPr>
    </w:p>
    <w:p w14:paraId="3403EFCC">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color w:val="auto"/>
        </w:rPr>
      </w:pPr>
      <w:r>
        <w:rPr>
          <w:rFonts w:hint="eastAsia" w:ascii="宋体" w:hAnsi="宋体" w:eastAsia="宋体" w:cs="宋体"/>
          <w:b/>
          <w:bCs/>
          <w:color w:val="auto"/>
        </w:rPr>
        <w:t>二、项目管理机构配备情况表；</w:t>
      </w:r>
    </w:p>
    <w:p w14:paraId="66CFBFE9">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color w:val="auto"/>
        </w:rPr>
      </w:pPr>
    </w:p>
    <w:p w14:paraId="4F7BBFEC">
      <w:pPr>
        <w:pStyle w:val="35"/>
        <w:keepNext w:val="0"/>
        <w:keepLines w:val="0"/>
        <w:pageBreakBefore w:val="0"/>
        <w:widowControl w:val="0"/>
        <w:numPr>
          <w:ilvl w:val="0"/>
          <w:numId w:val="4"/>
        </w:numPr>
        <w:kinsoku/>
        <w:wordWrap/>
        <w:overflowPunct/>
        <w:topLinePunct w:val="0"/>
        <w:autoSpaceDE w:val="0"/>
        <w:autoSpaceDN w:val="0"/>
        <w:bidi w:val="0"/>
        <w:adjustRightInd w:val="0"/>
        <w:snapToGrid/>
        <w:jc w:val="center"/>
        <w:textAlignment w:val="auto"/>
        <w:rPr>
          <w:rFonts w:hint="eastAsia" w:ascii="宋体" w:hAnsi="宋体" w:eastAsia="宋体" w:cs="宋体"/>
          <w:b/>
          <w:bCs/>
          <w:color w:val="auto"/>
        </w:rPr>
      </w:pPr>
      <w:r>
        <w:rPr>
          <w:rFonts w:hint="eastAsia" w:ascii="宋体" w:hAnsi="宋体" w:eastAsia="宋体" w:cs="宋体"/>
          <w:b/>
          <w:bCs/>
          <w:color w:val="auto"/>
        </w:rPr>
        <w:t>项目管理机构配备情况表</w:t>
      </w:r>
    </w:p>
    <w:tbl>
      <w:tblPr>
        <w:tblStyle w:val="47"/>
        <w:tblW w:w="84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2"/>
        <w:gridCol w:w="1843"/>
        <w:gridCol w:w="1134"/>
        <w:gridCol w:w="1274"/>
        <w:gridCol w:w="2196"/>
      </w:tblGrid>
      <w:tr w14:paraId="4D5CF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992" w:type="dxa"/>
            <w:vAlign w:val="top"/>
          </w:tcPr>
          <w:p w14:paraId="71489416">
            <w:pPr>
              <w:spacing w:before="181" w:line="230" w:lineRule="auto"/>
              <w:ind w:left="761"/>
              <w:rPr>
                <w:rFonts w:hint="eastAsia" w:ascii="宋体" w:hAnsi="宋体" w:eastAsia="宋体" w:cs="宋体"/>
                <w:color w:val="auto"/>
                <w:sz w:val="21"/>
                <w:szCs w:val="21"/>
              </w:rPr>
            </w:pPr>
            <w:r>
              <w:rPr>
                <w:rFonts w:hint="eastAsia" w:ascii="宋体" w:hAnsi="宋体" w:eastAsia="宋体" w:cs="宋体"/>
                <w:color w:val="auto"/>
                <w:spacing w:val="4"/>
                <w:sz w:val="21"/>
                <w:szCs w:val="21"/>
              </w:rPr>
              <w:t>名 称</w:t>
            </w:r>
          </w:p>
        </w:tc>
        <w:tc>
          <w:tcPr>
            <w:tcW w:w="1843" w:type="dxa"/>
            <w:vAlign w:val="top"/>
          </w:tcPr>
          <w:p w14:paraId="6EA92835">
            <w:pPr>
              <w:spacing w:before="181" w:line="228" w:lineRule="auto"/>
              <w:ind w:left="684"/>
              <w:rPr>
                <w:rFonts w:hint="eastAsia" w:ascii="宋体" w:hAnsi="宋体" w:eastAsia="宋体" w:cs="宋体"/>
                <w:color w:val="auto"/>
                <w:sz w:val="21"/>
                <w:szCs w:val="21"/>
              </w:rPr>
            </w:pPr>
            <w:r>
              <w:rPr>
                <w:rFonts w:hint="eastAsia" w:ascii="宋体" w:hAnsi="宋体" w:eastAsia="宋体" w:cs="宋体"/>
                <w:color w:val="auto"/>
                <w:spacing w:val="6"/>
                <w:sz w:val="21"/>
                <w:szCs w:val="21"/>
              </w:rPr>
              <w:t xml:space="preserve">姓 </w:t>
            </w:r>
            <w:r>
              <w:rPr>
                <w:rFonts w:hint="eastAsia" w:ascii="宋体" w:hAnsi="宋体" w:eastAsia="宋体" w:cs="宋体"/>
                <w:color w:val="auto"/>
                <w:spacing w:val="5"/>
                <w:sz w:val="21"/>
                <w:szCs w:val="21"/>
              </w:rPr>
              <w:t>名</w:t>
            </w:r>
          </w:p>
        </w:tc>
        <w:tc>
          <w:tcPr>
            <w:tcW w:w="1134" w:type="dxa"/>
            <w:vAlign w:val="top"/>
          </w:tcPr>
          <w:p w14:paraId="14F7F03D">
            <w:pPr>
              <w:spacing w:before="181" w:line="228" w:lineRule="auto"/>
              <w:ind w:left="330"/>
              <w:rPr>
                <w:rFonts w:hint="eastAsia" w:ascii="宋体" w:hAnsi="宋体" w:eastAsia="宋体" w:cs="宋体"/>
                <w:color w:val="auto"/>
                <w:sz w:val="21"/>
                <w:szCs w:val="21"/>
              </w:rPr>
            </w:pPr>
            <w:r>
              <w:rPr>
                <w:rFonts w:hint="eastAsia" w:ascii="宋体" w:hAnsi="宋体" w:eastAsia="宋体" w:cs="宋体"/>
                <w:color w:val="auto"/>
                <w:spacing w:val="5"/>
                <w:sz w:val="21"/>
                <w:szCs w:val="21"/>
              </w:rPr>
              <w:t>职 务</w:t>
            </w:r>
          </w:p>
        </w:tc>
        <w:tc>
          <w:tcPr>
            <w:tcW w:w="1274" w:type="dxa"/>
            <w:vAlign w:val="top"/>
          </w:tcPr>
          <w:p w14:paraId="26E9138E">
            <w:pPr>
              <w:spacing w:before="181" w:line="230" w:lineRule="auto"/>
              <w:ind w:left="492"/>
              <w:rPr>
                <w:rFonts w:hint="eastAsia" w:ascii="宋体" w:hAnsi="宋体" w:eastAsia="宋体" w:cs="宋体"/>
                <w:color w:val="auto"/>
                <w:sz w:val="21"/>
                <w:szCs w:val="21"/>
              </w:rPr>
            </w:pPr>
            <w:r>
              <w:rPr>
                <w:rFonts w:hint="eastAsia" w:ascii="宋体" w:hAnsi="宋体" w:eastAsia="宋体" w:cs="宋体"/>
                <w:color w:val="auto"/>
                <w:spacing w:val="5"/>
                <w:sz w:val="21"/>
                <w:szCs w:val="21"/>
              </w:rPr>
              <w:t xml:space="preserve">职 </w:t>
            </w:r>
            <w:r>
              <w:rPr>
                <w:rFonts w:hint="eastAsia" w:ascii="宋体" w:hAnsi="宋体" w:eastAsia="宋体" w:cs="宋体"/>
                <w:color w:val="auto"/>
                <w:spacing w:val="4"/>
                <w:sz w:val="21"/>
                <w:szCs w:val="21"/>
              </w:rPr>
              <w:t>称</w:t>
            </w:r>
          </w:p>
        </w:tc>
        <w:tc>
          <w:tcPr>
            <w:tcW w:w="2196" w:type="dxa"/>
            <w:vAlign w:val="top"/>
          </w:tcPr>
          <w:p w14:paraId="08564423">
            <w:pPr>
              <w:spacing w:before="181" w:line="228" w:lineRule="auto"/>
              <w:ind w:left="200"/>
              <w:rPr>
                <w:rFonts w:hint="eastAsia" w:ascii="宋体" w:hAnsi="宋体" w:eastAsia="宋体" w:cs="宋体"/>
                <w:color w:val="auto"/>
                <w:sz w:val="21"/>
                <w:szCs w:val="21"/>
              </w:rPr>
            </w:pPr>
            <w:r>
              <w:rPr>
                <w:rFonts w:hint="eastAsia" w:ascii="宋体" w:hAnsi="宋体" w:eastAsia="宋体" w:cs="宋体"/>
                <w:color w:val="auto"/>
                <w:spacing w:val="9"/>
                <w:sz w:val="21"/>
                <w:szCs w:val="21"/>
              </w:rPr>
              <w:t>任职务及资格经</w:t>
            </w:r>
            <w:r>
              <w:rPr>
                <w:rFonts w:hint="eastAsia" w:ascii="宋体" w:hAnsi="宋体" w:eastAsia="宋体" w:cs="宋体"/>
                <w:color w:val="auto"/>
                <w:spacing w:val="8"/>
                <w:sz w:val="21"/>
                <w:szCs w:val="21"/>
              </w:rPr>
              <w:t>历</w:t>
            </w:r>
          </w:p>
        </w:tc>
      </w:tr>
      <w:tr w14:paraId="6AF27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992" w:type="dxa"/>
            <w:vAlign w:val="top"/>
          </w:tcPr>
          <w:p w14:paraId="19B1D281">
            <w:pPr>
              <w:rPr>
                <w:rFonts w:hint="eastAsia" w:ascii="宋体" w:hAnsi="宋体" w:eastAsia="宋体" w:cs="宋体"/>
                <w:color w:val="auto"/>
                <w:sz w:val="21"/>
                <w:szCs w:val="21"/>
              </w:rPr>
            </w:pPr>
          </w:p>
        </w:tc>
        <w:tc>
          <w:tcPr>
            <w:tcW w:w="1843" w:type="dxa"/>
            <w:vAlign w:val="top"/>
          </w:tcPr>
          <w:p w14:paraId="23FA0E0D">
            <w:pPr>
              <w:rPr>
                <w:rFonts w:hint="eastAsia" w:ascii="宋体" w:hAnsi="宋体" w:eastAsia="宋体" w:cs="宋体"/>
                <w:color w:val="auto"/>
                <w:sz w:val="21"/>
                <w:szCs w:val="21"/>
              </w:rPr>
            </w:pPr>
          </w:p>
        </w:tc>
        <w:tc>
          <w:tcPr>
            <w:tcW w:w="1134" w:type="dxa"/>
            <w:vAlign w:val="top"/>
          </w:tcPr>
          <w:p w14:paraId="0F77BF14">
            <w:pPr>
              <w:rPr>
                <w:rFonts w:hint="eastAsia" w:ascii="宋体" w:hAnsi="宋体" w:eastAsia="宋体" w:cs="宋体"/>
                <w:color w:val="auto"/>
                <w:sz w:val="21"/>
                <w:szCs w:val="21"/>
              </w:rPr>
            </w:pPr>
          </w:p>
        </w:tc>
        <w:tc>
          <w:tcPr>
            <w:tcW w:w="1274" w:type="dxa"/>
            <w:vAlign w:val="top"/>
          </w:tcPr>
          <w:p w14:paraId="2AC2CE29">
            <w:pPr>
              <w:rPr>
                <w:rFonts w:hint="eastAsia" w:ascii="宋体" w:hAnsi="宋体" w:eastAsia="宋体" w:cs="宋体"/>
                <w:color w:val="auto"/>
                <w:sz w:val="21"/>
                <w:szCs w:val="21"/>
              </w:rPr>
            </w:pPr>
          </w:p>
        </w:tc>
        <w:tc>
          <w:tcPr>
            <w:tcW w:w="2196" w:type="dxa"/>
            <w:vAlign w:val="top"/>
          </w:tcPr>
          <w:p w14:paraId="32E87A8B">
            <w:pPr>
              <w:rPr>
                <w:rFonts w:hint="eastAsia" w:ascii="宋体" w:hAnsi="宋体" w:eastAsia="宋体" w:cs="宋体"/>
                <w:color w:val="auto"/>
                <w:sz w:val="21"/>
                <w:szCs w:val="21"/>
              </w:rPr>
            </w:pPr>
          </w:p>
        </w:tc>
      </w:tr>
      <w:tr w14:paraId="432F6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992" w:type="dxa"/>
            <w:vAlign w:val="top"/>
          </w:tcPr>
          <w:p w14:paraId="1E1C53DB">
            <w:pPr>
              <w:rPr>
                <w:rFonts w:hint="eastAsia" w:ascii="宋体" w:hAnsi="宋体" w:eastAsia="宋体" w:cs="宋体"/>
                <w:color w:val="auto"/>
                <w:sz w:val="21"/>
                <w:szCs w:val="21"/>
              </w:rPr>
            </w:pPr>
          </w:p>
        </w:tc>
        <w:tc>
          <w:tcPr>
            <w:tcW w:w="1843" w:type="dxa"/>
            <w:vAlign w:val="top"/>
          </w:tcPr>
          <w:p w14:paraId="304301AD">
            <w:pPr>
              <w:rPr>
                <w:rFonts w:hint="eastAsia" w:ascii="宋体" w:hAnsi="宋体" w:eastAsia="宋体" w:cs="宋体"/>
                <w:color w:val="auto"/>
                <w:sz w:val="21"/>
                <w:szCs w:val="21"/>
              </w:rPr>
            </w:pPr>
          </w:p>
        </w:tc>
        <w:tc>
          <w:tcPr>
            <w:tcW w:w="1134" w:type="dxa"/>
            <w:vAlign w:val="top"/>
          </w:tcPr>
          <w:p w14:paraId="7CC719F3">
            <w:pPr>
              <w:rPr>
                <w:rFonts w:hint="eastAsia" w:ascii="宋体" w:hAnsi="宋体" w:eastAsia="宋体" w:cs="宋体"/>
                <w:color w:val="auto"/>
                <w:sz w:val="21"/>
                <w:szCs w:val="21"/>
              </w:rPr>
            </w:pPr>
          </w:p>
        </w:tc>
        <w:tc>
          <w:tcPr>
            <w:tcW w:w="1274" w:type="dxa"/>
            <w:vAlign w:val="top"/>
          </w:tcPr>
          <w:p w14:paraId="4F244B46">
            <w:pPr>
              <w:rPr>
                <w:rFonts w:hint="eastAsia" w:ascii="宋体" w:hAnsi="宋体" w:eastAsia="宋体" w:cs="宋体"/>
                <w:color w:val="auto"/>
                <w:sz w:val="21"/>
                <w:szCs w:val="21"/>
              </w:rPr>
            </w:pPr>
          </w:p>
        </w:tc>
        <w:tc>
          <w:tcPr>
            <w:tcW w:w="2196" w:type="dxa"/>
            <w:vAlign w:val="top"/>
          </w:tcPr>
          <w:p w14:paraId="662AA728">
            <w:pPr>
              <w:rPr>
                <w:rFonts w:hint="eastAsia" w:ascii="宋体" w:hAnsi="宋体" w:eastAsia="宋体" w:cs="宋体"/>
                <w:color w:val="auto"/>
                <w:sz w:val="21"/>
                <w:szCs w:val="21"/>
              </w:rPr>
            </w:pPr>
          </w:p>
        </w:tc>
      </w:tr>
      <w:tr w14:paraId="47345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992" w:type="dxa"/>
            <w:vAlign w:val="top"/>
          </w:tcPr>
          <w:p w14:paraId="007C6DB4">
            <w:pPr>
              <w:rPr>
                <w:rFonts w:hint="eastAsia" w:ascii="宋体" w:hAnsi="宋体" w:eastAsia="宋体" w:cs="宋体"/>
                <w:color w:val="auto"/>
                <w:sz w:val="21"/>
                <w:szCs w:val="21"/>
              </w:rPr>
            </w:pPr>
          </w:p>
        </w:tc>
        <w:tc>
          <w:tcPr>
            <w:tcW w:w="1843" w:type="dxa"/>
            <w:vAlign w:val="top"/>
          </w:tcPr>
          <w:p w14:paraId="2CBB4DEE">
            <w:pPr>
              <w:rPr>
                <w:rFonts w:hint="eastAsia" w:ascii="宋体" w:hAnsi="宋体" w:eastAsia="宋体" w:cs="宋体"/>
                <w:color w:val="auto"/>
                <w:sz w:val="21"/>
                <w:szCs w:val="21"/>
              </w:rPr>
            </w:pPr>
          </w:p>
        </w:tc>
        <w:tc>
          <w:tcPr>
            <w:tcW w:w="1134" w:type="dxa"/>
            <w:vAlign w:val="top"/>
          </w:tcPr>
          <w:p w14:paraId="5DC1ADDD">
            <w:pPr>
              <w:rPr>
                <w:rFonts w:hint="eastAsia" w:ascii="宋体" w:hAnsi="宋体" w:eastAsia="宋体" w:cs="宋体"/>
                <w:color w:val="auto"/>
                <w:sz w:val="21"/>
                <w:szCs w:val="21"/>
              </w:rPr>
            </w:pPr>
          </w:p>
        </w:tc>
        <w:tc>
          <w:tcPr>
            <w:tcW w:w="1274" w:type="dxa"/>
            <w:vAlign w:val="top"/>
          </w:tcPr>
          <w:p w14:paraId="3AEF8099">
            <w:pPr>
              <w:rPr>
                <w:rFonts w:hint="eastAsia" w:ascii="宋体" w:hAnsi="宋体" w:eastAsia="宋体" w:cs="宋体"/>
                <w:color w:val="auto"/>
                <w:sz w:val="21"/>
                <w:szCs w:val="21"/>
              </w:rPr>
            </w:pPr>
          </w:p>
        </w:tc>
        <w:tc>
          <w:tcPr>
            <w:tcW w:w="2196" w:type="dxa"/>
            <w:vAlign w:val="top"/>
          </w:tcPr>
          <w:p w14:paraId="1CAE357A">
            <w:pPr>
              <w:rPr>
                <w:rFonts w:hint="eastAsia" w:ascii="宋体" w:hAnsi="宋体" w:eastAsia="宋体" w:cs="宋体"/>
                <w:color w:val="auto"/>
                <w:sz w:val="21"/>
                <w:szCs w:val="21"/>
              </w:rPr>
            </w:pPr>
          </w:p>
        </w:tc>
      </w:tr>
      <w:tr w14:paraId="42D33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1992" w:type="dxa"/>
            <w:vAlign w:val="top"/>
          </w:tcPr>
          <w:p w14:paraId="51B7157E">
            <w:pPr>
              <w:rPr>
                <w:rFonts w:hint="eastAsia" w:ascii="宋体" w:hAnsi="宋体" w:eastAsia="宋体" w:cs="宋体"/>
                <w:color w:val="auto"/>
                <w:sz w:val="21"/>
                <w:szCs w:val="21"/>
              </w:rPr>
            </w:pPr>
          </w:p>
        </w:tc>
        <w:tc>
          <w:tcPr>
            <w:tcW w:w="1843" w:type="dxa"/>
            <w:vAlign w:val="top"/>
          </w:tcPr>
          <w:p w14:paraId="0AEC13F4">
            <w:pPr>
              <w:rPr>
                <w:rFonts w:hint="eastAsia" w:ascii="宋体" w:hAnsi="宋体" w:eastAsia="宋体" w:cs="宋体"/>
                <w:color w:val="auto"/>
                <w:sz w:val="21"/>
                <w:szCs w:val="21"/>
              </w:rPr>
            </w:pPr>
          </w:p>
        </w:tc>
        <w:tc>
          <w:tcPr>
            <w:tcW w:w="1134" w:type="dxa"/>
            <w:vAlign w:val="top"/>
          </w:tcPr>
          <w:p w14:paraId="7A506EC1">
            <w:pPr>
              <w:rPr>
                <w:rFonts w:hint="eastAsia" w:ascii="宋体" w:hAnsi="宋体" w:eastAsia="宋体" w:cs="宋体"/>
                <w:color w:val="auto"/>
                <w:sz w:val="21"/>
                <w:szCs w:val="21"/>
              </w:rPr>
            </w:pPr>
          </w:p>
        </w:tc>
        <w:tc>
          <w:tcPr>
            <w:tcW w:w="1274" w:type="dxa"/>
            <w:vAlign w:val="top"/>
          </w:tcPr>
          <w:p w14:paraId="07C024F3">
            <w:pPr>
              <w:rPr>
                <w:rFonts w:hint="eastAsia" w:ascii="宋体" w:hAnsi="宋体" w:eastAsia="宋体" w:cs="宋体"/>
                <w:color w:val="auto"/>
                <w:sz w:val="21"/>
                <w:szCs w:val="21"/>
              </w:rPr>
            </w:pPr>
          </w:p>
        </w:tc>
        <w:tc>
          <w:tcPr>
            <w:tcW w:w="2196" w:type="dxa"/>
            <w:vAlign w:val="top"/>
          </w:tcPr>
          <w:p w14:paraId="382FFF6A">
            <w:pPr>
              <w:rPr>
                <w:rFonts w:hint="eastAsia" w:ascii="宋体" w:hAnsi="宋体" w:eastAsia="宋体" w:cs="宋体"/>
                <w:color w:val="auto"/>
                <w:sz w:val="21"/>
                <w:szCs w:val="21"/>
              </w:rPr>
            </w:pPr>
          </w:p>
        </w:tc>
      </w:tr>
      <w:tr w14:paraId="32169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jc w:val="center"/>
        </w:trPr>
        <w:tc>
          <w:tcPr>
            <w:tcW w:w="1992" w:type="dxa"/>
            <w:vAlign w:val="top"/>
          </w:tcPr>
          <w:p w14:paraId="26264807">
            <w:pPr>
              <w:rPr>
                <w:rFonts w:hint="eastAsia" w:ascii="宋体" w:hAnsi="宋体" w:eastAsia="宋体" w:cs="宋体"/>
                <w:color w:val="auto"/>
                <w:sz w:val="21"/>
                <w:szCs w:val="21"/>
              </w:rPr>
            </w:pPr>
          </w:p>
        </w:tc>
        <w:tc>
          <w:tcPr>
            <w:tcW w:w="1843" w:type="dxa"/>
            <w:vAlign w:val="top"/>
          </w:tcPr>
          <w:p w14:paraId="2FA9B9EF">
            <w:pPr>
              <w:rPr>
                <w:rFonts w:hint="eastAsia" w:ascii="宋体" w:hAnsi="宋体" w:eastAsia="宋体" w:cs="宋体"/>
                <w:color w:val="auto"/>
                <w:sz w:val="21"/>
                <w:szCs w:val="21"/>
              </w:rPr>
            </w:pPr>
          </w:p>
        </w:tc>
        <w:tc>
          <w:tcPr>
            <w:tcW w:w="1134" w:type="dxa"/>
            <w:vAlign w:val="top"/>
          </w:tcPr>
          <w:p w14:paraId="5C99EBBD">
            <w:pPr>
              <w:rPr>
                <w:rFonts w:hint="eastAsia" w:ascii="宋体" w:hAnsi="宋体" w:eastAsia="宋体" w:cs="宋体"/>
                <w:color w:val="auto"/>
                <w:sz w:val="21"/>
                <w:szCs w:val="21"/>
              </w:rPr>
            </w:pPr>
          </w:p>
        </w:tc>
        <w:tc>
          <w:tcPr>
            <w:tcW w:w="1274" w:type="dxa"/>
            <w:vAlign w:val="top"/>
          </w:tcPr>
          <w:p w14:paraId="20D3544E">
            <w:pPr>
              <w:rPr>
                <w:rFonts w:hint="eastAsia" w:ascii="宋体" w:hAnsi="宋体" w:eastAsia="宋体" w:cs="宋体"/>
                <w:color w:val="auto"/>
                <w:sz w:val="21"/>
                <w:szCs w:val="21"/>
              </w:rPr>
            </w:pPr>
          </w:p>
        </w:tc>
        <w:tc>
          <w:tcPr>
            <w:tcW w:w="2196" w:type="dxa"/>
            <w:vAlign w:val="top"/>
          </w:tcPr>
          <w:p w14:paraId="1A67214B">
            <w:pPr>
              <w:rPr>
                <w:rFonts w:hint="eastAsia" w:ascii="宋体" w:hAnsi="宋体" w:eastAsia="宋体" w:cs="宋体"/>
                <w:color w:val="auto"/>
                <w:sz w:val="21"/>
                <w:szCs w:val="21"/>
              </w:rPr>
            </w:pPr>
          </w:p>
        </w:tc>
      </w:tr>
      <w:tr w14:paraId="4BAB4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1992" w:type="dxa"/>
            <w:vAlign w:val="top"/>
          </w:tcPr>
          <w:p w14:paraId="39A66FB6">
            <w:pPr>
              <w:rPr>
                <w:rFonts w:hint="eastAsia" w:ascii="宋体" w:hAnsi="宋体" w:eastAsia="宋体" w:cs="宋体"/>
                <w:color w:val="auto"/>
                <w:sz w:val="21"/>
                <w:szCs w:val="21"/>
              </w:rPr>
            </w:pPr>
          </w:p>
        </w:tc>
        <w:tc>
          <w:tcPr>
            <w:tcW w:w="1843" w:type="dxa"/>
            <w:vAlign w:val="top"/>
          </w:tcPr>
          <w:p w14:paraId="6DED812F">
            <w:pPr>
              <w:rPr>
                <w:rFonts w:hint="eastAsia" w:ascii="宋体" w:hAnsi="宋体" w:eastAsia="宋体" w:cs="宋体"/>
                <w:color w:val="auto"/>
                <w:sz w:val="21"/>
                <w:szCs w:val="21"/>
              </w:rPr>
            </w:pPr>
          </w:p>
        </w:tc>
        <w:tc>
          <w:tcPr>
            <w:tcW w:w="1134" w:type="dxa"/>
            <w:vAlign w:val="top"/>
          </w:tcPr>
          <w:p w14:paraId="2655EAAC">
            <w:pPr>
              <w:rPr>
                <w:rFonts w:hint="eastAsia" w:ascii="宋体" w:hAnsi="宋体" w:eastAsia="宋体" w:cs="宋体"/>
                <w:color w:val="auto"/>
                <w:sz w:val="21"/>
                <w:szCs w:val="21"/>
              </w:rPr>
            </w:pPr>
          </w:p>
        </w:tc>
        <w:tc>
          <w:tcPr>
            <w:tcW w:w="1274" w:type="dxa"/>
            <w:vAlign w:val="top"/>
          </w:tcPr>
          <w:p w14:paraId="3513B50A">
            <w:pPr>
              <w:rPr>
                <w:rFonts w:hint="eastAsia" w:ascii="宋体" w:hAnsi="宋体" w:eastAsia="宋体" w:cs="宋体"/>
                <w:color w:val="auto"/>
                <w:sz w:val="21"/>
                <w:szCs w:val="21"/>
              </w:rPr>
            </w:pPr>
          </w:p>
        </w:tc>
        <w:tc>
          <w:tcPr>
            <w:tcW w:w="2196" w:type="dxa"/>
            <w:vAlign w:val="top"/>
          </w:tcPr>
          <w:p w14:paraId="7D3EE362">
            <w:pPr>
              <w:rPr>
                <w:rFonts w:hint="eastAsia" w:ascii="宋体" w:hAnsi="宋体" w:eastAsia="宋体" w:cs="宋体"/>
                <w:color w:val="auto"/>
                <w:sz w:val="21"/>
                <w:szCs w:val="21"/>
              </w:rPr>
            </w:pPr>
          </w:p>
        </w:tc>
      </w:tr>
      <w:tr w14:paraId="0ADB1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1992" w:type="dxa"/>
            <w:vAlign w:val="top"/>
          </w:tcPr>
          <w:p w14:paraId="0497970C">
            <w:pPr>
              <w:rPr>
                <w:rFonts w:hint="eastAsia" w:ascii="宋体" w:hAnsi="宋体" w:eastAsia="宋体" w:cs="宋体"/>
                <w:color w:val="auto"/>
                <w:sz w:val="21"/>
                <w:szCs w:val="21"/>
              </w:rPr>
            </w:pPr>
          </w:p>
        </w:tc>
        <w:tc>
          <w:tcPr>
            <w:tcW w:w="1843" w:type="dxa"/>
            <w:vAlign w:val="top"/>
          </w:tcPr>
          <w:p w14:paraId="04CC7981">
            <w:pPr>
              <w:rPr>
                <w:rFonts w:hint="eastAsia" w:ascii="宋体" w:hAnsi="宋体" w:eastAsia="宋体" w:cs="宋体"/>
                <w:color w:val="auto"/>
                <w:sz w:val="21"/>
                <w:szCs w:val="21"/>
              </w:rPr>
            </w:pPr>
          </w:p>
        </w:tc>
        <w:tc>
          <w:tcPr>
            <w:tcW w:w="1134" w:type="dxa"/>
            <w:vAlign w:val="top"/>
          </w:tcPr>
          <w:p w14:paraId="29EE1E55">
            <w:pPr>
              <w:rPr>
                <w:rFonts w:hint="eastAsia" w:ascii="宋体" w:hAnsi="宋体" w:eastAsia="宋体" w:cs="宋体"/>
                <w:color w:val="auto"/>
                <w:sz w:val="21"/>
                <w:szCs w:val="21"/>
              </w:rPr>
            </w:pPr>
          </w:p>
        </w:tc>
        <w:tc>
          <w:tcPr>
            <w:tcW w:w="1274" w:type="dxa"/>
            <w:vAlign w:val="top"/>
          </w:tcPr>
          <w:p w14:paraId="69F361A8">
            <w:pPr>
              <w:rPr>
                <w:rFonts w:hint="eastAsia" w:ascii="宋体" w:hAnsi="宋体" w:eastAsia="宋体" w:cs="宋体"/>
                <w:color w:val="auto"/>
                <w:sz w:val="21"/>
                <w:szCs w:val="21"/>
              </w:rPr>
            </w:pPr>
          </w:p>
        </w:tc>
        <w:tc>
          <w:tcPr>
            <w:tcW w:w="2196" w:type="dxa"/>
            <w:vAlign w:val="top"/>
          </w:tcPr>
          <w:p w14:paraId="009CEE04">
            <w:pPr>
              <w:rPr>
                <w:rFonts w:hint="eastAsia" w:ascii="宋体" w:hAnsi="宋体" w:eastAsia="宋体" w:cs="宋体"/>
                <w:color w:val="auto"/>
                <w:sz w:val="21"/>
                <w:szCs w:val="21"/>
              </w:rPr>
            </w:pPr>
          </w:p>
        </w:tc>
      </w:tr>
      <w:tr w14:paraId="4839D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1992" w:type="dxa"/>
            <w:vAlign w:val="top"/>
          </w:tcPr>
          <w:p w14:paraId="25C04572">
            <w:pPr>
              <w:rPr>
                <w:rFonts w:hint="eastAsia" w:ascii="宋体" w:hAnsi="宋体" w:eastAsia="宋体" w:cs="宋体"/>
                <w:color w:val="auto"/>
                <w:sz w:val="21"/>
                <w:szCs w:val="21"/>
              </w:rPr>
            </w:pPr>
          </w:p>
        </w:tc>
        <w:tc>
          <w:tcPr>
            <w:tcW w:w="1843" w:type="dxa"/>
            <w:vAlign w:val="top"/>
          </w:tcPr>
          <w:p w14:paraId="4E9C1328">
            <w:pPr>
              <w:rPr>
                <w:rFonts w:hint="eastAsia" w:ascii="宋体" w:hAnsi="宋体" w:eastAsia="宋体" w:cs="宋体"/>
                <w:color w:val="auto"/>
                <w:sz w:val="21"/>
                <w:szCs w:val="21"/>
              </w:rPr>
            </w:pPr>
          </w:p>
        </w:tc>
        <w:tc>
          <w:tcPr>
            <w:tcW w:w="1134" w:type="dxa"/>
            <w:vAlign w:val="top"/>
          </w:tcPr>
          <w:p w14:paraId="085F389F">
            <w:pPr>
              <w:rPr>
                <w:rFonts w:hint="eastAsia" w:ascii="宋体" w:hAnsi="宋体" w:eastAsia="宋体" w:cs="宋体"/>
                <w:color w:val="auto"/>
                <w:sz w:val="21"/>
                <w:szCs w:val="21"/>
              </w:rPr>
            </w:pPr>
          </w:p>
        </w:tc>
        <w:tc>
          <w:tcPr>
            <w:tcW w:w="1274" w:type="dxa"/>
            <w:vAlign w:val="top"/>
          </w:tcPr>
          <w:p w14:paraId="33D3E0BC">
            <w:pPr>
              <w:rPr>
                <w:rFonts w:hint="eastAsia" w:ascii="宋体" w:hAnsi="宋体" w:eastAsia="宋体" w:cs="宋体"/>
                <w:color w:val="auto"/>
                <w:sz w:val="21"/>
                <w:szCs w:val="21"/>
              </w:rPr>
            </w:pPr>
          </w:p>
        </w:tc>
        <w:tc>
          <w:tcPr>
            <w:tcW w:w="2196" w:type="dxa"/>
            <w:vAlign w:val="top"/>
          </w:tcPr>
          <w:p w14:paraId="38167C6F">
            <w:pPr>
              <w:rPr>
                <w:rFonts w:hint="eastAsia" w:ascii="宋体" w:hAnsi="宋体" w:eastAsia="宋体" w:cs="宋体"/>
                <w:color w:val="auto"/>
                <w:sz w:val="21"/>
                <w:szCs w:val="21"/>
              </w:rPr>
            </w:pPr>
          </w:p>
        </w:tc>
      </w:tr>
      <w:tr w14:paraId="2F22F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1992" w:type="dxa"/>
            <w:vAlign w:val="top"/>
          </w:tcPr>
          <w:p w14:paraId="27A5101A">
            <w:pPr>
              <w:rPr>
                <w:rFonts w:hint="eastAsia" w:ascii="宋体" w:hAnsi="宋体" w:eastAsia="宋体" w:cs="宋体"/>
                <w:color w:val="auto"/>
                <w:sz w:val="21"/>
                <w:szCs w:val="21"/>
              </w:rPr>
            </w:pPr>
          </w:p>
        </w:tc>
        <w:tc>
          <w:tcPr>
            <w:tcW w:w="1843" w:type="dxa"/>
            <w:vAlign w:val="top"/>
          </w:tcPr>
          <w:p w14:paraId="60CA7235">
            <w:pPr>
              <w:rPr>
                <w:rFonts w:hint="eastAsia" w:ascii="宋体" w:hAnsi="宋体" w:eastAsia="宋体" w:cs="宋体"/>
                <w:color w:val="auto"/>
                <w:sz w:val="21"/>
                <w:szCs w:val="21"/>
              </w:rPr>
            </w:pPr>
          </w:p>
        </w:tc>
        <w:tc>
          <w:tcPr>
            <w:tcW w:w="1134" w:type="dxa"/>
            <w:vAlign w:val="top"/>
          </w:tcPr>
          <w:p w14:paraId="2E6B284C">
            <w:pPr>
              <w:rPr>
                <w:rFonts w:hint="eastAsia" w:ascii="宋体" w:hAnsi="宋体" w:eastAsia="宋体" w:cs="宋体"/>
                <w:color w:val="auto"/>
                <w:sz w:val="21"/>
                <w:szCs w:val="21"/>
              </w:rPr>
            </w:pPr>
          </w:p>
        </w:tc>
        <w:tc>
          <w:tcPr>
            <w:tcW w:w="1274" w:type="dxa"/>
            <w:vAlign w:val="top"/>
          </w:tcPr>
          <w:p w14:paraId="02A3C7A8">
            <w:pPr>
              <w:rPr>
                <w:rFonts w:hint="eastAsia" w:ascii="宋体" w:hAnsi="宋体" w:eastAsia="宋体" w:cs="宋体"/>
                <w:color w:val="auto"/>
                <w:sz w:val="21"/>
                <w:szCs w:val="21"/>
              </w:rPr>
            </w:pPr>
          </w:p>
        </w:tc>
        <w:tc>
          <w:tcPr>
            <w:tcW w:w="2196" w:type="dxa"/>
            <w:vAlign w:val="top"/>
          </w:tcPr>
          <w:p w14:paraId="031A0FBE">
            <w:pPr>
              <w:rPr>
                <w:rFonts w:hint="eastAsia" w:ascii="宋体" w:hAnsi="宋体" w:eastAsia="宋体" w:cs="宋体"/>
                <w:color w:val="auto"/>
                <w:sz w:val="21"/>
                <w:szCs w:val="21"/>
              </w:rPr>
            </w:pPr>
          </w:p>
        </w:tc>
      </w:tr>
      <w:tr w14:paraId="408C0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jc w:val="center"/>
        </w:trPr>
        <w:tc>
          <w:tcPr>
            <w:tcW w:w="1992" w:type="dxa"/>
            <w:vAlign w:val="top"/>
          </w:tcPr>
          <w:p w14:paraId="28D63145">
            <w:pPr>
              <w:rPr>
                <w:rFonts w:hint="eastAsia" w:ascii="宋体" w:hAnsi="宋体" w:eastAsia="宋体" w:cs="宋体"/>
                <w:color w:val="auto"/>
                <w:sz w:val="21"/>
                <w:szCs w:val="21"/>
              </w:rPr>
            </w:pPr>
          </w:p>
        </w:tc>
        <w:tc>
          <w:tcPr>
            <w:tcW w:w="1843" w:type="dxa"/>
            <w:vAlign w:val="top"/>
          </w:tcPr>
          <w:p w14:paraId="79EBBBD9">
            <w:pPr>
              <w:rPr>
                <w:rFonts w:hint="eastAsia" w:ascii="宋体" w:hAnsi="宋体" w:eastAsia="宋体" w:cs="宋体"/>
                <w:color w:val="auto"/>
                <w:sz w:val="21"/>
                <w:szCs w:val="21"/>
              </w:rPr>
            </w:pPr>
          </w:p>
        </w:tc>
        <w:tc>
          <w:tcPr>
            <w:tcW w:w="1134" w:type="dxa"/>
            <w:vAlign w:val="top"/>
          </w:tcPr>
          <w:p w14:paraId="2004F30B">
            <w:pPr>
              <w:rPr>
                <w:rFonts w:hint="eastAsia" w:ascii="宋体" w:hAnsi="宋体" w:eastAsia="宋体" w:cs="宋体"/>
                <w:color w:val="auto"/>
                <w:sz w:val="21"/>
                <w:szCs w:val="21"/>
              </w:rPr>
            </w:pPr>
          </w:p>
        </w:tc>
        <w:tc>
          <w:tcPr>
            <w:tcW w:w="1274" w:type="dxa"/>
            <w:vAlign w:val="top"/>
          </w:tcPr>
          <w:p w14:paraId="52086623">
            <w:pPr>
              <w:rPr>
                <w:rFonts w:hint="eastAsia" w:ascii="宋体" w:hAnsi="宋体" w:eastAsia="宋体" w:cs="宋体"/>
                <w:color w:val="auto"/>
                <w:sz w:val="21"/>
                <w:szCs w:val="21"/>
              </w:rPr>
            </w:pPr>
          </w:p>
        </w:tc>
        <w:tc>
          <w:tcPr>
            <w:tcW w:w="2196" w:type="dxa"/>
            <w:vAlign w:val="top"/>
          </w:tcPr>
          <w:p w14:paraId="2DD25A83">
            <w:pPr>
              <w:rPr>
                <w:rFonts w:hint="eastAsia" w:ascii="宋体" w:hAnsi="宋体" w:eastAsia="宋体" w:cs="宋体"/>
                <w:color w:val="auto"/>
                <w:sz w:val="21"/>
                <w:szCs w:val="21"/>
              </w:rPr>
            </w:pPr>
          </w:p>
        </w:tc>
      </w:tr>
      <w:tr w14:paraId="4F000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992" w:type="dxa"/>
            <w:vAlign w:val="top"/>
          </w:tcPr>
          <w:p w14:paraId="3B47DD31">
            <w:pPr>
              <w:rPr>
                <w:rFonts w:hint="eastAsia" w:ascii="宋体" w:hAnsi="宋体" w:eastAsia="宋体" w:cs="宋体"/>
                <w:color w:val="auto"/>
                <w:sz w:val="21"/>
                <w:szCs w:val="21"/>
              </w:rPr>
            </w:pPr>
          </w:p>
        </w:tc>
        <w:tc>
          <w:tcPr>
            <w:tcW w:w="1843" w:type="dxa"/>
            <w:vAlign w:val="top"/>
          </w:tcPr>
          <w:p w14:paraId="1E8D85B6">
            <w:pPr>
              <w:rPr>
                <w:rFonts w:hint="eastAsia" w:ascii="宋体" w:hAnsi="宋体" w:eastAsia="宋体" w:cs="宋体"/>
                <w:color w:val="auto"/>
                <w:sz w:val="21"/>
                <w:szCs w:val="21"/>
              </w:rPr>
            </w:pPr>
          </w:p>
        </w:tc>
        <w:tc>
          <w:tcPr>
            <w:tcW w:w="1134" w:type="dxa"/>
            <w:vAlign w:val="top"/>
          </w:tcPr>
          <w:p w14:paraId="08241370">
            <w:pPr>
              <w:rPr>
                <w:rFonts w:hint="eastAsia" w:ascii="宋体" w:hAnsi="宋体" w:eastAsia="宋体" w:cs="宋体"/>
                <w:color w:val="auto"/>
                <w:sz w:val="21"/>
                <w:szCs w:val="21"/>
              </w:rPr>
            </w:pPr>
          </w:p>
        </w:tc>
        <w:tc>
          <w:tcPr>
            <w:tcW w:w="1274" w:type="dxa"/>
            <w:vAlign w:val="top"/>
          </w:tcPr>
          <w:p w14:paraId="421AC61D">
            <w:pPr>
              <w:rPr>
                <w:rFonts w:hint="eastAsia" w:ascii="宋体" w:hAnsi="宋体" w:eastAsia="宋体" w:cs="宋体"/>
                <w:color w:val="auto"/>
                <w:sz w:val="21"/>
                <w:szCs w:val="21"/>
              </w:rPr>
            </w:pPr>
          </w:p>
        </w:tc>
        <w:tc>
          <w:tcPr>
            <w:tcW w:w="2196" w:type="dxa"/>
            <w:vAlign w:val="top"/>
          </w:tcPr>
          <w:p w14:paraId="469BC68C">
            <w:pPr>
              <w:rPr>
                <w:rFonts w:hint="eastAsia" w:ascii="宋体" w:hAnsi="宋体" w:eastAsia="宋体" w:cs="宋体"/>
                <w:color w:val="auto"/>
                <w:sz w:val="21"/>
                <w:szCs w:val="21"/>
              </w:rPr>
            </w:pPr>
          </w:p>
        </w:tc>
      </w:tr>
      <w:tr w14:paraId="3533E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992" w:type="dxa"/>
            <w:vAlign w:val="top"/>
          </w:tcPr>
          <w:p w14:paraId="0360CB8B">
            <w:pPr>
              <w:rPr>
                <w:rFonts w:hint="eastAsia" w:ascii="宋体" w:hAnsi="宋体" w:eastAsia="宋体" w:cs="宋体"/>
                <w:color w:val="auto"/>
                <w:sz w:val="21"/>
                <w:szCs w:val="21"/>
              </w:rPr>
            </w:pPr>
          </w:p>
        </w:tc>
        <w:tc>
          <w:tcPr>
            <w:tcW w:w="1843" w:type="dxa"/>
            <w:vAlign w:val="top"/>
          </w:tcPr>
          <w:p w14:paraId="73365F08">
            <w:pPr>
              <w:rPr>
                <w:rFonts w:hint="eastAsia" w:ascii="宋体" w:hAnsi="宋体" w:eastAsia="宋体" w:cs="宋体"/>
                <w:color w:val="auto"/>
                <w:sz w:val="21"/>
                <w:szCs w:val="21"/>
              </w:rPr>
            </w:pPr>
          </w:p>
        </w:tc>
        <w:tc>
          <w:tcPr>
            <w:tcW w:w="1134" w:type="dxa"/>
            <w:vAlign w:val="top"/>
          </w:tcPr>
          <w:p w14:paraId="2EF6A316">
            <w:pPr>
              <w:rPr>
                <w:rFonts w:hint="eastAsia" w:ascii="宋体" w:hAnsi="宋体" w:eastAsia="宋体" w:cs="宋体"/>
                <w:color w:val="auto"/>
                <w:sz w:val="21"/>
                <w:szCs w:val="21"/>
              </w:rPr>
            </w:pPr>
          </w:p>
        </w:tc>
        <w:tc>
          <w:tcPr>
            <w:tcW w:w="1274" w:type="dxa"/>
            <w:vAlign w:val="top"/>
          </w:tcPr>
          <w:p w14:paraId="7D1E83B1">
            <w:pPr>
              <w:rPr>
                <w:rFonts w:hint="eastAsia" w:ascii="宋体" w:hAnsi="宋体" w:eastAsia="宋体" w:cs="宋体"/>
                <w:color w:val="auto"/>
                <w:sz w:val="21"/>
                <w:szCs w:val="21"/>
              </w:rPr>
            </w:pPr>
          </w:p>
        </w:tc>
        <w:tc>
          <w:tcPr>
            <w:tcW w:w="2196" w:type="dxa"/>
            <w:vAlign w:val="top"/>
          </w:tcPr>
          <w:p w14:paraId="6CCB93A3">
            <w:pPr>
              <w:rPr>
                <w:rFonts w:hint="eastAsia" w:ascii="宋体" w:hAnsi="宋体" w:eastAsia="宋体" w:cs="宋体"/>
                <w:color w:val="auto"/>
                <w:sz w:val="21"/>
                <w:szCs w:val="21"/>
              </w:rPr>
            </w:pPr>
          </w:p>
        </w:tc>
      </w:tr>
      <w:tr w14:paraId="54707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1992" w:type="dxa"/>
            <w:vAlign w:val="top"/>
          </w:tcPr>
          <w:p w14:paraId="1C17F1E3">
            <w:pPr>
              <w:rPr>
                <w:rFonts w:hint="eastAsia" w:ascii="宋体" w:hAnsi="宋体" w:eastAsia="宋体" w:cs="宋体"/>
                <w:color w:val="auto"/>
                <w:sz w:val="21"/>
                <w:szCs w:val="21"/>
              </w:rPr>
            </w:pPr>
          </w:p>
        </w:tc>
        <w:tc>
          <w:tcPr>
            <w:tcW w:w="1843" w:type="dxa"/>
            <w:vAlign w:val="top"/>
          </w:tcPr>
          <w:p w14:paraId="5C076BE5">
            <w:pPr>
              <w:rPr>
                <w:rFonts w:hint="eastAsia" w:ascii="宋体" w:hAnsi="宋体" w:eastAsia="宋体" w:cs="宋体"/>
                <w:color w:val="auto"/>
                <w:sz w:val="21"/>
                <w:szCs w:val="21"/>
              </w:rPr>
            </w:pPr>
          </w:p>
        </w:tc>
        <w:tc>
          <w:tcPr>
            <w:tcW w:w="1134" w:type="dxa"/>
            <w:vAlign w:val="top"/>
          </w:tcPr>
          <w:p w14:paraId="3EE7BED0">
            <w:pPr>
              <w:rPr>
                <w:rFonts w:hint="eastAsia" w:ascii="宋体" w:hAnsi="宋体" w:eastAsia="宋体" w:cs="宋体"/>
                <w:color w:val="auto"/>
                <w:sz w:val="21"/>
                <w:szCs w:val="21"/>
              </w:rPr>
            </w:pPr>
          </w:p>
        </w:tc>
        <w:tc>
          <w:tcPr>
            <w:tcW w:w="1274" w:type="dxa"/>
            <w:vAlign w:val="top"/>
          </w:tcPr>
          <w:p w14:paraId="2C1F6740">
            <w:pPr>
              <w:rPr>
                <w:rFonts w:hint="eastAsia" w:ascii="宋体" w:hAnsi="宋体" w:eastAsia="宋体" w:cs="宋体"/>
                <w:color w:val="auto"/>
                <w:sz w:val="21"/>
                <w:szCs w:val="21"/>
              </w:rPr>
            </w:pPr>
          </w:p>
        </w:tc>
        <w:tc>
          <w:tcPr>
            <w:tcW w:w="2196" w:type="dxa"/>
            <w:vAlign w:val="top"/>
          </w:tcPr>
          <w:p w14:paraId="583774A8">
            <w:pPr>
              <w:rPr>
                <w:rFonts w:hint="eastAsia" w:ascii="宋体" w:hAnsi="宋体" w:eastAsia="宋体" w:cs="宋体"/>
                <w:color w:val="auto"/>
                <w:sz w:val="21"/>
                <w:szCs w:val="21"/>
              </w:rPr>
            </w:pPr>
          </w:p>
        </w:tc>
      </w:tr>
      <w:tr w14:paraId="785D2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jc w:val="center"/>
        </w:trPr>
        <w:tc>
          <w:tcPr>
            <w:tcW w:w="1992" w:type="dxa"/>
            <w:vAlign w:val="top"/>
          </w:tcPr>
          <w:p w14:paraId="64A845EC">
            <w:pPr>
              <w:rPr>
                <w:rFonts w:hint="eastAsia" w:ascii="宋体" w:hAnsi="宋体" w:eastAsia="宋体" w:cs="宋体"/>
                <w:color w:val="auto"/>
                <w:sz w:val="21"/>
                <w:szCs w:val="21"/>
              </w:rPr>
            </w:pPr>
          </w:p>
        </w:tc>
        <w:tc>
          <w:tcPr>
            <w:tcW w:w="1843" w:type="dxa"/>
            <w:vAlign w:val="top"/>
          </w:tcPr>
          <w:p w14:paraId="1A78EFEA">
            <w:pPr>
              <w:rPr>
                <w:rFonts w:hint="eastAsia" w:ascii="宋体" w:hAnsi="宋体" w:eastAsia="宋体" w:cs="宋体"/>
                <w:color w:val="auto"/>
                <w:sz w:val="21"/>
                <w:szCs w:val="21"/>
              </w:rPr>
            </w:pPr>
          </w:p>
        </w:tc>
        <w:tc>
          <w:tcPr>
            <w:tcW w:w="1134" w:type="dxa"/>
            <w:vAlign w:val="top"/>
          </w:tcPr>
          <w:p w14:paraId="6ECA0F7A">
            <w:pPr>
              <w:rPr>
                <w:rFonts w:hint="eastAsia" w:ascii="宋体" w:hAnsi="宋体" w:eastAsia="宋体" w:cs="宋体"/>
                <w:color w:val="auto"/>
                <w:sz w:val="21"/>
                <w:szCs w:val="21"/>
              </w:rPr>
            </w:pPr>
          </w:p>
        </w:tc>
        <w:tc>
          <w:tcPr>
            <w:tcW w:w="1274" w:type="dxa"/>
            <w:vAlign w:val="top"/>
          </w:tcPr>
          <w:p w14:paraId="6B3B1FC3">
            <w:pPr>
              <w:rPr>
                <w:rFonts w:hint="eastAsia" w:ascii="宋体" w:hAnsi="宋体" w:eastAsia="宋体" w:cs="宋体"/>
                <w:color w:val="auto"/>
                <w:sz w:val="21"/>
                <w:szCs w:val="21"/>
              </w:rPr>
            </w:pPr>
          </w:p>
        </w:tc>
        <w:tc>
          <w:tcPr>
            <w:tcW w:w="2196" w:type="dxa"/>
            <w:vAlign w:val="top"/>
          </w:tcPr>
          <w:p w14:paraId="025F4D86">
            <w:pPr>
              <w:rPr>
                <w:rFonts w:hint="eastAsia" w:ascii="宋体" w:hAnsi="宋体" w:eastAsia="宋体" w:cs="宋体"/>
                <w:color w:val="auto"/>
                <w:sz w:val="21"/>
                <w:szCs w:val="21"/>
              </w:rPr>
            </w:pPr>
          </w:p>
        </w:tc>
      </w:tr>
    </w:tbl>
    <w:p w14:paraId="0440097F">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hAnsi="宋体"/>
          <w:color w:val="auto"/>
          <w:lang w:eastAsia="zh-CN"/>
        </w:rPr>
      </w:pPr>
      <w:r>
        <w:rPr>
          <w:rFonts w:hint="eastAsia" w:hAnsi="宋体"/>
          <w:color w:val="auto"/>
        </w:rPr>
        <w:t>【备注：附以上各岗位人员资格证件等相关证明材料复印件，以及供应商认为需要增加的其他证明材料复印件，以上复印件均须加盖供应商单位公章</w:t>
      </w:r>
      <w:r>
        <w:rPr>
          <w:rFonts w:hint="eastAsia" w:hAnsi="宋体"/>
          <w:color w:val="auto"/>
          <w:lang w:eastAsia="zh-CN"/>
        </w:rPr>
        <w:t>。</w:t>
      </w:r>
    </w:p>
    <w:p w14:paraId="4C84DCF1">
      <w:pPr>
        <w:pStyle w:val="35"/>
        <w:keepNext w:val="0"/>
        <w:keepLines w:val="0"/>
        <w:pageBreakBefore w:val="0"/>
        <w:widowControl w:val="0"/>
        <w:numPr>
          <w:ilvl w:val="0"/>
          <w:numId w:val="4"/>
        </w:numPr>
        <w:kinsoku/>
        <w:wordWrap/>
        <w:overflowPunct/>
        <w:topLinePunct w:val="0"/>
        <w:autoSpaceDE w:val="0"/>
        <w:autoSpaceDN w:val="0"/>
        <w:bidi w:val="0"/>
        <w:adjustRightInd w:val="0"/>
        <w:snapToGrid/>
        <w:ind w:left="0" w:leftChars="0" w:firstLine="0" w:firstLineChars="0"/>
        <w:jc w:val="center"/>
        <w:textAlignment w:val="auto"/>
        <w:rPr>
          <w:rFonts w:hint="eastAsia"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项目经理 (注册建造师) 简历表</w:t>
      </w:r>
    </w:p>
    <w:p w14:paraId="2A4D6F91">
      <w:pPr>
        <w:pStyle w:val="35"/>
        <w:keepNext w:val="0"/>
        <w:keepLines w:val="0"/>
        <w:pageBreakBefore w:val="0"/>
        <w:widowControl w:val="0"/>
        <w:numPr>
          <w:ilvl w:val="0"/>
          <w:numId w:val="0"/>
        </w:numPr>
        <w:kinsoku/>
        <w:wordWrap/>
        <w:overflowPunct/>
        <w:topLinePunct w:val="0"/>
        <w:autoSpaceDE w:val="0"/>
        <w:autoSpaceDN w:val="0"/>
        <w:bidi w:val="0"/>
        <w:adjustRightInd w:val="0"/>
        <w:snapToGrid/>
        <w:ind w:leftChars="0"/>
        <w:jc w:val="both"/>
        <w:textAlignment w:val="auto"/>
        <w:rPr>
          <w:rFonts w:hint="eastAsia" w:asciiTheme="majorEastAsia" w:hAnsiTheme="majorEastAsia" w:eastAsiaTheme="majorEastAsia" w:cstheme="majorEastAsia"/>
          <w:b/>
          <w:bCs/>
          <w:color w:val="auto"/>
        </w:rPr>
      </w:pPr>
    </w:p>
    <w:tbl>
      <w:tblPr>
        <w:tblStyle w:val="47"/>
        <w:tblW w:w="928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7"/>
        <w:gridCol w:w="464"/>
        <w:gridCol w:w="1547"/>
        <w:gridCol w:w="328"/>
        <w:gridCol w:w="1218"/>
        <w:gridCol w:w="674"/>
        <w:gridCol w:w="873"/>
        <w:gridCol w:w="711"/>
        <w:gridCol w:w="835"/>
        <w:gridCol w:w="272"/>
        <w:gridCol w:w="1280"/>
      </w:tblGrid>
      <w:tr w14:paraId="7B0D0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087" w:type="dxa"/>
            <w:vAlign w:val="top"/>
          </w:tcPr>
          <w:p w14:paraId="2C58445E">
            <w:pPr>
              <w:spacing w:before="202" w:line="228" w:lineRule="auto"/>
              <w:ind w:left="340"/>
              <w:rPr>
                <w:rFonts w:hint="eastAsia" w:ascii="宋体" w:hAnsi="宋体" w:eastAsia="宋体" w:cs="宋体"/>
                <w:color w:val="auto"/>
                <w:sz w:val="21"/>
                <w:szCs w:val="21"/>
              </w:rPr>
            </w:pPr>
            <w:r>
              <w:rPr>
                <w:rFonts w:hint="eastAsia" w:ascii="宋体" w:hAnsi="宋体" w:eastAsia="宋体" w:cs="宋体"/>
                <w:color w:val="auto"/>
                <w:spacing w:val="5"/>
                <w:sz w:val="21"/>
                <w:szCs w:val="21"/>
              </w:rPr>
              <w:t>姓</w:t>
            </w:r>
            <w:r>
              <w:rPr>
                <w:rFonts w:hint="eastAsia" w:ascii="宋体" w:hAnsi="宋体" w:eastAsia="宋体" w:cs="宋体"/>
                <w:color w:val="auto"/>
                <w:spacing w:val="4"/>
                <w:sz w:val="21"/>
                <w:szCs w:val="21"/>
              </w:rPr>
              <w:t>名</w:t>
            </w:r>
          </w:p>
        </w:tc>
        <w:tc>
          <w:tcPr>
            <w:tcW w:w="2339" w:type="dxa"/>
            <w:gridSpan w:val="3"/>
            <w:vAlign w:val="top"/>
          </w:tcPr>
          <w:p w14:paraId="71E49D99">
            <w:pPr>
              <w:rPr>
                <w:rFonts w:hint="eastAsia" w:ascii="宋体" w:hAnsi="宋体" w:eastAsia="宋体" w:cs="宋体"/>
                <w:color w:val="auto"/>
                <w:sz w:val="21"/>
                <w:szCs w:val="21"/>
              </w:rPr>
            </w:pPr>
          </w:p>
        </w:tc>
        <w:tc>
          <w:tcPr>
            <w:tcW w:w="1892" w:type="dxa"/>
            <w:gridSpan w:val="2"/>
            <w:vAlign w:val="top"/>
          </w:tcPr>
          <w:p w14:paraId="05A3CAA1">
            <w:pPr>
              <w:spacing w:before="202" w:line="229" w:lineRule="auto"/>
              <w:ind w:left="742"/>
              <w:rPr>
                <w:rFonts w:hint="eastAsia" w:ascii="宋体" w:hAnsi="宋体" w:eastAsia="宋体" w:cs="宋体"/>
                <w:color w:val="auto"/>
                <w:sz w:val="21"/>
                <w:szCs w:val="21"/>
              </w:rPr>
            </w:pPr>
            <w:r>
              <w:rPr>
                <w:rFonts w:hint="eastAsia" w:ascii="宋体" w:hAnsi="宋体" w:eastAsia="宋体" w:cs="宋体"/>
                <w:color w:val="auto"/>
                <w:spacing w:val="5"/>
                <w:sz w:val="21"/>
                <w:szCs w:val="21"/>
              </w:rPr>
              <w:t>性</w:t>
            </w:r>
            <w:r>
              <w:rPr>
                <w:rFonts w:hint="eastAsia" w:ascii="宋体" w:hAnsi="宋体" w:eastAsia="宋体" w:cs="宋体"/>
                <w:color w:val="auto"/>
                <w:spacing w:val="4"/>
                <w:sz w:val="21"/>
                <w:szCs w:val="21"/>
              </w:rPr>
              <w:t>别</w:t>
            </w:r>
          </w:p>
        </w:tc>
        <w:tc>
          <w:tcPr>
            <w:tcW w:w="1584" w:type="dxa"/>
            <w:gridSpan w:val="2"/>
            <w:vAlign w:val="top"/>
          </w:tcPr>
          <w:p w14:paraId="06C615C1">
            <w:pPr>
              <w:rPr>
                <w:rFonts w:hint="eastAsia" w:ascii="宋体" w:hAnsi="宋体" w:eastAsia="宋体" w:cs="宋体"/>
                <w:color w:val="auto"/>
                <w:sz w:val="21"/>
                <w:szCs w:val="21"/>
              </w:rPr>
            </w:pPr>
          </w:p>
        </w:tc>
        <w:tc>
          <w:tcPr>
            <w:tcW w:w="1107" w:type="dxa"/>
            <w:gridSpan w:val="2"/>
            <w:vAlign w:val="top"/>
          </w:tcPr>
          <w:p w14:paraId="2A8760D4">
            <w:pPr>
              <w:spacing w:before="202" w:line="228" w:lineRule="auto"/>
              <w:ind w:left="356"/>
              <w:rPr>
                <w:rFonts w:hint="eastAsia" w:ascii="宋体" w:hAnsi="宋体" w:eastAsia="宋体" w:cs="宋体"/>
                <w:color w:val="auto"/>
                <w:sz w:val="21"/>
                <w:szCs w:val="21"/>
              </w:rPr>
            </w:pPr>
            <w:r>
              <w:rPr>
                <w:rFonts w:hint="eastAsia" w:ascii="宋体" w:hAnsi="宋体" w:eastAsia="宋体" w:cs="宋体"/>
                <w:color w:val="auto"/>
                <w:spacing w:val="4"/>
                <w:sz w:val="21"/>
                <w:szCs w:val="21"/>
              </w:rPr>
              <w:t>年龄</w:t>
            </w:r>
          </w:p>
        </w:tc>
        <w:tc>
          <w:tcPr>
            <w:tcW w:w="1280" w:type="dxa"/>
            <w:vAlign w:val="top"/>
          </w:tcPr>
          <w:p w14:paraId="3CDE67A5">
            <w:pPr>
              <w:rPr>
                <w:rFonts w:hint="eastAsia" w:ascii="宋体" w:hAnsi="宋体" w:eastAsia="宋体" w:cs="宋体"/>
                <w:color w:val="auto"/>
                <w:sz w:val="21"/>
                <w:szCs w:val="21"/>
              </w:rPr>
            </w:pPr>
          </w:p>
        </w:tc>
      </w:tr>
      <w:tr w14:paraId="6084C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1087" w:type="dxa"/>
            <w:vAlign w:val="top"/>
          </w:tcPr>
          <w:p w14:paraId="1EB39D3D">
            <w:pPr>
              <w:spacing w:before="210" w:line="228" w:lineRule="auto"/>
              <w:ind w:left="341"/>
              <w:rPr>
                <w:rFonts w:hint="eastAsia" w:ascii="宋体" w:hAnsi="宋体" w:eastAsia="宋体" w:cs="宋体"/>
                <w:color w:val="auto"/>
                <w:sz w:val="21"/>
                <w:szCs w:val="21"/>
              </w:rPr>
            </w:pPr>
            <w:r>
              <w:rPr>
                <w:rFonts w:hint="eastAsia" w:ascii="宋体" w:hAnsi="宋体" w:eastAsia="宋体" w:cs="宋体"/>
                <w:color w:val="auto"/>
                <w:spacing w:val="4"/>
                <w:sz w:val="21"/>
                <w:szCs w:val="21"/>
              </w:rPr>
              <w:t>职务</w:t>
            </w:r>
          </w:p>
        </w:tc>
        <w:tc>
          <w:tcPr>
            <w:tcW w:w="2339" w:type="dxa"/>
            <w:gridSpan w:val="3"/>
            <w:vAlign w:val="top"/>
          </w:tcPr>
          <w:p w14:paraId="65DC87B4">
            <w:pPr>
              <w:rPr>
                <w:rFonts w:hint="eastAsia" w:ascii="宋体" w:hAnsi="宋体" w:eastAsia="宋体" w:cs="宋体"/>
                <w:color w:val="auto"/>
                <w:sz w:val="21"/>
                <w:szCs w:val="21"/>
              </w:rPr>
            </w:pPr>
          </w:p>
        </w:tc>
        <w:tc>
          <w:tcPr>
            <w:tcW w:w="1892" w:type="dxa"/>
            <w:gridSpan w:val="2"/>
            <w:vAlign w:val="top"/>
          </w:tcPr>
          <w:p w14:paraId="2D77B28D">
            <w:pPr>
              <w:spacing w:before="209" w:line="231" w:lineRule="auto"/>
              <w:ind w:left="743"/>
              <w:rPr>
                <w:rFonts w:hint="eastAsia" w:ascii="宋体" w:hAnsi="宋体" w:eastAsia="宋体" w:cs="宋体"/>
                <w:color w:val="auto"/>
                <w:sz w:val="21"/>
                <w:szCs w:val="21"/>
              </w:rPr>
            </w:pPr>
            <w:r>
              <w:rPr>
                <w:rFonts w:hint="eastAsia" w:ascii="宋体" w:hAnsi="宋体" w:eastAsia="宋体" w:cs="宋体"/>
                <w:color w:val="auto"/>
                <w:spacing w:val="4"/>
                <w:sz w:val="21"/>
                <w:szCs w:val="21"/>
              </w:rPr>
              <w:t>职称</w:t>
            </w:r>
          </w:p>
        </w:tc>
        <w:tc>
          <w:tcPr>
            <w:tcW w:w="1584" w:type="dxa"/>
            <w:gridSpan w:val="2"/>
            <w:vAlign w:val="top"/>
          </w:tcPr>
          <w:p w14:paraId="31A1CE02">
            <w:pPr>
              <w:rPr>
                <w:rFonts w:hint="eastAsia" w:ascii="宋体" w:hAnsi="宋体" w:eastAsia="宋体" w:cs="宋体"/>
                <w:color w:val="auto"/>
                <w:sz w:val="21"/>
                <w:szCs w:val="21"/>
              </w:rPr>
            </w:pPr>
          </w:p>
        </w:tc>
        <w:tc>
          <w:tcPr>
            <w:tcW w:w="1107" w:type="dxa"/>
            <w:gridSpan w:val="2"/>
            <w:vAlign w:val="top"/>
          </w:tcPr>
          <w:p w14:paraId="6166D58B">
            <w:pPr>
              <w:spacing w:before="209" w:line="230" w:lineRule="auto"/>
              <w:ind w:left="359"/>
              <w:rPr>
                <w:rFonts w:hint="eastAsia" w:ascii="宋体" w:hAnsi="宋体" w:eastAsia="宋体" w:cs="宋体"/>
                <w:color w:val="auto"/>
                <w:sz w:val="21"/>
                <w:szCs w:val="21"/>
              </w:rPr>
            </w:pPr>
            <w:r>
              <w:rPr>
                <w:rFonts w:hint="eastAsia" w:ascii="宋体" w:hAnsi="宋体" w:eastAsia="宋体" w:cs="宋体"/>
                <w:color w:val="auto"/>
                <w:spacing w:val="3"/>
                <w:sz w:val="21"/>
                <w:szCs w:val="21"/>
              </w:rPr>
              <w:t>学</w:t>
            </w:r>
            <w:r>
              <w:rPr>
                <w:rFonts w:hint="eastAsia" w:ascii="宋体" w:hAnsi="宋体" w:eastAsia="宋体" w:cs="宋体"/>
                <w:color w:val="auto"/>
                <w:spacing w:val="2"/>
                <w:sz w:val="21"/>
                <w:szCs w:val="21"/>
              </w:rPr>
              <w:t>历</w:t>
            </w:r>
          </w:p>
        </w:tc>
        <w:tc>
          <w:tcPr>
            <w:tcW w:w="1280" w:type="dxa"/>
            <w:vAlign w:val="top"/>
          </w:tcPr>
          <w:p w14:paraId="14074DB7">
            <w:pPr>
              <w:rPr>
                <w:rFonts w:hint="eastAsia" w:ascii="宋体" w:hAnsi="宋体" w:eastAsia="宋体" w:cs="宋体"/>
                <w:color w:val="auto"/>
                <w:sz w:val="21"/>
                <w:szCs w:val="21"/>
              </w:rPr>
            </w:pPr>
          </w:p>
        </w:tc>
      </w:tr>
      <w:tr w14:paraId="5B8C4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3426" w:type="dxa"/>
            <w:gridSpan w:val="4"/>
            <w:vAlign w:val="top"/>
          </w:tcPr>
          <w:p w14:paraId="19CD697D">
            <w:pPr>
              <w:spacing w:before="200" w:line="229" w:lineRule="auto"/>
              <w:ind w:left="1093"/>
              <w:rPr>
                <w:rFonts w:hint="eastAsia" w:ascii="宋体" w:hAnsi="宋体" w:eastAsia="宋体" w:cs="宋体"/>
                <w:color w:val="auto"/>
                <w:sz w:val="21"/>
                <w:szCs w:val="21"/>
              </w:rPr>
            </w:pPr>
            <w:r>
              <w:rPr>
                <w:rFonts w:hint="eastAsia" w:ascii="宋体" w:hAnsi="宋体" w:eastAsia="宋体" w:cs="宋体"/>
                <w:color w:val="auto"/>
                <w:spacing w:val="8"/>
                <w:sz w:val="21"/>
                <w:szCs w:val="21"/>
              </w:rPr>
              <w:t>参加工作时</w:t>
            </w:r>
            <w:r>
              <w:rPr>
                <w:rFonts w:hint="eastAsia" w:ascii="宋体" w:hAnsi="宋体" w:eastAsia="宋体" w:cs="宋体"/>
                <w:color w:val="auto"/>
                <w:spacing w:val="7"/>
                <w:sz w:val="21"/>
                <w:szCs w:val="21"/>
              </w:rPr>
              <w:t>间</w:t>
            </w:r>
          </w:p>
        </w:tc>
        <w:tc>
          <w:tcPr>
            <w:tcW w:w="1892" w:type="dxa"/>
            <w:gridSpan w:val="2"/>
            <w:vAlign w:val="top"/>
          </w:tcPr>
          <w:p w14:paraId="784053F7">
            <w:pPr>
              <w:rPr>
                <w:rFonts w:hint="eastAsia" w:ascii="宋体" w:hAnsi="宋体" w:eastAsia="宋体" w:cs="宋体"/>
                <w:color w:val="auto"/>
                <w:sz w:val="21"/>
                <w:szCs w:val="21"/>
              </w:rPr>
            </w:pPr>
          </w:p>
        </w:tc>
        <w:tc>
          <w:tcPr>
            <w:tcW w:w="2691" w:type="dxa"/>
            <w:gridSpan w:val="4"/>
            <w:vAlign w:val="top"/>
          </w:tcPr>
          <w:p w14:paraId="0A0D4411">
            <w:pPr>
              <w:spacing w:before="200" w:line="228" w:lineRule="auto"/>
              <w:ind w:left="514"/>
              <w:rPr>
                <w:rFonts w:hint="eastAsia" w:ascii="宋体" w:hAnsi="宋体" w:eastAsia="宋体" w:cs="宋体"/>
                <w:color w:val="auto"/>
                <w:sz w:val="21"/>
                <w:szCs w:val="21"/>
              </w:rPr>
            </w:pPr>
            <w:r>
              <w:rPr>
                <w:rFonts w:hint="eastAsia" w:ascii="宋体" w:hAnsi="宋体" w:eastAsia="宋体" w:cs="宋体"/>
                <w:color w:val="auto"/>
                <w:spacing w:val="12"/>
                <w:sz w:val="21"/>
                <w:szCs w:val="21"/>
              </w:rPr>
              <w:t>担</w:t>
            </w:r>
            <w:r>
              <w:rPr>
                <w:rFonts w:hint="eastAsia" w:ascii="宋体" w:hAnsi="宋体" w:eastAsia="宋体" w:cs="宋体"/>
                <w:color w:val="auto"/>
                <w:spacing w:val="8"/>
                <w:sz w:val="21"/>
                <w:szCs w:val="21"/>
              </w:rPr>
              <w:t>任项目经理年限</w:t>
            </w:r>
          </w:p>
        </w:tc>
        <w:tc>
          <w:tcPr>
            <w:tcW w:w="1280" w:type="dxa"/>
            <w:vAlign w:val="top"/>
          </w:tcPr>
          <w:p w14:paraId="5E3C3B34">
            <w:pPr>
              <w:rPr>
                <w:rFonts w:hint="eastAsia" w:ascii="宋体" w:hAnsi="宋体" w:eastAsia="宋体" w:cs="宋体"/>
                <w:color w:val="auto"/>
                <w:sz w:val="21"/>
                <w:szCs w:val="21"/>
              </w:rPr>
            </w:pPr>
          </w:p>
        </w:tc>
      </w:tr>
      <w:tr w14:paraId="11F3B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3426" w:type="dxa"/>
            <w:gridSpan w:val="4"/>
            <w:vAlign w:val="top"/>
          </w:tcPr>
          <w:p w14:paraId="4E9D2933">
            <w:pPr>
              <w:spacing w:before="131" w:line="228" w:lineRule="auto"/>
              <w:ind w:left="991"/>
              <w:rPr>
                <w:rFonts w:hint="eastAsia" w:ascii="宋体" w:hAnsi="宋体" w:eastAsia="宋体" w:cs="宋体"/>
                <w:color w:val="auto"/>
                <w:sz w:val="21"/>
                <w:szCs w:val="21"/>
              </w:rPr>
            </w:pPr>
            <w:r>
              <w:rPr>
                <w:rFonts w:hint="eastAsia" w:ascii="宋体" w:hAnsi="宋体" w:eastAsia="宋体" w:cs="宋体"/>
                <w:color w:val="auto"/>
                <w:spacing w:val="10"/>
                <w:sz w:val="21"/>
                <w:szCs w:val="21"/>
              </w:rPr>
              <w:t>建</w:t>
            </w:r>
            <w:r>
              <w:rPr>
                <w:rFonts w:hint="eastAsia" w:ascii="宋体" w:hAnsi="宋体" w:eastAsia="宋体" w:cs="宋体"/>
                <w:color w:val="auto"/>
                <w:spacing w:val="8"/>
                <w:sz w:val="21"/>
                <w:szCs w:val="21"/>
              </w:rPr>
              <w:t>造师注册编号</w:t>
            </w:r>
          </w:p>
        </w:tc>
        <w:tc>
          <w:tcPr>
            <w:tcW w:w="5863" w:type="dxa"/>
            <w:gridSpan w:val="7"/>
            <w:vAlign w:val="top"/>
          </w:tcPr>
          <w:p w14:paraId="30E2F852">
            <w:pPr>
              <w:rPr>
                <w:rFonts w:hint="eastAsia" w:ascii="宋体" w:hAnsi="宋体" w:eastAsia="宋体" w:cs="宋体"/>
                <w:color w:val="auto"/>
                <w:sz w:val="21"/>
                <w:szCs w:val="21"/>
              </w:rPr>
            </w:pPr>
          </w:p>
        </w:tc>
      </w:tr>
      <w:tr w14:paraId="2B005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289" w:type="dxa"/>
            <w:gridSpan w:val="11"/>
            <w:vAlign w:val="top"/>
          </w:tcPr>
          <w:p w14:paraId="0C3C522D">
            <w:pPr>
              <w:spacing w:before="209" w:line="228" w:lineRule="auto"/>
              <w:ind w:left="3496"/>
              <w:rPr>
                <w:rFonts w:hint="eastAsia" w:ascii="宋体" w:hAnsi="宋体" w:eastAsia="宋体" w:cs="宋体"/>
                <w:color w:val="auto"/>
                <w:sz w:val="21"/>
                <w:szCs w:val="21"/>
              </w:rPr>
            </w:pPr>
            <w:r>
              <w:rPr>
                <w:rFonts w:hint="eastAsia" w:ascii="宋体" w:hAnsi="宋体" w:eastAsia="宋体" w:cs="宋体"/>
                <w:color w:val="auto"/>
                <w:spacing w:val="11"/>
                <w:sz w:val="21"/>
                <w:szCs w:val="21"/>
              </w:rPr>
              <w:t>在</w:t>
            </w:r>
            <w:r>
              <w:rPr>
                <w:rFonts w:hint="eastAsia" w:ascii="宋体" w:hAnsi="宋体" w:eastAsia="宋体" w:cs="宋体"/>
                <w:color w:val="auto"/>
                <w:spacing w:val="9"/>
                <w:sz w:val="21"/>
                <w:szCs w:val="21"/>
              </w:rPr>
              <w:t>建和已完工程项目情况</w:t>
            </w:r>
          </w:p>
        </w:tc>
      </w:tr>
      <w:tr w14:paraId="353C7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551" w:type="dxa"/>
            <w:gridSpan w:val="2"/>
            <w:vAlign w:val="top"/>
          </w:tcPr>
          <w:p w14:paraId="5F0172B9">
            <w:pPr>
              <w:spacing w:before="201" w:line="229" w:lineRule="auto"/>
              <w:ind w:left="367"/>
              <w:rPr>
                <w:rFonts w:hint="eastAsia" w:ascii="宋体" w:hAnsi="宋体" w:eastAsia="宋体" w:cs="宋体"/>
                <w:color w:val="auto"/>
                <w:sz w:val="21"/>
                <w:szCs w:val="21"/>
              </w:rPr>
            </w:pPr>
            <w:r>
              <w:rPr>
                <w:rFonts w:hint="eastAsia" w:ascii="宋体" w:hAnsi="宋体" w:eastAsia="宋体" w:cs="宋体"/>
                <w:color w:val="auto"/>
                <w:spacing w:val="9"/>
                <w:sz w:val="21"/>
                <w:szCs w:val="21"/>
              </w:rPr>
              <w:t>建</w:t>
            </w:r>
            <w:r>
              <w:rPr>
                <w:rFonts w:hint="eastAsia" w:ascii="宋体" w:hAnsi="宋体" w:eastAsia="宋体" w:cs="宋体"/>
                <w:color w:val="auto"/>
                <w:spacing w:val="6"/>
                <w:sz w:val="21"/>
                <w:szCs w:val="21"/>
              </w:rPr>
              <w:t>设单位</w:t>
            </w:r>
          </w:p>
        </w:tc>
        <w:tc>
          <w:tcPr>
            <w:tcW w:w="1547" w:type="dxa"/>
            <w:vAlign w:val="top"/>
          </w:tcPr>
          <w:p w14:paraId="732ED8C2">
            <w:pPr>
              <w:spacing w:before="201" w:line="229" w:lineRule="auto"/>
              <w:ind w:left="365"/>
              <w:rPr>
                <w:rFonts w:hint="eastAsia" w:ascii="宋体" w:hAnsi="宋体" w:eastAsia="宋体" w:cs="宋体"/>
                <w:color w:val="auto"/>
                <w:sz w:val="21"/>
                <w:szCs w:val="21"/>
              </w:rPr>
            </w:pPr>
            <w:r>
              <w:rPr>
                <w:rFonts w:hint="eastAsia" w:ascii="宋体" w:hAnsi="宋体" w:eastAsia="宋体" w:cs="宋体"/>
                <w:color w:val="auto"/>
                <w:spacing w:val="8"/>
                <w:sz w:val="21"/>
                <w:szCs w:val="21"/>
              </w:rPr>
              <w:t>项</w:t>
            </w:r>
            <w:r>
              <w:rPr>
                <w:rFonts w:hint="eastAsia" w:ascii="宋体" w:hAnsi="宋体" w:eastAsia="宋体" w:cs="宋体"/>
                <w:color w:val="auto"/>
                <w:spacing w:val="6"/>
                <w:sz w:val="21"/>
                <w:szCs w:val="21"/>
              </w:rPr>
              <w:t>目名称</w:t>
            </w:r>
          </w:p>
        </w:tc>
        <w:tc>
          <w:tcPr>
            <w:tcW w:w="1546" w:type="dxa"/>
            <w:gridSpan w:val="2"/>
            <w:vAlign w:val="top"/>
          </w:tcPr>
          <w:p w14:paraId="4A8E5614">
            <w:pPr>
              <w:spacing w:before="201" w:line="228" w:lineRule="auto"/>
              <w:ind w:left="365"/>
              <w:rPr>
                <w:rFonts w:hint="eastAsia" w:ascii="宋体" w:hAnsi="宋体" w:eastAsia="宋体" w:cs="宋体"/>
                <w:color w:val="auto"/>
                <w:sz w:val="21"/>
                <w:szCs w:val="21"/>
              </w:rPr>
            </w:pPr>
            <w:r>
              <w:rPr>
                <w:rFonts w:hint="eastAsia" w:ascii="宋体" w:hAnsi="宋体" w:eastAsia="宋体" w:cs="宋体"/>
                <w:color w:val="auto"/>
                <w:spacing w:val="9"/>
                <w:sz w:val="21"/>
                <w:szCs w:val="21"/>
              </w:rPr>
              <w:t>建</w:t>
            </w:r>
            <w:r>
              <w:rPr>
                <w:rFonts w:hint="eastAsia" w:ascii="宋体" w:hAnsi="宋体" w:eastAsia="宋体" w:cs="宋体"/>
                <w:color w:val="auto"/>
                <w:spacing w:val="6"/>
                <w:sz w:val="21"/>
                <w:szCs w:val="21"/>
              </w:rPr>
              <w:t>设规模</w:t>
            </w:r>
          </w:p>
        </w:tc>
        <w:tc>
          <w:tcPr>
            <w:tcW w:w="1547" w:type="dxa"/>
            <w:gridSpan w:val="2"/>
            <w:vAlign w:val="top"/>
          </w:tcPr>
          <w:p w14:paraId="55763469">
            <w:pPr>
              <w:spacing w:before="201" w:line="230" w:lineRule="auto"/>
              <w:ind w:left="154"/>
              <w:rPr>
                <w:rFonts w:hint="eastAsia" w:ascii="宋体" w:hAnsi="宋体" w:eastAsia="宋体" w:cs="宋体"/>
                <w:color w:val="auto"/>
                <w:sz w:val="21"/>
                <w:szCs w:val="21"/>
              </w:rPr>
            </w:pPr>
            <w:r>
              <w:rPr>
                <w:rFonts w:hint="eastAsia" w:ascii="宋体" w:hAnsi="宋体" w:eastAsia="宋体" w:cs="宋体"/>
                <w:color w:val="auto"/>
                <w:spacing w:val="8"/>
                <w:sz w:val="21"/>
                <w:szCs w:val="21"/>
              </w:rPr>
              <w:t>开、竣工日期</w:t>
            </w:r>
          </w:p>
        </w:tc>
        <w:tc>
          <w:tcPr>
            <w:tcW w:w="1546" w:type="dxa"/>
            <w:gridSpan w:val="2"/>
            <w:vAlign w:val="top"/>
          </w:tcPr>
          <w:p w14:paraId="4CC4120E">
            <w:pPr>
              <w:spacing w:before="201" w:line="228" w:lineRule="auto"/>
              <w:ind w:left="257"/>
              <w:rPr>
                <w:rFonts w:hint="eastAsia" w:ascii="宋体" w:hAnsi="宋体" w:eastAsia="宋体" w:cs="宋体"/>
                <w:color w:val="auto"/>
                <w:sz w:val="21"/>
                <w:szCs w:val="21"/>
              </w:rPr>
            </w:pPr>
            <w:r>
              <w:rPr>
                <w:rFonts w:hint="eastAsia" w:ascii="宋体" w:hAnsi="宋体" w:eastAsia="宋体" w:cs="宋体"/>
                <w:color w:val="auto"/>
                <w:spacing w:val="9"/>
                <w:sz w:val="21"/>
                <w:szCs w:val="21"/>
              </w:rPr>
              <w:t>在</w:t>
            </w:r>
            <w:r>
              <w:rPr>
                <w:rFonts w:hint="eastAsia" w:ascii="宋体" w:hAnsi="宋体" w:eastAsia="宋体" w:cs="宋体"/>
                <w:color w:val="auto"/>
                <w:spacing w:val="8"/>
                <w:sz w:val="21"/>
                <w:szCs w:val="21"/>
              </w:rPr>
              <w:t>建或已完</w:t>
            </w:r>
          </w:p>
        </w:tc>
        <w:tc>
          <w:tcPr>
            <w:tcW w:w="1552" w:type="dxa"/>
            <w:gridSpan w:val="2"/>
            <w:vAlign w:val="top"/>
          </w:tcPr>
          <w:p w14:paraId="65D553E9">
            <w:pPr>
              <w:spacing w:before="201" w:line="229" w:lineRule="auto"/>
              <w:ind w:left="370"/>
              <w:rPr>
                <w:rFonts w:hint="eastAsia" w:ascii="宋体" w:hAnsi="宋体" w:eastAsia="宋体" w:cs="宋体"/>
                <w:color w:val="auto"/>
                <w:sz w:val="21"/>
                <w:szCs w:val="21"/>
              </w:rPr>
            </w:pPr>
            <w:r>
              <w:rPr>
                <w:rFonts w:hint="eastAsia" w:ascii="宋体" w:hAnsi="宋体" w:eastAsia="宋体" w:cs="宋体"/>
                <w:color w:val="auto"/>
                <w:spacing w:val="9"/>
                <w:sz w:val="21"/>
                <w:szCs w:val="21"/>
              </w:rPr>
              <w:t>工</w:t>
            </w:r>
            <w:r>
              <w:rPr>
                <w:rFonts w:hint="eastAsia" w:ascii="宋体" w:hAnsi="宋体" w:eastAsia="宋体" w:cs="宋体"/>
                <w:color w:val="auto"/>
                <w:spacing w:val="6"/>
                <w:sz w:val="21"/>
                <w:szCs w:val="21"/>
              </w:rPr>
              <w:t>程质量</w:t>
            </w:r>
          </w:p>
        </w:tc>
      </w:tr>
      <w:tr w14:paraId="49156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551" w:type="dxa"/>
            <w:gridSpan w:val="2"/>
            <w:vAlign w:val="top"/>
          </w:tcPr>
          <w:p w14:paraId="6678AF10">
            <w:pPr>
              <w:rPr>
                <w:rFonts w:hint="eastAsia" w:ascii="宋体" w:hAnsi="宋体" w:eastAsia="宋体" w:cs="宋体"/>
                <w:color w:val="auto"/>
                <w:sz w:val="21"/>
                <w:szCs w:val="21"/>
              </w:rPr>
            </w:pPr>
          </w:p>
        </w:tc>
        <w:tc>
          <w:tcPr>
            <w:tcW w:w="1547" w:type="dxa"/>
            <w:vAlign w:val="top"/>
          </w:tcPr>
          <w:p w14:paraId="53DB6C13">
            <w:pPr>
              <w:rPr>
                <w:rFonts w:hint="eastAsia" w:ascii="宋体" w:hAnsi="宋体" w:eastAsia="宋体" w:cs="宋体"/>
                <w:color w:val="auto"/>
                <w:sz w:val="21"/>
                <w:szCs w:val="21"/>
              </w:rPr>
            </w:pPr>
          </w:p>
        </w:tc>
        <w:tc>
          <w:tcPr>
            <w:tcW w:w="1546" w:type="dxa"/>
            <w:gridSpan w:val="2"/>
            <w:vAlign w:val="top"/>
          </w:tcPr>
          <w:p w14:paraId="1864A13E">
            <w:pPr>
              <w:rPr>
                <w:rFonts w:hint="eastAsia" w:ascii="宋体" w:hAnsi="宋体" w:eastAsia="宋体" w:cs="宋体"/>
                <w:color w:val="auto"/>
                <w:sz w:val="21"/>
                <w:szCs w:val="21"/>
              </w:rPr>
            </w:pPr>
          </w:p>
        </w:tc>
        <w:tc>
          <w:tcPr>
            <w:tcW w:w="1547" w:type="dxa"/>
            <w:gridSpan w:val="2"/>
            <w:vAlign w:val="top"/>
          </w:tcPr>
          <w:p w14:paraId="27DC9333">
            <w:pPr>
              <w:rPr>
                <w:rFonts w:hint="eastAsia" w:ascii="宋体" w:hAnsi="宋体" w:eastAsia="宋体" w:cs="宋体"/>
                <w:color w:val="auto"/>
                <w:sz w:val="21"/>
                <w:szCs w:val="21"/>
              </w:rPr>
            </w:pPr>
          </w:p>
        </w:tc>
        <w:tc>
          <w:tcPr>
            <w:tcW w:w="1546" w:type="dxa"/>
            <w:gridSpan w:val="2"/>
            <w:vAlign w:val="top"/>
          </w:tcPr>
          <w:p w14:paraId="4D8E95AB">
            <w:pPr>
              <w:rPr>
                <w:rFonts w:hint="eastAsia" w:ascii="宋体" w:hAnsi="宋体" w:eastAsia="宋体" w:cs="宋体"/>
                <w:color w:val="auto"/>
                <w:sz w:val="21"/>
                <w:szCs w:val="21"/>
              </w:rPr>
            </w:pPr>
          </w:p>
        </w:tc>
        <w:tc>
          <w:tcPr>
            <w:tcW w:w="1552" w:type="dxa"/>
            <w:gridSpan w:val="2"/>
            <w:vAlign w:val="top"/>
          </w:tcPr>
          <w:p w14:paraId="4068F452">
            <w:pPr>
              <w:rPr>
                <w:rFonts w:hint="eastAsia" w:ascii="宋体" w:hAnsi="宋体" w:eastAsia="宋体" w:cs="宋体"/>
                <w:color w:val="auto"/>
                <w:sz w:val="21"/>
                <w:szCs w:val="21"/>
              </w:rPr>
            </w:pPr>
          </w:p>
        </w:tc>
      </w:tr>
      <w:tr w14:paraId="5702C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1551" w:type="dxa"/>
            <w:gridSpan w:val="2"/>
            <w:vAlign w:val="top"/>
          </w:tcPr>
          <w:p w14:paraId="7CA2C755">
            <w:pPr>
              <w:rPr>
                <w:rFonts w:hint="eastAsia" w:ascii="宋体" w:hAnsi="宋体" w:eastAsia="宋体" w:cs="宋体"/>
                <w:color w:val="auto"/>
                <w:sz w:val="21"/>
                <w:szCs w:val="21"/>
              </w:rPr>
            </w:pPr>
          </w:p>
        </w:tc>
        <w:tc>
          <w:tcPr>
            <w:tcW w:w="1547" w:type="dxa"/>
            <w:vAlign w:val="top"/>
          </w:tcPr>
          <w:p w14:paraId="27125BB7">
            <w:pPr>
              <w:rPr>
                <w:rFonts w:hint="eastAsia" w:ascii="宋体" w:hAnsi="宋体" w:eastAsia="宋体" w:cs="宋体"/>
                <w:color w:val="auto"/>
                <w:sz w:val="21"/>
                <w:szCs w:val="21"/>
              </w:rPr>
            </w:pPr>
          </w:p>
        </w:tc>
        <w:tc>
          <w:tcPr>
            <w:tcW w:w="1546" w:type="dxa"/>
            <w:gridSpan w:val="2"/>
            <w:vAlign w:val="top"/>
          </w:tcPr>
          <w:p w14:paraId="000962E6">
            <w:pPr>
              <w:rPr>
                <w:rFonts w:hint="eastAsia" w:ascii="宋体" w:hAnsi="宋体" w:eastAsia="宋体" w:cs="宋体"/>
                <w:color w:val="auto"/>
                <w:sz w:val="21"/>
                <w:szCs w:val="21"/>
              </w:rPr>
            </w:pPr>
          </w:p>
        </w:tc>
        <w:tc>
          <w:tcPr>
            <w:tcW w:w="1547" w:type="dxa"/>
            <w:gridSpan w:val="2"/>
            <w:vAlign w:val="top"/>
          </w:tcPr>
          <w:p w14:paraId="52A3B341">
            <w:pPr>
              <w:rPr>
                <w:rFonts w:hint="eastAsia" w:ascii="宋体" w:hAnsi="宋体" w:eastAsia="宋体" w:cs="宋体"/>
                <w:color w:val="auto"/>
                <w:sz w:val="21"/>
                <w:szCs w:val="21"/>
              </w:rPr>
            </w:pPr>
          </w:p>
        </w:tc>
        <w:tc>
          <w:tcPr>
            <w:tcW w:w="1546" w:type="dxa"/>
            <w:gridSpan w:val="2"/>
            <w:vAlign w:val="top"/>
          </w:tcPr>
          <w:p w14:paraId="4D8A0C29">
            <w:pPr>
              <w:rPr>
                <w:rFonts w:hint="eastAsia" w:ascii="宋体" w:hAnsi="宋体" w:eastAsia="宋体" w:cs="宋体"/>
                <w:color w:val="auto"/>
                <w:sz w:val="21"/>
                <w:szCs w:val="21"/>
              </w:rPr>
            </w:pPr>
          </w:p>
        </w:tc>
        <w:tc>
          <w:tcPr>
            <w:tcW w:w="1552" w:type="dxa"/>
            <w:gridSpan w:val="2"/>
            <w:vAlign w:val="top"/>
          </w:tcPr>
          <w:p w14:paraId="1F9F2CA5">
            <w:pPr>
              <w:rPr>
                <w:rFonts w:hint="eastAsia" w:ascii="宋体" w:hAnsi="宋体" w:eastAsia="宋体" w:cs="宋体"/>
                <w:color w:val="auto"/>
                <w:sz w:val="21"/>
                <w:szCs w:val="21"/>
              </w:rPr>
            </w:pPr>
          </w:p>
        </w:tc>
      </w:tr>
      <w:tr w14:paraId="1495D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1551" w:type="dxa"/>
            <w:gridSpan w:val="2"/>
            <w:vAlign w:val="top"/>
          </w:tcPr>
          <w:p w14:paraId="07A58043">
            <w:pPr>
              <w:rPr>
                <w:rFonts w:hint="eastAsia" w:ascii="宋体" w:hAnsi="宋体" w:eastAsia="宋体" w:cs="宋体"/>
                <w:color w:val="auto"/>
                <w:sz w:val="21"/>
                <w:szCs w:val="21"/>
              </w:rPr>
            </w:pPr>
          </w:p>
        </w:tc>
        <w:tc>
          <w:tcPr>
            <w:tcW w:w="1547" w:type="dxa"/>
            <w:vAlign w:val="top"/>
          </w:tcPr>
          <w:p w14:paraId="6F72E4CD">
            <w:pPr>
              <w:rPr>
                <w:rFonts w:hint="eastAsia" w:ascii="宋体" w:hAnsi="宋体" w:eastAsia="宋体" w:cs="宋体"/>
                <w:color w:val="auto"/>
                <w:sz w:val="21"/>
                <w:szCs w:val="21"/>
              </w:rPr>
            </w:pPr>
          </w:p>
        </w:tc>
        <w:tc>
          <w:tcPr>
            <w:tcW w:w="1546" w:type="dxa"/>
            <w:gridSpan w:val="2"/>
            <w:vAlign w:val="top"/>
          </w:tcPr>
          <w:p w14:paraId="047DF7D7">
            <w:pPr>
              <w:rPr>
                <w:rFonts w:hint="eastAsia" w:ascii="宋体" w:hAnsi="宋体" w:eastAsia="宋体" w:cs="宋体"/>
                <w:color w:val="auto"/>
                <w:sz w:val="21"/>
                <w:szCs w:val="21"/>
              </w:rPr>
            </w:pPr>
          </w:p>
        </w:tc>
        <w:tc>
          <w:tcPr>
            <w:tcW w:w="1547" w:type="dxa"/>
            <w:gridSpan w:val="2"/>
            <w:vAlign w:val="top"/>
          </w:tcPr>
          <w:p w14:paraId="03E37C7D">
            <w:pPr>
              <w:rPr>
                <w:rFonts w:hint="eastAsia" w:ascii="宋体" w:hAnsi="宋体" w:eastAsia="宋体" w:cs="宋体"/>
                <w:color w:val="auto"/>
                <w:sz w:val="21"/>
                <w:szCs w:val="21"/>
              </w:rPr>
            </w:pPr>
          </w:p>
        </w:tc>
        <w:tc>
          <w:tcPr>
            <w:tcW w:w="1546" w:type="dxa"/>
            <w:gridSpan w:val="2"/>
            <w:vAlign w:val="top"/>
          </w:tcPr>
          <w:p w14:paraId="30145659">
            <w:pPr>
              <w:rPr>
                <w:rFonts w:hint="eastAsia" w:ascii="宋体" w:hAnsi="宋体" w:eastAsia="宋体" w:cs="宋体"/>
                <w:color w:val="auto"/>
                <w:sz w:val="21"/>
                <w:szCs w:val="21"/>
              </w:rPr>
            </w:pPr>
          </w:p>
        </w:tc>
        <w:tc>
          <w:tcPr>
            <w:tcW w:w="1552" w:type="dxa"/>
            <w:gridSpan w:val="2"/>
            <w:vAlign w:val="top"/>
          </w:tcPr>
          <w:p w14:paraId="2366EA0C">
            <w:pPr>
              <w:rPr>
                <w:rFonts w:hint="eastAsia" w:ascii="宋体" w:hAnsi="宋体" w:eastAsia="宋体" w:cs="宋体"/>
                <w:color w:val="auto"/>
                <w:sz w:val="21"/>
                <w:szCs w:val="21"/>
              </w:rPr>
            </w:pPr>
          </w:p>
        </w:tc>
      </w:tr>
      <w:tr w14:paraId="35F3E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1551" w:type="dxa"/>
            <w:gridSpan w:val="2"/>
            <w:vAlign w:val="top"/>
          </w:tcPr>
          <w:p w14:paraId="66C7E987">
            <w:pPr>
              <w:rPr>
                <w:rFonts w:hint="eastAsia" w:ascii="宋体" w:hAnsi="宋体" w:eastAsia="宋体" w:cs="宋体"/>
                <w:color w:val="auto"/>
                <w:sz w:val="21"/>
                <w:szCs w:val="21"/>
              </w:rPr>
            </w:pPr>
          </w:p>
        </w:tc>
        <w:tc>
          <w:tcPr>
            <w:tcW w:w="1547" w:type="dxa"/>
            <w:vAlign w:val="top"/>
          </w:tcPr>
          <w:p w14:paraId="54BA6793">
            <w:pPr>
              <w:rPr>
                <w:rFonts w:hint="eastAsia" w:ascii="宋体" w:hAnsi="宋体" w:eastAsia="宋体" w:cs="宋体"/>
                <w:color w:val="auto"/>
                <w:sz w:val="21"/>
                <w:szCs w:val="21"/>
              </w:rPr>
            </w:pPr>
          </w:p>
        </w:tc>
        <w:tc>
          <w:tcPr>
            <w:tcW w:w="1546" w:type="dxa"/>
            <w:gridSpan w:val="2"/>
            <w:vAlign w:val="top"/>
          </w:tcPr>
          <w:p w14:paraId="358AD073">
            <w:pPr>
              <w:rPr>
                <w:rFonts w:hint="eastAsia" w:ascii="宋体" w:hAnsi="宋体" w:eastAsia="宋体" w:cs="宋体"/>
                <w:color w:val="auto"/>
                <w:sz w:val="21"/>
                <w:szCs w:val="21"/>
              </w:rPr>
            </w:pPr>
          </w:p>
        </w:tc>
        <w:tc>
          <w:tcPr>
            <w:tcW w:w="1547" w:type="dxa"/>
            <w:gridSpan w:val="2"/>
            <w:vAlign w:val="top"/>
          </w:tcPr>
          <w:p w14:paraId="4840B54E">
            <w:pPr>
              <w:rPr>
                <w:rFonts w:hint="eastAsia" w:ascii="宋体" w:hAnsi="宋体" w:eastAsia="宋体" w:cs="宋体"/>
                <w:color w:val="auto"/>
                <w:sz w:val="21"/>
                <w:szCs w:val="21"/>
              </w:rPr>
            </w:pPr>
          </w:p>
        </w:tc>
        <w:tc>
          <w:tcPr>
            <w:tcW w:w="1546" w:type="dxa"/>
            <w:gridSpan w:val="2"/>
            <w:vAlign w:val="top"/>
          </w:tcPr>
          <w:p w14:paraId="43BB5A02">
            <w:pPr>
              <w:rPr>
                <w:rFonts w:hint="eastAsia" w:ascii="宋体" w:hAnsi="宋体" w:eastAsia="宋体" w:cs="宋体"/>
                <w:color w:val="auto"/>
                <w:sz w:val="21"/>
                <w:szCs w:val="21"/>
              </w:rPr>
            </w:pPr>
          </w:p>
        </w:tc>
        <w:tc>
          <w:tcPr>
            <w:tcW w:w="1552" w:type="dxa"/>
            <w:gridSpan w:val="2"/>
            <w:vAlign w:val="top"/>
          </w:tcPr>
          <w:p w14:paraId="1FE7A1BA">
            <w:pPr>
              <w:rPr>
                <w:rFonts w:hint="eastAsia" w:ascii="宋体" w:hAnsi="宋体" w:eastAsia="宋体" w:cs="宋体"/>
                <w:color w:val="auto"/>
                <w:sz w:val="21"/>
                <w:szCs w:val="21"/>
              </w:rPr>
            </w:pPr>
          </w:p>
        </w:tc>
      </w:tr>
    </w:tbl>
    <w:p w14:paraId="688A7BAC">
      <w:pPr>
        <w:pStyle w:val="35"/>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hAnsi="宋体"/>
          <w:color w:val="auto"/>
        </w:rPr>
      </w:pPr>
      <w:r>
        <w:rPr>
          <w:rFonts w:hint="eastAsia" w:hAnsi="宋体"/>
          <w:color w:val="auto"/>
        </w:rPr>
        <w:t>备注：附项目经理注册建造师注册证书、安全生产考核合格证书 (B 证) 和已完工程中标通知书 (如有) 、工程合同协议书 (如有) 证明材料复印件，以及供应商认为需要增加的其他证明材料复印件，以上复印件均须加盖供应商单位公章。</w:t>
      </w:r>
    </w:p>
    <w:p w14:paraId="4F94B61B">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6DBF83D2">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5620C2F9">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72E1016A">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3E96ED95">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15CCD9D1">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2C4ED43A">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58F892BB">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4DE0C374">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781ABAEC">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10E11221">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47AEB0C9">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b/>
          <w:bCs/>
          <w:color w:val="auto"/>
        </w:rPr>
        <w:t xml:space="preserve">(3) </w:t>
      </w:r>
      <w:r>
        <w:rPr>
          <w:rFonts w:hint="eastAsia" w:ascii="宋体" w:hAnsi="宋体" w:eastAsia="宋体" w:cs="宋体"/>
          <w:b/>
          <w:bCs/>
          <w:color w:val="auto"/>
          <w:lang w:eastAsia="zh-CN"/>
        </w:rPr>
        <w:t>供应商</w:t>
      </w:r>
      <w:r>
        <w:rPr>
          <w:rFonts w:hint="eastAsia" w:ascii="宋体" w:hAnsi="宋体" w:eastAsia="宋体" w:cs="宋体"/>
          <w:b/>
          <w:bCs/>
          <w:color w:val="auto"/>
        </w:rPr>
        <w:t>针对商务技术需要说明的其他文件和说明 (格式自拟) ；</w:t>
      </w:r>
    </w:p>
    <w:p w14:paraId="36151FAB">
      <w:pPr>
        <w:rPr>
          <w:rFonts w:hint="eastAsia" w:ascii="宋体" w:hAnsi="宋体" w:eastAsia="宋体" w:cs="宋体"/>
          <w:color w:val="auto"/>
        </w:rPr>
      </w:pPr>
      <w:r>
        <w:rPr>
          <w:rFonts w:hint="eastAsia" w:ascii="宋体" w:hAnsi="宋体" w:eastAsia="宋体" w:cs="宋体"/>
          <w:color w:val="auto"/>
        </w:rPr>
        <w:br w:type="page"/>
      </w:r>
    </w:p>
    <w:p w14:paraId="15FAF672">
      <w:pPr>
        <w:pStyle w:val="35"/>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附：大型、中型和小型、微型企业划型标准</w:t>
      </w:r>
    </w:p>
    <w:p w14:paraId="235B1EEF">
      <w:pPr>
        <w:pStyle w:val="35"/>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z w:val="24"/>
          <w:szCs w:val="32"/>
        </w:rPr>
      </w:pPr>
      <w:r>
        <w:rPr>
          <w:rFonts w:hint="eastAsia" w:ascii="宋体" w:hAnsi="宋体" w:eastAsia="宋体" w:cs="宋体"/>
          <w:b/>
          <w:bCs/>
          <w:color w:val="auto"/>
          <w:sz w:val="24"/>
          <w:szCs w:val="32"/>
        </w:rPr>
        <w:t>大型、 中型和小型、微型企业划型标准</w:t>
      </w:r>
    </w:p>
    <w:p w14:paraId="75DDC390">
      <w:pPr>
        <w:pStyle w:val="35"/>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z w:val="24"/>
          <w:szCs w:val="32"/>
        </w:rPr>
      </w:pPr>
      <w:r>
        <w:rPr>
          <w:rFonts w:hint="eastAsia" w:ascii="宋体" w:hAnsi="宋体" w:eastAsia="宋体" w:cs="宋体"/>
          <w:b/>
          <w:bCs/>
          <w:color w:val="auto"/>
          <w:sz w:val="24"/>
          <w:szCs w:val="32"/>
        </w:rPr>
        <w:t>根据(工信部联企业[2011]300 号)文</w:t>
      </w:r>
    </w:p>
    <w:tbl>
      <w:tblPr>
        <w:tblStyle w:val="47"/>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14:paraId="3E20E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vAlign w:val="top"/>
          </w:tcPr>
          <w:p w14:paraId="5E0F1666">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z w:val="23"/>
                <w:szCs w:val="23"/>
              </w:rPr>
            </w:pPr>
            <w:r>
              <w:rPr>
                <w:rFonts w:ascii="仿宋" w:hAnsi="仿宋" w:eastAsia="仿宋" w:cs="仿宋"/>
                <w:color w:val="auto"/>
                <w:spacing w:val="6"/>
                <w:sz w:val="23"/>
                <w:szCs w:val="23"/>
                <w14:textOutline w14:w="4358" w14:cap="sq" w14:cmpd="sng">
                  <w14:solidFill>
                    <w14:srgbClr w14:val="000000"/>
                  </w14:solidFill>
                  <w14:prstDash w14:val="solid"/>
                  <w14:bevel/>
                </w14:textOutline>
              </w:rPr>
              <w:t>行业名称</w:t>
            </w:r>
          </w:p>
        </w:tc>
        <w:tc>
          <w:tcPr>
            <w:tcW w:w="1187" w:type="dxa"/>
            <w:vAlign w:val="top"/>
          </w:tcPr>
          <w:p w14:paraId="11A8381C">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z w:val="23"/>
                <w:szCs w:val="23"/>
              </w:rPr>
            </w:pPr>
            <w:r>
              <w:rPr>
                <w:rFonts w:ascii="仿宋" w:hAnsi="仿宋" w:eastAsia="仿宋" w:cs="仿宋"/>
                <w:color w:val="auto"/>
                <w:spacing w:val="8"/>
                <w:sz w:val="23"/>
                <w:szCs w:val="23"/>
                <w14:textOutline w14:w="4358" w14:cap="sq" w14:cmpd="sng">
                  <w14:solidFill>
                    <w14:srgbClr w14:val="000000"/>
                  </w14:solidFill>
                  <w14:prstDash w14:val="solid"/>
                  <w14:bevel/>
                </w14:textOutline>
              </w:rPr>
              <w:t>指</w:t>
            </w:r>
            <w:r>
              <w:rPr>
                <w:rFonts w:ascii="仿宋" w:hAnsi="仿宋" w:eastAsia="仿宋" w:cs="仿宋"/>
                <w:color w:val="auto"/>
                <w:spacing w:val="6"/>
                <w:sz w:val="23"/>
                <w:szCs w:val="23"/>
                <w14:textOutline w14:w="4358" w14:cap="sq" w14:cmpd="sng">
                  <w14:solidFill>
                    <w14:srgbClr w14:val="000000"/>
                  </w14:solidFill>
                  <w14:prstDash w14:val="solid"/>
                  <w14:bevel/>
                </w14:textOutline>
              </w:rPr>
              <w:t>标名称</w:t>
            </w:r>
          </w:p>
        </w:tc>
        <w:tc>
          <w:tcPr>
            <w:tcW w:w="900" w:type="dxa"/>
            <w:vAlign w:val="top"/>
          </w:tcPr>
          <w:p w14:paraId="32C9F5C0">
            <w:pPr>
              <w:keepNext w:val="0"/>
              <w:keepLines w:val="0"/>
              <w:pageBreakBefore w:val="0"/>
              <w:widowControl w:val="0"/>
              <w:kinsoku/>
              <w:wordWrap/>
              <w:overflowPunct/>
              <w:topLinePunct w:val="0"/>
              <w:autoSpaceDE/>
              <w:autoSpaceDN/>
              <w:bidi w:val="0"/>
              <w:adjustRightInd/>
              <w:snapToGrid/>
              <w:spacing w:before="104" w:line="200" w:lineRule="exact"/>
              <w:ind w:left="228"/>
              <w:textAlignment w:val="auto"/>
              <w:rPr>
                <w:rFonts w:ascii="仿宋" w:hAnsi="仿宋" w:eastAsia="仿宋" w:cs="仿宋"/>
                <w:color w:val="auto"/>
                <w:sz w:val="23"/>
                <w:szCs w:val="23"/>
              </w:rPr>
            </w:pPr>
            <w:r>
              <w:rPr>
                <w:rFonts w:ascii="仿宋" w:hAnsi="仿宋" w:eastAsia="仿宋" w:cs="仿宋"/>
                <w:color w:val="auto"/>
                <w:spacing w:val="-1"/>
                <w:sz w:val="23"/>
                <w:szCs w:val="23"/>
                <w14:textOutline w14:w="4358" w14:cap="sq" w14:cmpd="sng">
                  <w14:solidFill>
                    <w14:srgbClr w14:val="000000"/>
                  </w14:solidFill>
                  <w14:prstDash w14:val="solid"/>
                  <w14:bevel/>
                </w14:textOutline>
              </w:rPr>
              <w:t>单</w:t>
            </w:r>
            <w:r>
              <w:rPr>
                <w:rFonts w:ascii="仿宋" w:hAnsi="仿宋" w:eastAsia="仿宋" w:cs="仿宋"/>
                <w:color w:val="auto"/>
                <w:sz w:val="23"/>
                <w:szCs w:val="23"/>
                <w14:textOutline w14:w="4358" w14:cap="sq" w14:cmpd="sng">
                  <w14:solidFill>
                    <w14:srgbClr w14:val="000000"/>
                  </w14:solidFill>
                  <w14:prstDash w14:val="solid"/>
                  <w14:bevel/>
                </w14:textOutline>
              </w:rPr>
              <w:t>位</w:t>
            </w:r>
          </w:p>
        </w:tc>
        <w:tc>
          <w:tcPr>
            <w:tcW w:w="1399" w:type="dxa"/>
            <w:vAlign w:val="top"/>
          </w:tcPr>
          <w:p w14:paraId="3B93A529">
            <w:pPr>
              <w:keepNext w:val="0"/>
              <w:keepLines w:val="0"/>
              <w:pageBreakBefore w:val="0"/>
              <w:widowControl w:val="0"/>
              <w:kinsoku/>
              <w:wordWrap/>
              <w:overflowPunct/>
              <w:topLinePunct w:val="0"/>
              <w:autoSpaceDE/>
              <w:autoSpaceDN/>
              <w:bidi w:val="0"/>
              <w:adjustRightInd/>
              <w:snapToGrid/>
              <w:spacing w:before="104" w:line="200" w:lineRule="exact"/>
              <w:ind w:left="475"/>
              <w:textAlignment w:val="auto"/>
              <w:rPr>
                <w:rFonts w:ascii="仿宋" w:hAnsi="仿宋" w:eastAsia="仿宋" w:cs="仿宋"/>
                <w:color w:val="auto"/>
                <w:sz w:val="23"/>
                <w:szCs w:val="23"/>
              </w:rPr>
            </w:pPr>
            <w:r>
              <w:rPr>
                <w:rFonts w:ascii="仿宋" w:hAnsi="仿宋" w:eastAsia="仿宋" w:cs="仿宋"/>
                <w:color w:val="auto"/>
                <w:spacing w:val="1"/>
                <w:sz w:val="23"/>
                <w:szCs w:val="23"/>
                <w14:textOutline w14:w="4358" w14:cap="sq" w14:cmpd="sng">
                  <w14:solidFill>
                    <w14:srgbClr w14:val="000000"/>
                  </w14:solidFill>
                  <w14:prstDash w14:val="solid"/>
                  <w14:bevel/>
                </w14:textOutline>
              </w:rPr>
              <w:t>大</w:t>
            </w:r>
            <w:r>
              <w:rPr>
                <w:rFonts w:ascii="仿宋" w:hAnsi="仿宋" w:eastAsia="仿宋" w:cs="仿宋"/>
                <w:color w:val="auto"/>
                <w:sz w:val="23"/>
                <w:szCs w:val="23"/>
                <w14:textOutline w14:w="4358" w14:cap="sq" w14:cmpd="sng">
                  <w14:solidFill>
                    <w14:srgbClr w14:val="000000"/>
                  </w14:solidFill>
                  <w14:prstDash w14:val="solid"/>
                  <w14:bevel/>
                </w14:textOutline>
              </w:rPr>
              <w:t>型</w:t>
            </w:r>
          </w:p>
        </w:tc>
        <w:tc>
          <w:tcPr>
            <w:tcW w:w="1535" w:type="dxa"/>
            <w:vAlign w:val="top"/>
          </w:tcPr>
          <w:p w14:paraId="43883347">
            <w:pPr>
              <w:keepNext w:val="0"/>
              <w:keepLines w:val="0"/>
              <w:pageBreakBefore w:val="0"/>
              <w:widowControl w:val="0"/>
              <w:kinsoku/>
              <w:wordWrap/>
              <w:overflowPunct/>
              <w:topLinePunct w:val="0"/>
              <w:autoSpaceDE/>
              <w:autoSpaceDN/>
              <w:bidi w:val="0"/>
              <w:adjustRightInd/>
              <w:snapToGrid/>
              <w:spacing w:before="104" w:line="200" w:lineRule="exact"/>
              <w:ind w:left="571"/>
              <w:textAlignment w:val="auto"/>
              <w:rPr>
                <w:rFonts w:ascii="仿宋" w:hAnsi="仿宋" w:eastAsia="仿宋" w:cs="仿宋"/>
                <w:color w:val="auto"/>
                <w:sz w:val="23"/>
                <w:szCs w:val="23"/>
              </w:rPr>
            </w:pPr>
            <w:r>
              <w:rPr>
                <w:rFonts w:ascii="仿宋" w:hAnsi="仿宋" w:eastAsia="仿宋" w:cs="仿宋"/>
                <w:color w:val="auto"/>
                <w:spacing w:val="-14"/>
                <w:sz w:val="23"/>
                <w:szCs w:val="23"/>
                <w14:textOutline w14:w="4358" w14:cap="sq" w14:cmpd="sng">
                  <w14:solidFill>
                    <w14:srgbClr w14:val="000000"/>
                  </w14:solidFill>
                  <w14:prstDash w14:val="solid"/>
                  <w14:bevel/>
                </w14:textOutline>
              </w:rPr>
              <w:t>中</w:t>
            </w:r>
            <w:r>
              <w:rPr>
                <w:rFonts w:ascii="仿宋" w:hAnsi="仿宋" w:eastAsia="仿宋" w:cs="仿宋"/>
                <w:color w:val="auto"/>
                <w:spacing w:val="-13"/>
                <w:sz w:val="23"/>
                <w:szCs w:val="23"/>
                <w14:textOutline w14:w="4358" w14:cap="sq" w14:cmpd="sng">
                  <w14:solidFill>
                    <w14:srgbClr w14:val="000000"/>
                  </w14:solidFill>
                  <w14:prstDash w14:val="solid"/>
                  <w14:bevel/>
                </w14:textOutline>
              </w:rPr>
              <w:t>型</w:t>
            </w:r>
          </w:p>
        </w:tc>
        <w:tc>
          <w:tcPr>
            <w:tcW w:w="1295" w:type="dxa"/>
            <w:vAlign w:val="top"/>
          </w:tcPr>
          <w:p w14:paraId="5E5A1EFA">
            <w:pPr>
              <w:keepNext w:val="0"/>
              <w:keepLines w:val="0"/>
              <w:pageBreakBefore w:val="0"/>
              <w:widowControl w:val="0"/>
              <w:kinsoku/>
              <w:wordWrap/>
              <w:overflowPunct/>
              <w:topLinePunct w:val="0"/>
              <w:autoSpaceDE/>
              <w:autoSpaceDN/>
              <w:bidi w:val="0"/>
              <w:adjustRightInd/>
              <w:snapToGrid/>
              <w:spacing w:before="105" w:line="200" w:lineRule="exact"/>
              <w:ind w:left="421"/>
              <w:textAlignment w:val="auto"/>
              <w:rPr>
                <w:rFonts w:ascii="仿宋" w:hAnsi="仿宋" w:eastAsia="仿宋" w:cs="仿宋"/>
                <w:color w:val="auto"/>
                <w:sz w:val="23"/>
                <w:szCs w:val="23"/>
              </w:rPr>
            </w:pPr>
            <w:r>
              <w:rPr>
                <w:rFonts w:ascii="仿宋" w:hAnsi="仿宋" w:eastAsia="仿宋" w:cs="仿宋"/>
                <w:color w:val="auto"/>
                <w:spacing w:val="2"/>
                <w:sz w:val="23"/>
                <w:szCs w:val="23"/>
                <w14:textOutline w14:w="4358" w14:cap="sq" w14:cmpd="sng">
                  <w14:solidFill>
                    <w14:srgbClr w14:val="000000"/>
                  </w14:solidFill>
                  <w14:prstDash w14:val="solid"/>
                  <w14:bevel/>
                </w14:textOutline>
              </w:rPr>
              <w:t>小型</w:t>
            </w:r>
          </w:p>
        </w:tc>
        <w:tc>
          <w:tcPr>
            <w:tcW w:w="1004" w:type="dxa"/>
            <w:vAlign w:val="top"/>
          </w:tcPr>
          <w:p w14:paraId="0C7CDEA3">
            <w:pPr>
              <w:keepNext w:val="0"/>
              <w:keepLines w:val="0"/>
              <w:pageBreakBefore w:val="0"/>
              <w:widowControl w:val="0"/>
              <w:kinsoku/>
              <w:wordWrap/>
              <w:overflowPunct/>
              <w:topLinePunct w:val="0"/>
              <w:autoSpaceDE/>
              <w:autoSpaceDN/>
              <w:bidi w:val="0"/>
              <w:adjustRightInd/>
              <w:snapToGrid/>
              <w:spacing w:before="104" w:line="200" w:lineRule="exact"/>
              <w:ind w:left="275"/>
              <w:textAlignment w:val="auto"/>
              <w:rPr>
                <w:rFonts w:ascii="仿宋" w:hAnsi="仿宋" w:eastAsia="仿宋" w:cs="仿宋"/>
                <w:color w:val="auto"/>
                <w:sz w:val="23"/>
                <w:szCs w:val="23"/>
              </w:rPr>
            </w:pPr>
            <w:r>
              <w:rPr>
                <w:rFonts w:ascii="仿宋" w:hAnsi="仿宋" w:eastAsia="仿宋" w:cs="仿宋"/>
                <w:color w:val="auto"/>
                <w:spacing w:val="2"/>
                <w:sz w:val="23"/>
                <w:szCs w:val="23"/>
                <w14:textOutline w14:w="4358" w14:cap="sq" w14:cmpd="sng">
                  <w14:solidFill>
                    <w14:srgbClr w14:val="000000"/>
                  </w14:solidFill>
                  <w14:prstDash w14:val="solid"/>
                  <w14:bevel/>
                </w14:textOutline>
              </w:rPr>
              <w:t>微型</w:t>
            </w:r>
          </w:p>
        </w:tc>
      </w:tr>
      <w:tr w14:paraId="20373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vAlign w:val="top"/>
          </w:tcPr>
          <w:p w14:paraId="01E1FD23">
            <w:pPr>
              <w:keepNext w:val="0"/>
              <w:keepLines w:val="0"/>
              <w:pageBreakBefore w:val="0"/>
              <w:widowControl w:val="0"/>
              <w:kinsoku/>
              <w:wordWrap/>
              <w:overflowPunct/>
              <w:topLinePunct w:val="0"/>
              <w:autoSpaceDE/>
              <w:autoSpaceDN/>
              <w:bidi w:val="0"/>
              <w:adjustRightInd/>
              <w:snapToGrid/>
              <w:spacing w:before="99"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农林牧</w:t>
            </w:r>
            <w:r>
              <w:rPr>
                <w:rFonts w:ascii="仿宋" w:hAnsi="仿宋" w:eastAsia="仿宋" w:cs="仿宋"/>
                <w:color w:val="auto"/>
                <w:spacing w:val="5"/>
                <w:sz w:val="23"/>
                <w:szCs w:val="23"/>
              </w:rPr>
              <w:t>渔</w:t>
            </w:r>
          </w:p>
        </w:tc>
        <w:tc>
          <w:tcPr>
            <w:tcW w:w="1187" w:type="dxa"/>
            <w:vAlign w:val="top"/>
          </w:tcPr>
          <w:p w14:paraId="4685AB4E">
            <w:pPr>
              <w:keepNext w:val="0"/>
              <w:keepLines w:val="0"/>
              <w:pageBreakBefore w:val="0"/>
              <w:widowControl w:val="0"/>
              <w:kinsoku/>
              <w:wordWrap/>
              <w:overflowPunct/>
              <w:topLinePunct w:val="0"/>
              <w:autoSpaceDE/>
              <w:autoSpaceDN/>
              <w:bidi w:val="0"/>
              <w:adjustRightInd/>
              <w:snapToGrid/>
              <w:spacing w:before="100"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7F5B23CB">
            <w:pPr>
              <w:keepNext w:val="0"/>
              <w:keepLines w:val="0"/>
              <w:pageBreakBefore w:val="0"/>
              <w:widowControl w:val="0"/>
              <w:kinsoku/>
              <w:wordWrap/>
              <w:overflowPunct/>
              <w:topLinePunct w:val="0"/>
              <w:autoSpaceDE/>
              <w:autoSpaceDN/>
              <w:bidi w:val="0"/>
              <w:adjustRightInd/>
              <w:snapToGrid/>
              <w:spacing w:before="100"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5A675D7E">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≥2</w:t>
            </w:r>
            <w:r>
              <w:rPr>
                <w:rFonts w:ascii="仿宋" w:hAnsi="仿宋" w:eastAsia="仿宋" w:cs="仿宋"/>
                <w:color w:val="auto"/>
                <w:position w:val="1"/>
                <w:sz w:val="23"/>
                <w:szCs w:val="23"/>
              </w:rPr>
              <w:t>0000</w:t>
            </w:r>
          </w:p>
        </w:tc>
        <w:tc>
          <w:tcPr>
            <w:tcW w:w="1535" w:type="dxa"/>
            <w:vAlign w:val="top"/>
          </w:tcPr>
          <w:p w14:paraId="337C4F6D">
            <w:pPr>
              <w:keepNext w:val="0"/>
              <w:keepLines w:val="0"/>
              <w:pageBreakBefore w:val="0"/>
              <w:widowControl w:val="0"/>
              <w:kinsoku/>
              <w:wordWrap/>
              <w:overflowPunct/>
              <w:topLinePunct w:val="0"/>
              <w:autoSpaceDE/>
              <w:autoSpaceDN/>
              <w:bidi w:val="0"/>
              <w:adjustRightInd/>
              <w:snapToGrid/>
              <w:spacing w:before="141" w:line="200" w:lineRule="exact"/>
              <w:ind w:left="237"/>
              <w:textAlignment w:val="auto"/>
              <w:rPr>
                <w:rFonts w:ascii="仿宋" w:hAnsi="仿宋" w:eastAsia="仿宋" w:cs="仿宋"/>
                <w:color w:val="auto"/>
                <w:sz w:val="23"/>
                <w:szCs w:val="23"/>
              </w:rPr>
            </w:pPr>
            <w:r>
              <w:rPr>
                <w:rFonts w:ascii="仿宋" w:hAnsi="仿宋" w:eastAsia="仿宋" w:cs="仿宋"/>
                <w:color w:val="auto"/>
                <w:spacing w:val="6"/>
                <w:sz w:val="23"/>
                <w:szCs w:val="23"/>
              </w:rPr>
              <w:t>5</w:t>
            </w:r>
            <w:r>
              <w:rPr>
                <w:rFonts w:ascii="仿宋" w:hAnsi="仿宋" w:eastAsia="仿宋" w:cs="仿宋"/>
                <w:color w:val="auto"/>
                <w:spacing w:val="4"/>
                <w:sz w:val="23"/>
                <w:szCs w:val="23"/>
              </w:rPr>
              <w:t>0</w:t>
            </w:r>
            <w:r>
              <w:rPr>
                <w:rFonts w:ascii="仿宋" w:hAnsi="仿宋" w:eastAsia="仿宋" w:cs="仿宋"/>
                <w:color w:val="auto"/>
                <w:spacing w:val="3"/>
                <w:sz w:val="23"/>
                <w:szCs w:val="23"/>
              </w:rPr>
              <w:t>0-20000</w:t>
            </w:r>
          </w:p>
        </w:tc>
        <w:tc>
          <w:tcPr>
            <w:tcW w:w="1295" w:type="dxa"/>
            <w:vAlign w:val="top"/>
          </w:tcPr>
          <w:p w14:paraId="2C3BAA54">
            <w:pPr>
              <w:keepNext w:val="0"/>
              <w:keepLines w:val="0"/>
              <w:pageBreakBefore w:val="0"/>
              <w:widowControl w:val="0"/>
              <w:kinsoku/>
              <w:wordWrap/>
              <w:overflowPunct/>
              <w:topLinePunct w:val="0"/>
              <w:autoSpaceDE/>
              <w:autoSpaceDN/>
              <w:bidi w:val="0"/>
              <w:adjustRightInd/>
              <w:snapToGrid/>
              <w:spacing w:before="141" w:line="200" w:lineRule="exact"/>
              <w:ind w:left="298"/>
              <w:textAlignment w:val="auto"/>
              <w:rPr>
                <w:rFonts w:ascii="仿宋" w:hAnsi="仿宋" w:eastAsia="仿宋" w:cs="仿宋"/>
                <w:color w:val="auto"/>
                <w:sz w:val="23"/>
                <w:szCs w:val="23"/>
              </w:rPr>
            </w:pPr>
            <w:r>
              <w:rPr>
                <w:rFonts w:ascii="仿宋" w:hAnsi="仿宋" w:eastAsia="仿宋" w:cs="仿宋"/>
                <w:color w:val="auto"/>
                <w:spacing w:val="4"/>
                <w:sz w:val="23"/>
                <w:szCs w:val="23"/>
              </w:rPr>
              <w:t>50</w:t>
            </w:r>
            <w:r>
              <w:rPr>
                <w:rFonts w:ascii="仿宋" w:hAnsi="仿宋" w:eastAsia="仿宋" w:cs="仿宋"/>
                <w:color w:val="auto"/>
                <w:spacing w:val="2"/>
                <w:sz w:val="23"/>
                <w:szCs w:val="23"/>
              </w:rPr>
              <w:t>-500</w:t>
            </w:r>
          </w:p>
        </w:tc>
        <w:tc>
          <w:tcPr>
            <w:tcW w:w="1004" w:type="dxa"/>
            <w:vAlign w:val="top"/>
          </w:tcPr>
          <w:p w14:paraId="32469C38">
            <w:pPr>
              <w:keepNext w:val="0"/>
              <w:keepLines w:val="0"/>
              <w:pageBreakBefore w:val="0"/>
              <w:widowControl w:val="0"/>
              <w:kinsoku/>
              <w:wordWrap/>
              <w:overflowPunct/>
              <w:topLinePunct w:val="0"/>
              <w:autoSpaceDE/>
              <w:autoSpaceDN/>
              <w:bidi w:val="0"/>
              <w:adjustRightInd/>
              <w:snapToGrid/>
              <w:spacing w:before="100"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50</w:t>
            </w:r>
          </w:p>
        </w:tc>
      </w:tr>
      <w:tr w14:paraId="258E3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5163584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2F443CE7">
            <w:pPr>
              <w:keepNext w:val="0"/>
              <w:keepLines w:val="0"/>
              <w:pageBreakBefore w:val="0"/>
              <w:widowControl w:val="0"/>
              <w:kinsoku/>
              <w:wordWrap/>
              <w:overflowPunct/>
              <w:topLinePunct w:val="0"/>
              <w:autoSpaceDE/>
              <w:autoSpaceDN/>
              <w:bidi w:val="0"/>
              <w:adjustRightInd/>
              <w:snapToGrid/>
              <w:spacing w:before="75" w:line="200" w:lineRule="exact"/>
              <w:ind w:left="370"/>
              <w:textAlignment w:val="auto"/>
              <w:rPr>
                <w:rFonts w:ascii="仿宋" w:hAnsi="仿宋" w:eastAsia="仿宋" w:cs="仿宋"/>
                <w:color w:val="auto"/>
                <w:sz w:val="23"/>
                <w:szCs w:val="23"/>
              </w:rPr>
            </w:pPr>
            <w:r>
              <w:rPr>
                <w:rFonts w:ascii="仿宋" w:hAnsi="仿宋" w:eastAsia="仿宋" w:cs="仿宋"/>
                <w:color w:val="auto"/>
                <w:spacing w:val="-1"/>
                <w:sz w:val="23"/>
                <w:szCs w:val="23"/>
              </w:rPr>
              <w:t>工业</w:t>
            </w:r>
          </w:p>
        </w:tc>
        <w:tc>
          <w:tcPr>
            <w:tcW w:w="1187" w:type="dxa"/>
            <w:vAlign w:val="top"/>
          </w:tcPr>
          <w:p w14:paraId="7FA09BFF">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1568C22E">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76C3FFAB">
            <w:pPr>
              <w:keepNext w:val="0"/>
              <w:keepLines w:val="0"/>
              <w:pageBreakBefore w:val="0"/>
              <w:widowControl w:val="0"/>
              <w:kinsoku/>
              <w:wordWrap/>
              <w:overflowPunct/>
              <w:topLinePunct w:val="0"/>
              <w:autoSpaceDE/>
              <w:autoSpaceDN/>
              <w:bidi w:val="0"/>
              <w:adjustRightInd/>
              <w:snapToGrid/>
              <w:spacing w:before="101" w:line="200" w:lineRule="exact"/>
              <w:ind w:left="37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≥10</w:t>
            </w:r>
            <w:r>
              <w:rPr>
                <w:rFonts w:ascii="仿宋" w:hAnsi="仿宋" w:eastAsia="仿宋" w:cs="仿宋"/>
                <w:color w:val="auto"/>
                <w:position w:val="1"/>
                <w:sz w:val="23"/>
                <w:szCs w:val="23"/>
              </w:rPr>
              <w:t>00</w:t>
            </w:r>
          </w:p>
        </w:tc>
        <w:tc>
          <w:tcPr>
            <w:tcW w:w="1535" w:type="dxa"/>
            <w:vAlign w:val="top"/>
          </w:tcPr>
          <w:p w14:paraId="7B5C52AC">
            <w:pPr>
              <w:keepNext w:val="0"/>
              <w:keepLines w:val="0"/>
              <w:pageBreakBefore w:val="0"/>
              <w:widowControl w:val="0"/>
              <w:kinsoku/>
              <w:wordWrap/>
              <w:overflowPunct/>
              <w:topLinePunct w:val="0"/>
              <w:autoSpaceDE/>
              <w:autoSpaceDN/>
              <w:bidi w:val="0"/>
              <w:adjustRightInd/>
              <w:snapToGrid/>
              <w:spacing w:before="142" w:line="200" w:lineRule="exact"/>
              <w:ind w:left="297"/>
              <w:textAlignment w:val="auto"/>
              <w:rPr>
                <w:rFonts w:ascii="仿宋" w:hAnsi="仿宋" w:eastAsia="仿宋" w:cs="仿宋"/>
                <w:color w:val="auto"/>
                <w:sz w:val="23"/>
                <w:szCs w:val="23"/>
              </w:rPr>
            </w:pPr>
            <w:r>
              <w:rPr>
                <w:rFonts w:ascii="仿宋" w:hAnsi="仿宋" w:eastAsia="仿宋" w:cs="仿宋"/>
                <w:color w:val="auto"/>
                <w:spacing w:val="5"/>
                <w:sz w:val="23"/>
                <w:szCs w:val="23"/>
              </w:rPr>
              <w:t>3</w:t>
            </w:r>
            <w:r>
              <w:rPr>
                <w:rFonts w:ascii="仿宋" w:hAnsi="仿宋" w:eastAsia="仿宋" w:cs="仿宋"/>
                <w:color w:val="auto"/>
                <w:spacing w:val="3"/>
                <w:sz w:val="23"/>
                <w:szCs w:val="23"/>
              </w:rPr>
              <w:t>00-1000</w:t>
            </w:r>
          </w:p>
        </w:tc>
        <w:tc>
          <w:tcPr>
            <w:tcW w:w="1295" w:type="dxa"/>
            <w:vAlign w:val="top"/>
          </w:tcPr>
          <w:p w14:paraId="41345109">
            <w:pPr>
              <w:keepNext w:val="0"/>
              <w:keepLines w:val="0"/>
              <w:pageBreakBefore w:val="0"/>
              <w:widowControl w:val="0"/>
              <w:kinsoku/>
              <w:wordWrap/>
              <w:overflowPunct/>
              <w:topLinePunct w:val="0"/>
              <w:autoSpaceDE/>
              <w:autoSpaceDN/>
              <w:bidi w:val="0"/>
              <w:adjustRightInd/>
              <w:snapToGrid/>
              <w:spacing w:before="142" w:line="200" w:lineRule="exact"/>
              <w:ind w:left="296"/>
              <w:textAlignment w:val="auto"/>
              <w:rPr>
                <w:rFonts w:ascii="仿宋" w:hAnsi="仿宋" w:eastAsia="仿宋" w:cs="仿宋"/>
                <w:color w:val="auto"/>
                <w:sz w:val="23"/>
                <w:szCs w:val="23"/>
              </w:rPr>
            </w:pPr>
            <w:r>
              <w:rPr>
                <w:rFonts w:ascii="仿宋" w:hAnsi="仿宋" w:eastAsia="仿宋" w:cs="仿宋"/>
                <w:color w:val="auto"/>
                <w:spacing w:val="3"/>
                <w:sz w:val="23"/>
                <w:szCs w:val="23"/>
              </w:rPr>
              <w:t>20-300</w:t>
            </w:r>
          </w:p>
        </w:tc>
        <w:tc>
          <w:tcPr>
            <w:tcW w:w="1004" w:type="dxa"/>
            <w:vAlign w:val="top"/>
          </w:tcPr>
          <w:p w14:paraId="58521803">
            <w:pPr>
              <w:keepNext w:val="0"/>
              <w:keepLines w:val="0"/>
              <w:pageBreakBefore w:val="0"/>
              <w:widowControl w:val="0"/>
              <w:kinsoku/>
              <w:wordWrap/>
              <w:overflowPunct/>
              <w:topLinePunct w:val="0"/>
              <w:autoSpaceDE/>
              <w:autoSpaceDN/>
              <w:bidi w:val="0"/>
              <w:adjustRightInd/>
              <w:snapToGrid/>
              <w:spacing w:before="101"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20</w:t>
            </w:r>
          </w:p>
        </w:tc>
      </w:tr>
      <w:tr w14:paraId="00099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7BB32B8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22F45427">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335C3CBB">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22D7FF19">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≥4</w:t>
            </w:r>
            <w:r>
              <w:rPr>
                <w:rFonts w:ascii="仿宋" w:hAnsi="仿宋" w:eastAsia="仿宋" w:cs="仿宋"/>
                <w:color w:val="auto"/>
                <w:position w:val="1"/>
                <w:sz w:val="23"/>
                <w:szCs w:val="23"/>
              </w:rPr>
              <w:t>0000</w:t>
            </w:r>
          </w:p>
        </w:tc>
        <w:tc>
          <w:tcPr>
            <w:tcW w:w="1535" w:type="dxa"/>
            <w:vAlign w:val="top"/>
          </w:tcPr>
          <w:p w14:paraId="611D0080">
            <w:pPr>
              <w:keepNext w:val="0"/>
              <w:keepLines w:val="0"/>
              <w:pageBreakBefore w:val="0"/>
              <w:widowControl w:val="0"/>
              <w:kinsoku/>
              <w:wordWrap/>
              <w:overflowPunct/>
              <w:topLinePunct w:val="0"/>
              <w:autoSpaceDE/>
              <w:autoSpaceDN/>
              <w:bidi w:val="0"/>
              <w:adjustRightInd/>
              <w:snapToGrid/>
              <w:spacing w:before="142" w:line="200" w:lineRule="exact"/>
              <w:ind w:left="175"/>
              <w:textAlignment w:val="auto"/>
              <w:rPr>
                <w:rFonts w:ascii="仿宋" w:hAnsi="仿宋" w:eastAsia="仿宋" w:cs="仿宋"/>
                <w:color w:val="auto"/>
                <w:sz w:val="23"/>
                <w:szCs w:val="23"/>
              </w:rPr>
            </w:pPr>
            <w:r>
              <w:rPr>
                <w:rFonts w:ascii="仿宋" w:hAnsi="仿宋" w:eastAsia="仿宋" w:cs="仿宋"/>
                <w:color w:val="auto"/>
                <w:spacing w:val="4"/>
                <w:sz w:val="23"/>
                <w:szCs w:val="23"/>
              </w:rPr>
              <w:t>2000-4000</w:t>
            </w:r>
            <w:r>
              <w:rPr>
                <w:rFonts w:ascii="仿宋" w:hAnsi="仿宋" w:eastAsia="仿宋" w:cs="仿宋"/>
                <w:color w:val="auto"/>
                <w:spacing w:val="2"/>
                <w:sz w:val="23"/>
                <w:szCs w:val="23"/>
              </w:rPr>
              <w:t>0</w:t>
            </w:r>
          </w:p>
        </w:tc>
        <w:tc>
          <w:tcPr>
            <w:tcW w:w="1295" w:type="dxa"/>
            <w:vAlign w:val="top"/>
          </w:tcPr>
          <w:p w14:paraId="3E8B96AA">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z w:val="23"/>
                <w:szCs w:val="23"/>
              </w:rPr>
            </w:pPr>
            <w:r>
              <w:rPr>
                <w:rFonts w:ascii="仿宋" w:hAnsi="仿宋" w:eastAsia="仿宋" w:cs="仿宋"/>
                <w:color w:val="auto"/>
                <w:spacing w:val="5"/>
                <w:sz w:val="23"/>
                <w:szCs w:val="23"/>
              </w:rPr>
              <w:t>3</w:t>
            </w:r>
            <w:r>
              <w:rPr>
                <w:rFonts w:ascii="仿宋" w:hAnsi="仿宋" w:eastAsia="仿宋" w:cs="仿宋"/>
                <w:color w:val="auto"/>
                <w:spacing w:val="3"/>
                <w:sz w:val="23"/>
                <w:szCs w:val="23"/>
              </w:rPr>
              <w:t>00-2000</w:t>
            </w:r>
          </w:p>
        </w:tc>
        <w:tc>
          <w:tcPr>
            <w:tcW w:w="1004" w:type="dxa"/>
            <w:vAlign w:val="top"/>
          </w:tcPr>
          <w:p w14:paraId="7EB58037">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＜30</w:t>
            </w:r>
            <w:r>
              <w:rPr>
                <w:rFonts w:ascii="仿宋" w:hAnsi="仿宋" w:eastAsia="仿宋" w:cs="仿宋"/>
                <w:color w:val="auto"/>
                <w:position w:val="2"/>
                <w:sz w:val="23"/>
                <w:szCs w:val="23"/>
              </w:rPr>
              <w:t>0</w:t>
            </w:r>
          </w:p>
        </w:tc>
      </w:tr>
      <w:tr w14:paraId="678C0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10AC1BCA">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62D1A888">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z w:val="23"/>
                <w:szCs w:val="23"/>
              </w:rPr>
            </w:pPr>
            <w:r>
              <w:rPr>
                <w:rFonts w:ascii="仿宋" w:hAnsi="仿宋" w:eastAsia="仿宋" w:cs="仿宋"/>
                <w:color w:val="auto"/>
                <w:spacing w:val="6"/>
                <w:sz w:val="23"/>
                <w:szCs w:val="23"/>
              </w:rPr>
              <w:t>建</w:t>
            </w:r>
            <w:r>
              <w:rPr>
                <w:rFonts w:ascii="仿宋" w:hAnsi="仿宋" w:eastAsia="仿宋" w:cs="仿宋"/>
                <w:color w:val="auto"/>
                <w:spacing w:val="4"/>
                <w:sz w:val="23"/>
                <w:szCs w:val="23"/>
              </w:rPr>
              <w:t>筑业</w:t>
            </w:r>
          </w:p>
        </w:tc>
        <w:tc>
          <w:tcPr>
            <w:tcW w:w="1187" w:type="dxa"/>
            <w:vAlign w:val="top"/>
          </w:tcPr>
          <w:p w14:paraId="72678ACD">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1B1B51A4">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7ED391C0">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≥8</w:t>
            </w:r>
            <w:r>
              <w:rPr>
                <w:rFonts w:ascii="仿宋" w:hAnsi="仿宋" w:eastAsia="仿宋" w:cs="仿宋"/>
                <w:color w:val="auto"/>
                <w:position w:val="1"/>
                <w:sz w:val="23"/>
                <w:szCs w:val="23"/>
              </w:rPr>
              <w:t>0000</w:t>
            </w:r>
          </w:p>
        </w:tc>
        <w:tc>
          <w:tcPr>
            <w:tcW w:w="1535" w:type="dxa"/>
            <w:vAlign w:val="top"/>
          </w:tcPr>
          <w:p w14:paraId="7C65A8CD">
            <w:pPr>
              <w:keepNext w:val="0"/>
              <w:keepLines w:val="0"/>
              <w:pageBreakBefore w:val="0"/>
              <w:widowControl w:val="0"/>
              <w:kinsoku/>
              <w:wordWrap/>
              <w:overflowPunct/>
              <w:topLinePunct w:val="0"/>
              <w:autoSpaceDE/>
              <w:autoSpaceDN/>
              <w:bidi w:val="0"/>
              <w:adjustRightInd/>
              <w:snapToGrid/>
              <w:spacing w:before="141" w:line="200" w:lineRule="exact"/>
              <w:ind w:left="174"/>
              <w:textAlignment w:val="auto"/>
              <w:rPr>
                <w:rFonts w:ascii="仿宋" w:hAnsi="仿宋" w:eastAsia="仿宋" w:cs="仿宋"/>
                <w:color w:val="auto"/>
                <w:sz w:val="23"/>
                <w:szCs w:val="23"/>
              </w:rPr>
            </w:pPr>
            <w:r>
              <w:rPr>
                <w:rFonts w:ascii="仿宋" w:hAnsi="仿宋" w:eastAsia="仿宋" w:cs="仿宋"/>
                <w:color w:val="auto"/>
                <w:spacing w:val="4"/>
                <w:sz w:val="23"/>
                <w:szCs w:val="23"/>
              </w:rPr>
              <w:t>6000-8000</w:t>
            </w:r>
            <w:r>
              <w:rPr>
                <w:rFonts w:ascii="仿宋" w:hAnsi="仿宋" w:eastAsia="仿宋" w:cs="仿宋"/>
                <w:color w:val="auto"/>
                <w:spacing w:val="3"/>
                <w:sz w:val="23"/>
                <w:szCs w:val="23"/>
              </w:rPr>
              <w:t>0</w:t>
            </w:r>
          </w:p>
        </w:tc>
        <w:tc>
          <w:tcPr>
            <w:tcW w:w="1295" w:type="dxa"/>
            <w:vAlign w:val="top"/>
          </w:tcPr>
          <w:p w14:paraId="28AA8F63">
            <w:pPr>
              <w:keepNext w:val="0"/>
              <w:keepLines w:val="0"/>
              <w:pageBreakBefore w:val="0"/>
              <w:widowControl w:val="0"/>
              <w:kinsoku/>
              <w:wordWrap/>
              <w:overflowPunct/>
              <w:topLinePunct w:val="0"/>
              <w:autoSpaceDE/>
              <w:autoSpaceDN/>
              <w:bidi w:val="0"/>
              <w:adjustRightInd/>
              <w:snapToGrid/>
              <w:spacing w:before="141" w:line="200" w:lineRule="exact"/>
              <w:ind w:left="178"/>
              <w:textAlignment w:val="auto"/>
              <w:rPr>
                <w:rFonts w:ascii="仿宋" w:hAnsi="仿宋" w:eastAsia="仿宋" w:cs="仿宋"/>
                <w:color w:val="auto"/>
                <w:sz w:val="23"/>
                <w:szCs w:val="23"/>
              </w:rPr>
            </w:pPr>
            <w:r>
              <w:rPr>
                <w:rFonts w:ascii="仿宋" w:hAnsi="仿宋" w:eastAsia="仿宋" w:cs="仿宋"/>
                <w:color w:val="auto"/>
                <w:spacing w:val="5"/>
                <w:sz w:val="23"/>
                <w:szCs w:val="23"/>
              </w:rPr>
              <w:t>3</w:t>
            </w:r>
            <w:r>
              <w:rPr>
                <w:rFonts w:ascii="仿宋" w:hAnsi="仿宋" w:eastAsia="仿宋" w:cs="仿宋"/>
                <w:color w:val="auto"/>
                <w:spacing w:val="3"/>
                <w:sz w:val="23"/>
                <w:szCs w:val="23"/>
              </w:rPr>
              <w:t>00-6000</w:t>
            </w:r>
          </w:p>
        </w:tc>
        <w:tc>
          <w:tcPr>
            <w:tcW w:w="1004" w:type="dxa"/>
            <w:vAlign w:val="top"/>
          </w:tcPr>
          <w:p w14:paraId="79293693">
            <w:pPr>
              <w:keepNext w:val="0"/>
              <w:keepLines w:val="0"/>
              <w:pageBreakBefore w:val="0"/>
              <w:widowControl w:val="0"/>
              <w:kinsoku/>
              <w:wordWrap/>
              <w:overflowPunct/>
              <w:topLinePunct w:val="0"/>
              <w:autoSpaceDE/>
              <w:autoSpaceDN/>
              <w:bidi w:val="0"/>
              <w:adjustRightInd/>
              <w:snapToGrid/>
              <w:spacing w:before="100"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＜30</w:t>
            </w:r>
            <w:r>
              <w:rPr>
                <w:rFonts w:ascii="仿宋" w:hAnsi="仿宋" w:eastAsia="仿宋" w:cs="仿宋"/>
                <w:color w:val="auto"/>
                <w:position w:val="2"/>
                <w:sz w:val="23"/>
                <w:szCs w:val="23"/>
              </w:rPr>
              <w:t>0</w:t>
            </w:r>
          </w:p>
        </w:tc>
      </w:tr>
      <w:tr w14:paraId="42E53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59658ED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1AB5C96B">
            <w:pPr>
              <w:keepNext w:val="0"/>
              <w:keepLines w:val="0"/>
              <w:pageBreakBefore w:val="0"/>
              <w:widowControl w:val="0"/>
              <w:kinsoku/>
              <w:wordWrap/>
              <w:overflowPunct/>
              <w:topLinePunct w:val="0"/>
              <w:autoSpaceDE/>
              <w:autoSpaceDN/>
              <w:bidi w:val="0"/>
              <w:adjustRightInd/>
              <w:snapToGrid/>
              <w:spacing w:before="101" w:line="200" w:lineRule="exact"/>
              <w:ind w:left="138"/>
              <w:textAlignment w:val="auto"/>
              <w:rPr>
                <w:rFonts w:ascii="仿宋" w:hAnsi="仿宋" w:eastAsia="仿宋" w:cs="仿宋"/>
                <w:color w:val="auto"/>
                <w:sz w:val="23"/>
                <w:szCs w:val="23"/>
              </w:rPr>
            </w:pPr>
            <w:r>
              <w:rPr>
                <w:rFonts w:ascii="仿宋" w:hAnsi="仿宋" w:eastAsia="仿宋" w:cs="仿宋"/>
                <w:color w:val="auto"/>
                <w:spacing w:val="3"/>
                <w:sz w:val="23"/>
                <w:szCs w:val="23"/>
              </w:rPr>
              <w:t>资产总</w:t>
            </w:r>
            <w:r>
              <w:rPr>
                <w:rFonts w:ascii="仿宋" w:hAnsi="仿宋" w:eastAsia="仿宋" w:cs="仿宋"/>
                <w:color w:val="auto"/>
                <w:spacing w:val="2"/>
                <w:sz w:val="23"/>
                <w:szCs w:val="23"/>
              </w:rPr>
              <w:t>额</w:t>
            </w:r>
          </w:p>
        </w:tc>
        <w:tc>
          <w:tcPr>
            <w:tcW w:w="900" w:type="dxa"/>
            <w:vAlign w:val="top"/>
          </w:tcPr>
          <w:p w14:paraId="1171E4F5">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0FE2CF77">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≥8</w:t>
            </w:r>
            <w:r>
              <w:rPr>
                <w:rFonts w:ascii="仿宋" w:hAnsi="仿宋" w:eastAsia="仿宋" w:cs="仿宋"/>
                <w:color w:val="auto"/>
                <w:position w:val="1"/>
                <w:sz w:val="23"/>
                <w:szCs w:val="23"/>
              </w:rPr>
              <w:t>0000</w:t>
            </w:r>
          </w:p>
        </w:tc>
        <w:tc>
          <w:tcPr>
            <w:tcW w:w="1535" w:type="dxa"/>
            <w:vAlign w:val="top"/>
          </w:tcPr>
          <w:p w14:paraId="48C15FEF">
            <w:pPr>
              <w:keepNext w:val="0"/>
              <w:keepLines w:val="0"/>
              <w:pageBreakBefore w:val="0"/>
              <w:widowControl w:val="0"/>
              <w:kinsoku/>
              <w:wordWrap/>
              <w:overflowPunct/>
              <w:topLinePunct w:val="0"/>
              <w:autoSpaceDE/>
              <w:autoSpaceDN/>
              <w:bidi w:val="0"/>
              <w:adjustRightInd/>
              <w:snapToGrid/>
              <w:spacing w:before="142" w:line="200" w:lineRule="exact"/>
              <w:ind w:left="177"/>
              <w:textAlignment w:val="auto"/>
              <w:rPr>
                <w:rFonts w:ascii="仿宋" w:hAnsi="仿宋" w:eastAsia="仿宋" w:cs="仿宋"/>
                <w:color w:val="auto"/>
                <w:sz w:val="23"/>
                <w:szCs w:val="23"/>
              </w:rPr>
            </w:pPr>
            <w:r>
              <w:rPr>
                <w:rFonts w:ascii="仿宋" w:hAnsi="仿宋" w:eastAsia="仿宋" w:cs="仿宋"/>
                <w:color w:val="auto"/>
                <w:spacing w:val="6"/>
                <w:sz w:val="23"/>
                <w:szCs w:val="23"/>
              </w:rPr>
              <w:t>50</w:t>
            </w:r>
            <w:r>
              <w:rPr>
                <w:rFonts w:ascii="仿宋" w:hAnsi="仿宋" w:eastAsia="仿宋" w:cs="仿宋"/>
                <w:color w:val="auto"/>
                <w:spacing w:val="3"/>
                <w:sz w:val="23"/>
                <w:szCs w:val="23"/>
              </w:rPr>
              <w:t>00-80000</w:t>
            </w:r>
          </w:p>
        </w:tc>
        <w:tc>
          <w:tcPr>
            <w:tcW w:w="1295" w:type="dxa"/>
            <w:vAlign w:val="top"/>
          </w:tcPr>
          <w:p w14:paraId="7E4F0B04">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z w:val="23"/>
                <w:szCs w:val="23"/>
              </w:rPr>
            </w:pPr>
            <w:r>
              <w:rPr>
                <w:rFonts w:ascii="仿宋" w:hAnsi="仿宋" w:eastAsia="仿宋" w:cs="仿宋"/>
                <w:color w:val="auto"/>
                <w:spacing w:val="5"/>
                <w:sz w:val="23"/>
                <w:szCs w:val="23"/>
              </w:rPr>
              <w:t>3</w:t>
            </w:r>
            <w:r>
              <w:rPr>
                <w:rFonts w:ascii="仿宋" w:hAnsi="仿宋" w:eastAsia="仿宋" w:cs="仿宋"/>
                <w:color w:val="auto"/>
                <w:spacing w:val="3"/>
                <w:sz w:val="23"/>
                <w:szCs w:val="23"/>
              </w:rPr>
              <w:t>00-5000</w:t>
            </w:r>
          </w:p>
        </w:tc>
        <w:tc>
          <w:tcPr>
            <w:tcW w:w="1004" w:type="dxa"/>
            <w:vAlign w:val="top"/>
          </w:tcPr>
          <w:p w14:paraId="4514C9C7">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＜30</w:t>
            </w:r>
            <w:r>
              <w:rPr>
                <w:rFonts w:ascii="仿宋" w:hAnsi="仿宋" w:eastAsia="仿宋" w:cs="仿宋"/>
                <w:color w:val="auto"/>
                <w:position w:val="2"/>
                <w:sz w:val="23"/>
                <w:szCs w:val="23"/>
              </w:rPr>
              <w:t>0</w:t>
            </w:r>
          </w:p>
        </w:tc>
      </w:tr>
      <w:tr w14:paraId="03AAF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01DBC683">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301C65B4">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z w:val="23"/>
                <w:szCs w:val="23"/>
              </w:rPr>
            </w:pPr>
            <w:r>
              <w:rPr>
                <w:rFonts w:ascii="仿宋" w:hAnsi="仿宋" w:eastAsia="仿宋" w:cs="仿宋"/>
                <w:color w:val="auto"/>
                <w:spacing w:val="6"/>
                <w:sz w:val="23"/>
                <w:szCs w:val="23"/>
              </w:rPr>
              <w:t>批</w:t>
            </w:r>
            <w:r>
              <w:rPr>
                <w:rFonts w:ascii="仿宋" w:hAnsi="仿宋" w:eastAsia="仿宋" w:cs="仿宋"/>
                <w:color w:val="auto"/>
                <w:spacing w:val="4"/>
                <w:sz w:val="23"/>
                <w:szCs w:val="23"/>
              </w:rPr>
              <w:t>发业</w:t>
            </w:r>
          </w:p>
        </w:tc>
        <w:tc>
          <w:tcPr>
            <w:tcW w:w="1187" w:type="dxa"/>
            <w:vAlign w:val="top"/>
          </w:tcPr>
          <w:p w14:paraId="1A9AE707">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3FBFF385">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60111074">
            <w:pPr>
              <w:keepNext w:val="0"/>
              <w:keepLines w:val="0"/>
              <w:pageBreakBefore w:val="0"/>
              <w:widowControl w:val="0"/>
              <w:kinsoku/>
              <w:wordWrap/>
              <w:overflowPunct/>
              <w:topLinePunct w:val="0"/>
              <w:autoSpaceDE/>
              <w:autoSpaceDN/>
              <w:bidi w:val="0"/>
              <w:adjustRightInd/>
              <w:snapToGrid/>
              <w:spacing w:before="101" w:line="200" w:lineRule="exact"/>
              <w:ind w:left="430"/>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≥200</w:t>
            </w:r>
          </w:p>
        </w:tc>
        <w:tc>
          <w:tcPr>
            <w:tcW w:w="1535" w:type="dxa"/>
            <w:vAlign w:val="top"/>
          </w:tcPr>
          <w:p w14:paraId="6460CEC0">
            <w:pPr>
              <w:keepNext w:val="0"/>
              <w:keepLines w:val="0"/>
              <w:pageBreakBefore w:val="0"/>
              <w:widowControl w:val="0"/>
              <w:kinsoku/>
              <w:wordWrap/>
              <w:overflowPunct/>
              <w:topLinePunct w:val="0"/>
              <w:autoSpaceDE/>
              <w:autoSpaceDN/>
              <w:bidi w:val="0"/>
              <w:adjustRightInd/>
              <w:snapToGrid/>
              <w:spacing w:before="142" w:line="200" w:lineRule="exact"/>
              <w:ind w:left="415"/>
              <w:textAlignment w:val="auto"/>
              <w:rPr>
                <w:rFonts w:ascii="仿宋" w:hAnsi="仿宋" w:eastAsia="仿宋" w:cs="仿宋"/>
                <w:color w:val="auto"/>
                <w:sz w:val="23"/>
                <w:szCs w:val="23"/>
              </w:rPr>
            </w:pPr>
            <w:r>
              <w:rPr>
                <w:rFonts w:ascii="仿宋" w:hAnsi="仿宋" w:eastAsia="仿宋" w:cs="仿宋"/>
                <w:color w:val="auto"/>
                <w:spacing w:val="3"/>
                <w:sz w:val="23"/>
                <w:szCs w:val="23"/>
              </w:rPr>
              <w:t>20-200</w:t>
            </w:r>
          </w:p>
        </w:tc>
        <w:tc>
          <w:tcPr>
            <w:tcW w:w="1295" w:type="dxa"/>
            <w:vAlign w:val="top"/>
          </w:tcPr>
          <w:p w14:paraId="2984F87E">
            <w:pPr>
              <w:keepNext w:val="0"/>
              <w:keepLines w:val="0"/>
              <w:pageBreakBefore w:val="0"/>
              <w:widowControl w:val="0"/>
              <w:kinsoku/>
              <w:wordWrap/>
              <w:overflowPunct/>
              <w:topLinePunct w:val="0"/>
              <w:autoSpaceDE/>
              <w:autoSpaceDN/>
              <w:bidi w:val="0"/>
              <w:adjustRightInd/>
              <w:snapToGrid/>
              <w:spacing w:before="142" w:line="200" w:lineRule="exact"/>
              <w:ind w:left="418"/>
              <w:textAlignment w:val="auto"/>
              <w:rPr>
                <w:rFonts w:ascii="仿宋" w:hAnsi="仿宋" w:eastAsia="仿宋" w:cs="仿宋"/>
                <w:color w:val="auto"/>
                <w:sz w:val="23"/>
                <w:szCs w:val="23"/>
              </w:rPr>
            </w:pPr>
            <w:r>
              <w:rPr>
                <w:rFonts w:ascii="仿宋" w:hAnsi="仿宋" w:eastAsia="仿宋" w:cs="仿宋"/>
                <w:color w:val="auto"/>
                <w:spacing w:val="2"/>
                <w:sz w:val="23"/>
                <w:szCs w:val="23"/>
              </w:rPr>
              <w:t>5-</w:t>
            </w:r>
            <w:r>
              <w:rPr>
                <w:rFonts w:ascii="仿宋" w:hAnsi="仿宋" w:eastAsia="仿宋" w:cs="仿宋"/>
                <w:color w:val="auto"/>
                <w:spacing w:val="1"/>
                <w:sz w:val="23"/>
                <w:szCs w:val="23"/>
              </w:rPr>
              <w:t>20</w:t>
            </w:r>
          </w:p>
        </w:tc>
        <w:tc>
          <w:tcPr>
            <w:tcW w:w="1004" w:type="dxa"/>
            <w:vAlign w:val="top"/>
          </w:tcPr>
          <w:p w14:paraId="74411B42">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rPr>
            </w:pPr>
            <w:r>
              <w:rPr>
                <w:rFonts w:ascii="仿宋" w:hAnsi="仿宋" w:eastAsia="仿宋" w:cs="仿宋"/>
                <w:color w:val="auto"/>
                <w:spacing w:val="-7"/>
                <w:position w:val="2"/>
                <w:sz w:val="23"/>
                <w:szCs w:val="23"/>
              </w:rPr>
              <w:t>＜</w:t>
            </w:r>
            <w:r>
              <w:rPr>
                <w:rFonts w:ascii="仿宋" w:hAnsi="仿宋" w:eastAsia="仿宋" w:cs="仿宋"/>
                <w:color w:val="auto"/>
                <w:spacing w:val="-6"/>
                <w:position w:val="2"/>
                <w:sz w:val="23"/>
                <w:szCs w:val="23"/>
              </w:rPr>
              <w:t>5</w:t>
            </w:r>
          </w:p>
        </w:tc>
      </w:tr>
      <w:tr w14:paraId="6AFEB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653377E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704A08FE">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5F14D041">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387E0C3D">
            <w:pPr>
              <w:keepNext w:val="0"/>
              <w:keepLines w:val="0"/>
              <w:pageBreakBefore w:val="0"/>
              <w:widowControl w:val="0"/>
              <w:kinsoku/>
              <w:wordWrap/>
              <w:overflowPunct/>
              <w:topLinePunct w:val="0"/>
              <w:autoSpaceDE/>
              <w:autoSpaceDN/>
              <w:bidi w:val="0"/>
              <w:adjustRightInd/>
              <w:snapToGrid/>
              <w:spacing w:before="102"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≥4</w:t>
            </w:r>
            <w:r>
              <w:rPr>
                <w:rFonts w:ascii="仿宋" w:hAnsi="仿宋" w:eastAsia="仿宋" w:cs="仿宋"/>
                <w:color w:val="auto"/>
                <w:position w:val="1"/>
                <w:sz w:val="23"/>
                <w:szCs w:val="23"/>
              </w:rPr>
              <w:t>0000</w:t>
            </w:r>
          </w:p>
        </w:tc>
        <w:tc>
          <w:tcPr>
            <w:tcW w:w="1535" w:type="dxa"/>
            <w:vAlign w:val="top"/>
          </w:tcPr>
          <w:p w14:paraId="12D90AB1">
            <w:pPr>
              <w:keepNext w:val="0"/>
              <w:keepLines w:val="0"/>
              <w:pageBreakBefore w:val="0"/>
              <w:widowControl w:val="0"/>
              <w:kinsoku/>
              <w:wordWrap/>
              <w:overflowPunct/>
              <w:topLinePunct w:val="0"/>
              <w:autoSpaceDE/>
              <w:autoSpaceDN/>
              <w:bidi w:val="0"/>
              <w:adjustRightInd/>
              <w:snapToGrid/>
              <w:spacing w:before="143" w:line="200" w:lineRule="exact"/>
              <w:ind w:left="177"/>
              <w:textAlignment w:val="auto"/>
              <w:rPr>
                <w:rFonts w:ascii="仿宋" w:hAnsi="仿宋" w:eastAsia="仿宋" w:cs="仿宋"/>
                <w:color w:val="auto"/>
                <w:sz w:val="23"/>
                <w:szCs w:val="23"/>
              </w:rPr>
            </w:pPr>
            <w:r>
              <w:rPr>
                <w:rFonts w:ascii="仿宋" w:hAnsi="仿宋" w:eastAsia="仿宋" w:cs="仿宋"/>
                <w:color w:val="auto"/>
                <w:spacing w:val="6"/>
                <w:sz w:val="23"/>
                <w:szCs w:val="23"/>
              </w:rPr>
              <w:t>50</w:t>
            </w:r>
            <w:r>
              <w:rPr>
                <w:rFonts w:ascii="仿宋" w:hAnsi="仿宋" w:eastAsia="仿宋" w:cs="仿宋"/>
                <w:color w:val="auto"/>
                <w:spacing w:val="3"/>
                <w:sz w:val="23"/>
                <w:szCs w:val="23"/>
              </w:rPr>
              <w:t>00-40000</w:t>
            </w:r>
          </w:p>
        </w:tc>
        <w:tc>
          <w:tcPr>
            <w:tcW w:w="1295" w:type="dxa"/>
            <w:vAlign w:val="top"/>
          </w:tcPr>
          <w:p w14:paraId="7E6AF561">
            <w:pPr>
              <w:keepNext w:val="0"/>
              <w:keepLines w:val="0"/>
              <w:pageBreakBefore w:val="0"/>
              <w:widowControl w:val="0"/>
              <w:kinsoku/>
              <w:wordWrap/>
              <w:overflowPunct/>
              <w:topLinePunct w:val="0"/>
              <w:autoSpaceDE/>
              <w:autoSpaceDN/>
              <w:bidi w:val="0"/>
              <w:adjustRightInd/>
              <w:snapToGrid/>
              <w:spacing w:before="143" w:line="200" w:lineRule="exact"/>
              <w:ind w:left="131"/>
              <w:textAlignment w:val="auto"/>
              <w:rPr>
                <w:rFonts w:ascii="仿宋" w:hAnsi="仿宋" w:eastAsia="仿宋" w:cs="仿宋"/>
                <w:color w:val="auto"/>
                <w:sz w:val="23"/>
                <w:szCs w:val="23"/>
              </w:rPr>
            </w:pPr>
            <w:r>
              <w:rPr>
                <w:rFonts w:ascii="仿宋" w:hAnsi="仿宋" w:eastAsia="仿宋" w:cs="仿宋"/>
                <w:color w:val="auto"/>
                <w:spacing w:val="2"/>
                <w:sz w:val="23"/>
                <w:szCs w:val="23"/>
              </w:rPr>
              <w:t>1000-5000</w:t>
            </w:r>
          </w:p>
        </w:tc>
        <w:tc>
          <w:tcPr>
            <w:tcW w:w="1004" w:type="dxa"/>
            <w:vAlign w:val="top"/>
          </w:tcPr>
          <w:p w14:paraId="00B953B3">
            <w:pPr>
              <w:keepNext w:val="0"/>
              <w:keepLines w:val="0"/>
              <w:pageBreakBefore w:val="0"/>
              <w:widowControl w:val="0"/>
              <w:kinsoku/>
              <w:wordWrap/>
              <w:overflowPunct/>
              <w:topLinePunct w:val="0"/>
              <w:autoSpaceDE/>
              <w:autoSpaceDN/>
              <w:bidi w:val="0"/>
              <w:adjustRightInd/>
              <w:snapToGrid/>
              <w:spacing w:before="102" w:line="200" w:lineRule="exact"/>
              <w:ind w:left="16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w:t>
            </w:r>
            <w:r>
              <w:rPr>
                <w:rFonts w:ascii="仿宋" w:hAnsi="仿宋" w:eastAsia="仿宋" w:cs="仿宋"/>
                <w:color w:val="auto"/>
                <w:position w:val="2"/>
                <w:sz w:val="23"/>
                <w:szCs w:val="23"/>
              </w:rPr>
              <w:t>000</w:t>
            </w:r>
          </w:p>
        </w:tc>
      </w:tr>
      <w:tr w14:paraId="5BA53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33C24FB3">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697E5C6C">
            <w:pPr>
              <w:keepNext w:val="0"/>
              <w:keepLines w:val="0"/>
              <w:pageBreakBefore w:val="0"/>
              <w:widowControl w:val="0"/>
              <w:kinsoku/>
              <w:wordWrap/>
              <w:overflowPunct/>
              <w:topLinePunct w:val="0"/>
              <w:autoSpaceDE/>
              <w:autoSpaceDN/>
              <w:bidi w:val="0"/>
              <w:adjustRightInd/>
              <w:snapToGrid/>
              <w:spacing w:before="75" w:line="200" w:lineRule="exact"/>
              <w:ind w:left="245"/>
              <w:textAlignment w:val="auto"/>
              <w:rPr>
                <w:rFonts w:ascii="仿宋" w:hAnsi="仿宋" w:eastAsia="仿宋" w:cs="仿宋"/>
                <w:color w:val="auto"/>
                <w:sz w:val="23"/>
                <w:szCs w:val="23"/>
              </w:rPr>
            </w:pPr>
            <w:r>
              <w:rPr>
                <w:rFonts w:ascii="仿宋" w:hAnsi="仿宋" w:eastAsia="仿宋" w:cs="仿宋"/>
                <w:color w:val="auto"/>
                <w:spacing w:val="5"/>
                <w:sz w:val="23"/>
                <w:szCs w:val="23"/>
              </w:rPr>
              <w:t>零</w:t>
            </w:r>
            <w:r>
              <w:rPr>
                <w:rFonts w:ascii="仿宋" w:hAnsi="仿宋" w:eastAsia="仿宋" w:cs="仿宋"/>
                <w:color w:val="auto"/>
                <w:spacing w:val="4"/>
                <w:sz w:val="23"/>
                <w:szCs w:val="23"/>
              </w:rPr>
              <w:t>售业</w:t>
            </w:r>
          </w:p>
        </w:tc>
        <w:tc>
          <w:tcPr>
            <w:tcW w:w="1187" w:type="dxa"/>
            <w:vAlign w:val="top"/>
          </w:tcPr>
          <w:p w14:paraId="79C702CC">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164E6391">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2D07C3E7">
            <w:pPr>
              <w:keepNext w:val="0"/>
              <w:keepLines w:val="0"/>
              <w:pageBreakBefore w:val="0"/>
              <w:widowControl w:val="0"/>
              <w:kinsoku/>
              <w:wordWrap/>
              <w:overflowPunct/>
              <w:topLinePunct w:val="0"/>
              <w:autoSpaceDE/>
              <w:autoSpaceDN/>
              <w:bidi w:val="0"/>
              <w:adjustRightInd/>
              <w:snapToGrid/>
              <w:spacing w:before="102" w:line="200" w:lineRule="exact"/>
              <w:ind w:left="430"/>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≥300</w:t>
            </w:r>
          </w:p>
        </w:tc>
        <w:tc>
          <w:tcPr>
            <w:tcW w:w="1535" w:type="dxa"/>
            <w:vAlign w:val="top"/>
          </w:tcPr>
          <w:p w14:paraId="7114496B">
            <w:pPr>
              <w:keepNext w:val="0"/>
              <w:keepLines w:val="0"/>
              <w:pageBreakBefore w:val="0"/>
              <w:widowControl w:val="0"/>
              <w:kinsoku/>
              <w:wordWrap/>
              <w:overflowPunct/>
              <w:topLinePunct w:val="0"/>
              <w:autoSpaceDE/>
              <w:autoSpaceDN/>
              <w:bidi w:val="0"/>
              <w:adjustRightInd/>
              <w:snapToGrid/>
              <w:spacing w:before="143" w:line="200" w:lineRule="exact"/>
              <w:ind w:left="417"/>
              <w:textAlignment w:val="auto"/>
              <w:rPr>
                <w:rFonts w:ascii="仿宋" w:hAnsi="仿宋" w:eastAsia="仿宋" w:cs="仿宋"/>
                <w:color w:val="auto"/>
                <w:sz w:val="23"/>
                <w:szCs w:val="23"/>
              </w:rPr>
            </w:pPr>
            <w:r>
              <w:rPr>
                <w:rFonts w:ascii="仿宋" w:hAnsi="仿宋" w:eastAsia="仿宋" w:cs="仿宋"/>
                <w:color w:val="auto"/>
                <w:spacing w:val="4"/>
                <w:sz w:val="23"/>
                <w:szCs w:val="23"/>
              </w:rPr>
              <w:t>50</w:t>
            </w:r>
            <w:r>
              <w:rPr>
                <w:rFonts w:ascii="仿宋" w:hAnsi="仿宋" w:eastAsia="仿宋" w:cs="仿宋"/>
                <w:color w:val="auto"/>
                <w:spacing w:val="2"/>
                <w:sz w:val="23"/>
                <w:szCs w:val="23"/>
              </w:rPr>
              <w:t>-300</w:t>
            </w:r>
          </w:p>
        </w:tc>
        <w:tc>
          <w:tcPr>
            <w:tcW w:w="1295" w:type="dxa"/>
            <w:vAlign w:val="top"/>
          </w:tcPr>
          <w:p w14:paraId="24D746AB">
            <w:pPr>
              <w:keepNext w:val="0"/>
              <w:keepLines w:val="0"/>
              <w:pageBreakBefore w:val="0"/>
              <w:widowControl w:val="0"/>
              <w:kinsoku/>
              <w:wordWrap/>
              <w:overflowPunct/>
              <w:topLinePunct w:val="0"/>
              <w:autoSpaceDE/>
              <w:autoSpaceDN/>
              <w:bidi w:val="0"/>
              <w:adjustRightInd/>
              <w:snapToGrid/>
              <w:spacing w:before="143" w:line="200" w:lineRule="exact"/>
              <w:ind w:left="371"/>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-50</w:t>
            </w:r>
          </w:p>
        </w:tc>
        <w:tc>
          <w:tcPr>
            <w:tcW w:w="1004" w:type="dxa"/>
            <w:vAlign w:val="top"/>
          </w:tcPr>
          <w:p w14:paraId="34F442E3">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10</w:t>
            </w:r>
          </w:p>
        </w:tc>
      </w:tr>
      <w:tr w14:paraId="656ED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vAlign w:val="top"/>
          </w:tcPr>
          <w:p w14:paraId="70DF9561">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2E1BE76E">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2B5A2523">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61D274D5">
            <w:pPr>
              <w:keepNext w:val="0"/>
              <w:keepLines w:val="0"/>
              <w:pageBreakBefore w:val="0"/>
              <w:widowControl w:val="0"/>
              <w:kinsoku/>
              <w:wordWrap/>
              <w:overflowPunct/>
              <w:topLinePunct w:val="0"/>
              <w:autoSpaceDE/>
              <w:autoSpaceDN/>
              <w:bidi w:val="0"/>
              <w:adjustRightInd/>
              <w:snapToGrid/>
              <w:spacing w:before="101" w:line="200" w:lineRule="exact"/>
              <w:ind w:left="303"/>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≤2</w:t>
            </w:r>
            <w:r>
              <w:rPr>
                <w:rFonts w:ascii="仿宋" w:hAnsi="仿宋" w:eastAsia="仿宋" w:cs="仿宋"/>
                <w:color w:val="auto"/>
                <w:spacing w:val="1"/>
                <w:position w:val="1"/>
                <w:sz w:val="23"/>
                <w:szCs w:val="23"/>
              </w:rPr>
              <w:t>0000</w:t>
            </w:r>
          </w:p>
        </w:tc>
        <w:tc>
          <w:tcPr>
            <w:tcW w:w="1535" w:type="dxa"/>
            <w:vAlign w:val="top"/>
          </w:tcPr>
          <w:p w14:paraId="6F57F9CC">
            <w:pPr>
              <w:keepNext w:val="0"/>
              <w:keepLines w:val="0"/>
              <w:pageBreakBefore w:val="0"/>
              <w:widowControl w:val="0"/>
              <w:kinsoku/>
              <w:wordWrap/>
              <w:overflowPunct/>
              <w:topLinePunct w:val="0"/>
              <w:autoSpaceDE/>
              <w:autoSpaceDN/>
              <w:bidi w:val="0"/>
              <w:adjustRightInd/>
              <w:snapToGrid/>
              <w:spacing w:before="142" w:line="200" w:lineRule="exact"/>
              <w:ind w:left="237"/>
              <w:textAlignment w:val="auto"/>
              <w:rPr>
                <w:rFonts w:ascii="仿宋" w:hAnsi="仿宋" w:eastAsia="仿宋" w:cs="仿宋"/>
                <w:color w:val="auto"/>
                <w:sz w:val="23"/>
                <w:szCs w:val="23"/>
              </w:rPr>
            </w:pPr>
            <w:r>
              <w:rPr>
                <w:rFonts w:ascii="仿宋" w:hAnsi="仿宋" w:eastAsia="仿宋" w:cs="仿宋"/>
                <w:color w:val="auto"/>
                <w:spacing w:val="6"/>
                <w:sz w:val="23"/>
                <w:szCs w:val="23"/>
              </w:rPr>
              <w:t>5</w:t>
            </w:r>
            <w:r>
              <w:rPr>
                <w:rFonts w:ascii="仿宋" w:hAnsi="仿宋" w:eastAsia="仿宋" w:cs="仿宋"/>
                <w:color w:val="auto"/>
                <w:spacing w:val="4"/>
                <w:sz w:val="23"/>
                <w:szCs w:val="23"/>
              </w:rPr>
              <w:t>0</w:t>
            </w:r>
            <w:r>
              <w:rPr>
                <w:rFonts w:ascii="仿宋" w:hAnsi="仿宋" w:eastAsia="仿宋" w:cs="仿宋"/>
                <w:color w:val="auto"/>
                <w:spacing w:val="3"/>
                <w:sz w:val="23"/>
                <w:szCs w:val="23"/>
              </w:rPr>
              <w:t>0-20000</w:t>
            </w:r>
          </w:p>
        </w:tc>
        <w:tc>
          <w:tcPr>
            <w:tcW w:w="1295" w:type="dxa"/>
            <w:vAlign w:val="top"/>
          </w:tcPr>
          <w:p w14:paraId="6FB4D338">
            <w:pPr>
              <w:keepNext w:val="0"/>
              <w:keepLines w:val="0"/>
              <w:pageBreakBefore w:val="0"/>
              <w:widowControl w:val="0"/>
              <w:kinsoku/>
              <w:wordWrap/>
              <w:overflowPunct/>
              <w:topLinePunct w:val="0"/>
              <w:autoSpaceDE/>
              <w:autoSpaceDN/>
              <w:bidi w:val="0"/>
              <w:adjustRightInd/>
              <w:snapToGrid/>
              <w:spacing w:before="142" w:line="200" w:lineRule="exact"/>
              <w:ind w:left="251"/>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00-500</w:t>
            </w:r>
          </w:p>
        </w:tc>
        <w:tc>
          <w:tcPr>
            <w:tcW w:w="1004" w:type="dxa"/>
            <w:vAlign w:val="top"/>
          </w:tcPr>
          <w:p w14:paraId="5D1E90FA">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03A9E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199C634A">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5188D5B1">
            <w:pPr>
              <w:keepNext w:val="0"/>
              <w:keepLines w:val="0"/>
              <w:pageBreakBefore w:val="0"/>
              <w:widowControl w:val="0"/>
              <w:kinsoku/>
              <w:wordWrap/>
              <w:overflowPunct/>
              <w:topLinePunct w:val="0"/>
              <w:autoSpaceDE/>
              <w:autoSpaceDN/>
              <w:bidi w:val="0"/>
              <w:adjustRightInd/>
              <w:snapToGrid/>
              <w:spacing w:before="75" w:line="200" w:lineRule="exact"/>
              <w:ind w:left="130"/>
              <w:textAlignment w:val="auto"/>
              <w:rPr>
                <w:rFonts w:ascii="仿宋" w:hAnsi="仿宋" w:eastAsia="仿宋" w:cs="仿宋"/>
                <w:color w:val="auto"/>
                <w:sz w:val="23"/>
                <w:szCs w:val="23"/>
              </w:rPr>
            </w:pPr>
            <w:r>
              <w:rPr>
                <w:rFonts w:ascii="仿宋" w:hAnsi="仿宋" w:eastAsia="仿宋" w:cs="仿宋"/>
                <w:color w:val="auto"/>
                <w:spacing w:val="6"/>
                <w:sz w:val="23"/>
                <w:szCs w:val="23"/>
              </w:rPr>
              <w:t>交</w:t>
            </w:r>
            <w:r>
              <w:rPr>
                <w:rFonts w:ascii="仿宋" w:hAnsi="仿宋" w:eastAsia="仿宋" w:cs="仿宋"/>
                <w:color w:val="auto"/>
                <w:spacing w:val="4"/>
                <w:sz w:val="23"/>
                <w:szCs w:val="23"/>
              </w:rPr>
              <w:t>通运输</w:t>
            </w:r>
          </w:p>
        </w:tc>
        <w:tc>
          <w:tcPr>
            <w:tcW w:w="1187" w:type="dxa"/>
            <w:vAlign w:val="top"/>
          </w:tcPr>
          <w:p w14:paraId="4C90922D">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3BAB8B4E">
            <w:pPr>
              <w:keepNext w:val="0"/>
              <w:keepLines w:val="0"/>
              <w:pageBreakBefore w:val="0"/>
              <w:widowControl w:val="0"/>
              <w:kinsoku/>
              <w:wordWrap/>
              <w:overflowPunct/>
              <w:topLinePunct w:val="0"/>
              <w:autoSpaceDE/>
              <w:autoSpaceDN/>
              <w:bidi w:val="0"/>
              <w:adjustRightInd/>
              <w:snapToGrid/>
              <w:spacing w:before="102"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7A86EC8C">
            <w:pPr>
              <w:keepNext w:val="0"/>
              <w:keepLines w:val="0"/>
              <w:pageBreakBefore w:val="0"/>
              <w:widowControl w:val="0"/>
              <w:kinsoku/>
              <w:wordWrap/>
              <w:overflowPunct/>
              <w:topLinePunct w:val="0"/>
              <w:autoSpaceDE/>
              <w:autoSpaceDN/>
              <w:bidi w:val="0"/>
              <w:adjustRightInd/>
              <w:snapToGrid/>
              <w:spacing w:before="102" w:line="200" w:lineRule="exact"/>
              <w:ind w:left="37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≥10</w:t>
            </w:r>
            <w:r>
              <w:rPr>
                <w:rFonts w:ascii="仿宋" w:hAnsi="仿宋" w:eastAsia="仿宋" w:cs="仿宋"/>
                <w:color w:val="auto"/>
                <w:position w:val="1"/>
                <w:sz w:val="23"/>
                <w:szCs w:val="23"/>
              </w:rPr>
              <w:t>00</w:t>
            </w:r>
          </w:p>
        </w:tc>
        <w:tc>
          <w:tcPr>
            <w:tcW w:w="1535" w:type="dxa"/>
            <w:vAlign w:val="top"/>
          </w:tcPr>
          <w:p w14:paraId="6F3B01AF">
            <w:pPr>
              <w:keepNext w:val="0"/>
              <w:keepLines w:val="0"/>
              <w:pageBreakBefore w:val="0"/>
              <w:widowControl w:val="0"/>
              <w:kinsoku/>
              <w:wordWrap/>
              <w:overflowPunct/>
              <w:topLinePunct w:val="0"/>
              <w:autoSpaceDE/>
              <w:autoSpaceDN/>
              <w:bidi w:val="0"/>
              <w:adjustRightInd/>
              <w:snapToGrid/>
              <w:spacing w:before="143" w:line="200" w:lineRule="exact"/>
              <w:ind w:left="297"/>
              <w:textAlignment w:val="auto"/>
              <w:rPr>
                <w:rFonts w:ascii="仿宋" w:hAnsi="仿宋" w:eastAsia="仿宋" w:cs="仿宋"/>
                <w:color w:val="auto"/>
                <w:sz w:val="23"/>
                <w:szCs w:val="23"/>
              </w:rPr>
            </w:pPr>
            <w:r>
              <w:rPr>
                <w:rFonts w:ascii="仿宋" w:hAnsi="仿宋" w:eastAsia="仿宋" w:cs="仿宋"/>
                <w:color w:val="auto"/>
                <w:spacing w:val="5"/>
                <w:sz w:val="23"/>
                <w:szCs w:val="23"/>
              </w:rPr>
              <w:t>3</w:t>
            </w:r>
            <w:r>
              <w:rPr>
                <w:rFonts w:ascii="仿宋" w:hAnsi="仿宋" w:eastAsia="仿宋" w:cs="仿宋"/>
                <w:color w:val="auto"/>
                <w:spacing w:val="3"/>
                <w:sz w:val="23"/>
                <w:szCs w:val="23"/>
              </w:rPr>
              <w:t>00-1000</w:t>
            </w:r>
          </w:p>
        </w:tc>
        <w:tc>
          <w:tcPr>
            <w:tcW w:w="1295" w:type="dxa"/>
            <w:vAlign w:val="top"/>
          </w:tcPr>
          <w:p w14:paraId="20428788">
            <w:pPr>
              <w:keepNext w:val="0"/>
              <w:keepLines w:val="0"/>
              <w:pageBreakBefore w:val="0"/>
              <w:widowControl w:val="0"/>
              <w:kinsoku/>
              <w:wordWrap/>
              <w:overflowPunct/>
              <w:topLinePunct w:val="0"/>
              <w:autoSpaceDE/>
              <w:autoSpaceDN/>
              <w:bidi w:val="0"/>
              <w:adjustRightInd/>
              <w:snapToGrid/>
              <w:spacing w:before="143" w:line="200" w:lineRule="exact"/>
              <w:ind w:left="296"/>
              <w:textAlignment w:val="auto"/>
              <w:rPr>
                <w:rFonts w:ascii="仿宋" w:hAnsi="仿宋" w:eastAsia="仿宋" w:cs="仿宋"/>
                <w:color w:val="auto"/>
                <w:sz w:val="23"/>
                <w:szCs w:val="23"/>
              </w:rPr>
            </w:pPr>
            <w:r>
              <w:rPr>
                <w:rFonts w:ascii="仿宋" w:hAnsi="仿宋" w:eastAsia="仿宋" w:cs="仿宋"/>
                <w:color w:val="auto"/>
                <w:spacing w:val="3"/>
                <w:sz w:val="23"/>
                <w:szCs w:val="23"/>
              </w:rPr>
              <w:t>20-300</w:t>
            </w:r>
          </w:p>
        </w:tc>
        <w:tc>
          <w:tcPr>
            <w:tcW w:w="1004" w:type="dxa"/>
            <w:vAlign w:val="top"/>
          </w:tcPr>
          <w:p w14:paraId="6E84CBB7">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20</w:t>
            </w:r>
          </w:p>
        </w:tc>
      </w:tr>
      <w:tr w14:paraId="6CA27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024F13D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38E65453">
            <w:pPr>
              <w:keepNext w:val="0"/>
              <w:keepLines w:val="0"/>
              <w:pageBreakBefore w:val="0"/>
              <w:widowControl w:val="0"/>
              <w:kinsoku/>
              <w:wordWrap/>
              <w:overflowPunct/>
              <w:topLinePunct w:val="0"/>
              <w:autoSpaceDE/>
              <w:autoSpaceDN/>
              <w:bidi w:val="0"/>
              <w:adjustRightInd/>
              <w:snapToGrid/>
              <w:spacing w:before="105"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32F7B5F5">
            <w:pPr>
              <w:keepNext w:val="0"/>
              <w:keepLines w:val="0"/>
              <w:pageBreakBefore w:val="0"/>
              <w:widowControl w:val="0"/>
              <w:kinsoku/>
              <w:wordWrap/>
              <w:overflowPunct/>
              <w:topLinePunct w:val="0"/>
              <w:autoSpaceDE/>
              <w:autoSpaceDN/>
              <w:bidi w:val="0"/>
              <w:adjustRightInd/>
              <w:snapToGrid/>
              <w:spacing w:before="105"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5F166577">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≥3</w:t>
            </w:r>
            <w:r>
              <w:rPr>
                <w:rFonts w:ascii="仿宋" w:hAnsi="仿宋" w:eastAsia="仿宋" w:cs="仿宋"/>
                <w:color w:val="auto"/>
                <w:position w:val="1"/>
                <w:sz w:val="23"/>
                <w:szCs w:val="23"/>
              </w:rPr>
              <w:t>0000</w:t>
            </w:r>
          </w:p>
        </w:tc>
        <w:tc>
          <w:tcPr>
            <w:tcW w:w="1535" w:type="dxa"/>
            <w:vAlign w:val="top"/>
          </w:tcPr>
          <w:p w14:paraId="1D4F588D">
            <w:pPr>
              <w:keepNext w:val="0"/>
              <w:keepLines w:val="0"/>
              <w:pageBreakBefore w:val="0"/>
              <w:widowControl w:val="0"/>
              <w:kinsoku/>
              <w:wordWrap/>
              <w:overflowPunct/>
              <w:topLinePunct w:val="0"/>
              <w:autoSpaceDE/>
              <w:autoSpaceDN/>
              <w:bidi w:val="0"/>
              <w:adjustRightInd/>
              <w:snapToGrid/>
              <w:spacing w:before="145" w:line="200" w:lineRule="exact"/>
              <w:ind w:left="177"/>
              <w:textAlignment w:val="auto"/>
              <w:rPr>
                <w:rFonts w:ascii="仿宋" w:hAnsi="仿宋" w:eastAsia="仿宋" w:cs="仿宋"/>
                <w:color w:val="auto"/>
                <w:sz w:val="23"/>
                <w:szCs w:val="23"/>
              </w:rPr>
            </w:pPr>
            <w:r>
              <w:rPr>
                <w:rFonts w:ascii="仿宋" w:hAnsi="仿宋" w:eastAsia="仿宋" w:cs="仿宋"/>
                <w:color w:val="auto"/>
                <w:spacing w:val="6"/>
                <w:sz w:val="23"/>
                <w:szCs w:val="23"/>
              </w:rPr>
              <w:t>30</w:t>
            </w:r>
            <w:r>
              <w:rPr>
                <w:rFonts w:ascii="仿宋" w:hAnsi="仿宋" w:eastAsia="仿宋" w:cs="仿宋"/>
                <w:color w:val="auto"/>
                <w:spacing w:val="3"/>
                <w:sz w:val="23"/>
                <w:szCs w:val="23"/>
              </w:rPr>
              <w:t>00-30000</w:t>
            </w:r>
          </w:p>
        </w:tc>
        <w:tc>
          <w:tcPr>
            <w:tcW w:w="1295" w:type="dxa"/>
            <w:vAlign w:val="top"/>
          </w:tcPr>
          <w:p w14:paraId="3A2BFFAC">
            <w:pPr>
              <w:keepNext w:val="0"/>
              <w:keepLines w:val="0"/>
              <w:pageBreakBefore w:val="0"/>
              <w:widowControl w:val="0"/>
              <w:kinsoku/>
              <w:wordWrap/>
              <w:overflowPunct/>
              <w:topLinePunct w:val="0"/>
              <w:autoSpaceDE/>
              <w:autoSpaceDN/>
              <w:bidi w:val="0"/>
              <w:adjustRightInd/>
              <w:snapToGrid/>
              <w:spacing w:before="145" w:line="200" w:lineRule="exact"/>
              <w:ind w:left="176"/>
              <w:textAlignment w:val="auto"/>
              <w:rPr>
                <w:rFonts w:ascii="仿宋" w:hAnsi="仿宋" w:eastAsia="仿宋" w:cs="仿宋"/>
                <w:color w:val="auto"/>
                <w:sz w:val="23"/>
                <w:szCs w:val="23"/>
              </w:rPr>
            </w:pPr>
            <w:r>
              <w:rPr>
                <w:rFonts w:ascii="仿宋" w:hAnsi="仿宋" w:eastAsia="仿宋" w:cs="仿宋"/>
                <w:color w:val="auto"/>
                <w:spacing w:val="6"/>
                <w:sz w:val="23"/>
                <w:szCs w:val="23"/>
              </w:rPr>
              <w:t>2</w:t>
            </w:r>
            <w:r>
              <w:rPr>
                <w:rFonts w:ascii="仿宋" w:hAnsi="仿宋" w:eastAsia="仿宋" w:cs="仿宋"/>
                <w:color w:val="auto"/>
                <w:spacing w:val="4"/>
                <w:sz w:val="23"/>
                <w:szCs w:val="23"/>
              </w:rPr>
              <w:t>0</w:t>
            </w:r>
            <w:r>
              <w:rPr>
                <w:rFonts w:ascii="仿宋" w:hAnsi="仿宋" w:eastAsia="仿宋" w:cs="仿宋"/>
                <w:color w:val="auto"/>
                <w:spacing w:val="3"/>
                <w:sz w:val="23"/>
                <w:szCs w:val="23"/>
              </w:rPr>
              <w:t>0-3000</w:t>
            </w:r>
          </w:p>
        </w:tc>
        <w:tc>
          <w:tcPr>
            <w:tcW w:w="1004" w:type="dxa"/>
            <w:vAlign w:val="top"/>
          </w:tcPr>
          <w:p w14:paraId="1AF1280D">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＜20</w:t>
            </w:r>
            <w:r>
              <w:rPr>
                <w:rFonts w:ascii="仿宋" w:hAnsi="仿宋" w:eastAsia="仿宋" w:cs="仿宋"/>
                <w:color w:val="auto"/>
                <w:position w:val="2"/>
                <w:sz w:val="23"/>
                <w:szCs w:val="23"/>
              </w:rPr>
              <w:t>0</w:t>
            </w:r>
          </w:p>
        </w:tc>
      </w:tr>
      <w:tr w14:paraId="2CD99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33F5B5A2">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60E43677">
            <w:pPr>
              <w:keepNext w:val="0"/>
              <w:keepLines w:val="0"/>
              <w:pageBreakBefore w:val="0"/>
              <w:widowControl w:val="0"/>
              <w:kinsoku/>
              <w:wordWrap/>
              <w:overflowPunct/>
              <w:topLinePunct w:val="0"/>
              <w:autoSpaceDE/>
              <w:autoSpaceDN/>
              <w:bidi w:val="0"/>
              <w:adjustRightInd/>
              <w:snapToGrid/>
              <w:spacing w:before="75" w:line="200" w:lineRule="exact"/>
              <w:ind w:left="369"/>
              <w:textAlignment w:val="auto"/>
              <w:rPr>
                <w:rFonts w:ascii="仿宋" w:hAnsi="仿宋" w:eastAsia="仿宋" w:cs="仿宋"/>
                <w:color w:val="auto"/>
                <w:sz w:val="23"/>
                <w:szCs w:val="23"/>
              </w:rPr>
            </w:pPr>
            <w:r>
              <w:rPr>
                <w:rFonts w:ascii="仿宋" w:hAnsi="仿宋" w:eastAsia="仿宋" w:cs="仿宋"/>
                <w:color w:val="auto"/>
                <w:spacing w:val="-1"/>
                <w:sz w:val="23"/>
                <w:szCs w:val="23"/>
              </w:rPr>
              <w:t>仓</w:t>
            </w:r>
            <w:r>
              <w:rPr>
                <w:rFonts w:ascii="仿宋" w:hAnsi="仿宋" w:eastAsia="仿宋" w:cs="仿宋"/>
                <w:color w:val="auto"/>
                <w:sz w:val="23"/>
                <w:szCs w:val="23"/>
              </w:rPr>
              <w:t>储</w:t>
            </w:r>
          </w:p>
        </w:tc>
        <w:tc>
          <w:tcPr>
            <w:tcW w:w="1187" w:type="dxa"/>
            <w:vAlign w:val="top"/>
          </w:tcPr>
          <w:p w14:paraId="3D39A28F">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69CBCABE">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1F6C3770">
            <w:pPr>
              <w:keepNext w:val="0"/>
              <w:keepLines w:val="0"/>
              <w:pageBreakBefore w:val="0"/>
              <w:widowControl w:val="0"/>
              <w:kinsoku/>
              <w:wordWrap/>
              <w:overflowPunct/>
              <w:topLinePunct w:val="0"/>
              <w:autoSpaceDE/>
              <w:autoSpaceDN/>
              <w:bidi w:val="0"/>
              <w:adjustRightInd/>
              <w:snapToGrid/>
              <w:spacing w:before="104" w:line="200" w:lineRule="exact"/>
              <w:ind w:left="430"/>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≥200</w:t>
            </w:r>
          </w:p>
        </w:tc>
        <w:tc>
          <w:tcPr>
            <w:tcW w:w="1535" w:type="dxa"/>
            <w:vAlign w:val="top"/>
          </w:tcPr>
          <w:p w14:paraId="2F552B02">
            <w:pPr>
              <w:keepNext w:val="0"/>
              <w:keepLines w:val="0"/>
              <w:pageBreakBefore w:val="0"/>
              <w:widowControl w:val="0"/>
              <w:kinsoku/>
              <w:wordWrap/>
              <w:overflowPunct/>
              <w:topLinePunct w:val="0"/>
              <w:autoSpaceDE/>
              <w:autoSpaceDN/>
              <w:bidi w:val="0"/>
              <w:adjustRightInd/>
              <w:snapToGrid/>
              <w:spacing w:before="145" w:line="200" w:lineRule="exact"/>
              <w:ind w:left="370"/>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00-200</w:t>
            </w:r>
          </w:p>
        </w:tc>
        <w:tc>
          <w:tcPr>
            <w:tcW w:w="1295" w:type="dxa"/>
            <w:vAlign w:val="top"/>
          </w:tcPr>
          <w:p w14:paraId="7386A94B">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z w:val="23"/>
                <w:szCs w:val="23"/>
              </w:rPr>
            </w:pPr>
            <w:r>
              <w:rPr>
                <w:rFonts w:ascii="仿宋" w:hAnsi="仿宋" w:eastAsia="仿宋" w:cs="仿宋"/>
                <w:color w:val="auto"/>
                <w:spacing w:val="3"/>
                <w:sz w:val="23"/>
                <w:szCs w:val="23"/>
              </w:rPr>
              <w:t>20-100</w:t>
            </w:r>
          </w:p>
        </w:tc>
        <w:tc>
          <w:tcPr>
            <w:tcW w:w="1004" w:type="dxa"/>
            <w:vAlign w:val="top"/>
          </w:tcPr>
          <w:p w14:paraId="4F820461">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20</w:t>
            </w:r>
          </w:p>
        </w:tc>
      </w:tr>
      <w:tr w14:paraId="55849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7C83205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10E1A4A5">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10F0AD10">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69F021E5">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≥3</w:t>
            </w:r>
            <w:r>
              <w:rPr>
                <w:rFonts w:ascii="仿宋" w:hAnsi="仿宋" w:eastAsia="仿宋" w:cs="仿宋"/>
                <w:color w:val="auto"/>
                <w:position w:val="1"/>
                <w:sz w:val="23"/>
                <w:szCs w:val="23"/>
              </w:rPr>
              <w:t>0000</w:t>
            </w:r>
          </w:p>
        </w:tc>
        <w:tc>
          <w:tcPr>
            <w:tcW w:w="1535" w:type="dxa"/>
            <w:vAlign w:val="top"/>
          </w:tcPr>
          <w:p w14:paraId="6BD9D025">
            <w:pPr>
              <w:keepNext w:val="0"/>
              <w:keepLines w:val="0"/>
              <w:pageBreakBefore w:val="0"/>
              <w:widowControl w:val="0"/>
              <w:kinsoku/>
              <w:wordWrap/>
              <w:overflowPunct/>
              <w:topLinePunct w:val="0"/>
              <w:autoSpaceDE/>
              <w:autoSpaceDN/>
              <w:bidi w:val="0"/>
              <w:adjustRightInd/>
              <w:snapToGrid/>
              <w:spacing w:before="145" w:line="200" w:lineRule="exact"/>
              <w:ind w:left="190"/>
              <w:textAlignment w:val="auto"/>
              <w:rPr>
                <w:rFonts w:ascii="仿宋" w:hAnsi="仿宋" w:eastAsia="仿宋" w:cs="仿宋"/>
                <w:color w:val="auto"/>
                <w:sz w:val="23"/>
                <w:szCs w:val="23"/>
              </w:rPr>
            </w:pPr>
            <w:r>
              <w:rPr>
                <w:rFonts w:ascii="仿宋" w:hAnsi="仿宋" w:eastAsia="仿宋" w:cs="仿宋"/>
                <w:color w:val="auto"/>
                <w:spacing w:val="4"/>
                <w:sz w:val="23"/>
                <w:szCs w:val="23"/>
              </w:rPr>
              <w:t>1</w:t>
            </w:r>
            <w:r>
              <w:rPr>
                <w:rFonts w:ascii="仿宋" w:hAnsi="仿宋" w:eastAsia="仿宋" w:cs="仿宋"/>
                <w:color w:val="auto"/>
                <w:spacing w:val="3"/>
                <w:sz w:val="23"/>
                <w:szCs w:val="23"/>
              </w:rPr>
              <w:t>0</w:t>
            </w:r>
            <w:r>
              <w:rPr>
                <w:rFonts w:ascii="仿宋" w:hAnsi="仿宋" w:eastAsia="仿宋" w:cs="仿宋"/>
                <w:color w:val="auto"/>
                <w:spacing w:val="2"/>
                <w:sz w:val="23"/>
                <w:szCs w:val="23"/>
              </w:rPr>
              <w:t>00-30000</w:t>
            </w:r>
          </w:p>
        </w:tc>
        <w:tc>
          <w:tcPr>
            <w:tcW w:w="1295" w:type="dxa"/>
            <w:vAlign w:val="top"/>
          </w:tcPr>
          <w:p w14:paraId="02E78809">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z w:val="23"/>
                <w:szCs w:val="23"/>
              </w:rPr>
            </w:pPr>
            <w:r>
              <w:rPr>
                <w:rFonts w:ascii="仿宋" w:hAnsi="仿宋" w:eastAsia="仿宋" w:cs="仿宋"/>
                <w:color w:val="auto"/>
                <w:spacing w:val="2"/>
                <w:sz w:val="23"/>
                <w:szCs w:val="23"/>
              </w:rPr>
              <w:t>100-1</w:t>
            </w:r>
            <w:r>
              <w:rPr>
                <w:rFonts w:ascii="仿宋" w:hAnsi="仿宋" w:eastAsia="仿宋" w:cs="仿宋"/>
                <w:color w:val="auto"/>
                <w:spacing w:val="1"/>
                <w:sz w:val="23"/>
                <w:szCs w:val="23"/>
              </w:rPr>
              <w:t>000</w:t>
            </w:r>
          </w:p>
        </w:tc>
        <w:tc>
          <w:tcPr>
            <w:tcW w:w="1004" w:type="dxa"/>
            <w:vAlign w:val="top"/>
          </w:tcPr>
          <w:p w14:paraId="11B6841F">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0E303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0E91718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3365FB44">
            <w:pPr>
              <w:keepNext w:val="0"/>
              <w:keepLines w:val="0"/>
              <w:pageBreakBefore w:val="0"/>
              <w:widowControl w:val="0"/>
              <w:kinsoku/>
              <w:wordWrap/>
              <w:overflowPunct/>
              <w:topLinePunct w:val="0"/>
              <w:autoSpaceDE/>
              <w:autoSpaceDN/>
              <w:bidi w:val="0"/>
              <w:adjustRightInd/>
              <w:snapToGrid/>
              <w:spacing w:before="75" w:line="200" w:lineRule="exact"/>
              <w:ind w:left="262"/>
              <w:textAlignment w:val="auto"/>
              <w:rPr>
                <w:rFonts w:ascii="仿宋" w:hAnsi="仿宋" w:eastAsia="仿宋" w:cs="仿宋"/>
                <w:color w:val="auto"/>
                <w:sz w:val="23"/>
                <w:szCs w:val="23"/>
              </w:rPr>
            </w:pPr>
            <w:r>
              <w:rPr>
                <w:rFonts w:ascii="仿宋" w:hAnsi="仿宋" w:eastAsia="仿宋" w:cs="仿宋"/>
                <w:color w:val="auto"/>
                <w:spacing w:val="-2"/>
                <w:sz w:val="23"/>
                <w:szCs w:val="23"/>
              </w:rPr>
              <w:t>邮</w:t>
            </w:r>
            <w:r>
              <w:rPr>
                <w:rFonts w:ascii="仿宋" w:hAnsi="仿宋" w:eastAsia="仿宋" w:cs="仿宋"/>
                <w:color w:val="auto"/>
                <w:spacing w:val="-1"/>
                <w:sz w:val="23"/>
                <w:szCs w:val="23"/>
              </w:rPr>
              <w:t>政业</w:t>
            </w:r>
          </w:p>
        </w:tc>
        <w:tc>
          <w:tcPr>
            <w:tcW w:w="1187" w:type="dxa"/>
            <w:vAlign w:val="top"/>
          </w:tcPr>
          <w:p w14:paraId="30586C8A">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233653B5">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67962759">
            <w:pPr>
              <w:keepNext w:val="0"/>
              <w:keepLines w:val="0"/>
              <w:pageBreakBefore w:val="0"/>
              <w:widowControl w:val="0"/>
              <w:kinsoku/>
              <w:wordWrap/>
              <w:overflowPunct/>
              <w:topLinePunct w:val="0"/>
              <w:autoSpaceDE/>
              <w:autoSpaceDN/>
              <w:bidi w:val="0"/>
              <w:adjustRightInd/>
              <w:snapToGrid/>
              <w:spacing w:before="104" w:line="200" w:lineRule="exact"/>
              <w:ind w:left="37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≥10</w:t>
            </w:r>
            <w:r>
              <w:rPr>
                <w:rFonts w:ascii="仿宋" w:hAnsi="仿宋" w:eastAsia="仿宋" w:cs="仿宋"/>
                <w:color w:val="auto"/>
                <w:position w:val="1"/>
                <w:sz w:val="23"/>
                <w:szCs w:val="23"/>
              </w:rPr>
              <w:t>00</w:t>
            </w:r>
          </w:p>
        </w:tc>
        <w:tc>
          <w:tcPr>
            <w:tcW w:w="1535" w:type="dxa"/>
            <w:vAlign w:val="top"/>
          </w:tcPr>
          <w:p w14:paraId="102A3DBD">
            <w:pPr>
              <w:keepNext w:val="0"/>
              <w:keepLines w:val="0"/>
              <w:pageBreakBefore w:val="0"/>
              <w:widowControl w:val="0"/>
              <w:kinsoku/>
              <w:wordWrap/>
              <w:overflowPunct/>
              <w:topLinePunct w:val="0"/>
              <w:autoSpaceDE/>
              <w:autoSpaceDN/>
              <w:bidi w:val="0"/>
              <w:adjustRightInd/>
              <w:snapToGrid/>
              <w:spacing w:before="145" w:line="200" w:lineRule="exact"/>
              <w:ind w:left="237"/>
              <w:textAlignment w:val="auto"/>
              <w:rPr>
                <w:rFonts w:ascii="仿宋" w:hAnsi="仿宋" w:eastAsia="仿宋" w:cs="仿宋"/>
                <w:color w:val="auto"/>
                <w:sz w:val="23"/>
                <w:szCs w:val="23"/>
              </w:rPr>
            </w:pPr>
            <w:r>
              <w:rPr>
                <w:rFonts w:ascii="仿宋" w:hAnsi="仿宋" w:eastAsia="仿宋" w:cs="仿宋"/>
                <w:color w:val="auto"/>
                <w:spacing w:val="6"/>
                <w:sz w:val="23"/>
                <w:szCs w:val="23"/>
              </w:rPr>
              <w:t>3</w:t>
            </w:r>
            <w:r>
              <w:rPr>
                <w:rFonts w:ascii="仿宋" w:hAnsi="仿宋" w:eastAsia="仿宋" w:cs="仿宋"/>
                <w:color w:val="auto"/>
                <w:spacing w:val="4"/>
                <w:sz w:val="23"/>
                <w:szCs w:val="23"/>
              </w:rPr>
              <w:t>0</w:t>
            </w:r>
            <w:r>
              <w:rPr>
                <w:rFonts w:ascii="仿宋" w:hAnsi="仿宋" w:eastAsia="仿宋" w:cs="仿宋"/>
                <w:color w:val="auto"/>
                <w:spacing w:val="3"/>
                <w:sz w:val="23"/>
                <w:szCs w:val="23"/>
              </w:rPr>
              <w:t>0- 1000</w:t>
            </w:r>
          </w:p>
        </w:tc>
        <w:tc>
          <w:tcPr>
            <w:tcW w:w="1295" w:type="dxa"/>
            <w:vAlign w:val="top"/>
          </w:tcPr>
          <w:p w14:paraId="711D4DBA">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z w:val="23"/>
                <w:szCs w:val="23"/>
              </w:rPr>
            </w:pPr>
            <w:r>
              <w:rPr>
                <w:rFonts w:ascii="仿宋" w:hAnsi="仿宋" w:eastAsia="仿宋" w:cs="仿宋"/>
                <w:color w:val="auto"/>
                <w:spacing w:val="3"/>
                <w:sz w:val="23"/>
                <w:szCs w:val="23"/>
              </w:rPr>
              <w:t>20-300</w:t>
            </w:r>
          </w:p>
        </w:tc>
        <w:tc>
          <w:tcPr>
            <w:tcW w:w="1004" w:type="dxa"/>
            <w:vAlign w:val="top"/>
          </w:tcPr>
          <w:p w14:paraId="78E8C9CB">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20</w:t>
            </w:r>
          </w:p>
        </w:tc>
      </w:tr>
      <w:tr w14:paraId="444D7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vAlign w:val="top"/>
          </w:tcPr>
          <w:p w14:paraId="4D708C7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4D988538">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569EB84A">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417D6DC5">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≥3</w:t>
            </w:r>
            <w:r>
              <w:rPr>
                <w:rFonts w:ascii="仿宋" w:hAnsi="仿宋" w:eastAsia="仿宋" w:cs="仿宋"/>
                <w:color w:val="auto"/>
                <w:position w:val="1"/>
                <w:sz w:val="23"/>
                <w:szCs w:val="23"/>
              </w:rPr>
              <w:t>0000</w:t>
            </w:r>
          </w:p>
        </w:tc>
        <w:tc>
          <w:tcPr>
            <w:tcW w:w="1535" w:type="dxa"/>
            <w:vAlign w:val="top"/>
          </w:tcPr>
          <w:p w14:paraId="345C903A">
            <w:pPr>
              <w:keepNext w:val="0"/>
              <w:keepLines w:val="0"/>
              <w:pageBreakBefore w:val="0"/>
              <w:widowControl w:val="0"/>
              <w:kinsoku/>
              <w:wordWrap/>
              <w:overflowPunct/>
              <w:topLinePunct w:val="0"/>
              <w:autoSpaceDE/>
              <w:autoSpaceDN/>
              <w:bidi w:val="0"/>
              <w:adjustRightInd/>
              <w:snapToGrid/>
              <w:spacing w:before="145" w:line="200" w:lineRule="exact"/>
              <w:ind w:left="175"/>
              <w:textAlignment w:val="auto"/>
              <w:rPr>
                <w:rFonts w:ascii="仿宋" w:hAnsi="仿宋" w:eastAsia="仿宋" w:cs="仿宋"/>
                <w:color w:val="auto"/>
                <w:sz w:val="23"/>
                <w:szCs w:val="23"/>
              </w:rPr>
            </w:pPr>
            <w:r>
              <w:rPr>
                <w:rFonts w:ascii="仿宋" w:hAnsi="仿宋" w:eastAsia="仿宋" w:cs="仿宋"/>
                <w:color w:val="auto"/>
                <w:spacing w:val="4"/>
                <w:sz w:val="23"/>
                <w:szCs w:val="23"/>
              </w:rPr>
              <w:t>2000-3000</w:t>
            </w:r>
            <w:r>
              <w:rPr>
                <w:rFonts w:ascii="仿宋" w:hAnsi="仿宋" w:eastAsia="仿宋" w:cs="仿宋"/>
                <w:color w:val="auto"/>
                <w:spacing w:val="2"/>
                <w:sz w:val="23"/>
                <w:szCs w:val="23"/>
              </w:rPr>
              <w:t>0</w:t>
            </w:r>
          </w:p>
        </w:tc>
        <w:tc>
          <w:tcPr>
            <w:tcW w:w="1295" w:type="dxa"/>
            <w:vAlign w:val="top"/>
          </w:tcPr>
          <w:p w14:paraId="7A2412B6">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z w:val="23"/>
                <w:szCs w:val="23"/>
              </w:rPr>
            </w:pPr>
            <w:r>
              <w:rPr>
                <w:rFonts w:ascii="仿宋" w:hAnsi="仿宋" w:eastAsia="仿宋" w:cs="仿宋"/>
                <w:color w:val="auto"/>
                <w:spacing w:val="2"/>
                <w:sz w:val="23"/>
                <w:szCs w:val="23"/>
              </w:rPr>
              <w:t>100-2</w:t>
            </w:r>
            <w:r>
              <w:rPr>
                <w:rFonts w:ascii="仿宋" w:hAnsi="仿宋" w:eastAsia="仿宋" w:cs="仿宋"/>
                <w:color w:val="auto"/>
                <w:spacing w:val="1"/>
                <w:sz w:val="23"/>
                <w:szCs w:val="23"/>
              </w:rPr>
              <w:t>000</w:t>
            </w:r>
          </w:p>
        </w:tc>
        <w:tc>
          <w:tcPr>
            <w:tcW w:w="1004" w:type="dxa"/>
            <w:vAlign w:val="top"/>
          </w:tcPr>
          <w:p w14:paraId="00156535">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57615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3FD1FED5">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273D5548">
            <w:pPr>
              <w:keepNext w:val="0"/>
              <w:keepLines w:val="0"/>
              <w:pageBreakBefore w:val="0"/>
              <w:widowControl w:val="0"/>
              <w:kinsoku/>
              <w:wordWrap/>
              <w:overflowPunct/>
              <w:topLinePunct w:val="0"/>
              <w:autoSpaceDE/>
              <w:autoSpaceDN/>
              <w:bidi w:val="0"/>
              <w:adjustRightInd/>
              <w:snapToGrid/>
              <w:spacing w:before="75" w:line="200" w:lineRule="exact"/>
              <w:ind w:left="124"/>
              <w:textAlignment w:val="auto"/>
              <w:rPr>
                <w:rFonts w:ascii="仿宋" w:hAnsi="仿宋" w:eastAsia="仿宋" w:cs="仿宋"/>
                <w:color w:val="auto"/>
                <w:sz w:val="23"/>
                <w:szCs w:val="23"/>
              </w:rPr>
            </w:pPr>
            <w:r>
              <w:rPr>
                <w:rFonts w:ascii="仿宋" w:hAnsi="仿宋" w:eastAsia="仿宋" w:cs="仿宋"/>
                <w:color w:val="auto"/>
                <w:spacing w:val="6"/>
                <w:sz w:val="23"/>
                <w:szCs w:val="23"/>
              </w:rPr>
              <w:t>住宿餐饮</w:t>
            </w:r>
          </w:p>
        </w:tc>
        <w:tc>
          <w:tcPr>
            <w:tcW w:w="1187" w:type="dxa"/>
            <w:vAlign w:val="top"/>
          </w:tcPr>
          <w:p w14:paraId="6F468D3A">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7EF9E689">
            <w:pPr>
              <w:keepNext w:val="0"/>
              <w:keepLines w:val="0"/>
              <w:pageBreakBefore w:val="0"/>
              <w:widowControl w:val="0"/>
              <w:kinsoku/>
              <w:wordWrap/>
              <w:overflowPunct/>
              <w:topLinePunct w:val="0"/>
              <w:autoSpaceDE/>
              <w:autoSpaceDN/>
              <w:bidi w:val="0"/>
              <w:adjustRightInd/>
              <w:snapToGrid/>
              <w:spacing w:before="103"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7EA13576">
            <w:pPr>
              <w:keepNext w:val="0"/>
              <w:keepLines w:val="0"/>
              <w:pageBreakBefore w:val="0"/>
              <w:widowControl w:val="0"/>
              <w:kinsoku/>
              <w:wordWrap/>
              <w:overflowPunct/>
              <w:topLinePunct w:val="0"/>
              <w:autoSpaceDE/>
              <w:autoSpaceDN/>
              <w:bidi w:val="0"/>
              <w:adjustRightInd/>
              <w:snapToGrid/>
              <w:spacing w:before="103" w:line="200" w:lineRule="exact"/>
              <w:ind w:left="430"/>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≥300</w:t>
            </w:r>
          </w:p>
        </w:tc>
        <w:tc>
          <w:tcPr>
            <w:tcW w:w="1535" w:type="dxa"/>
            <w:vAlign w:val="top"/>
          </w:tcPr>
          <w:p w14:paraId="6E3B9FAF">
            <w:pPr>
              <w:keepNext w:val="0"/>
              <w:keepLines w:val="0"/>
              <w:pageBreakBefore w:val="0"/>
              <w:widowControl w:val="0"/>
              <w:kinsoku/>
              <w:wordWrap/>
              <w:overflowPunct/>
              <w:topLinePunct w:val="0"/>
              <w:autoSpaceDE/>
              <w:autoSpaceDN/>
              <w:bidi w:val="0"/>
              <w:adjustRightInd/>
              <w:snapToGrid/>
              <w:spacing w:before="144" w:line="200" w:lineRule="exact"/>
              <w:ind w:left="370"/>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00-300</w:t>
            </w:r>
          </w:p>
        </w:tc>
        <w:tc>
          <w:tcPr>
            <w:tcW w:w="1295" w:type="dxa"/>
            <w:vAlign w:val="top"/>
          </w:tcPr>
          <w:p w14:paraId="45779CD4">
            <w:pPr>
              <w:keepNext w:val="0"/>
              <w:keepLines w:val="0"/>
              <w:pageBreakBefore w:val="0"/>
              <w:widowControl w:val="0"/>
              <w:kinsoku/>
              <w:wordWrap/>
              <w:overflowPunct/>
              <w:topLinePunct w:val="0"/>
              <w:autoSpaceDE/>
              <w:autoSpaceDN/>
              <w:bidi w:val="0"/>
              <w:adjustRightInd/>
              <w:snapToGrid/>
              <w:spacing w:before="144" w:line="200" w:lineRule="exact"/>
              <w:ind w:left="311"/>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100</w:t>
            </w:r>
          </w:p>
        </w:tc>
        <w:tc>
          <w:tcPr>
            <w:tcW w:w="1004" w:type="dxa"/>
            <w:vAlign w:val="top"/>
          </w:tcPr>
          <w:p w14:paraId="575D5471">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10</w:t>
            </w:r>
          </w:p>
        </w:tc>
      </w:tr>
      <w:tr w14:paraId="0F7C9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3588541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4F5A6B00">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28E99984">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774F6048">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w:t>
            </w:r>
            <w:r>
              <w:rPr>
                <w:rFonts w:ascii="仿宋" w:hAnsi="仿宋" w:eastAsia="仿宋" w:cs="仿宋"/>
                <w:color w:val="auto"/>
                <w:position w:val="1"/>
                <w:sz w:val="23"/>
                <w:szCs w:val="23"/>
              </w:rPr>
              <w:t>0000</w:t>
            </w:r>
          </w:p>
        </w:tc>
        <w:tc>
          <w:tcPr>
            <w:tcW w:w="1535" w:type="dxa"/>
            <w:vAlign w:val="top"/>
          </w:tcPr>
          <w:p w14:paraId="3BB59599">
            <w:pPr>
              <w:keepNext w:val="0"/>
              <w:keepLines w:val="0"/>
              <w:pageBreakBefore w:val="0"/>
              <w:widowControl w:val="0"/>
              <w:kinsoku/>
              <w:wordWrap/>
              <w:overflowPunct/>
              <w:topLinePunct w:val="0"/>
              <w:autoSpaceDE/>
              <w:autoSpaceDN/>
              <w:bidi w:val="0"/>
              <w:adjustRightInd/>
              <w:snapToGrid/>
              <w:spacing w:before="144" w:line="200" w:lineRule="exact"/>
              <w:ind w:left="175"/>
              <w:textAlignment w:val="auto"/>
              <w:rPr>
                <w:rFonts w:ascii="仿宋" w:hAnsi="仿宋" w:eastAsia="仿宋" w:cs="仿宋"/>
                <w:color w:val="auto"/>
                <w:sz w:val="23"/>
                <w:szCs w:val="23"/>
              </w:rPr>
            </w:pPr>
            <w:r>
              <w:rPr>
                <w:rFonts w:ascii="仿宋" w:hAnsi="仿宋" w:eastAsia="仿宋" w:cs="仿宋"/>
                <w:color w:val="auto"/>
                <w:spacing w:val="4"/>
                <w:sz w:val="23"/>
                <w:szCs w:val="23"/>
              </w:rPr>
              <w:t>2000-1000</w:t>
            </w:r>
            <w:r>
              <w:rPr>
                <w:rFonts w:ascii="仿宋" w:hAnsi="仿宋" w:eastAsia="仿宋" w:cs="仿宋"/>
                <w:color w:val="auto"/>
                <w:spacing w:val="2"/>
                <w:sz w:val="23"/>
                <w:szCs w:val="23"/>
              </w:rPr>
              <w:t>0</w:t>
            </w:r>
          </w:p>
        </w:tc>
        <w:tc>
          <w:tcPr>
            <w:tcW w:w="1295" w:type="dxa"/>
            <w:vAlign w:val="top"/>
          </w:tcPr>
          <w:p w14:paraId="48BF3441">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z w:val="23"/>
                <w:szCs w:val="23"/>
              </w:rPr>
            </w:pPr>
            <w:r>
              <w:rPr>
                <w:rFonts w:ascii="仿宋" w:hAnsi="仿宋" w:eastAsia="仿宋" w:cs="仿宋"/>
                <w:color w:val="auto"/>
                <w:spacing w:val="2"/>
                <w:sz w:val="23"/>
                <w:szCs w:val="23"/>
              </w:rPr>
              <w:t>100-2</w:t>
            </w:r>
            <w:r>
              <w:rPr>
                <w:rFonts w:ascii="仿宋" w:hAnsi="仿宋" w:eastAsia="仿宋" w:cs="仿宋"/>
                <w:color w:val="auto"/>
                <w:spacing w:val="1"/>
                <w:sz w:val="23"/>
                <w:szCs w:val="23"/>
              </w:rPr>
              <w:t>000</w:t>
            </w:r>
          </w:p>
        </w:tc>
        <w:tc>
          <w:tcPr>
            <w:tcW w:w="1004" w:type="dxa"/>
            <w:vAlign w:val="top"/>
          </w:tcPr>
          <w:p w14:paraId="4B23E8C7">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0DD4A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vAlign w:val="top"/>
          </w:tcPr>
          <w:p w14:paraId="5ED736A2">
            <w:pPr>
              <w:keepNext w:val="0"/>
              <w:keepLines w:val="0"/>
              <w:pageBreakBefore w:val="0"/>
              <w:widowControl w:val="0"/>
              <w:kinsoku/>
              <w:wordWrap/>
              <w:overflowPunct/>
              <w:topLinePunct w:val="0"/>
              <w:autoSpaceDE/>
              <w:autoSpaceDN/>
              <w:bidi w:val="0"/>
              <w:adjustRightInd/>
              <w:snapToGrid/>
              <w:spacing w:before="172" w:line="200" w:lineRule="exact"/>
              <w:ind w:left="124" w:right="110" w:firstLine="124"/>
              <w:textAlignment w:val="auto"/>
              <w:rPr>
                <w:rFonts w:ascii="仿宋" w:hAnsi="仿宋" w:eastAsia="仿宋" w:cs="仿宋"/>
                <w:color w:val="auto"/>
                <w:sz w:val="23"/>
                <w:szCs w:val="23"/>
              </w:rPr>
            </w:pPr>
            <w:r>
              <w:rPr>
                <w:rFonts w:ascii="仿宋" w:hAnsi="仿宋" w:eastAsia="仿宋" w:cs="仿宋"/>
                <w:color w:val="auto"/>
                <w:spacing w:val="3"/>
                <w:sz w:val="23"/>
                <w:szCs w:val="23"/>
              </w:rPr>
              <w:t>房地产</w:t>
            </w:r>
            <w:r>
              <w:rPr>
                <w:rFonts w:ascii="仿宋" w:hAnsi="仿宋" w:eastAsia="仿宋" w:cs="仿宋"/>
                <w:color w:val="auto"/>
                <w:sz w:val="23"/>
                <w:szCs w:val="23"/>
              </w:rPr>
              <w:t xml:space="preserve"> </w:t>
            </w:r>
            <w:r>
              <w:rPr>
                <w:rFonts w:ascii="仿宋" w:hAnsi="仿宋" w:eastAsia="仿宋" w:cs="仿宋"/>
                <w:color w:val="auto"/>
                <w:spacing w:val="6"/>
                <w:sz w:val="23"/>
                <w:szCs w:val="23"/>
              </w:rPr>
              <w:t>开发经营</w:t>
            </w:r>
          </w:p>
        </w:tc>
        <w:tc>
          <w:tcPr>
            <w:tcW w:w="1187" w:type="dxa"/>
            <w:vAlign w:val="top"/>
          </w:tcPr>
          <w:p w14:paraId="6C09AC27">
            <w:pPr>
              <w:keepNext w:val="0"/>
              <w:keepLines w:val="0"/>
              <w:pageBreakBefore w:val="0"/>
              <w:widowControl w:val="0"/>
              <w:kinsoku/>
              <w:wordWrap/>
              <w:overflowPunct/>
              <w:topLinePunct w:val="0"/>
              <w:autoSpaceDE/>
              <w:autoSpaceDN/>
              <w:bidi w:val="0"/>
              <w:adjustRightInd/>
              <w:snapToGrid/>
              <w:spacing w:before="103" w:line="200" w:lineRule="exact"/>
              <w:ind w:left="138"/>
              <w:textAlignment w:val="auto"/>
              <w:rPr>
                <w:rFonts w:ascii="仿宋" w:hAnsi="仿宋" w:eastAsia="仿宋" w:cs="仿宋"/>
                <w:color w:val="auto"/>
                <w:sz w:val="23"/>
                <w:szCs w:val="23"/>
              </w:rPr>
            </w:pPr>
            <w:r>
              <w:rPr>
                <w:rFonts w:ascii="仿宋" w:hAnsi="仿宋" w:eastAsia="仿宋" w:cs="仿宋"/>
                <w:color w:val="auto"/>
                <w:spacing w:val="3"/>
                <w:sz w:val="23"/>
                <w:szCs w:val="23"/>
              </w:rPr>
              <w:t>资产总</w:t>
            </w:r>
            <w:r>
              <w:rPr>
                <w:rFonts w:ascii="仿宋" w:hAnsi="仿宋" w:eastAsia="仿宋" w:cs="仿宋"/>
                <w:color w:val="auto"/>
                <w:spacing w:val="2"/>
                <w:sz w:val="23"/>
                <w:szCs w:val="23"/>
              </w:rPr>
              <w:t>额</w:t>
            </w:r>
          </w:p>
        </w:tc>
        <w:tc>
          <w:tcPr>
            <w:tcW w:w="900" w:type="dxa"/>
            <w:vAlign w:val="top"/>
          </w:tcPr>
          <w:p w14:paraId="6834D054">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54BFCD84">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w:t>
            </w:r>
            <w:r>
              <w:rPr>
                <w:rFonts w:ascii="仿宋" w:hAnsi="仿宋" w:eastAsia="仿宋" w:cs="仿宋"/>
                <w:color w:val="auto"/>
                <w:position w:val="1"/>
                <w:sz w:val="23"/>
                <w:szCs w:val="23"/>
              </w:rPr>
              <w:t>0000</w:t>
            </w:r>
          </w:p>
        </w:tc>
        <w:tc>
          <w:tcPr>
            <w:tcW w:w="1535" w:type="dxa"/>
            <w:vAlign w:val="top"/>
          </w:tcPr>
          <w:p w14:paraId="0D82B684">
            <w:pPr>
              <w:keepNext w:val="0"/>
              <w:keepLines w:val="0"/>
              <w:pageBreakBefore w:val="0"/>
              <w:widowControl w:val="0"/>
              <w:kinsoku/>
              <w:wordWrap/>
              <w:overflowPunct/>
              <w:topLinePunct w:val="0"/>
              <w:autoSpaceDE/>
              <w:autoSpaceDN/>
              <w:bidi w:val="0"/>
              <w:adjustRightInd/>
              <w:snapToGrid/>
              <w:spacing w:before="144" w:line="200" w:lineRule="exact"/>
              <w:ind w:left="177"/>
              <w:textAlignment w:val="auto"/>
              <w:rPr>
                <w:rFonts w:ascii="仿宋" w:hAnsi="仿宋" w:eastAsia="仿宋" w:cs="仿宋"/>
                <w:color w:val="auto"/>
                <w:sz w:val="23"/>
                <w:szCs w:val="23"/>
              </w:rPr>
            </w:pPr>
            <w:r>
              <w:rPr>
                <w:rFonts w:ascii="仿宋" w:hAnsi="仿宋" w:eastAsia="仿宋" w:cs="仿宋"/>
                <w:color w:val="auto"/>
                <w:spacing w:val="6"/>
                <w:sz w:val="23"/>
                <w:szCs w:val="23"/>
              </w:rPr>
              <w:t>50</w:t>
            </w:r>
            <w:r>
              <w:rPr>
                <w:rFonts w:ascii="仿宋" w:hAnsi="仿宋" w:eastAsia="仿宋" w:cs="仿宋"/>
                <w:color w:val="auto"/>
                <w:spacing w:val="3"/>
                <w:sz w:val="23"/>
                <w:szCs w:val="23"/>
              </w:rPr>
              <w:t>00-10000</w:t>
            </w:r>
          </w:p>
        </w:tc>
        <w:tc>
          <w:tcPr>
            <w:tcW w:w="1295" w:type="dxa"/>
            <w:vAlign w:val="top"/>
          </w:tcPr>
          <w:p w14:paraId="160593C8">
            <w:pPr>
              <w:keepNext w:val="0"/>
              <w:keepLines w:val="0"/>
              <w:pageBreakBefore w:val="0"/>
              <w:widowControl w:val="0"/>
              <w:kinsoku/>
              <w:wordWrap/>
              <w:overflowPunct/>
              <w:topLinePunct w:val="0"/>
              <w:autoSpaceDE/>
              <w:autoSpaceDN/>
              <w:bidi w:val="0"/>
              <w:adjustRightInd/>
              <w:snapToGrid/>
              <w:spacing w:before="103" w:line="200" w:lineRule="exact"/>
              <w:ind w:left="116"/>
              <w:textAlignment w:val="auto"/>
              <w:rPr>
                <w:rFonts w:ascii="仿宋" w:hAnsi="仿宋" w:eastAsia="仿宋" w:cs="仿宋"/>
                <w:color w:val="auto"/>
                <w:sz w:val="23"/>
                <w:szCs w:val="23"/>
              </w:rPr>
            </w:pPr>
            <w:r>
              <w:rPr>
                <w:rFonts w:ascii="仿宋" w:hAnsi="仿宋" w:eastAsia="仿宋" w:cs="仿宋"/>
                <w:color w:val="auto"/>
                <w:spacing w:val="6"/>
                <w:position w:val="1"/>
                <w:sz w:val="23"/>
                <w:szCs w:val="23"/>
              </w:rPr>
              <w:t>20</w:t>
            </w:r>
            <w:r>
              <w:rPr>
                <w:rFonts w:ascii="仿宋" w:hAnsi="仿宋" w:eastAsia="仿宋" w:cs="仿宋"/>
                <w:color w:val="auto"/>
                <w:spacing w:val="3"/>
                <w:position w:val="1"/>
                <w:sz w:val="23"/>
                <w:szCs w:val="23"/>
              </w:rPr>
              <w:t>00&lt;5000</w:t>
            </w:r>
          </w:p>
        </w:tc>
        <w:tc>
          <w:tcPr>
            <w:tcW w:w="1004" w:type="dxa"/>
            <w:vAlign w:val="top"/>
          </w:tcPr>
          <w:p w14:paraId="1A87AE1C">
            <w:pPr>
              <w:keepNext w:val="0"/>
              <w:keepLines w:val="0"/>
              <w:pageBreakBefore w:val="0"/>
              <w:widowControl w:val="0"/>
              <w:kinsoku/>
              <w:wordWrap/>
              <w:overflowPunct/>
              <w:topLinePunct w:val="0"/>
              <w:autoSpaceDE/>
              <w:autoSpaceDN/>
              <w:bidi w:val="0"/>
              <w:adjustRightInd/>
              <w:snapToGrid/>
              <w:spacing w:before="103" w:line="200" w:lineRule="exact"/>
              <w:ind w:left="16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＜2</w:t>
            </w:r>
            <w:r>
              <w:rPr>
                <w:rFonts w:ascii="仿宋" w:hAnsi="仿宋" w:eastAsia="仿宋" w:cs="仿宋"/>
                <w:color w:val="auto"/>
                <w:position w:val="2"/>
                <w:sz w:val="23"/>
                <w:szCs w:val="23"/>
              </w:rPr>
              <w:t>000</w:t>
            </w:r>
          </w:p>
        </w:tc>
      </w:tr>
      <w:tr w14:paraId="73C1C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65158C2F">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41D0DFCD">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17AD9047">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6E67509F">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≥200000</w:t>
            </w:r>
          </w:p>
        </w:tc>
        <w:tc>
          <w:tcPr>
            <w:tcW w:w="1535" w:type="dxa"/>
            <w:vAlign w:val="top"/>
          </w:tcPr>
          <w:p w14:paraId="099A6EE1">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z w:val="23"/>
                <w:szCs w:val="23"/>
              </w:rPr>
            </w:pPr>
            <w:r>
              <w:rPr>
                <w:rFonts w:ascii="仿宋" w:hAnsi="仿宋" w:eastAsia="仿宋" w:cs="仿宋"/>
                <w:color w:val="auto"/>
                <w:spacing w:val="4"/>
                <w:sz w:val="23"/>
                <w:szCs w:val="23"/>
              </w:rPr>
              <w:t>100</w:t>
            </w:r>
            <w:r>
              <w:rPr>
                <w:rFonts w:ascii="仿宋" w:hAnsi="仿宋" w:eastAsia="仿宋" w:cs="仿宋"/>
                <w:color w:val="auto"/>
                <w:spacing w:val="2"/>
                <w:sz w:val="23"/>
                <w:szCs w:val="23"/>
              </w:rPr>
              <w:t>0-200000</w:t>
            </w:r>
          </w:p>
        </w:tc>
        <w:tc>
          <w:tcPr>
            <w:tcW w:w="1295" w:type="dxa"/>
            <w:vAlign w:val="top"/>
          </w:tcPr>
          <w:p w14:paraId="4CE3CAF5">
            <w:pPr>
              <w:keepNext w:val="0"/>
              <w:keepLines w:val="0"/>
              <w:pageBreakBefore w:val="0"/>
              <w:widowControl w:val="0"/>
              <w:kinsoku/>
              <w:wordWrap/>
              <w:overflowPunct/>
              <w:topLinePunct w:val="0"/>
              <w:autoSpaceDE/>
              <w:autoSpaceDN/>
              <w:bidi w:val="0"/>
              <w:adjustRightInd/>
              <w:snapToGrid/>
              <w:spacing w:before="103" w:line="200" w:lineRule="exact"/>
              <w:ind w:left="131"/>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100&lt;10000</w:t>
            </w:r>
          </w:p>
        </w:tc>
        <w:tc>
          <w:tcPr>
            <w:tcW w:w="1004" w:type="dxa"/>
            <w:vAlign w:val="top"/>
          </w:tcPr>
          <w:p w14:paraId="5DE4E77B">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440D9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vAlign w:val="top"/>
          </w:tcPr>
          <w:p w14:paraId="07E5443B">
            <w:pPr>
              <w:keepNext w:val="0"/>
              <w:keepLines w:val="0"/>
              <w:pageBreakBefore w:val="0"/>
              <w:widowControl w:val="0"/>
              <w:kinsoku/>
              <w:wordWrap/>
              <w:overflowPunct/>
              <w:topLinePunct w:val="0"/>
              <w:autoSpaceDE/>
              <w:autoSpaceDN/>
              <w:bidi w:val="0"/>
              <w:adjustRightInd/>
              <w:snapToGrid/>
              <w:spacing w:before="263"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物业管</w:t>
            </w:r>
            <w:r>
              <w:rPr>
                <w:rFonts w:ascii="仿宋" w:hAnsi="仿宋" w:eastAsia="仿宋" w:cs="仿宋"/>
                <w:color w:val="auto"/>
                <w:spacing w:val="5"/>
                <w:sz w:val="23"/>
                <w:szCs w:val="23"/>
              </w:rPr>
              <w:t>理</w:t>
            </w:r>
          </w:p>
        </w:tc>
        <w:tc>
          <w:tcPr>
            <w:tcW w:w="1187" w:type="dxa"/>
            <w:vAlign w:val="top"/>
          </w:tcPr>
          <w:p w14:paraId="3A56E5AE">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0B8F305E">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6B37B8E1">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00</w:t>
            </w:r>
          </w:p>
        </w:tc>
        <w:tc>
          <w:tcPr>
            <w:tcW w:w="1535" w:type="dxa"/>
            <w:vAlign w:val="top"/>
          </w:tcPr>
          <w:p w14:paraId="3951D368">
            <w:pPr>
              <w:keepNext w:val="0"/>
              <w:keepLines w:val="0"/>
              <w:pageBreakBefore w:val="0"/>
              <w:widowControl w:val="0"/>
              <w:kinsoku/>
              <w:wordWrap/>
              <w:overflowPunct/>
              <w:topLinePunct w:val="0"/>
              <w:autoSpaceDE/>
              <w:autoSpaceDN/>
              <w:bidi w:val="0"/>
              <w:adjustRightInd/>
              <w:snapToGrid/>
              <w:spacing w:before="81" w:line="200" w:lineRule="exact"/>
              <w:ind w:left="297"/>
              <w:textAlignment w:val="auto"/>
              <w:rPr>
                <w:rFonts w:ascii="仿宋" w:hAnsi="仿宋" w:eastAsia="仿宋" w:cs="仿宋"/>
                <w:color w:val="auto"/>
                <w:sz w:val="23"/>
                <w:szCs w:val="23"/>
              </w:rPr>
            </w:pPr>
            <w:r>
              <w:rPr>
                <w:rFonts w:ascii="仿宋" w:hAnsi="仿宋" w:eastAsia="仿宋" w:cs="仿宋"/>
                <w:color w:val="auto"/>
                <w:spacing w:val="5"/>
                <w:sz w:val="23"/>
                <w:szCs w:val="23"/>
              </w:rPr>
              <w:t>3</w:t>
            </w:r>
            <w:r>
              <w:rPr>
                <w:rFonts w:ascii="仿宋" w:hAnsi="仿宋" w:eastAsia="仿宋" w:cs="仿宋"/>
                <w:color w:val="auto"/>
                <w:spacing w:val="3"/>
                <w:sz w:val="23"/>
                <w:szCs w:val="23"/>
              </w:rPr>
              <w:t>00-1000</w:t>
            </w:r>
          </w:p>
        </w:tc>
        <w:tc>
          <w:tcPr>
            <w:tcW w:w="1295" w:type="dxa"/>
            <w:vAlign w:val="top"/>
          </w:tcPr>
          <w:p w14:paraId="465861EE">
            <w:pPr>
              <w:keepNext w:val="0"/>
              <w:keepLines w:val="0"/>
              <w:pageBreakBefore w:val="0"/>
              <w:widowControl w:val="0"/>
              <w:kinsoku/>
              <w:wordWrap/>
              <w:overflowPunct/>
              <w:topLinePunct w:val="0"/>
              <w:autoSpaceDE/>
              <w:autoSpaceDN/>
              <w:bidi w:val="0"/>
              <w:adjustRightInd/>
              <w:snapToGrid/>
              <w:spacing w:before="81" w:line="200" w:lineRule="exact"/>
              <w:ind w:left="251"/>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00-300</w:t>
            </w:r>
          </w:p>
        </w:tc>
        <w:tc>
          <w:tcPr>
            <w:tcW w:w="1004" w:type="dxa"/>
            <w:vAlign w:val="top"/>
          </w:tcPr>
          <w:p w14:paraId="68EB763A">
            <w:pPr>
              <w:keepNext w:val="0"/>
              <w:keepLines w:val="0"/>
              <w:pageBreakBefore w:val="0"/>
              <w:widowControl w:val="0"/>
              <w:kinsoku/>
              <w:wordWrap/>
              <w:overflowPunct/>
              <w:topLinePunct w:val="0"/>
              <w:autoSpaceDE/>
              <w:autoSpaceDN/>
              <w:bidi w:val="0"/>
              <w:adjustRightInd/>
              <w:snapToGrid/>
              <w:spacing w:before="40" w:line="200" w:lineRule="exact"/>
              <w:ind w:left="227"/>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0</w:t>
            </w:r>
          </w:p>
        </w:tc>
      </w:tr>
      <w:tr w14:paraId="05D58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35A99E6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58987D4C">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1FC60D72">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0093F9C6">
            <w:pPr>
              <w:keepNext w:val="0"/>
              <w:keepLines w:val="0"/>
              <w:pageBreakBefore w:val="0"/>
              <w:widowControl w:val="0"/>
              <w:kinsoku/>
              <w:wordWrap/>
              <w:overflowPunct/>
              <w:topLinePunct w:val="0"/>
              <w:autoSpaceDE/>
              <w:autoSpaceDN/>
              <w:bidi w:val="0"/>
              <w:adjustRightInd/>
              <w:snapToGrid/>
              <w:spacing w:before="103" w:line="200" w:lineRule="exact"/>
              <w:ind w:left="37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≥50</w:t>
            </w:r>
            <w:r>
              <w:rPr>
                <w:rFonts w:ascii="仿宋" w:hAnsi="仿宋" w:eastAsia="仿宋" w:cs="仿宋"/>
                <w:color w:val="auto"/>
                <w:position w:val="1"/>
                <w:sz w:val="23"/>
                <w:szCs w:val="23"/>
              </w:rPr>
              <w:t>00</w:t>
            </w:r>
          </w:p>
        </w:tc>
        <w:tc>
          <w:tcPr>
            <w:tcW w:w="1535" w:type="dxa"/>
            <w:vAlign w:val="top"/>
          </w:tcPr>
          <w:p w14:paraId="0A4A6AC1">
            <w:pPr>
              <w:keepNext w:val="0"/>
              <w:keepLines w:val="0"/>
              <w:pageBreakBefore w:val="0"/>
              <w:widowControl w:val="0"/>
              <w:kinsoku/>
              <w:wordWrap/>
              <w:overflowPunct/>
              <w:topLinePunct w:val="0"/>
              <w:autoSpaceDE/>
              <w:autoSpaceDN/>
              <w:bidi w:val="0"/>
              <w:adjustRightInd/>
              <w:snapToGrid/>
              <w:spacing w:before="144" w:line="200" w:lineRule="exact"/>
              <w:ind w:left="250"/>
              <w:textAlignment w:val="auto"/>
              <w:rPr>
                <w:rFonts w:ascii="仿宋" w:hAnsi="仿宋" w:eastAsia="仿宋" w:cs="仿宋"/>
                <w:color w:val="auto"/>
                <w:sz w:val="23"/>
                <w:szCs w:val="23"/>
              </w:rPr>
            </w:pPr>
            <w:r>
              <w:rPr>
                <w:rFonts w:ascii="仿宋" w:hAnsi="仿宋" w:eastAsia="仿宋" w:cs="仿宋"/>
                <w:color w:val="auto"/>
                <w:spacing w:val="2"/>
                <w:sz w:val="23"/>
                <w:szCs w:val="23"/>
              </w:rPr>
              <w:t>1000-5000</w:t>
            </w:r>
          </w:p>
        </w:tc>
        <w:tc>
          <w:tcPr>
            <w:tcW w:w="1295" w:type="dxa"/>
            <w:vAlign w:val="top"/>
          </w:tcPr>
          <w:p w14:paraId="1FDB1113">
            <w:pPr>
              <w:keepNext w:val="0"/>
              <w:keepLines w:val="0"/>
              <w:pageBreakBefore w:val="0"/>
              <w:widowControl w:val="0"/>
              <w:kinsoku/>
              <w:wordWrap/>
              <w:overflowPunct/>
              <w:topLinePunct w:val="0"/>
              <w:autoSpaceDE/>
              <w:autoSpaceDN/>
              <w:bidi w:val="0"/>
              <w:adjustRightInd/>
              <w:snapToGrid/>
              <w:spacing w:before="144" w:line="200" w:lineRule="exact"/>
              <w:ind w:left="118"/>
              <w:textAlignment w:val="auto"/>
              <w:rPr>
                <w:rFonts w:ascii="仿宋" w:hAnsi="仿宋" w:eastAsia="仿宋" w:cs="仿宋"/>
                <w:color w:val="auto"/>
                <w:sz w:val="23"/>
                <w:szCs w:val="23"/>
              </w:rPr>
            </w:pPr>
            <w:r>
              <w:rPr>
                <w:rFonts w:ascii="仿宋" w:hAnsi="仿宋" w:eastAsia="仿宋" w:cs="仿宋"/>
                <w:color w:val="auto"/>
                <w:spacing w:val="6"/>
                <w:sz w:val="23"/>
                <w:szCs w:val="23"/>
              </w:rPr>
              <w:t>5</w:t>
            </w:r>
            <w:r>
              <w:rPr>
                <w:rFonts w:ascii="仿宋" w:hAnsi="仿宋" w:eastAsia="仿宋" w:cs="仿宋"/>
                <w:color w:val="auto"/>
                <w:spacing w:val="4"/>
                <w:sz w:val="23"/>
                <w:szCs w:val="23"/>
              </w:rPr>
              <w:t>0</w:t>
            </w:r>
            <w:r>
              <w:rPr>
                <w:rFonts w:ascii="仿宋" w:hAnsi="仿宋" w:eastAsia="仿宋" w:cs="仿宋"/>
                <w:color w:val="auto"/>
                <w:spacing w:val="3"/>
                <w:sz w:val="23"/>
                <w:szCs w:val="23"/>
              </w:rPr>
              <w:t>0- 1000</w:t>
            </w:r>
          </w:p>
        </w:tc>
        <w:tc>
          <w:tcPr>
            <w:tcW w:w="1004" w:type="dxa"/>
            <w:vAlign w:val="top"/>
          </w:tcPr>
          <w:p w14:paraId="55C99834">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＜50</w:t>
            </w:r>
            <w:r>
              <w:rPr>
                <w:rFonts w:ascii="仿宋" w:hAnsi="仿宋" w:eastAsia="仿宋" w:cs="仿宋"/>
                <w:color w:val="auto"/>
                <w:position w:val="2"/>
                <w:sz w:val="23"/>
                <w:szCs w:val="23"/>
              </w:rPr>
              <w:t>0</w:t>
            </w:r>
          </w:p>
        </w:tc>
      </w:tr>
      <w:tr w14:paraId="30575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vAlign w:val="top"/>
          </w:tcPr>
          <w:p w14:paraId="75F071E9">
            <w:pPr>
              <w:keepNext w:val="0"/>
              <w:keepLines w:val="0"/>
              <w:pageBreakBefore w:val="0"/>
              <w:widowControl w:val="0"/>
              <w:kinsoku/>
              <w:wordWrap/>
              <w:overflowPunct/>
              <w:topLinePunct w:val="0"/>
              <w:autoSpaceDE/>
              <w:autoSpaceDN/>
              <w:bidi w:val="0"/>
              <w:adjustRightInd/>
              <w:snapToGrid/>
              <w:spacing w:before="263" w:line="200" w:lineRule="exact"/>
              <w:ind w:left="124"/>
              <w:textAlignment w:val="auto"/>
              <w:rPr>
                <w:rFonts w:ascii="仿宋" w:hAnsi="仿宋" w:eastAsia="仿宋" w:cs="仿宋"/>
                <w:color w:val="auto"/>
                <w:sz w:val="23"/>
                <w:szCs w:val="23"/>
              </w:rPr>
            </w:pPr>
            <w:r>
              <w:rPr>
                <w:rFonts w:ascii="仿宋" w:hAnsi="仿宋" w:eastAsia="仿宋" w:cs="仿宋"/>
                <w:color w:val="auto"/>
                <w:spacing w:val="6"/>
                <w:sz w:val="23"/>
                <w:szCs w:val="23"/>
              </w:rPr>
              <w:t>信息传输</w:t>
            </w:r>
          </w:p>
        </w:tc>
        <w:tc>
          <w:tcPr>
            <w:tcW w:w="1187" w:type="dxa"/>
            <w:vAlign w:val="top"/>
          </w:tcPr>
          <w:p w14:paraId="5F9A8DFA">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1537D415">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3FF5E4F9">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z w:val="23"/>
                <w:szCs w:val="23"/>
              </w:rPr>
            </w:pPr>
            <w:r>
              <w:rPr>
                <w:rFonts w:ascii="仿宋" w:hAnsi="仿宋" w:eastAsia="仿宋" w:cs="仿宋"/>
                <w:color w:val="auto"/>
                <w:spacing w:val="-1"/>
                <w:sz w:val="23"/>
                <w:szCs w:val="23"/>
              </w:rPr>
              <w:t>≥20</w:t>
            </w:r>
            <w:r>
              <w:rPr>
                <w:rFonts w:ascii="仿宋" w:hAnsi="仿宋" w:eastAsia="仿宋" w:cs="仿宋"/>
                <w:color w:val="auto"/>
                <w:sz w:val="23"/>
                <w:szCs w:val="23"/>
              </w:rPr>
              <w:t>00</w:t>
            </w:r>
          </w:p>
        </w:tc>
        <w:tc>
          <w:tcPr>
            <w:tcW w:w="1535" w:type="dxa"/>
            <w:vAlign w:val="top"/>
          </w:tcPr>
          <w:p w14:paraId="790178CB">
            <w:pPr>
              <w:keepNext w:val="0"/>
              <w:keepLines w:val="0"/>
              <w:pageBreakBefore w:val="0"/>
              <w:widowControl w:val="0"/>
              <w:kinsoku/>
              <w:wordWrap/>
              <w:overflowPunct/>
              <w:topLinePunct w:val="0"/>
              <w:autoSpaceDE/>
              <w:autoSpaceDN/>
              <w:bidi w:val="0"/>
              <w:adjustRightInd/>
              <w:snapToGrid/>
              <w:spacing w:before="82" w:line="200" w:lineRule="exact"/>
              <w:ind w:left="370"/>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00-200</w:t>
            </w:r>
          </w:p>
        </w:tc>
        <w:tc>
          <w:tcPr>
            <w:tcW w:w="1295" w:type="dxa"/>
            <w:vAlign w:val="top"/>
          </w:tcPr>
          <w:p w14:paraId="0F4D6F9B">
            <w:pPr>
              <w:keepNext w:val="0"/>
              <w:keepLines w:val="0"/>
              <w:pageBreakBefore w:val="0"/>
              <w:widowControl w:val="0"/>
              <w:kinsoku/>
              <w:wordWrap/>
              <w:overflowPunct/>
              <w:topLinePunct w:val="0"/>
              <w:autoSpaceDE/>
              <w:autoSpaceDN/>
              <w:bidi w:val="0"/>
              <w:adjustRightInd/>
              <w:snapToGrid/>
              <w:spacing w:before="82" w:line="200" w:lineRule="exact"/>
              <w:ind w:left="311"/>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100</w:t>
            </w:r>
          </w:p>
        </w:tc>
        <w:tc>
          <w:tcPr>
            <w:tcW w:w="1004" w:type="dxa"/>
            <w:vAlign w:val="top"/>
          </w:tcPr>
          <w:p w14:paraId="72A86617">
            <w:pPr>
              <w:keepNext w:val="0"/>
              <w:keepLines w:val="0"/>
              <w:pageBreakBefore w:val="0"/>
              <w:widowControl w:val="0"/>
              <w:kinsoku/>
              <w:wordWrap/>
              <w:overflowPunct/>
              <w:topLinePunct w:val="0"/>
              <w:autoSpaceDE/>
              <w:autoSpaceDN/>
              <w:bidi w:val="0"/>
              <w:adjustRightInd/>
              <w:snapToGrid/>
              <w:spacing w:before="40" w:line="200" w:lineRule="exact"/>
              <w:ind w:left="287"/>
              <w:textAlignment w:val="auto"/>
              <w:rPr>
                <w:rFonts w:ascii="仿宋" w:hAnsi="仿宋" w:eastAsia="仿宋" w:cs="仿宋"/>
                <w:color w:val="auto"/>
                <w:sz w:val="23"/>
                <w:szCs w:val="23"/>
              </w:rPr>
            </w:pPr>
            <w:r>
              <w:rPr>
                <w:rFonts w:ascii="仿宋" w:hAnsi="仿宋" w:eastAsia="仿宋" w:cs="仿宋"/>
                <w:color w:val="auto"/>
                <w:spacing w:val="-4"/>
                <w:sz w:val="23"/>
                <w:szCs w:val="23"/>
              </w:rPr>
              <w:t>＜</w:t>
            </w:r>
            <w:r>
              <w:rPr>
                <w:rFonts w:ascii="仿宋" w:hAnsi="仿宋" w:eastAsia="仿宋" w:cs="仿宋"/>
                <w:color w:val="auto"/>
                <w:spacing w:val="-2"/>
                <w:sz w:val="23"/>
                <w:szCs w:val="23"/>
              </w:rPr>
              <w:t>10</w:t>
            </w:r>
          </w:p>
        </w:tc>
      </w:tr>
      <w:tr w14:paraId="37E74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10ACB46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43D2AA51">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58099346">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458FED68">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≥100000</w:t>
            </w:r>
          </w:p>
        </w:tc>
        <w:tc>
          <w:tcPr>
            <w:tcW w:w="1535" w:type="dxa"/>
            <w:vAlign w:val="top"/>
          </w:tcPr>
          <w:p w14:paraId="546BB298">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z w:val="23"/>
                <w:szCs w:val="23"/>
              </w:rPr>
            </w:pPr>
            <w:r>
              <w:rPr>
                <w:rFonts w:ascii="仿宋" w:hAnsi="仿宋" w:eastAsia="仿宋" w:cs="仿宋"/>
                <w:color w:val="auto"/>
                <w:spacing w:val="4"/>
                <w:sz w:val="23"/>
                <w:szCs w:val="23"/>
              </w:rPr>
              <w:t>100</w:t>
            </w:r>
            <w:r>
              <w:rPr>
                <w:rFonts w:ascii="仿宋" w:hAnsi="仿宋" w:eastAsia="仿宋" w:cs="仿宋"/>
                <w:color w:val="auto"/>
                <w:spacing w:val="2"/>
                <w:sz w:val="23"/>
                <w:szCs w:val="23"/>
              </w:rPr>
              <w:t>0-100000</w:t>
            </w:r>
          </w:p>
        </w:tc>
        <w:tc>
          <w:tcPr>
            <w:tcW w:w="1295" w:type="dxa"/>
            <w:vAlign w:val="top"/>
          </w:tcPr>
          <w:p w14:paraId="701DE5AE">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z w:val="23"/>
                <w:szCs w:val="23"/>
              </w:rPr>
            </w:pPr>
            <w:r>
              <w:rPr>
                <w:rFonts w:ascii="仿宋" w:hAnsi="仿宋" w:eastAsia="仿宋" w:cs="仿宋"/>
                <w:color w:val="auto"/>
                <w:spacing w:val="2"/>
                <w:sz w:val="23"/>
                <w:szCs w:val="23"/>
              </w:rPr>
              <w:t>100-1</w:t>
            </w:r>
            <w:r>
              <w:rPr>
                <w:rFonts w:ascii="仿宋" w:hAnsi="仿宋" w:eastAsia="仿宋" w:cs="仿宋"/>
                <w:color w:val="auto"/>
                <w:spacing w:val="1"/>
                <w:sz w:val="23"/>
                <w:szCs w:val="23"/>
              </w:rPr>
              <w:t>000</w:t>
            </w:r>
          </w:p>
        </w:tc>
        <w:tc>
          <w:tcPr>
            <w:tcW w:w="1004" w:type="dxa"/>
            <w:vAlign w:val="top"/>
          </w:tcPr>
          <w:p w14:paraId="49AC99DA">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46348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0923F95F">
            <w:pPr>
              <w:keepNext w:val="0"/>
              <w:keepLines w:val="0"/>
              <w:pageBreakBefore w:val="0"/>
              <w:widowControl w:val="0"/>
              <w:kinsoku/>
              <w:wordWrap/>
              <w:overflowPunct/>
              <w:topLinePunct w:val="0"/>
              <w:autoSpaceDE/>
              <w:autoSpaceDN/>
              <w:bidi w:val="0"/>
              <w:adjustRightInd/>
              <w:snapToGrid/>
              <w:spacing w:before="127" w:line="200" w:lineRule="exact"/>
              <w:ind w:left="124" w:right="110" w:firstLine="120"/>
              <w:textAlignment w:val="auto"/>
              <w:rPr>
                <w:rFonts w:ascii="仿宋" w:hAnsi="仿宋" w:eastAsia="仿宋" w:cs="仿宋"/>
                <w:color w:val="auto"/>
                <w:sz w:val="23"/>
                <w:szCs w:val="23"/>
              </w:rPr>
            </w:pPr>
            <w:r>
              <w:rPr>
                <w:rFonts w:ascii="仿宋" w:hAnsi="仿宋" w:eastAsia="仿宋" w:cs="仿宋"/>
                <w:color w:val="auto"/>
                <w:spacing w:val="5"/>
                <w:sz w:val="23"/>
                <w:szCs w:val="23"/>
              </w:rPr>
              <w:t>软</w:t>
            </w:r>
            <w:r>
              <w:rPr>
                <w:rFonts w:ascii="仿宋" w:hAnsi="仿宋" w:eastAsia="仿宋" w:cs="仿宋"/>
                <w:color w:val="auto"/>
                <w:spacing w:val="4"/>
                <w:sz w:val="23"/>
                <w:szCs w:val="23"/>
              </w:rPr>
              <w:t>件和</w:t>
            </w:r>
            <w:r>
              <w:rPr>
                <w:rFonts w:ascii="仿宋" w:hAnsi="仿宋" w:eastAsia="仿宋" w:cs="仿宋"/>
                <w:color w:val="auto"/>
                <w:sz w:val="23"/>
                <w:szCs w:val="23"/>
              </w:rPr>
              <w:t xml:space="preserve"> </w:t>
            </w:r>
            <w:r>
              <w:rPr>
                <w:rFonts w:ascii="仿宋" w:hAnsi="仿宋" w:eastAsia="仿宋" w:cs="仿宋"/>
                <w:color w:val="auto"/>
                <w:spacing w:val="6"/>
                <w:sz w:val="23"/>
                <w:szCs w:val="23"/>
              </w:rPr>
              <w:t>信息技术</w:t>
            </w:r>
          </w:p>
        </w:tc>
        <w:tc>
          <w:tcPr>
            <w:tcW w:w="1187" w:type="dxa"/>
            <w:vAlign w:val="top"/>
          </w:tcPr>
          <w:p w14:paraId="086B25FC">
            <w:pPr>
              <w:keepNext w:val="0"/>
              <w:keepLines w:val="0"/>
              <w:pageBreakBefore w:val="0"/>
              <w:widowControl w:val="0"/>
              <w:kinsoku/>
              <w:wordWrap/>
              <w:overflowPunct/>
              <w:topLinePunct w:val="0"/>
              <w:autoSpaceDE/>
              <w:autoSpaceDN/>
              <w:bidi w:val="0"/>
              <w:adjustRightInd/>
              <w:snapToGrid/>
              <w:spacing w:before="57"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58C5FCB6">
            <w:pPr>
              <w:keepNext w:val="0"/>
              <w:keepLines w:val="0"/>
              <w:pageBreakBefore w:val="0"/>
              <w:widowControl w:val="0"/>
              <w:kinsoku/>
              <w:wordWrap/>
              <w:overflowPunct/>
              <w:topLinePunct w:val="0"/>
              <w:autoSpaceDE/>
              <w:autoSpaceDN/>
              <w:bidi w:val="0"/>
              <w:adjustRightInd/>
              <w:snapToGrid/>
              <w:spacing w:before="57"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36F1A547">
            <w:pPr>
              <w:keepNext w:val="0"/>
              <w:keepLines w:val="0"/>
              <w:pageBreakBefore w:val="0"/>
              <w:widowControl w:val="0"/>
              <w:kinsoku/>
              <w:wordWrap/>
              <w:overflowPunct/>
              <w:topLinePunct w:val="0"/>
              <w:autoSpaceDE/>
              <w:autoSpaceDN/>
              <w:bidi w:val="0"/>
              <w:adjustRightInd/>
              <w:snapToGrid/>
              <w:spacing w:before="57" w:line="200" w:lineRule="exact"/>
              <w:ind w:left="430"/>
              <w:textAlignment w:val="auto"/>
              <w:rPr>
                <w:rFonts w:ascii="仿宋" w:hAnsi="仿宋" w:eastAsia="仿宋" w:cs="仿宋"/>
                <w:color w:val="auto"/>
                <w:sz w:val="23"/>
                <w:szCs w:val="23"/>
              </w:rPr>
            </w:pPr>
            <w:r>
              <w:rPr>
                <w:rFonts w:ascii="仿宋" w:hAnsi="仿宋" w:eastAsia="仿宋" w:cs="仿宋"/>
                <w:color w:val="auto"/>
                <w:spacing w:val="-2"/>
                <w:sz w:val="23"/>
                <w:szCs w:val="23"/>
              </w:rPr>
              <w:t>≥300</w:t>
            </w:r>
          </w:p>
        </w:tc>
        <w:tc>
          <w:tcPr>
            <w:tcW w:w="1535" w:type="dxa"/>
            <w:vAlign w:val="top"/>
          </w:tcPr>
          <w:p w14:paraId="30AA4463">
            <w:pPr>
              <w:keepNext w:val="0"/>
              <w:keepLines w:val="0"/>
              <w:pageBreakBefore w:val="0"/>
              <w:widowControl w:val="0"/>
              <w:kinsoku/>
              <w:wordWrap/>
              <w:overflowPunct/>
              <w:topLinePunct w:val="0"/>
              <w:autoSpaceDE/>
              <w:autoSpaceDN/>
              <w:bidi w:val="0"/>
              <w:adjustRightInd/>
              <w:snapToGrid/>
              <w:spacing w:before="98" w:line="200" w:lineRule="exact"/>
              <w:ind w:left="370"/>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00-300</w:t>
            </w:r>
          </w:p>
        </w:tc>
        <w:tc>
          <w:tcPr>
            <w:tcW w:w="1295" w:type="dxa"/>
            <w:vAlign w:val="top"/>
          </w:tcPr>
          <w:p w14:paraId="47A92A5A">
            <w:pPr>
              <w:keepNext w:val="0"/>
              <w:keepLines w:val="0"/>
              <w:pageBreakBefore w:val="0"/>
              <w:widowControl w:val="0"/>
              <w:kinsoku/>
              <w:wordWrap/>
              <w:overflowPunct/>
              <w:topLinePunct w:val="0"/>
              <w:autoSpaceDE/>
              <w:autoSpaceDN/>
              <w:bidi w:val="0"/>
              <w:adjustRightInd/>
              <w:snapToGrid/>
              <w:spacing w:before="98" w:line="200" w:lineRule="exact"/>
              <w:ind w:left="311"/>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100</w:t>
            </w:r>
          </w:p>
        </w:tc>
        <w:tc>
          <w:tcPr>
            <w:tcW w:w="1004" w:type="dxa"/>
            <w:vAlign w:val="top"/>
          </w:tcPr>
          <w:p w14:paraId="2A14C0D5">
            <w:pPr>
              <w:keepNext w:val="0"/>
              <w:keepLines w:val="0"/>
              <w:pageBreakBefore w:val="0"/>
              <w:widowControl w:val="0"/>
              <w:kinsoku/>
              <w:wordWrap/>
              <w:overflowPunct/>
              <w:topLinePunct w:val="0"/>
              <w:autoSpaceDE/>
              <w:autoSpaceDN/>
              <w:bidi w:val="0"/>
              <w:adjustRightInd/>
              <w:snapToGrid/>
              <w:spacing w:before="57" w:line="200" w:lineRule="exact"/>
              <w:ind w:left="287"/>
              <w:textAlignment w:val="auto"/>
              <w:rPr>
                <w:rFonts w:ascii="仿宋" w:hAnsi="仿宋" w:eastAsia="仿宋" w:cs="仿宋"/>
                <w:color w:val="auto"/>
                <w:sz w:val="23"/>
                <w:szCs w:val="23"/>
              </w:rPr>
            </w:pPr>
            <w:r>
              <w:rPr>
                <w:rFonts w:ascii="仿宋" w:hAnsi="仿宋" w:eastAsia="仿宋" w:cs="仿宋"/>
                <w:color w:val="auto"/>
                <w:spacing w:val="-4"/>
                <w:sz w:val="23"/>
                <w:szCs w:val="23"/>
              </w:rPr>
              <w:t>＜</w:t>
            </w:r>
            <w:r>
              <w:rPr>
                <w:rFonts w:ascii="仿宋" w:hAnsi="仿宋" w:eastAsia="仿宋" w:cs="仿宋"/>
                <w:color w:val="auto"/>
                <w:spacing w:val="-2"/>
                <w:sz w:val="23"/>
                <w:szCs w:val="23"/>
              </w:rPr>
              <w:t>10</w:t>
            </w:r>
          </w:p>
        </w:tc>
      </w:tr>
      <w:tr w14:paraId="07386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26697C7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06EC964E">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5BDACD7E">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6AD3D7C3">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w:t>
            </w:r>
            <w:r>
              <w:rPr>
                <w:rFonts w:ascii="仿宋" w:hAnsi="仿宋" w:eastAsia="仿宋" w:cs="仿宋"/>
                <w:color w:val="auto"/>
                <w:position w:val="1"/>
                <w:sz w:val="23"/>
                <w:szCs w:val="23"/>
              </w:rPr>
              <w:t>0000</w:t>
            </w:r>
          </w:p>
        </w:tc>
        <w:tc>
          <w:tcPr>
            <w:tcW w:w="1535" w:type="dxa"/>
            <w:vAlign w:val="top"/>
          </w:tcPr>
          <w:p w14:paraId="710788AC">
            <w:pPr>
              <w:keepNext w:val="0"/>
              <w:keepLines w:val="0"/>
              <w:pageBreakBefore w:val="0"/>
              <w:widowControl w:val="0"/>
              <w:kinsoku/>
              <w:wordWrap/>
              <w:overflowPunct/>
              <w:topLinePunct w:val="0"/>
              <w:autoSpaceDE/>
              <w:autoSpaceDN/>
              <w:bidi w:val="0"/>
              <w:adjustRightInd/>
              <w:snapToGrid/>
              <w:spacing w:before="144" w:line="200" w:lineRule="exact"/>
              <w:ind w:left="190"/>
              <w:textAlignment w:val="auto"/>
              <w:rPr>
                <w:rFonts w:ascii="仿宋" w:hAnsi="仿宋" w:eastAsia="仿宋" w:cs="仿宋"/>
                <w:color w:val="auto"/>
                <w:sz w:val="23"/>
                <w:szCs w:val="23"/>
              </w:rPr>
            </w:pPr>
            <w:r>
              <w:rPr>
                <w:rFonts w:ascii="仿宋" w:hAnsi="仿宋" w:eastAsia="仿宋" w:cs="仿宋"/>
                <w:color w:val="auto"/>
                <w:spacing w:val="4"/>
                <w:sz w:val="23"/>
                <w:szCs w:val="23"/>
              </w:rPr>
              <w:t>1</w:t>
            </w:r>
            <w:r>
              <w:rPr>
                <w:rFonts w:ascii="仿宋" w:hAnsi="仿宋" w:eastAsia="仿宋" w:cs="仿宋"/>
                <w:color w:val="auto"/>
                <w:spacing w:val="3"/>
                <w:sz w:val="23"/>
                <w:szCs w:val="23"/>
              </w:rPr>
              <w:t>0</w:t>
            </w:r>
            <w:r>
              <w:rPr>
                <w:rFonts w:ascii="仿宋" w:hAnsi="仿宋" w:eastAsia="仿宋" w:cs="仿宋"/>
                <w:color w:val="auto"/>
                <w:spacing w:val="2"/>
                <w:sz w:val="23"/>
                <w:szCs w:val="23"/>
              </w:rPr>
              <w:t>00-10000</w:t>
            </w:r>
          </w:p>
        </w:tc>
        <w:tc>
          <w:tcPr>
            <w:tcW w:w="1295" w:type="dxa"/>
            <w:vAlign w:val="top"/>
          </w:tcPr>
          <w:p w14:paraId="2F26F2F8">
            <w:pPr>
              <w:keepNext w:val="0"/>
              <w:keepLines w:val="0"/>
              <w:pageBreakBefore w:val="0"/>
              <w:widowControl w:val="0"/>
              <w:kinsoku/>
              <w:wordWrap/>
              <w:overflowPunct/>
              <w:topLinePunct w:val="0"/>
              <w:autoSpaceDE/>
              <w:autoSpaceDN/>
              <w:bidi w:val="0"/>
              <w:adjustRightInd/>
              <w:snapToGrid/>
              <w:spacing w:before="144" w:line="200" w:lineRule="exact"/>
              <w:ind w:left="238"/>
              <w:textAlignment w:val="auto"/>
              <w:rPr>
                <w:rFonts w:ascii="仿宋" w:hAnsi="仿宋" w:eastAsia="仿宋" w:cs="仿宋"/>
                <w:color w:val="auto"/>
                <w:sz w:val="23"/>
                <w:szCs w:val="23"/>
              </w:rPr>
            </w:pPr>
            <w:r>
              <w:rPr>
                <w:rFonts w:ascii="仿宋" w:hAnsi="仿宋" w:eastAsia="仿宋" w:cs="仿宋"/>
                <w:color w:val="auto"/>
                <w:spacing w:val="3"/>
                <w:sz w:val="23"/>
                <w:szCs w:val="23"/>
              </w:rPr>
              <w:t>50-1000</w:t>
            </w:r>
          </w:p>
        </w:tc>
        <w:tc>
          <w:tcPr>
            <w:tcW w:w="1004" w:type="dxa"/>
            <w:vAlign w:val="top"/>
          </w:tcPr>
          <w:p w14:paraId="6078B52D">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50</w:t>
            </w:r>
          </w:p>
        </w:tc>
      </w:tr>
      <w:tr w14:paraId="2E64A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vAlign w:val="top"/>
          </w:tcPr>
          <w:p w14:paraId="3BD2F6C5">
            <w:pPr>
              <w:keepNext w:val="0"/>
              <w:keepLines w:val="0"/>
              <w:pageBreakBefore w:val="0"/>
              <w:widowControl w:val="0"/>
              <w:kinsoku/>
              <w:wordWrap/>
              <w:overflowPunct/>
              <w:topLinePunct w:val="0"/>
              <w:autoSpaceDE/>
              <w:autoSpaceDN/>
              <w:bidi w:val="0"/>
              <w:adjustRightInd/>
              <w:snapToGrid/>
              <w:spacing w:before="117" w:line="200" w:lineRule="exact"/>
              <w:ind w:left="133" w:right="110" w:firstLine="112"/>
              <w:textAlignment w:val="auto"/>
              <w:rPr>
                <w:rFonts w:ascii="仿宋" w:hAnsi="仿宋" w:eastAsia="仿宋" w:cs="仿宋"/>
                <w:color w:val="auto"/>
                <w:sz w:val="23"/>
                <w:szCs w:val="23"/>
              </w:rPr>
            </w:pPr>
            <w:r>
              <w:rPr>
                <w:rFonts w:ascii="仿宋" w:hAnsi="仿宋" w:eastAsia="仿宋" w:cs="仿宋"/>
                <w:color w:val="auto"/>
                <w:spacing w:val="5"/>
                <w:sz w:val="23"/>
                <w:szCs w:val="23"/>
              </w:rPr>
              <w:t>租</w:t>
            </w:r>
            <w:r>
              <w:rPr>
                <w:rFonts w:ascii="仿宋" w:hAnsi="仿宋" w:eastAsia="仿宋" w:cs="仿宋"/>
                <w:color w:val="auto"/>
                <w:spacing w:val="4"/>
                <w:sz w:val="23"/>
                <w:szCs w:val="23"/>
              </w:rPr>
              <w:t>赁和</w:t>
            </w:r>
            <w:r>
              <w:rPr>
                <w:rFonts w:ascii="仿宋" w:hAnsi="仿宋" w:eastAsia="仿宋" w:cs="仿宋"/>
                <w:color w:val="auto"/>
                <w:sz w:val="23"/>
                <w:szCs w:val="23"/>
              </w:rPr>
              <w:t xml:space="preserve"> </w:t>
            </w:r>
            <w:r>
              <w:rPr>
                <w:rFonts w:ascii="仿宋" w:hAnsi="仿宋" w:eastAsia="仿宋" w:cs="仿宋"/>
                <w:color w:val="auto"/>
                <w:spacing w:val="4"/>
                <w:sz w:val="23"/>
                <w:szCs w:val="23"/>
              </w:rPr>
              <w:t>商务服</w:t>
            </w:r>
            <w:r>
              <w:rPr>
                <w:rFonts w:ascii="仿宋" w:hAnsi="仿宋" w:eastAsia="仿宋" w:cs="仿宋"/>
                <w:color w:val="auto"/>
                <w:spacing w:val="3"/>
                <w:sz w:val="23"/>
                <w:szCs w:val="23"/>
              </w:rPr>
              <w:t>务</w:t>
            </w:r>
          </w:p>
        </w:tc>
        <w:tc>
          <w:tcPr>
            <w:tcW w:w="1187" w:type="dxa"/>
            <w:vAlign w:val="top"/>
          </w:tcPr>
          <w:p w14:paraId="1825FD4D">
            <w:pPr>
              <w:keepNext w:val="0"/>
              <w:keepLines w:val="0"/>
              <w:pageBreakBefore w:val="0"/>
              <w:widowControl w:val="0"/>
              <w:kinsoku/>
              <w:wordWrap/>
              <w:overflowPunct/>
              <w:topLinePunct w:val="0"/>
              <w:autoSpaceDE/>
              <w:autoSpaceDN/>
              <w:bidi w:val="0"/>
              <w:adjustRightInd/>
              <w:snapToGrid/>
              <w:spacing w:before="48"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4772838D">
            <w:pPr>
              <w:keepNext w:val="0"/>
              <w:keepLines w:val="0"/>
              <w:pageBreakBefore w:val="0"/>
              <w:widowControl w:val="0"/>
              <w:kinsoku/>
              <w:wordWrap/>
              <w:overflowPunct/>
              <w:topLinePunct w:val="0"/>
              <w:autoSpaceDE/>
              <w:autoSpaceDN/>
              <w:bidi w:val="0"/>
              <w:adjustRightInd/>
              <w:snapToGrid/>
              <w:spacing w:before="48"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0F59EEB3">
            <w:pPr>
              <w:keepNext w:val="0"/>
              <w:keepLines w:val="0"/>
              <w:pageBreakBefore w:val="0"/>
              <w:widowControl w:val="0"/>
              <w:kinsoku/>
              <w:wordWrap/>
              <w:overflowPunct/>
              <w:topLinePunct w:val="0"/>
              <w:autoSpaceDE/>
              <w:autoSpaceDN/>
              <w:bidi w:val="0"/>
              <w:adjustRightInd/>
              <w:snapToGrid/>
              <w:spacing w:before="48" w:line="200" w:lineRule="exact"/>
              <w:ind w:left="430"/>
              <w:textAlignment w:val="auto"/>
              <w:rPr>
                <w:rFonts w:ascii="仿宋" w:hAnsi="仿宋" w:eastAsia="仿宋" w:cs="仿宋"/>
                <w:color w:val="auto"/>
                <w:sz w:val="23"/>
                <w:szCs w:val="23"/>
              </w:rPr>
            </w:pPr>
            <w:r>
              <w:rPr>
                <w:rFonts w:ascii="仿宋" w:hAnsi="仿宋" w:eastAsia="仿宋" w:cs="仿宋"/>
                <w:color w:val="auto"/>
                <w:spacing w:val="-2"/>
                <w:sz w:val="23"/>
                <w:szCs w:val="23"/>
              </w:rPr>
              <w:t>≥300</w:t>
            </w:r>
          </w:p>
        </w:tc>
        <w:tc>
          <w:tcPr>
            <w:tcW w:w="1535" w:type="dxa"/>
            <w:vAlign w:val="top"/>
          </w:tcPr>
          <w:p w14:paraId="10EE3E70">
            <w:pPr>
              <w:keepNext w:val="0"/>
              <w:keepLines w:val="0"/>
              <w:pageBreakBefore w:val="0"/>
              <w:widowControl w:val="0"/>
              <w:kinsoku/>
              <w:wordWrap/>
              <w:overflowPunct/>
              <w:topLinePunct w:val="0"/>
              <w:autoSpaceDE/>
              <w:autoSpaceDN/>
              <w:bidi w:val="0"/>
              <w:adjustRightInd/>
              <w:snapToGrid/>
              <w:spacing w:before="89" w:line="200" w:lineRule="exact"/>
              <w:ind w:left="370"/>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00-300</w:t>
            </w:r>
          </w:p>
        </w:tc>
        <w:tc>
          <w:tcPr>
            <w:tcW w:w="1295" w:type="dxa"/>
            <w:vAlign w:val="top"/>
          </w:tcPr>
          <w:p w14:paraId="7897D556">
            <w:pPr>
              <w:keepNext w:val="0"/>
              <w:keepLines w:val="0"/>
              <w:pageBreakBefore w:val="0"/>
              <w:widowControl w:val="0"/>
              <w:kinsoku/>
              <w:wordWrap/>
              <w:overflowPunct/>
              <w:topLinePunct w:val="0"/>
              <w:autoSpaceDE/>
              <w:autoSpaceDN/>
              <w:bidi w:val="0"/>
              <w:adjustRightInd/>
              <w:snapToGrid/>
              <w:spacing w:before="89" w:line="200" w:lineRule="exact"/>
              <w:ind w:left="311"/>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100</w:t>
            </w:r>
          </w:p>
        </w:tc>
        <w:tc>
          <w:tcPr>
            <w:tcW w:w="1004" w:type="dxa"/>
            <w:vAlign w:val="top"/>
          </w:tcPr>
          <w:p w14:paraId="2CCBDE7F">
            <w:pPr>
              <w:keepNext w:val="0"/>
              <w:keepLines w:val="0"/>
              <w:pageBreakBefore w:val="0"/>
              <w:widowControl w:val="0"/>
              <w:kinsoku/>
              <w:wordWrap/>
              <w:overflowPunct/>
              <w:topLinePunct w:val="0"/>
              <w:autoSpaceDE/>
              <w:autoSpaceDN/>
              <w:bidi w:val="0"/>
              <w:adjustRightInd/>
              <w:snapToGrid/>
              <w:spacing w:before="48" w:line="200" w:lineRule="exact"/>
              <w:ind w:left="287"/>
              <w:textAlignment w:val="auto"/>
              <w:rPr>
                <w:rFonts w:ascii="仿宋" w:hAnsi="仿宋" w:eastAsia="仿宋" w:cs="仿宋"/>
                <w:color w:val="auto"/>
                <w:sz w:val="23"/>
                <w:szCs w:val="23"/>
              </w:rPr>
            </w:pPr>
            <w:r>
              <w:rPr>
                <w:rFonts w:ascii="仿宋" w:hAnsi="仿宋" w:eastAsia="仿宋" w:cs="仿宋"/>
                <w:color w:val="auto"/>
                <w:spacing w:val="-4"/>
                <w:sz w:val="23"/>
                <w:szCs w:val="23"/>
              </w:rPr>
              <w:t>＜</w:t>
            </w:r>
            <w:r>
              <w:rPr>
                <w:rFonts w:ascii="仿宋" w:hAnsi="仿宋" w:eastAsia="仿宋" w:cs="仿宋"/>
                <w:color w:val="auto"/>
                <w:spacing w:val="-2"/>
                <w:sz w:val="23"/>
                <w:szCs w:val="23"/>
              </w:rPr>
              <w:t>10</w:t>
            </w:r>
          </w:p>
        </w:tc>
      </w:tr>
      <w:tr w14:paraId="2D445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vAlign w:val="top"/>
          </w:tcPr>
          <w:p w14:paraId="286D31D3">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4E4CD6F9">
            <w:pPr>
              <w:keepNext w:val="0"/>
              <w:keepLines w:val="0"/>
              <w:pageBreakBefore w:val="0"/>
              <w:widowControl w:val="0"/>
              <w:kinsoku/>
              <w:wordWrap/>
              <w:overflowPunct/>
              <w:topLinePunct w:val="0"/>
              <w:autoSpaceDE/>
              <w:autoSpaceDN/>
              <w:bidi w:val="0"/>
              <w:adjustRightInd/>
              <w:snapToGrid/>
              <w:spacing w:before="102" w:line="200" w:lineRule="exact"/>
              <w:ind w:left="138"/>
              <w:textAlignment w:val="auto"/>
              <w:rPr>
                <w:rFonts w:ascii="仿宋" w:hAnsi="仿宋" w:eastAsia="仿宋" w:cs="仿宋"/>
                <w:color w:val="auto"/>
                <w:sz w:val="23"/>
                <w:szCs w:val="23"/>
              </w:rPr>
            </w:pPr>
            <w:r>
              <w:rPr>
                <w:rFonts w:ascii="仿宋" w:hAnsi="仿宋" w:eastAsia="仿宋" w:cs="仿宋"/>
                <w:color w:val="auto"/>
                <w:spacing w:val="3"/>
                <w:sz w:val="23"/>
                <w:szCs w:val="23"/>
              </w:rPr>
              <w:t>资产总</w:t>
            </w:r>
            <w:r>
              <w:rPr>
                <w:rFonts w:ascii="仿宋" w:hAnsi="仿宋" w:eastAsia="仿宋" w:cs="仿宋"/>
                <w:color w:val="auto"/>
                <w:spacing w:val="2"/>
                <w:sz w:val="23"/>
                <w:szCs w:val="23"/>
              </w:rPr>
              <w:t>额</w:t>
            </w:r>
          </w:p>
        </w:tc>
        <w:tc>
          <w:tcPr>
            <w:tcW w:w="900" w:type="dxa"/>
            <w:vAlign w:val="top"/>
          </w:tcPr>
          <w:p w14:paraId="0A5A3811">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55483381">
            <w:pPr>
              <w:keepNext w:val="0"/>
              <w:keepLines w:val="0"/>
              <w:pageBreakBefore w:val="0"/>
              <w:widowControl w:val="0"/>
              <w:kinsoku/>
              <w:wordWrap/>
              <w:overflowPunct/>
              <w:topLinePunct w:val="0"/>
              <w:autoSpaceDE/>
              <w:autoSpaceDN/>
              <w:bidi w:val="0"/>
              <w:adjustRightInd/>
              <w:snapToGrid/>
              <w:spacing w:before="102" w:line="200" w:lineRule="exact"/>
              <w:ind w:left="25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≥120000</w:t>
            </w:r>
          </w:p>
        </w:tc>
        <w:tc>
          <w:tcPr>
            <w:tcW w:w="1535" w:type="dxa"/>
            <w:vAlign w:val="top"/>
          </w:tcPr>
          <w:p w14:paraId="243C0251">
            <w:pPr>
              <w:keepNext w:val="0"/>
              <w:keepLines w:val="0"/>
              <w:pageBreakBefore w:val="0"/>
              <w:widowControl w:val="0"/>
              <w:kinsoku/>
              <w:wordWrap/>
              <w:overflowPunct/>
              <w:topLinePunct w:val="0"/>
              <w:autoSpaceDE/>
              <w:autoSpaceDN/>
              <w:bidi w:val="0"/>
              <w:adjustRightInd/>
              <w:snapToGrid/>
              <w:spacing w:before="143" w:line="200" w:lineRule="exact"/>
              <w:ind w:left="113"/>
              <w:textAlignment w:val="auto"/>
              <w:rPr>
                <w:rFonts w:ascii="仿宋" w:hAnsi="仿宋" w:eastAsia="仿宋" w:cs="仿宋"/>
                <w:color w:val="auto"/>
                <w:sz w:val="23"/>
                <w:szCs w:val="23"/>
              </w:rPr>
            </w:pPr>
            <w:r>
              <w:rPr>
                <w:rFonts w:ascii="仿宋" w:hAnsi="仿宋" w:eastAsia="仿宋" w:cs="仿宋"/>
                <w:color w:val="auto"/>
                <w:spacing w:val="5"/>
                <w:sz w:val="23"/>
                <w:szCs w:val="23"/>
              </w:rPr>
              <w:t>8</w:t>
            </w:r>
            <w:r>
              <w:rPr>
                <w:rFonts w:ascii="仿宋" w:hAnsi="仿宋" w:eastAsia="仿宋" w:cs="仿宋"/>
                <w:color w:val="auto"/>
                <w:spacing w:val="4"/>
                <w:sz w:val="23"/>
                <w:szCs w:val="23"/>
              </w:rPr>
              <w:t>000-120000</w:t>
            </w:r>
          </w:p>
        </w:tc>
        <w:tc>
          <w:tcPr>
            <w:tcW w:w="1295" w:type="dxa"/>
            <w:vAlign w:val="top"/>
          </w:tcPr>
          <w:p w14:paraId="107B536F">
            <w:pPr>
              <w:keepNext w:val="0"/>
              <w:keepLines w:val="0"/>
              <w:pageBreakBefore w:val="0"/>
              <w:widowControl w:val="0"/>
              <w:kinsoku/>
              <w:wordWrap/>
              <w:overflowPunct/>
              <w:topLinePunct w:val="0"/>
              <w:autoSpaceDE/>
              <w:autoSpaceDN/>
              <w:bidi w:val="0"/>
              <w:adjustRightInd/>
              <w:snapToGrid/>
              <w:spacing w:before="143" w:line="200" w:lineRule="exact"/>
              <w:ind w:left="191"/>
              <w:textAlignment w:val="auto"/>
              <w:rPr>
                <w:rFonts w:ascii="仿宋" w:hAnsi="仿宋" w:eastAsia="仿宋" w:cs="仿宋"/>
                <w:color w:val="auto"/>
                <w:sz w:val="23"/>
                <w:szCs w:val="23"/>
              </w:rPr>
            </w:pPr>
            <w:r>
              <w:rPr>
                <w:rFonts w:ascii="仿宋" w:hAnsi="仿宋" w:eastAsia="仿宋" w:cs="仿宋"/>
                <w:color w:val="auto"/>
                <w:spacing w:val="2"/>
                <w:sz w:val="23"/>
                <w:szCs w:val="23"/>
              </w:rPr>
              <w:t>100-8</w:t>
            </w:r>
            <w:r>
              <w:rPr>
                <w:rFonts w:ascii="仿宋" w:hAnsi="仿宋" w:eastAsia="仿宋" w:cs="仿宋"/>
                <w:color w:val="auto"/>
                <w:spacing w:val="1"/>
                <w:sz w:val="23"/>
                <w:szCs w:val="23"/>
              </w:rPr>
              <w:t>000</w:t>
            </w:r>
          </w:p>
        </w:tc>
        <w:tc>
          <w:tcPr>
            <w:tcW w:w="1004" w:type="dxa"/>
            <w:vAlign w:val="top"/>
          </w:tcPr>
          <w:p w14:paraId="0AAC2B9E">
            <w:pPr>
              <w:keepNext w:val="0"/>
              <w:keepLines w:val="0"/>
              <w:pageBreakBefore w:val="0"/>
              <w:widowControl w:val="0"/>
              <w:kinsoku/>
              <w:wordWrap/>
              <w:overflowPunct/>
              <w:topLinePunct w:val="0"/>
              <w:autoSpaceDE/>
              <w:autoSpaceDN/>
              <w:bidi w:val="0"/>
              <w:adjustRightInd/>
              <w:snapToGrid/>
              <w:spacing w:before="102"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17D1F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vAlign w:val="top"/>
          </w:tcPr>
          <w:p w14:paraId="7DBAE2BA">
            <w:pPr>
              <w:keepNext w:val="0"/>
              <w:keepLines w:val="0"/>
              <w:pageBreakBefore w:val="0"/>
              <w:widowControl w:val="0"/>
              <w:kinsoku/>
              <w:wordWrap/>
              <w:overflowPunct/>
              <w:topLinePunct w:val="0"/>
              <w:autoSpaceDE/>
              <w:autoSpaceDN/>
              <w:bidi w:val="0"/>
              <w:adjustRightInd/>
              <w:snapToGrid/>
              <w:spacing w:before="40" w:line="200" w:lineRule="exact"/>
              <w:ind w:left="259" w:right="110" w:hanging="133"/>
              <w:textAlignment w:val="auto"/>
              <w:rPr>
                <w:rFonts w:ascii="仿宋" w:hAnsi="仿宋" w:eastAsia="仿宋" w:cs="仿宋"/>
                <w:color w:val="auto"/>
                <w:sz w:val="23"/>
                <w:szCs w:val="23"/>
              </w:rPr>
            </w:pPr>
            <w:r>
              <w:rPr>
                <w:rFonts w:ascii="仿宋" w:hAnsi="仿宋" w:eastAsia="仿宋" w:cs="仿宋"/>
                <w:color w:val="auto"/>
                <w:spacing w:val="7"/>
                <w:sz w:val="23"/>
                <w:szCs w:val="23"/>
              </w:rPr>
              <w:t>其</w:t>
            </w:r>
            <w:r>
              <w:rPr>
                <w:rFonts w:ascii="仿宋" w:hAnsi="仿宋" w:eastAsia="仿宋" w:cs="仿宋"/>
                <w:color w:val="auto"/>
                <w:spacing w:val="5"/>
                <w:sz w:val="23"/>
                <w:szCs w:val="23"/>
              </w:rPr>
              <w:t>他未列</w:t>
            </w:r>
            <w:r>
              <w:rPr>
                <w:rFonts w:ascii="仿宋" w:hAnsi="仿宋" w:eastAsia="仿宋" w:cs="仿宋"/>
                <w:color w:val="auto"/>
                <w:sz w:val="23"/>
                <w:szCs w:val="23"/>
              </w:rPr>
              <w:t xml:space="preserve"> </w:t>
            </w:r>
            <w:r>
              <w:rPr>
                <w:rFonts w:ascii="仿宋" w:hAnsi="仿宋" w:eastAsia="仿宋" w:cs="仿宋"/>
                <w:color w:val="auto"/>
                <w:spacing w:val="-1"/>
                <w:sz w:val="23"/>
                <w:szCs w:val="23"/>
              </w:rPr>
              <w:t>明</w:t>
            </w:r>
            <w:r>
              <w:rPr>
                <w:rFonts w:ascii="仿宋" w:hAnsi="仿宋" w:eastAsia="仿宋" w:cs="仿宋"/>
                <w:color w:val="auto"/>
                <w:sz w:val="23"/>
                <w:szCs w:val="23"/>
              </w:rPr>
              <w:t>行业</w:t>
            </w:r>
          </w:p>
        </w:tc>
        <w:tc>
          <w:tcPr>
            <w:tcW w:w="1187" w:type="dxa"/>
            <w:vAlign w:val="top"/>
          </w:tcPr>
          <w:p w14:paraId="16D02670">
            <w:pPr>
              <w:keepNext w:val="0"/>
              <w:keepLines w:val="0"/>
              <w:pageBreakBefore w:val="0"/>
              <w:widowControl w:val="0"/>
              <w:kinsoku/>
              <w:wordWrap/>
              <w:overflowPunct/>
              <w:topLinePunct w:val="0"/>
              <w:autoSpaceDE/>
              <w:autoSpaceDN/>
              <w:bidi w:val="0"/>
              <w:adjustRightInd/>
              <w:snapToGrid/>
              <w:spacing w:before="195"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37C84080">
            <w:pPr>
              <w:keepNext w:val="0"/>
              <w:keepLines w:val="0"/>
              <w:pageBreakBefore w:val="0"/>
              <w:widowControl w:val="0"/>
              <w:kinsoku/>
              <w:wordWrap/>
              <w:overflowPunct/>
              <w:topLinePunct w:val="0"/>
              <w:autoSpaceDE/>
              <w:autoSpaceDN/>
              <w:bidi w:val="0"/>
              <w:adjustRightInd/>
              <w:snapToGrid/>
              <w:spacing w:before="195"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7CD82521">
            <w:pPr>
              <w:keepNext w:val="0"/>
              <w:keepLines w:val="0"/>
              <w:pageBreakBefore w:val="0"/>
              <w:widowControl w:val="0"/>
              <w:kinsoku/>
              <w:wordWrap/>
              <w:overflowPunct/>
              <w:topLinePunct w:val="0"/>
              <w:autoSpaceDE/>
              <w:autoSpaceDN/>
              <w:bidi w:val="0"/>
              <w:adjustRightInd/>
              <w:snapToGrid/>
              <w:spacing w:before="195" w:line="200" w:lineRule="exact"/>
              <w:ind w:left="430"/>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≥300</w:t>
            </w:r>
          </w:p>
        </w:tc>
        <w:tc>
          <w:tcPr>
            <w:tcW w:w="1535" w:type="dxa"/>
            <w:vAlign w:val="top"/>
          </w:tcPr>
          <w:p w14:paraId="33891E76">
            <w:pPr>
              <w:keepNext w:val="0"/>
              <w:keepLines w:val="0"/>
              <w:pageBreakBefore w:val="0"/>
              <w:widowControl w:val="0"/>
              <w:kinsoku/>
              <w:wordWrap/>
              <w:overflowPunct/>
              <w:topLinePunct w:val="0"/>
              <w:autoSpaceDE/>
              <w:autoSpaceDN/>
              <w:bidi w:val="0"/>
              <w:adjustRightInd/>
              <w:snapToGrid/>
              <w:spacing w:before="236" w:line="200" w:lineRule="exact"/>
              <w:ind w:left="370"/>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00-300</w:t>
            </w:r>
          </w:p>
        </w:tc>
        <w:tc>
          <w:tcPr>
            <w:tcW w:w="1295" w:type="dxa"/>
            <w:vAlign w:val="top"/>
          </w:tcPr>
          <w:p w14:paraId="1E2071AA">
            <w:pPr>
              <w:keepNext w:val="0"/>
              <w:keepLines w:val="0"/>
              <w:pageBreakBefore w:val="0"/>
              <w:widowControl w:val="0"/>
              <w:kinsoku/>
              <w:wordWrap/>
              <w:overflowPunct/>
              <w:topLinePunct w:val="0"/>
              <w:autoSpaceDE/>
              <w:autoSpaceDN/>
              <w:bidi w:val="0"/>
              <w:adjustRightInd/>
              <w:snapToGrid/>
              <w:spacing w:before="236" w:line="200" w:lineRule="exact"/>
              <w:ind w:left="311"/>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100</w:t>
            </w:r>
          </w:p>
        </w:tc>
        <w:tc>
          <w:tcPr>
            <w:tcW w:w="1004" w:type="dxa"/>
            <w:vAlign w:val="top"/>
          </w:tcPr>
          <w:p w14:paraId="4A3800F0">
            <w:pPr>
              <w:keepNext w:val="0"/>
              <w:keepLines w:val="0"/>
              <w:pageBreakBefore w:val="0"/>
              <w:widowControl w:val="0"/>
              <w:kinsoku/>
              <w:wordWrap/>
              <w:overflowPunct/>
              <w:topLinePunct w:val="0"/>
              <w:autoSpaceDE/>
              <w:autoSpaceDN/>
              <w:bidi w:val="0"/>
              <w:adjustRightInd/>
              <w:snapToGrid/>
              <w:spacing w:before="195"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10</w:t>
            </w:r>
          </w:p>
        </w:tc>
      </w:tr>
    </w:tbl>
    <w:p w14:paraId="2BB1E724">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lang w:eastAsia="zh-CN"/>
        </w:rPr>
      </w:pPr>
      <w:r>
        <w:rPr>
          <w:rFonts w:hint="eastAsia" w:ascii="宋体" w:hAnsi="宋体" w:eastAsia="宋体" w:cs="宋体"/>
          <w:b w:val="0"/>
          <w:bCs w:val="0"/>
          <w:color w:val="auto"/>
          <w:sz w:val="21"/>
          <w:szCs w:val="24"/>
        </w:rPr>
        <w:t>说明： 中、小、微型企业只须满足所列指标中的一项，即为该型企业</w:t>
      </w:r>
      <w:r>
        <w:rPr>
          <w:rFonts w:hint="eastAsia" w:ascii="宋体" w:hAnsi="宋体" w:eastAsia="宋体" w:cs="宋体"/>
          <w:b w:val="0"/>
          <w:bCs w:val="0"/>
          <w:color w:val="auto"/>
          <w:sz w:val="21"/>
          <w:szCs w:val="24"/>
          <w:lang w:eastAsia="zh-CN"/>
        </w:rPr>
        <w:t>。</w:t>
      </w:r>
    </w:p>
    <w:p w14:paraId="7375BABB">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rPr>
      </w:pPr>
    </w:p>
    <w:p w14:paraId="2BD330CF">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rPr>
      </w:pPr>
    </w:p>
    <w:p w14:paraId="27837C3F">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rPr>
      </w:pPr>
    </w:p>
    <w:p w14:paraId="6C7E5CF5">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rPr>
      </w:pPr>
    </w:p>
    <w:p w14:paraId="6A7C869B">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rPr>
      </w:pPr>
      <w:r>
        <w:rPr>
          <w:rFonts w:hint="eastAsia" w:ascii="宋体" w:hAnsi="宋体" w:eastAsia="宋体" w:cs="宋体"/>
          <w:color w:val="auto"/>
        </w:rPr>
        <w:t>③</w:t>
      </w:r>
      <w:r>
        <w:rPr>
          <w:rFonts w:hint="eastAsia" w:ascii="宋体" w:hAnsi="宋体" w:eastAsia="宋体" w:cs="宋体"/>
          <w:b w:val="0"/>
          <w:bCs w:val="0"/>
          <w:color w:val="auto"/>
          <w:sz w:val="21"/>
          <w:szCs w:val="24"/>
        </w:rPr>
        <w:t>监狱企业由省级以上监狱管理局、戒毒管理局 (含新疆生产建设兵团) 出具的属于</w:t>
      </w:r>
      <w:r>
        <w:rPr>
          <w:rFonts w:hint="eastAsia" w:ascii="宋体" w:hAnsi="宋体" w:eastAsia="宋体" w:cs="宋体"/>
          <w:b w:val="0"/>
          <w:bCs w:val="0"/>
          <w:color w:val="auto"/>
          <w:sz w:val="21"/>
          <w:szCs w:val="24"/>
          <w:lang w:val="en-US" w:eastAsia="zh-CN"/>
        </w:rPr>
        <w:t>监狱企业的证明文件；</w:t>
      </w:r>
      <w:r>
        <w:rPr>
          <w:rFonts w:hint="eastAsia" w:ascii="宋体" w:hAnsi="宋体" w:eastAsia="宋体" w:cs="宋体"/>
          <w:b w:val="0"/>
          <w:bCs w:val="0"/>
          <w:color w:val="auto"/>
          <w:sz w:val="21"/>
          <w:szCs w:val="24"/>
        </w:rPr>
        <w:t xml:space="preserve">                                                                    </w:t>
      </w:r>
    </w:p>
    <w:p w14:paraId="3081E5BC">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rPr>
      </w:pPr>
      <w:r>
        <w:rPr>
          <w:rFonts w:hint="eastAsia" w:ascii="宋体" w:hAnsi="宋体" w:eastAsia="宋体" w:cs="宋体"/>
          <w:color w:val="auto"/>
        </w:rPr>
        <w:t>④</w:t>
      </w:r>
      <w:r>
        <w:rPr>
          <w:rFonts w:hint="eastAsia" w:ascii="宋体" w:hAnsi="宋体" w:eastAsia="宋体" w:cs="宋体"/>
          <w:b w:val="0"/>
          <w:bCs w:val="0"/>
          <w:color w:val="auto"/>
          <w:sz w:val="21"/>
          <w:szCs w:val="24"/>
        </w:rPr>
        <w:t>残疾人福利性单位声明函 (参照《关于促进残疾人就业政府采购政策的通知》(财库〔2017〕 141 号)认定为残疾人福利性单位的，在政府采购活动中，残疾人福利性单位视同小型、微型 企业。符合条件的残疾人福利性单位在参加政府采购活动时，应当提供本通知规定的《残疾人 福利性单位声明函》，并对声明的真实性负责(如有请提供，格式见附件) ；</w:t>
      </w:r>
    </w:p>
    <w:p w14:paraId="35D38BC1">
      <w:pPr>
        <w:pStyle w:val="35"/>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4"/>
          <w:szCs w:val="32"/>
        </w:rPr>
      </w:pPr>
    </w:p>
    <w:p w14:paraId="569B941E">
      <w:pPr>
        <w:pStyle w:val="35"/>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val="0"/>
          <w:bCs w:val="0"/>
          <w:color w:val="auto"/>
          <w:sz w:val="32"/>
          <w:szCs w:val="32"/>
        </w:rPr>
      </w:pPr>
      <w:r>
        <w:rPr>
          <w:rFonts w:hint="eastAsia" w:ascii="宋体" w:hAnsi="宋体" w:eastAsia="宋体" w:cs="宋体"/>
          <w:b/>
          <w:bCs/>
          <w:color w:val="auto"/>
          <w:sz w:val="32"/>
          <w:szCs w:val="32"/>
        </w:rPr>
        <w:t>残疾人福利性单位声明函</w:t>
      </w:r>
    </w:p>
    <w:p w14:paraId="4C301FAB">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4"/>
          <w:szCs w:val="32"/>
        </w:rPr>
      </w:pPr>
    </w:p>
    <w:p w14:paraId="6CE95944">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本单位郑重声明，根据《财政部 民政部 中国残疾人联合会关于促进残疾人就业政府采购政策的通知》 (财库〔2017〕141 号) 的规定，本单位为符合条件的残疾人福利性单位，且本单位参加______单位的______项目采购活动提供本单位制造的货物 (由本单位承担工程/提供服务) ，或者提供其他残疾人福利性单位制造的货物 (不包括使用非残疾人福利性单位注册商标的货物) 。</w:t>
      </w:r>
    </w:p>
    <w:p w14:paraId="7EE46F58">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本单位对上述声明的真实性负责。如有虚假，将依法承担相应责任。</w:t>
      </w:r>
    </w:p>
    <w:p w14:paraId="1CC4F8CE">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rPr>
      </w:pPr>
    </w:p>
    <w:p w14:paraId="00352D7E">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rPr>
      </w:pPr>
    </w:p>
    <w:p w14:paraId="0C8D4C92">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5670" w:firstLineChars="2700"/>
        <w:jc w:val="both"/>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单位名称 (盖章) ：</w:t>
      </w:r>
    </w:p>
    <w:p w14:paraId="3E4ED33B">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5880" w:firstLineChars="2800"/>
        <w:jc w:val="both"/>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日  期：</w:t>
      </w:r>
    </w:p>
    <w:p w14:paraId="42ED5047">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5880" w:firstLineChars="2800"/>
        <w:jc w:val="both"/>
        <w:textAlignment w:val="auto"/>
        <w:rPr>
          <w:rFonts w:hint="eastAsia" w:ascii="宋体" w:hAnsi="宋体" w:eastAsia="宋体" w:cs="宋体"/>
          <w:b w:val="0"/>
          <w:bCs w:val="0"/>
          <w:color w:val="auto"/>
          <w:sz w:val="21"/>
          <w:szCs w:val="24"/>
        </w:rPr>
      </w:pPr>
    </w:p>
    <w:p w14:paraId="40E72304">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5880" w:firstLineChars="2800"/>
        <w:jc w:val="both"/>
        <w:textAlignment w:val="auto"/>
        <w:rPr>
          <w:rFonts w:hint="eastAsia" w:ascii="宋体" w:hAnsi="宋体" w:eastAsia="宋体" w:cs="宋体"/>
          <w:b w:val="0"/>
          <w:bCs w:val="0"/>
          <w:color w:val="auto"/>
          <w:sz w:val="21"/>
          <w:szCs w:val="24"/>
        </w:rPr>
      </w:pPr>
    </w:p>
    <w:p w14:paraId="4D5CFA9A">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注：如磋商人为残疾人福利性单位，可提供声明函作为评分项加分依据。但除了提供本声明函外，还须提供工商办理残疾人福利性单位相关证明材料 (如残疾人证件等被认定为残疾人福利性单位的相关证明材料)</w:t>
      </w:r>
    </w:p>
    <w:p w14:paraId="62CC3085">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4"/>
          <w:szCs w:val="32"/>
        </w:rPr>
      </w:pPr>
    </w:p>
    <w:p w14:paraId="04FC47DF">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rPr>
      </w:pPr>
    </w:p>
    <w:p w14:paraId="4B6E130B">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rPr>
      </w:pPr>
    </w:p>
    <w:p w14:paraId="101498A1">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4"/>
          <w:szCs w:val="32"/>
        </w:rPr>
      </w:pPr>
    </w:p>
    <w:p w14:paraId="114E5E2E">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1FE99FAC">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63ED6F6F">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00A52C4C">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039DA0C7">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r>
        <w:rPr>
          <w:rFonts w:hint="eastAsia" w:asciiTheme="majorEastAsia" w:hAnsiTheme="majorEastAsia" w:eastAsiaTheme="majorEastAsia" w:cstheme="majorEastAsia"/>
          <w:b/>
          <w:bCs/>
          <w:color w:val="auto"/>
          <w:sz w:val="28"/>
          <w:szCs w:val="36"/>
        </w:rPr>
        <w:t>三、</w:t>
      </w:r>
      <w:r>
        <w:rPr>
          <w:rFonts w:hint="eastAsia" w:asciiTheme="majorEastAsia" w:hAnsiTheme="majorEastAsia" w:eastAsiaTheme="majorEastAsia" w:cstheme="majorEastAsia"/>
          <w:b/>
          <w:bCs/>
          <w:color w:val="auto"/>
          <w:sz w:val="28"/>
          <w:szCs w:val="36"/>
          <w:lang w:eastAsia="zh-CN"/>
        </w:rPr>
        <w:t>竞</w:t>
      </w:r>
      <w:r>
        <w:rPr>
          <w:rFonts w:hint="eastAsia" w:asciiTheme="majorEastAsia" w:hAnsiTheme="majorEastAsia" w:eastAsiaTheme="majorEastAsia" w:cstheme="majorEastAsia"/>
          <w:b/>
          <w:bCs/>
          <w:color w:val="auto"/>
          <w:sz w:val="28"/>
          <w:szCs w:val="36"/>
        </w:rPr>
        <w:t>标报价文件格式</w:t>
      </w:r>
    </w:p>
    <w:p w14:paraId="4DB6F583">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p>
    <w:p w14:paraId="289EBD19">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p>
    <w:p w14:paraId="7439065C">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p>
    <w:p w14:paraId="0ACADE99">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p>
    <w:p w14:paraId="254E96A8">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p>
    <w:p w14:paraId="259F26ED">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p>
    <w:p w14:paraId="27140E24">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投 标 报 价 文 件</w:t>
      </w:r>
    </w:p>
    <w:p w14:paraId="57BA6CD4">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3C8999D5">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3338928A">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5F580E9E">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443126A6">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2A37648A">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6CBDBAE1">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4470146A">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0BA8A430">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3ECA560A">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6920EA94">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45F56D86">
      <w:pPr>
        <w:pStyle w:val="35"/>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bCs/>
          <w:color w:val="auto"/>
          <w:sz w:val="32"/>
          <w:szCs w:val="40"/>
        </w:rPr>
      </w:pPr>
    </w:p>
    <w:p w14:paraId="3EC87712">
      <w:pPr>
        <w:pStyle w:val="35"/>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bCs/>
          <w:color w:val="auto"/>
          <w:sz w:val="32"/>
          <w:szCs w:val="40"/>
        </w:rPr>
      </w:pPr>
    </w:p>
    <w:p w14:paraId="53500459">
      <w:pPr>
        <w:pStyle w:val="35"/>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bCs/>
          <w:color w:val="auto"/>
          <w:sz w:val="21"/>
          <w:szCs w:val="24"/>
        </w:rPr>
      </w:pPr>
      <w:r>
        <w:rPr>
          <w:rFonts w:hint="eastAsia" w:asciiTheme="majorEastAsia" w:hAnsiTheme="majorEastAsia" w:eastAsiaTheme="majorEastAsia" w:cstheme="majorEastAsia"/>
          <w:b/>
          <w:bCs/>
          <w:color w:val="auto"/>
          <w:sz w:val="21"/>
          <w:szCs w:val="24"/>
        </w:rPr>
        <w:t>1、磋商函；</w:t>
      </w:r>
    </w:p>
    <w:p w14:paraId="07908583">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磋商函</w:t>
      </w:r>
    </w:p>
    <w:p w14:paraId="4B0016F3">
      <w:pPr>
        <w:pStyle w:val="35"/>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val="0"/>
          <w:bCs w:val="0"/>
          <w:color w:val="auto"/>
          <w:sz w:val="21"/>
          <w:szCs w:val="24"/>
        </w:rPr>
      </w:pPr>
    </w:p>
    <w:p w14:paraId="6183C40A">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1、根据你方项目编号为</w:t>
      </w:r>
      <w:r>
        <w:rPr>
          <w:rFonts w:hint="eastAsia" w:asciiTheme="majorEastAsia" w:hAnsiTheme="majorEastAsia" w:eastAsiaTheme="majorEastAsia" w:cstheme="majorEastAsia"/>
          <w:b w:val="0"/>
          <w:bCs w:val="0"/>
          <w:color w:val="auto"/>
          <w:sz w:val="21"/>
          <w:szCs w:val="24"/>
          <w:u w:val="single"/>
        </w:rPr>
        <w:t xml:space="preserve">     (项目编号)    </w:t>
      </w:r>
      <w:r>
        <w:rPr>
          <w:rFonts w:hint="eastAsia" w:asciiTheme="majorEastAsia" w:hAnsiTheme="majorEastAsia" w:eastAsiaTheme="majorEastAsia" w:cstheme="majorEastAsia"/>
          <w:b w:val="0"/>
          <w:bCs w:val="0"/>
          <w:color w:val="auto"/>
          <w:sz w:val="21"/>
          <w:szCs w:val="24"/>
        </w:rPr>
        <w:t>的</w:t>
      </w:r>
      <w:r>
        <w:rPr>
          <w:rFonts w:hint="eastAsia" w:asciiTheme="majorEastAsia" w:hAnsiTheme="majorEastAsia" w:eastAsiaTheme="majorEastAsia" w:cstheme="majorEastAsia"/>
          <w:b w:val="0"/>
          <w:bCs w:val="0"/>
          <w:color w:val="auto"/>
          <w:sz w:val="21"/>
          <w:szCs w:val="24"/>
          <w:u w:val="single"/>
        </w:rPr>
        <w:t xml:space="preserve">    (项目名称)    </w:t>
      </w:r>
      <w:r>
        <w:rPr>
          <w:rFonts w:hint="eastAsia" w:asciiTheme="majorEastAsia" w:hAnsiTheme="majorEastAsia" w:eastAsiaTheme="majorEastAsia" w:cstheme="majorEastAsia"/>
          <w:b w:val="0"/>
          <w:bCs w:val="0"/>
          <w:color w:val="auto"/>
          <w:sz w:val="21"/>
          <w:szCs w:val="24"/>
        </w:rPr>
        <w:t>工程竞争性磋商文件，遵照《中华人民共和国招标投标采购法》、《中华人民共和国招标投标采购法实施条例》、《招标投标采购竞争性磋商采购方式管理暂行办法》等有关规定，经踏勘项目现场和研究上述竞争性磋商文件的磋商须知、合同 条款、图纸、工程建设标准和工程量清单及其他有关文件后，我方愿以人民币 (大 写)</w:t>
      </w:r>
      <w:r>
        <w:rPr>
          <w:rFonts w:hint="eastAsia" w:asciiTheme="majorEastAsia" w:hAnsiTheme="majorEastAsia" w:eastAsiaTheme="majorEastAsia" w:cstheme="majorEastAsia"/>
          <w:b w:val="0"/>
          <w:bCs w:val="0"/>
          <w:color w:val="auto"/>
          <w:sz w:val="21"/>
          <w:szCs w:val="24"/>
          <w:u w:val="single"/>
        </w:rPr>
        <w:t xml:space="preserve">                (</w:t>
      </w:r>
      <w:r>
        <w:rPr>
          <w:rFonts w:hint="default" w:ascii="Arial" w:hAnsi="Arial" w:cs="Arial" w:eastAsiaTheme="majorEastAsia"/>
          <w:b w:val="0"/>
          <w:bCs w:val="0"/>
          <w:color w:val="auto"/>
          <w:sz w:val="21"/>
          <w:szCs w:val="24"/>
          <w:u w:val="single"/>
        </w:rPr>
        <w:t>¥</w:t>
      </w:r>
      <w:r>
        <w:rPr>
          <w:rFonts w:hint="eastAsia" w:asciiTheme="majorEastAsia" w:hAnsiTheme="majorEastAsia" w:eastAsiaTheme="majorEastAsia" w:cstheme="majorEastAsia"/>
          <w:b w:val="0"/>
          <w:bCs w:val="0"/>
          <w:color w:val="auto"/>
          <w:sz w:val="21"/>
          <w:szCs w:val="24"/>
          <w:u w:val="single"/>
        </w:rPr>
        <w:t xml:space="preserve">        元)</w:t>
      </w:r>
      <w:r>
        <w:rPr>
          <w:rFonts w:hint="eastAsia" w:asciiTheme="majorEastAsia" w:hAnsiTheme="majorEastAsia" w:eastAsiaTheme="majorEastAsia" w:cstheme="majorEastAsia"/>
          <w:b w:val="0"/>
          <w:bCs w:val="0"/>
          <w:color w:val="auto"/>
          <w:sz w:val="21"/>
          <w:szCs w:val="24"/>
        </w:rPr>
        <w:t>的磋商报价并按上述图纸、合同条款、工程建设标准和工程量清单 (如有时) 的条件要求承包上述工程的施工、竣工，并承担任何质量缺陷保修责任。我方保证工程质量达到</w:t>
      </w:r>
      <w:r>
        <w:rPr>
          <w:rFonts w:hint="eastAsia" w:asciiTheme="majorEastAsia" w:hAnsiTheme="majorEastAsia" w:eastAsiaTheme="majorEastAsia" w:cstheme="majorEastAsia"/>
          <w:b w:val="0"/>
          <w:bCs w:val="0"/>
          <w:color w:val="auto"/>
          <w:sz w:val="21"/>
          <w:szCs w:val="24"/>
          <w:u w:val="single"/>
        </w:rPr>
        <w:t xml:space="preserve">     </w:t>
      </w:r>
      <w:r>
        <w:rPr>
          <w:rFonts w:hint="eastAsia" w:asciiTheme="majorEastAsia" w:hAnsiTheme="majorEastAsia" w:eastAsiaTheme="majorEastAsia" w:cstheme="majorEastAsia"/>
          <w:b w:val="0"/>
          <w:bCs w:val="0"/>
          <w:color w:val="auto"/>
          <w:sz w:val="21"/>
          <w:szCs w:val="24"/>
        </w:rPr>
        <w:t>等级。</w:t>
      </w:r>
    </w:p>
    <w:p w14:paraId="28A914A5">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2、我方已详细审核全部竞争性磋商文件，包括修改文件 (如有时) 及有关附件。</w:t>
      </w:r>
    </w:p>
    <w:p w14:paraId="49058FB5">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3、我方承认磋商函附录是我方磋商函的组成部分。</w:t>
      </w:r>
    </w:p>
    <w:p w14:paraId="00A4DF7A">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4、我方承诺已经具备《中华人民共和国招标投标采购法》中规定的参加招标投标采购活动的供应商应当具备的条件：</w:t>
      </w:r>
    </w:p>
    <w:p w14:paraId="3FEFCD1C">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(1) 具有独立承担民事责任的能力；</w:t>
      </w:r>
    </w:p>
    <w:p w14:paraId="00852410">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(2) 具有良好的商业信誉和健全的财务会计制度；</w:t>
      </w:r>
    </w:p>
    <w:p w14:paraId="43E2618C">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(3) 具有履行合同所必需的设备和专业技术能力；</w:t>
      </w:r>
    </w:p>
    <w:p w14:paraId="5A2B7D8F">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(4) 有依法缴纳税收和社会保障资金的良好记录；</w:t>
      </w:r>
    </w:p>
    <w:p w14:paraId="1D3ACCB5">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(5) 参加招标投标采购活动前三年内，在经营活动中没有重大违法记录；</w:t>
      </w:r>
    </w:p>
    <w:p w14:paraId="390AA783">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(6) 法律、行政法规规定的其他条件。</w:t>
      </w:r>
    </w:p>
    <w:p w14:paraId="1CE5A34D">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5、一旦我方成交，我方保证按合同书中规定的工期</w:t>
      </w:r>
      <w:r>
        <w:rPr>
          <w:rFonts w:hint="eastAsia" w:asciiTheme="majorEastAsia" w:hAnsiTheme="majorEastAsia" w:eastAsiaTheme="majorEastAsia" w:cstheme="majorEastAsia"/>
          <w:b w:val="0"/>
          <w:bCs w:val="0"/>
          <w:color w:val="auto"/>
          <w:sz w:val="21"/>
          <w:szCs w:val="24"/>
          <w:u w:val="single"/>
        </w:rPr>
        <w:t xml:space="preserve">    </w:t>
      </w:r>
      <w:r>
        <w:rPr>
          <w:rFonts w:hint="eastAsia" w:asciiTheme="majorEastAsia" w:hAnsiTheme="majorEastAsia" w:eastAsiaTheme="majorEastAsia" w:cstheme="majorEastAsia"/>
          <w:b w:val="0"/>
          <w:bCs w:val="0"/>
          <w:color w:val="auto"/>
          <w:sz w:val="21"/>
          <w:szCs w:val="24"/>
          <w:u w:val="none"/>
        </w:rPr>
        <w:t>日</w:t>
      </w:r>
      <w:r>
        <w:rPr>
          <w:rFonts w:hint="eastAsia" w:asciiTheme="majorEastAsia" w:hAnsiTheme="majorEastAsia" w:eastAsiaTheme="majorEastAsia" w:cstheme="majorEastAsia"/>
          <w:b w:val="0"/>
          <w:bCs w:val="0"/>
          <w:color w:val="auto"/>
          <w:sz w:val="21"/>
          <w:szCs w:val="24"/>
        </w:rPr>
        <w:t>历天内完成并移交全部工程。</w:t>
      </w:r>
    </w:p>
    <w:p w14:paraId="4310E0FD">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6、如果我方成交，我方将按照文件规定提交履约保证金作为履约担保。</w:t>
      </w:r>
    </w:p>
    <w:p w14:paraId="21A5339F">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7、我方同意所提交的响应文件在竞争性磋商文件的“磋商须知”中第 11 条规定的响应文件有效期内有效，在此期间内如果成交，我方将受此约束。</w:t>
      </w:r>
    </w:p>
    <w:p w14:paraId="12DF2456">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8、除非另外达成协议并生效，你方的成交通知书和本响应文件将成为约束双方的合同文件的组成部分。</w:t>
      </w:r>
    </w:p>
    <w:p w14:paraId="162ACA9E">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p>
    <w:p w14:paraId="385983A4">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供 应 商：</w:t>
      </w:r>
      <w:r>
        <w:rPr>
          <w:rFonts w:hint="eastAsia" w:asciiTheme="majorEastAsia" w:hAnsiTheme="majorEastAsia" w:eastAsiaTheme="majorEastAsia" w:cstheme="majorEastAsia"/>
          <w:b w:val="0"/>
          <w:bCs w:val="0"/>
          <w:color w:val="auto"/>
          <w:sz w:val="21"/>
          <w:szCs w:val="24"/>
          <w:u w:val="single"/>
        </w:rPr>
        <w:t xml:space="preserve">      </w:t>
      </w:r>
      <w:r>
        <w:rPr>
          <w:rFonts w:hint="eastAsia" w:asciiTheme="majorEastAsia" w:hAnsiTheme="majorEastAsia" w:eastAsiaTheme="majorEastAsia" w:cstheme="majorEastAsia"/>
          <w:b w:val="0"/>
          <w:bCs w:val="0"/>
          <w:color w:val="auto"/>
          <w:sz w:val="21"/>
          <w:szCs w:val="24"/>
          <w:u w:val="single"/>
          <w:lang w:val="en-US" w:eastAsia="zh-CN"/>
        </w:rPr>
        <w:t xml:space="preserve">    </w:t>
      </w:r>
      <w:r>
        <w:rPr>
          <w:rFonts w:hint="eastAsia" w:asciiTheme="majorEastAsia" w:hAnsiTheme="majorEastAsia" w:eastAsiaTheme="majorEastAsia" w:cstheme="majorEastAsia"/>
          <w:b w:val="0"/>
          <w:bCs w:val="0"/>
          <w:color w:val="auto"/>
          <w:sz w:val="21"/>
          <w:szCs w:val="24"/>
          <w:u w:val="single"/>
        </w:rPr>
        <w:t xml:space="preserve">       </w:t>
      </w:r>
      <w:r>
        <w:rPr>
          <w:rFonts w:hint="eastAsia" w:asciiTheme="majorEastAsia" w:hAnsiTheme="majorEastAsia" w:eastAsiaTheme="majorEastAsia" w:cstheme="majorEastAsia"/>
          <w:b w:val="0"/>
          <w:bCs w:val="0"/>
          <w:color w:val="auto"/>
          <w:sz w:val="21"/>
          <w:szCs w:val="24"/>
        </w:rPr>
        <w:t>(盖单位章)</w:t>
      </w:r>
    </w:p>
    <w:p w14:paraId="056041A6">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单位地址：</w:t>
      </w:r>
    </w:p>
    <w:p w14:paraId="2B375C37">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法定代表人或其委托代理人：           (签字或盖章)</w:t>
      </w:r>
    </w:p>
    <w:p w14:paraId="0BACEE87">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 xml:space="preserve">邮政编码：   </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rPr>
        <w:t xml:space="preserve">  电话：   </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rPr>
        <w:t xml:space="preserve">   传真：</w:t>
      </w:r>
    </w:p>
    <w:p w14:paraId="38BE1F50">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开户银行名称：</w:t>
      </w:r>
    </w:p>
    <w:p w14:paraId="71FD5BC2">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开户银行账号：</w:t>
      </w:r>
    </w:p>
    <w:p w14:paraId="7E1535E8">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开户银行地址：</w:t>
      </w:r>
    </w:p>
    <w:p w14:paraId="349C5A51">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 xml:space="preserve">日期：   </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rPr>
        <w:t xml:space="preserve">  年 </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rPr>
        <w:t xml:space="preserve">月 </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rPr>
        <w:t xml:space="preserve"> 日</w:t>
      </w:r>
    </w:p>
    <w:p w14:paraId="78AF3B83">
      <w:pPr>
        <w:pStyle w:val="35"/>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eastAsia" w:asciiTheme="majorEastAsia" w:hAnsiTheme="majorEastAsia" w:eastAsiaTheme="majorEastAsia" w:cstheme="majorEastAsia"/>
          <w:b/>
          <w:bCs/>
          <w:color w:val="auto"/>
          <w:sz w:val="24"/>
          <w:szCs w:val="32"/>
        </w:rPr>
      </w:pPr>
      <w:r>
        <w:rPr>
          <w:rFonts w:hint="eastAsia" w:asciiTheme="majorEastAsia" w:hAnsiTheme="majorEastAsia" w:eastAsiaTheme="majorEastAsia" w:cstheme="majorEastAsia"/>
          <w:b/>
          <w:bCs/>
          <w:color w:val="auto"/>
          <w:sz w:val="24"/>
          <w:szCs w:val="32"/>
        </w:rPr>
        <w:t>2、磋商函附录</w:t>
      </w:r>
    </w:p>
    <w:p w14:paraId="6FE887CC">
      <w:pPr>
        <w:pStyle w:val="35"/>
        <w:keepNext w:val="0"/>
        <w:keepLines w:val="0"/>
        <w:pageBreakBefore w:val="0"/>
        <w:widowControl w:val="0"/>
        <w:kinsoku/>
        <w:wordWrap/>
        <w:overflowPunct/>
        <w:topLinePunct w:val="0"/>
        <w:autoSpaceDE w:val="0"/>
        <w:autoSpaceDN w:val="0"/>
        <w:bidi w:val="0"/>
        <w:adjustRightInd w:val="0"/>
        <w:snapToGrid/>
        <w:spacing w:line="360" w:lineRule="exact"/>
        <w:ind w:firstLine="562" w:firstLineChars="200"/>
        <w:jc w:val="center"/>
        <w:textAlignment w:val="auto"/>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磋商函附录</w:t>
      </w:r>
    </w:p>
    <w:tbl>
      <w:tblPr>
        <w:tblStyle w:val="47"/>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14:paraId="56EFF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vAlign w:val="top"/>
          </w:tcPr>
          <w:p w14:paraId="4950FCBA">
            <w:pPr>
              <w:spacing w:before="181" w:line="230" w:lineRule="auto"/>
              <w:ind w:left="292"/>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3424" w:type="dxa"/>
            <w:vAlign w:val="top"/>
          </w:tcPr>
          <w:p w14:paraId="3378AAF7">
            <w:pPr>
              <w:spacing w:before="181" w:line="228" w:lineRule="auto"/>
              <w:ind w:left="1298"/>
              <w:rPr>
                <w:rFonts w:hint="eastAsia" w:ascii="宋体" w:hAnsi="宋体" w:eastAsia="宋体" w:cs="宋体"/>
                <w:color w:val="auto"/>
                <w:sz w:val="21"/>
                <w:szCs w:val="21"/>
              </w:rPr>
            </w:pPr>
            <w:r>
              <w:rPr>
                <w:rFonts w:hint="eastAsia" w:ascii="宋体" w:hAnsi="宋体" w:eastAsia="宋体" w:cs="宋体"/>
                <w:color w:val="auto"/>
                <w:spacing w:val="7"/>
                <w:sz w:val="21"/>
                <w:szCs w:val="21"/>
              </w:rPr>
              <w:t>条款内</w:t>
            </w:r>
            <w:r>
              <w:rPr>
                <w:rFonts w:hint="eastAsia" w:ascii="宋体" w:hAnsi="宋体" w:eastAsia="宋体" w:cs="宋体"/>
                <w:color w:val="auto"/>
                <w:spacing w:val="6"/>
                <w:sz w:val="21"/>
                <w:szCs w:val="21"/>
              </w:rPr>
              <w:t>容</w:t>
            </w:r>
          </w:p>
        </w:tc>
        <w:tc>
          <w:tcPr>
            <w:tcW w:w="2818" w:type="dxa"/>
            <w:vAlign w:val="top"/>
          </w:tcPr>
          <w:p w14:paraId="4CAD387E">
            <w:pPr>
              <w:spacing w:before="181" w:line="228" w:lineRule="auto"/>
              <w:ind w:left="1000"/>
              <w:rPr>
                <w:rFonts w:hint="eastAsia" w:ascii="宋体" w:hAnsi="宋体" w:eastAsia="宋体" w:cs="宋体"/>
                <w:color w:val="auto"/>
                <w:sz w:val="21"/>
                <w:szCs w:val="21"/>
              </w:rPr>
            </w:pPr>
            <w:r>
              <w:rPr>
                <w:rFonts w:hint="eastAsia" w:ascii="宋体" w:hAnsi="宋体" w:eastAsia="宋体" w:cs="宋体"/>
                <w:color w:val="auto"/>
                <w:spacing w:val="6"/>
                <w:sz w:val="21"/>
                <w:szCs w:val="21"/>
              </w:rPr>
              <w:t>约定内容</w:t>
            </w:r>
          </w:p>
        </w:tc>
        <w:tc>
          <w:tcPr>
            <w:tcW w:w="1696" w:type="dxa"/>
            <w:vAlign w:val="top"/>
          </w:tcPr>
          <w:p w14:paraId="2A924275">
            <w:pPr>
              <w:spacing w:before="181" w:line="230" w:lineRule="auto"/>
              <w:ind w:left="646"/>
              <w:rPr>
                <w:rFonts w:hint="eastAsia" w:ascii="宋体" w:hAnsi="宋体" w:eastAsia="宋体" w:cs="宋体"/>
                <w:color w:val="auto"/>
                <w:sz w:val="21"/>
                <w:szCs w:val="21"/>
              </w:rPr>
            </w:pPr>
            <w:r>
              <w:rPr>
                <w:rFonts w:hint="eastAsia" w:ascii="宋体" w:hAnsi="宋体" w:eastAsia="宋体" w:cs="宋体"/>
                <w:color w:val="auto"/>
                <w:spacing w:val="4"/>
                <w:sz w:val="21"/>
                <w:szCs w:val="21"/>
              </w:rPr>
              <w:t>备</w:t>
            </w:r>
            <w:r>
              <w:rPr>
                <w:rFonts w:hint="eastAsia" w:ascii="宋体" w:hAnsi="宋体" w:eastAsia="宋体" w:cs="宋体"/>
                <w:color w:val="auto"/>
                <w:spacing w:val="3"/>
                <w:sz w:val="21"/>
                <w:szCs w:val="21"/>
              </w:rPr>
              <w:t>注</w:t>
            </w:r>
          </w:p>
        </w:tc>
      </w:tr>
      <w:tr w14:paraId="617B0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15F88549">
            <w:pPr>
              <w:spacing w:before="211" w:line="193" w:lineRule="auto"/>
              <w:ind w:left="467"/>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424" w:type="dxa"/>
            <w:vAlign w:val="top"/>
          </w:tcPr>
          <w:p w14:paraId="180657F0">
            <w:pPr>
              <w:spacing w:before="180" w:line="229" w:lineRule="auto"/>
              <w:ind w:left="1300"/>
              <w:rPr>
                <w:rFonts w:hint="eastAsia" w:ascii="宋体" w:hAnsi="宋体" w:eastAsia="宋体" w:cs="宋体"/>
                <w:color w:val="auto"/>
                <w:sz w:val="21"/>
                <w:szCs w:val="21"/>
              </w:rPr>
            </w:pPr>
            <w:r>
              <w:rPr>
                <w:rFonts w:hint="eastAsia" w:ascii="宋体" w:hAnsi="宋体" w:eastAsia="宋体" w:cs="宋体"/>
                <w:color w:val="auto"/>
                <w:spacing w:val="8"/>
                <w:sz w:val="21"/>
                <w:szCs w:val="21"/>
              </w:rPr>
              <w:t>项</w:t>
            </w:r>
            <w:r>
              <w:rPr>
                <w:rFonts w:hint="eastAsia" w:ascii="宋体" w:hAnsi="宋体" w:eastAsia="宋体" w:cs="宋体"/>
                <w:color w:val="auto"/>
                <w:spacing w:val="6"/>
                <w:sz w:val="21"/>
                <w:szCs w:val="21"/>
              </w:rPr>
              <w:t>目经理</w:t>
            </w:r>
          </w:p>
        </w:tc>
        <w:tc>
          <w:tcPr>
            <w:tcW w:w="2818" w:type="dxa"/>
            <w:vAlign w:val="top"/>
          </w:tcPr>
          <w:p w14:paraId="00A1A890">
            <w:pPr>
              <w:spacing w:before="180" w:line="228" w:lineRule="auto"/>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3"/>
                <w:sz w:val="21"/>
                <w:szCs w:val="21"/>
              </w:rPr>
              <w:t>姓名：</w:t>
            </w:r>
          </w:p>
        </w:tc>
        <w:tc>
          <w:tcPr>
            <w:tcW w:w="1696" w:type="dxa"/>
            <w:vAlign w:val="top"/>
          </w:tcPr>
          <w:p w14:paraId="3101B10B">
            <w:pPr>
              <w:rPr>
                <w:rFonts w:hint="eastAsia" w:ascii="宋体" w:hAnsi="宋体" w:eastAsia="宋体" w:cs="宋体"/>
                <w:color w:val="auto"/>
                <w:sz w:val="21"/>
                <w:szCs w:val="21"/>
              </w:rPr>
            </w:pPr>
          </w:p>
        </w:tc>
      </w:tr>
      <w:tr w14:paraId="266FD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5A42D8B3">
            <w:pPr>
              <w:spacing w:before="211" w:line="192" w:lineRule="auto"/>
              <w:ind w:left="454"/>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424" w:type="dxa"/>
            <w:vAlign w:val="top"/>
          </w:tcPr>
          <w:p w14:paraId="782280F9">
            <w:pPr>
              <w:spacing w:before="179" w:line="228" w:lineRule="auto"/>
              <w:ind w:left="993"/>
              <w:rPr>
                <w:rFonts w:hint="eastAsia" w:ascii="宋体" w:hAnsi="宋体" w:eastAsia="宋体" w:cs="宋体"/>
                <w:color w:val="auto"/>
                <w:sz w:val="21"/>
                <w:szCs w:val="21"/>
              </w:rPr>
            </w:pPr>
            <w:r>
              <w:rPr>
                <w:rFonts w:hint="eastAsia" w:ascii="宋体" w:hAnsi="宋体" w:eastAsia="宋体" w:cs="宋体"/>
                <w:color w:val="auto"/>
                <w:spacing w:val="8"/>
                <w:sz w:val="21"/>
                <w:szCs w:val="21"/>
              </w:rPr>
              <w:t>响</w:t>
            </w:r>
            <w:r>
              <w:rPr>
                <w:rFonts w:hint="eastAsia" w:ascii="宋体" w:hAnsi="宋体" w:eastAsia="宋体" w:cs="宋体"/>
                <w:color w:val="auto"/>
                <w:spacing w:val="7"/>
                <w:sz w:val="21"/>
                <w:szCs w:val="21"/>
              </w:rPr>
              <w:t>应文件有效期</w:t>
            </w:r>
          </w:p>
        </w:tc>
        <w:tc>
          <w:tcPr>
            <w:tcW w:w="2818" w:type="dxa"/>
            <w:vAlign w:val="top"/>
          </w:tcPr>
          <w:p w14:paraId="4199AC4E">
            <w:pPr>
              <w:rPr>
                <w:rFonts w:hint="eastAsia" w:ascii="宋体" w:hAnsi="宋体" w:eastAsia="宋体" w:cs="宋体"/>
                <w:color w:val="auto"/>
                <w:sz w:val="21"/>
                <w:szCs w:val="21"/>
              </w:rPr>
            </w:pPr>
          </w:p>
        </w:tc>
        <w:tc>
          <w:tcPr>
            <w:tcW w:w="1696" w:type="dxa"/>
            <w:vAlign w:val="top"/>
          </w:tcPr>
          <w:p w14:paraId="520714C5">
            <w:pPr>
              <w:rPr>
                <w:rFonts w:hint="eastAsia" w:ascii="宋体" w:hAnsi="宋体" w:eastAsia="宋体" w:cs="宋体"/>
                <w:color w:val="auto"/>
                <w:sz w:val="21"/>
                <w:szCs w:val="21"/>
              </w:rPr>
            </w:pPr>
          </w:p>
        </w:tc>
      </w:tr>
      <w:tr w14:paraId="73F45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4898ABA2">
            <w:pPr>
              <w:spacing w:before="212" w:line="190" w:lineRule="auto"/>
              <w:ind w:left="456"/>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424" w:type="dxa"/>
            <w:vAlign w:val="top"/>
          </w:tcPr>
          <w:p w14:paraId="17241E47">
            <w:pPr>
              <w:spacing w:before="179" w:line="229" w:lineRule="auto"/>
              <w:ind w:left="1510"/>
              <w:rPr>
                <w:rFonts w:hint="eastAsia" w:ascii="宋体" w:hAnsi="宋体" w:eastAsia="宋体" w:cs="宋体"/>
                <w:color w:val="auto"/>
                <w:sz w:val="21"/>
                <w:szCs w:val="21"/>
              </w:rPr>
            </w:pPr>
            <w:r>
              <w:rPr>
                <w:rFonts w:hint="eastAsia" w:ascii="宋体" w:hAnsi="宋体" w:eastAsia="宋体" w:cs="宋体"/>
                <w:color w:val="auto"/>
                <w:spacing w:val="4"/>
                <w:sz w:val="21"/>
                <w:szCs w:val="21"/>
              </w:rPr>
              <w:t>工</w:t>
            </w:r>
            <w:r>
              <w:rPr>
                <w:rFonts w:hint="eastAsia" w:ascii="宋体" w:hAnsi="宋体" w:eastAsia="宋体" w:cs="宋体"/>
                <w:color w:val="auto"/>
                <w:spacing w:val="3"/>
                <w:sz w:val="21"/>
                <w:szCs w:val="21"/>
              </w:rPr>
              <w:t>期</w:t>
            </w:r>
          </w:p>
        </w:tc>
        <w:tc>
          <w:tcPr>
            <w:tcW w:w="2818" w:type="dxa"/>
            <w:vAlign w:val="top"/>
          </w:tcPr>
          <w:p w14:paraId="5D0BFF9F">
            <w:pPr>
              <w:tabs>
                <w:tab w:val="left" w:pos="1506"/>
              </w:tabs>
              <w:spacing w:before="179" w:line="229" w:lineRule="auto"/>
              <w:ind w:left="832"/>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r>
              <w:rPr>
                <w:rFonts w:hint="eastAsia" w:ascii="宋体" w:hAnsi="宋体" w:eastAsia="宋体" w:cs="宋体"/>
                <w:color w:val="auto"/>
                <w:spacing w:val="-5"/>
                <w:sz w:val="21"/>
                <w:szCs w:val="21"/>
              </w:rPr>
              <w:t>日历天</w:t>
            </w:r>
          </w:p>
        </w:tc>
        <w:tc>
          <w:tcPr>
            <w:tcW w:w="1696" w:type="dxa"/>
            <w:vAlign w:val="top"/>
          </w:tcPr>
          <w:p w14:paraId="3EAE9903">
            <w:pPr>
              <w:rPr>
                <w:rFonts w:hint="eastAsia" w:ascii="宋体" w:hAnsi="宋体" w:eastAsia="宋体" w:cs="宋体"/>
                <w:color w:val="auto"/>
                <w:sz w:val="21"/>
                <w:szCs w:val="21"/>
              </w:rPr>
            </w:pPr>
          </w:p>
        </w:tc>
      </w:tr>
      <w:tr w14:paraId="6A937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7F9B733F">
            <w:pPr>
              <w:spacing w:before="215" w:line="192" w:lineRule="auto"/>
              <w:ind w:left="451"/>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424" w:type="dxa"/>
            <w:vAlign w:val="top"/>
          </w:tcPr>
          <w:p w14:paraId="36654D49">
            <w:pPr>
              <w:spacing w:before="182" w:line="229" w:lineRule="auto"/>
              <w:ind w:left="1191"/>
              <w:rPr>
                <w:rFonts w:hint="eastAsia" w:ascii="宋体" w:hAnsi="宋体" w:eastAsia="宋体" w:cs="宋体"/>
                <w:color w:val="auto"/>
                <w:sz w:val="21"/>
                <w:szCs w:val="21"/>
              </w:rPr>
            </w:pPr>
            <w:r>
              <w:rPr>
                <w:rFonts w:hint="eastAsia" w:ascii="宋体" w:hAnsi="宋体" w:eastAsia="宋体" w:cs="宋体"/>
                <w:color w:val="auto"/>
                <w:spacing w:val="8"/>
                <w:sz w:val="21"/>
                <w:szCs w:val="21"/>
              </w:rPr>
              <w:t>质量保证金</w:t>
            </w:r>
          </w:p>
        </w:tc>
        <w:tc>
          <w:tcPr>
            <w:tcW w:w="2818" w:type="dxa"/>
            <w:vAlign w:val="top"/>
          </w:tcPr>
          <w:p w14:paraId="19F1AFB7">
            <w:pPr>
              <w:spacing w:before="182" w:line="227" w:lineRule="auto"/>
              <w:ind w:left="690"/>
              <w:rPr>
                <w:rFonts w:hint="eastAsia" w:ascii="宋体" w:hAnsi="宋体" w:eastAsia="宋体" w:cs="宋体"/>
                <w:color w:val="auto"/>
                <w:sz w:val="21"/>
                <w:szCs w:val="21"/>
              </w:rPr>
            </w:pPr>
            <w:r>
              <w:rPr>
                <w:rFonts w:hint="eastAsia" w:ascii="宋体" w:hAnsi="宋体" w:eastAsia="宋体" w:cs="宋体"/>
                <w:color w:val="auto"/>
                <w:spacing w:val="9"/>
                <w:sz w:val="21"/>
                <w:szCs w:val="21"/>
              </w:rPr>
              <w:t>结</w:t>
            </w:r>
            <w:r>
              <w:rPr>
                <w:rFonts w:hint="eastAsia" w:ascii="宋体" w:hAnsi="宋体" w:eastAsia="宋体" w:cs="宋体"/>
                <w:color w:val="auto"/>
                <w:spacing w:val="5"/>
                <w:sz w:val="21"/>
                <w:szCs w:val="21"/>
              </w:rPr>
              <w:t>算价的</w:t>
            </w:r>
            <w:r>
              <w:rPr>
                <w:rFonts w:hint="eastAsia" w:ascii="宋体" w:hAnsi="宋体" w:eastAsia="宋体" w:cs="宋体"/>
                <w:color w:val="auto"/>
                <w:spacing w:val="5"/>
                <w:sz w:val="21"/>
                <w:szCs w:val="21"/>
                <w:u w:val="single" w:color="auto"/>
              </w:rPr>
              <w:t xml:space="preserve">  </w:t>
            </w:r>
            <w:r>
              <w:rPr>
                <w:rFonts w:hint="eastAsia" w:ascii="宋体" w:hAnsi="宋体" w:cs="宋体"/>
                <w:color w:val="auto"/>
                <w:spacing w:val="5"/>
                <w:sz w:val="21"/>
                <w:szCs w:val="21"/>
                <w:u w:val="single" w:color="auto"/>
                <w:lang w:val="en-US" w:eastAsia="zh-CN"/>
              </w:rPr>
              <w:t xml:space="preserve">  </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5"/>
                <w:sz w:val="21"/>
                <w:szCs w:val="21"/>
              </w:rPr>
              <w:t>%</w:t>
            </w:r>
          </w:p>
        </w:tc>
        <w:tc>
          <w:tcPr>
            <w:tcW w:w="1696" w:type="dxa"/>
            <w:vAlign w:val="top"/>
          </w:tcPr>
          <w:p w14:paraId="5B91D090">
            <w:pPr>
              <w:rPr>
                <w:rFonts w:hint="eastAsia" w:ascii="宋体" w:hAnsi="宋体" w:eastAsia="宋体" w:cs="宋体"/>
                <w:color w:val="auto"/>
                <w:sz w:val="21"/>
                <w:szCs w:val="21"/>
              </w:rPr>
            </w:pPr>
          </w:p>
        </w:tc>
      </w:tr>
      <w:tr w14:paraId="598C0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726F3798">
            <w:pPr>
              <w:spacing w:before="215" w:line="189" w:lineRule="auto"/>
              <w:ind w:left="456"/>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3424" w:type="dxa"/>
            <w:vAlign w:val="top"/>
          </w:tcPr>
          <w:p w14:paraId="45817D7C">
            <w:pPr>
              <w:spacing w:before="181" w:line="229" w:lineRule="auto"/>
              <w:ind w:left="1297"/>
              <w:rPr>
                <w:rFonts w:hint="eastAsia" w:ascii="宋体" w:hAnsi="宋体" w:eastAsia="宋体" w:cs="宋体"/>
                <w:color w:val="auto"/>
                <w:sz w:val="21"/>
                <w:szCs w:val="21"/>
              </w:rPr>
            </w:pPr>
            <w:r>
              <w:rPr>
                <w:rFonts w:hint="eastAsia" w:ascii="宋体" w:hAnsi="宋体" w:eastAsia="宋体" w:cs="宋体"/>
                <w:color w:val="auto"/>
                <w:spacing w:val="7"/>
                <w:sz w:val="21"/>
                <w:szCs w:val="21"/>
              </w:rPr>
              <w:t>质量标准</w:t>
            </w:r>
          </w:p>
        </w:tc>
        <w:tc>
          <w:tcPr>
            <w:tcW w:w="2818" w:type="dxa"/>
            <w:vAlign w:val="top"/>
          </w:tcPr>
          <w:p w14:paraId="55F3273B">
            <w:pPr>
              <w:rPr>
                <w:rFonts w:hint="eastAsia" w:ascii="宋体" w:hAnsi="宋体" w:eastAsia="宋体" w:cs="宋体"/>
                <w:color w:val="auto"/>
                <w:sz w:val="21"/>
                <w:szCs w:val="21"/>
              </w:rPr>
            </w:pPr>
          </w:p>
        </w:tc>
        <w:tc>
          <w:tcPr>
            <w:tcW w:w="1696" w:type="dxa"/>
            <w:vAlign w:val="top"/>
          </w:tcPr>
          <w:p w14:paraId="53976BDD">
            <w:pPr>
              <w:rPr>
                <w:rFonts w:hint="eastAsia" w:ascii="宋体" w:hAnsi="宋体" w:eastAsia="宋体" w:cs="宋体"/>
                <w:color w:val="auto"/>
                <w:sz w:val="21"/>
                <w:szCs w:val="21"/>
              </w:rPr>
            </w:pPr>
          </w:p>
        </w:tc>
      </w:tr>
      <w:tr w14:paraId="4FE22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1FEB33C1">
            <w:pPr>
              <w:spacing w:before="181" w:line="325" w:lineRule="exact"/>
              <w:ind w:left="306"/>
              <w:rPr>
                <w:rFonts w:hint="eastAsia" w:ascii="宋体" w:hAnsi="宋体" w:eastAsia="宋体" w:cs="宋体"/>
                <w:color w:val="auto"/>
                <w:sz w:val="21"/>
                <w:szCs w:val="21"/>
              </w:rPr>
            </w:pPr>
            <w:r>
              <w:rPr>
                <w:rFonts w:hint="eastAsia" w:ascii="宋体" w:hAnsi="宋体" w:eastAsia="宋体" w:cs="宋体"/>
                <w:color w:val="auto"/>
                <w:spacing w:val="4"/>
                <w:position w:val="3"/>
                <w:sz w:val="21"/>
                <w:szCs w:val="21"/>
              </w:rPr>
              <w:t>……</w:t>
            </w:r>
          </w:p>
        </w:tc>
        <w:tc>
          <w:tcPr>
            <w:tcW w:w="3424" w:type="dxa"/>
            <w:vAlign w:val="top"/>
          </w:tcPr>
          <w:p w14:paraId="27C192B8">
            <w:pPr>
              <w:spacing w:before="181" w:line="325" w:lineRule="exact"/>
              <w:ind w:left="1521"/>
              <w:rPr>
                <w:rFonts w:hint="eastAsia" w:ascii="宋体" w:hAnsi="宋体" w:eastAsia="宋体" w:cs="宋体"/>
                <w:color w:val="auto"/>
                <w:sz w:val="21"/>
                <w:szCs w:val="21"/>
              </w:rPr>
            </w:pPr>
            <w:r>
              <w:rPr>
                <w:rFonts w:hint="eastAsia" w:ascii="宋体" w:hAnsi="宋体" w:eastAsia="宋体" w:cs="宋体"/>
                <w:color w:val="auto"/>
                <w:spacing w:val="4"/>
                <w:position w:val="3"/>
                <w:sz w:val="21"/>
                <w:szCs w:val="21"/>
              </w:rPr>
              <w:t>……</w:t>
            </w:r>
          </w:p>
        </w:tc>
        <w:tc>
          <w:tcPr>
            <w:tcW w:w="2818" w:type="dxa"/>
            <w:vAlign w:val="top"/>
          </w:tcPr>
          <w:p w14:paraId="37F1540C">
            <w:pPr>
              <w:rPr>
                <w:rFonts w:hint="eastAsia" w:ascii="宋体" w:hAnsi="宋体" w:eastAsia="宋体" w:cs="宋体"/>
                <w:color w:val="auto"/>
                <w:sz w:val="21"/>
                <w:szCs w:val="21"/>
              </w:rPr>
            </w:pPr>
          </w:p>
        </w:tc>
        <w:tc>
          <w:tcPr>
            <w:tcW w:w="1696" w:type="dxa"/>
            <w:vAlign w:val="top"/>
          </w:tcPr>
          <w:p w14:paraId="0C4F8A14">
            <w:pPr>
              <w:rPr>
                <w:rFonts w:hint="eastAsia" w:ascii="宋体" w:hAnsi="宋体" w:eastAsia="宋体" w:cs="宋体"/>
                <w:color w:val="auto"/>
                <w:sz w:val="21"/>
                <w:szCs w:val="21"/>
              </w:rPr>
            </w:pPr>
          </w:p>
        </w:tc>
      </w:tr>
      <w:tr w14:paraId="02908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vAlign w:val="top"/>
          </w:tcPr>
          <w:p w14:paraId="395BD77C">
            <w:pPr>
              <w:keepNext w:val="0"/>
              <w:keepLines w:val="0"/>
              <w:pageBreakBefore w:val="0"/>
              <w:widowControl w:val="0"/>
              <w:kinsoku/>
              <w:wordWrap/>
              <w:overflowPunct/>
              <w:topLinePunct w:val="0"/>
              <w:autoSpaceDE/>
              <w:autoSpaceDN/>
              <w:bidi w:val="0"/>
              <w:adjustRightInd/>
              <w:snapToGrid/>
              <w:spacing w:line="400" w:lineRule="exact"/>
              <w:ind w:left="119" w:right="102" w:firstLine="6"/>
              <w:textAlignment w:val="auto"/>
              <w:rPr>
                <w:rFonts w:hint="eastAsia" w:ascii="宋体" w:hAnsi="宋体" w:eastAsia="宋体" w:cs="宋体"/>
                <w:color w:val="auto"/>
                <w:sz w:val="21"/>
                <w:szCs w:val="21"/>
              </w:rPr>
            </w:pPr>
            <w:r>
              <w:rPr>
                <w:rFonts w:hint="eastAsia" w:ascii="宋体" w:hAnsi="宋体" w:eastAsia="宋体" w:cs="宋体"/>
                <w:color w:val="auto"/>
                <w:spacing w:val="14"/>
                <w:sz w:val="21"/>
                <w:szCs w:val="21"/>
              </w:rPr>
              <w:t>备</w:t>
            </w:r>
            <w:r>
              <w:rPr>
                <w:rFonts w:hint="eastAsia" w:ascii="宋体" w:hAnsi="宋体" w:eastAsia="宋体" w:cs="宋体"/>
                <w:color w:val="auto"/>
                <w:spacing w:val="7"/>
                <w:sz w:val="21"/>
                <w:szCs w:val="21"/>
              </w:rPr>
              <w:t>注：供应商在响应竞争性磋商文件中规定的实质性要求和条件的基础上，可做出其他有利于采</w:t>
            </w:r>
            <w:r>
              <w:rPr>
                <w:rFonts w:hint="eastAsia" w:ascii="宋体" w:hAnsi="宋体" w:eastAsia="宋体" w:cs="宋体"/>
                <w:color w:val="auto"/>
                <w:spacing w:val="13"/>
                <w:sz w:val="21"/>
                <w:szCs w:val="21"/>
              </w:rPr>
              <w:t>购</w:t>
            </w:r>
            <w:r>
              <w:rPr>
                <w:rFonts w:hint="eastAsia" w:ascii="宋体" w:hAnsi="宋体" w:eastAsia="宋体" w:cs="宋体"/>
                <w:color w:val="auto"/>
                <w:spacing w:val="9"/>
                <w:sz w:val="21"/>
                <w:szCs w:val="21"/>
              </w:rPr>
              <w:t>单位的承诺。此类承诺可在本表中予以补充填写。</w:t>
            </w:r>
          </w:p>
        </w:tc>
      </w:tr>
    </w:tbl>
    <w:p w14:paraId="35DDCD8A">
      <w:pPr>
        <w:pStyle w:val="35"/>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jc w:val="both"/>
        <w:textAlignment w:val="auto"/>
        <w:rPr>
          <w:rFonts w:hint="eastAsia" w:asciiTheme="majorEastAsia" w:hAnsiTheme="majorEastAsia" w:eastAsiaTheme="majorEastAsia" w:cstheme="majorEastAsia"/>
          <w:b/>
          <w:bCs/>
          <w:color w:val="auto"/>
          <w:sz w:val="24"/>
          <w:szCs w:val="32"/>
        </w:rPr>
      </w:pPr>
    </w:p>
    <w:p w14:paraId="73284A06">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val="0"/>
          <w:bCs w:val="0"/>
          <w:color w:val="auto"/>
          <w:sz w:val="21"/>
          <w:szCs w:val="24"/>
        </w:rPr>
      </w:pPr>
      <w:r>
        <w:rPr>
          <w:rFonts w:hint="eastAsia" w:ascii="宋体" w:hAnsi="宋体" w:cs="宋体"/>
          <w:b w:val="0"/>
          <w:bCs/>
          <w:color w:val="auto"/>
          <w:szCs w:val="21"/>
          <w:lang w:eastAsia="zh-CN"/>
        </w:rPr>
        <w:t>供应商</w:t>
      </w:r>
      <w:r>
        <w:rPr>
          <w:rFonts w:hint="eastAsia" w:asciiTheme="majorEastAsia" w:hAnsiTheme="majorEastAsia" w:eastAsiaTheme="majorEastAsia" w:cstheme="majorEastAsia"/>
          <w:b w:val="0"/>
          <w:bCs w:val="0"/>
          <w:color w:val="auto"/>
          <w:sz w:val="21"/>
          <w:szCs w:val="24"/>
        </w:rPr>
        <w:t xml:space="preserve">全称 (盖公章) ：                   </w:t>
      </w:r>
    </w:p>
    <w:p w14:paraId="34D241E9">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 xml:space="preserve">法定代表人或授权代表签字:                </w:t>
      </w:r>
    </w:p>
    <w:p w14:paraId="7BAD0D23">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r>
        <w:rPr>
          <w:rFonts w:hint="eastAsia" w:asciiTheme="majorEastAsia" w:hAnsiTheme="majorEastAsia" w:eastAsiaTheme="majorEastAsia" w:cstheme="majorEastAsia"/>
          <w:b w:val="0"/>
          <w:bCs w:val="0"/>
          <w:color w:val="auto"/>
          <w:sz w:val="21"/>
          <w:szCs w:val="24"/>
        </w:rPr>
        <w:t>日期：</w:t>
      </w:r>
      <w:r>
        <w:rPr>
          <w:rFonts w:hint="eastAsia" w:asciiTheme="majorEastAsia" w:hAnsiTheme="majorEastAsia" w:eastAsiaTheme="majorEastAsia" w:cstheme="majorEastAsia"/>
          <w:b/>
          <w:bCs/>
          <w:color w:val="auto"/>
          <w:sz w:val="32"/>
          <w:szCs w:val="40"/>
        </w:rPr>
        <w:t xml:space="preserve">                   </w:t>
      </w:r>
    </w:p>
    <w:p w14:paraId="6105E5F9">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145B5A2B">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71347E08">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79AC0961">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3A273E54">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2E4CAAA3">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2CD5CA88">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6ADCAFAC">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42EE4069">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647390B1">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43562F7E">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r>
        <w:rPr>
          <w:rFonts w:hint="eastAsia" w:ascii="宋体" w:hAnsi="宋体" w:eastAsia="宋体" w:cs="宋体"/>
          <w:b/>
          <w:bCs/>
          <w:color w:val="auto"/>
          <w:sz w:val="21"/>
          <w:szCs w:val="24"/>
        </w:rPr>
        <w:t>3、已标价工程量清单</w:t>
      </w:r>
    </w:p>
    <w:p w14:paraId="02B55700">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1、说明：已标价工程量清单按规范中的“工程量清单”中的相关清单表格式填写。构成合同文件的已标价工程量清单包括规范中的“工程量清单”有关工程量清单、磋商报价以及其他说明的内容。</w:t>
      </w:r>
    </w:p>
    <w:p w14:paraId="76E569FD">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4592436A">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3550BD23">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21405CE4">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6662B560">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1DBC0257">
      <w:pPr>
        <w:pStyle w:val="35"/>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r>
        <w:rPr>
          <w:rFonts w:hint="eastAsia" w:ascii="宋体" w:hAnsi="宋体" w:eastAsia="宋体" w:cs="宋体"/>
          <w:b/>
          <w:bCs/>
          <w:color w:val="auto"/>
          <w:sz w:val="21"/>
          <w:szCs w:val="24"/>
          <w:lang w:eastAsia="zh-CN"/>
        </w:rPr>
        <w:t>供应商</w:t>
      </w:r>
      <w:r>
        <w:rPr>
          <w:rFonts w:hint="eastAsia" w:ascii="宋体" w:hAnsi="宋体" w:eastAsia="宋体" w:cs="宋体"/>
          <w:b/>
          <w:bCs/>
          <w:color w:val="auto"/>
          <w:sz w:val="21"/>
          <w:szCs w:val="24"/>
        </w:rPr>
        <w:t>针对商务及报价需要说明的其他文件和说明 (格式自拟)</w:t>
      </w:r>
    </w:p>
    <w:p w14:paraId="25F79965">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29E8F601">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7C0F0085">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6ED5AE68">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2E57208C">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35114F7F">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60BBCE20">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183AFF30">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5ED5CD6B">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23DADC0C">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5D8F3BD5">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5C5F3064">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3BE4622A">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133D7B33">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2D626467">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5BAF1132">
      <w:pPr>
        <w:pStyle w:val="33"/>
        <w:ind w:left="0" w:leftChars="0" w:firstLine="0" w:firstLineChars="0"/>
        <w:rPr>
          <w:color w:val="auto"/>
        </w:rPr>
      </w:pPr>
    </w:p>
    <w:p w14:paraId="6F179EB2">
      <w:pPr>
        <w:pStyle w:val="2"/>
        <w:numPr>
          <w:ilvl w:val="0"/>
          <w:numId w:val="6"/>
        </w:numPr>
        <w:spacing w:line="560" w:lineRule="exact"/>
        <w:jc w:val="center"/>
        <w:rPr>
          <w:rFonts w:hint="eastAsia" w:ascii="宋体" w:hAnsi="宋体" w:cs="宋体"/>
          <w:color w:val="auto"/>
          <w:spacing w:val="-14"/>
          <w:kern w:val="0"/>
          <w:position w:val="-6"/>
          <w:sz w:val="36"/>
          <w:szCs w:val="36"/>
        </w:rPr>
      </w:pPr>
      <w:r>
        <w:rPr>
          <w:rFonts w:hint="eastAsia" w:ascii="宋体" w:hAnsi="宋体" w:cs="宋体"/>
          <w:color w:val="auto"/>
          <w:spacing w:val="-14"/>
          <w:kern w:val="0"/>
          <w:position w:val="-6"/>
          <w:sz w:val="36"/>
          <w:szCs w:val="36"/>
        </w:rPr>
        <w:t xml:space="preserve">   </w:t>
      </w:r>
      <w:bookmarkStart w:id="68" w:name="_Toc3612"/>
      <w:r>
        <w:rPr>
          <w:rFonts w:hint="eastAsia" w:ascii="宋体" w:hAnsi="宋体" w:cs="宋体"/>
          <w:color w:val="auto"/>
          <w:spacing w:val="-14"/>
          <w:kern w:val="0"/>
          <w:position w:val="-6"/>
          <w:sz w:val="36"/>
          <w:szCs w:val="36"/>
        </w:rPr>
        <w:t>合同主要条款 (参考格式)</w:t>
      </w:r>
      <w:bookmarkEnd w:id="68"/>
    </w:p>
    <w:p w14:paraId="7BFBBC23">
      <w:pPr>
        <w:pStyle w:val="2"/>
        <w:numPr>
          <w:ilvl w:val="0"/>
          <w:numId w:val="0"/>
        </w:numPr>
        <w:spacing w:line="560" w:lineRule="exact"/>
        <w:jc w:val="center"/>
        <w:rPr>
          <w:rFonts w:hint="eastAsia" w:ascii="宋体" w:hAnsi="宋体" w:cs="宋体"/>
          <w:color w:val="auto"/>
          <w:spacing w:val="-14"/>
          <w:kern w:val="0"/>
          <w:position w:val="-6"/>
          <w:sz w:val="36"/>
          <w:szCs w:val="36"/>
        </w:rPr>
      </w:pPr>
      <w:bookmarkStart w:id="69" w:name="_Toc31567"/>
      <w:r>
        <w:rPr>
          <w:rFonts w:hint="eastAsia" w:ascii="宋体" w:hAnsi="宋体" w:cs="宋体"/>
          <w:color w:val="auto"/>
          <w:spacing w:val="-14"/>
          <w:kern w:val="0"/>
          <w:position w:val="-6"/>
          <w:sz w:val="36"/>
          <w:szCs w:val="36"/>
        </w:rPr>
        <w:t>(仅供参考，由双方按实际情况调整)</w:t>
      </w:r>
      <w:bookmarkEnd w:id="69"/>
    </w:p>
    <w:p w14:paraId="5104462F">
      <w:pPr>
        <w:spacing w:line="400" w:lineRule="exact"/>
        <w:jc w:val="center"/>
        <w:rPr>
          <w:rFonts w:hint="eastAsia"/>
          <w:b/>
          <w:color w:val="auto"/>
          <w:sz w:val="25"/>
          <w:szCs w:val="21"/>
          <w:highlight w:val="none"/>
        </w:rPr>
      </w:pPr>
      <w:r>
        <w:rPr>
          <w:rFonts w:hint="eastAsia"/>
          <w:b/>
          <w:color w:val="auto"/>
          <w:szCs w:val="21"/>
          <w:highlight w:val="none"/>
          <w:u w:val="single"/>
        </w:rPr>
        <w:t xml:space="preserve">                          </w:t>
      </w:r>
      <w:r>
        <w:rPr>
          <w:rFonts w:hint="eastAsia"/>
          <w:b/>
          <w:color w:val="auto"/>
          <w:sz w:val="25"/>
          <w:szCs w:val="21"/>
          <w:highlight w:val="none"/>
        </w:rPr>
        <w:t>工程施工合同</w:t>
      </w:r>
    </w:p>
    <w:p w14:paraId="734D4BC2">
      <w:pPr>
        <w:spacing w:line="400" w:lineRule="exact"/>
        <w:jc w:val="center"/>
        <w:rPr>
          <w:rFonts w:hint="eastAsia"/>
          <w:b/>
          <w:color w:val="auto"/>
          <w:szCs w:val="21"/>
          <w:highlight w:val="none"/>
        </w:rPr>
      </w:pPr>
    </w:p>
    <w:p w14:paraId="0C4BB7FA">
      <w:pPr>
        <w:spacing w:line="400" w:lineRule="exact"/>
        <w:jc w:val="center"/>
        <w:rPr>
          <w:rFonts w:hint="eastAsia"/>
          <w:b/>
          <w:color w:val="auto"/>
          <w:szCs w:val="21"/>
          <w:highlight w:val="none"/>
        </w:rPr>
      </w:pPr>
    </w:p>
    <w:p w14:paraId="1B1A3716">
      <w:pPr>
        <w:spacing w:line="400" w:lineRule="exact"/>
        <w:jc w:val="center"/>
        <w:rPr>
          <w:rFonts w:hint="eastAsia"/>
          <w:b/>
          <w:color w:val="auto"/>
          <w:szCs w:val="21"/>
          <w:highlight w:val="none"/>
        </w:rPr>
      </w:pPr>
    </w:p>
    <w:p w14:paraId="12FF0F00">
      <w:pPr>
        <w:spacing w:line="400" w:lineRule="exact"/>
        <w:jc w:val="center"/>
        <w:rPr>
          <w:rFonts w:hint="eastAsia"/>
          <w:b/>
          <w:color w:val="auto"/>
          <w:szCs w:val="21"/>
          <w:highlight w:val="none"/>
        </w:rPr>
      </w:pPr>
    </w:p>
    <w:p w14:paraId="3CB2C51F">
      <w:pPr>
        <w:spacing w:line="400" w:lineRule="exact"/>
        <w:jc w:val="center"/>
        <w:rPr>
          <w:rFonts w:hint="eastAsia"/>
          <w:b/>
          <w:color w:val="auto"/>
          <w:sz w:val="25"/>
          <w:szCs w:val="21"/>
          <w:highlight w:val="none"/>
        </w:rPr>
      </w:pPr>
      <w:r>
        <w:rPr>
          <w:rFonts w:hint="eastAsia"/>
          <w:b/>
          <w:color w:val="auto"/>
          <w:sz w:val="25"/>
          <w:szCs w:val="21"/>
          <w:highlight w:val="none"/>
        </w:rPr>
        <w:t>项目编号：</w:t>
      </w:r>
    </w:p>
    <w:p w14:paraId="5FDF7BA7">
      <w:pPr>
        <w:spacing w:line="400" w:lineRule="exact"/>
        <w:jc w:val="center"/>
        <w:rPr>
          <w:rFonts w:hint="eastAsia"/>
          <w:b/>
          <w:color w:val="auto"/>
          <w:szCs w:val="21"/>
          <w:highlight w:val="none"/>
        </w:rPr>
      </w:pPr>
    </w:p>
    <w:p w14:paraId="4CF5B5E1">
      <w:pPr>
        <w:spacing w:line="400" w:lineRule="exact"/>
        <w:jc w:val="center"/>
        <w:rPr>
          <w:rFonts w:hint="eastAsia"/>
          <w:b/>
          <w:color w:val="auto"/>
          <w:szCs w:val="21"/>
          <w:highlight w:val="none"/>
        </w:rPr>
      </w:pPr>
    </w:p>
    <w:p w14:paraId="196C9D71">
      <w:pPr>
        <w:spacing w:line="400" w:lineRule="exact"/>
        <w:jc w:val="center"/>
        <w:rPr>
          <w:rFonts w:hint="eastAsia"/>
          <w:b/>
          <w:color w:val="auto"/>
          <w:szCs w:val="21"/>
          <w:highlight w:val="none"/>
        </w:rPr>
      </w:pPr>
    </w:p>
    <w:p w14:paraId="1491586E">
      <w:pPr>
        <w:spacing w:line="400" w:lineRule="exact"/>
        <w:jc w:val="center"/>
        <w:rPr>
          <w:rFonts w:hint="eastAsia"/>
          <w:b/>
          <w:color w:val="auto"/>
          <w:szCs w:val="21"/>
          <w:highlight w:val="none"/>
        </w:rPr>
      </w:pPr>
    </w:p>
    <w:p w14:paraId="7DF2CD47">
      <w:pPr>
        <w:spacing w:line="400" w:lineRule="exact"/>
        <w:jc w:val="center"/>
        <w:rPr>
          <w:rFonts w:hint="eastAsia"/>
          <w:b/>
          <w:color w:val="auto"/>
          <w:szCs w:val="21"/>
          <w:highlight w:val="none"/>
        </w:rPr>
      </w:pPr>
    </w:p>
    <w:p w14:paraId="4F1E1736">
      <w:pPr>
        <w:spacing w:line="400" w:lineRule="exact"/>
        <w:jc w:val="center"/>
        <w:rPr>
          <w:rFonts w:hint="eastAsia"/>
          <w:b/>
          <w:color w:val="auto"/>
          <w:szCs w:val="21"/>
          <w:highlight w:val="none"/>
        </w:rPr>
      </w:pPr>
    </w:p>
    <w:p w14:paraId="5A8794E4">
      <w:pPr>
        <w:spacing w:line="400" w:lineRule="exact"/>
        <w:jc w:val="center"/>
        <w:rPr>
          <w:rFonts w:hint="eastAsia"/>
          <w:b/>
          <w:color w:val="auto"/>
          <w:szCs w:val="21"/>
          <w:highlight w:val="none"/>
        </w:rPr>
      </w:pPr>
    </w:p>
    <w:p w14:paraId="5FC37ABD">
      <w:pPr>
        <w:spacing w:line="400" w:lineRule="exact"/>
        <w:jc w:val="center"/>
        <w:rPr>
          <w:rFonts w:hint="eastAsia"/>
          <w:b/>
          <w:color w:val="auto"/>
          <w:szCs w:val="21"/>
          <w:highlight w:val="none"/>
        </w:rPr>
      </w:pPr>
    </w:p>
    <w:p w14:paraId="02D7946E">
      <w:pPr>
        <w:spacing w:line="400" w:lineRule="exact"/>
        <w:jc w:val="center"/>
        <w:rPr>
          <w:rFonts w:hint="eastAsia"/>
          <w:b/>
          <w:color w:val="auto"/>
          <w:szCs w:val="21"/>
          <w:highlight w:val="none"/>
        </w:rPr>
      </w:pPr>
    </w:p>
    <w:p w14:paraId="6BFD9674">
      <w:pPr>
        <w:spacing w:line="400" w:lineRule="exact"/>
        <w:jc w:val="center"/>
        <w:rPr>
          <w:rFonts w:hint="eastAsia"/>
          <w:b/>
          <w:color w:val="auto"/>
          <w:szCs w:val="21"/>
          <w:highlight w:val="none"/>
        </w:rPr>
      </w:pPr>
    </w:p>
    <w:p w14:paraId="6354E913">
      <w:pPr>
        <w:spacing w:line="400" w:lineRule="exact"/>
        <w:jc w:val="center"/>
        <w:rPr>
          <w:rFonts w:hint="eastAsia"/>
          <w:b/>
          <w:color w:val="auto"/>
          <w:szCs w:val="21"/>
          <w:highlight w:val="none"/>
        </w:rPr>
      </w:pPr>
    </w:p>
    <w:p w14:paraId="21A28832">
      <w:pPr>
        <w:spacing w:line="400" w:lineRule="exact"/>
        <w:jc w:val="center"/>
        <w:rPr>
          <w:rFonts w:hint="eastAsia"/>
          <w:b/>
          <w:color w:val="auto"/>
          <w:szCs w:val="21"/>
          <w:highlight w:val="none"/>
        </w:rPr>
      </w:pPr>
    </w:p>
    <w:p w14:paraId="5E25A548">
      <w:pPr>
        <w:spacing w:line="400" w:lineRule="exact"/>
        <w:jc w:val="center"/>
        <w:rPr>
          <w:rFonts w:hint="eastAsia"/>
          <w:b/>
          <w:color w:val="auto"/>
          <w:szCs w:val="21"/>
          <w:highlight w:val="none"/>
        </w:rPr>
      </w:pPr>
    </w:p>
    <w:p w14:paraId="05291511">
      <w:pPr>
        <w:spacing w:line="400" w:lineRule="exact"/>
        <w:jc w:val="center"/>
        <w:rPr>
          <w:rFonts w:hint="eastAsia"/>
          <w:b/>
          <w:color w:val="auto"/>
          <w:szCs w:val="21"/>
          <w:highlight w:val="none"/>
        </w:rPr>
      </w:pPr>
    </w:p>
    <w:p w14:paraId="5E314ADA">
      <w:pPr>
        <w:spacing w:line="400" w:lineRule="exact"/>
        <w:ind w:firstLine="938" w:firstLineChars="445"/>
        <w:rPr>
          <w:rFonts w:hint="eastAsia"/>
          <w:b/>
          <w:color w:val="auto"/>
          <w:szCs w:val="21"/>
          <w:highlight w:val="none"/>
          <w:u w:val="single"/>
        </w:rPr>
      </w:pPr>
      <w:r>
        <w:rPr>
          <w:rFonts w:hint="eastAsia"/>
          <w:b/>
          <w:color w:val="auto"/>
          <w:szCs w:val="21"/>
          <w:highlight w:val="none"/>
        </w:rPr>
        <w:t>发包人：</w:t>
      </w:r>
      <w:r>
        <w:rPr>
          <w:rFonts w:hint="eastAsia"/>
          <w:b/>
          <w:color w:val="auto"/>
          <w:szCs w:val="21"/>
          <w:highlight w:val="none"/>
          <w:u w:val="single"/>
        </w:rPr>
        <w:t xml:space="preserve">                  </w:t>
      </w:r>
    </w:p>
    <w:p w14:paraId="599BC82E">
      <w:pPr>
        <w:spacing w:line="400" w:lineRule="exact"/>
        <w:ind w:firstLine="938" w:firstLineChars="445"/>
        <w:rPr>
          <w:rFonts w:hint="eastAsia"/>
          <w:b/>
          <w:color w:val="auto"/>
          <w:szCs w:val="21"/>
          <w:highlight w:val="none"/>
          <w:u w:val="single"/>
        </w:rPr>
      </w:pPr>
      <w:r>
        <w:rPr>
          <w:rFonts w:hint="eastAsia"/>
          <w:b/>
          <w:color w:val="auto"/>
          <w:szCs w:val="21"/>
          <w:highlight w:val="none"/>
        </w:rPr>
        <w:t>承包人：</w:t>
      </w:r>
      <w:r>
        <w:rPr>
          <w:rFonts w:hint="eastAsia"/>
          <w:b/>
          <w:color w:val="auto"/>
          <w:szCs w:val="21"/>
          <w:highlight w:val="none"/>
          <w:u w:val="single"/>
        </w:rPr>
        <w:t xml:space="preserve">                  </w:t>
      </w:r>
    </w:p>
    <w:p w14:paraId="2090F141">
      <w:pPr>
        <w:spacing w:line="400" w:lineRule="exact"/>
        <w:jc w:val="center"/>
        <w:rPr>
          <w:rFonts w:hint="eastAsia"/>
          <w:b/>
          <w:color w:val="auto"/>
          <w:szCs w:val="21"/>
          <w:highlight w:val="none"/>
        </w:rPr>
      </w:pPr>
    </w:p>
    <w:p w14:paraId="3454E275">
      <w:pPr>
        <w:spacing w:line="400" w:lineRule="exact"/>
        <w:rPr>
          <w:rFonts w:hint="eastAsia"/>
          <w:b/>
          <w:color w:val="auto"/>
          <w:szCs w:val="21"/>
          <w:highlight w:val="none"/>
        </w:rPr>
      </w:pPr>
    </w:p>
    <w:p w14:paraId="31D78CDF">
      <w:pPr>
        <w:rPr>
          <w:rFonts w:hint="eastAsia" w:hAnsi="Courier New"/>
          <w:color w:val="auto"/>
          <w:szCs w:val="21"/>
          <w:highlight w:val="none"/>
        </w:rPr>
      </w:pPr>
    </w:p>
    <w:p w14:paraId="551D53E0">
      <w:pPr>
        <w:jc w:val="center"/>
        <w:rPr>
          <w:rFonts w:hint="eastAsia" w:hAnsi="Courier New"/>
          <w:color w:val="auto"/>
          <w:szCs w:val="21"/>
          <w:highlight w:val="none"/>
        </w:rPr>
      </w:pPr>
      <w:r>
        <w:rPr>
          <w:rFonts w:hint="eastAsia" w:hAnsi="Courier New"/>
          <w:color w:val="auto"/>
          <w:szCs w:val="21"/>
          <w:highlight w:val="none"/>
        </w:rPr>
        <w:br w:type="page"/>
      </w:r>
    </w:p>
    <w:p w14:paraId="056EDF4D">
      <w:pPr>
        <w:jc w:val="center"/>
        <w:rPr>
          <w:rFonts w:hint="eastAsia" w:hAnsi="Courier New"/>
          <w:b/>
          <w:bCs/>
          <w:color w:val="auto"/>
          <w:sz w:val="28"/>
          <w:szCs w:val="28"/>
          <w:highlight w:val="none"/>
        </w:rPr>
      </w:pPr>
      <w:r>
        <w:rPr>
          <w:rFonts w:hint="eastAsia" w:hAnsi="Courier New"/>
          <w:b/>
          <w:bCs/>
          <w:color w:val="auto"/>
          <w:sz w:val="28"/>
          <w:szCs w:val="28"/>
          <w:highlight w:val="none"/>
        </w:rPr>
        <w:t>一、协议书</w:t>
      </w:r>
    </w:p>
    <w:p w14:paraId="30962309">
      <w:pPr>
        <w:rPr>
          <w:rFonts w:hint="eastAsia" w:hAnsi="Courier New"/>
          <w:b/>
          <w:bCs/>
          <w:color w:val="auto"/>
          <w:szCs w:val="21"/>
          <w:highlight w:val="none"/>
        </w:rPr>
      </w:pPr>
    </w:p>
    <w:p w14:paraId="4FD618CD">
      <w:pPr>
        <w:spacing w:line="360" w:lineRule="exact"/>
        <w:rPr>
          <w:rFonts w:hint="eastAsia" w:hAnsi="Courier New"/>
          <w:color w:val="auto"/>
          <w:szCs w:val="21"/>
          <w:highlight w:val="none"/>
        </w:rPr>
      </w:pPr>
      <w:r>
        <w:rPr>
          <w:rFonts w:hint="eastAsia" w:hAnsi="Courier New"/>
          <w:color w:val="auto"/>
          <w:szCs w:val="21"/>
          <w:highlight w:val="none"/>
        </w:rPr>
        <w:t>发包人（全称）：</w:t>
      </w:r>
      <w:r>
        <w:rPr>
          <w:rFonts w:hint="eastAsia" w:hAnsi="Courier New"/>
          <w:color w:val="auto"/>
          <w:szCs w:val="21"/>
          <w:highlight w:val="none"/>
          <w:u w:val="single"/>
        </w:rPr>
        <w:t xml:space="preserve">                        </w:t>
      </w:r>
    </w:p>
    <w:p w14:paraId="168C3531">
      <w:pPr>
        <w:spacing w:line="360" w:lineRule="exact"/>
        <w:rPr>
          <w:rFonts w:hint="eastAsia" w:hAnsi="Courier New"/>
          <w:color w:val="auto"/>
          <w:szCs w:val="21"/>
          <w:highlight w:val="none"/>
        </w:rPr>
      </w:pPr>
      <w:r>
        <w:rPr>
          <w:rFonts w:hint="eastAsia" w:hAnsi="Courier New"/>
          <w:color w:val="auto"/>
          <w:szCs w:val="21"/>
          <w:highlight w:val="none"/>
        </w:rPr>
        <w:t>承包人（全称）：</w:t>
      </w:r>
      <w:r>
        <w:rPr>
          <w:rFonts w:hint="eastAsia" w:hAnsi="Courier New"/>
          <w:color w:val="auto"/>
          <w:szCs w:val="21"/>
          <w:highlight w:val="none"/>
          <w:u w:val="single"/>
        </w:rPr>
        <w:t xml:space="preserve">                        </w:t>
      </w:r>
      <w:r>
        <w:rPr>
          <w:rFonts w:hint="eastAsia" w:hAnsi="Courier New"/>
          <w:color w:val="auto"/>
          <w:szCs w:val="21"/>
          <w:highlight w:val="none"/>
        </w:rPr>
        <w:t xml:space="preserve">  </w:t>
      </w:r>
    </w:p>
    <w:p w14:paraId="11B478E0">
      <w:pPr>
        <w:spacing w:line="360" w:lineRule="exact"/>
        <w:rPr>
          <w:rFonts w:hint="eastAsia" w:hAnsi="Courier New"/>
          <w:color w:val="auto"/>
          <w:szCs w:val="21"/>
          <w:highlight w:val="none"/>
        </w:rPr>
      </w:pPr>
      <w:r>
        <w:rPr>
          <w:rFonts w:hint="eastAsia" w:hAnsi="Courier New"/>
          <w:color w:val="auto"/>
          <w:szCs w:val="21"/>
          <w:highlight w:val="none"/>
        </w:rPr>
        <w:t xml:space="preserve">    </w:t>
      </w:r>
    </w:p>
    <w:p w14:paraId="6E43C746">
      <w:pPr>
        <w:spacing w:line="360" w:lineRule="exact"/>
        <w:rPr>
          <w:rFonts w:hint="eastAsia" w:hAnsi="Courier New"/>
          <w:color w:val="auto"/>
          <w:szCs w:val="21"/>
          <w:highlight w:val="none"/>
        </w:rPr>
      </w:pPr>
      <w:r>
        <w:rPr>
          <w:rFonts w:hint="eastAsia" w:hAnsi="Courier New"/>
          <w:color w:val="auto"/>
          <w:szCs w:val="21"/>
          <w:highlight w:val="none"/>
        </w:rPr>
        <w:t xml:space="preserve">    依照《中华人民共和国政府采购法》、《中华人民共和国</w:t>
      </w:r>
      <w:r>
        <w:rPr>
          <w:rFonts w:hint="eastAsia" w:hAnsi="Courier New"/>
          <w:color w:val="auto"/>
          <w:szCs w:val="21"/>
          <w:highlight w:val="none"/>
          <w:lang w:eastAsia="zh-CN"/>
        </w:rPr>
        <w:t>招投标法</w:t>
      </w:r>
      <w:r>
        <w:rPr>
          <w:rFonts w:hint="eastAsia" w:hAnsi="Courier New"/>
          <w:color w:val="auto"/>
          <w:szCs w:val="21"/>
          <w:highlight w:val="none"/>
        </w:rPr>
        <w:t>》、《中华人民共和国</w:t>
      </w:r>
      <w:r>
        <w:rPr>
          <w:rFonts w:hint="eastAsia" w:hAnsi="Courier New"/>
          <w:color w:val="auto"/>
          <w:szCs w:val="21"/>
          <w:highlight w:val="none"/>
          <w:lang w:eastAsia="zh-CN"/>
        </w:rPr>
        <w:t>民法典</w:t>
      </w:r>
      <w:r>
        <w:rPr>
          <w:rFonts w:hint="eastAsia" w:hAnsi="Courier New"/>
          <w:color w:val="auto"/>
          <w:szCs w:val="21"/>
          <w:highlight w:val="none"/>
        </w:rPr>
        <w:t>》和《中华人民共和国建筑法》及其他有关法律、行政法规，遵循平等、自愿、公平和诚实信用的原则，双方就本建设工程施工事项协商一致，订立本合同。</w:t>
      </w:r>
    </w:p>
    <w:p w14:paraId="241F7147">
      <w:pPr>
        <w:spacing w:line="360" w:lineRule="exact"/>
        <w:rPr>
          <w:rFonts w:hint="eastAsia" w:hAnsi="Courier New"/>
          <w:color w:val="auto"/>
          <w:szCs w:val="21"/>
          <w:highlight w:val="none"/>
        </w:rPr>
      </w:pPr>
      <w:r>
        <w:rPr>
          <w:rFonts w:hint="eastAsia" w:hAnsi="Courier New"/>
          <w:color w:val="auto"/>
          <w:szCs w:val="21"/>
          <w:highlight w:val="none"/>
        </w:rPr>
        <w:t>一、工程概况</w:t>
      </w:r>
    </w:p>
    <w:p w14:paraId="25F667C1">
      <w:pPr>
        <w:spacing w:line="360" w:lineRule="exact"/>
        <w:rPr>
          <w:rFonts w:hint="eastAsia" w:hAnsi="Courier New"/>
          <w:color w:val="auto"/>
          <w:szCs w:val="21"/>
          <w:highlight w:val="none"/>
        </w:rPr>
      </w:pPr>
      <w:r>
        <w:rPr>
          <w:rFonts w:hint="eastAsia" w:hAnsi="Courier New"/>
          <w:color w:val="auto"/>
          <w:szCs w:val="21"/>
          <w:highlight w:val="none"/>
        </w:rPr>
        <w:t xml:space="preserve">    工程名称：</w:t>
      </w:r>
    </w:p>
    <w:p w14:paraId="60DEA10F">
      <w:pPr>
        <w:spacing w:line="360" w:lineRule="exact"/>
        <w:rPr>
          <w:rFonts w:hint="eastAsia" w:hAnsi="Courier New"/>
          <w:color w:val="auto"/>
          <w:szCs w:val="21"/>
          <w:highlight w:val="none"/>
        </w:rPr>
      </w:pPr>
      <w:r>
        <w:rPr>
          <w:rFonts w:hint="eastAsia" w:hAnsi="Courier New"/>
          <w:color w:val="auto"/>
          <w:szCs w:val="21"/>
          <w:highlight w:val="none"/>
        </w:rPr>
        <w:t xml:space="preserve">    工程地点：</w:t>
      </w:r>
    </w:p>
    <w:p w14:paraId="3E982605">
      <w:pPr>
        <w:spacing w:line="360" w:lineRule="exact"/>
        <w:rPr>
          <w:rFonts w:hint="eastAsia" w:hAnsi="Courier New"/>
          <w:color w:val="auto"/>
          <w:szCs w:val="21"/>
          <w:highlight w:val="none"/>
          <w:shd w:val="clear" w:color="auto" w:fill="FFC000"/>
        </w:rPr>
      </w:pPr>
      <w:r>
        <w:rPr>
          <w:rFonts w:hint="eastAsia" w:hAnsi="Courier New"/>
          <w:color w:val="auto"/>
          <w:szCs w:val="21"/>
          <w:highlight w:val="none"/>
        </w:rPr>
        <w:t xml:space="preserve">    工程内容：</w:t>
      </w:r>
    </w:p>
    <w:p w14:paraId="7DA6FBD5">
      <w:pPr>
        <w:spacing w:line="360" w:lineRule="exact"/>
        <w:ind w:firstLine="420"/>
        <w:rPr>
          <w:rFonts w:hint="eastAsia" w:hAnsi="Courier New"/>
          <w:color w:val="auto"/>
          <w:szCs w:val="21"/>
          <w:highlight w:val="none"/>
        </w:rPr>
      </w:pPr>
      <w:r>
        <w:rPr>
          <w:rFonts w:hint="eastAsia" w:hAnsi="Courier New"/>
          <w:color w:val="auto"/>
          <w:szCs w:val="21"/>
          <w:highlight w:val="none"/>
        </w:rPr>
        <w:t>建筑规模：</w:t>
      </w:r>
    </w:p>
    <w:p w14:paraId="6A79AD39">
      <w:pPr>
        <w:spacing w:line="360" w:lineRule="exact"/>
        <w:ind w:firstLine="420"/>
        <w:rPr>
          <w:rFonts w:hint="eastAsia" w:hAnsi="Courier New"/>
          <w:color w:val="auto"/>
          <w:szCs w:val="21"/>
          <w:highlight w:val="none"/>
        </w:rPr>
      </w:pPr>
      <w:r>
        <w:rPr>
          <w:rFonts w:hint="eastAsia" w:hAnsi="Courier New"/>
          <w:color w:val="auto"/>
          <w:szCs w:val="21"/>
          <w:highlight w:val="none"/>
        </w:rPr>
        <w:t>工程立项批准文号：</w:t>
      </w:r>
    </w:p>
    <w:p w14:paraId="6B5A3D4F">
      <w:pPr>
        <w:spacing w:line="360" w:lineRule="exact"/>
        <w:rPr>
          <w:rFonts w:hint="eastAsia" w:hAnsi="Courier New"/>
          <w:color w:val="auto"/>
          <w:szCs w:val="21"/>
          <w:highlight w:val="none"/>
        </w:rPr>
      </w:pPr>
      <w:r>
        <w:rPr>
          <w:rFonts w:hint="eastAsia" w:hAnsi="Courier New"/>
          <w:color w:val="auto"/>
          <w:szCs w:val="21"/>
          <w:highlight w:val="none"/>
        </w:rPr>
        <w:t xml:space="preserve">    资金来源：</w:t>
      </w:r>
    </w:p>
    <w:p w14:paraId="1CA7CE15">
      <w:pPr>
        <w:spacing w:line="360" w:lineRule="exact"/>
        <w:rPr>
          <w:rFonts w:hint="eastAsia" w:hAnsi="Courier New"/>
          <w:color w:val="auto"/>
          <w:szCs w:val="21"/>
          <w:highlight w:val="none"/>
        </w:rPr>
      </w:pPr>
      <w:r>
        <w:rPr>
          <w:rFonts w:hint="eastAsia" w:hAnsi="Courier New"/>
          <w:color w:val="auto"/>
          <w:szCs w:val="21"/>
          <w:highlight w:val="none"/>
        </w:rPr>
        <w:t>二、工程承包范围</w:t>
      </w:r>
    </w:p>
    <w:p w14:paraId="193D1CCE">
      <w:pPr>
        <w:spacing w:line="360" w:lineRule="exact"/>
        <w:rPr>
          <w:rFonts w:hint="eastAsia" w:hAnsi="Courier New"/>
          <w:color w:val="auto"/>
          <w:szCs w:val="21"/>
          <w:highlight w:val="none"/>
        </w:rPr>
      </w:pPr>
      <w:r>
        <w:rPr>
          <w:rFonts w:hint="eastAsia" w:hAnsi="Courier New"/>
          <w:color w:val="auto"/>
          <w:szCs w:val="21"/>
          <w:highlight w:val="none"/>
        </w:rPr>
        <w:t xml:space="preserve">    承包范围：</w:t>
      </w:r>
    </w:p>
    <w:p w14:paraId="7C3762BB">
      <w:pPr>
        <w:spacing w:line="360" w:lineRule="exact"/>
        <w:rPr>
          <w:rFonts w:hint="eastAsia" w:hAnsi="Courier New"/>
          <w:color w:val="auto"/>
          <w:szCs w:val="21"/>
          <w:highlight w:val="none"/>
        </w:rPr>
      </w:pPr>
      <w:r>
        <w:rPr>
          <w:rFonts w:hint="eastAsia" w:hAnsi="Courier New"/>
          <w:color w:val="auto"/>
          <w:szCs w:val="21"/>
          <w:highlight w:val="none"/>
        </w:rPr>
        <w:t>三、合同工期</w:t>
      </w:r>
    </w:p>
    <w:p w14:paraId="565E8641">
      <w:pPr>
        <w:spacing w:line="360" w:lineRule="exact"/>
        <w:rPr>
          <w:rFonts w:hint="eastAsia" w:hAnsi="Courier New"/>
          <w:color w:val="auto"/>
          <w:szCs w:val="21"/>
          <w:highlight w:val="none"/>
        </w:rPr>
      </w:pPr>
      <w:r>
        <w:rPr>
          <w:rFonts w:hint="eastAsia" w:hAnsi="Courier New"/>
          <w:color w:val="auto"/>
          <w:szCs w:val="21"/>
          <w:highlight w:val="none"/>
        </w:rPr>
        <w:t xml:space="preserve">    开工日期：</w:t>
      </w:r>
      <w:r>
        <w:rPr>
          <w:rFonts w:hint="eastAsia" w:hAnsi="Courier New"/>
          <w:color w:val="auto"/>
          <w:szCs w:val="21"/>
          <w:highlight w:val="none"/>
          <w:u w:val="single"/>
        </w:rPr>
        <w:t xml:space="preserve">以总监理工程师开具并有发包人签认的开工令为准 </w:t>
      </w:r>
      <w:r>
        <w:rPr>
          <w:rFonts w:hint="eastAsia" w:hAnsi="Courier New"/>
          <w:color w:val="auto"/>
          <w:szCs w:val="21"/>
          <w:highlight w:val="none"/>
        </w:rPr>
        <w:t>。</w:t>
      </w:r>
    </w:p>
    <w:p w14:paraId="4562BA1B">
      <w:pPr>
        <w:spacing w:line="360" w:lineRule="exact"/>
        <w:ind w:firstLine="420" w:firstLineChars="200"/>
        <w:rPr>
          <w:rFonts w:hint="eastAsia" w:hAnsi="Courier New"/>
          <w:color w:val="auto"/>
          <w:szCs w:val="21"/>
          <w:highlight w:val="none"/>
        </w:rPr>
      </w:pPr>
      <w:r>
        <w:rPr>
          <w:rFonts w:hint="eastAsia" w:hAnsi="Courier New"/>
          <w:color w:val="auto"/>
          <w:szCs w:val="21"/>
          <w:highlight w:val="none"/>
        </w:rPr>
        <w:t>竣工日期：</w:t>
      </w:r>
      <w:r>
        <w:rPr>
          <w:rFonts w:hint="eastAsia" w:hAnsi="Courier New"/>
          <w:color w:val="auto"/>
          <w:szCs w:val="21"/>
          <w:highlight w:val="none"/>
          <w:u w:val="single"/>
        </w:rPr>
        <w:t xml:space="preserve">     </w:t>
      </w:r>
      <w:r>
        <w:rPr>
          <w:rFonts w:hint="eastAsia" w:hAnsi="Courier New"/>
          <w:color w:val="auto"/>
          <w:szCs w:val="21"/>
          <w:highlight w:val="none"/>
          <w:u w:val="single"/>
          <w:lang w:val="en-US" w:eastAsia="zh-CN"/>
        </w:rPr>
        <w:t xml:space="preserve">  </w:t>
      </w:r>
      <w:r>
        <w:rPr>
          <w:rFonts w:hint="eastAsia" w:hAnsi="Courier New"/>
          <w:color w:val="auto"/>
          <w:szCs w:val="21"/>
          <w:highlight w:val="none"/>
          <w:u w:val="single"/>
        </w:rPr>
        <w:t xml:space="preserve"> </w:t>
      </w:r>
      <w:r>
        <w:rPr>
          <w:rFonts w:hint="eastAsia" w:hAnsi="Courier New"/>
          <w:color w:val="auto"/>
          <w:szCs w:val="21"/>
          <w:highlight w:val="none"/>
        </w:rPr>
        <w:t>年</w:t>
      </w:r>
      <w:r>
        <w:rPr>
          <w:rFonts w:hint="eastAsia" w:hAnsi="Courier New"/>
          <w:color w:val="auto"/>
          <w:szCs w:val="21"/>
          <w:highlight w:val="none"/>
          <w:u w:val="single"/>
        </w:rPr>
        <w:t xml:space="preserve">     </w:t>
      </w:r>
      <w:r>
        <w:rPr>
          <w:rFonts w:hint="eastAsia" w:hAnsi="Courier New"/>
          <w:color w:val="auto"/>
          <w:szCs w:val="21"/>
          <w:highlight w:val="none"/>
        </w:rPr>
        <w:t>月</w:t>
      </w:r>
      <w:r>
        <w:rPr>
          <w:rFonts w:hint="eastAsia" w:hAnsi="Courier New"/>
          <w:color w:val="auto"/>
          <w:szCs w:val="21"/>
          <w:highlight w:val="none"/>
          <w:u w:val="single"/>
        </w:rPr>
        <w:t xml:space="preserve">    </w:t>
      </w:r>
      <w:r>
        <w:rPr>
          <w:rFonts w:hint="eastAsia" w:hAnsi="Courier New"/>
          <w:color w:val="auto"/>
          <w:szCs w:val="21"/>
          <w:highlight w:val="none"/>
        </w:rPr>
        <w:t>日。</w:t>
      </w:r>
    </w:p>
    <w:p w14:paraId="2E98E75C">
      <w:pPr>
        <w:spacing w:line="360" w:lineRule="exact"/>
        <w:ind w:firstLine="420" w:firstLineChars="200"/>
        <w:rPr>
          <w:rFonts w:hint="eastAsia" w:hAnsi="Courier New"/>
          <w:color w:val="auto"/>
          <w:szCs w:val="21"/>
          <w:highlight w:val="none"/>
        </w:rPr>
      </w:pPr>
      <w:r>
        <w:rPr>
          <w:rFonts w:hint="eastAsia" w:hAnsi="Courier New"/>
          <w:color w:val="auto"/>
          <w:szCs w:val="21"/>
          <w:highlight w:val="none"/>
        </w:rPr>
        <w:t>合同工期总日历天数：</w:t>
      </w:r>
      <w:r>
        <w:rPr>
          <w:rFonts w:hint="eastAsia" w:hAnsi="Courier New"/>
          <w:color w:val="auto"/>
          <w:szCs w:val="21"/>
          <w:highlight w:val="none"/>
          <w:u w:val="single"/>
        </w:rPr>
        <w:t xml:space="preserve">      </w:t>
      </w:r>
      <w:r>
        <w:rPr>
          <w:rFonts w:hint="eastAsia" w:hAnsi="Courier New"/>
          <w:color w:val="auto"/>
          <w:szCs w:val="21"/>
          <w:highlight w:val="none"/>
        </w:rPr>
        <w:t>天。</w:t>
      </w:r>
    </w:p>
    <w:p w14:paraId="3194BDFD">
      <w:pPr>
        <w:spacing w:line="360" w:lineRule="exact"/>
        <w:rPr>
          <w:rFonts w:hint="eastAsia" w:hAnsi="Courier New"/>
          <w:color w:val="auto"/>
          <w:szCs w:val="21"/>
          <w:highlight w:val="none"/>
        </w:rPr>
      </w:pPr>
      <w:r>
        <w:rPr>
          <w:rFonts w:hint="eastAsia" w:hAnsi="Courier New"/>
          <w:color w:val="auto"/>
          <w:szCs w:val="21"/>
          <w:highlight w:val="none"/>
        </w:rPr>
        <w:t>四、质量标准</w:t>
      </w:r>
    </w:p>
    <w:p w14:paraId="0EA0B239">
      <w:pPr>
        <w:spacing w:line="360" w:lineRule="exact"/>
        <w:ind w:firstLine="315" w:firstLineChars="150"/>
        <w:rPr>
          <w:rFonts w:hint="eastAsia" w:hAnsi="Courier New"/>
          <w:color w:val="auto"/>
          <w:szCs w:val="21"/>
          <w:highlight w:val="none"/>
        </w:rPr>
      </w:pPr>
      <w:r>
        <w:rPr>
          <w:rFonts w:hint="eastAsia" w:hAnsi="Courier New"/>
          <w:color w:val="auto"/>
          <w:szCs w:val="21"/>
          <w:highlight w:val="none"/>
        </w:rPr>
        <w:t xml:space="preserve"> 工程质量标准：</w:t>
      </w:r>
      <w:r>
        <w:rPr>
          <w:rFonts w:hint="eastAsia" w:hAnsi="Courier New"/>
          <w:color w:val="auto"/>
          <w:szCs w:val="21"/>
          <w:highlight w:val="none"/>
          <w:u w:val="single"/>
        </w:rPr>
        <w:t xml:space="preserve">     </w:t>
      </w:r>
      <w:r>
        <w:rPr>
          <w:rFonts w:hint="eastAsia" w:hAnsi="Courier New"/>
          <w:color w:val="auto"/>
          <w:szCs w:val="21"/>
          <w:highlight w:val="none"/>
          <w:u w:val="single"/>
          <w:lang w:val="en-US" w:eastAsia="zh-CN"/>
        </w:rPr>
        <w:t xml:space="preserve">               </w:t>
      </w:r>
      <w:r>
        <w:rPr>
          <w:rFonts w:hint="eastAsia" w:hAnsi="Courier New"/>
          <w:color w:val="auto"/>
          <w:szCs w:val="21"/>
          <w:highlight w:val="none"/>
          <w:u w:val="single"/>
        </w:rPr>
        <w:t xml:space="preserve"> </w:t>
      </w:r>
      <w:r>
        <w:rPr>
          <w:rFonts w:hint="eastAsia" w:hAnsi="Courier New"/>
          <w:color w:val="auto"/>
          <w:szCs w:val="21"/>
          <w:highlight w:val="none"/>
        </w:rPr>
        <w:t>。</w:t>
      </w:r>
    </w:p>
    <w:p w14:paraId="6C6ED177">
      <w:pPr>
        <w:spacing w:line="360" w:lineRule="exact"/>
        <w:rPr>
          <w:rFonts w:hint="eastAsia" w:hAnsi="Courier New"/>
          <w:color w:val="auto"/>
          <w:szCs w:val="21"/>
          <w:highlight w:val="none"/>
        </w:rPr>
      </w:pPr>
      <w:r>
        <w:rPr>
          <w:rFonts w:hint="eastAsia" w:hAnsi="Courier New"/>
          <w:color w:val="auto"/>
          <w:szCs w:val="21"/>
          <w:highlight w:val="none"/>
        </w:rPr>
        <w:t>五、合同价款</w:t>
      </w:r>
    </w:p>
    <w:p w14:paraId="64AAB7EE">
      <w:pPr>
        <w:spacing w:line="360" w:lineRule="exact"/>
        <w:ind w:firstLine="440"/>
        <w:rPr>
          <w:rFonts w:hint="eastAsia" w:hAnsi="Courier New"/>
          <w:color w:val="auto"/>
          <w:szCs w:val="21"/>
          <w:highlight w:val="none"/>
        </w:rPr>
      </w:pPr>
      <w:r>
        <w:rPr>
          <w:rFonts w:hint="eastAsia" w:hAnsi="Courier New"/>
          <w:color w:val="auto"/>
          <w:szCs w:val="21"/>
          <w:highlight w:val="none"/>
        </w:rPr>
        <w:t>金额(人民币大写)：</w:t>
      </w:r>
      <w:r>
        <w:rPr>
          <w:rFonts w:hint="eastAsia" w:hAnsi="Courier New"/>
          <w:color w:val="auto"/>
          <w:szCs w:val="21"/>
          <w:highlight w:val="none"/>
          <w:u w:val="single"/>
        </w:rPr>
        <w:t xml:space="preserve">                  </w:t>
      </w:r>
      <w:r>
        <w:rPr>
          <w:rFonts w:hint="eastAsia" w:hAnsi="Courier New"/>
          <w:color w:val="auto"/>
          <w:szCs w:val="21"/>
          <w:highlight w:val="none"/>
        </w:rPr>
        <w:t>元（人民币） ￥：</w:t>
      </w:r>
      <w:r>
        <w:rPr>
          <w:rFonts w:hint="eastAsia" w:hAnsi="Courier New"/>
          <w:color w:val="auto"/>
          <w:szCs w:val="21"/>
          <w:highlight w:val="none"/>
          <w:u w:val="single"/>
        </w:rPr>
        <w:t xml:space="preserve">              </w:t>
      </w:r>
      <w:r>
        <w:rPr>
          <w:rFonts w:hint="eastAsia" w:hAnsi="Courier New"/>
          <w:color w:val="auto"/>
          <w:szCs w:val="21"/>
          <w:highlight w:val="none"/>
        </w:rPr>
        <w:t>元。</w:t>
      </w:r>
    </w:p>
    <w:p w14:paraId="422A52DB">
      <w:pPr>
        <w:spacing w:line="360" w:lineRule="exact"/>
        <w:rPr>
          <w:rFonts w:hint="eastAsia" w:hAnsi="Courier New"/>
          <w:color w:val="auto"/>
          <w:szCs w:val="21"/>
          <w:highlight w:val="none"/>
        </w:rPr>
      </w:pPr>
      <w:r>
        <w:rPr>
          <w:rFonts w:hint="eastAsia" w:hAnsi="Courier New"/>
          <w:color w:val="auto"/>
          <w:szCs w:val="21"/>
          <w:highlight w:val="none"/>
        </w:rPr>
        <w:t>六、组成合同的文件</w:t>
      </w:r>
    </w:p>
    <w:p w14:paraId="568FE921">
      <w:pPr>
        <w:spacing w:line="360" w:lineRule="exact"/>
        <w:rPr>
          <w:rFonts w:hint="eastAsia" w:hAnsi="Courier New"/>
          <w:color w:val="auto"/>
          <w:szCs w:val="21"/>
          <w:highlight w:val="none"/>
        </w:rPr>
      </w:pPr>
      <w:r>
        <w:rPr>
          <w:rFonts w:hint="eastAsia" w:hAnsi="Courier New"/>
          <w:color w:val="auto"/>
          <w:szCs w:val="21"/>
          <w:highlight w:val="none"/>
        </w:rPr>
        <w:t xml:space="preserve">    组成本合同的文件包括：</w:t>
      </w:r>
    </w:p>
    <w:p w14:paraId="35A2D8DC">
      <w:pPr>
        <w:spacing w:line="360" w:lineRule="exact"/>
        <w:rPr>
          <w:rFonts w:hint="eastAsia" w:hAnsi="Courier New"/>
          <w:color w:val="auto"/>
          <w:szCs w:val="21"/>
          <w:highlight w:val="none"/>
        </w:rPr>
      </w:pPr>
      <w:r>
        <w:rPr>
          <w:rFonts w:hint="eastAsia" w:hAnsi="Courier New"/>
          <w:color w:val="auto"/>
          <w:szCs w:val="21"/>
          <w:highlight w:val="none"/>
        </w:rPr>
        <w:t xml:space="preserve">    1．本合同协议书；</w:t>
      </w:r>
    </w:p>
    <w:p w14:paraId="3EB36329">
      <w:pPr>
        <w:spacing w:line="360" w:lineRule="exact"/>
        <w:rPr>
          <w:rFonts w:hint="eastAsia" w:hAnsi="Courier New"/>
          <w:color w:val="auto"/>
          <w:szCs w:val="21"/>
          <w:highlight w:val="none"/>
        </w:rPr>
      </w:pPr>
      <w:r>
        <w:rPr>
          <w:rFonts w:hint="eastAsia" w:hAnsi="Courier New"/>
          <w:color w:val="auto"/>
          <w:szCs w:val="21"/>
          <w:highlight w:val="none"/>
        </w:rPr>
        <w:t xml:space="preserve">    2．成交通知书；</w:t>
      </w:r>
    </w:p>
    <w:p w14:paraId="04DD414A">
      <w:pPr>
        <w:spacing w:line="360" w:lineRule="exact"/>
        <w:rPr>
          <w:rFonts w:hint="eastAsia" w:hAnsi="Courier New"/>
          <w:color w:val="auto"/>
          <w:szCs w:val="21"/>
          <w:highlight w:val="none"/>
        </w:rPr>
      </w:pPr>
      <w:r>
        <w:rPr>
          <w:rFonts w:hint="eastAsia" w:hAnsi="Courier New"/>
          <w:color w:val="auto"/>
          <w:szCs w:val="21"/>
          <w:highlight w:val="none"/>
        </w:rPr>
        <w:t xml:space="preserve">    3．</w:t>
      </w:r>
      <w:r>
        <w:rPr>
          <w:rFonts w:hint="eastAsia" w:hAnsi="Courier New"/>
          <w:color w:val="auto"/>
          <w:szCs w:val="21"/>
          <w:highlight w:val="none"/>
          <w:lang w:eastAsia="zh-CN"/>
        </w:rPr>
        <w:t>响应</w:t>
      </w:r>
      <w:r>
        <w:rPr>
          <w:rFonts w:hint="eastAsia" w:hAnsi="Courier New"/>
          <w:color w:val="auto"/>
          <w:szCs w:val="21"/>
          <w:highlight w:val="none"/>
        </w:rPr>
        <w:t>文件及其附件；</w:t>
      </w:r>
    </w:p>
    <w:p w14:paraId="58AC7A0C">
      <w:pPr>
        <w:spacing w:line="360" w:lineRule="exact"/>
        <w:rPr>
          <w:rFonts w:hint="eastAsia" w:hAnsi="Courier New"/>
          <w:color w:val="auto"/>
          <w:szCs w:val="21"/>
          <w:highlight w:val="none"/>
        </w:rPr>
      </w:pPr>
      <w:r>
        <w:rPr>
          <w:rFonts w:hint="eastAsia" w:hAnsi="Courier New"/>
          <w:color w:val="auto"/>
          <w:szCs w:val="21"/>
          <w:highlight w:val="none"/>
        </w:rPr>
        <w:t xml:space="preserve">    4．本合同专用条款；</w:t>
      </w:r>
    </w:p>
    <w:p w14:paraId="6E999264">
      <w:pPr>
        <w:spacing w:line="360" w:lineRule="exact"/>
        <w:rPr>
          <w:rFonts w:hint="eastAsia" w:hAnsi="Courier New"/>
          <w:color w:val="auto"/>
          <w:szCs w:val="21"/>
          <w:highlight w:val="none"/>
        </w:rPr>
      </w:pPr>
      <w:r>
        <w:rPr>
          <w:rFonts w:hint="eastAsia" w:hAnsi="Courier New"/>
          <w:color w:val="auto"/>
          <w:szCs w:val="21"/>
          <w:highlight w:val="none"/>
        </w:rPr>
        <w:t xml:space="preserve">    5．本合同通用条款；</w:t>
      </w:r>
    </w:p>
    <w:p w14:paraId="1751B69A">
      <w:pPr>
        <w:spacing w:line="360" w:lineRule="exact"/>
        <w:rPr>
          <w:rFonts w:hint="eastAsia" w:hAnsi="Courier New"/>
          <w:color w:val="auto"/>
          <w:szCs w:val="21"/>
          <w:highlight w:val="none"/>
        </w:rPr>
      </w:pPr>
      <w:r>
        <w:rPr>
          <w:rFonts w:hint="eastAsia" w:hAnsi="Courier New"/>
          <w:color w:val="auto"/>
          <w:szCs w:val="21"/>
          <w:highlight w:val="none"/>
        </w:rPr>
        <w:t xml:space="preserve">    6．标准、规范及有关技术文件；</w:t>
      </w:r>
    </w:p>
    <w:p w14:paraId="0C623277">
      <w:pPr>
        <w:spacing w:line="360" w:lineRule="exact"/>
        <w:rPr>
          <w:rFonts w:hint="eastAsia" w:hAnsi="Courier New"/>
          <w:color w:val="auto"/>
          <w:szCs w:val="21"/>
          <w:highlight w:val="none"/>
        </w:rPr>
      </w:pPr>
      <w:r>
        <w:rPr>
          <w:rFonts w:hint="eastAsia" w:hAnsi="Courier New"/>
          <w:color w:val="auto"/>
          <w:szCs w:val="21"/>
          <w:highlight w:val="none"/>
        </w:rPr>
        <w:t xml:space="preserve">    7．图纸；</w:t>
      </w:r>
    </w:p>
    <w:p w14:paraId="1AA2F949">
      <w:pPr>
        <w:spacing w:line="360" w:lineRule="exact"/>
        <w:rPr>
          <w:rFonts w:hint="eastAsia" w:hAnsi="Courier New"/>
          <w:color w:val="auto"/>
          <w:szCs w:val="21"/>
          <w:highlight w:val="none"/>
        </w:rPr>
      </w:pPr>
      <w:r>
        <w:rPr>
          <w:rFonts w:hint="eastAsia" w:hAnsi="Courier New"/>
          <w:color w:val="auto"/>
          <w:szCs w:val="21"/>
          <w:highlight w:val="none"/>
        </w:rPr>
        <w:t xml:space="preserve">    8．工程量清单；</w:t>
      </w:r>
    </w:p>
    <w:p w14:paraId="6AD55C90">
      <w:pPr>
        <w:spacing w:line="360" w:lineRule="exact"/>
        <w:rPr>
          <w:rFonts w:hint="eastAsia" w:hAnsi="Courier New"/>
          <w:color w:val="auto"/>
          <w:szCs w:val="21"/>
          <w:highlight w:val="none"/>
        </w:rPr>
      </w:pPr>
      <w:r>
        <w:rPr>
          <w:rFonts w:hint="eastAsia" w:hAnsi="Courier New"/>
          <w:color w:val="auto"/>
          <w:szCs w:val="21"/>
          <w:highlight w:val="none"/>
        </w:rPr>
        <w:t xml:space="preserve">    9．采购文件(含补充通知和答疑)；</w:t>
      </w:r>
    </w:p>
    <w:p w14:paraId="6EE7A697">
      <w:pPr>
        <w:spacing w:line="360" w:lineRule="exact"/>
        <w:rPr>
          <w:rFonts w:hint="eastAsia" w:hAnsi="Courier New"/>
          <w:color w:val="auto"/>
          <w:szCs w:val="21"/>
          <w:highlight w:val="none"/>
        </w:rPr>
      </w:pPr>
      <w:r>
        <w:rPr>
          <w:rFonts w:hint="eastAsia" w:hAnsi="Courier New"/>
          <w:color w:val="auto"/>
          <w:szCs w:val="21"/>
          <w:highlight w:val="none"/>
        </w:rPr>
        <w:t xml:space="preserve">    10．廉政责任书；</w:t>
      </w:r>
    </w:p>
    <w:p w14:paraId="2C96AF73">
      <w:pPr>
        <w:spacing w:line="360" w:lineRule="exact"/>
        <w:rPr>
          <w:rFonts w:hint="eastAsia" w:hAnsi="Courier New"/>
          <w:color w:val="auto"/>
          <w:szCs w:val="21"/>
          <w:highlight w:val="none"/>
        </w:rPr>
      </w:pPr>
      <w:r>
        <w:rPr>
          <w:rFonts w:hint="eastAsia" w:hAnsi="Courier New"/>
          <w:color w:val="auto"/>
          <w:szCs w:val="21"/>
          <w:highlight w:val="none"/>
        </w:rPr>
        <w:t xml:space="preserve">    11．履约保证金缴纳证明；</w:t>
      </w:r>
    </w:p>
    <w:p w14:paraId="2912DA56">
      <w:pPr>
        <w:spacing w:line="360" w:lineRule="exact"/>
        <w:rPr>
          <w:rFonts w:hint="eastAsia" w:hAnsi="Courier New"/>
          <w:color w:val="auto"/>
          <w:szCs w:val="21"/>
          <w:highlight w:val="none"/>
        </w:rPr>
      </w:pPr>
      <w:r>
        <w:rPr>
          <w:rFonts w:hint="eastAsia" w:hAnsi="Courier New"/>
          <w:color w:val="auto"/>
          <w:szCs w:val="21"/>
          <w:highlight w:val="none"/>
        </w:rPr>
        <w:t xml:space="preserve">   </w:t>
      </w:r>
    </w:p>
    <w:p w14:paraId="289B9776">
      <w:pPr>
        <w:spacing w:line="360" w:lineRule="exact"/>
        <w:ind w:firstLine="480"/>
        <w:rPr>
          <w:rFonts w:hint="eastAsia" w:hAnsi="Courier New"/>
          <w:color w:val="auto"/>
          <w:szCs w:val="21"/>
          <w:highlight w:val="none"/>
        </w:rPr>
      </w:pPr>
      <w:r>
        <w:rPr>
          <w:rFonts w:hint="eastAsia" w:hAnsi="Courier New"/>
          <w:color w:val="auto"/>
          <w:szCs w:val="21"/>
          <w:highlight w:val="none"/>
        </w:rPr>
        <w:t>双方有关工程的洽商、变更等书面协议或文件，视为本合同的组成部分。</w:t>
      </w:r>
    </w:p>
    <w:p w14:paraId="2021687B">
      <w:pPr>
        <w:spacing w:line="360" w:lineRule="exact"/>
        <w:rPr>
          <w:rFonts w:hint="eastAsia" w:hAnsi="Courier New"/>
          <w:color w:val="auto"/>
          <w:szCs w:val="21"/>
          <w:highlight w:val="none"/>
        </w:rPr>
      </w:pPr>
      <w:r>
        <w:rPr>
          <w:rFonts w:hint="eastAsia" w:hAnsi="Courier New"/>
          <w:color w:val="auto"/>
          <w:szCs w:val="21"/>
          <w:highlight w:val="none"/>
        </w:rPr>
        <w:t xml:space="preserve">七、本协议书中有关词语含义与采购文件第四章(通用条款)中分别赋予它们的定义相同。                                 </w:t>
      </w:r>
    </w:p>
    <w:p w14:paraId="3C754FD2">
      <w:pPr>
        <w:spacing w:line="360" w:lineRule="exact"/>
        <w:rPr>
          <w:rFonts w:hint="eastAsia" w:hAnsi="Courier New"/>
          <w:color w:val="auto"/>
          <w:szCs w:val="21"/>
          <w:highlight w:val="none"/>
        </w:rPr>
      </w:pPr>
      <w:r>
        <w:rPr>
          <w:rFonts w:hint="eastAsia" w:hAnsi="Courier New"/>
          <w:color w:val="auto"/>
          <w:szCs w:val="21"/>
          <w:highlight w:val="none"/>
        </w:rPr>
        <w:t>八、承包人向发包人承诺按照合同约定进行施工、竣工并在质量保修期内承担工程质量保修责任。</w:t>
      </w:r>
    </w:p>
    <w:p w14:paraId="4D6DC93E">
      <w:pPr>
        <w:spacing w:line="360" w:lineRule="exact"/>
        <w:rPr>
          <w:rFonts w:hint="eastAsia" w:hAnsi="Courier New"/>
          <w:color w:val="auto"/>
          <w:szCs w:val="21"/>
          <w:highlight w:val="none"/>
        </w:rPr>
      </w:pPr>
      <w:r>
        <w:rPr>
          <w:rFonts w:hint="eastAsia" w:hAnsi="Courier New"/>
          <w:color w:val="auto"/>
          <w:szCs w:val="21"/>
          <w:highlight w:val="none"/>
        </w:rPr>
        <w:t>九、发包人向承包人承诺按照合同约定的期限和方式支付合同价款及其他应当支付的款项。</w:t>
      </w:r>
    </w:p>
    <w:p w14:paraId="65309D3B">
      <w:pPr>
        <w:spacing w:line="360" w:lineRule="exact"/>
        <w:rPr>
          <w:rFonts w:hint="eastAsia" w:hAnsi="Courier New"/>
          <w:color w:val="auto"/>
          <w:szCs w:val="21"/>
          <w:highlight w:val="none"/>
        </w:rPr>
      </w:pPr>
      <w:r>
        <w:rPr>
          <w:rFonts w:hint="eastAsia" w:hAnsi="Courier New"/>
          <w:color w:val="auto"/>
          <w:szCs w:val="21"/>
          <w:highlight w:val="none"/>
        </w:rPr>
        <w:t>十、合同生效</w:t>
      </w:r>
    </w:p>
    <w:p w14:paraId="1AA6424C">
      <w:pPr>
        <w:spacing w:line="360" w:lineRule="exact"/>
        <w:rPr>
          <w:rFonts w:hint="eastAsia" w:hAnsi="Courier New"/>
          <w:color w:val="auto"/>
          <w:szCs w:val="21"/>
          <w:highlight w:val="none"/>
        </w:rPr>
      </w:pPr>
      <w:r>
        <w:rPr>
          <w:rFonts w:hint="eastAsia" w:hAnsi="Courier New"/>
          <w:color w:val="auto"/>
          <w:szCs w:val="21"/>
          <w:highlight w:val="none"/>
        </w:rPr>
        <w:t xml:space="preserve">    合同订立时间：</w:t>
      </w:r>
      <w:r>
        <w:rPr>
          <w:rFonts w:hint="eastAsia" w:hAnsi="Courier New"/>
          <w:color w:val="auto"/>
          <w:szCs w:val="21"/>
          <w:highlight w:val="none"/>
          <w:u w:val="single"/>
        </w:rPr>
        <w:t xml:space="preserve">      </w:t>
      </w:r>
      <w:r>
        <w:rPr>
          <w:rFonts w:hint="eastAsia" w:hAnsi="Courier New"/>
          <w:color w:val="auto"/>
          <w:szCs w:val="21"/>
          <w:highlight w:val="none"/>
        </w:rPr>
        <w:t>年</w:t>
      </w:r>
      <w:r>
        <w:rPr>
          <w:rFonts w:hint="eastAsia" w:hAnsi="Courier New"/>
          <w:color w:val="auto"/>
          <w:szCs w:val="21"/>
          <w:highlight w:val="none"/>
          <w:u w:val="single"/>
        </w:rPr>
        <w:t xml:space="preserve">      </w:t>
      </w:r>
      <w:r>
        <w:rPr>
          <w:rFonts w:hint="eastAsia" w:hAnsi="Courier New"/>
          <w:color w:val="auto"/>
          <w:szCs w:val="21"/>
          <w:highlight w:val="none"/>
        </w:rPr>
        <w:t>月</w:t>
      </w:r>
      <w:r>
        <w:rPr>
          <w:rFonts w:hint="eastAsia" w:hAnsi="Courier New"/>
          <w:color w:val="auto"/>
          <w:szCs w:val="21"/>
          <w:highlight w:val="none"/>
          <w:u w:val="single"/>
        </w:rPr>
        <w:t xml:space="preserve">      </w:t>
      </w:r>
      <w:r>
        <w:rPr>
          <w:rFonts w:hint="eastAsia" w:hAnsi="Courier New"/>
          <w:color w:val="auto"/>
          <w:szCs w:val="21"/>
          <w:highlight w:val="none"/>
        </w:rPr>
        <w:t>日。</w:t>
      </w:r>
    </w:p>
    <w:p w14:paraId="275C144D">
      <w:pPr>
        <w:spacing w:line="360" w:lineRule="exact"/>
        <w:rPr>
          <w:rFonts w:hint="eastAsia" w:hAnsi="Courier New"/>
          <w:color w:val="auto"/>
          <w:szCs w:val="21"/>
          <w:highlight w:val="none"/>
          <w:u w:val="single"/>
        </w:rPr>
      </w:pPr>
      <w:r>
        <w:rPr>
          <w:rFonts w:hint="eastAsia" w:hAnsi="Courier New"/>
          <w:color w:val="auto"/>
          <w:szCs w:val="21"/>
          <w:highlight w:val="none"/>
        </w:rPr>
        <w:t xml:space="preserve">    合同订立地点：</w:t>
      </w:r>
      <w:r>
        <w:rPr>
          <w:rFonts w:hint="eastAsia" w:hAnsi="Courier New"/>
          <w:color w:val="auto"/>
          <w:szCs w:val="21"/>
          <w:highlight w:val="none"/>
          <w:u w:val="single"/>
        </w:rPr>
        <w:t>广西钦州市</w:t>
      </w:r>
      <w:r>
        <w:rPr>
          <w:rFonts w:hint="eastAsia" w:hAnsi="Courier New"/>
          <w:color w:val="auto"/>
          <w:szCs w:val="21"/>
          <w:highlight w:val="none"/>
        </w:rPr>
        <w:t>。</w:t>
      </w:r>
    </w:p>
    <w:p w14:paraId="0540ABA0">
      <w:pPr>
        <w:spacing w:line="360" w:lineRule="exact"/>
        <w:rPr>
          <w:rFonts w:hint="eastAsia" w:hAnsi="Courier New"/>
          <w:color w:val="auto"/>
          <w:szCs w:val="21"/>
          <w:highlight w:val="none"/>
        </w:rPr>
      </w:pPr>
      <w:r>
        <w:rPr>
          <w:rFonts w:hint="eastAsia" w:hAnsi="Courier New"/>
          <w:color w:val="auto"/>
          <w:szCs w:val="21"/>
          <w:highlight w:val="none"/>
        </w:rPr>
        <w:t xml:space="preserve">    本合同双方约定</w:t>
      </w:r>
      <w:r>
        <w:rPr>
          <w:rFonts w:hint="eastAsia" w:hAnsi="Courier New"/>
          <w:color w:val="auto"/>
          <w:szCs w:val="21"/>
          <w:highlight w:val="none"/>
          <w:u w:val="single"/>
        </w:rPr>
        <w:t>双方法定代表人或其授权代理人签字或盖章并加盖单位公章后生效</w:t>
      </w:r>
      <w:r>
        <w:rPr>
          <w:rFonts w:hint="eastAsia" w:hAnsi="Courier New"/>
          <w:color w:val="auto"/>
          <w:szCs w:val="21"/>
          <w:highlight w:val="none"/>
        </w:rPr>
        <w:t>。</w:t>
      </w:r>
    </w:p>
    <w:p w14:paraId="539A28DA">
      <w:pPr>
        <w:tabs>
          <w:tab w:val="left" w:pos="5220"/>
        </w:tabs>
        <w:spacing w:line="360" w:lineRule="exact"/>
        <w:ind w:firstLine="470" w:firstLineChars="224"/>
        <w:rPr>
          <w:rFonts w:hint="eastAsia" w:hAnsi="Courier New"/>
          <w:color w:val="auto"/>
          <w:szCs w:val="21"/>
          <w:highlight w:val="none"/>
        </w:rPr>
      </w:pPr>
      <w:r>
        <w:rPr>
          <w:rFonts w:hint="eastAsia" w:hAnsi="Courier New"/>
          <w:color w:val="auto"/>
          <w:szCs w:val="21"/>
          <w:highlight w:val="none"/>
        </w:rPr>
        <w:t>本合同一式</w:t>
      </w:r>
      <w:r>
        <w:rPr>
          <w:rFonts w:hint="eastAsia" w:hAnsi="Courier New"/>
          <w:color w:val="auto"/>
          <w:szCs w:val="21"/>
          <w:highlight w:val="none"/>
          <w:u w:val="single"/>
          <w:lang w:val="en-US" w:eastAsia="zh-CN"/>
        </w:rPr>
        <w:t>八</w:t>
      </w:r>
      <w:r>
        <w:rPr>
          <w:rFonts w:hint="eastAsia" w:hAnsi="Courier New"/>
          <w:color w:val="auto"/>
          <w:szCs w:val="21"/>
          <w:highlight w:val="none"/>
        </w:rPr>
        <w:t>份，正本</w:t>
      </w:r>
      <w:r>
        <w:rPr>
          <w:rFonts w:hint="eastAsia" w:hAnsi="Courier New"/>
          <w:color w:val="auto"/>
          <w:szCs w:val="21"/>
          <w:highlight w:val="none"/>
          <w:u w:val="single"/>
        </w:rPr>
        <w:t>两</w:t>
      </w:r>
      <w:r>
        <w:rPr>
          <w:rFonts w:hint="eastAsia" w:hAnsi="Courier New"/>
          <w:color w:val="auto"/>
          <w:szCs w:val="21"/>
          <w:highlight w:val="none"/>
        </w:rPr>
        <w:t>份、副本</w:t>
      </w:r>
      <w:r>
        <w:rPr>
          <w:rFonts w:hint="eastAsia" w:hAnsi="Courier New"/>
          <w:color w:val="auto"/>
          <w:szCs w:val="21"/>
          <w:highlight w:val="none"/>
          <w:u w:val="single"/>
          <w:lang w:val="en-US" w:eastAsia="zh-CN"/>
        </w:rPr>
        <w:t>陆</w:t>
      </w:r>
      <w:r>
        <w:rPr>
          <w:rFonts w:hint="eastAsia" w:hAnsi="Courier New"/>
          <w:color w:val="auto"/>
          <w:szCs w:val="21"/>
          <w:highlight w:val="none"/>
        </w:rPr>
        <w:t>份。</w:t>
      </w:r>
    </w:p>
    <w:p w14:paraId="27AF0068">
      <w:pPr>
        <w:pStyle w:val="12"/>
        <w:spacing w:line="360" w:lineRule="exact"/>
        <w:ind w:left="479" w:leftChars="228" w:firstLine="52" w:firstLineChars="25"/>
        <w:rPr>
          <w:rFonts w:hint="eastAsia"/>
          <w:color w:val="auto"/>
          <w:highlight w:val="none"/>
        </w:rPr>
      </w:pPr>
    </w:p>
    <w:p w14:paraId="1DEC0253">
      <w:pPr>
        <w:pStyle w:val="12"/>
        <w:spacing w:line="360" w:lineRule="exact"/>
        <w:ind w:left="479" w:leftChars="228" w:firstLine="52" w:firstLineChars="25"/>
        <w:rPr>
          <w:rFonts w:hint="eastAsia"/>
          <w:color w:val="auto"/>
          <w:highlight w:val="none"/>
        </w:rPr>
      </w:pPr>
      <w:r>
        <w:rPr>
          <w:rFonts w:hint="eastAsia"/>
          <w:color w:val="auto"/>
          <w:highlight w:val="none"/>
        </w:rPr>
        <w:t>发包人：(公章)                    承包人：(公章)</w:t>
      </w:r>
    </w:p>
    <w:p w14:paraId="73A3C273">
      <w:pPr>
        <w:pStyle w:val="12"/>
        <w:tabs>
          <w:tab w:val="left" w:pos="4500"/>
        </w:tabs>
        <w:spacing w:line="360" w:lineRule="exact"/>
        <w:ind w:firstLine="540"/>
        <w:rPr>
          <w:rFonts w:hint="eastAsia"/>
          <w:color w:val="auto"/>
          <w:highlight w:val="none"/>
        </w:rPr>
      </w:pPr>
      <w:r>
        <w:rPr>
          <w:rFonts w:hint="eastAsia"/>
          <w:color w:val="auto"/>
          <w:highlight w:val="none"/>
        </w:rPr>
        <w:t>住  所：</w:t>
      </w:r>
      <w:r>
        <w:rPr>
          <w:rFonts w:hint="eastAsia"/>
          <w:color w:val="auto"/>
          <w:highlight w:val="none"/>
        </w:rPr>
        <w:tab/>
      </w:r>
      <w:r>
        <w:rPr>
          <w:rFonts w:hint="eastAsia"/>
          <w:color w:val="auto"/>
          <w:highlight w:val="none"/>
        </w:rPr>
        <w:t xml:space="preserve"> 住  所：</w:t>
      </w:r>
    </w:p>
    <w:p w14:paraId="530AFD3B">
      <w:pPr>
        <w:pStyle w:val="12"/>
        <w:tabs>
          <w:tab w:val="left" w:pos="4500"/>
        </w:tabs>
        <w:spacing w:line="360" w:lineRule="exact"/>
        <w:ind w:firstLine="540"/>
        <w:rPr>
          <w:rFonts w:hint="eastAsia"/>
          <w:color w:val="auto"/>
          <w:highlight w:val="none"/>
        </w:rPr>
      </w:pPr>
      <w:r>
        <w:rPr>
          <w:rFonts w:hint="eastAsia"/>
          <w:color w:val="auto"/>
          <w:highlight w:val="none"/>
        </w:rPr>
        <w:t xml:space="preserve">法定代表人： </w:t>
      </w:r>
      <w:r>
        <w:rPr>
          <w:rFonts w:hint="eastAsia"/>
          <w:color w:val="auto"/>
          <w:highlight w:val="none"/>
        </w:rPr>
        <w:tab/>
      </w:r>
      <w:r>
        <w:rPr>
          <w:rFonts w:hint="eastAsia"/>
          <w:color w:val="auto"/>
          <w:highlight w:val="none"/>
        </w:rPr>
        <w:t xml:space="preserve"> 法定代表人：</w:t>
      </w:r>
    </w:p>
    <w:p w14:paraId="6C91E970">
      <w:pPr>
        <w:pStyle w:val="12"/>
        <w:tabs>
          <w:tab w:val="left" w:pos="4500"/>
        </w:tabs>
        <w:spacing w:line="360" w:lineRule="exact"/>
        <w:ind w:firstLine="540"/>
        <w:rPr>
          <w:rFonts w:hint="eastAsia"/>
          <w:color w:val="auto"/>
          <w:highlight w:val="none"/>
        </w:rPr>
      </w:pPr>
      <w:r>
        <w:rPr>
          <w:rFonts w:hint="eastAsia"/>
          <w:color w:val="auto"/>
          <w:highlight w:val="none"/>
        </w:rPr>
        <w:t xml:space="preserve">委托代理人： </w:t>
      </w:r>
      <w:r>
        <w:rPr>
          <w:rFonts w:hint="eastAsia"/>
          <w:color w:val="auto"/>
          <w:highlight w:val="none"/>
        </w:rPr>
        <w:tab/>
      </w:r>
      <w:r>
        <w:rPr>
          <w:rFonts w:hint="eastAsia"/>
          <w:color w:val="auto"/>
          <w:highlight w:val="none"/>
        </w:rPr>
        <w:t xml:space="preserve"> 委托代理人：</w:t>
      </w:r>
    </w:p>
    <w:p w14:paraId="4ED32D6B">
      <w:pPr>
        <w:pStyle w:val="12"/>
        <w:tabs>
          <w:tab w:val="left" w:pos="4500"/>
        </w:tabs>
        <w:spacing w:line="360" w:lineRule="exact"/>
        <w:ind w:firstLine="540"/>
        <w:rPr>
          <w:rFonts w:hint="eastAsia"/>
          <w:color w:val="auto"/>
          <w:highlight w:val="none"/>
        </w:rPr>
      </w:pPr>
      <w:r>
        <w:rPr>
          <w:rFonts w:hint="eastAsia"/>
          <w:color w:val="auto"/>
          <w:highlight w:val="none"/>
        </w:rPr>
        <w:t xml:space="preserve">电  话： </w:t>
      </w:r>
      <w:r>
        <w:rPr>
          <w:rFonts w:hint="eastAsia"/>
          <w:color w:val="auto"/>
          <w:highlight w:val="none"/>
        </w:rPr>
        <w:tab/>
      </w:r>
      <w:r>
        <w:rPr>
          <w:rFonts w:hint="eastAsia"/>
          <w:color w:val="auto"/>
          <w:highlight w:val="none"/>
        </w:rPr>
        <w:t xml:space="preserve"> 电  话：</w:t>
      </w:r>
    </w:p>
    <w:p w14:paraId="6C909912">
      <w:pPr>
        <w:pStyle w:val="12"/>
        <w:tabs>
          <w:tab w:val="left" w:pos="4500"/>
        </w:tabs>
        <w:spacing w:line="360" w:lineRule="exact"/>
        <w:ind w:firstLine="540"/>
        <w:rPr>
          <w:rFonts w:hint="eastAsia"/>
          <w:color w:val="auto"/>
          <w:highlight w:val="none"/>
        </w:rPr>
      </w:pPr>
      <w:r>
        <w:rPr>
          <w:rFonts w:hint="eastAsia"/>
          <w:color w:val="auto"/>
          <w:highlight w:val="none"/>
        </w:rPr>
        <w:t xml:space="preserve">传  真： </w:t>
      </w:r>
      <w:r>
        <w:rPr>
          <w:rFonts w:hint="eastAsia"/>
          <w:color w:val="auto"/>
          <w:highlight w:val="none"/>
        </w:rPr>
        <w:tab/>
      </w:r>
      <w:r>
        <w:rPr>
          <w:rFonts w:hint="eastAsia"/>
          <w:color w:val="auto"/>
          <w:highlight w:val="none"/>
        </w:rPr>
        <w:t xml:space="preserve"> 传  真：</w:t>
      </w:r>
    </w:p>
    <w:p w14:paraId="0A82DEA2">
      <w:pPr>
        <w:pStyle w:val="12"/>
        <w:tabs>
          <w:tab w:val="left" w:pos="4500"/>
        </w:tabs>
        <w:spacing w:line="360" w:lineRule="exact"/>
        <w:ind w:firstLine="540"/>
        <w:rPr>
          <w:rFonts w:hint="eastAsia"/>
          <w:color w:val="auto"/>
          <w:highlight w:val="none"/>
        </w:rPr>
      </w:pPr>
      <w:r>
        <w:rPr>
          <w:rFonts w:hint="eastAsia"/>
          <w:color w:val="auto"/>
          <w:highlight w:val="none"/>
        </w:rPr>
        <w:t xml:space="preserve">开户银行： </w:t>
      </w:r>
      <w:r>
        <w:rPr>
          <w:rFonts w:hint="eastAsia"/>
          <w:color w:val="auto"/>
          <w:highlight w:val="none"/>
        </w:rPr>
        <w:tab/>
      </w:r>
      <w:r>
        <w:rPr>
          <w:rFonts w:hint="eastAsia"/>
          <w:color w:val="auto"/>
          <w:highlight w:val="none"/>
        </w:rPr>
        <w:t xml:space="preserve"> 开户银行：</w:t>
      </w:r>
    </w:p>
    <w:p w14:paraId="0AA90058">
      <w:pPr>
        <w:pStyle w:val="12"/>
        <w:tabs>
          <w:tab w:val="left" w:pos="4500"/>
        </w:tabs>
        <w:spacing w:line="360" w:lineRule="exact"/>
        <w:ind w:firstLine="540"/>
        <w:rPr>
          <w:rFonts w:hint="eastAsia"/>
          <w:color w:val="auto"/>
          <w:highlight w:val="none"/>
        </w:rPr>
      </w:pPr>
      <w:r>
        <w:rPr>
          <w:rFonts w:hint="eastAsia"/>
          <w:color w:val="auto"/>
          <w:highlight w:val="none"/>
        </w:rPr>
        <w:t xml:space="preserve">帐  号： </w:t>
      </w:r>
      <w:r>
        <w:rPr>
          <w:rFonts w:hint="eastAsia"/>
          <w:color w:val="auto"/>
          <w:highlight w:val="none"/>
        </w:rPr>
        <w:tab/>
      </w:r>
      <w:r>
        <w:rPr>
          <w:rFonts w:hint="eastAsia"/>
          <w:color w:val="auto"/>
          <w:highlight w:val="none"/>
        </w:rPr>
        <w:t xml:space="preserve"> 帐  号：</w:t>
      </w:r>
    </w:p>
    <w:p w14:paraId="6C29C8F2">
      <w:pPr>
        <w:pStyle w:val="12"/>
        <w:tabs>
          <w:tab w:val="left" w:pos="4500"/>
        </w:tabs>
        <w:spacing w:line="360" w:lineRule="exact"/>
        <w:ind w:firstLine="540"/>
        <w:rPr>
          <w:rFonts w:hint="eastAsia"/>
          <w:color w:val="auto"/>
          <w:highlight w:val="none"/>
        </w:rPr>
      </w:pPr>
      <w:r>
        <w:rPr>
          <w:rFonts w:hint="eastAsia"/>
          <w:color w:val="auto"/>
          <w:highlight w:val="none"/>
        </w:rPr>
        <w:t xml:space="preserve">邮政编码： </w:t>
      </w:r>
      <w:r>
        <w:rPr>
          <w:rFonts w:hint="eastAsia"/>
          <w:color w:val="auto"/>
          <w:highlight w:val="none"/>
        </w:rPr>
        <w:tab/>
      </w:r>
      <w:r>
        <w:rPr>
          <w:rFonts w:hint="eastAsia"/>
          <w:color w:val="auto"/>
          <w:highlight w:val="none"/>
        </w:rPr>
        <w:t xml:space="preserve"> 邮政编码：</w:t>
      </w:r>
    </w:p>
    <w:p w14:paraId="59315E5A">
      <w:pPr>
        <w:pStyle w:val="12"/>
        <w:spacing w:line="25" w:lineRule="atLeast"/>
        <w:rPr>
          <w:rFonts w:hint="eastAsia"/>
          <w:color w:val="auto"/>
          <w:highlight w:val="none"/>
        </w:rPr>
      </w:pPr>
    </w:p>
    <w:p w14:paraId="247C5C9B">
      <w:pPr>
        <w:pStyle w:val="12"/>
        <w:spacing w:line="25" w:lineRule="atLeast"/>
        <w:rPr>
          <w:rFonts w:hint="eastAsia"/>
          <w:color w:val="auto"/>
          <w:highlight w:val="none"/>
        </w:rPr>
      </w:pPr>
    </w:p>
    <w:p w14:paraId="4F34FED6">
      <w:pPr>
        <w:pStyle w:val="12"/>
        <w:spacing w:line="25" w:lineRule="atLeast"/>
        <w:rPr>
          <w:rFonts w:hint="eastAsia"/>
          <w:color w:val="auto"/>
          <w:highlight w:val="none"/>
        </w:rPr>
      </w:pPr>
    </w:p>
    <w:p w14:paraId="2EE5D12E">
      <w:pPr>
        <w:pStyle w:val="12"/>
        <w:spacing w:line="25" w:lineRule="atLeast"/>
        <w:rPr>
          <w:rFonts w:hint="eastAsia"/>
          <w:color w:val="auto"/>
          <w:highlight w:val="none"/>
        </w:rPr>
      </w:pPr>
    </w:p>
    <w:p w14:paraId="4A07531F">
      <w:pPr>
        <w:pStyle w:val="12"/>
        <w:spacing w:line="25" w:lineRule="atLeast"/>
        <w:rPr>
          <w:rFonts w:hint="eastAsia"/>
          <w:color w:val="auto"/>
          <w:highlight w:val="none"/>
        </w:rPr>
      </w:pPr>
    </w:p>
    <w:p w14:paraId="6DBA490B">
      <w:pPr>
        <w:pStyle w:val="12"/>
        <w:spacing w:line="25" w:lineRule="atLeast"/>
        <w:rPr>
          <w:rFonts w:hint="eastAsia"/>
          <w:color w:val="auto"/>
          <w:highlight w:val="none"/>
        </w:rPr>
      </w:pPr>
    </w:p>
    <w:p w14:paraId="75B2D45E">
      <w:pPr>
        <w:pStyle w:val="12"/>
        <w:spacing w:line="25" w:lineRule="atLeast"/>
        <w:rPr>
          <w:rFonts w:hint="eastAsia"/>
          <w:color w:val="auto"/>
          <w:highlight w:val="none"/>
        </w:rPr>
      </w:pPr>
    </w:p>
    <w:p w14:paraId="13764E53">
      <w:pPr>
        <w:pStyle w:val="12"/>
        <w:spacing w:line="25" w:lineRule="atLeast"/>
        <w:rPr>
          <w:rFonts w:hint="eastAsia"/>
          <w:color w:val="auto"/>
          <w:highlight w:val="none"/>
        </w:rPr>
      </w:pPr>
    </w:p>
    <w:p w14:paraId="081B22E8">
      <w:pPr>
        <w:pStyle w:val="12"/>
        <w:spacing w:line="25" w:lineRule="atLeast"/>
        <w:rPr>
          <w:rFonts w:hint="eastAsia"/>
          <w:color w:val="auto"/>
          <w:highlight w:val="none"/>
        </w:rPr>
      </w:pPr>
    </w:p>
    <w:p w14:paraId="3ED89E41">
      <w:pPr>
        <w:pStyle w:val="12"/>
        <w:spacing w:line="25" w:lineRule="atLeast"/>
        <w:rPr>
          <w:rFonts w:hint="eastAsia"/>
          <w:color w:val="auto"/>
          <w:highlight w:val="none"/>
        </w:rPr>
      </w:pPr>
    </w:p>
    <w:p w14:paraId="0E4C8C6A">
      <w:pPr>
        <w:pStyle w:val="12"/>
        <w:spacing w:line="25" w:lineRule="atLeast"/>
        <w:rPr>
          <w:rFonts w:hint="eastAsia"/>
          <w:color w:val="auto"/>
          <w:highlight w:val="none"/>
        </w:rPr>
      </w:pPr>
    </w:p>
    <w:p w14:paraId="74C01F7A">
      <w:pPr>
        <w:pStyle w:val="12"/>
        <w:spacing w:line="25" w:lineRule="atLeast"/>
        <w:rPr>
          <w:rFonts w:hint="eastAsia"/>
          <w:color w:val="auto"/>
          <w:highlight w:val="none"/>
        </w:rPr>
      </w:pPr>
    </w:p>
    <w:p w14:paraId="4C6E96F9">
      <w:pPr>
        <w:pStyle w:val="12"/>
        <w:spacing w:line="25" w:lineRule="atLeast"/>
        <w:rPr>
          <w:rFonts w:hint="eastAsia"/>
          <w:color w:val="auto"/>
          <w:highlight w:val="none"/>
        </w:rPr>
      </w:pPr>
      <w:r>
        <w:rPr>
          <w:rFonts w:hint="eastAsia"/>
          <w:color w:val="auto"/>
          <w:highlight w:val="none"/>
        </w:rPr>
        <w:br w:type="page"/>
      </w:r>
    </w:p>
    <w:p w14:paraId="74135050">
      <w:pPr>
        <w:numPr>
          <w:ilvl w:val="0"/>
          <w:numId w:val="7"/>
        </w:numPr>
        <w:adjustRightInd w:val="0"/>
        <w:spacing w:line="312" w:lineRule="atLeast"/>
        <w:jc w:val="center"/>
        <w:textAlignment w:val="baseline"/>
        <w:rPr>
          <w:rFonts w:hint="eastAsia" w:hAnsi="Courier New"/>
          <w:b/>
          <w:bCs/>
          <w:color w:val="auto"/>
          <w:szCs w:val="21"/>
          <w:highlight w:val="none"/>
        </w:rPr>
      </w:pPr>
      <w:r>
        <w:rPr>
          <w:rFonts w:hint="eastAsia" w:hAnsi="Courier New"/>
          <w:b/>
          <w:bCs/>
          <w:color w:val="auto"/>
          <w:szCs w:val="21"/>
          <w:highlight w:val="none"/>
        </w:rPr>
        <w:t>专用条款</w:t>
      </w:r>
    </w:p>
    <w:p w14:paraId="460BE555">
      <w:pPr>
        <w:rPr>
          <w:rFonts w:hint="eastAsia" w:hAnsi="Courier New"/>
          <w:b/>
          <w:bCs/>
          <w:color w:val="auto"/>
          <w:szCs w:val="21"/>
          <w:highlight w:val="none"/>
        </w:rPr>
      </w:pPr>
      <w:r>
        <w:rPr>
          <w:rFonts w:hint="eastAsia" w:hAnsi="Courier New"/>
          <w:b/>
          <w:bCs/>
          <w:color w:val="auto"/>
          <w:szCs w:val="21"/>
          <w:highlight w:val="none"/>
        </w:rPr>
        <w:t>一、词语定义及合同文件</w:t>
      </w:r>
    </w:p>
    <w:p w14:paraId="0E99AB4C">
      <w:pPr>
        <w:pStyle w:val="12"/>
        <w:spacing w:line="360" w:lineRule="exact"/>
        <w:ind w:firstLine="487" w:firstLineChars="232"/>
        <w:rPr>
          <w:rFonts w:hint="eastAsia"/>
          <w:color w:val="auto"/>
          <w:highlight w:val="none"/>
        </w:rPr>
      </w:pPr>
      <w:r>
        <w:rPr>
          <w:rFonts w:hint="eastAsia"/>
          <w:color w:val="auto"/>
          <w:highlight w:val="none"/>
        </w:rPr>
        <w:t>2.合同文件及解释顺序</w:t>
      </w:r>
    </w:p>
    <w:p w14:paraId="516D7CBC">
      <w:pPr>
        <w:spacing w:line="360" w:lineRule="exact"/>
        <w:ind w:firstLine="501" w:firstLineChars="239"/>
        <w:rPr>
          <w:rFonts w:hint="eastAsia" w:hAnsi="Courier New"/>
          <w:color w:val="auto"/>
          <w:szCs w:val="21"/>
          <w:highlight w:val="none"/>
        </w:rPr>
      </w:pPr>
      <w:r>
        <w:rPr>
          <w:rFonts w:hint="eastAsia" w:hAnsi="Courier New"/>
          <w:color w:val="auto"/>
          <w:szCs w:val="21"/>
          <w:highlight w:val="none"/>
        </w:rPr>
        <w:t>合同文件组成及解释顺序：</w:t>
      </w:r>
    </w:p>
    <w:p w14:paraId="102C54FB">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(l)本合同协议书；</w:t>
      </w:r>
    </w:p>
    <w:p w14:paraId="7ECF3A3F">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(2)成交通知书；</w:t>
      </w:r>
    </w:p>
    <w:p w14:paraId="26030A6A">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(3)</w:t>
      </w:r>
      <w:r>
        <w:rPr>
          <w:rFonts w:hint="eastAsia" w:hAnsi="Courier New"/>
          <w:color w:val="auto"/>
          <w:szCs w:val="21"/>
          <w:highlight w:val="none"/>
          <w:lang w:eastAsia="zh-CN"/>
        </w:rPr>
        <w:t>响应</w:t>
      </w:r>
      <w:r>
        <w:rPr>
          <w:rFonts w:hint="eastAsia" w:hAnsi="Courier New"/>
          <w:color w:val="auto"/>
          <w:szCs w:val="21"/>
          <w:highlight w:val="none"/>
        </w:rPr>
        <w:t>文件及其附件；</w:t>
      </w:r>
    </w:p>
    <w:p w14:paraId="21BD0806">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(4)本合同专用条款；</w:t>
      </w:r>
    </w:p>
    <w:p w14:paraId="6F950857">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(5)本合同通用条款；</w:t>
      </w:r>
    </w:p>
    <w:p w14:paraId="616FBA1E">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(6) 采购文件(含补充通知和答疑)；</w:t>
      </w:r>
    </w:p>
    <w:p w14:paraId="389DAC1B">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(7)标准、规范及有关技术文件；</w:t>
      </w:r>
    </w:p>
    <w:p w14:paraId="27770A60">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(8)图纸；</w:t>
      </w:r>
    </w:p>
    <w:p w14:paraId="4B4B1720">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(9)工程报价单或预算书。</w:t>
      </w:r>
    </w:p>
    <w:p w14:paraId="2AFBAD65">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3．语言文字和适用法律、标准及规范</w:t>
      </w:r>
    </w:p>
    <w:p w14:paraId="784C9612">
      <w:pPr>
        <w:tabs>
          <w:tab w:val="left" w:pos="5220"/>
        </w:tabs>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3.1本合同除使用汉语外，无其它语言文字。</w:t>
      </w:r>
    </w:p>
    <w:p w14:paraId="4ECBF78C">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3.2适用法律和法规    </w:t>
      </w:r>
    </w:p>
    <w:p w14:paraId="50B96820">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需要明示的法律、行政法规：现行的国家法律和行政法规，工程所在地政府的有关法规和规章 。</w:t>
      </w:r>
    </w:p>
    <w:p w14:paraId="15B2872A">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3.3适用标准、规范    </w:t>
      </w:r>
    </w:p>
    <w:p w14:paraId="13570091">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适用标准、规范的名称：现行的国家标准、规范、行业标准、规范等（本条款应于签订合同时由甲乙双方协商后写明具体标准、规范的名称及编号）。</w:t>
      </w:r>
    </w:p>
    <w:p w14:paraId="463D93D6">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发包人提供标准、规范的时间：无 。</w:t>
      </w:r>
    </w:p>
    <w:p w14:paraId="2E00EE74">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国内没有相应标准、规范时的约定：无 。</w:t>
      </w:r>
    </w:p>
    <w:p w14:paraId="1362F79C">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4．图纸  </w:t>
      </w:r>
    </w:p>
    <w:p w14:paraId="04CB7F3F">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4.1  发包人向承包人提供图纸日期和套数：合同签定 五 天后提供一式 二 份图纸。</w:t>
      </w:r>
    </w:p>
    <w:p w14:paraId="6DDAFB72">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发包人对图纸的保密要求：无  。    </w:t>
      </w:r>
    </w:p>
    <w:p w14:paraId="6BA7180A">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使用国外图纸的要求及费用承担：无  。</w:t>
      </w:r>
    </w:p>
    <w:p w14:paraId="1A065FE5">
      <w:pPr>
        <w:spacing w:line="360" w:lineRule="exact"/>
        <w:rPr>
          <w:rFonts w:hint="eastAsia" w:hAnsi="Courier New"/>
          <w:b/>
          <w:bCs/>
          <w:color w:val="auto"/>
          <w:szCs w:val="21"/>
          <w:highlight w:val="none"/>
        </w:rPr>
      </w:pPr>
      <w:r>
        <w:rPr>
          <w:rFonts w:hint="eastAsia" w:hAnsi="Courier New"/>
          <w:b/>
          <w:bCs/>
          <w:color w:val="auto"/>
          <w:szCs w:val="21"/>
          <w:highlight w:val="none"/>
        </w:rPr>
        <w:t>二、双方一般权利和义务</w:t>
      </w:r>
    </w:p>
    <w:p w14:paraId="7769AFB1">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5．工程师</w:t>
      </w:r>
    </w:p>
    <w:p w14:paraId="4539963E">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5.2监理单位委派的工程师</w:t>
      </w:r>
    </w:p>
    <w:p w14:paraId="3BF04451">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姓名：           职务：            。</w:t>
      </w:r>
    </w:p>
    <w:p w14:paraId="518EA325">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发包人委托的职权：按本工程的监理合同中的有关条款 。</w:t>
      </w:r>
    </w:p>
    <w:p w14:paraId="51CF081F">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需要取得发包人批准才能行使的职权：接本工程的监理合同中的有关条款。</w:t>
      </w:r>
    </w:p>
    <w:p w14:paraId="70674879">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5.3发包人派驻的工程师</w:t>
      </w:r>
    </w:p>
    <w:p w14:paraId="3437FAD5">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姓名：       职务：       </w:t>
      </w:r>
    </w:p>
    <w:p w14:paraId="4FDCEC5D">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职权：包发人委派的职权范围。</w:t>
      </w:r>
    </w:p>
    <w:p w14:paraId="2250B40E">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5.6不实行监理的，工程师的职权：无 。</w:t>
      </w:r>
    </w:p>
    <w:p w14:paraId="72D30D5A">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7．项目负责人</w:t>
      </w:r>
    </w:p>
    <w:p w14:paraId="0EE695F6">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7.1姓名：       职务：      </w:t>
      </w:r>
    </w:p>
    <w:p w14:paraId="0AA28D24">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8．发包人工作</w:t>
      </w:r>
    </w:p>
    <w:p w14:paraId="152DB550">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8.1  发包人应按约定的时间和要求完成以下工作：</w:t>
      </w:r>
    </w:p>
    <w:p w14:paraId="22EF2E3C">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  (1)施工场地具备施工条件的要求及完成的时间：  于开工前七天。</w:t>
      </w:r>
    </w:p>
    <w:p w14:paraId="20AEBB00">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 *(2)将施工所需的水、电和电讯线路接至施工场地的时间、地点和供应要求：由承包人在竞标报价中自行考虑。若供电部门的原因造成停电，承包人必须自行解决施工用电，费用自理。</w:t>
      </w:r>
    </w:p>
    <w:p w14:paraId="323E1F2E">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(3)施工场地与公共道路的通道开通时间和要求：  已开通   。</w:t>
      </w:r>
    </w:p>
    <w:p w14:paraId="3349C168">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*(4)工程地质和地下管线资料的提供时间：采购时已提供，由承包人现场勘测，费用自理 。</w:t>
      </w:r>
    </w:p>
    <w:p w14:paraId="25B98E3D">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(5)由发包人办理的施工所需证件、批件的名称和完成时间：  由发包人负责办理 。</w:t>
      </w:r>
    </w:p>
    <w:p w14:paraId="5F2F4E39">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(6)水准点与座标控制点交验要求：于开工前七日内现场交验，双方做好签认工作 。</w:t>
      </w:r>
    </w:p>
    <w:p w14:paraId="6D965F2B">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 (7)图纸会审和设计交底时间：于开工前七天 。  </w:t>
      </w:r>
    </w:p>
    <w:p w14:paraId="6F2D5D80">
      <w:pPr>
        <w:spacing w:line="360" w:lineRule="exact"/>
        <w:ind w:firstLine="516" w:firstLineChars="246"/>
        <w:rPr>
          <w:rFonts w:hint="eastAsia" w:hAnsi="宋体"/>
          <w:b/>
          <w:bCs/>
          <w:color w:val="auto"/>
          <w:szCs w:val="21"/>
          <w:highlight w:val="none"/>
          <w:u w:val="single"/>
        </w:rPr>
      </w:pPr>
      <w:r>
        <w:rPr>
          <w:rFonts w:hint="eastAsia" w:hAnsi="Courier New"/>
          <w:color w:val="auto"/>
          <w:szCs w:val="21"/>
          <w:highlight w:val="none"/>
        </w:rPr>
        <w:t>*(8)协调处理施工场地周围地下管线和邻近建筑物、构筑物(含文物保护建筑</w:t>
      </w:r>
      <w:r>
        <w:rPr>
          <w:rFonts w:hint="eastAsia" w:hAnsi="宋体"/>
          <w:b/>
          <w:bCs/>
          <w:color w:val="auto"/>
          <w:szCs w:val="21"/>
          <w:highlight w:val="none"/>
        </w:rPr>
        <w:t>)、古树名木的保护工作：</w:t>
      </w:r>
      <w:r>
        <w:rPr>
          <w:rFonts w:hint="eastAsia" w:hAnsi="宋体"/>
          <w:b/>
          <w:bCs/>
          <w:color w:val="auto"/>
          <w:szCs w:val="21"/>
          <w:highlight w:val="none"/>
          <w:u w:val="single"/>
        </w:rPr>
        <w:t xml:space="preserve">  由发包人协调，相应费用由承包人承担 </w:t>
      </w:r>
      <w:r>
        <w:rPr>
          <w:rFonts w:hint="eastAsia" w:hAnsi="宋体"/>
          <w:b/>
          <w:bCs/>
          <w:color w:val="auto"/>
          <w:szCs w:val="21"/>
          <w:highlight w:val="none"/>
        </w:rPr>
        <w:t xml:space="preserve"> 。</w:t>
      </w:r>
    </w:p>
    <w:p w14:paraId="718D6752">
      <w:pPr>
        <w:spacing w:line="360" w:lineRule="exact"/>
        <w:ind w:firstLine="516" w:firstLineChars="246"/>
        <w:rPr>
          <w:rFonts w:hint="eastAsia" w:hAnsi="宋体"/>
          <w:color w:val="auto"/>
          <w:szCs w:val="21"/>
          <w:highlight w:val="none"/>
        </w:rPr>
      </w:pPr>
      <w:r>
        <w:rPr>
          <w:rFonts w:hint="eastAsia" w:hAnsi="宋体"/>
          <w:color w:val="auto"/>
          <w:szCs w:val="21"/>
          <w:highlight w:val="none"/>
        </w:rPr>
        <w:t>(9)双方约定发包人应做的其他工作：</w:t>
      </w:r>
      <w:r>
        <w:rPr>
          <w:rFonts w:hint="eastAsia" w:hAnsi="宋体"/>
          <w:color w:val="auto"/>
          <w:szCs w:val="21"/>
          <w:highlight w:val="none"/>
          <w:u w:val="single"/>
        </w:rPr>
        <w:t xml:space="preserve">无 </w:t>
      </w:r>
      <w:r>
        <w:rPr>
          <w:rFonts w:hint="eastAsia" w:hAnsi="宋体"/>
          <w:color w:val="auto"/>
          <w:szCs w:val="21"/>
          <w:highlight w:val="none"/>
        </w:rPr>
        <w:t>。</w:t>
      </w:r>
    </w:p>
    <w:p w14:paraId="28A0A3E4">
      <w:pPr>
        <w:spacing w:line="360" w:lineRule="exact"/>
        <w:ind w:firstLine="516" w:firstLineChars="246"/>
        <w:jc w:val="left"/>
        <w:rPr>
          <w:rFonts w:hint="eastAsia" w:hAnsi="宋体"/>
          <w:color w:val="auto"/>
          <w:szCs w:val="21"/>
          <w:highlight w:val="none"/>
          <w:u w:val="single"/>
        </w:rPr>
      </w:pPr>
      <w:r>
        <w:rPr>
          <w:rFonts w:hint="eastAsia" w:hAnsi="宋体"/>
          <w:color w:val="auto"/>
          <w:szCs w:val="21"/>
          <w:highlight w:val="none"/>
        </w:rPr>
        <w:t xml:space="preserve"> 8.2发包人委托承包人办理的工作：</w:t>
      </w:r>
      <w:r>
        <w:rPr>
          <w:rFonts w:hint="eastAsia" w:hAnsi="宋体"/>
          <w:color w:val="auto"/>
          <w:szCs w:val="21"/>
          <w:highlight w:val="none"/>
          <w:u w:val="single"/>
        </w:rPr>
        <w:t xml:space="preserve">                                    </w:t>
      </w:r>
      <w:r>
        <w:rPr>
          <w:rFonts w:hint="eastAsia" w:hAnsi="宋体"/>
          <w:color w:val="auto"/>
          <w:szCs w:val="21"/>
          <w:highlight w:val="none"/>
        </w:rPr>
        <w:t>。</w:t>
      </w:r>
    </w:p>
    <w:p w14:paraId="5750DCDC">
      <w:pPr>
        <w:spacing w:line="360" w:lineRule="exact"/>
        <w:ind w:firstLine="519" w:firstLineChars="246"/>
        <w:rPr>
          <w:rFonts w:hint="eastAsia" w:hAnsi="宋体"/>
          <w:color w:val="auto"/>
          <w:szCs w:val="21"/>
          <w:highlight w:val="none"/>
        </w:rPr>
      </w:pPr>
      <w:r>
        <w:rPr>
          <w:rFonts w:hint="eastAsia" w:hAnsi="宋体"/>
          <w:b/>
          <w:color w:val="auto"/>
          <w:szCs w:val="21"/>
          <w:highlight w:val="none"/>
        </w:rPr>
        <w:t xml:space="preserve"> 9．承包人工作                       </w:t>
      </w:r>
      <w:r>
        <w:rPr>
          <w:rFonts w:hint="eastAsia" w:hAnsi="宋体"/>
          <w:color w:val="auto"/>
          <w:szCs w:val="21"/>
          <w:highlight w:val="none"/>
        </w:rPr>
        <w:t xml:space="preserve"> </w:t>
      </w:r>
    </w:p>
    <w:p w14:paraId="288CAA69">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9.1承包人应按约定时间和要求，完成以下工作：</w:t>
      </w:r>
    </w:p>
    <w:p w14:paraId="7A849084">
      <w:pPr>
        <w:spacing w:line="360" w:lineRule="exact"/>
        <w:ind w:firstLine="516" w:firstLineChars="246"/>
        <w:rPr>
          <w:rFonts w:hint="eastAsia" w:hAnsi="宋体"/>
          <w:color w:val="auto"/>
          <w:szCs w:val="21"/>
          <w:highlight w:val="none"/>
          <w:u w:val="single"/>
        </w:rPr>
      </w:pPr>
      <w:r>
        <w:rPr>
          <w:rFonts w:hint="eastAsia" w:hAnsi="宋体"/>
          <w:color w:val="auto"/>
          <w:szCs w:val="21"/>
          <w:highlight w:val="none"/>
        </w:rPr>
        <w:t>(1)需由设计资质等级和业务范围允许的承包人完成的设计文件提交时间：</w:t>
      </w:r>
      <w:r>
        <w:rPr>
          <w:rFonts w:hint="eastAsia" w:hAnsi="宋体"/>
          <w:color w:val="auto"/>
          <w:szCs w:val="21"/>
          <w:highlight w:val="none"/>
          <w:u w:val="single"/>
        </w:rPr>
        <w:t xml:space="preserve">  待定 </w:t>
      </w:r>
      <w:r>
        <w:rPr>
          <w:rFonts w:hint="eastAsia" w:hAnsi="宋体"/>
          <w:color w:val="auto"/>
          <w:szCs w:val="21"/>
          <w:highlight w:val="none"/>
        </w:rPr>
        <w:t>。</w:t>
      </w:r>
    </w:p>
    <w:p w14:paraId="0B2061D1">
      <w:pPr>
        <w:spacing w:line="360" w:lineRule="exact"/>
        <w:ind w:firstLine="516" w:firstLineChars="246"/>
        <w:rPr>
          <w:rFonts w:hint="eastAsia" w:hAnsi="宋体"/>
          <w:color w:val="auto"/>
          <w:szCs w:val="21"/>
          <w:highlight w:val="none"/>
          <w:u w:val="single"/>
        </w:rPr>
      </w:pPr>
      <w:r>
        <w:rPr>
          <w:rFonts w:hint="eastAsia" w:hAnsi="宋体"/>
          <w:color w:val="auto"/>
          <w:szCs w:val="21"/>
          <w:highlight w:val="none"/>
        </w:rPr>
        <w:t>(2)应提供计划、报表的名称及完成时间：</w:t>
      </w:r>
      <w:r>
        <w:rPr>
          <w:rFonts w:hint="eastAsia" w:hAnsi="宋体"/>
          <w:color w:val="auto"/>
          <w:szCs w:val="21"/>
          <w:highlight w:val="none"/>
          <w:u w:val="single"/>
        </w:rPr>
        <w:t xml:space="preserve">  每月二十五日向监理、发包人提供当月工程进度报表以及下月进度计划各一式两份 </w:t>
      </w:r>
      <w:r>
        <w:rPr>
          <w:rFonts w:hint="eastAsia" w:hAnsi="宋体"/>
          <w:color w:val="auto"/>
          <w:szCs w:val="21"/>
          <w:highlight w:val="none"/>
        </w:rPr>
        <w:t>。</w:t>
      </w:r>
    </w:p>
    <w:p w14:paraId="4C15A632">
      <w:pPr>
        <w:spacing w:line="360" w:lineRule="exact"/>
        <w:ind w:firstLine="519" w:firstLineChars="246"/>
        <w:rPr>
          <w:rFonts w:hint="eastAsia" w:hAnsi="宋体"/>
          <w:b/>
          <w:color w:val="auto"/>
          <w:szCs w:val="21"/>
          <w:highlight w:val="none"/>
          <w:u w:val="single"/>
        </w:rPr>
      </w:pPr>
      <w:r>
        <w:rPr>
          <w:rFonts w:hint="eastAsia" w:hAnsi="宋体"/>
          <w:b/>
          <w:color w:val="auto"/>
          <w:szCs w:val="21"/>
          <w:highlight w:val="none"/>
          <w:u w:val="none"/>
        </w:rPr>
        <w:t>*</w:t>
      </w:r>
      <w:r>
        <w:rPr>
          <w:rFonts w:hint="eastAsia" w:hAnsi="宋体"/>
          <w:b/>
          <w:color w:val="auto"/>
          <w:szCs w:val="21"/>
          <w:highlight w:val="none"/>
        </w:rPr>
        <w:t>(3)承担施工安全保卫工作及非夜间施工照明的责任和要求：</w:t>
      </w:r>
      <w:r>
        <w:rPr>
          <w:rFonts w:hint="eastAsia" w:hAnsi="宋体"/>
          <w:b/>
          <w:color w:val="auto"/>
          <w:szCs w:val="21"/>
          <w:highlight w:val="none"/>
          <w:u w:val="single"/>
        </w:rPr>
        <w:t xml:space="preserve">承包人应采取一切合理的的预防措施，防止人员伤亡、财产损失事故，费用由承包人承担 </w:t>
      </w:r>
      <w:r>
        <w:rPr>
          <w:rFonts w:hint="eastAsia" w:hAnsi="宋体"/>
          <w:b/>
          <w:color w:val="auto"/>
          <w:szCs w:val="21"/>
          <w:highlight w:val="none"/>
        </w:rPr>
        <w:t>。</w:t>
      </w:r>
    </w:p>
    <w:p w14:paraId="6F871162">
      <w:pPr>
        <w:spacing w:line="360" w:lineRule="exact"/>
        <w:ind w:firstLine="516" w:firstLineChars="246"/>
        <w:rPr>
          <w:rFonts w:hint="eastAsia" w:hAnsi="宋体"/>
          <w:b/>
          <w:color w:val="auto"/>
          <w:szCs w:val="21"/>
          <w:highlight w:val="none"/>
        </w:rPr>
      </w:pPr>
      <w:r>
        <w:rPr>
          <w:rFonts w:hint="eastAsia" w:hAnsi="宋体"/>
          <w:color w:val="auto"/>
          <w:szCs w:val="21"/>
          <w:highlight w:val="none"/>
        </w:rPr>
        <w:t xml:space="preserve"> (4)向发包人提供的办公和生活房屋及设施的要求：</w:t>
      </w:r>
      <w:r>
        <w:rPr>
          <w:rFonts w:hint="eastAsia" w:hAnsi="宋体"/>
          <w:b/>
          <w:color w:val="auto"/>
          <w:szCs w:val="21"/>
          <w:highlight w:val="none"/>
        </w:rPr>
        <w:t>（由双方协商确定）。</w:t>
      </w:r>
    </w:p>
    <w:p w14:paraId="7A6D836A">
      <w:pPr>
        <w:spacing w:line="360" w:lineRule="exact"/>
        <w:ind w:firstLine="519" w:firstLineChars="246"/>
        <w:rPr>
          <w:rFonts w:hint="eastAsia" w:hAnsi="宋体"/>
          <w:b/>
          <w:color w:val="auto"/>
          <w:szCs w:val="21"/>
          <w:highlight w:val="none"/>
          <w:u w:val="single"/>
        </w:rPr>
      </w:pPr>
      <w:r>
        <w:rPr>
          <w:rFonts w:hint="eastAsia" w:hAnsi="宋体"/>
          <w:b/>
          <w:color w:val="auto"/>
          <w:szCs w:val="21"/>
          <w:highlight w:val="none"/>
        </w:rPr>
        <w:t>*(5)需承包人办理的有关施工场地交通、环卫和施工噪音管理等手续：</w:t>
      </w:r>
      <w:r>
        <w:rPr>
          <w:rFonts w:hint="eastAsia" w:hAnsi="宋体"/>
          <w:b/>
          <w:color w:val="auto"/>
          <w:szCs w:val="21"/>
          <w:highlight w:val="none"/>
          <w:u w:val="single"/>
        </w:rPr>
        <w:t xml:space="preserve">因施工需要，经发包人批准，由承包人办理和负责费用 </w:t>
      </w:r>
      <w:r>
        <w:rPr>
          <w:rFonts w:hint="eastAsia" w:hAnsi="宋体"/>
          <w:b/>
          <w:color w:val="auto"/>
          <w:szCs w:val="21"/>
          <w:highlight w:val="none"/>
        </w:rPr>
        <w:t>。</w:t>
      </w:r>
    </w:p>
    <w:p w14:paraId="49D1C406">
      <w:pPr>
        <w:spacing w:line="360" w:lineRule="exact"/>
        <w:ind w:firstLine="516" w:firstLineChars="246"/>
        <w:rPr>
          <w:rFonts w:hint="eastAsia" w:hAnsi="宋体"/>
          <w:color w:val="auto"/>
          <w:szCs w:val="21"/>
          <w:highlight w:val="none"/>
          <w:u w:val="single"/>
        </w:rPr>
      </w:pPr>
      <w:r>
        <w:rPr>
          <w:rFonts w:hint="eastAsia" w:hAnsi="宋体"/>
          <w:color w:val="auto"/>
          <w:szCs w:val="21"/>
          <w:highlight w:val="none"/>
        </w:rPr>
        <w:t>(6)已完工程成品保护的特殊要求及费用承担：</w:t>
      </w:r>
      <w:r>
        <w:rPr>
          <w:rFonts w:hint="eastAsia" w:hAnsi="宋体"/>
          <w:color w:val="auto"/>
          <w:szCs w:val="21"/>
          <w:highlight w:val="none"/>
          <w:u w:val="single"/>
        </w:rPr>
        <w:t xml:space="preserve">按通用条款第9.1（6）条执行 </w:t>
      </w:r>
      <w:r>
        <w:rPr>
          <w:rFonts w:hint="eastAsia" w:hAnsi="宋体"/>
          <w:color w:val="auto"/>
          <w:szCs w:val="21"/>
          <w:highlight w:val="none"/>
        </w:rPr>
        <w:t>。</w:t>
      </w:r>
    </w:p>
    <w:p w14:paraId="393E9065">
      <w:pPr>
        <w:spacing w:line="360" w:lineRule="exact"/>
        <w:ind w:firstLine="516" w:firstLineChars="246"/>
        <w:rPr>
          <w:rFonts w:hint="eastAsia" w:hAnsi="宋体"/>
          <w:b/>
          <w:color w:val="auto"/>
          <w:szCs w:val="21"/>
          <w:highlight w:val="none"/>
          <w:u w:val="single"/>
        </w:rPr>
      </w:pPr>
      <w:r>
        <w:rPr>
          <w:rFonts w:hint="eastAsia" w:hAnsi="宋体"/>
          <w:color w:val="auto"/>
          <w:szCs w:val="21"/>
          <w:highlight w:val="none"/>
        </w:rPr>
        <w:t xml:space="preserve"> </w:t>
      </w:r>
      <w:r>
        <w:rPr>
          <w:rFonts w:hint="eastAsia" w:hAnsi="宋体"/>
          <w:b/>
          <w:color w:val="auto"/>
          <w:szCs w:val="21"/>
          <w:highlight w:val="none"/>
        </w:rPr>
        <w:t>*(7)施工场地周围地下管线和邻近建筑物、构筑物(含文物保护建筑)、古树名木的保护要求及费用承担：</w:t>
      </w:r>
      <w:r>
        <w:rPr>
          <w:rFonts w:hint="eastAsia" w:hAnsi="宋体"/>
          <w:b/>
          <w:color w:val="auto"/>
          <w:szCs w:val="21"/>
          <w:highlight w:val="none"/>
          <w:u w:val="single"/>
        </w:rPr>
        <w:t xml:space="preserve">承包人施工时应探明并负责保护且承担费用，施工时如损坏地下管线、邻近建筑物、构筑物，所发生费用由承包人承担 </w:t>
      </w:r>
      <w:r>
        <w:rPr>
          <w:rFonts w:hint="eastAsia" w:hAnsi="宋体"/>
          <w:b/>
          <w:color w:val="auto"/>
          <w:szCs w:val="21"/>
          <w:highlight w:val="none"/>
        </w:rPr>
        <w:t>。</w:t>
      </w:r>
    </w:p>
    <w:p w14:paraId="345A4DEB">
      <w:pPr>
        <w:spacing w:line="360" w:lineRule="exact"/>
        <w:ind w:firstLine="519" w:firstLineChars="246"/>
        <w:rPr>
          <w:rFonts w:hint="eastAsia" w:hAnsi="宋体"/>
          <w:b/>
          <w:color w:val="auto"/>
          <w:szCs w:val="21"/>
          <w:highlight w:val="none"/>
        </w:rPr>
      </w:pPr>
      <w:r>
        <w:rPr>
          <w:rFonts w:hint="eastAsia" w:hAnsi="宋体"/>
          <w:b/>
          <w:color w:val="auto"/>
          <w:szCs w:val="21"/>
          <w:highlight w:val="none"/>
        </w:rPr>
        <w:t xml:space="preserve"> *(8)施工场地清洁卫生的要求：</w:t>
      </w:r>
      <w:r>
        <w:rPr>
          <w:rFonts w:hint="eastAsia" w:hAnsi="宋体"/>
          <w:b/>
          <w:color w:val="auto"/>
          <w:szCs w:val="21"/>
          <w:highlight w:val="none"/>
          <w:u w:val="single"/>
        </w:rPr>
        <w:t>由于施工造成的环境污染，其责任和费用均由承包人承担</w:t>
      </w:r>
      <w:r>
        <w:rPr>
          <w:rFonts w:hint="eastAsia" w:hAnsi="宋体"/>
          <w:b/>
          <w:color w:val="auto"/>
          <w:szCs w:val="21"/>
          <w:highlight w:val="none"/>
        </w:rPr>
        <w:t>。</w:t>
      </w:r>
    </w:p>
    <w:p w14:paraId="6BF34238">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(9)双方约定承包人应做的其他工作：</w:t>
      </w:r>
    </w:p>
    <w:p w14:paraId="00854E5D">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1)配合发包人做好安全文明宣传、领导检查宣传等工作，相关费用由承包人承担。</w:t>
      </w:r>
    </w:p>
    <w:p w14:paraId="64F98BDD">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2)承包人生活设施及施工场地，应自费配备消防设备，防止火灾发生。</w:t>
      </w:r>
    </w:p>
    <w:p w14:paraId="21967F84">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3)承包人的临时用地(含项目部驻地等)租用费(含拆迁补偿)、临时用地的环保、恢复、临时用地的青苗补偿及地面附着物拆除等费用均由承包人负责，以上费用在竞标报价中综合考虑。</w:t>
      </w:r>
    </w:p>
    <w:p w14:paraId="5B6F9721">
      <w:pPr>
        <w:spacing w:line="360" w:lineRule="exact"/>
        <w:ind w:firstLine="711" w:firstLineChars="339"/>
        <w:rPr>
          <w:rFonts w:hint="eastAsia" w:hAnsi="宋体"/>
          <w:color w:val="auto"/>
          <w:szCs w:val="21"/>
          <w:highlight w:val="none"/>
        </w:rPr>
      </w:pPr>
      <w:r>
        <w:rPr>
          <w:rFonts w:hint="eastAsia" w:hAnsi="宋体"/>
          <w:color w:val="auto"/>
          <w:szCs w:val="21"/>
          <w:highlight w:val="none"/>
        </w:rPr>
        <w:t>4)取土场及弃土场由承包人自行解决，但不得违反相关管理规定，并承担相关费用。</w:t>
      </w:r>
    </w:p>
    <w:p w14:paraId="6DFDE7EC">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5)经过城市道路的施工车辆，必须按交警、城管、运输等部门相关规定执行。由于施工车辆造成的道路、环境等污染，其责任和费用均由承包人承担。</w:t>
      </w:r>
    </w:p>
    <w:p w14:paraId="70BD04FD">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6)承包人负责合同实施期间其合同段内临时交通道路(含场内外连接公共交通道路)和交通设施的修建、维修、养护和交通管理工作，并承担一切费用。    </w:t>
      </w:r>
    </w:p>
    <w:p w14:paraId="375F04FB">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68DCC482">
      <w:pPr>
        <w:spacing w:line="360" w:lineRule="exact"/>
        <w:rPr>
          <w:rFonts w:hint="eastAsia" w:hAnsi="宋体"/>
          <w:b/>
          <w:bCs/>
          <w:color w:val="auto"/>
          <w:szCs w:val="21"/>
          <w:highlight w:val="none"/>
        </w:rPr>
      </w:pPr>
      <w:r>
        <w:rPr>
          <w:rFonts w:hint="eastAsia" w:hAnsi="宋体"/>
          <w:b/>
          <w:bCs/>
          <w:color w:val="auto"/>
          <w:szCs w:val="21"/>
          <w:highlight w:val="none"/>
        </w:rPr>
        <w:t>三、施工组织设计和工期</w:t>
      </w:r>
    </w:p>
    <w:p w14:paraId="5F6867AC">
      <w:pPr>
        <w:spacing w:line="360" w:lineRule="exact"/>
        <w:ind w:firstLine="352" w:firstLineChars="167"/>
        <w:rPr>
          <w:rFonts w:hint="eastAsia" w:hAnsi="宋体"/>
          <w:b/>
          <w:bCs/>
          <w:color w:val="auto"/>
          <w:szCs w:val="21"/>
          <w:highlight w:val="none"/>
        </w:rPr>
      </w:pPr>
      <w:r>
        <w:rPr>
          <w:rFonts w:hint="eastAsia" w:hAnsi="宋体"/>
          <w:b/>
          <w:bCs/>
          <w:color w:val="auto"/>
          <w:szCs w:val="21"/>
          <w:highlight w:val="none"/>
        </w:rPr>
        <w:t xml:space="preserve">  10．进度计划</w:t>
      </w:r>
    </w:p>
    <w:p w14:paraId="48D5A856">
      <w:pPr>
        <w:spacing w:line="360" w:lineRule="exact"/>
        <w:ind w:firstLine="367" w:firstLineChars="175"/>
        <w:rPr>
          <w:rFonts w:hint="eastAsia" w:hAnsi="宋体"/>
          <w:color w:val="auto"/>
          <w:szCs w:val="21"/>
          <w:highlight w:val="none"/>
        </w:rPr>
      </w:pPr>
      <w:r>
        <w:rPr>
          <w:rFonts w:hint="eastAsia" w:hAnsi="宋体"/>
          <w:color w:val="auto"/>
          <w:szCs w:val="21"/>
          <w:highlight w:val="none"/>
        </w:rPr>
        <w:t xml:space="preserve">  10.1承包人提供施工组织设计(施工方案)和进度计划的时间</w:t>
      </w:r>
      <w:r>
        <w:rPr>
          <w:rFonts w:hint="eastAsia" w:hAnsi="宋体"/>
          <w:color w:val="auto"/>
          <w:szCs w:val="21"/>
          <w:highlight w:val="none"/>
          <w:u w:val="single"/>
        </w:rPr>
        <w:t xml:space="preserve">：于开工前七日内 </w:t>
      </w:r>
      <w:r>
        <w:rPr>
          <w:rFonts w:hint="eastAsia" w:hAnsi="宋体"/>
          <w:color w:val="auto"/>
          <w:szCs w:val="21"/>
          <w:highlight w:val="none"/>
        </w:rPr>
        <w:t>。</w:t>
      </w:r>
    </w:p>
    <w:p w14:paraId="415A1CD9">
      <w:pPr>
        <w:spacing w:line="360" w:lineRule="exact"/>
        <w:ind w:firstLine="441" w:firstLineChars="210"/>
        <w:rPr>
          <w:rFonts w:hint="eastAsia" w:hAnsi="宋体"/>
          <w:color w:val="auto"/>
          <w:szCs w:val="21"/>
          <w:highlight w:val="none"/>
          <w:u w:val="single"/>
        </w:rPr>
      </w:pPr>
      <w:r>
        <w:rPr>
          <w:rFonts w:hint="eastAsia" w:hAnsi="宋体"/>
          <w:color w:val="auto"/>
          <w:szCs w:val="21"/>
          <w:highlight w:val="none"/>
        </w:rPr>
        <w:t xml:space="preserve">  工程师确认的时间：</w:t>
      </w:r>
      <w:r>
        <w:rPr>
          <w:rFonts w:hint="eastAsia" w:hAnsi="宋体"/>
          <w:color w:val="auto"/>
          <w:szCs w:val="21"/>
          <w:highlight w:val="none"/>
          <w:u w:val="single"/>
        </w:rPr>
        <w:t>收到后五日内予以批复</w:t>
      </w:r>
      <w:r>
        <w:rPr>
          <w:rFonts w:hint="eastAsia" w:hAnsi="宋体"/>
          <w:color w:val="auto"/>
          <w:szCs w:val="21"/>
          <w:highlight w:val="none"/>
        </w:rPr>
        <w:t>。</w:t>
      </w:r>
    </w:p>
    <w:p w14:paraId="7E32B74A">
      <w:pPr>
        <w:spacing w:line="360" w:lineRule="exact"/>
        <w:ind w:firstLine="636" w:firstLineChars="303"/>
        <w:rPr>
          <w:rFonts w:hint="eastAsia" w:hAnsi="宋体"/>
          <w:color w:val="auto"/>
          <w:szCs w:val="21"/>
          <w:highlight w:val="none"/>
        </w:rPr>
      </w:pPr>
      <w:r>
        <w:rPr>
          <w:rFonts w:hint="eastAsia" w:hAnsi="宋体"/>
          <w:color w:val="auto"/>
          <w:szCs w:val="21"/>
          <w:highlight w:val="none"/>
        </w:rPr>
        <w:t>10.2群体工程中有关进度计划的要求：</w:t>
      </w:r>
      <w:r>
        <w:rPr>
          <w:rFonts w:hint="eastAsia" w:hAnsi="宋体"/>
          <w:color w:val="auto"/>
          <w:szCs w:val="21"/>
          <w:highlight w:val="none"/>
          <w:u w:val="single"/>
        </w:rPr>
        <w:t xml:space="preserve">                         </w:t>
      </w:r>
      <w:r>
        <w:rPr>
          <w:rFonts w:hint="eastAsia" w:hAnsi="宋体"/>
          <w:color w:val="auto"/>
          <w:szCs w:val="21"/>
          <w:highlight w:val="none"/>
        </w:rPr>
        <w:t>。</w:t>
      </w:r>
    </w:p>
    <w:p w14:paraId="57A9AB3B">
      <w:pPr>
        <w:spacing w:line="360" w:lineRule="exact"/>
        <w:ind w:firstLine="580" w:firstLineChars="275"/>
        <w:rPr>
          <w:rFonts w:hint="eastAsia" w:hAnsi="宋体"/>
          <w:b/>
          <w:color w:val="auto"/>
          <w:szCs w:val="21"/>
          <w:highlight w:val="none"/>
        </w:rPr>
      </w:pPr>
      <w:r>
        <w:rPr>
          <w:rFonts w:hint="eastAsia" w:hAnsi="宋体"/>
          <w:b/>
          <w:color w:val="auto"/>
          <w:szCs w:val="21"/>
          <w:highlight w:val="none"/>
        </w:rPr>
        <w:t>13．工期延误</w:t>
      </w:r>
    </w:p>
    <w:p w14:paraId="718D4E52">
      <w:pPr>
        <w:spacing w:line="360" w:lineRule="exact"/>
        <w:ind w:firstLine="441" w:firstLineChars="210"/>
        <w:rPr>
          <w:rFonts w:hint="eastAsia" w:hAnsi="宋体"/>
          <w:color w:val="auto"/>
          <w:szCs w:val="21"/>
          <w:highlight w:val="none"/>
        </w:rPr>
      </w:pPr>
      <w:r>
        <w:rPr>
          <w:rFonts w:hint="eastAsia" w:hAnsi="宋体"/>
          <w:color w:val="auto"/>
          <w:szCs w:val="21"/>
          <w:highlight w:val="none"/>
        </w:rPr>
        <w:t xml:space="preserve">  13.1对以下原因造成工期延误，经工程师确认，工期相应顺延，按通用条款第十三条执行。</w:t>
      </w:r>
    </w:p>
    <w:p w14:paraId="592B41DB">
      <w:pPr>
        <w:spacing w:line="360" w:lineRule="exact"/>
        <w:ind w:firstLine="441" w:firstLineChars="210"/>
        <w:rPr>
          <w:rFonts w:hint="eastAsia" w:hAnsi="宋体"/>
          <w:color w:val="auto"/>
          <w:szCs w:val="21"/>
          <w:highlight w:val="none"/>
          <w:u w:val="single"/>
        </w:rPr>
      </w:pPr>
      <w:r>
        <w:rPr>
          <w:rFonts w:hint="eastAsia" w:hAnsi="宋体"/>
          <w:color w:val="auto"/>
          <w:szCs w:val="21"/>
          <w:highlight w:val="none"/>
        </w:rPr>
        <w:t xml:space="preserve">  13.1.1  双方约定工期顺延的其他情况：</w:t>
      </w:r>
      <w:r>
        <w:rPr>
          <w:rFonts w:hint="eastAsia" w:hAnsi="宋体"/>
          <w:color w:val="auto"/>
          <w:szCs w:val="21"/>
          <w:highlight w:val="none"/>
          <w:u w:val="single"/>
        </w:rPr>
        <w:t xml:space="preserve">  不可抗力的原因  </w:t>
      </w:r>
      <w:r>
        <w:rPr>
          <w:rFonts w:hint="eastAsia" w:hAnsi="宋体"/>
          <w:color w:val="auto"/>
          <w:szCs w:val="21"/>
          <w:highlight w:val="none"/>
        </w:rPr>
        <w:t>。</w:t>
      </w:r>
    </w:p>
    <w:p w14:paraId="5ED8A779">
      <w:pPr>
        <w:spacing w:line="360" w:lineRule="exact"/>
        <w:ind w:firstLine="411" w:firstLineChars="196"/>
        <w:rPr>
          <w:rFonts w:hint="eastAsia" w:hAnsi="宋体"/>
          <w:color w:val="auto"/>
          <w:szCs w:val="21"/>
          <w:highlight w:val="none"/>
        </w:rPr>
      </w:pPr>
      <w:r>
        <w:rPr>
          <w:rFonts w:hint="eastAsia" w:hAnsi="宋体"/>
          <w:color w:val="auto"/>
          <w:szCs w:val="21"/>
          <w:highlight w:val="none"/>
        </w:rPr>
        <w:t xml:space="preserve">  13.2非上述原因，承包人不能按合同约定的时间竣工，承包人应承担违约责任。应向发包人支付误期赔偿费(每天赔偿金额为合同价款的万分之</w:t>
      </w:r>
      <w:r>
        <w:rPr>
          <w:rFonts w:hint="eastAsia" w:hAnsi="宋体"/>
          <w:color w:val="auto"/>
          <w:szCs w:val="21"/>
          <w:highlight w:val="none"/>
          <w:u w:val="single"/>
        </w:rPr>
        <w:t xml:space="preserve">  四  </w:t>
      </w:r>
      <w:r>
        <w:rPr>
          <w:rFonts w:hint="eastAsia" w:hAnsi="宋体"/>
          <w:color w:val="auto"/>
          <w:szCs w:val="21"/>
          <w:highlight w:val="none"/>
        </w:rPr>
        <w:t>)，误期时间从规定竣工日期起直到全部工程或相应部分工程竣工验收各方签章日期之间的天数(扣除发包人批准顺延的工期)，其极限为合同价的</w:t>
      </w:r>
      <w:r>
        <w:rPr>
          <w:rFonts w:hint="eastAsia" w:hAnsi="宋体"/>
          <w:color w:val="auto"/>
          <w:szCs w:val="21"/>
          <w:highlight w:val="none"/>
          <w:u w:val="single"/>
        </w:rPr>
        <w:t xml:space="preserve">5% </w:t>
      </w:r>
      <w:r>
        <w:rPr>
          <w:rFonts w:hint="eastAsia" w:hAnsi="宋体"/>
          <w:color w:val="auto"/>
          <w:szCs w:val="21"/>
          <w:highlight w:val="none"/>
        </w:rPr>
        <w:t xml:space="preserve"> 。发包人可从应向承包人支付的任何金额中扣除此项赔偿款或其他方式收回此款，此赔偿款的支付并不能解除承包人应完成工程的责任或合同规定的其他责任。</w:t>
      </w:r>
    </w:p>
    <w:p w14:paraId="2D839853">
      <w:pPr>
        <w:spacing w:line="360" w:lineRule="exact"/>
        <w:rPr>
          <w:rFonts w:hint="eastAsia" w:hAnsi="宋体"/>
          <w:color w:val="auto"/>
          <w:szCs w:val="21"/>
          <w:highlight w:val="none"/>
        </w:rPr>
      </w:pPr>
      <w:r>
        <w:rPr>
          <w:rFonts w:hint="eastAsia" w:hAnsi="宋体"/>
          <w:color w:val="auto"/>
          <w:szCs w:val="21"/>
          <w:highlight w:val="none"/>
        </w:rPr>
        <w:t xml:space="preserve">    13.3  因工程量变化和设计变更的工期予以顺延，即工期相应变化，质量要求不变。</w:t>
      </w:r>
    </w:p>
    <w:p w14:paraId="23C00876">
      <w:pPr>
        <w:spacing w:line="360" w:lineRule="exact"/>
        <w:rPr>
          <w:rFonts w:hint="eastAsia" w:hAnsi="宋体"/>
          <w:color w:val="auto"/>
          <w:szCs w:val="21"/>
          <w:highlight w:val="none"/>
        </w:rPr>
      </w:pPr>
      <w:r>
        <w:rPr>
          <w:rFonts w:hint="eastAsia" w:hAnsi="宋体"/>
          <w:color w:val="auto"/>
          <w:szCs w:val="21"/>
          <w:highlight w:val="none"/>
        </w:rPr>
        <w:t xml:space="preserve">    13.4承包人必须按照合同工期或发包人同意顺延的工期竣工。</w:t>
      </w:r>
    </w:p>
    <w:p w14:paraId="07022706">
      <w:pPr>
        <w:spacing w:line="360" w:lineRule="exact"/>
        <w:rPr>
          <w:rFonts w:hint="eastAsia" w:hAnsi="宋体"/>
          <w:b/>
          <w:color w:val="auto"/>
          <w:szCs w:val="21"/>
          <w:highlight w:val="none"/>
        </w:rPr>
      </w:pPr>
      <w:r>
        <w:rPr>
          <w:rFonts w:hint="eastAsia" w:hAnsi="宋体"/>
          <w:b/>
          <w:color w:val="auto"/>
          <w:szCs w:val="21"/>
          <w:highlight w:val="none"/>
        </w:rPr>
        <w:t>四、质量与验收</w:t>
      </w:r>
    </w:p>
    <w:p w14:paraId="04153CAF">
      <w:pPr>
        <w:spacing w:line="360" w:lineRule="exact"/>
        <w:rPr>
          <w:rFonts w:hint="eastAsia" w:hAnsi="宋体"/>
          <w:color w:val="auto"/>
          <w:szCs w:val="21"/>
          <w:highlight w:val="none"/>
        </w:rPr>
      </w:pPr>
      <w:r>
        <w:rPr>
          <w:rFonts w:hint="eastAsia" w:hAnsi="宋体"/>
          <w:color w:val="auto"/>
          <w:szCs w:val="21"/>
          <w:highlight w:val="none"/>
        </w:rPr>
        <w:t xml:space="preserve">    15．工程质量</w:t>
      </w:r>
    </w:p>
    <w:p w14:paraId="21DF9EF5">
      <w:pPr>
        <w:spacing w:line="360" w:lineRule="exact"/>
        <w:rPr>
          <w:rFonts w:hint="eastAsia" w:hAnsi="宋体"/>
          <w:color w:val="auto"/>
          <w:szCs w:val="21"/>
          <w:highlight w:val="none"/>
          <w:u w:val="single"/>
        </w:rPr>
      </w:pPr>
      <w:r>
        <w:rPr>
          <w:rFonts w:hint="eastAsia" w:hAnsi="宋体"/>
          <w:color w:val="auto"/>
          <w:szCs w:val="21"/>
          <w:highlight w:val="none"/>
        </w:rPr>
        <w:t xml:space="preserve">    15.1发包人对工程质量的要求：</w:t>
      </w:r>
      <w:r>
        <w:rPr>
          <w:rFonts w:hint="eastAsia" w:hAnsi="宋体"/>
          <w:b/>
          <w:bCs/>
          <w:color w:val="auto"/>
          <w:szCs w:val="21"/>
          <w:highlight w:val="none"/>
          <w:u w:val="single"/>
        </w:rPr>
        <w:t xml:space="preserve">合格 </w:t>
      </w:r>
      <w:r>
        <w:rPr>
          <w:rFonts w:hint="eastAsia" w:hAnsi="宋体"/>
          <w:b/>
          <w:bCs/>
          <w:color w:val="auto"/>
          <w:szCs w:val="21"/>
          <w:highlight w:val="none"/>
        </w:rPr>
        <w:t>。</w:t>
      </w:r>
    </w:p>
    <w:p w14:paraId="41B8400A">
      <w:pPr>
        <w:spacing w:line="360" w:lineRule="exact"/>
        <w:rPr>
          <w:rFonts w:hint="eastAsia" w:hAnsi="宋体"/>
          <w:color w:val="auto"/>
          <w:szCs w:val="21"/>
          <w:highlight w:val="none"/>
        </w:rPr>
      </w:pPr>
      <w:r>
        <w:rPr>
          <w:rFonts w:hint="eastAsia" w:hAnsi="宋体"/>
          <w:color w:val="auto"/>
          <w:szCs w:val="21"/>
          <w:highlight w:val="none"/>
        </w:rPr>
        <w:t xml:space="preserve">    15.2双方对工程质量有争议时，由</w:t>
      </w:r>
      <w:r>
        <w:rPr>
          <w:rFonts w:hint="eastAsia" w:hAnsi="宋体"/>
          <w:color w:val="auto"/>
          <w:szCs w:val="21"/>
          <w:highlight w:val="none"/>
          <w:u w:val="single"/>
        </w:rPr>
        <w:t>钦州市</w:t>
      </w:r>
      <w:r>
        <w:rPr>
          <w:rFonts w:hint="eastAsia" w:hAnsi="宋体"/>
          <w:color w:val="auto"/>
          <w:szCs w:val="21"/>
          <w:highlight w:val="none"/>
          <w:u w:val="single"/>
          <w:lang w:eastAsia="zh-CN"/>
        </w:rPr>
        <w:t>钦北区</w:t>
      </w:r>
      <w:r>
        <w:rPr>
          <w:rFonts w:hint="eastAsia" w:hAnsi="宋体"/>
          <w:color w:val="auto"/>
          <w:szCs w:val="21"/>
          <w:highlight w:val="none"/>
          <w:u w:val="single"/>
        </w:rPr>
        <w:t>建设工程质量安全监督站</w:t>
      </w:r>
      <w:r>
        <w:rPr>
          <w:rFonts w:hint="eastAsia" w:hAnsi="宋体"/>
          <w:color w:val="auto"/>
          <w:szCs w:val="21"/>
          <w:highlight w:val="none"/>
        </w:rPr>
        <w:t>仲裁。</w:t>
      </w:r>
    </w:p>
    <w:p w14:paraId="393424FC">
      <w:pPr>
        <w:spacing w:line="360" w:lineRule="exact"/>
        <w:rPr>
          <w:rFonts w:hint="eastAsia" w:hAnsi="宋体"/>
          <w:color w:val="auto"/>
          <w:szCs w:val="21"/>
          <w:highlight w:val="none"/>
        </w:rPr>
      </w:pPr>
      <w:r>
        <w:rPr>
          <w:rFonts w:hint="eastAsia" w:hAnsi="宋体"/>
          <w:color w:val="auto"/>
          <w:szCs w:val="21"/>
          <w:highlight w:val="none"/>
        </w:rPr>
        <w:t xml:space="preserve">    </w:t>
      </w:r>
      <w:r>
        <w:rPr>
          <w:rFonts w:hint="eastAsia" w:hAnsi="宋体"/>
          <w:b/>
          <w:bCs/>
          <w:color w:val="auto"/>
          <w:szCs w:val="21"/>
          <w:highlight w:val="none"/>
        </w:rPr>
        <w:t>17．隐蔽工程和中间验收</w:t>
      </w:r>
    </w:p>
    <w:p w14:paraId="0EC0E2A0">
      <w:pPr>
        <w:spacing w:line="360" w:lineRule="exact"/>
        <w:rPr>
          <w:rFonts w:hint="eastAsia" w:hAnsi="宋体"/>
          <w:color w:val="auto"/>
          <w:szCs w:val="21"/>
          <w:highlight w:val="none"/>
          <w:u w:val="single"/>
        </w:rPr>
      </w:pPr>
      <w:r>
        <w:rPr>
          <w:rFonts w:hint="eastAsia" w:hAnsi="宋体"/>
          <w:color w:val="auto"/>
          <w:szCs w:val="21"/>
          <w:highlight w:val="none"/>
        </w:rPr>
        <w:t xml:space="preserve">    17.1双方约定中间验收部位：</w:t>
      </w:r>
      <w:r>
        <w:rPr>
          <w:rFonts w:hint="eastAsia" w:hAnsi="宋体"/>
          <w:color w:val="auto"/>
          <w:szCs w:val="21"/>
          <w:highlight w:val="none"/>
          <w:u w:val="single"/>
        </w:rPr>
        <w:t>待定</w:t>
      </w:r>
      <w:r>
        <w:rPr>
          <w:rFonts w:hint="eastAsia" w:hAnsi="宋体"/>
          <w:color w:val="auto"/>
          <w:szCs w:val="21"/>
          <w:highlight w:val="none"/>
        </w:rPr>
        <w:t>。</w:t>
      </w:r>
    </w:p>
    <w:p w14:paraId="2B5ED6A6">
      <w:pPr>
        <w:spacing w:line="360" w:lineRule="exact"/>
        <w:ind w:firstLine="105" w:firstLineChars="50"/>
        <w:rPr>
          <w:rFonts w:hint="eastAsia" w:hAnsi="宋体"/>
          <w:b/>
          <w:color w:val="auto"/>
          <w:szCs w:val="21"/>
          <w:highlight w:val="none"/>
        </w:rPr>
      </w:pPr>
      <w:r>
        <w:rPr>
          <w:rFonts w:hint="eastAsia" w:hAnsi="宋体"/>
          <w:b/>
          <w:color w:val="auto"/>
          <w:szCs w:val="21"/>
          <w:highlight w:val="none"/>
        </w:rPr>
        <w:t xml:space="preserve">  * 17.2工程隐蔽或中间验收前十二小时以书面形式通知发包人和监理工程师验收的内容、时间、地点，承包人准备验收记录单(最好是印制的表格)由双方签证。验收合格，承包人可进行隐蔽和继续施工；验收不合格，双方商订时限内修改后按上述程序重新验收。</w:t>
      </w:r>
    </w:p>
    <w:p w14:paraId="31E2E71B">
      <w:pPr>
        <w:spacing w:line="360" w:lineRule="exact"/>
        <w:rPr>
          <w:rFonts w:hint="eastAsia" w:hAnsi="宋体"/>
          <w:b/>
          <w:color w:val="auto"/>
          <w:szCs w:val="21"/>
          <w:highlight w:val="none"/>
        </w:rPr>
      </w:pPr>
      <w:r>
        <w:rPr>
          <w:rFonts w:hint="eastAsia" w:hAnsi="宋体"/>
          <w:b/>
          <w:color w:val="auto"/>
          <w:szCs w:val="21"/>
          <w:highlight w:val="none"/>
        </w:rPr>
        <w:t xml:space="preserve">    *17.3工程师应在承包人约定时间到达现场进行隐蔽中间验收工作(不得以任何理由改期)，如果在约定时间超过两小时内工程师未到现场或到现场后不签证(有非承包方人员证明)，承包人可自行隐蔽继续施工，后果由工程师承担。但在约定时间承包人未到现场及超过约定时间两小时，工程师可另订时间验收，承包人不得有异议且承担由此引发的责任。</w:t>
      </w:r>
    </w:p>
    <w:p w14:paraId="2AEE6377">
      <w:pPr>
        <w:spacing w:line="360" w:lineRule="exact"/>
        <w:rPr>
          <w:rFonts w:hint="eastAsia" w:hAnsi="宋体"/>
          <w:b/>
          <w:color w:val="auto"/>
          <w:szCs w:val="21"/>
          <w:highlight w:val="none"/>
        </w:rPr>
      </w:pPr>
      <w:r>
        <w:rPr>
          <w:rFonts w:hint="eastAsia" w:hAnsi="宋体"/>
          <w:b/>
          <w:color w:val="auto"/>
          <w:szCs w:val="21"/>
          <w:highlight w:val="none"/>
        </w:rPr>
        <w:t>五、合同价款与支付</w:t>
      </w:r>
    </w:p>
    <w:p w14:paraId="7FA8FD23">
      <w:pPr>
        <w:spacing w:line="360" w:lineRule="exact"/>
        <w:rPr>
          <w:rFonts w:hint="eastAsia" w:hAnsi="宋体"/>
          <w:b/>
          <w:color w:val="auto"/>
          <w:szCs w:val="21"/>
          <w:highlight w:val="none"/>
        </w:rPr>
      </w:pPr>
      <w:r>
        <w:rPr>
          <w:rFonts w:hint="eastAsia" w:hAnsi="宋体"/>
          <w:b/>
          <w:color w:val="auto"/>
          <w:szCs w:val="21"/>
          <w:highlight w:val="none"/>
        </w:rPr>
        <w:t xml:space="preserve">    23．合同价款及调整</w:t>
      </w:r>
    </w:p>
    <w:p w14:paraId="223DF957">
      <w:pPr>
        <w:spacing w:line="360" w:lineRule="exact"/>
        <w:rPr>
          <w:rFonts w:hint="eastAsia" w:hAnsi="宋体"/>
          <w:b/>
          <w:color w:val="auto"/>
          <w:szCs w:val="21"/>
          <w:highlight w:val="none"/>
        </w:rPr>
      </w:pPr>
      <w:r>
        <w:rPr>
          <w:rFonts w:hint="eastAsia" w:hAnsi="宋体"/>
          <w:b/>
          <w:color w:val="auto"/>
          <w:szCs w:val="21"/>
          <w:highlight w:val="none"/>
        </w:rPr>
        <w:t xml:space="preserve">   *23.1本合同价款采用</w:t>
      </w:r>
      <w:r>
        <w:rPr>
          <w:rFonts w:hint="eastAsia" w:hAnsi="宋体"/>
          <w:b/>
          <w:color w:val="auto"/>
          <w:szCs w:val="21"/>
          <w:highlight w:val="none"/>
          <w:u w:val="single"/>
        </w:rPr>
        <w:t>固定单价合同</w:t>
      </w:r>
      <w:r>
        <w:rPr>
          <w:rFonts w:hint="eastAsia" w:hAnsi="宋体"/>
          <w:b/>
          <w:color w:val="auto"/>
          <w:szCs w:val="21"/>
          <w:highlight w:val="none"/>
        </w:rPr>
        <w:t>的方式确定。</w:t>
      </w:r>
    </w:p>
    <w:p w14:paraId="6D966632">
      <w:pPr>
        <w:spacing w:line="360" w:lineRule="exact"/>
        <w:rPr>
          <w:rFonts w:hint="eastAsia" w:hAnsi="宋体"/>
          <w:b/>
          <w:color w:val="auto"/>
          <w:szCs w:val="21"/>
          <w:highlight w:val="none"/>
        </w:rPr>
      </w:pPr>
      <w:r>
        <w:rPr>
          <w:rFonts w:hint="eastAsia" w:hAnsi="宋体"/>
          <w:b/>
          <w:color w:val="auto"/>
          <w:szCs w:val="21"/>
          <w:highlight w:val="none"/>
        </w:rPr>
        <w:t xml:space="preserve">    风险范围以外合同价款调整方法：</w:t>
      </w:r>
    </w:p>
    <w:p w14:paraId="7E8B1A11">
      <w:pPr>
        <w:spacing w:line="360" w:lineRule="exact"/>
        <w:ind w:firstLine="278" w:firstLineChars="132"/>
        <w:rPr>
          <w:rFonts w:hint="eastAsia" w:hAnsi="宋体"/>
          <w:b/>
          <w:color w:val="auto"/>
          <w:szCs w:val="21"/>
          <w:highlight w:val="none"/>
          <w:u w:val="single"/>
        </w:rPr>
      </w:pPr>
      <w:r>
        <w:rPr>
          <w:rFonts w:hint="eastAsia" w:hAnsi="宋体"/>
          <w:b/>
          <w:color w:val="auto"/>
          <w:szCs w:val="21"/>
          <w:highlight w:val="none"/>
        </w:rPr>
        <w:t xml:space="preserve">  </w:t>
      </w:r>
      <w:r>
        <w:rPr>
          <w:rFonts w:hint="eastAsia" w:hAnsi="宋体"/>
          <w:b/>
          <w:color w:val="auto"/>
          <w:szCs w:val="21"/>
          <w:highlight w:val="none"/>
          <w:u w:val="single"/>
        </w:rPr>
        <w:t>（一）因设计变更引起工程项目、工程量任何变化的，变更合同价款按下列方法进行：（1）合同中已有适用于变更工程的价格，按合同已有的价格变更合同价款；（2）合同中只有类似于变更工程的价格，可以按照类似价格变更合同价款；（3）合同中没有适用或类似于变更工程的价格，由建设单位将预算控制价及变更的相关资料</w:t>
      </w:r>
      <w:r>
        <w:rPr>
          <w:rFonts w:hint="eastAsia" w:hAnsi="宋体"/>
          <w:b/>
          <w:color w:val="auto"/>
          <w:szCs w:val="21"/>
          <w:highlight w:val="none"/>
          <w:u w:val="single"/>
          <w:lang w:eastAsia="zh-CN"/>
        </w:rPr>
        <w:t>钦北区</w:t>
      </w:r>
      <w:r>
        <w:rPr>
          <w:rFonts w:hint="eastAsia" w:hAnsi="宋体"/>
          <w:b/>
          <w:color w:val="auto"/>
          <w:szCs w:val="21"/>
          <w:highlight w:val="none"/>
          <w:u w:val="single"/>
        </w:rPr>
        <w:t>财政局（投资评审中心）审核，经</w:t>
      </w:r>
      <w:r>
        <w:rPr>
          <w:rFonts w:hint="eastAsia" w:hAnsi="宋体"/>
          <w:b/>
          <w:color w:val="auto"/>
          <w:szCs w:val="21"/>
          <w:highlight w:val="none"/>
          <w:u w:val="single"/>
          <w:lang w:eastAsia="zh-CN"/>
        </w:rPr>
        <w:t>钦北区</w:t>
      </w:r>
      <w:r>
        <w:rPr>
          <w:rFonts w:hint="eastAsia" w:hAnsi="宋体"/>
          <w:b/>
          <w:color w:val="auto"/>
          <w:szCs w:val="21"/>
          <w:highlight w:val="none"/>
          <w:u w:val="single"/>
        </w:rPr>
        <w:t>人民政府审定后,按竞标时成交价与采购控制价的统一下调比例调整确定价格；（4）新增项目在原合同金额10%以内（不含10%）的，须报</w:t>
      </w:r>
      <w:r>
        <w:rPr>
          <w:rFonts w:hint="eastAsia" w:hAnsi="宋体"/>
          <w:b/>
          <w:color w:val="auto"/>
          <w:szCs w:val="21"/>
          <w:highlight w:val="none"/>
          <w:u w:val="single"/>
          <w:lang w:eastAsia="zh-CN"/>
        </w:rPr>
        <w:t>钦北区</w:t>
      </w:r>
      <w:r>
        <w:rPr>
          <w:rFonts w:hint="eastAsia" w:hAnsi="宋体"/>
          <w:b/>
          <w:color w:val="auto"/>
          <w:szCs w:val="21"/>
          <w:highlight w:val="none"/>
          <w:u w:val="single"/>
        </w:rPr>
        <w:t>县财政局备案；新增项目超过原合同金额10%以上（含10%）的部分，或单项工程增加达100万元以上的，须另行重新组织采购或报</w:t>
      </w:r>
      <w:r>
        <w:rPr>
          <w:rFonts w:hint="eastAsia" w:hAnsi="宋体"/>
          <w:b/>
          <w:color w:val="auto"/>
          <w:szCs w:val="21"/>
          <w:highlight w:val="none"/>
          <w:u w:val="single"/>
          <w:lang w:eastAsia="zh-CN"/>
        </w:rPr>
        <w:t>钦北区</w:t>
      </w:r>
      <w:r>
        <w:rPr>
          <w:rFonts w:hint="eastAsia" w:hAnsi="宋体"/>
          <w:b/>
          <w:color w:val="auto"/>
          <w:szCs w:val="21"/>
          <w:highlight w:val="none"/>
          <w:u w:val="single"/>
        </w:rPr>
        <w:t>人民政府批准</w:t>
      </w:r>
      <w:r>
        <w:rPr>
          <w:rFonts w:hint="eastAsia" w:hAnsi="宋体"/>
          <w:b/>
          <w:color w:val="auto"/>
          <w:szCs w:val="21"/>
          <w:highlight w:val="none"/>
        </w:rPr>
        <w:t>。</w:t>
      </w:r>
    </w:p>
    <w:p w14:paraId="66EE779E">
      <w:pPr>
        <w:spacing w:line="360" w:lineRule="exact"/>
        <w:rPr>
          <w:rFonts w:hint="eastAsia" w:hAnsi="宋体"/>
          <w:b/>
          <w:color w:val="auto"/>
          <w:szCs w:val="21"/>
          <w:highlight w:val="none"/>
          <w:u w:val="single"/>
        </w:rPr>
      </w:pPr>
      <w:r>
        <w:rPr>
          <w:rFonts w:hint="eastAsia" w:hAnsi="宋体"/>
          <w:b/>
          <w:color w:val="auto"/>
          <w:szCs w:val="21"/>
          <w:highlight w:val="none"/>
        </w:rPr>
        <w:t xml:space="preserve">  </w:t>
      </w:r>
      <w:r>
        <w:rPr>
          <w:rFonts w:hint="eastAsia" w:hAnsi="宋体"/>
          <w:b/>
          <w:color w:val="auto"/>
          <w:szCs w:val="21"/>
          <w:highlight w:val="none"/>
          <w:u w:val="single"/>
        </w:rPr>
        <w:t>（二）国家和自治区政策性调整有关费用标准，按文件规定执行</w:t>
      </w:r>
      <w:r>
        <w:rPr>
          <w:rFonts w:hint="eastAsia" w:hAnsi="宋体"/>
          <w:b/>
          <w:color w:val="auto"/>
          <w:szCs w:val="21"/>
          <w:highlight w:val="none"/>
        </w:rPr>
        <w:t>。</w:t>
      </w:r>
    </w:p>
    <w:p w14:paraId="5CD5225B">
      <w:pPr>
        <w:spacing w:line="360" w:lineRule="exact"/>
        <w:ind w:firstLine="352" w:firstLineChars="167"/>
        <w:rPr>
          <w:rFonts w:hint="eastAsia" w:hAnsi="宋体"/>
          <w:b/>
          <w:color w:val="auto"/>
          <w:szCs w:val="21"/>
          <w:highlight w:val="none"/>
          <w:u w:val="single"/>
        </w:rPr>
      </w:pPr>
      <w:r>
        <w:rPr>
          <w:rFonts w:hint="eastAsia" w:hAnsi="宋体"/>
          <w:b/>
          <w:color w:val="auto"/>
          <w:szCs w:val="21"/>
          <w:highlight w:val="none"/>
          <w:u w:val="single"/>
        </w:rPr>
        <w:t>本工程最终结算价以审计部门审定为准。工程结算审计时，承包人提供的送审结算若因审减量大，审计部门提出要支付审核费用的，由承包人负责支付。</w:t>
      </w:r>
    </w:p>
    <w:p w14:paraId="1C77AC7A">
      <w:pPr>
        <w:spacing w:line="360" w:lineRule="exact"/>
        <w:ind w:firstLine="504" w:firstLineChars="239"/>
        <w:rPr>
          <w:rFonts w:hint="eastAsia" w:hAnsi="宋体"/>
          <w:b/>
          <w:color w:val="auto"/>
          <w:szCs w:val="21"/>
          <w:highlight w:val="none"/>
        </w:rPr>
      </w:pPr>
      <w:r>
        <w:rPr>
          <w:rFonts w:hint="eastAsia" w:hAnsi="宋体"/>
          <w:b/>
          <w:color w:val="auto"/>
          <w:szCs w:val="21"/>
          <w:highlight w:val="none"/>
        </w:rPr>
        <w:t>25．工程量确认：</w:t>
      </w:r>
    </w:p>
    <w:p w14:paraId="614623EC">
      <w:pPr>
        <w:spacing w:line="360" w:lineRule="exact"/>
        <w:ind w:firstLine="457" w:firstLineChars="218"/>
        <w:rPr>
          <w:rFonts w:hint="eastAsia" w:hAnsi="宋体"/>
          <w:color w:val="auto"/>
          <w:szCs w:val="21"/>
          <w:highlight w:val="none"/>
          <w:u w:val="single"/>
        </w:rPr>
      </w:pPr>
      <w:r>
        <w:rPr>
          <w:rFonts w:hint="eastAsia" w:hAnsi="宋体"/>
          <w:color w:val="auto"/>
          <w:szCs w:val="21"/>
          <w:highlight w:val="none"/>
        </w:rPr>
        <w:t>25.1  承包人向工程师提交已完工程量报告的时间：</w:t>
      </w:r>
      <w:r>
        <w:rPr>
          <w:rFonts w:hint="eastAsia" w:hAnsi="宋体"/>
          <w:color w:val="auto"/>
          <w:szCs w:val="21"/>
          <w:highlight w:val="none"/>
          <w:u w:val="single"/>
        </w:rPr>
        <w:t xml:space="preserve">  每月二十五日前 </w:t>
      </w:r>
      <w:r>
        <w:rPr>
          <w:rFonts w:hint="eastAsia" w:hAnsi="宋体"/>
          <w:color w:val="auto"/>
          <w:szCs w:val="21"/>
          <w:highlight w:val="none"/>
        </w:rPr>
        <w:t>。</w:t>
      </w:r>
    </w:p>
    <w:p w14:paraId="23C814F3">
      <w:pPr>
        <w:spacing w:line="360" w:lineRule="exact"/>
        <w:ind w:firstLine="487" w:firstLineChars="232"/>
        <w:rPr>
          <w:rFonts w:hint="eastAsia" w:hAnsi="宋体"/>
          <w:color w:val="auto"/>
          <w:szCs w:val="21"/>
          <w:highlight w:val="none"/>
        </w:rPr>
      </w:pPr>
      <w:r>
        <w:rPr>
          <w:rFonts w:hint="eastAsia" w:hAnsi="宋体"/>
          <w:color w:val="auto"/>
          <w:szCs w:val="21"/>
          <w:highlight w:val="none"/>
        </w:rPr>
        <w:t>25.1.1  工程量清单所列的工程量，不能作为承包人按合同履行其责任依据，实际施工中发生的工程量增加或减少并不影响承包人履行合同的责任，工程结算以完成的实际工程量为准。</w:t>
      </w:r>
    </w:p>
    <w:p w14:paraId="462F3A97">
      <w:pPr>
        <w:spacing w:line="360" w:lineRule="exact"/>
        <w:ind w:firstLine="306" w:firstLineChars="146"/>
        <w:rPr>
          <w:rFonts w:hint="eastAsia" w:hAnsi="宋体"/>
          <w:color w:val="auto"/>
          <w:szCs w:val="21"/>
          <w:highlight w:val="none"/>
        </w:rPr>
      </w:pPr>
      <w:r>
        <w:rPr>
          <w:rFonts w:hint="eastAsia" w:hAnsi="宋体"/>
          <w:color w:val="auto"/>
          <w:szCs w:val="21"/>
          <w:highlight w:val="none"/>
        </w:rPr>
        <w:t xml:space="preserve">  25.2  除另有规定外，工程师应按照合同通过计量来核实确定已完成的工程量和价值，承包人应得到该价值扣除保留金后的价款。当工程师要对已完工的工程量进行计量时，应适时地通知承包人参加。</w:t>
      </w:r>
    </w:p>
    <w:p w14:paraId="5361F608">
      <w:pPr>
        <w:spacing w:line="360" w:lineRule="exact"/>
        <w:ind w:firstLine="350" w:firstLineChars="167"/>
        <w:rPr>
          <w:rFonts w:hint="eastAsia" w:hAnsi="宋体"/>
          <w:color w:val="auto"/>
          <w:szCs w:val="21"/>
          <w:highlight w:val="none"/>
        </w:rPr>
      </w:pPr>
      <w:r>
        <w:rPr>
          <w:rFonts w:hint="eastAsia" w:hAnsi="宋体"/>
          <w:color w:val="auto"/>
          <w:szCs w:val="21"/>
          <w:highlight w:val="none"/>
        </w:rPr>
        <w:t xml:space="preserve">  25.3计量方法</w:t>
      </w:r>
    </w:p>
    <w:p w14:paraId="4739A59C">
      <w:pPr>
        <w:spacing w:line="360" w:lineRule="exact"/>
        <w:ind w:firstLine="420"/>
        <w:rPr>
          <w:rFonts w:hint="eastAsia" w:hAnsi="宋体"/>
          <w:color w:val="auto"/>
          <w:szCs w:val="21"/>
          <w:highlight w:val="none"/>
        </w:rPr>
      </w:pPr>
      <w:r>
        <w:rPr>
          <w:rFonts w:hint="eastAsia" w:hAnsi="宋体"/>
          <w:color w:val="auto"/>
          <w:szCs w:val="21"/>
          <w:highlight w:val="none"/>
        </w:rPr>
        <w:t>工程的计量均以《公路工程建设项目投资估算编制办法》（JTG 3820—2018）、《公路工程建设项目概算预算编制办法》（JTG 3830—2018）</w:t>
      </w:r>
      <w:r>
        <w:rPr>
          <w:rFonts w:hint="eastAsia" w:hAnsi="宋体"/>
          <w:color w:val="auto"/>
          <w:szCs w:val="21"/>
          <w:highlight w:val="none"/>
          <w:lang w:eastAsia="zh-CN"/>
        </w:rPr>
        <w:t>、</w:t>
      </w:r>
      <w:r>
        <w:rPr>
          <w:rFonts w:hint="eastAsia" w:hAnsi="宋体"/>
          <w:color w:val="auto"/>
          <w:szCs w:val="21"/>
          <w:highlight w:val="none"/>
        </w:rPr>
        <w:t>《公路工程估算指标》（JTG/T 3821—2018）</w:t>
      </w:r>
      <w:r>
        <w:rPr>
          <w:rFonts w:hint="eastAsia" w:hAnsi="宋体"/>
          <w:color w:val="auto"/>
          <w:szCs w:val="21"/>
          <w:highlight w:val="none"/>
          <w:lang w:eastAsia="zh-CN"/>
        </w:rPr>
        <w:t>、</w:t>
      </w:r>
      <w:r>
        <w:rPr>
          <w:rFonts w:hint="eastAsia" w:hAnsi="宋体"/>
          <w:color w:val="auto"/>
          <w:szCs w:val="21"/>
          <w:highlight w:val="none"/>
        </w:rPr>
        <w:t>《公路工程概算定额》（JTG/T 3831—2018）、《公路工程预算定额》（JTG/T 3832—2018）</w:t>
      </w:r>
      <w:r>
        <w:rPr>
          <w:rFonts w:hint="eastAsia" w:hAnsi="宋体"/>
          <w:color w:val="auto"/>
          <w:szCs w:val="21"/>
          <w:highlight w:val="none"/>
          <w:lang w:eastAsia="zh-CN"/>
        </w:rPr>
        <w:t>、</w:t>
      </w:r>
      <w:r>
        <w:rPr>
          <w:rFonts w:hint="eastAsia" w:hAnsi="宋体"/>
          <w:color w:val="auto"/>
          <w:szCs w:val="21"/>
          <w:highlight w:val="none"/>
        </w:rPr>
        <w:t>《公路工程机械台班费用定额》（JTG/T 3833—2018）</w:t>
      </w:r>
      <w:r>
        <w:rPr>
          <w:rFonts w:hint="eastAsia" w:hAnsi="宋体"/>
          <w:color w:val="auto"/>
          <w:szCs w:val="21"/>
          <w:highlight w:val="none"/>
          <w:lang w:eastAsia="zh-CN"/>
        </w:rPr>
        <w:t>、</w:t>
      </w:r>
      <w:r>
        <w:rPr>
          <w:rFonts w:hint="eastAsia" w:hAnsi="宋体"/>
          <w:color w:val="auto"/>
          <w:szCs w:val="21"/>
          <w:highlight w:val="none"/>
        </w:rPr>
        <w:t>交通运输部关于调整《公路工程建设项目投资估算编制办法》(JTG 3820-2018)和《公路工程建设项目概算预算编制办法》(JTG 3830-2018)中“税金”有关规定的公告</w:t>
      </w:r>
      <w:r>
        <w:rPr>
          <w:rFonts w:hint="eastAsia" w:hAnsi="宋体"/>
          <w:color w:val="auto"/>
          <w:szCs w:val="21"/>
          <w:highlight w:val="none"/>
          <w:lang w:eastAsia="zh-CN"/>
        </w:rPr>
        <w:t>、</w:t>
      </w:r>
      <w:r>
        <w:rPr>
          <w:rFonts w:hint="eastAsia" w:hAnsi="宋体"/>
          <w:color w:val="auto"/>
          <w:szCs w:val="21"/>
          <w:highlight w:val="none"/>
        </w:rPr>
        <w:t>广西壮族自治区交通运输厅关于印发公路工程建设项目估算概算预算编制办法广西补充规定的通知 桂交建管发 〔2019〕39号</w:t>
      </w:r>
      <w:r>
        <w:rPr>
          <w:rFonts w:hint="eastAsia" w:hAnsi="宋体"/>
          <w:color w:val="auto"/>
          <w:szCs w:val="21"/>
          <w:highlight w:val="none"/>
          <w:lang w:eastAsia="zh-CN"/>
        </w:rPr>
        <w:t>、</w:t>
      </w:r>
      <w:r>
        <w:rPr>
          <w:rFonts w:hint="eastAsia" w:hAnsi="宋体"/>
          <w:color w:val="auto"/>
          <w:szCs w:val="21"/>
          <w:highlight w:val="none"/>
        </w:rPr>
        <w:t>交通部发布的《2018年公路工程标准施工招标文件第八章——工程量清单计量规则》及其相关计价规定，如有不明之处，应以监理工程师或造价管理部门指定的计量方法为准。</w:t>
      </w:r>
    </w:p>
    <w:p w14:paraId="7E170FAF">
      <w:pPr>
        <w:spacing w:line="360" w:lineRule="exact"/>
        <w:rPr>
          <w:rFonts w:hint="eastAsia" w:hAnsi="宋体"/>
          <w:color w:val="auto"/>
          <w:szCs w:val="21"/>
          <w:highlight w:val="none"/>
        </w:rPr>
      </w:pPr>
      <w:r>
        <w:rPr>
          <w:rFonts w:hint="eastAsia" w:hAnsi="宋体"/>
          <w:color w:val="auto"/>
          <w:szCs w:val="21"/>
          <w:highlight w:val="none"/>
        </w:rPr>
        <w:t xml:space="preserve">   </w:t>
      </w:r>
      <w:r>
        <w:rPr>
          <w:rFonts w:hint="eastAsia" w:hAnsi="宋体"/>
          <w:b/>
          <w:bCs/>
          <w:color w:val="auto"/>
          <w:szCs w:val="21"/>
          <w:highlight w:val="none"/>
        </w:rPr>
        <w:t xml:space="preserve"> </w:t>
      </w:r>
      <w:r>
        <w:rPr>
          <w:rFonts w:hint="eastAsia" w:hAnsi="宋体"/>
          <w:color w:val="auto"/>
          <w:szCs w:val="21"/>
          <w:highlight w:val="none"/>
        </w:rPr>
        <w:t>25.4计量单位</w:t>
      </w:r>
    </w:p>
    <w:p w14:paraId="09B5F48E">
      <w:pPr>
        <w:spacing w:line="360" w:lineRule="exact"/>
        <w:ind w:firstLine="546" w:firstLineChars="260"/>
        <w:rPr>
          <w:rFonts w:hint="eastAsia" w:hAnsi="宋体"/>
          <w:color w:val="auto"/>
          <w:szCs w:val="21"/>
          <w:highlight w:val="none"/>
        </w:rPr>
      </w:pPr>
      <w:r>
        <w:rPr>
          <w:rFonts w:hint="eastAsia" w:hAnsi="宋体"/>
          <w:color w:val="auto"/>
          <w:szCs w:val="21"/>
          <w:highlight w:val="none"/>
        </w:rPr>
        <w:t>除了合同另有规定外，所有计量单位均应符合本工程的工程量清单。</w:t>
      </w:r>
    </w:p>
    <w:p w14:paraId="66790CDA">
      <w:pPr>
        <w:spacing w:line="360" w:lineRule="exact"/>
        <w:ind w:firstLine="316" w:firstLineChars="150"/>
        <w:rPr>
          <w:rFonts w:hint="eastAsia" w:hAnsi="宋体"/>
          <w:b/>
          <w:color w:val="auto"/>
          <w:szCs w:val="21"/>
          <w:highlight w:val="none"/>
        </w:rPr>
      </w:pPr>
      <w:r>
        <w:rPr>
          <w:rFonts w:hint="eastAsia" w:hAnsi="宋体"/>
          <w:b/>
          <w:color w:val="auto"/>
          <w:szCs w:val="21"/>
          <w:highlight w:val="none"/>
        </w:rPr>
        <w:t>*26．工程进度款支付方式：银行转账 。</w:t>
      </w:r>
    </w:p>
    <w:p w14:paraId="24F70BA5">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b/>
          <w:color w:val="auto"/>
          <w:szCs w:val="21"/>
          <w:highlight w:val="none"/>
        </w:rPr>
      </w:pPr>
      <w:r>
        <w:rPr>
          <w:rFonts w:hint="eastAsia" w:hAnsi="宋体"/>
          <w:b/>
          <w:color w:val="auto"/>
          <w:szCs w:val="21"/>
          <w:highlight w:val="none"/>
        </w:rPr>
        <w:t>工程进度款支付方式：银行转账 。</w:t>
      </w:r>
    </w:p>
    <w:p w14:paraId="6BAD325C">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b/>
          <w:color w:val="auto"/>
          <w:szCs w:val="21"/>
          <w:highlight w:val="none"/>
        </w:rPr>
      </w:pPr>
      <w:r>
        <w:rPr>
          <w:rFonts w:hint="eastAsia" w:hAnsi="宋体"/>
          <w:b/>
          <w:color w:val="auto"/>
          <w:szCs w:val="21"/>
          <w:highlight w:val="none"/>
        </w:rPr>
        <w:t>进度款的支付率：按工程进度请款付款。</w:t>
      </w:r>
    </w:p>
    <w:p w14:paraId="62F9D2E2">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b/>
          <w:color w:val="auto"/>
          <w:szCs w:val="21"/>
          <w:highlight w:val="none"/>
        </w:rPr>
      </w:pPr>
      <w:r>
        <w:rPr>
          <w:rFonts w:hint="eastAsia" w:hAnsi="宋体"/>
          <w:b/>
          <w:color w:val="auto"/>
          <w:szCs w:val="21"/>
          <w:highlight w:val="none"/>
        </w:rPr>
        <w:t>预付款支付比例或金额：合同价款的</w:t>
      </w:r>
      <w:r>
        <w:rPr>
          <w:rFonts w:hint="eastAsia" w:hAnsi="宋体"/>
          <w:b/>
          <w:color w:val="auto"/>
          <w:szCs w:val="21"/>
          <w:highlight w:val="none"/>
          <w:u w:val="single"/>
          <w:lang w:val="en-US" w:eastAsia="zh-CN"/>
        </w:rPr>
        <w:t xml:space="preserve">       </w:t>
      </w:r>
      <w:r>
        <w:rPr>
          <w:rFonts w:hint="eastAsia" w:hAnsi="宋体"/>
          <w:b/>
          <w:color w:val="auto"/>
          <w:szCs w:val="21"/>
          <w:highlight w:val="none"/>
        </w:rPr>
        <w:t>%。</w:t>
      </w:r>
    </w:p>
    <w:p w14:paraId="573BE2FF">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b/>
          <w:color w:val="auto"/>
          <w:szCs w:val="21"/>
          <w:highlight w:val="none"/>
        </w:rPr>
      </w:pPr>
      <w:r>
        <w:rPr>
          <w:rFonts w:hint="eastAsia" w:hAnsi="宋体"/>
          <w:b/>
          <w:color w:val="auto"/>
          <w:szCs w:val="21"/>
          <w:highlight w:val="none"/>
        </w:rPr>
        <w:t>预付款支付期限：签订合同</w:t>
      </w:r>
      <w:r>
        <w:rPr>
          <w:rFonts w:hint="eastAsia" w:hAnsi="宋体"/>
          <w:b/>
          <w:color w:val="auto"/>
          <w:szCs w:val="21"/>
          <w:highlight w:val="none"/>
          <w:u w:val="single"/>
          <w:lang w:val="en-US" w:eastAsia="zh-CN"/>
        </w:rPr>
        <w:t>15</w:t>
      </w:r>
      <w:r>
        <w:rPr>
          <w:rFonts w:hint="eastAsia" w:hAnsi="宋体"/>
          <w:b/>
          <w:color w:val="auto"/>
          <w:szCs w:val="21"/>
          <w:highlight w:val="none"/>
        </w:rPr>
        <w:t>个工作日内支付。</w:t>
      </w:r>
    </w:p>
    <w:p w14:paraId="4EFD595C">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b/>
          <w:color w:val="auto"/>
          <w:szCs w:val="21"/>
          <w:highlight w:val="none"/>
        </w:rPr>
      </w:pPr>
      <w:r>
        <w:rPr>
          <w:rFonts w:hint="eastAsia" w:hAnsi="宋体"/>
          <w:b/>
          <w:color w:val="auto"/>
          <w:szCs w:val="21"/>
          <w:highlight w:val="none"/>
        </w:rPr>
        <w:t>预付款扣回的方式：</w:t>
      </w:r>
      <w:r>
        <w:rPr>
          <w:rFonts w:hint="eastAsia" w:hAnsi="宋体"/>
          <w:b/>
          <w:color w:val="auto"/>
          <w:szCs w:val="21"/>
          <w:highlight w:val="none"/>
          <w:u w:val="single"/>
          <w:lang w:val="en-US" w:eastAsia="zh-CN"/>
        </w:rPr>
        <w:t xml:space="preserve">         </w:t>
      </w:r>
      <w:r>
        <w:rPr>
          <w:rFonts w:hint="eastAsia" w:hAnsi="宋体"/>
          <w:b/>
          <w:color w:val="auto"/>
          <w:szCs w:val="21"/>
          <w:highlight w:val="none"/>
        </w:rPr>
        <w:t>。</w:t>
      </w:r>
    </w:p>
    <w:p w14:paraId="6B7EF09F">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eastAsia="宋体"/>
          <w:b/>
          <w:color w:val="auto"/>
          <w:szCs w:val="21"/>
          <w:highlight w:val="none"/>
          <w:lang w:eastAsia="zh-CN"/>
        </w:rPr>
      </w:pPr>
      <w:r>
        <w:rPr>
          <w:rFonts w:hint="eastAsia" w:hAnsi="宋体"/>
          <w:b/>
          <w:color w:val="auto"/>
          <w:szCs w:val="21"/>
          <w:highlight w:val="none"/>
          <w:lang w:eastAsia="zh-CN"/>
        </w:rPr>
        <w:t>注：工程款支付方式和时间以签订的正式合同条款为准。</w:t>
      </w:r>
    </w:p>
    <w:p w14:paraId="647BACB3">
      <w:pPr>
        <w:spacing w:line="360" w:lineRule="exact"/>
        <w:rPr>
          <w:rFonts w:hint="eastAsia" w:hAnsi="宋体"/>
          <w:b/>
          <w:color w:val="auto"/>
          <w:szCs w:val="21"/>
          <w:highlight w:val="none"/>
        </w:rPr>
      </w:pPr>
      <w:r>
        <w:rPr>
          <w:rFonts w:hint="eastAsia" w:hAnsi="宋体"/>
          <w:b/>
          <w:color w:val="auto"/>
          <w:szCs w:val="21"/>
          <w:highlight w:val="none"/>
        </w:rPr>
        <w:t>六、材料设备供应</w:t>
      </w:r>
    </w:p>
    <w:p w14:paraId="06FD2EB5">
      <w:pPr>
        <w:spacing w:line="360" w:lineRule="exact"/>
        <w:ind w:firstLine="293" w:firstLineChars="139"/>
        <w:rPr>
          <w:rFonts w:hint="eastAsia" w:hAnsi="宋体"/>
          <w:b/>
          <w:color w:val="auto"/>
          <w:szCs w:val="21"/>
          <w:highlight w:val="none"/>
        </w:rPr>
      </w:pPr>
      <w:r>
        <w:rPr>
          <w:rFonts w:hint="eastAsia" w:hAnsi="宋体"/>
          <w:b/>
          <w:color w:val="auto"/>
          <w:szCs w:val="21"/>
          <w:highlight w:val="none"/>
        </w:rPr>
        <w:t xml:space="preserve">  28．承包人采购材料设备</w:t>
      </w:r>
    </w:p>
    <w:p w14:paraId="122BF1B1">
      <w:pPr>
        <w:spacing w:line="360" w:lineRule="exact"/>
        <w:ind w:firstLine="277" w:firstLineChars="132"/>
        <w:rPr>
          <w:rFonts w:hint="eastAsia" w:hAnsi="宋体"/>
          <w:color w:val="auto"/>
          <w:szCs w:val="21"/>
          <w:highlight w:val="none"/>
        </w:rPr>
      </w:pPr>
      <w:r>
        <w:rPr>
          <w:rFonts w:hint="eastAsia" w:hAnsi="宋体"/>
          <w:color w:val="auto"/>
          <w:szCs w:val="21"/>
          <w:highlight w:val="none"/>
        </w:rPr>
        <w:t xml:space="preserve">  28.1  承包人采购材料设备的约定：本工程由承包人自行采购的工程材料和设备(政府集中采购的除外)，采购前须征得发包人或其授权人认可同意。主要材料涉及品种、款式、颜色等方面内容的，承包人应提前准备合格的材料样品送发包人选定。</w:t>
      </w:r>
    </w:p>
    <w:p w14:paraId="0B1DF813">
      <w:pPr>
        <w:spacing w:line="360" w:lineRule="exact"/>
        <w:rPr>
          <w:rFonts w:hint="eastAsia" w:hAnsi="宋体"/>
          <w:b/>
          <w:color w:val="auto"/>
          <w:szCs w:val="21"/>
          <w:highlight w:val="none"/>
        </w:rPr>
      </w:pPr>
      <w:r>
        <w:rPr>
          <w:rFonts w:hint="eastAsia" w:hAnsi="宋体"/>
          <w:b/>
          <w:color w:val="auto"/>
          <w:szCs w:val="21"/>
          <w:highlight w:val="none"/>
        </w:rPr>
        <w:t>七、工程变更</w:t>
      </w:r>
    </w:p>
    <w:p w14:paraId="5C385660">
      <w:pPr>
        <w:spacing w:line="360" w:lineRule="exact"/>
        <w:ind w:firstLine="293" w:firstLineChars="139"/>
        <w:rPr>
          <w:rFonts w:hint="eastAsia" w:hAnsi="宋体"/>
          <w:b/>
          <w:color w:val="auto"/>
          <w:szCs w:val="21"/>
          <w:highlight w:val="none"/>
        </w:rPr>
      </w:pPr>
      <w:r>
        <w:rPr>
          <w:rFonts w:hint="eastAsia" w:hAnsi="宋体"/>
          <w:b/>
          <w:color w:val="auto"/>
          <w:szCs w:val="21"/>
          <w:highlight w:val="none"/>
        </w:rPr>
        <w:t xml:space="preserve">  29．工程设计变更</w:t>
      </w:r>
    </w:p>
    <w:p w14:paraId="3684D004">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*29.1.1设计变更和工程签证，按政策规定办理。属不可抗力(自然灾害、突发事件等)造成变更的，按特事特办原则予以办理。</w:t>
      </w:r>
    </w:p>
    <w:p w14:paraId="58272A58">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*29.1.2工程设计变更和签证工程发生后十个工作日内，由建设单位将有关变更文件、签证单审批件、工程联系单、预算书等工程资料送同级财政部门备案，并作为进度款支付、事后抽查和工程结算的主要依据。</w:t>
      </w:r>
    </w:p>
    <w:p w14:paraId="779E98A9">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*29.1.3建设单位在实施项目过程中，若发生单价变动，由建设单位、监理单位或财政部门投资评审中心与施工单位共同商定并签字确认。</w:t>
      </w:r>
    </w:p>
    <w:p w14:paraId="5BDE8B96">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*29.1.4建设单位在工程设计变更和工程签证过程中必须认真负责、实事求是，不得弄虚作假，凡因上述问题所造成的损失，相应等额扣除建设单位项目管理费或其他财政拨款。</w:t>
      </w:r>
    </w:p>
    <w:p w14:paraId="35B8D4A3">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29.1.5承包人应当在合同规定的调整情况发生后十四天内，将调整原因，调整金额以书面形式通知发包人，发包人按第29.1.1、29.1.2、29.1.3、29.1.4条款的要求初步确认调整金额后将其作为追加合同价款，按不高于60％的比例与工程进度款同期支付，调整金额待工程单项结算或结算时，由审计部门等有关单位最终审定。</w:t>
      </w:r>
    </w:p>
    <w:p w14:paraId="3DA87B9D">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29.1.6当合同规定的调整合同价款的调整情况发生后，承包人未在规定时间内通知发包人，或者未在规定时间内提出调整报告，发包人可以根据有关资料，决定是否调整和调整的金额，并书面通知承包人。</w:t>
      </w:r>
    </w:p>
    <w:p w14:paraId="647714E4">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*31变更价款的确定按专用条款第二十三条执行。</w:t>
      </w:r>
    </w:p>
    <w:p w14:paraId="7FF71A75">
      <w:pPr>
        <w:spacing w:line="360" w:lineRule="exact"/>
        <w:rPr>
          <w:rFonts w:hint="eastAsia" w:hAnsi="宋体"/>
          <w:b/>
          <w:color w:val="auto"/>
          <w:szCs w:val="21"/>
          <w:highlight w:val="none"/>
        </w:rPr>
      </w:pPr>
      <w:r>
        <w:rPr>
          <w:rFonts w:hint="eastAsia" w:hAnsi="宋体"/>
          <w:b/>
          <w:color w:val="auto"/>
          <w:szCs w:val="21"/>
          <w:highlight w:val="none"/>
        </w:rPr>
        <w:t>八、竣工验收与结算</w:t>
      </w:r>
    </w:p>
    <w:p w14:paraId="38D4A00E">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32．竣工验收</w:t>
      </w:r>
    </w:p>
    <w:p w14:paraId="1EC0E3EE">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32.1承包人提供竣工图的约定：竣工验收正式通过后五天(工程造价在500万元以下含500万元)、十天(工程造价在500万元至1000万元之间含1000万元)、十五天(工程造价在1000万元以上)，提供竣工图的数量分别为二套、四套、六套。</w:t>
      </w:r>
    </w:p>
    <w:p w14:paraId="2C0FBEFD">
      <w:pPr>
        <w:spacing w:line="360" w:lineRule="exact"/>
        <w:ind w:firstLine="249" w:firstLineChars="118"/>
        <w:rPr>
          <w:rFonts w:hint="eastAsia" w:hAnsi="宋体"/>
          <w:color w:val="auto"/>
          <w:szCs w:val="21"/>
          <w:highlight w:val="none"/>
          <w:u w:val="single"/>
        </w:rPr>
      </w:pPr>
      <w:r>
        <w:rPr>
          <w:rFonts w:hint="eastAsia" w:hAnsi="宋体"/>
          <w:b/>
          <w:color w:val="auto"/>
          <w:szCs w:val="21"/>
          <w:highlight w:val="none"/>
        </w:rPr>
        <w:t xml:space="preserve">  32.6中间交工工程的范围和竣工时间：</w:t>
      </w:r>
      <w:r>
        <w:rPr>
          <w:rFonts w:hint="eastAsia" w:hAnsi="宋体"/>
          <w:b/>
          <w:color w:val="auto"/>
          <w:szCs w:val="21"/>
          <w:highlight w:val="none"/>
          <w:u w:val="single"/>
        </w:rPr>
        <w:t xml:space="preserve">                        </w:t>
      </w:r>
      <w:r>
        <w:rPr>
          <w:rFonts w:hint="eastAsia" w:hAnsi="宋体"/>
          <w:b/>
          <w:color w:val="auto"/>
          <w:szCs w:val="21"/>
          <w:highlight w:val="none"/>
        </w:rPr>
        <w:t xml:space="preserve">  </w:t>
      </w:r>
    </w:p>
    <w:p w14:paraId="3DE72322">
      <w:pPr>
        <w:spacing w:line="360" w:lineRule="exact"/>
        <w:ind w:firstLine="170" w:firstLineChars="81"/>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33．竣工结算</w:t>
      </w:r>
    </w:p>
    <w:p w14:paraId="74105DBD">
      <w:pPr>
        <w:spacing w:line="360" w:lineRule="exact"/>
        <w:ind w:firstLine="352" w:firstLineChars="167"/>
        <w:rPr>
          <w:rFonts w:hint="eastAsia" w:hAnsi="宋体"/>
          <w:b/>
          <w:color w:val="auto"/>
          <w:szCs w:val="21"/>
          <w:highlight w:val="none"/>
        </w:rPr>
      </w:pPr>
      <w:r>
        <w:rPr>
          <w:rFonts w:hint="eastAsia" w:hAnsi="宋体"/>
          <w:b/>
          <w:color w:val="auto"/>
          <w:szCs w:val="21"/>
          <w:highlight w:val="none"/>
        </w:rPr>
        <w:t>（1）工程完工后 60 天内承包人必须向监理单位、发包人提交工程竣工资料；经审核，若竣工资料需要修改的，承包人在接到发包人通知20天内完成修改再报送。工程验收合格后，承包人必须在30天内提供5套完整的竣工资料提交给发包人。工程完工后至提交5套完整的竣工资料的时间按110天计，超过时间要求的，工程结算时每滞后或拖延一天按合同价款万分之四的违约赔偿费，其限额为成交价的5％。</w:t>
      </w:r>
    </w:p>
    <w:p w14:paraId="7DC7A299">
      <w:pPr>
        <w:spacing w:line="360" w:lineRule="exact"/>
        <w:ind w:firstLine="398" w:firstLineChars="189"/>
        <w:rPr>
          <w:rFonts w:hint="eastAsia" w:hAnsi="宋体"/>
          <w:b/>
          <w:color w:val="auto"/>
          <w:szCs w:val="21"/>
          <w:highlight w:val="none"/>
        </w:rPr>
      </w:pPr>
      <w:r>
        <w:rPr>
          <w:rFonts w:hint="eastAsia" w:hAnsi="宋体"/>
          <w:b/>
          <w:color w:val="auto"/>
          <w:szCs w:val="21"/>
          <w:highlight w:val="none"/>
        </w:rPr>
        <w:t>（2）发包人竣工结算报告审查时间</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40"/>
        <w:gridCol w:w="5580"/>
      </w:tblGrid>
      <w:tr w14:paraId="6287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48" w:type="dxa"/>
            <w:noWrap w:val="0"/>
            <w:vAlign w:val="center"/>
          </w:tcPr>
          <w:p w14:paraId="74D3B88C">
            <w:pPr>
              <w:spacing w:line="360" w:lineRule="exact"/>
              <w:jc w:val="center"/>
              <w:rPr>
                <w:rFonts w:hint="eastAsia" w:hAnsi="宋体"/>
                <w:b/>
                <w:color w:val="auto"/>
                <w:szCs w:val="21"/>
                <w:highlight w:val="none"/>
              </w:rPr>
            </w:pPr>
          </w:p>
        </w:tc>
        <w:tc>
          <w:tcPr>
            <w:tcW w:w="2340" w:type="dxa"/>
            <w:noWrap w:val="0"/>
            <w:vAlign w:val="center"/>
          </w:tcPr>
          <w:p w14:paraId="4DFF574B">
            <w:pPr>
              <w:spacing w:line="360" w:lineRule="exact"/>
              <w:jc w:val="center"/>
              <w:rPr>
                <w:rFonts w:hint="eastAsia" w:hAnsi="宋体"/>
                <w:b/>
                <w:color w:val="auto"/>
                <w:szCs w:val="21"/>
                <w:highlight w:val="none"/>
              </w:rPr>
            </w:pPr>
            <w:r>
              <w:rPr>
                <w:rFonts w:hint="eastAsia" w:hAnsi="宋体"/>
                <w:color w:val="auto"/>
                <w:szCs w:val="21"/>
                <w:highlight w:val="none"/>
              </w:rPr>
              <w:t>工程竣工结算报告金额</w:t>
            </w:r>
          </w:p>
        </w:tc>
        <w:tc>
          <w:tcPr>
            <w:tcW w:w="5580" w:type="dxa"/>
            <w:noWrap w:val="0"/>
            <w:vAlign w:val="center"/>
          </w:tcPr>
          <w:p w14:paraId="3AAF6097">
            <w:pPr>
              <w:spacing w:line="360" w:lineRule="exact"/>
              <w:jc w:val="center"/>
              <w:rPr>
                <w:rFonts w:hint="eastAsia" w:hAnsi="宋体"/>
                <w:b/>
                <w:color w:val="auto"/>
                <w:szCs w:val="21"/>
                <w:highlight w:val="none"/>
              </w:rPr>
            </w:pPr>
            <w:r>
              <w:rPr>
                <w:rFonts w:hint="eastAsia" w:hAnsi="宋体"/>
                <w:color w:val="auto"/>
                <w:szCs w:val="21"/>
                <w:highlight w:val="none"/>
              </w:rPr>
              <w:t>发包人审查时间</w:t>
            </w:r>
          </w:p>
        </w:tc>
      </w:tr>
      <w:tr w14:paraId="2293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48" w:type="dxa"/>
            <w:noWrap w:val="0"/>
            <w:vAlign w:val="center"/>
          </w:tcPr>
          <w:p w14:paraId="1D85D921">
            <w:pPr>
              <w:spacing w:line="360" w:lineRule="exact"/>
              <w:jc w:val="center"/>
              <w:rPr>
                <w:rFonts w:hint="eastAsia" w:hAnsi="宋体"/>
                <w:b/>
                <w:color w:val="auto"/>
                <w:szCs w:val="21"/>
                <w:highlight w:val="none"/>
              </w:rPr>
            </w:pPr>
            <w:r>
              <w:rPr>
                <w:rFonts w:hint="eastAsia" w:hAnsi="宋体"/>
                <w:b/>
                <w:color w:val="auto"/>
                <w:szCs w:val="21"/>
                <w:highlight w:val="none"/>
              </w:rPr>
              <w:t>1</w:t>
            </w:r>
          </w:p>
        </w:tc>
        <w:tc>
          <w:tcPr>
            <w:tcW w:w="2340" w:type="dxa"/>
            <w:noWrap w:val="0"/>
            <w:vAlign w:val="center"/>
          </w:tcPr>
          <w:p w14:paraId="64E882BD">
            <w:pPr>
              <w:spacing w:line="360" w:lineRule="exact"/>
              <w:rPr>
                <w:rFonts w:hint="eastAsia" w:hAnsi="宋体"/>
                <w:b/>
                <w:color w:val="auto"/>
                <w:szCs w:val="21"/>
                <w:highlight w:val="none"/>
              </w:rPr>
            </w:pPr>
            <w:r>
              <w:rPr>
                <w:rFonts w:hint="eastAsia" w:hAnsi="宋体"/>
                <w:color w:val="auto"/>
                <w:szCs w:val="21"/>
                <w:highlight w:val="none"/>
              </w:rPr>
              <w:t>500万元以下</w:t>
            </w:r>
          </w:p>
        </w:tc>
        <w:tc>
          <w:tcPr>
            <w:tcW w:w="5580" w:type="dxa"/>
            <w:noWrap w:val="0"/>
            <w:vAlign w:val="center"/>
          </w:tcPr>
          <w:p w14:paraId="70FD2A9E">
            <w:pPr>
              <w:spacing w:line="360" w:lineRule="exact"/>
              <w:jc w:val="center"/>
              <w:rPr>
                <w:rFonts w:hint="eastAsia" w:hAnsi="宋体"/>
                <w:b/>
                <w:color w:val="auto"/>
                <w:szCs w:val="21"/>
                <w:highlight w:val="none"/>
              </w:rPr>
            </w:pPr>
            <w:r>
              <w:rPr>
                <w:rFonts w:hint="eastAsia" w:hAnsi="宋体"/>
                <w:color w:val="auto"/>
                <w:szCs w:val="21"/>
                <w:highlight w:val="none"/>
              </w:rPr>
              <w:t>从接到竣工结算报告和完整的竣工结算资料之日起20天</w:t>
            </w:r>
          </w:p>
        </w:tc>
      </w:tr>
      <w:tr w14:paraId="0B16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48" w:type="dxa"/>
            <w:noWrap w:val="0"/>
            <w:vAlign w:val="center"/>
          </w:tcPr>
          <w:p w14:paraId="5B1DCDC9">
            <w:pPr>
              <w:spacing w:line="360" w:lineRule="exact"/>
              <w:jc w:val="center"/>
              <w:rPr>
                <w:rFonts w:hint="eastAsia" w:hAnsi="宋体"/>
                <w:b/>
                <w:color w:val="auto"/>
                <w:szCs w:val="21"/>
                <w:highlight w:val="none"/>
              </w:rPr>
            </w:pPr>
            <w:r>
              <w:rPr>
                <w:rFonts w:hint="eastAsia" w:hAnsi="宋体"/>
                <w:b/>
                <w:color w:val="auto"/>
                <w:szCs w:val="21"/>
                <w:highlight w:val="none"/>
              </w:rPr>
              <w:t>2</w:t>
            </w:r>
          </w:p>
        </w:tc>
        <w:tc>
          <w:tcPr>
            <w:tcW w:w="2340" w:type="dxa"/>
            <w:noWrap w:val="0"/>
            <w:vAlign w:val="center"/>
          </w:tcPr>
          <w:p w14:paraId="1D1B7584">
            <w:pPr>
              <w:spacing w:line="360" w:lineRule="exact"/>
              <w:jc w:val="center"/>
              <w:rPr>
                <w:rFonts w:hint="eastAsia" w:hAnsi="宋体"/>
                <w:b/>
                <w:color w:val="auto"/>
                <w:szCs w:val="21"/>
                <w:highlight w:val="none"/>
              </w:rPr>
            </w:pPr>
            <w:r>
              <w:rPr>
                <w:rFonts w:hint="eastAsia" w:hAnsi="宋体"/>
                <w:color w:val="auto"/>
                <w:szCs w:val="21"/>
                <w:highlight w:val="none"/>
              </w:rPr>
              <w:t>500万元一2000万元</w:t>
            </w:r>
          </w:p>
        </w:tc>
        <w:tc>
          <w:tcPr>
            <w:tcW w:w="5580" w:type="dxa"/>
            <w:noWrap w:val="0"/>
            <w:vAlign w:val="center"/>
          </w:tcPr>
          <w:p w14:paraId="13334B19">
            <w:pPr>
              <w:spacing w:line="360" w:lineRule="exact"/>
              <w:jc w:val="center"/>
              <w:rPr>
                <w:rFonts w:hint="eastAsia" w:hAnsi="宋体"/>
                <w:b/>
                <w:color w:val="auto"/>
                <w:szCs w:val="21"/>
                <w:highlight w:val="none"/>
              </w:rPr>
            </w:pPr>
            <w:r>
              <w:rPr>
                <w:rFonts w:hint="eastAsia" w:hAnsi="宋体"/>
                <w:color w:val="auto"/>
                <w:szCs w:val="21"/>
                <w:highlight w:val="none"/>
              </w:rPr>
              <w:t>从接到竣工结算报告和完整的竣工结算资料之日起30天</w:t>
            </w:r>
          </w:p>
        </w:tc>
      </w:tr>
      <w:tr w14:paraId="7D5F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48" w:type="dxa"/>
            <w:noWrap w:val="0"/>
            <w:vAlign w:val="center"/>
          </w:tcPr>
          <w:p w14:paraId="36E0F029">
            <w:pPr>
              <w:spacing w:line="360" w:lineRule="exact"/>
              <w:jc w:val="center"/>
              <w:rPr>
                <w:rFonts w:hint="eastAsia" w:hAnsi="宋体"/>
                <w:b/>
                <w:color w:val="auto"/>
                <w:szCs w:val="21"/>
                <w:highlight w:val="none"/>
              </w:rPr>
            </w:pPr>
            <w:r>
              <w:rPr>
                <w:rFonts w:hint="eastAsia" w:hAnsi="宋体"/>
                <w:b/>
                <w:color w:val="auto"/>
                <w:szCs w:val="21"/>
                <w:highlight w:val="none"/>
              </w:rPr>
              <w:t>3</w:t>
            </w:r>
          </w:p>
        </w:tc>
        <w:tc>
          <w:tcPr>
            <w:tcW w:w="2340" w:type="dxa"/>
            <w:noWrap w:val="0"/>
            <w:vAlign w:val="center"/>
          </w:tcPr>
          <w:p w14:paraId="1856EA8C">
            <w:pPr>
              <w:spacing w:line="360" w:lineRule="exact"/>
              <w:jc w:val="center"/>
              <w:rPr>
                <w:rFonts w:hint="eastAsia" w:hAnsi="宋体"/>
                <w:b/>
                <w:color w:val="auto"/>
                <w:szCs w:val="21"/>
                <w:highlight w:val="none"/>
              </w:rPr>
            </w:pPr>
            <w:r>
              <w:rPr>
                <w:rFonts w:hint="eastAsia" w:hAnsi="宋体"/>
                <w:color w:val="auto"/>
                <w:szCs w:val="21"/>
                <w:highlight w:val="none"/>
              </w:rPr>
              <w:t>2000万元一5000万元</w:t>
            </w:r>
          </w:p>
        </w:tc>
        <w:tc>
          <w:tcPr>
            <w:tcW w:w="5580" w:type="dxa"/>
            <w:noWrap w:val="0"/>
            <w:vAlign w:val="center"/>
          </w:tcPr>
          <w:p w14:paraId="547FF969">
            <w:pPr>
              <w:spacing w:line="360" w:lineRule="exact"/>
              <w:jc w:val="center"/>
              <w:rPr>
                <w:rFonts w:hint="eastAsia" w:hAnsi="宋体"/>
                <w:b/>
                <w:color w:val="auto"/>
                <w:szCs w:val="21"/>
                <w:highlight w:val="none"/>
              </w:rPr>
            </w:pPr>
            <w:r>
              <w:rPr>
                <w:rFonts w:hint="eastAsia" w:hAnsi="宋体"/>
                <w:color w:val="auto"/>
                <w:szCs w:val="21"/>
                <w:highlight w:val="none"/>
              </w:rPr>
              <w:t>从接到竣工结算报告和完整的竣工结算资料之日起45天</w:t>
            </w:r>
          </w:p>
        </w:tc>
      </w:tr>
      <w:tr w14:paraId="33AF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48" w:type="dxa"/>
            <w:noWrap w:val="0"/>
            <w:vAlign w:val="center"/>
          </w:tcPr>
          <w:p w14:paraId="004B358B">
            <w:pPr>
              <w:spacing w:line="360" w:lineRule="exact"/>
              <w:jc w:val="center"/>
              <w:rPr>
                <w:rFonts w:hint="eastAsia" w:hAnsi="宋体"/>
                <w:b/>
                <w:color w:val="auto"/>
                <w:szCs w:val="21"/>
                <w:highlight w:val="none"/>
              </w:rPr>
            </w:pPr>
            <w:r>
              <w:rPr>
                <w:rFonts w:hint="eastAsia" w:hAnsi="宋体"/>
                <w:b/>
                <w:color w:val="auto"/>
                <w:szCs w:val="21"/>
                <w:highlight w:val="none"/>
              </w:rPr>
              <w:t>4</w:t>
            </w:r>
          </w:p>
        </w:tc>
        <w:tc>
          <w:tcPr>
            <w:tcW w:w="2340" w:type="dxa"/>
            <w:noWrap w:val="0"/>
            <w:vAlign w:val="center"/>
          </w:tcPr>
          <w:p w14:paraId="36FCEFC5">
            <w:pPr>
              <w:spacing w:line="360" w:lineRule="exact"/>
              <w:rPr>
                <w:rFonts w:hint="eastAsia" w:hAnsi="宋体"/>
                <w:b/>
                <w:color w:val="auto"/>
                <w:szCs w:val="21"/>
                <w:highlight w:val="none"/>
              </w:rPr>
            </w:pPr>
            <w:r>
              <w:rPr>
                <w:rFonts w:hint="eastAsia" w:hAnsi="宋体"/>
                <w:color w:val="auto"/>
                <w:szCs w:val="21"/>
                <w:highlight w:val="none"/>
              </w:rPr>
              <w:t>5000万元以上</w:t>
            </w:r>
          </w:p>
        </w:tc>
        <w:tc>
          <w:tcPr>
            <w:tcW w:w="5580" w:type="dxa"/>
            <w:noWrap w:val="0"/>
            <w:vAlign w:val="center"/>
          </w:tcPr>
          <w:p w14:paraId="492814E5">
            <w:pPr>
              <w:spacing w:line="360" w:lineRule="exact"/>
              <w:jc w:val="center"/>
              <w:rPr>
                <w:rFonts w:hint="eastAsia" w:hAnsi="宋体"/>
                <w:b/>
                <w:color w:val="auto"/>
                <w:szCs w:val="21"/>
                <w:highlight w:val="none"/>
              </w:rPr>
            </w:pPr>
            <w:r>
              <w:rPr>
                <w:rFonts w:hint="eastAsia" w:hAnsi="宋体"/>
                <w:color w:val="auto"/>
                <w:szCs w:val="21"/>
                <w:highlight w:val="none"/>
              </w:rPr>
              <w:t>从接到竣工结算报告和完整的竣工结算资料之日起60天</w:t>
            </w:r>
          </w:p>
        </w:tc>
      </w:tr>
    </w:tbl>
    <w:p w14:paraId="60103E99">
      <w:pPr>
        <w:spacing w:line="360" w:lineRule="exact"/>
        <w:rPr>
          <w:rFonts w:hint="eastAsia" w:hAnsi="宋体"/>
          <w:b/>
          <w:color w:val="auto"/>
          <w:szCs w:val="21"/>
          <w:highlight w:val="none"/>
        </w:rPr>
      </w:pPr>
    </w:p>
    <w:p w14:paraId="53FC0492">
      <w:pPr>
        <w:spacing w:line="360" w:lineRule="exact"/>
        <w:ind w:firstLine="420" w:firstLineChars="200"/>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因承包人提供的结算资料不完整而需要补充或承包人不按时对账耽误时间时，审查时间应相应顺延。工程竣工结算报告经发包人核对无误后，送</w:t>
      </w:r>
      <w:r>
        <w:rPr>
          <w:rFonts w:hint="eastAsia" w:hAnsi="宋体"/>
          <w:b/>
          <w:color w:val="auto"/>
          <w:szCs w:val="21"/>
          <w:highlight w:val="none"/>
          <w:lang w:eastAsia="zh-CN"/>
        </w:rPr>
        <w:t>钦北区</w:t>
      </w:r>
      <w:r>
        <w:rPr>
          <w:rFonts w:hint="eastAsia" w:hAnsi="宋体"/>
          <w:b/>
          <w:color w:val="auto"/>
          <w:szCs w:val="21"/>
          <w:highlight w:val="none"/>
        </w:rPr>
        <w:t>财政局审定，最终审定时间根据实际审查时间顺延。</w:t>
      </w:r>
    </w:p>
    <w:p w14:paraId="5AE765A1">
      <w:pPr>
        <w:spacing w:line="360" w:lineRule="exact"/>
        <w:ind w:firstLine="443" w:firstLineChars="210"/>
        <w:rPr>
          <w:rFonts w:hint="eastAsia" w:hAnsi="宋体"/>
          <w:b/>
          <w:color w:val="auto"/>
          <w:szCs w:val="21"/>
          <w:highlight w:val="none"/>
        </w:rPr>
      </w:pPr>
      <w:r>
        <w:rPr>
          <w:rFonts w:hint="eastAsia" w:hAnsi="宋体"/>
          <w:b/>
          <w:color w:val="auto"/>
          <w:szCs w:val="21"/>
          <w:highlight w:val="none"/>
        </w:rPr>
        <w:t xml:space="preserve">  其余按通用条款第33.1、33.5、33.6条执行。</w:t>
      </w:r>
    </w:p>
    <w:p w14:paraId="015CC525">
      <w:pPr>
        <w:spacing w:line="360" w:lineRule="exact"/>
        <w:rPr>
          <w:rFonts w:hint="eastAsia" w:hAnsi="宋体"/>
          <w:b/>
          <w:color w:val="auto"/>
          <w:szCs w:val="21"/>
          <w:highlight w:val="none"/>
        </w:rPr>
      </w:pPr>
      <w:r>
        <w:rPr>
          <w:rFonts w:hint="eastAsia" w:hAnsi="宋体"/>
          <w:b/>
          <w:color w:val="auto"/>
          <w:szCs w:val="21"/>
          <w:highlight w:val="none"/>
        </w:rPr>
        <w:t>九、违约、索赔和争议</w:t>
      </w:r>
    </w:p>
    <w:p w14:paraId="2D8D4067">
      <w:pPr>
        <w:spacing w:line="360" w:lineRule="exact"/>
        <w:ind w:firstLine="472" w:firstLineChars="224"/>
        <w:rPr>
          <w:rFonts w:hint="eastAsia" w:hAnsi="宋体"/>
          <w:b/>
          <w:color w:val="auto"/>
          <w:szCs w:val="21"/>
          <w:highlight w:val="none"/>
        </w:rPr>
      </w:pPr>
      <w:r>
        <w:rPr>
          <w:rFonts w:hint="eastAsia" w:hAnsi="宋体"/>
          <w:b/>
          <w:color w:val="auto"/>
          <w:szCs w:val="21"/>
          <w:highlight w:val="none"/>
        </w:rPr>
        <w:t xml:space="preserve">  35．违约</w:t>
      </w:r>
    </w:p>
    <w:p w14:paraId="10B60579">
      <w:pPr>
        <w:spacing w:line="360" w:lineRule="exact"/>
        <w:ind w:firstLine="504" w:firstLineChars="239"/>
        <w:rPr>
          <w:rFonts w:hint="eastAsia" w:hAnsi="宋体"/>
          <w:b/>
          <w:color w:val="auto"/>
          <w:szCs w:val="21"/>
          <w:highlight w:val="none"/>
        </w:rPr>
      </w:pPr>
      <w:r>
        <w:rPr>
          <w:rFonts w:hint="eastAsia" w:hAnsi="宋体"/>
          <w:b/>
          <w:color w:val="auto"/>
          <w:szCs w:val="21"/>
          <w:highlight w:val="none"/>
        </w:rPr>
        <w:t xml:space="preserve">  35.1本合同中关于发包人违约的具体责任如下：</w:t>
      </w:r>
    </w:p>
    <w:p w14:paraId="07509424">
      <w:pPr>
        <w:spacing w:line="360" w:lineRule="exact"/>
        <w:ind w:firstLine="428" w:firstLineChars="203"/>
        <w:rPr>
          <w:rFonts w:hint="eastAsia" w:hAnsi="宋体"/>
          <w:b/>
          <w:color w:val="auto"/>
          <w:szCs w:val="21"/>
          <w:highlight w:val="none"/>
          <w:u w:val="single"/>
        </w:rPr>
      </w:pPr>
      <w:r>
        <w:rPr>
          <w:rFonts w:hint="eastAsia" w:hAnsi="宋体"/>
          <w:b/>
          <w:color w:val="auto"/>
          <w:szCs w:val="21"/>
          <w:highlight w:val="none"/>
        </w:rPr>
        <w:t xml:space="preserve">  *本合同通用条款第24条约定发包人违约应承担的违约责任：</w:t>
      </w:r>
      <w:r>
        <w:rPr>
          <w:rFonts w:hint="eastAsia" w:hAnsi="宋体"/>
          <w:b/>
          <w:color w:val="auto"/>
          <w:szCs w:val="21"/>
          <w:highlight w:val="none"/>
          <w:u w:val="single"/>
        </w:rPr>
        <w:t xml:space="preserve">  无  </w:t>
      </w:r>
      <w:r>
        <w:rPr>
          <w:rFonts w:hint="eastAsia" w:hAnsi="宋体"/>
          <w:b/>
          <w:color w:val="auto"/>
          <w:szCs w:val="21"/>
          <w:highlight w:val="none"/>
        </w:rPr>
        <w:t>。</w:t>
      </w:r>
    </w:p>
    <w:p w14:paraId="37129A6E">
      <w:pPr>
        <w:spacing w:line="360" w:lineRule="exact"/>
        <w:ind w:firstLine="443" w:firstLineChars="210"/>
        <w:rPr>
          <w:rFonts w:hint="eastAsia" w:hAnsi="宋体"/>
          <w:b/>
          <w:color w:val="auto"/>
          <w:szCs w:val="21"/>
          <w:highlight w:val="none"/>
        </w:rPr>
      </w:pPr>
      <w:r>
        <w:rPr>
          <w:rFonts w:hint="eastAsia" w:hAnsi="宋体"/>
          <w:b/>
          <w:color w:val="auto"/>
          <w:szCs w:val="21"/>
          <w:highlight w:val="none"/>
        </w:rPr>
        <w:t xml:space="preserve">  *本合同通用条款第26.4款约定发包人违约应承担的违约责任：</w:t>
      </w:r>
      <w:r>
        <w:rPr>
          <w:rFonts w:hint="eastAsia" w:hAnsi="宋体"/>
          <w:b/>
          <w:color w:val="auto"/>
          <w:szCs w:val="21"/>
          <w:highlight w:val="none"/>
          <w:u w:val="single"/>
        </w:rPr>
        <w:t xml:space="preserve">承包人与发包人签订延期付款协议，延期付款协议须经财政部门认可 </w:t>
      </w:r>
      <w:r>
        <w:rPr>
          <w:rFonts w:hint="eastAsia" w:hAnsi="宋体"/>
          <w:b/>
          <w:color w:val="auto"/>
          <w:szCs w:val="21"/>
          <w:highlight w:val="none"/>
        </w:rPr>
        <w:t>。</w:t>
      </w:r>
    </w:p>
    <w:p w14:paraId="23FF3966">
      <w:pPr>
        <w:spacing w:line="360" w:lineRule="exact"/>
        <w:ind w:firstLine="533" w:firstLineChars="253"/>
        <w:rPr>
          <w:rFonts w:hint="eastAsia" w:hAnsi="宋体"/>
          <w:color w:val="auto"/>
          <w:szCs w:val="21"/>
          <w:highlight w:val="none"/>
          <w:u w:val="single"/>
        </w:rPr>
      </w:pPr>
      <w:r>
        <w:rPr>
          <w:rFonts w:hint="eastAsia" w:hAnsi="宋体"/>
          <w:b/>
          <w:bCs/>
          <w:color w:val="auto"/>
          <w:szCs w:val="21"/>
          <w:highlight w:val="none"/>
        </w:rPr>
        <w:t>双方约定的发包人其他违约责任</w:t>
      </w:r>
      <w:r>
        <w:rPr>
          <w:rFonts w:hint="eastAsia" w:hAnsi="宋体"/>
          <w:color w:val="auto"/>
          <w:szCs w:val="21"/>
          <w:highlight w:val="none"/>
        </w:rPr>
        <w:t>：</w:t>
      </w:r>
      <w:r>
        <w:rPr>
          <w:rFonts w:hint="eastAsia" w:hAnsi="宋体"/>
          <w:color w:val="auto"/>
          <w:szCs w:val="21"/>
          <w:highlight w:val="none"/>
          <w:u w:val="single"/>
        </w:rPr>
        <w:t xml:space="preserve">                                </w:t>
      </w:r>
      <w:r>
        <w:rPr>
          <w:rFonts w:hint="eastAsia" w:hAnsi="宋体"/>
          <w:color w:val="auto"/>
          <w:szCs w:val="21"/>
          <w:highlight w:val="none"/>
        </w:rPr>
        <w:t>。</w:t>
      </w:r>
    </w:p>
    <w:p w14:paraId="5FF5C6CD">
      <w:pPr>
        <w:spacing w:line="360" w:lineRule="exact"/>
        <w:ind w:firstLine="336" w:firstLineChars="160"/>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35.2本合同中关于承包人违约的具体责任如下：</w:t>
      </w:r>
    </w:p>
    <w:p w14:paraId="040C43A7">
      <w:pPr>
        <w:spacing w:line="360" w:lineRule="exact"/>
        <w:ind w:firstLine="369" w:firstLineChars="175"/>
        <w:rPr>
          <w:rFonts w:hint="eastAsia" w:hAnsi="宋体"/>
          <w:b/>
          <w:color w:val="auto"/>
          <w:szCs w:val="21"/>
          <w:highlight w:val="none"/>
        </w:rPr>
      </w:pPr>
      <w:r>
        <w:rPr>
          <w:rFonts w:hint="eastAsia" w:hAnsi="宋体"/>
          <w:b/>
          <w:color w:val="auto"/>
          <w:szCs w:val="21"/>
          <w:highlight w:val="none"/>
        </w:rPr>
        <w:t xml:space="preserve"> *35.2.1本合同通用条款第14.2款约定承包人违约应承担的违约责任：承包人每延误一天，按合同价款万分之四的违约赔偿费，其限额为成交价的5％。延误天数按本专用条款第13.3条计算。</w:t>
      </w:r>
    </w:p>
    <w:p w14:paraId="6ED9AA30">
      <w:pPr>
        <w:spacing w:line="360" w:lineRule="exact"/>
        <w:ind w:firstLine="382" w:firstLineChars="181"/>
        <w:rPr>
          <w:rFonts w:hint="eastAsia" w:hAnsi="宋体"/>
          <w:b/>
          <w:color w:val="auto"/>
          <w:szCs w:val="21"/>
          <w:highlight w:val="none"/>
        </w:rPr>
      </w:pPr>
      <w:r>
        <w:rPr>
          <w:rFonts w:hint="eastAsia" w:hAnsi="宋体"/>
          <w:b/>
          <w:color w:val="auto"/>
          <w:szCs w:val="21"/>
          <w:highlight w:val="none"/>
        </w:rPr>
        <w:t xml:space="preserve"> *35.2.2承包人未按本合同通用条款第15.1条内容完成：承包人无条件返工处理，修复至工程质量要求并承担相关费用，并在发包人规定的时间内完成返工，否则，发包人有权扣罚该分项工程10％的工程款作为处罚。</w:t>
      </w:r>
    </w:p>
    <w:p w14:paraId="3D4387E6">
      <w:pPr>
        <w:spacing w:line="360" w:lineRule="exact"/>
        <w:ind w:firstLine="352" w:firstLineChars="167"/>
        <w:rPr>
          <w:rFonts w:hint="eastAsia" w:hAnsi="宋体"/>
          <w:color w:val="auto"/>
          <w:szCs w:val="21"/>
          <w:highlight w:val="none"/>
          <w:u w:val="single"/>
        </w:rPr>
      </w:pPr>
      <w:r>
        <w:rPr>
          <w:rFonts w:hint="eastAsia" w:hAnsi="宋体"/>
          <w:b/>
          <w:bCs/>
          <w:color w:val="auto"/>
          <w:szCs w:val="21"/>
          <w:highlight w:val="none"/>
        </w:rPr>
        <w:t xml:space="preserve"> 双方约定的承包人其他违约责任：</w:t>
      </w:r>
      <w:r>
        <w:rPr>
          <w:rFonts w:hint="eastAsia" w:hAnsi="宋体"/>
          <w:color w:val="auto"/>
          <w:szCs w:val="21"/>
          <w:highlight w:val="none"/>
          <w:u w:val="single"/>
        </w:rPr>
        <w:t xml:space="preserve">                             </w:t>
      </w:r>
      <w:r>
        <w:rPr>
          <w:rFonts w:hint="eastAsia" w:hAnsi="宋体"/>
          <w:color w:val="auto"/>
          <w:szCs w:val="21"/>
          <w:highlight w:val="none"/>
        </w:rPr>
        <w:t>。</w:t>
      </w:r>
    </w:p>
    <w:p w14:paraId="30E3BF6B">
      <w:pPr>
        <w:spacing w:line="360" w:lineRule="exact"/>
        <w:ind w:firstLine="260" w:firstLineChars="124"/>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35.2.3承包人如违反了以下情况之一者，发包人有权解除合同，并没收其全部履约保证金。</w:t>
      </w:r>
    </w:p>
    <w:p w14:paraId="3B9C2F4D">
      <w:pPr>
        <w:spacing w:line="360" w:lineRule="exact"/>
        <w:ind w:firstLine="232" w:firstLineChars="110"/>
        <w:rPr>
          <w:rFonts w:hint="eastAsia" w:hAnsi="宋体"/>
          <w:b/>
          <w:color w:val="auto"/>
          <w:szCs w:val="21"/>
          <w:highlight w:val="none"/>
        </w:rPr>
      </w:pPr>
      <w:r>
        <w:rPr>
          <w:rFonts w:hint="eastAsia" w:hAnsi="宋体"/>
          <w:b/>
          <w:color w:val="auto"/>
          <w:szCs w:val="21"/>
          <w:highlight w:val="none"/>
        </w:rPr>
        <w:t xml:space="preserve">  1)承包人无正当理由不按开工通知的要求及时进点组织施工和不按签订协议书时商定的进度计划有效地开展施工准备，造成工期延误。</w:t>
      </w:r>
    </w:p>
    <w:p w14:paraId="36F2D75D">
      <w:pPr>
        <w:spacing w:line="360" w:lineRule="exact"/>
        <w:ind w:firstLine="278" w:firstLineChars="132"/>
        <w:rPr>
          <w:rFonts w:hint="eastAsia" w:hAnsi="宋体"/>
          <w:b/>
          <w:color w:val="auto"/>
          <w:szCs w:val="21"/>
          <w:highlight w:val="none"/>
        </w:rPr>
      </w:pPr>
      <w:r>
        <w:rPr>
          <w:rFonts w:hint="eastAsia" w:hAnsi="宋体"/>
          <w:b/>
          <w:color w:val="auto"/>
          <w:szCs w:val="21"/>
          <w:highlight w:val="none"/>
        </w:rPr>
        <w:t xml:space="preserve">  2)承包人违反第38.1条规定私自将合同或合同的任何部分或任何权利转让给其他人，或私自将工程或工程的一部分分包出去。</w:t>
      </w:r>
    </w:p>
    <w:p w14:paraId="65B31166">
      <w:pPr>
        <w:spacing w:line="360" w:lineRule="exact"/>
        <w:ind w:firstLine="308" w:firstLineChars="146"/>
        <w:rPr>
          <w:rFonts w:hint="eastAsia" w:hAnsi="宋体"/>
          <w:b/>
          <w:color w:val="auto"/>
          <w:szCs w:val="21"/>
          <w:highlight w:val="none"/>
        </w:rPr>
      </w:pPr>
      <w:r>
        <w:rPr>
          <w:rFonts w:hint="eastAsia" w:hAnsi="宋体"/>
          <w:b/>
          <w:color w:val="auto"/>
          <w:szCs w:val="21"/>
          <w:highlight w:val="none"/>
        </w:rPr>
        <w:t xml:space="preserve">  3)未经监理人批准，承包人私自将已按竞标书承诺进入工地的工程设备、施工设备、临时工程或材料撤离工地。</w:t>
      </w:r>
    </w:p>
    <w:p w14:paraId="3B338E0A">
      <w:pPr>
        <w:spacing w:line="360" w:lineRule="exact"/>
        <w:ind w:firstLine="232" w:firstLineChars="110"/>
        <w:rPr>
          <w:rFonts w:hint="eastAsia" w:hAnsi="宋体"/>
          <w:b/>
          <w:color w:val="auto"/>
          <w:szCs w:val="21"/>
          <w:highlight w:val="none"/>
        </w:rPr>
      </w:pPr>
      <w:r>
        <w:rPr>
          <w:rFonts w:hint="eastAsia" w:hAnsi="宋体"/>
          <w:b/>
          <w:color w:val="auto"/>
          <w:szCs w:val="21"/>
          <w:highlight w:val="none"/>
        </w:rPr>
        <w:t xml:space="preserve">  4)由于承包人原因拒绝按合同进度计划及时完成合同规定的工程，而又未采取有效措施赶上进度，造成工期延误。</w:t>
      </w:r>
    </w:p>
    <w:p w14:paraId="2363D5FD">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5)承包人否认合同有效或拒绝履行合同规定的承包人义务，或由于法律、财务等原因导致承包人无法继续履行或实质上已停止履行合同的义务。</w:t>
      </w:r>
    </w:p>
    <w:p w14:paraId="32DB8D7E">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35.2.4承包人在保修期内拒绝按通用条款第34.1条的规定进行修复，或经监理人检验认为修复质量不合格而承包人拒绝再进行修补的，发包人将扣除承包人全部质量保修金。</w:t>
      </w:r>
    </w:p>
    <w:p w14:paraId="58BED04D">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35.2.5承包人违约有以下情况之一者，发包人有权扣除承包人的违约金。违约金金额均在承包人的履约保证金及计量支付款内扣除。监理工程师预先下发含有罚款意向的指令，如承包人不及时采取措施纠正，则在指令下达后十五天下发罚款通知书(不再陈述罚款理由)。承包人履约保证金被罚款后由发包入从最后一次计量支付时扣相应金额补足履约保证金。承包人在合同期内，完成合同规定的全部工程，且质量合格(本工程施工)，竣工验收后十五天内可以申请返还全部或部分罚款，返还金额由监理工程师审核，发包人批准。罚款金额返还时不包括银行利息。</w:t>
      </w:r>
    </w:p>
    <w:p w14:paraId="66E56CA0">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1)承包人必须按照</w:t>
      </w:r>
      <w:r>
        <w:rPr>
          <w:rFonts w:hint="eastAsia" w:hAnsi="宋体"/>
          <w:b/>
          <w:color w:val="auto"/>
          <w:szCs w:val="21"/>
          <w:highlight w:val="none"/>
          <w:lang w:eastAsia="zh-CN"/>
        </w:rPr>
        <w:t>响应文件</w:t>
      </w:r>
      <w:r>
        <w:rPr>
          <w:rFonts w:hint="eastAsia" w:hAnsi="宋体"/>
          <w:b/>
          <w:color w:val="auto"/>
          <w:szCs w:val="21"/>
          <w:highlight w:val="none"/>
        </w:rPr>
        <w:t>的承诺派出符合和满足工程建设要求的项目管理人员。承包人未经发包人批准擅自调换工程管理人员或因管理人员不称职，发包人要求调换而未及时调换的，视为承包人违约，必须向发包人交纳处罚金，处罚标准为：项目负责人1.5万元／人·次(人民币，下同)；总工程师1万元／人·次；专业工程师0.5万元／人·次。</w:t>
      </w:r>
    </w:p>
    <w:p w14:paraId="0FFC9B1C">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2)发包人有权检查承包人的人员到岗情况，如发现未经发包人同意或正当理由，项目负责人擅自离岗的，视为承包人违约，发包人有权处违约金1万元／人·次；未经发包人同意，技术负责人(总工程师)擅自离岗的，视为承包人违约，发包人有权处违约金0.8万元／人·次；未经发包人同意专业工程师擅自离岗的，视为承包人违约，发包人有权处违约金0.5万元／人·次。</w:t>
      </w:r>
    </w:p>
    <w:p w14:paraId="437303B1">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3)未经监理工程师审查批准，施工期内自行调走主要施工机械，经发现不及时调回的，视为承包人违约，发包人有权处违约金为履约保证金金额的10％一50％(视情节严重而定)。</w:t>
      </w:r>
    </w:p>
    <w:p w14:paraId="12A25E35">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35.2.6承包人有违反其他规定的，按规定给予处罚。</w:t>
      </w:r>
    </w:p>
    <w:p w14:paraId="5174BA17">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37．争议</w:t>
      </w:r>
    </w:p>
    <w:p w14:paraId="34A3D93E">
      <w:pPr>
        <w:spacing w:line="360" w:lineRule="exact"/>
        <w:ind w:firstLine="321" w:firstLineChars="153"/>
        <w:rPr>
          <w:rFonts w:hint="eastAsia" w:hAnsi="宋体"/>
          <w:color w:val="auto"/>
          <w:szCs w:val="21"/>
          <w:highlight w:val="none"/>
        </w:rPr>
      </w:pPr>
      <w:r>
        <w:rPr>
          <w:rFonts w:hint="eastAsia" w:hAnsi="宋体"/>
          <w:color w:val="auto"/>
          <w:szCs w:val="21"/>
          <w:highlight w:val="none"/>
        </w:rPr>
        <w:t xml:space="preserve">  37.1双方约定，在履行合同过程中产生争议时：</w:t>
      </w:r>
    </w:p>
    <w:p w14:paraId="3B14EB62">
      <w:pPr>
        <w:spacing w:line="360" w:lineRule="exact"/>
        <w:ind w:firstLine="291" w:firstLineChars="139"/>
        <w:rPr>
          <w:rFonts w:hint="eastAsia" w:hAnsi="宋体"/>
          <w:color w:val="auto"/>
          <w:szCs w:val="21"/>
          <w:highlight w:val="none"/>
        </w:rPr>
      </w:pPr>
      <w:r>
        <w:rPr>
          <w:rFonts w:hint="eastAsia" w:hAnsi="宋体"/>
          <w:color w:val="auto"/>
          <w:szCs w:val="21"/>
          <w:highlight w:val="none"/>
        </w:rPr>
        <w:t xml:space="preserve">  (1)由</w:t>
      </w:r>
      <w:r>
        <w:rPr>
          <w:rFonts w:hint="eastAsia" w:hAnsi="宋体"/>
          <w:color w:val="auto"/>
          <w:szCs w:val="21"/>
          <w:highlight w:val="none"/>
          <w:u w:val="single"/>
        </w:rPr>
        <w:t>双方协商</w:t>
      </w:r>
      <w:r>
        <w:rPr>
          <w:rFonts w:hint="eastAsia" w:hAnsi="宋体"/>
          <w:color w:val="auto"/>
          <w:szCs w:val="21"/>
          <w:highlight w:val="none"/>
        </w:rPr>
        <w:t>调解；</w:t>
      </w:r>
    </w:p>
    <w:p w14:paraId="591F0F85">
      <w:pPr>
        <w:spacing w:line="360" w:lineRule="exact"/>
        <w:ind w:firstLine="247" w:firstLineChars="118"/>
        <w:rPr>
          <w:rFonts w:hint="eastAsia" w:hAnsi="宋体" w:eastAsia="宋体"/>
          <w:color w:val="auto"/>
          <w:szCs w:val="21"/>
          <w:highlight w:val="none"/>
          <w:lang w:eastAsia="zh-CN"/>
        </w:rPr>
      </w:pPr>
      <w:r>
        <w:rPr>
          <w:rFonts w:hint="eastAsia" w:hAnsi="宋体"/>
          <w:color w:val="auto"/>
          <w:szCs w:val="21"/>
          <w:highlight w:val="none"/>
        </w:rPr>
        <w:t xml:space="preserve">  (2)向</w:t>
      </w:r>
      <w:r>
        <w:rPr>
          <w:rFonts w:hint="eastAsia" w:hAnsi="宋体"/>
          <w:color w:val="auto"/>
          <w:szCs w:val="21"/>
          <w:highlight w:val="none"/>
          <w:u w:val="single"/>
        </w:rPr>
        <w:t>钦州市仲裁委员会</w:t>
      </w:r>
      <w:r>
        <w:rPr>
          <w:rFonts w:hint="eastAsia" w:hAnsi="宋体"/>
          <w:color w:val="auto"/>
          <w:szCs w:val="21"/>
          <w:highlight w:val="none"/>
        </w:rPr>
        <w:t>提起仲裁。</w:t>
      </w:r>
    </w:p>
    <w:p w14:paraId="1C01B628">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十、其他</w:t>
      </w:r>
    </w:p>
    <w:p w14:paraId="4E080DD2">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38．工程分包</w:t>
      </w:r>
    </w:p>
    <w:p w14:paraId="31D969A4">
      <w:pPr>
        <w:spacing w:line="360" w:lineRule="exact"/>
        <w:ind w:firstLine="336" w:firstLineChars="160"/>
        <w:rPr>
          <w:rFonts w:hint="eastAsia" w:hAnsi="宋体"/>
          <w:color w:val="auto"/>
          <w:szCs w:val="21"/>
          <w:highlight w:val="none"/>
        </w:rPr>
      </w:pPr>
      <w:r>
        <w:rPr>
          <w:rFonts w:hint="eastAsia" w:hAnsi="宋体"/>
          <w:color w:val="auto"/>
          <w:szCs w:val="21"/>
          <w:highlight w:val="none"/>
        </w:rPr>
        <w:t xml:space="preserve">  38.1本工程不允许分包。</w:t>
      </w:r>
    </w:p>
    <w:p w14:paraId="0A87B142">
      <w:pPr>
        <w:spacing w:line="360" w:lineRule="exact"/>
        <w:ind w:firstLine="350" w:firstLineChars="167"/>
        <w:rPr>
          <w:rFonts w:hint="eastAsia" w:hAnsi="宋体"/>
          <w:color w:val="auto"/>
          <w:szCs w:val="21"/>
          <w:highlight w:val="none"/>
        </w:rPr>
      </w:pPr>
      <w:r>
        <w:rPr>
          <w:rFonts w:hint="eastAsia" w:hAnsi="宋体"/>
          <w:color w:val="auto"/>
          <w:szCs w:val="21"/>
          <w:highlight w:val="none"/>
        </w:rPr>
        <w:t xml:space="preserve">  38.2承包人有以下情况之一者，发包人有权解除合同，并视情况扣除其履约保证金。</w:t>
      </w:r>
    </w:p>
    <w:p w14:paraId="31CB25C4">
      <w:pPr>
        <w:spacing w:line="360" w:lineRule="exact"/>
        <w:ind w:firstLine="336" w:firstLineChars="160"/>
        <w:rPr>
          <w:rFonts w:hint="eastAsia" w:hAnsi="宋体"/>
          <w:color w:val="auto"/>
          <w:szCs w:val="21"/>
          <w:highlight w:val="none"/>
        </w:rPr>
      </w:pPr>
      <w:r>
        <w:rPr>
          <w:rFonts w:hint="eastAsia" w:hAnsi="宋体"/>
          <w:color w:val="auto"/>
          <w:szCs w:val="21"/>
          <w:highlight w:val="none"/>
        </w:rPr>
        <w:t xml:space="preserve">  38.2.1个人承包工程，包括本单位及外单位人员承包，发包人不承认其个人拥有任何资质等级及经营许可资格。没收全部履约保证金。</w:t>
      </w:r>
    </w:p>
    <w:p w14:paraId="76794B31">
      <w:pPr>
        <w:spacing w:line="360" w:lineRule="exact"/>
        <w:ind w:firstLine="501" w:firstLineChars="239"/>
        <w:rPr>
          <w:rFonts w:hint="eastAsia" w:hAnsi="宋体"/>
          <w:color w:val="auto"/>
          <w:szCs w:val="21"/>
          <w:highlight w:val="none"/>
        </w:rPr>
      </w:pPr>
      <w:r>
        <w:rPr>
          <w:rFonts w:hint="eastAsia" w:hAnsi="宋体"/>
          <w:color w:val="auto"/>
          <w:szCs w:val="21"/>
          <w:highlight w:val="none"/>
        </w:rPr>
        <w:t>38.2.2几个人联合承包工程，就地组织暗分包队伍，不具备完成本工程的技术、机械能力，被发包人判定为没有能力履行的承包人。没收全部履约保证金。</w:t>
      </w:r>
    </w:p>
    <w:p w14:paraId="6B337CAC">
      <w:pPr>
        <w:spacing w:line="360" w:lineRule="exact"/>
        <w:ind w:right="-168" w:rightChars="-80" w:firstLine="336" w:firstLineChars="160"/>
        <w:rPr>
          <w:rFonts w:hint="eastAsia" w:hAnsi="宋体"/>
          <w:color w:val="auto"/>
          <w:szCs w:val="21"/>
          <w:highlight w:val="none"/>
        </w:rPr>
      </w:pPr>
      <w:r>
        <w:rPr>
          <w:rFonts w:hint="eastAsia" w:hAnsi="宋体"/>
          <w:color w:val="auto"/>
          <w:szCs w:val="21"/>
          <w:highlight w:val="none"/>
        </w:rPr>
        <w:t xml:space="preserve">  38.2.3就地转包全部的工程，以谋取高额转让费、管理费的承包人。没收全部履约保证金。</w:t>
      </w:r>
    </w:p>
    <w:p w14:paraId="3839D497">
      <w:pPr>
        <w:spacing w:line="360" w:lineRule="exact"/>
        <w:ind w:firstLine="336" w:firstLineChars="160"/>
        <w:rPr>
          <w:rFonts w:hint="eastAsia" w:hAnsi="宋体"/>
          <w:color w:val="auto"/>
          <w:szCs w:val="21"/>
          <w:highlight w:val="none"/>
        </w:rPr>
      </w:pPr>
      <w:r>
        <w:rPr>
          <w:rFonts w:hint="eastAsia" w:hAnsi="宋体"/>
          <w:color w:val="auto"/>
          <w:szCs w:val="21"/>
          <w:highlight w:val="none"/>
        </w:rPr>
        <w:t xml:space="preserve">  38.2.4承包人有部分分包现象(其中包括冒充承包人下属单位的挂钩单位，凭口头协议参与施工的分包人及其他暗分包个体户)，一经发现核实，发包人将采取驱逐该暗分包人措施，并对承包人处予违约处罚金，违约处罚金金额为履约保证金金额的5％～20％(视情节严重而定)。</w:t>
      </w:r>
    </w:p>
    <w:p w14:paraId="7EE1FAE6">
      <w:pPr>
        <w:spacing w:line="360" w:lineRule="exact"/>
        <w:ind w:firstLine="443" w:firstLineChars="210"/>
        <w:rPr>
          <w:rFonts w:hint="eastAsia" w:hAnsi="宋体"/>
          <w:b/>
          <w:color w:val="auto"/>
          <w:szCs w:val="21"/>
          <w:highlight w:val="none"/>
        </w:rPr>
      </w:pPr>
      <w:r>
        <w:rPr>
          <w:rFonts w:hint="eastAsia" w:hAnsi="宋体"/>
          <w:b/>
          <w:color w:val="auto"/>
          <w:szCs w:val="21"/>
          <w:highlight w:val="none"/>
        </w:rPr>
        <w:t xml:space="preserve">  39．不可抗力    </w:t>
      </w:r>
    </w:p>
    <w:p w14:paraId="68C452B8">
      <w:pPr>
        <w:spacing w:line="360" w:lineRule="exact"/>
        <w:ind w:firstLine="426" w:firstLineChars="203"/>
        <w:rPr>
          <w:rFonts w:hint="eastAsia" w:hAnsi="宋体"/>
          <w:color w:val="auto"/>
          <w:szCs w:val="21"/>
          <w:highlight w:val="none"/>
        </w:rPr>
      </w:pPr>
      <w:r>
        <w:rPr>
          <w:rFonts w:hint="eastAsia" w:hAnsi="宋体"/>
          <w:color w:val="auto"/>
          <w:szCs w:val="21"/>
          <w:highlight w:val="none"/>
        </w:rPr>
        <w:t xml:space="preserve">  39.1  双方关于不可抗力的约定：以有关部门发布的文告或文件为准。</w:t>
      </w:r>
    </w:p>
    <w:p w14:paraId="6C2F33D2">
      <w:pPr>
        <w:spacing w:line="360" w:lineRule="exact"/>
        <w:ind w:firstLine="411" w:firstLineChars="196"/>
        <w:rPr>
          <w:rFonts w:hint="eastAsia" w:hAnsi="宋体"/>
          <w:color w:val="auto"/>
          <w:szCs w:val="21"/>
          <w:highlight w:val="none"/>
        </w:rPr>
      </w:pPr>
      <w:r>
        <w:rPr>
          <w:rFonts w:hint="eastAsia" w:hAnsi="宋体"/>
          <w:color w:val="auto"/>
          <w:szCs w:val="21"/>
          <w:highlight w:val="none"/>
        </w:rPr>
        <w:t xml:space="preserve"> </w:t>
      </w:r>
      <w:r>
        <w:rPr>
          <w:rFonts w:hint="eastAsia" w:hAnsi="宋体"/>
          <w:b/>
          <w:bCs/>
          <w:color w:val="auto"/>
          <w:szCs w:val="21"/>
          <w:highlight w:val="none"/>
        </w:rPr>
        <w:t xml:space="preserve"> 40．保险</w:t>
      </w:r>
    </w:p>
    <w:p w14:paraId="1E54D72C">
      <w:pPr>
        <w:spacing w:line="360" w:lineRule="exact"/>
        <w:ind w:firstLine="441" w:firstLineChars="210"/>
        <w:rPr>
          <w:rFonts w:hint="eastAsia" w:hAnsi="宋体"/>
          <w:color w:val="auto"/>
          <w:szCs w:val="21"/>
          <w:highlight w:val="none"/>
        </w:rPr>
      </w:pPr>
      <w:r>
        <w:rPr>
          <w:rFonts w:hint="eastAsia" w:hAnsi="宋体"/>
          <w:color w:val="auto"/>
          <w:szCs w:val="21"/>
          <w:highlight w:val="none"/>
        </w:rPr>
        <w:t xml:space="preserve">  40.1本工程双方约定投保内容如下：</w:t>
      </w:r>
    </w:p>
    <w:p w14:paraId="167A4A69">
      <w:pPr>
        <w:spacing w:line="360" w:lineRule="exact"/>
        <w:ind w:firstLine="470" w:firstLineChars="224"/>
        <w:rPr>
          <w:rFonts w:hint="eastAsia" w:hAnsi="宋体"/>
          <w:color w:val="auto"/>
          <w:szCs w:val="21"/>
          <w:highlight w:val="none"/>
        </w:rPr>
      </w:pPr>
      <w:r>
        <w:rPr>
          <w:rFonts w:hint="eastAsia" w:hAnsi="宋体"/>
          <w:color w:val="auto"/>
          <w:szCs w:val="21"/>
          <w:highlight w:val="none"/>
        </w:rPr>
        <w:t xml:space="preserve">  (1)发包人投保内容：自行负责办理。</w:t>
      </w:r>
    </w:p>
    <w:p w14:paraId="6F4F274A">
      <w:pPr>
        <w:spacing w:line="360" w:lineRule="exact"/>
        <w:ind w:firstLine="531" w:firstLineChars="253"/>
        <w:rPr>
          <w:rFonts w:hint="eastAsia" w:hAnsi="宋体"/>
          <w:color w:val="auto"/>
          <w:szCs w:val="21"/>
          <w:highlight w:val="none"/>
        </w:rPr>
      </w:pPr>
      <w:r>
        <w:rPr>
          <w:rFonts w:hint="eastAsia" w:hAnsi="宋体"/>
          <w:color w:val="auto"/>
          <w:szCs w:val="21"/>
          <w:highlight w:val="none"/>
        </w:rPr>
        <w:t xml:space="preserve">  发包人委托承包人办理的保险事项：</w:t>
      </w:r>
      <w:r>
        <w:rPr>
          <w:rFonts w:hint="eastAsia" w:hAnsi="宋体"/>
          <w:color w:val="auto"/>
          <w:szCs w:val="21"/>
          <w:highlight w:val="none"/>
          <w:u w:val="single"/>
        </w:rPr>
        <w:t xml:space="preserve">无 </w:t>
      </w:r>
      <w:r>
        <w:rPr>
          <w:rFonts w:hint="eastAsia" w:hAnsi="宋体"/>
          <w:color w:val="auto"/>
          <w:szCs w:val="21"/>
          <w:highlight w:val="none"/>
        </w:rPr>
        <w:t xml:space="preserve"> 。</w:t>
      </w:r>
    </w:p>
    <w:p w14:paraId="42F085C6">
      <w:pPr>
        <w:spacing w:line="360" w:lineRule="exact"/>
        <w:ind w:firstLine="636" w:firstLineChars="303"/>
        <w:rPr>
          <w:rFonts w:hint="eastAsia" w:hAnsi="宋体"/>
          <w:color w:val="auto"/>
          <w:szCs w:val="21"/>
          <w:highlight w:val="none"/>
        </w:rPr>
      </w:pPr>
      <w:r>
        <w:rPr>
          <w:rFonts w:hint="eastAsia" w:hAnsi="宋体"/>
          <w:color w:val="auto"/>
          <w:szCs w:val="21"/>
          <w:highlight w:val="none"/>
        </w:rPr>
        <w:t>(2)承包人投保内容：</w:t>
      </w:r>
    </w:p>
    <w:p w14:paraId="5F99A479">
      <w:pPr>
        <w:spacing w:line="360" w:lineRule="exact"/>
        <w:ind w:firstLine="350" w:firstLineChars="167"/>
        <w:rPr>
          <w:rFonts w:hint="eastAsia" w:hAnsi="宋体"/>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 xml:space="preserve">*承包人必须为施工现场从事施工的所有作业人员和管理人员办理意外伤害保险，并支付保险费。                             </w:t>
      </w:r>
    </w:p>
    <w:p w14:paraId="4AF90781">
      <w:pPr>
        <w:spacing w:line="360" w:lineRule="exact"/>
        <w:ind w:firstLine="369" w:firstLineChars="175"/>
        <w:rPr>
          <w:rFonts w:hint="eastAsia" w:hAnsi="宋体"/>
          <w:b/>
          <w:color w:val="auto"/>
          <w:szCs w:val="21"/>
          <w:highlight w:val="none"/>
        </w:rPr>
      </w:pPr>
      <w:r>
        <w:rPr>
          <w:rFonts w:hint="eastAsia" w:hAnsi="宋体"/>
          <w:b/>
          <w:color w:val="auto"/>
          <w:szCs w:val="21"/>
          <w:highlight w:val="none"/>
        </w:rPr>
        <w:t xml:space="preserve"> 41．担保</w:t>
      </w:r>
    </w:p>
    <w:p w14:paraId="0E6B9043">
      <w:pPr>
        <w:spacing w:line="360" w:lineRule="exact"/>
        <w:rPr>
          <w:rFonts w:hint="eastAsia" w:hAnsi="宋体"/>
          <w:color w:val="auto"/>
          <w:szCs w:val="21"/>
          <w:highlight w:val="none"/>
          <w:u w:val="single"/>
        </w:rPr>
      </w:pPr>
      <w:r>
        <w:rPr>
          <w:rFonts w:hint="eastAsia" w:hAnsi="宋体"/>
          <w:color w:val="auto"/>
          <w:szCs w:val="21"/>
          <w:highlight w:val="none"/>
        </w:rPr>
        <w:t xml:space="preserve">     41.1  本工程双方约定担保事项如下：</w:t>
      </w:r>
      <w:r>
        <w:rPr>
          <w:rFonts w:hint="eastAsia" w:hAnsi="宋体"/>
          <w:color w:val="auto"/>
          <w:szCs w:val="21"/>
          <w:highlight w:val="none"/>
          <w:u w:val="single"/>
        </w:rPr>
        <w:t xml:space="preserve">                              </w:t>
      </w:r>
      <w:r>
        <w:rPr>
          <w:rFonts w:hint="eastAsia" w:hAnsi="宋体"/>
          <w:color w:val="auto"/>
          <w:szCs w:val="21"/>
          <w:highlight w:val="none"/>
        </w:rPr>
        <w:t>。</w:t>
      </w:r>
    </w:p>
    <w:p w14:paraId="1602033E">
      <w:pPr>
        <w:spacing w:line="360" w:lineRule="exact"/>
        <w:rPr>
          <w:rFonts w:hint="eastAsia" w:hAnsi="宋体"/>
          <w:color w:val="auto"/>
          <w:szCs w:val="21"/>
          <w:highlight w:val="none"/>
        </w:rPr>
      </w:pPr>
      <w:r>
        <w:rPr>
          <w:rFonts w:hint="eastAsia" w:hAnsi="宋体"/>
          <w:color w:val="auto"/>
          <w:szCs w:val="21"/>
          <w:highlight w:val="none"/>
        </w:rPr>
        <w:t xml:space="preserve">     41.2双方约定的其他担保事项：</w:t>
      </w:r>
    </w:p>
    <w:p w14:paraId="08EBB296">
      <w:pPr>
        <w:spacing w:line="360" w:lineRule="exact"/>
        <w:ind w:firstLine="201" w:firstLineChars="96"/>
        <w:rPr>
          <w:rFonts w:hint="eastAsia" w:hAnsi="宋体"/>
          <w:color w:val="auto"/>
          <w:szCs w:val="21"/>
          <w:highlight w:val="none"/>
        </w:rPr>
      </w:pPr>
      <w:r>
        <w:rPr>
          <w:rFonts w:hint="eastAsia" w:hAnsi="宋体"/>
          <w:color w:val="auto"/>
          <w:szCs w:val="21"/>
          <w:highlight w:val="none"/>
        </w:rPr>
        <w:t xml:space="preserve">    (1)双方约定的其他担保事项：</w:t>
      </w:r>
      <w:r>
        <w:rPr>
          <w:rFonts w:hint="eastAsia" w:hAnsi="宋体"/>
          <w:color w:val="auto"/>
          <w:szCs w:val="21"/>
          <w:highlight w:val="none"/>
          <w:u w:val="single"/>
          <w:lang w:val="en-US" w:eastAsia="zh-CN"/>
        </w:rPr>
        <w:t xml:space="preserve">              </w:t>
      </w:r>
      <w:r>
        <w:rPr>
          <w:rFonts w:hint="eastAsia" w:hAnsi="宋体"/>
          <w:color w:val="auto"/>
          <w:szCs w:val="21"/>
          <w:highlight w:val="none"/>
        </w:rPr>
        <w:t>。</w:t>
      </w:r>
    </w:p>
    <w:p w14:paraId="55B4F3D9">
      <w:pPr>
        <w:spacing w:line="360" w:lineRule="exact"/>
        <w:ind w:firstLine="548"/>
        <w:rPr>
          <w:rFonts w:hint="eastAsia" w:hAnsi="宋体"/>
          <w:color w:val="auto"/>
          <w:szCs w:val="21"/>
          <w:highlight w:val="none"/>
        </w:rPr>
      </w:pPr>
      <w:r>
        <w:rPr>
          <w:rFonts w:hint="eastAsia" w:hAnsi="宋体"/>
          <w:color w:val="auto"/>
          <w:szCs w:val="21"/>
          <w:highlight w:val="none"/>
        </w:rPr>
        <w:t>(2)履约保证金：</w:t>
      </w:r>
      <w:r>
        <w:rPr>
          <w:rFonts w:hint="eastAsia" w:hAnsi="宋体"/>
          <w:color w:val="auto"/>
          <w:szCs w:val="21"/>
          <w:highlight w:val="none"/>
          <w:u w:val="single"/>
          <w:lang w:val="en-US" w:eastAsia="zh-CN"/>
        </w:rPr>
        <w:t xml:space="preserve">       无       </w:t>
      </w:r>
      <w:r>
        <w:rPr>
          <w:rFonts w:hint="eastAsia" w:hAnsi="宋体"/>
          <w:color w:val="auto"/>
          <w:szCs w:val="21"/>
          <w:highlight w:val="none"/>
        </w:rPr>
        <w:t>。</w:t>
      </w:r>
    </w:p>
    <w:p w14:paraId="34B3A98F">
      <w:pPr>
        <w:spacing w:line="360" w:lineRule="exact"/>
        <w:ind w:firstLine="592"/>
        <w:rPr>
          <w:rFonts w:hint="eastAsia" w:hAnsi="宋体"/>
          <w:color w:val="auto"/>
          <w:szCs w:val="21"/>
          <w:highlight w:val="none"/>
          <w:u w:val="single"/>
        </w:rPr>
      </w:pPr>
      <w:r>
        <w:rPr>
          <w:rFonts w:hint="eastAsia" w:hAnsi="宋体"/>
          <w:color w:val="auto"/>
          <w:szCs w:val="21"/>
          <w:highlight w:val="none"/>
        </w:rPr>
        <w:t>(3)农民工工资保证金：</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rFonts w:hint="eastAsia" w:hAnsi="宋体"/>
          <w:color w:val="auto"/>
          <w:szCs w:val="21"/>
          <w:highlight w:val="none"/>
        </w:rPr>
        <w:t>。</w:t>
      </w:r>
    </w:p>
    <w:p w14:paraId="200D3886">
      <w:pPr>
        <w:spacing w:line="360" w:lineRule="exact"/>
        <w:ind w:firstLine="202" w:firstLineChars="96"/>
        <w:rPr>
          <w:rFonts w:hint="eastAsia" w:hAnsi="宋体"/>
          <w:color w:val="auto"/>
          <w:szCs w:val="21"/>
          <w:highlight w:val="none"/>
        </w:rPr>
      </w:pPr>
      <w:r>
        <w:rPr>
          <w:rFonts w:hint="eastAsia" w:hAnsi="宋体"/>
          <w:b/>
          <w:bCs/>
          <w:color w:val="auto"/>
          <w:szCs w:val="21"/>
          <w:highlight w:val="none"/>
        </w:rPr>
        <w:t xml:space="preserve">   46．合同份数</w:t>
      </w:r>
    </w:p>
    <w:p w14:paraId="4462717A">
      <w:pPr>
        <w:spacing w:line="360" w:lineRule="exact"/>
        <w:ind w:firstLine="231" w:firstLineChars="110"/>
        <w:rPr>
          <w:rFonts w:hint="eastAsia" w:hAnsi="宋体"/>
          <w:color w:val="auto"/>
          <w:szCs w:val="21"/>
          <w:highlight w:val="none"/>
          <w:u w:val="single"/>
        </w:rPr>
      </w:pPr>
      <w:r>
        <w:rPr>
          <w:rFonts w:hint="eastAsia" w:hAnsi="宋体"/>
          <w:color w:val="auto"/>
          <w:szCs w:val="21"/>
          <w:highlight w:val="none"/>
        </w:rPr>
        <w:t xml:space="preserve">   46.1双方约定合同正副本份数：</w:t>
      </w:r>
      <w:r>
        <w:rPr>
          <w:rFonts w:hint="eastAsia" w:hAnsi="宋体"/>
          <w:color w:val="auto"/>
          <w:szCs w:val="21"/>
          <w:highlight w:val="none"/>
          <w:u w:val="single"/>
        </w:rPr>
        <w:t xml:space="preserve">两份正本，陆份副本 </w:t>
      </w:r>
      <w:r>
        <w:rPr>
          <w:rFonts w:hint="eastAsia" w:hAnsi="宋体"/>
          <w:color w:val="auto"/>
          <w:szCs w:val="21"/>
          <w:highlight w:val="none"/>
        </w:rPr>
        <w:t>。</w:t>
      </w:r>
    </w:p>
    <w:p w14:paraId="3AAD682E">
      <w:pPr>
        <w:spacing w:line="360" w:lineRule="exact"/>
        <w:ind w:firstLine="217" w:firstLineChars="103"/>
        <w:rPr>
          <w:rFonts w:hint="eastAsia" w:hAnsi="宋体"/>
          <w:b/>
          <w:color w:val="auto"/>
          <w:szCs w:val="21"/>
          <w:highlight w:val="none"/>
        </w:rPr>
      </w:pPr>
      <w:r>
        <w:rPr>
          <w:rFonts w:hint="eastAsia" w:hAnsi="宋体"/>
          <w:b/>
          <w:color w:val="auto"/>
          <w:szCs w:val="21"/>
          <w:highlight w:val="none"/>
        </w:rPr>
        <w:t xml:space="preserve">   47．补充条款</w:t>
      </w:r>
    </w:p>
    <w:p w14:paraId="11A2FECF">
      <w:pPr>
        <w:spacing w:line="360" w:lineRule="exact"/>
        <w:ind w:firstLine="247" w:firstLineChars="118"/>
        <w:rPr>
          <w:rFonts w:hint="eastAsia" w:hAnsi="宋体"/>
          <w:color w:val="auto"/>
          <w:szCs w:val="21"/>
          <w:highlight w:val="none"/>
        </w:rPr>
      </w:pPr>
      <w:r>
        <w:rPr>
          <w:rFonts w:hint="eastAsia" w:hAnsi="宋体"/>
          <w:color w:val="auto"/>
          <w:szCs w:val="21"/>
          <w:highlight w:val="none"/>
        </w:rPr>
        <w:t xml:space="preserve">   47.1承包人有以下情况之一者，将视为违约，发包人有权采取以下措施处理，并视情节轻重处予违约处罚金。</w:t>
      </w:r>
    </w:p>
    <w:p w14:paraId="4914A8BE">
      <w:pPr>
        <w:spacing w:line="360" w:lineRule="exact"/>
        <w:rPr>
          <w:rFonts w:hint="eastAsia" w:hAnsi="宋体"/>
          <w:color w:val="auto"/>
          <w:szCs w:val="21"/>
          <w:highlight w:val="none"/>
        </w:rPr>
      </w:pPr>
      <w:r>
        <w:rPr>
          <w:rFonts w:hint="eastAsia" w:hAnsi="宋体"/>
          <w:color w:val="auto"/>
          <w:szCs w:val="21"/>
          <w:highlight w:val="none"/>
        </w:rPr>
        <w:t xml:space="preserve">     47.1.1合同签订之日起十五日内，承包人无法按合同规定及</w:t>
      </w:r>
      <w:r>
        <w:rPr>
          <w:rFonts w:hint="eastAsia" w:hAnsi="宋体"/>
          <w:color w:val="auto"/>
          <w:szCs w:val="21"/>
          <w:highlight w:val="none"/>
          <w:lang w:eastAsia="zh-CN"/>
        </w:rPr>
        <w:t>响应文件</w:t>
      </w:r>
      <w:r>
        <w:rPr>
          <w:rFonts w:hint="eastAsia" w:hAnsi="宋体"/>
          <w:color w:val="auto"/>
          <w:szCs w:val="21"/>
          <w:highlight w:val="none"/>
        </w:rPr>
        <w:t>的承诺进场经监理工程师认可的全部人员和机械时，视为违约，发包人有权解除合同，没收其全部履约保证金，发包人有权另行发包工程。</w:t>
      </w:r>
    </w:p>
    <w:p w14:paraId="109D617E">
      <w:pPr>
        <w:spacing w:line="360" w:lineRule="exact"/>
        <w:rPr>
          <w:rFonts w:hint="eastAsia" w:hAnsi="宋体"/>
          <w:color w:val="auto"/>
          <w:szCs w:val="21"/>
          <w:highlight w:val="none"/>
        </w:rPr>
      </w:pPr>
      <w:r>
        <w:rPr>
          <w:rFonts w:hint="eastAsia" w:hAnsi="宋体"/>
          <w:color w:val="auto"/>
          <w:szCs w:val="21"/>
          <w:highlight w:val="none"/>
        </w:rPr>
        <w:t xml:space="preserve">    47.1.2主要机械的数量、型号，应与合同相符，若监理工程师认为合同规定的进场机械不能满足施工进度要求，有权指令承包人增加机械投入，承包人不得拒绝。</w:t>
      </w:r>
    </w:p>
    <w:p w14:paraId="16F5FA90">
      <w:pPr>
        <w:spacing w:line="360" w:lineRule="exact"/>
        <w:rPr>
          <w:rFonts w:hint="eastAsia" w:hAnsi="宋体"/>
          <w:color w:val="auto"/>
          <w:szCs w:val="21"/>
          <w:highlight w:val="none"/>
        </w:rPr>
      </w:pPr>
      <w:r>
        <w:rPr>
          <w:rFonts w:hint="eastAsia" w:hAnsi="宋体"/>
          <w:color w:val="auto"/>
          <w:szCs w:val="21"/>
          <w:highlight w:val="none"/>
        </w:rPr>
        <w:t xml:space="preserve">    47.1．5所有以上违约处罚金金额均在承包人的履约保证金(包括银行利息)及计量支付款内扣除，监理工程师预先下发统一格式含有违约处罚意向的指令，如承包人不及时采取措施纠正，则在指令下达后十五天下发违约处罚通知书(不再陈述违约处罚理由)。承包人履约保证金被扣罚后，发包人从承包人最近一次计量支付时扣相应金额补足履约保证金。</w:t>
      </w:r>
    </w:p>
    <w:p w14:paraId="048093A1">
      <w:pPr>
        <w:spacing w:line="360" w:lineRule="exact"/>
        <w:rPr>
          <w:rFonts w:hint="eastAsia" w:hAnsi="宋体"/>
          <w:color w:val="auto"/>
          <w:szCs w:val="21"/>
          <w:highlight w:val="none"/>
        </w:rPr>
      </w:pPr>
      <w:r>
        <w:rPr>
          <w:rFonts w:hint="eastAsia" w:hAnsi="宋体"/>
          <w:color w:val="auto"/>
          <w:szCs w:val="21"/>
          <w:highlight w:val="none"/>
        </w:rPr>
        <w:t xml:space="preserve">    47.1.6承包人在合同期内，完成合同规定的全部工程，且质量合格，竣工验收后十五天内可申请返还全部或部分违约处罚金(不包括利息)。</w:t>
      </w:r>
    </w:p>
    <w:p w14:paraId="176231CF">
      <w:pPr>
        <w:spacing w:line="360" w:lineRule="exact"/>
        <w:rPr>
          <w:rFonts w:hint="eastAsia" w:hAnsi="宋体"/>
          <w:color w:val="auto"/>
          <w:szCs w:val="21"/>
          <w:highlight w:val="none"/>
        </w:rPr>
      </w:pPr>
      <w:r>
        <w:rPr>
          <w:rFonts w:hint="eastAsia" w:hAnsi="宋体"/>
          <w:color w:val="auto"/>
          <w:szCs w:val="21"/>
          <w:highlight w:val="none"/>
        </w:rPr>
        <w:t xml:space="preserve">    47.2工程款的使用</w:t>
      </w:r>
    </w:p>
    <w:p w14:paraId="1E982D05">
      <w:pPr>
        <w:spacing w:line="360" w:lineRule="exact"/>
        <w:rPr>
          <w:rFonts w:hint="eastAsia" w:hAnsi="宋体"/>
          <w:color w:val="auto"/>
          <w:szCs w:val="21"/>
          <w:highlight w:val="none"/>
        </w:rPr>
      </w:pPr>
      <w:r>
        <w:rPr>
          <w:rFonts w:hint="eastAsia" w:hAnsi="宋体"/>
          <w:color w:val="auto"/>
          <w:szCs w:val="21"/>
          <w:highlight w:val="none"/>
        </w:rPr>
        <w:t xml:space="preserve">  47.2.1本工程资金属地方财政、业主贷款等，承包人在施工期间必须保证资金的专项使用，不得挪作他用，并自觉接受业主和银行的监督，否则将视为承包人违约。</w:t>
      </w:r>
    </w:p>
    <w:p w14:paraId="02F56CBA">
      <w:pPr>
        <w:spacing w:line="360" w:lineRule="exact"/>
        <w:rPr>
          <w:rFonts w:hint="eastAsia" w:hAnsi="宋体"/>
          <w:color w:val="auto"/>
          <w:szCs w:val="21"/>
          <w:highlight w:val="none"/>
        </w:rPr>
      </w:pPr>
      <w:r>
        <w:rPr>
          <w:rFonts w:hint="eastAsia" w:hAnsi="宋体"/>
          <w:color w:val="auto"/>
          <w:szCs w:val="21"/>
          <w:highlight w:val="none"/>
        </w:rPr>
        <w:t xml:space="preserve">    47.2.2承包人(项目部)账户必须在业主指定的银行开户，否则业主将不支付任何工程款。</w:t>
      </w:r>
    </w:p>
    <w:p w14:paraId="31B8B979">
      <w:pPr>
        <w:spacing w:line="360" w:lineRule="exact"/>
        <w:rPr>
          <w:rFonts w:hint="eastAsia" w:hAnsi="宋体"/>
          <w:color w:val="auto"/>
          <w:szCs w:val="21"/>
          <w:highlight w:val="none"/>
        </w:rPr>
      </w:pPr>
      <w:r>
        <w:rPr>
          <w:rFonts w:hint="eastAsia" w:hAnsi="宋体"/>
          <w:color w:val="auto"/>
          <w:szCs w:val="21"/>
          <w:highlight w:val="none"/>
        </w:rPr>
        <w:t xml:space="preserve">    47.2.3承包人对外支付其他工程款，必须按以下规定报批，违者将视情节轻重，给予罚(等额)款、没收履约保证金、终止合同等。</w:t>
      </w:r>
    </w:p>
    <w:p w14:paraId="030BB161">
      <w:pPr>
        <w:spacing w:line="360" w:lineRule="exact"/>
        <w:rPr>
          <w:rFonts w:hint="eastAsia" w:hAnsi="宋体"/>
          <w:color w:val="auto"/>
          <w:szCs w:val="21"/>
          <w:highlight w:val="none"/>
        </w:rPr>
      </w:pPr>
      <w:r>
        <w:rPr>
          <w:rFonts w:hint="eastAsia" w:hAnsi="宋体"/>
          <w:color w:val="auto"/>
          <w:szCs w:val="21"/>
          <w:highlight w:val="none"/>
        </w:rPr>
        <w:t xml:space="preserve">    47.2.4承包人购买用于本工程的各种材料，施工机械设备、配件等，凡是每次支付的货款金额在贰万元以上，壹拾万元以下者，须附购货发票或购(订)货合同、协议。</w:t>
      </w:r>
    </w:p>
    <w:p w14:paraId="45CE479B">
      <w:pPr>
        <w:spacing w:line="360" w:lineRule="exact"/>
        <w:rPr>
          <w:rFonts w:hint="eastAsia" w:hAnsi="宋体"/>
          <w:color w:val="auto"/>
          <w:szCs w:val="21"/>
          <w:highlight w:val="none"/>
        </w:rPr>
      </w:pPr>
      <w:r>
        <w:rPr>
          <w:rFonts w:hint="eastAsia" w:hAnsi="宋体"/>
          <w:color w:val="auto"/>
          <w:szCs w:val="21"/>
          <w:highlight w:val="none"/>
        </w:rPr>
        <w:t xml:space="preserve">    47.2.5对外支付额≥10万元人民币的，必须报经业主批准，承包人的开户银行才给予受理。</w:t>
      </w:r>
    </w:p>
    <w:p w14:paraId="2666DAD7">
      <w:pPr>
        <w:spacing w:line="360" w:lineRule="exact"/>
        <w:rPr>
          <w:rFonts w:hint="eastAsia" w:hAnsi="宋体"/>
          <w:color w:val="auto"/>
          <w:szCs w:val="21"/>
          <w:highlight w:val="none"/>
        </w:rPr>
      </w:pPr>
      <w:r>
        <w:rPr>
          <w:rFonts w:hint="eastAsia" w:hAnsi="宋体"/>
          <w:color w:val="auto"/>
          <w:szCs w:val="21"/>
          <w:highlight w:val="none"/>
        </w:rPr>
        <w:t xml:space="preserve">    47.3  凡进入本工程工作的妇女应持有计生证，否则不准安排工作，禁止使用童工。</w:t>
      </w:r>
    </w:p>
    <w:p w14:paraId="54D81B17">
      <w:pPr>
        <w:spacing w:line="360" w:lineRule="exact"/>
        <w:rPr>
          <w:rFonts w:hint="eastAsia" w:hAnsi="宋体"/>
          <w:color w:val="auto"/>
          <w:szCs w:val="21"/>
          <w:highlight w:val="none"/>
        </w:rPr>
      </w:pPr>
      <w:r>
        <w:rPr>
          <w:rFonts w:hint="eastAsia" w:hAnsi="宋体"/>
          <w:color w:val="auto"/>
          <w:szCs w:val="21"/>
          <w:highlight w:val="none"/>
        </w:rPr>
        <w:t xml:space="preserve">  47.4本工程合同价款已包含安全防护、文明施工措施费      元。使用要求：专款专用，具体按《广西壮族自治区建筑工程安全防护、文明施工措施费及使用管理细则》(桂建质安[2006]22号文)要求执行。</w:t>
      </w:r>
    </w:p>
    <w:p w14:paraId="589E01F6">
      <w:pPr>
        <w:spacing w:line="360" w:lineRule="exact"/>
        <w:rPr>
          <w:rFonts w:hint="eastAsia" w:hAnsi="宋体"/>
          <w:color w:val="auto"/>
          <w:szCs w:val="21"/>
          <w:highlight w:val="none"/>
        </w:rPr>
      </w:pPr>
    </w:p>
    <w:p w14:paraId="230A0235">
      <w:pPr>
        <w:spacing w:line="360" w:lineRule="exact"/>
        <w:rPr>
          <w:rFonts w:hint="eastAsia" w:hAnsi="宋体"/>
          <w:color w:val="auto"/>
          <w:szCs w:val="21"/>
          <w:highlight w:val="none"/>
        </w:rPr>
      </w:pPr>
    </w:p>
    <w:p w14:paraId="3C9C2F85">
      <w:pPr>
        <w:spacing w:line="360" w:lineRule="exact"/>
        <w:rPr>
          <w:rFonts w:hint="eastAsia" w:hAnsi="宋体"/>
          <w:color w:val="auto"/>
          <w:szCs w:val="21"/>
          <w:highlight w:val="none"/>
        </w:rPr>
      </w:pPr>
    </w:p>
    <w:p w14:paraId="7B360754">
      <w:pPr>
        <w:spacing w:line="360" w:lineRule="exact"/>
        <w:rPr>
          <w:rFonts w:hint="eastAsia" w:hAnsi="宋体"/>
          <w:color w:val="auto"/>
          <w:szCs w:val="21"/>
          <w:highlight w:val="none"/>
        </w:rPr>
      </w:pPr>
    </w:p>
    <w:p w14:paraId="624C51F9">
      <w:pPr>
        <w:spacing w:line="360" w:lineRule="exact"/>
        <w:rPr>
          <w:rFonts w:hint="eastAsia" w:hAnsi="宋体"/>
          <w:color w:val="auto"/>
          <w:szCs w:val="21"/>
          <w:highlight w:val="none"/>
        </w:rPr>
      </w:pPr>
    </w:p>
    <w:p w14:paraId="53E67F27">
      <w:pPr>
        <w:spacing w:line="360" w:lineRule="exact"/>
        <w:rPr>
          <w:rFonts w:hint="eastAsia" w:hAnsi="宋体"/>
          <w:color w:val="auto"/>
          <w:szCs w:val="21"/>
          <w:highlight w:val="none"/>
        </w:rPr>
      </w:pPr>
    </w:p>
    <w:p w14:paraId="6D4B61F0">
      <w:pPr>
        <w:spacing w:line="360" w:lineRule="exact"/>
        <w:rPr>
          <w:rFonts w:hint="eastAsia" w:hAnsi="宋体"/>
          <w:color w:val="auto"/>
          <w:szCs w:val="21"/>
          <w:highlight w:val="none"/>
        </w:rPr>
      </w:pPr>
    </w:p>
    <w:p w14:paraId="2A7EDB24">
      <w:pPr>
        <w:spacing w:line="360" w:lineRule="exact"/>
        <w:rPr>
          <w:rFonts w:hint="eastAsia" w:hAnsi="宋体"/>
          <w:color w:val="auto"/>
          <w:szCs w:val="21"/>
          <w:highlight w:val="none"/>
        </w:rPr>
      </w:pPr>
    </w:p>
    <w:p w14:paraId="5959CFC3">
      <w:pPr>
        <w:spacing w:line="360" w:lineRule="exact"/>
        <w:rPr>
          <w:rFonts w:hint="eastAsia" w:hAnsi="宋体"/>
          <w:color w:val="auto"/>
          <w:szCs w:val="21"/>
          <w:highlight w:val="none"/>
        </w:rPr>
      </w:pPr>
    </w:p>
    <w:p w14:paraId="45E45F42">
      <w:pPr>
        <w:rPr>
          <w:rFonts w:hint="eastAsia" w:hAnsi="宋体"/>
          <w:b/>
          <w:color w:val="auto"/>
          <w:szCs w:val="21"/>
          <w:highlight w:val="none"/>
        </w:rPr>
      </w:pPr>
      <w:r>
        <w:rPr>
          <w:rFonts w:hint="eastAsia" w:hAnsi="宋体"/>
          <w:b/>
          <w:color w:val="auto"/>
          <w:szCs w:val="21"/>
          <w:highlight w:val="none"/>
        </w:rPr>
        <w:br w:type="page"/>
      </w:r>
    </w:p>
    <w:p w14:paraId="1675E774">
      <w:pPr>
        <w:spacing w:line="360" w:lineRule="exact"/>
        <w:rPr>
          <w:rFonts w:hint="eastAsia" w:hAnsi="宋体"/>
          <w:b/>
          <w:color w:val="auto"/>
          <w:szCs w:val="21"/>
          <w:highlight w:val="none"/>
        </w:rPr>
      </w:pPr>
      <w:r>
        <w:rPr>
          <w:rFonts w:hint="eastAsia" w:hAnsi="宋体"/>
          <w:b/>
          <w:color w:val="auto"/>
          <w:szCs w:val="21"/>
          <w:highlight w:val="none"/>
        </w:rPr>
        <w:t>附件</w:t>
      </w:r>
      <w:r>
        <w:rPr>
          <w:rFonts w:hint="eastAsia" w:hAnsi="宋体"/>
          <w:b/>
          <w:color w:val="auto"/>
          <w:szCs w:val="21"/>
          <w:highlight w:val="none"/>
          <w:lang w:val="en-US" w:eastAsia="zh-CN"/>
        </w:rPr>
        <w:t>1</w:t>
      </w:r>
      <w:r>
        <w:rPr>
          <w:rFonts w:hint="eastAsia" w:hAnsi="宋体"/>
          <w:b/>
          <w:color w:val="auto"/>
          <w:szCs w:val="21"/>
          <w:highlight w:val="none"/>
        </w:rPr>
        <w:t>：工程质量保修书</w:t>
      </w:r>
    </w:p>
    <w:p w14:paraId="3DD2F24B">
      <w:pPr>
        <w:spacing w:line="360" w:lineRule="exact"/>
        <w:rPr>
          <w:rFonts w:hint="eastAsia" w:hAnsi="宋体"/>
          <w:color w:val="auto"/>
          <w:szCs w:val="21"/>
          <w:highlight w:val="none"/>
        </w:rPr>
      </w:pPr>
    </w:p>
    <w:p w14:paraId="6AC11FD8">
      <w:pPr>
        <w:spacing w:line="360" w:lineRule="exact"/>
        <w:rPr>
          <w:rFonts w:hint="eastAsia" w:hAnsi="宋体"/>
          <w:color w:val="auto"/>
          <w:szCs w:val="21"/>
          <w:highlight w:val="none"/>
        </w:rPr>
      </w:pPr>
      <w:r>
        <w:rPr>
          <w:rFonts w:hint="eastAsia" w:hAnsi="宋体"/>
          <w:color w:val="auto"/>
          <w:szCs w:val="21"/>
          <w:highlight w:val="none"/>
        </w:rPr>
        <w:t xml:space="preserve">发包人(全称)：    </w:t>
      </w:r>
    </w:p>
    <w:p w14:paraId="485A582E">
      <w:pPr>
        <w:spacing w:line="360" w:lineRule="exact"/>
        <w:rPr>
          <w:rFonts w:hint="eastAsia" w:hAnsi="宋体"/>
          <w:color w:val="auto"/>
          <w:szCs w:val="21"/>
          <w:highlight w:val="none"/>
        </w:rPr>
      </w:pPr>
      <w:r>
        <w:rPr>
          <w:rFonts w:hint="eastAsia" w:hAnsi="宋体"/>
          <w:color w:val="auto"/>
          <w:szCs w:val="21"/>
          <w:highlight w:val="none"/>
        </w:rPr>
        <w:t>承包人(全称)：</w:t>
      </w:r>
    </w:p>
    <w:p w14:paraId="16194311">
      <w:pPr>
        <w:spacing w:line="360" w:lineRule="exact"/>
        <w:rPr>
          <w:rFonts w:hint="eastAsia" w:hAnsi="宋体"/>
          <w:color w:val="auto"/>
          <w:szCs w:val="21"/>
          <w:highlight w:val="none"/>
        </w:rPr>
      </w:pPr>
      <w:r>
        <w:rPr>
          <w:rFonts w:hint="eastAsia" w:hAnsi="宋体"/>
          <w:color w:val="auto"/>
          <w:szCs w:val="21"/>
          <w:highlight w:val="none"/>
        </w:rPr>
        <w:t xml:space="preserve">   为保证</w:t>
      </w:r>
      <w:r>
        <w:rPr>
          <w:rFonts w:hint="eastAsia" w:hAnsi="宋体"/>
          <w:color w:val="auto"/>
          <w:szCs w:val="21"/>
          <w:highlight w:val="none"/>
          <w:u w:val="single"/>
        </w:rPr>
        <w:t xml:space="preserve">             </w:t>
      </w:r>
      <w:r>
        <w:rPr>
          <w:rFonts w:hint="eastAsia" w:hAnsi="宋体"/>
          <w:color w:val="auto"/>
          <w:szCs w:val="21"/>
          <w:highlight w:val="none"/>
        </w:rPr>
        <w:t>(工程名称)在合理使用期限内正常使用，发包人和承包人协商一致签订工程质量保修书。承包人在质量保修期内按照有关管理规定及双方约定承担工程质量保修责任。</w:t>
      </w:r>
    </w:p>
    <w:p w14:paraId="2F0FE52A">
      <w:pPr>
        <w:spacing w:line="360" w:lineRule="exact"/>
        <w:rPr>
          <w:rFonts w:hint="eastAsia" w:hAnsi="宋体"/>
          <w:b/>
          <w:color w:val="auto"/>
          <w:szCs w:val="21"/>
          <w:highlight w:val="none"/>
        </w:rPr>
      </w:pPr>
      <w:r>
        <w:rPr>
          <w:rFonts w:hint="eastAsia" w:hAnsi="宋体"/>
          <w:b/>
          <w:color w:val="auto"/>
          <w:szCs w:val="21"/>
          <w:highlight w:val="none"/>
        </w:rPr>
        <w:t>一、工程质量保修范围和内容</w:t>
      </w:r>
    </w:p>
    <w:p w14:paraId="24D1D66A">
      <w:pPr>
        <w:spacing w:line="360" w:lineRule="exact"/>
        <w:ind w:firstLine="420"/>
        <w:rPr>
          <w:rFonts w:hint="eastAsia" w:hAnsi="宋体"/>
          <w:color w:val="auto"/>
          <w:szCs w:val="21"/>
          <w:highlight w:val="none"/>
        </w:rPr>
      </w:pPr>
      <w:r>
        <w:rPr>
          <w:rFonts w:hint="eastAsia" w:hAnsi="宋体"/>
          <w:color w:val="auto"/>
          <w:szCs w:val="21"/>
          <w:highlight w:val="none"/>
        </w:rPr>
        <w:t>质量保修范围包括合同及施工图纸所包括的工程。具体质量保修内容双方约定如下：</w:t>
      </w:r>
    </w:p>
    <w:p w14:paraId="29B836A6">
      <w:pPr>
        <w:spacing w:line="360" w:lineRule="exact"/>
        <w:rPr>
          <w:rFonts w:hint="eastAsia" w:hAnsi="宋体"/>
          <w:color w:val="auto"/>
          <w:szCs w:val="21"/>
          <w:highlight w:val="none"/>
        </w:rPr>
      </w:pPr>
      <w:r>
        <w:rPr>
          <w:rFonts w:hint="eastAsia" w:hAnsi="宋体"/>
          <w:b/>
          <w:bCs/>
          <w:color w:val="auto"/>
          <w:szCs w:val="21"/>
          <w:highlight w:val="none"/>
        </w:rPr>
        <w:t>*二、质量保修期</w:t>
      </w:r>
    </w:p>
    <w:p w14:paraId="0C56428D">
      <w:pPr>
        <w:spacing w:line="360" w:lineRule="exact"/>
        <w:ind w:firstLine="315" w:firstLineChars="150"/>
        <w:rPr>
          <w:rFonts w:hint="eastAsia" w:hAnsi="宋体"/>
          <w:color w:val="auto"/>
          <w:szCs w:val="21"/>
          <w:highlight w:val="none"/>
        </w:rPr>
      </w:pPr>
      <w:r>
        <w:rPr>
          <w:rFonts w:hint="eastAsia" w:hAnsi="宋体"/>
          <w:color w:val="auto"/>
          <w:szCs w:val="21"/>
          <w:highlight w:val="none"/>
        </w:rPr>
        <w:t>1．双方根据《建设工程质量管理条例》及有关规定，约定本工程的质量保修期如下：</w:t>
      </w:r>
    </w:p>
    <w:p w14:paraId="20B1558D">
      <w:pPr>
        <w:spacing w:line="360" w:lineRule="exact"/>
        <w:ind w:firstLine="210" w:firstLineChars="100"/>
        <w:rPr>
          <w:rFonts w:hint="eastAsia" w:hAnsi="宋体"/>
          <w:color w:val="auto"/>
          <w:szCs w:val="21"/>
          <w:highlight w:val="none"/>
        </w:rPr>
      </w:pPr>
      <w:r>
        <w:rPr>
          <w:rFonts w:hint="eastAsia" w:hAnsi="宋体"/>
          <w:color w:val="auto"/>
          <w:szCs w:val="21"/>
          <w:highlight w:val="none"/>
        </w:rPr>
        <w:t xml:space="preserve"> (1)桥梁工程为</w:t>
      </w:r>
      <w:r>
        <w:rPr>
          <w:rFonts w:hint="eastAsia" w:hAnsi="宋体"/>
          <w:color w:val="auto"/>
          <w:szCs w:val="21"/>
          <w:highlight w:val="none"/>
          <w:u w:val="single"/>
        </w:rPr>
        <w:t xml:space="preserve">  1   </w:t>
      </w:r>
      <w:r>
        <w:rPr>
          <w:rFonts w:hint="eastAsia" w:hAnsi="宋体"/>
          <w:color w:val="auto"/>
          <w:szCs w:val="21"/>
          <w:highlight w:val="none"/>
        </w:rPr>
        <w:t xml:space="preserve">年；            </w:t>
      </w:r>
    </w:p>
    <w:p w14:paraId="4BA90E5E">
      <w:pPr>
        <w:spacing w:line="360" w:lineRule="exact"/>
        <w:ind w:firstLine="315" w:firstLineChars="150"/>
        <w:rPr>
          <w:rFonts w:hint="eastAsia" w:hAnsi="宋体"/>
          <w:color w:val="auto"/>
          <w:szCs w:val="21"/>
          <w:highlight w:val="none"/>
        </w:rPr>
      </w:pPr>
      <w:r>
        <w:rPr>
          <w:rFonts w:hint="eastAsia" w:hAnsi="宋体"/>
          <w:color w:val="auto"/>
          <w:szCs w:val="21"/>
          <w:highlight w:val="none"/>
        </w:rPr>
        <w:t>(2)道路工程为</w:t>
      </w:r>
      <w:r>
        <w:rPr>
          <w:rFonts w:hint="eastAsia" w:hAnsi="宋体"/>
          <w:color w:val="auto"/>
          <w:szCs w:val="21"/>
          <w:highlight w:val="none"/>
          <w:u w:val="single"/>
        </w:rPr>
        <w:t xml:space="preserve">   1  </w:t>
      </w:r>
      <w:r>
        <w:rPr>
          <w:rFonts w:hint="eastAsia" w:hAnsi="宋体"/>
          <w:color w:val="auto"/>
          <w:szCs w:val="21"/>
          <w:highlight w:val="none"/>
        </w:rPr>
        <w:t>年；</w:t>
      </w:r>
    </w:p>
    <w:p w14:paraId="3E1B0F4B">
      <w:pPr>
        <w:spacing w:line="360" w:lineRule="exact"/>
        <w:ind w:firstLine="210" w:firstLineChars="100"/>
        <w:rPr>
          <w:rFonts w:hint="eastAsia" w:hAnsi="宋体"/>
          <w:color w:val="auto"/>
          <w:szCs w:val="21"/>
          <w:highlight w:val="none"/>
        </w:rPr>
      </w:pPr>
      <w:r>
        <w:rPr>
          <w:rFonts w:hint="eastAsia" w:hAnsi="宋体"/>
          <w:color w:val="auto"/>
          <w:szCs w:val="21"/>
          <w:highlight w:val="none"/>
        </w:rPr>
        <w:t xml:space="preserve"> (3)地基处理工程为</w:t>
      </w:r>
      <w:r>
        <w:rPr>
          <w:rFonts w:hint="eastAsia" w:hAnsi="宋体"/>
          <w:color w:val="auto"/>
          <w:szCs w:val="21"/>
          <w:highlight w:val="none"/>
          <w:u w:val="single"/>
        </w:rPr>
        <w:t xml:space="preserve">   1  </w:t>
      </w:r>
      <w:r>
        <w:rPr>
          <w:rFonts w:hint="eastAsia" w:hAnsi="宋体"/>
          <w:color w:val="auto"/>
          <w:szCs w:val="21"/>
          <w:highlight w:val="none"/>
        </w:rPr>
        <w:t>年；</w:t>
      </w:r>
    </w:p>
    <w:p w14:paraId="5D87C4B4">
      <w:pPr>
        <w:spacing w:line="360" w:lineRule="exact"/>
        <w:ind w:firstLine="210" w:firstLineChars="100"/>
        <w:rPr>
          <w:rFonts w:hint="eastAsia" w:hAnsi="宋体"/>
          <w:color w:val="auto"/>
          <w:szCs w:val="21"/>
          <w:highlight w:val="none"/>
        </w:rPr>
      </w:pPr>
      <w:r>
        <w:rPr>
          <w:rFonts w:hint="eastAsia" w:hAnsi="宋体"/>
          <w:color w:val="auto"/>
          <w:szCs w:val="21"/>
          <w:highlight w:val="none"/>
        </w:rPr>
        <w:t xml:space="preserve"> (4)排水(雨水)工程为</w:t>
      </w:r>
      <w:r>
        <w:rPr>
          <w:rFonts w:hint="eastAsia" w:hAnsi="宋体"/>
          <w:color w:val="auto"/>
          <w:szCs w:val="21"/>
          <w:highlight w:val="none"/>
          <w:u w:val="single"/>
        </w:rPr>
        <w:t xml:space="preserve">   1  </w:t>
      </w:r>
      <w:r>
        <w:rPr>
          <w:rFonts w:hint="eastAsia" w:hAnsi="宋体"/>
          <w:color w:val="auto"/>
          <w:szCs w:val="21"/>
          <w:highlight w:val="none"/>
        </w:rPr>
        <w:t>年；</w:t>
      </w:r>
    </w:p>
    <w:p w14:paraId="2B73E9C6">
      <w:pPr>
        <w:spacing w:line="360" w:lineRule="exact"/>
        <w:rPr>
          <w:rFonts w:hint="eastAsia" w:hAnsi="宋体"/>
          <w:color w:val="auto"/>
          <w:szCs w:val="21"/>
          <w:highlight w:val="none"/>
          <w:u w:val="single"/>
        </w:rPr>
      </w:pPr>
      <w:r>
        <w:rPr>
          <w:rFonts w:hint="eastAsia" w:hAnsi="宋体"/>
          <w:color w:val="auto"/>
          <w:szCs w:val="21"/>
          <w:highlight w:val="none"/>
        </w:rPr>
        <w:t xml:space="preserve">   (5)绿化工程为</w:t>
      </w:r>
      <w:r>
        <w:rPr>
          <w:rFonts w:hint="eastAsia" w:hAnsi="宋体"/>
          <w:color w:val="auto"/>
          <w:szCs w:val="21"/>
          <w:highlight w:val="none"/>
          <w:u w:val="single"/>
        </w:rPr>
        <w:t xml:space="preserve">工程竣工综合验收合格后 12 个月 </w:t>
      </w:r>
      <w:r>
        <w:rPr>
          <w:rFonts w:hint="eastAsia" w:hAnsi="宋体"/>
          <w:color w:val="auto"/>
          <w:szCs w:val="21"/>
          <w:highlight w:val="none"/>
        </w:rPr>
        <w:t>；</w:t>
      </w:r>
    </w:p>
    <w:p w14:paraId="0CB24F54">
      <w:pPr>
        <w:spacing w:line="360" w:lineRule="exact"/>
        <w:rPr>
          <w:rFonts w:hint="eastAsia" w:hAnsi="宋体"/>
          <w:color w:val="auto"/>
          <w:szCs w:val="21"/>
          <w:highlight w:val="none"/>
        </w:rPr>
      </w:pPr>
      <w:r>
        <w:rPr>
          <w:rFonts w:hint="eastAsia" w:hAnsi="宋体"/>
          <w:color w:val="auto"/>
          <w:szCs w:val="21"/>
          <w:highlight w:val="none"/>
        </w:rPr>
        <w:t xml:space="preserve">   (6)其他附属工程为</w:t>
      </w:r>
      <w:r>
        <w:rPr>
          <w:rFonts w:hint="eastAsia" w:hAnsi="宋体"/>
          <w:color w:val="auto"/>
          <w:szCs w:val="21"/>
          <w:highlight w:val="none"/>
          <w:u w:val="single"/>
        </w:rPr>
        <w:t xml:space="preserve">  1   </w:t>
      </w:r>
      <w:r>
        <w:rPr>
          <w:rFonts w:hint="eastAsia" w:hAnsi="宋体"/>
          <w:color w:val="auto"/>
          <w:szCs w:val="21"/>
          <w:highlight w:val="none"/>
        </w:rPr>
        <w:t>年。</w:t>
      </w:r>
    </w:p>
    <w:p w14:paraId="533E3D10">
      <w:pPr>
        <w:spacing w:line="360" w:lineRule="exact"/>
        <w:ind w:firstLine="67" w:firstLineChars="32"/>
        <w:rPr>
          <w:rFonts w:hint="eastAsia" w:hAnsi="宋体"/>
          <w:color w:val="auto"/>
          <w:szCs w:val="21"/>
          <w:highlight w:val="none"/>
        </w:rPr>
      </w:pPr>
      <w:r>
        <w:rPr>
          <w:rFonts w:hint="eastAsia" w:hAnsi="宋体"/>
          <w:color w:val="auto"/>
          <w:szCs w:val="21"/>
          <w:highlight w:val="none"/>
        </w:rPr>
        <w:t xml:space="preserve">   2．质量保修期自本合同工程签发的工程竣工验收合格交工证书中写明的竣工日期起计算。</w:t>
      </w:r>
      <w:r>
        <w:rPr>
          <w:rFonts w:hint="eastAsia" w:hAnsi="宋体"/>
          <w:b/>
          <w:bCs/>
          <w:color w:val="auto"/>
          <w:szCs w:val="21"/>
          <w:highlight w:val="none"/>
        </w:rPr>
        <w:t>分单项竣工验收的工程，按单项工程分别计算质量保修期。</w:t>
      </w:r>
    </w:p>
    <w:p w14:paraId="6D9AE9BC">
      <w:pPr>
        <w:spacing w:line="360" w:lineRule="exact"/>
        <w:rPr>
          <w:rFonts w:hint="eastAsia" w:hAnsi="宋体"/>
          <w:color w:val="auto"/>
          <w:szCs w:val="21"/>
          <w:highlight w:val="none"/>
        </w:rPr>
      </w:pPr>
      <w:r>
        <w:rPr>
          <w:rFonts w:hint="eastAsia" w:hAnsi="宋体"/>
          <w:color w:val="auto"/>
          <w:szCs w:val="21"/>
          <w:highlight w:val="none"/>
        </w:rPr>
        <w:t xml:space="preserve">   3．其他约定：</w:t>
      </w:r>
    </w:p>
    <w:p w14:paraId="5AAEFD7E">
      <w:pPr>
        <w:spacing w:line="360" w:lineRule="exact"/>
        <w:rPr>
          <w:rFonts w:hint="eastAsia" w:hAnsi="宋体"/>
          <w:b/>
          <w:color w:val="auto"/>
          <w:szCs w:val="21"/>
          <w:highlight w:val="none"/>
        </w:rPr>
      </w:pPr>
      <w:r>
        <w:rPr>
          <w:rFonts w:hint="eastAsia" w:hAnsi="宋体"/>
          <w:b/>
          <w:color w:val="auto"/>
          <w:szCs w:val="21"/>
          <w:highlight w:val="none"/>
        </w:rPr>
        <w:t>三、质量保修保质责任</w:t>
      </w:r>
    </w:p>
    <w:p w14:paraId="5DC2A9F2">
      <w:pPr>
        <w:spacing w:line="360" w:lineRule="exact"/>
        <w:rPr>
          <w:rFonts w:hint="eastAsia" w:hAnsi="宋体"/>
          <w:color w:val="auto"/>
          <w:szCs w:val="21"/>
          <w:highlight w:val="none"/>
        </w:rPr>
      </w:pPr>
      <w:r>
        <w:rPr>
          <w:rFonts w:hint="eastAsia" w:hAnsi="宋体"/>
          <w:color w:val="auto"/>
          <w:szCs w:val="21"/>
          <w:highlight w:val="none"/>
        </w:rPr>
        <w:t xml:space="preserve">   1．质量保修期自工程竣工验收合格之日起计算。</w:t>
      </w:r>
    </w:p>
    <w:p w14:paraId="6B7FDCD5">
      <w:pPr>
        <w:spacing w:line="360" w:lineRule="exact"/>
        <w:rPr>
          <w:rFonts w:hint="eastAsia" w:hAnsi="宋体"/>
          <w:color w:val="auto"/>
          <w:szCs w:val="21"/>
          <w:highlight w:val="none"/>
        </w:rPr>
      </w:pPr>
      <w:r>
        <w:rPr>
          <w:rFonts w:hint="eastAsia" w:hAnsi="宋体"/>
          <w:color w:val="auto"/>
          <w:szCs w:val="21"/>
          <w:highlight w:val="none"/>
        </w:rPr>
        <w:t xml:space="preserve">   2．质量保修责任</w:t>
      </w:r>
    </w:p>
    <w:p w14:paraId="174B2216">
      <w:pPr>
        <w:spacing w:line="360" w:lineRule="exact"/>
        <w:rPr>
          <w:rFonts w:hint="eastAsia" w:hAnsi="宋体"/>
          <w:color w:val="auto"/>
          <w:szCs w:val="21"/>
          <w:highlight w:val="none"/>
        </w:rPr>
      </w:pPr>
      <w:r>
        <w:rPr>
          <w:rFonts w:hint="eastAsia" w:hAnsi="宋体"/>
          <w:color w:val="auto"/>
          <w:szCs w:val="21"/>
          <w:highlight w:val="none"/>
        </w:rPr>
        <w:t xml:space="preserve">   2.1属于保修范围、内容的项目，承包人应当在接到保修通知之日起七日内派人保修。承包人不在约定期限内派人保修的，发包人可以委托他人修理，修理费用由承包人承担。</w:t>
      </w:r>
    </w:p>
    <w:p w14:paraId="7FA4A387">
      <w:pPr>
        <w:spacing w:line="360" w:lineRule="exact"/>
        <w:rPr>
          <w:rFonts w:hint="eastAsia" w:hAnsi="宋体"/>
          <w:color w:val="auto"/>
          <w:szCs w:val="21"/>
          <w:highlight w:val="none"/>
        </w:rPr>
      </w:pPr>
      <w:r>
        <w:rPr>
          <w:rFonts w:hint="eastAsia" w:hAnsi="宋体"/>
          <w:color w:val="auto"/>
          <w:szCs w:val="21"/>
          <w:highlight w:val="none"/>
        </w:rPr>
        <w:t xml:space="preserve">   2.2发生紧急抢修事故的，承包人在接到事故通知后，应当立即到达事故现场抢修。</w:t>
      </w:r>
    </w:p>
    <w:p w14:paraId="1874CA0C">
      <w:pPr>
        <w:spacing w:line="360" w:lineRule="exact"/>
        <w:rPr>
          <w:rFonts w:hint="eastAsia" w:hAnsi="宋体"/>
          <w:color w:val="auto"/>
          <w:szCs w:val="21"/>
          <w:highlight w:val="none"/>
        </w:rPr>
      </w:pPr>
      <w:r>
        <w:rPr>
          <w:rFonts w:hint="eastAsia" w:hAnsi="宋体"/>
          <w:color w:val="auto"/>
          <w:szCs w:val="21"/>
          <w:highlight w:val="none"/>
        </w:rPr>
        <w:t xml:space="preserve">   2.3对于涉及结构安全的质量问题，应当按照有关的规定，立即向当地建设行政主管部门报告，采取安全防范措施；由原设计单位或者具有相应资质等级的设计单位提出保修方案，承包人实施保修。</w:t>
      </w:r>
    </w:p>
    <w:p w14:paraId="150D56E9">
      <w:pPr>
        <w:spacing w:line="360" w:lineRule="exact"/>
        <w:rPr>
          <w:rFonts w:hint="eastAsia" w:hAnsi="宋体"/>
          <w:color w:val="auto"/>
          <w:szCs w:val="21"/>
          <w:highlight w:val="none"/>
        </w:rPr>
      </w:pPr>
      <w:r>
        <w:rPr>
          <w:rFonts w:hint="eastAsia" w:hAnsi="宋体"/>
          <w:color w:val="auto"/>
          <w:szCs w:val="21"/>
          <w:highlight w:val="none"/>
        </w:rPr>
        <w:t xml:space="preserve">   2.4质量保修完成后，由发包人组织验收。</w:t>
      </w:r>
    </w:p>
    <w:p w14:paraId="038E2DAC">
      <w:pPr>
        <w:spacing w:line="360" w:lineRule="exact"/>
        <w:rPr>
          <w:rFonts w:hint="eastAsia" w:hAnsi="宋体"/>
          <w:b/>
          <w:color w:val="auto"/>
          <w:szCs w:val="21"/>
          <w:highlight w:val="none"/>
        </w:rPr>
      </w:pPr>
      <w:r>
        <w:rPr>
          <w:rFonts w:hint="eastAsia" w:hAnsi="宋体"/>
          <w:b/>
          <w:color w:val="auto"/>
          <w:szCs w:val="21"/>
          <w:highlight w:val="none"/>
        </w:rPr>
        <w:t xml:space="preserve">   *3．保修费用</w:t>
      </w:r>
    </w:p>
    <w:p w14:paraId="1F956303">
      <w:pPr>
        <w:spacing w:line="360" w:lineRule="exact"/>
        <w:rPr>
          <w:rFonts w:hint="eastAsia" w:hAnsi="宋体"/>
          <w:color w:val="auto"/>
          <w:szCs w:val="21"/>
          <w:highlight w:val="none"/>
        </w:rPr>
      </w:pPr>
      <w:r>
        <w:rPr>
          <w:rFonts w:hint="eastAsia" w:hAnsi="宋体"/>
          <w:color w:val="auto"/>
          <w:szCs w:val="21"/>
          <w:highlight w:val="none"/>
        </w:rPr>
        <w:t xml:space="preserve">   保修费用由造成质量缺陷的责任方承担。</w:t>
      </w:r>
    </w:p>
    <w:p w14:paraId="58E870B7">
      <w:pPr>
        <w:spacing w:line="360" w:lineRule="exact"/>
        <w:rPr>
          <w:rFonts w:hint="eastAsia" w:hAnsi="宋体"/>
          <w:b/>
          <w:color w:val="auto"/>
          <w:szCs w:val="21"/>
          <w:highlight w:val="none"/>
        </w:rPr>
      </w:pPr>
      <w:r>
        <w:rPr>
          <w:rFonts w:hint="eastAsia" w:hAnsi="宋体"/>
          <w:b/>
          <w:color w:val="auto"/>
          <w:szCs w:val="21"/>
          <w:highlight w:val="none"/>
        </w:rPr>
        <w:t>*四、质量保修金的支付</w:t>
      </w:r>
    </w:p>
    <w:p w14:paraId="0C9F9C02">
      <w:pPr>
        <w:spacing w:line="360" w:lineRule="exact"/>
        <w:rPr>
          <w:rFonts w:hint="eastAsia" w:hAnsi="宋体"/>
          <w:b/>
          <w:color w:val="auto"/>
          <w:szCs w:val="21"/>
          <w:highlight w:val="none"/>
        </w:rPr>
      </w:pPr>
      <w:r>
        <w:rPr>
          <w:rFonts w:hint="eastAsia" w:hAnsi="宋体"/>
          <w:b/>
          <w:color w:val="auto"/>
          <w:szCs w:val="21"/>
          <w:highlight w:val="none"/>
        </w:rPr>
        <w:t xml:space="preserve">    本工程约定的工程质量保修金为施工结算价的</w:t>
      </w:r>
      <w:r>
        <w:rPr>
          <w:rFonts w:hint="eastAsia" w:hAnsi="宋体"/>
          <w:b/>
          <w:color w:val="auto"/>
          <w:szCs w:val="21"/>
          <w:highlight w:val="none"/>
          <w:u w:val="single"/>
        </w:rPr>
        <w:t xml:space="preserve"> </w:t>
      </w:r>
      <w:r>
        <w:rPr>
          <w:rFonts w:hint="eastAsia" w:hAnsi="宋体"/>
          <w:b/>
          <w:color w:val="auto"/>
          <w:szCs w:val="21"/>
          <w:highlight w:val="none"/>
          <w:u w:val="single"/>
          <w:lang w:val="en-US" w:eastAsia="zh-CN"/>
        </w:rPr>
        <w:t>3</w:t>
      </w:r>
      <w:r>
        <w:rPr>
          <w:rFonts w:hint="eastAsia" w:hAnsi="宋体"/>
          <w:b/>
          <w:color w:val="auto"/>
          <w:szCs w:val="21"/>
          <w:highlight w:val="none"/>
          <w:u w:val="single"/>
        </w:rPr>
        <w:t xml:space="preserve"> </w:t>
      </w:r>
      <w:r>
        <w:rPr>
          <w:rFonts w:hint="eastAsia" w:hAnsi="宋体"/>
          <w:b/>
          <w:color w:val="auto"/>
          <w:szCs w:val="21"/>
          <w:highlight w:val="none"/>
        </w:rPr>
        <w:t>％，质量保修金不计利息。</w:t>
      </w:r>
    </w:p>
    <w:p w14:paraId="5165DBE7">
      <w:pPr>
        <w:spacing w:line="360" w:lineRule="exact"/>
        <w:rPr>
          <w:rFonts w:hint="eastAsia" w:hAnsi="宋体"/>
          <w:b/>
          <w:color w:val="auto"/>
          <w:szCs w:val="21"/>
          <w:highlight w:val="none"/>
        </w:rPr>
      </w:pPr>
      <w:r>
        <w:rPr>
          <w:rFonts w:hint="eastAsia" w:hAnsi="宋体"/>
          <w:b/>
          <w:color w:val="auto"/>
          <w:szCs w:val="21"/>
          <w:highlight w:val="none"/>
        </w:rPr>
        <w:t xml:space="preserve"> 五、质量保修金的返还</w:t>
      </w:r>
    </w:p>
    <w:p w14:paraId="3BCC506D">
      <w:pPr>
        <w:spacing w:line="360" w:lineRule="exact"/>
        <w:ind w:firstLine="435"/>
        <w:rPr>
          <w:rFonts w:hint="eastAsia" w:hAnsi="宋体"/>
          <w:color w:val="auto"/>
          <w:szCs w:val="21"/>
          <w:highlight w:val="none"/>
        </w:rPr>
      </w:pPr>
      <w:r>
        <w:rPr>
          <w:rFonts w:hint="eastAsia" w:hAnsi="宋体"/>
          <w:color w:val="auto"/>
          <w:szCs w:val="21"/>
          <w:highlight w:val="none"/>
        </w:rPr>
        <w:t>发包人在应付款中扣出，在工程竣工保修期满后，14日内将质量保修金(不计利息)余额退回承包人。在保修期内承包人应按保修内容进行保修，若承包人接到发包人保修通知书在七天内未派人进行修理的，发包人则安排其它公司修理，在保修期内发生的修理费用由承包人负责或由发包人从保修金中扣除。</w:t>
      </w:r>
    </w:p>
    <w:p w14:paraId="4218BE48">
      <w:pPr>
        <w:spacing w:line="360" w:lineRule="exact"/>
        <w:rPr>
          <w:rFonts w:hint="eastAsia" w:hAnsi="宋体"/>
          <w:b/>
          <w:color w:val="auto"/>
          <w:szCs w:val="21"/>
          <w:highlight w:val="none"/>
        </w:rPr>
      </w:pPr>
      <w:r>
        <w:rPr>
          <w:rFonts w:hint="eastAsia" w:hAnsi="宋体"/>
          <w:b/>
          <w:color w:val="auto"/>
          <w:szCs w:val="21"/>
          <w:highlight w:val="none"/>
        </w:rPr>
        <w:t>六、其他</w:t>
      </w:r>
    </w:p>
    <w:p w14:paraId="1F9B47E2">
      <w:pPr>
        <w:spacing w:line="360" w:lineRule="exact"/>
        <w:ind w:firstLine="396" w:firstLineChars="189"/>
        <w:rPr>
          <w:rFonts w:hint="eastAsia" w:hAnsi="宋体"/>
          <w:color w:val="auto"/>
          <w:szCs w:val="21"/>
          <w:highlight w:val="none"/>
          <w:u w:val="single"/>
        </w:rPr>
      </w:pPr>
      <w:r>
        <w:rPr>
          <w:rFonts w:hint="eastAsia" w:hAnsi="宋体"/>
          <w:color w:val="auto"/>
          <w:szCs w:val="21"/>
          <w:highlight w:val="none"/>
        </w:rPr>
        <w:t>双方约定的其他工程质量保修事项：</w:t>
      </w:r>
      <w:r>
        <w:rPr>
          <w:rFonts w:hint="eastAsia" w:hAnsi="宋体"/>
          <w:color w:val="auto"/>
          <w:szCs w:val="21"/>
          <w:highlight w:val="none"/>
          <w:u w:val="single"/>
        </w:rPr>
        <w:t xml:space="preserve">                                            </w:t>
      </w:r>
      <w:r>
        <w:rPr>
          <w:rFonts w:hint="eastAsia" w:hAnsi="宋体"/>
          <w:color w:val="auto"/>
          <w:szCs w:val="21"/>
          <w:highlight w:val="none"/>
        </w:rPr>
        <w:t>。</w:t>
      </w:r>
    </w:p>
    <w:p w14:paraId="49190B34">
      <w:pPr>
        <w:spacing w:line="360" w:lineRule="exact"/>
        <w:ind w:firstLine="396" w:firstLineChars="189"/>
        <w:rPr>
          <w:rFonts w:hint="eastAsia" w:hAnsi="宋体"/>
          <w:color w:val="auto"/>
          <w:szCs w:val="21"/>
          <w:highlight w:val="none"/>
        </w:rPr>
      </w:pPr>
      <w:r>
        <w:rPr>
          <w:rFonts w:hint="eastAsia" w:hAnsi="宋体"/>
          <w:color w:val="auto"/>
          <w:szCs w:val="21"/>
          <w:highlight w:val="none"/>
        </w:rPr>
        <w:t>本工程质量保修书作为施工合同附件，由施工合同发包人和承包人双方共同签署。</w:t>
      </w:r>
    </w:p>
    <w:p w14:paraId="28D6AF57">
      <w:pPr>
        <w:spacing w:line="360" w:lineRule="exact"/>
        <w:rPr>
          <w:rFonts w:hint="eastAsia" w:hAnsi="宋体"/>
          <w:color w:val="auto"/>
          <w:szCs w:val="21"/>
          <w:highlight w:val="none"/>
        </w:rPr>
      </w:pPr>
      <w:r>
        <w:rPr>
          <w:rFonts w:hint="eastAsia" w:hAnsi="宋体"/>
          <w:color w:val="auto"/>
          <w:szCs w:val="21"/>
          <w:highlight w:val="none"/>
        </w:rPr>
        <w:t>发包人(公章)：                         承包人(公章)：</w:t>
      </w:r>
    </w:p>
    <w:p w14:paraId="795204E8">
      <w:pPr>
        <w:spacing w:line="360" w:lineRule="exact"/>
        <w:rPr>
          <w:rFonts w:hint="eastAsia" w:hAnsi="宋体"/>
          <w:color w:val="auto"/>
          <w:szCs w:val="21"/>
          <w:highlight w:val="none"/>
        </w:rPr>
      </w:pPr>
      <w:r>
        <w:rPr>
          <w:rFonts w:hint="eastAsia" w:hAnsi="宋体"/>
          <w:color w:val="auto"/>
          <w:szCs w:val="21"/>
          <w:highlight w:val="none"/>
        </w:rPr>
        <w:t>法定代表人(签字)：                     法定代表人(签字)：</w:t>
      </w:r>
    </w:p>
    <w:p w14:paraId="3AD9557C">
      <w:pPr>
        <w:spacing w:line="360" w:lineRule="exact"/>
        <w:rPr>
          <w:rFonts w:hint="eastAsia" w:hAnsi="宋体"/>
          <w:b/>
          <w:color w:val="auto"/>
          <w:szCs w:val="21"/>
          <w:highlight w:val="none"/>
        </w:rPr>
      </w:pPr>
      <w:r>
        <w:rPr>
          <w:rFonts w:hint="eastAsia" w:hAnsi="宋体"/>
          <w:color w:val="auto"/>
          <w:szCs w:val="21"/>
          <w:highlight w:val="none"/>
        </w:rPr>
        <w:t>委托代理人(签字)：                     委托代理人(签字)：</w:t>
      </w:r>
    </w:p>
    <w:p w14:paraId="364C2D29">
      <w:pPr>
        <w:spacing w:line="360" w:lineRule="exact"/>
        <w:rPr>
          <w:rFonts w:hAnsi="宋体"/>
          <w:color w:val="auto"/>
          <w:szCs w:val="21"/>
          <w:highlight w:val="none"/>
        </w:rPr>
      </w:pPr>
      <w:r>
        <w:rPr>
          <w:rFonts w:hint="eastAsia" w:hAnsi="宋体"/>
          <w:color w:val="auto"/>
          <w:szCs w:val="21"/>
          <w:highlight w:val="none"/>
        </w:rPr>
        <w:t xml:space="preserve">年  月    日                           年  月    日  </w:t>
      </w:r>
    </w:p>
    <w:p w14:paraId="731595ED">
      <w:pPr>
        <w:spacing w:line="360" w:lineRule="exact"/>
        <w:ind w:firstLine="2310" w:firstLineChars="1100"/>
        <w:rPr>
          <w:rFonts w:hint="eastAsia" w:hAnsi="宋体"/>
          <w:b/>
          <w:color w:val="auto"/>
          <w:szCs w:val="21"/>
          <w:highlight w:val="none"/>
        </w:rPr>
      </w:pPr>
      <w:r>
        <w:rPr>
          <w:rFonts w:hAnsi="宋体"/>
          <w:color w:val="auto"/>
          <w:szCs w:val="21"/>
          <w:highlight w:val="none"/>
        </w:rPr>
        <w:br w:type="page"/>
      </w:r>
    </w:p>
    <w:p w14:paraId="1866DB92">
      <w:pPr>
        <w:rPr>
          <w:rFonts w:hAnsi="宋体"/>
          <w:b/>
          <w:color w:val="auto"/>
          <w:szCs w:val="21"/>
          <w:highlight w:val="none"/>
        </w:rPr>
      </w:pPr>
      <w:r>
        <w:rPr>
          <w:rFonts w:hint="eastAsia" w:hAnsi="宋体"/>
          <w:b/>
          <w:color w:val="auto"/>
          <w:szCs w:val="21"/>
          <w:highlight w:val="none"/>
        </w:rPr>
        <w:t>附件</w:t>
      </w:r>
      <w:r>
        <w:rPr>
          <w:rFonts w:hint="eastAsia" w:hAnsi="宋体"/>
          <w:b/>
          <w:color w:val="auto"/>
          <w:szCs w:val="21"/>
          <w:highlight w:val="none"/>
          <w:lang w:val="en-US" w:eastAsia="zh-CN"/>
        </w:rPr>
        <w:t>2</w:t>
      </w:r>
      <w:r>
        <w:rPr>
          <w:rFonts w:hint="eastAsia" w:hAnsi="宋体"/>
          <w:b/>
          <w:color w:val="auto"/>
          <w:szCs w:val="21"/>
          <w:highlight w:val="none"/>
        </w:rPr>
        <w:t xml:space="preserve">  廉政合同</w:t>
      </w:r>
    </w:p>
    <w:p w14:paraId="442DCDEF">
      <w:pPr>
        <w:spacing w:line="380" w:lineRule="exact"/>
        <w:jc w:val="center"/>
        <w:rPr>
          <w:rFonts w:hint="eastAsia" w:hAnsi="宋体"/>
          <w:b/>
          <w:bCs/>
          <w:color w:val="auto"/>
          <w:szCs w:val="21"/>
          <w:highlight w:val="none"/>
        </w:rPr>
      </w:pPr>
      <w:r>
        <w:rPr>
          <w:rFonts w:hint="eastAsia" w:ascii="Arial" w:hAnsi="Arial" w:cs="Arial"/>
          <w:b/>
          <w:bCs/>
          <w:color w:val="auto"/>
          <w:szCs w:val="21"/>
          <w:highlight w:val="none"/>
        </w:rPr>
        <w:t>廉政合同</w:t>
      </w:r>
    </w:p>
    <w:p w14:paraId="4A97B726">
      <w:pPr>
        <w:spacing w:line="380" w:lineRule="exact"/>
        <w:rPr>
          <w:rFonts w:hint="eastAsia" w:hAnsi="宋体"/>
          <w:color w:val="auto"/>
          <w:szCs w:val="21"/>
          <w:highlight w:val="none"/>
        </w:rPr>
      </w:pPr>
      <w:r>
        <w:rPr>
          <w:rFonts w:hint="eastAsia" w:hAnsi="宋体"/>
          <w:color w:val="auto"/>
          <w:szCs w:val="21"/>
          <w:highlight w:val="none"/>
        </w:rPr>
        <w:t xml:space="preserve">    根据国家有关工程建设、廉政建设的规定，为做好工程建设中的党风廉政建设，保证工程建设高效优质，保证建设资金的安全和有效使用以及投资效益，建设工程的项目法人</w:t>
      </w:r>
      <w:r>
        <w:rPr>
          <w:rFonts w:hint="eastAsia" w:hAnsi="宋体"/>
          <w:color w:val="auto"/>
          <w:szCs w:val="21"/>
          <w:highlight w:val="none"/>
          <w:u w:val="single"/>
        </w:rPr>
        <w:t>（全称）</w:t>
      </w:r>
      <w:r>
        <w:rPr>
          <w:rFonts w:hint="eastAsia" w:hAnsi="宋体"/>
          <w:color w:val="auto"/>
          <w:szCs w:val="21"/>
          <w:highlight w:val="none"/>
        </w:rPr>
        <w:t>（以下简称“甲方”）与施工单位</w:t>
      </w:r>
      <w:r>
        <w:rPr>
          <w:rFonts w:hint="eastAsia" w:hAnsi="宋体"/>
          <w:color w:val="auto"/>
          <w:szCs w:val="21"/>
          <w:highlight w:val="none"/>
          <w:u w:val="single"/>
        </w:rPr>
        <w:t>（全称）</w:t>
      </w:r>
      <w:r>
        <w:rPr>
          <w:rFonts w:hint="eastAsia" w:hAnsi="宋体"/>
          <w:color w:val="auto"/>
          <w:szCs w:val="21"/>
          <w:highlight w:val="none"/>
        </w:rPr>
        <w:t>（以下简称“乙方”），特订立如下合同。</w:t>
      </w:r>
    </w:p>
    <w:p w14:paraId="59165189">
      <w:pPr>
        <w:spacing w:line="380" w:lineRule="exact"/>
        <w:rPr>
          <w:rFonts w:hint="eastAsia" w:ascii="楷体_GB2312" w:hAnsi="宋体"/>
          <w:b/>
          <w:color w:val="auto"/>
          <w:szCs w:val="21"/>
          <w:highlight w:val="none"/>
        </w:rPr>
      </w:pPr>
      <w:r>
        <w:rPr>
          <w:rFonts w:hint="eastAsia" w:hAnsi="宋体"/>
          <w:b/>
          <w:color w:val="auto"/>
          <w:szCs w:val="21"/>
          <w:highlight w:val="none"/>
        </w:rPr>
        <w:t xml:space="preserve">   </w:t>
      </w:r>
      <w:r>
        <w:rPr>
          <w:rFonts w:hint="eastAsia" w:ascii="楷体_GB2312" w:hAnsi="宋体"/>
          <w:b/>
          <w:color w:val="auto"/>
          <w:szCs w:val="21"/>
          <w:highlight w:val="none"/>
        </w:rPr>
        <w:t xml:space="preserve"> 1.甲乙双方的权利和义务</w:t>
      </w:r>
    </w:p>
    <w:p w14:paraId="57D4FF0C">
      <w:pPr>
        <w:spacing w:line="380" w:lineRule="exact"/>
        <w:ind w:firstLine="210" w:firstLineChars="100"/>
        <w:rPr>
          <w:rFonts w:hint="eastAsia" w:hAnsi="宋体"/>
          <w:color w:val="auto"/>
          <w:szCs w:val="21"/>
          <w:highlight w:val="none"/>
        </w:rPr>
      </w:pPr>
      <w:r>
        <w:rPr>
          <w:rFonts w:hint="eastAsia" w:hAnsi="宋体"/>
          <w:color w:val="auto"/>
          <w:szCs w:val="21"/>
          <w:highlight w:val="none"/>
        </w:rPr>
        <w:t>（1）严格遵守党和国家的有关法律法规及中纪委监察部的有关规定。</w:t>
      </w:r>
    </w:p>
    <w:p w14:paraId="1EF8756F">
      <w:pPr>
        <w:spacing w:line="380" w:lineRule="exact"/>
        <w:ind w:firstLine="210" w:firstLineChars="100"/>
        <w:rPr>
          <w:rFonts w:hint="eastAsia" w:hAnsi="宋体"/>
          <w:color w:val="auto"/>
          <w:szCs w:val="21"/>
          <w:highlight w:val="none"/>
        </w:rPr>
      </w:pPr>
      <w:r>
        <w:rPr>
          <w:rFonts w:hint="eastAsia" w:hAnsi="宋体"/>
          <w:color w:val="auto"/>
          <w:szCs w:val="21"/>
          <w:highlight w:val="none"/>
        </w:rPr>
        <w:t>（2）严格执行</w:t>
      </w:r>
      <w:r>
        <w:rPr>
          <w:rFonts w:hint="eastAsia" w:hAnsi="宋体"/>
          <w:color w:val="auto"/>
          <w:szCs w:val="21"/>
          <w:highlight w:val="none"/>
          <w:u w:val="single"/>
        </w:rPr>
        <w:t>（项目名称）</w:t>
      </w:r>
      <w:r>
        <w:rPr>
          <w:rFonts w:hint="eastAsia" w:hAnsi="宋体"/>
          <w:color w:val="auto"/>
          <w:szCs w:val="21"/>
          <w:highlight w:val="none"/>
        </w:rPr>
        <w:t>工程的合同文件，自觉按合同办事。</w:t>
      </w:r>
    </w:p>
    <w:p w14:paraId="1D25939B">
      <w:pPr>
        <w:spacing w:line="380" w:lineRule="exact"/>
        <w:ind w:firstLine="210" w:firstLineChars="100"/>
        <w:rPr>
          <w:rFonts w:hint="eastAsia" w:hAnsi="宋体"/>
          <w:color w:val="auto"/>
          <w:szCs w:val="21"/>
          <w:highlight w:val="none"/>
        </w:rPr>
      </w:pPr>
      <w:r>
        <w:rPr>
          <w:rFonts w:hint="eastAsia" w:hAnsi="宋体"/>
          <w:color w:val="auto"/>
          <w:szCs w:val="21"/>
          <w:highlight w:val="none"/>
        </w:rPr>
        <w:t>（3）双方的业务活动坚持公开、公正、诚信、透明的原则（法律认定的商业秘密和合同文件另有规定除外），不得损害国家和集体利益，违反工程建设管理规章制度。</w:t>
      </w:r>
    </w:p>
    <w:p w14:paraId="597AF1D6">
      <w:pPr>
        <w:spacing w:line="380" w:lineRule="exact"/>
        <w:ind w:firstLine="210" w:firstLineChars="100"/>
        <w:rPr>
          <w:rFonts w:hint="eastAsia" w:hAnsi="宋体"/>
          <w:color w:val="auto"/>
          <w:szCs w:val="21"/>
          <w:highlight w:val="none"/>
        </w:rPr>
      </w:pPr>
      <w:r>
        <w:rPr>
          <w:rFonts w:hint="eastAsia" w:hAnsi="宋体"/>
          <w:color w:val="auto"/>
          <w:szCs w:val="21"/>
          <w:highlight w:val="none"/>
        </w:rPr>
        <w:t>（4）建立健全廉政制度，开展廉政教育，设立廉政告示牌，公布举报电话，监督并认真查处违法违纪行为。</w:t>
      </w:r>
    </w:p>
    <w:p w14:paraId="1F10E332">
      <w:pPr>
        <w:spacing w:line="380" w:lineRule="exact"/>
        <w:ind w:firstLine="85" w:firstLineChars="50"/>
        <w:jc w:val="distribute"/>
        <w:rPr>
          <w:rFonts w:hint="eastAsia" w:hAnsi="宋体"/>
          <w:color w:val="auto"/>
          <w:spacing w:val="-20"/>
          <w:szCs w:val="21"/>
          <w:highlight w:val="none"/>
        </w:rPr>
      </w:pPr>
      <w:r>
        <w:rPr>
          <w:rFonts w:hint="eastAsia" w:hAnsi="宋体"/>
          <w:color w:val="auto"/>
          <w:spacing w:val="-20"/>
          <w:szCs w:val="21"/>
          <w:highlight w:val="none"/>
        </w:rPr>
        <w:t xml:space="preserve">  （5）发现对方在业务活动中有违反廉政规定的行为，有及时提醒对方纠正的权利和义务。</w:t>
      </w:r>
    </w:p>
    <w:p w14:paraId="615B3CE9">
      <w:pPr>
        <w:spacing w:line="380" w:lineRule="exact"/>
        <w:ind w:firstLine="210" w:firstLineChars="100"/>
        <w:rPr>
          <w:rFonts w:hint="eastAsia" w:hAnsi="宋体"/>
          <w:color w:val="auto"/>
          <w:spacing w:val="-20"/>
          <w:szCs w:val="21"/>
          <w:highlight w:val="none"/>
        </w:rPr>
      </w:pPr>
      <w:r>
        <w:rPr>
          <w:rFonts w:hint="eastAsia" w:hAnsi="宋体"/>
          <w:color w:val="auto"/>
          <w:szCs w:val="21"/>
          <w:highlight w:val="none"/>
        </w:rPr>
        <w:t>（6）发现对方严重违反本合同义务条款的行为，有向其上级有关部门举报、建议给予处理并要求告知处理结果的权利。</w:t>
      </w:r>
    </w:p>
    <w:p w14:paraId="5B57CB38">
      <w:pPr>
        <w:spacing w:line="380" w:lineRule="exact"/>
        <w:rPr>
          <w:rFonts w:hint="eastAsia" w:ascii="楷体_GB2312" w:hAnsi="宋体"/>
          <w:b/>
          <w:color w:val="auto"/>
          <w:szCs w:val="21"/>
          <w:highlight w:val="none"/>
        </w:rPr>
      </w:pPr>
      <w:r>
        <w:rPr>
          <w:rFonts w:hint="eastAsia" w:hAnsi="宋体"/>
          <w:color w:val="auto"/>
          <w:szCs w:val="21"/>
          <w:highlight w:val="none"/>
        </w:rPr>
        <w:t xml:space="preserve">    2</w:t>
      </w:r>
      <w:r>
        <w:rPr>
          <w:rFonts w:hint="eastAsia" w:ascii="楷体_GB2312" w:hAnsi="宋体"/>
          <w:b/>
          <w:color w:val="auto"/>
          <w:szCs w:val="21"/>
          <w:highlight w:val="none"/>
        </w:rPr>
        <w:t>.甲方的义务</w:t>
      </w:r>
    </w:p>
    <w:p w14:paraId="5E6BB933">
      <w:pPr>
        <w:spacing w:line="380" w:lineRule="exact"/>
        <w:rPr>
          <w:rFonts w:hint="eastAsia" w:hAnsi="宋体"/>
          <w:color w:val="auto"/>
          <w:szCs w:val="21"/>
          <w:highlight w:val="none"/>
        </w:rPr>
      </w:pPr>
      <w:r>
        <w:rPr>
          <w:rFonts w:hint="eastAsia" w:hAnsi="宋体"/>
          <w:color w:val="auto"/>
          <w:szCs w:val="21"/>
          <w:highlight w:val="none"/>
        </w:rPr>
        <w:t xml:space="preserve">    （1）甲方及其工作人员不得索要或接受乙方的礼金、有价证券和贵重物品，不得在乙方报销任何应由甲方或甲方工作人员个人支付的费用等。</w:t>
      </w:r>
    </w:p>
    <w:p w14:paraId="6FED2465">
      <w:pPr>
        <w:spacing w:line="380" w:lineRule="exact"/>
        <w:rPr>
          <w:rFonts w:hint="eastAsia" w:hAnsi="宋体"/>
          <w:color w:val="auto"/>
          <w:szCs w:val="21"/>
          <w:highlight w:val="none"/>
        </w:rPr>
      </w:pPr>
      <w:r>
        <w:rPr>
          <w:rFonts w:hint="eastAsia" w:hAnsi="宋体"/>
          <w:color w:val="auto"/>
          <w:szCs w:val="21"/>
          <w:highlight w:val="none"/>
        </w:rPr>
        <w:t xml:space="preserve">    （2）甲方工作人员不得参加乙方安排的超标准宴请和娱乐活动；不得接受乙方提供的通讯工具、交通工具和高档办公用品等。</w:t>
      </w:r>
    </w:p>
    <w:p w14:paraId="15B5E303">
      <w:pPr>
        <w:spacing w:line="380" w:lineRule="exact"/>
        <w:rPr>
          <w:rFonts w:hint="eastAsia" w:hAnsi="宋体"/>
          <w:color w:val="auto"/>
          <w:szCs w:val="21"/>
          <w:highlight w:val="none"/>
        </w:rPr>
      </w:pPr>
      <w:r>
        <w:rPr>
          <w:rFonts w:hint="eastAsia" w:hAnsi="宋体"/>
          <w:color w:val="auto"/>
          <w:szCs w:val="21"/>
          <w:highlight w:val="none"/>
        </w:rPr>
        <w:t xml:space="preserve">    （3）甲方及其工作人员不得要求或者接受乙方为其住房装修、婚丧嫁娶活动、配偶子女的工作安排以及出国出境、旅游等提供方便等。</w:t>
      </w:r>
    </w:p>
    <w:p w14:paraId="3BD86799">
      <w:pPr>
        <w:spacing w:line="380" w:lineRule="exact"/>
        <w:rPr>
          <w:rFonts w:hint="eastAsia" w:hAnsi="宋体"/>
          <w:color w:val="auto"/>
          <w:szCs w:val="21"/>
          <w:highlight w:val="none"/>
        </w:rPr>
      </w:pPr>
      <w:r>
        <w:rPr>
          <w:rFonts w:hint="eastAsia" w:hAnsi="宋体"/>
          <w:color w:val="auto"/>
          <w:szCs w:val="21"/>
          <w:highlight w:val="none"/>
        </w:rPr>
        <w:t xml:space="preserve">    （4）甲方工作人及其配偶、子女不得从事与甲方工程有关的材料设备供应、工程分包、劳务等经济活动等。</w:t>
      </w:r>
    </w:p>
    <w:p w14:paraId="5EA11763">
      <w:pPr>
        <w:spacing w:line="380" w:lineRule="exact"/>
        <w:rPr>
          <w:rFonts w:hint="eastAsia" w:hAnsi="宋体"/>
          <w:color w:val="auto"/>
          <w:szCs w:val="21"/>
          <w:highlight w:val="none"/>
        </w:rPr>
      </w:pPr>
      <w:r>
        <w:rPr>
          <w:rFonts w:hint="eastAsia" w:hAnsi="宋体"/>
          <w:color w:val="auto"/>
          <w:szCs w:val="21"/>
          <w:highlight w:val="none"/>
        </w:rPr>
        <w:t xml:space="preserve">    （5）甲方及其工作人员不得以任何理由向乙方推荐分包单位或推销材料，不得要求乙方购买合同规定外的材料和设备。</w:t>
      </w:r>
    </w:p>
    <w:p w14:paraId="657F184A">
      <w:pPr>
        <w:spacing w:line="380" w:lineRule="exact"/>
        <w:rPr>
          <w:rFonts w:hint="eastAsia" w:hAnsi="宋体"/>
          <w:color w:val="auto"/>
          <w:szCs w:val="21"/>
          <w:highlight w:val="none"/>
        </w:rPr>
      </w:pPr>
      <w:r>
        <w:rPr>
          <w:rFonts w:hint="eastAsia" w:hAnsi="宋体"/>
          <w:color w:val="auto"/>
          <w:szCs w:val="21"/>
          <w:highlight w:val="none"/>
        </w:rPr>
        <w:t xml:space="preserve">    （6）甲方工作人员要秉公办事，不准营私舞弊，不准利用职权从事各种个人有偿中介活动和安排个人施工队伍。</w:t>
      </w:r>
    </w:p>
    <w:p w14:paraId="108B56EC">
      <w:pPr>
        <w:spacing w:line="380" w:lineRule="exact"/>
        <w:rPr>
          <w:rFonts w:hint="eastAsia" w:ascii="楷体_GB2312" w:hAnsi="宋体"/>
          <w:b/>
          <w:color w:val="auto"/>
          <w:szCs w:val="21"/>
          <w:highlight w:val="none"/>
        </w:rPr>
      </w:pPr>
      <w:r>
        <w:rPr>
          <w:rFonts w:hint="eastAsia" w:hAnsi="宋体"/>
          <w:color w:val="auto"/>
          <w:szCs w:val="21"/>
          <w:highlight w:val="none"/>
        </w:rPr>
        <w:t xml:space="preserve">    </w:t>
      </w:r>
      <w:r>
        <w:rPr>
          <w:rFonts w:hint="eastAsia" w:ascii="楷体_GB2312" w:hAnsi="宋体"/>
          <w:b/>
          <w:color w:val="auto"/>
          <w:szCs w:val="21"/>
          <w:highlight w:val="none"/>
        </w:rPr>
        <w:t>3.乙方义务</w:t>
      </w:r>
    </w:p>
    <w:p w14:paraId="5F90574E">
      <w:pPr>
        <w:spacing w:line="380" w:lineRule="exact"/>
        <w:ind w:firstLine="420"/>
        <w:jc w:val="distribute"/>
        <w:rPr>
          <w:rFonts w:hint="eastAsia" w:hAnsi="宋体"/>
          <w:color w:val="auto"/>
          <w:spacing w:val="-20"/>
          <w:szCs w:val="21"/>
          <w:highlight w:val="none"/>
        </w:rPr>
      </w:pPr>
      <w:r>
        <w:rPr>
          <w:rFonts w:hint="eastAsia" w:hAnsi="宋体"/>
          <w:color w:val="auto"/>
          <w:spacing w:val="-20"/>
          <w:szCs w:val="21"/>
          <w:highlight w:val="none"/>
        </w:rPr>
        <w:t>（1）乙方不得以任何理由向甲方及其工作人员行贿或馈赠礼金、有价证券、贵重礼品。</w:t>
      </w:r>
    </w:p>
    <w:p w14:paraId="6F2C7FB9">
      <w:pPr>
        <w:spacing w:line="380" w:lineRule="exact"/>
        <w:ind w:firstLine="420"/>
        <w:jc w:val="distribute"/>
        <w:rPr>
          <w:rFonts w:hint="eastAsia" w:hAnsi="宋体"/>
          <w:color w:val="auto"/>
          <w:spacing w:val="-20"/>
          <w:szCs w:val="21"/>
          <w:highlight w:val="none"/>
        </w:rPr>
      </w:pPr>
      <w:r>
        <w:rPr>
          <w:rFonts w:hint="eastAsia" w:hAnsi="宋体"/>
          <w:color w:val="auto"/>
          <w:spacing w:val="-20"/>
          <w:szCs w:val="21"/>
          <w:highlight w:val="none"/>
        </w:rPr>
        <w:t>（2）乙方不得以任何名义为甲方及其工作人员报销应由甲方单位或个人支付的任何费用。</w:t>
      </w:r>
    </w:p>
    <w:p w14:paraId="5245EE69">
      <w:pPr>
        <w:spacing w:line="380" w:lineRule="exact"/>
        <w:jc w:val="distribute"/>
        <w:rPr>
          <w:rFonts w:hint="eastAsia" w:hAnsi="宋体"/>
          <w:color w:val="auto"/>
          <w:spacing w:val="-20"/>
          <w:szCs w:val="21"/>
          <w:highlight w:val="none"/>
        </w:rPr>
      </w:pPr>
      <w:r>
        <w:rPr>
          <w:rFonts w:hint="eastAsia" w:hAnsi="宋体"/>
          <w:color w:val="auto"/>
          <w:spacing w:val="-20"/>
          <w:szCs w:val="21"/>
          <w:highlight w:val="none"/>
        </w:rPr>
        <w:t xml:space="preserve">      （3）乙方不得以任何理由安排甲方工作人员参加超标准宴请及娱乐活动。</w:t>
      </w:r>
    </w:p>
    <w:p w14:paraId="7B683099">
      <w:pPr>
        <w:spacing w:line="380" w:lineRule="exact"/>
        <w:jc w:val="distribute"/>
        <w:rPr>
          <w:rFonts w:hint="eastAsia" w:hAnsi="宋体"/>
          <w:color w:val="auto"/>
          <w:spacing w:val="-20"/>
          <w:szCs w:val="21"/>
          <w:highlight w:val="none"/>
        </w:rPr>
      </w:pPr>
      <w:r>
        <w:rPr>
          <w:rFonts w:hint="eastAsia" w:hAnsi="宋体"/>
          <w:color w:val="auto"/>
          <w:szCs w:val="21"/>
          <w:highlight w:val="none"/>
        </w:rPr>
        <w:t xml:space="preserve">   </w:t>
      </w:r>
      <w:r>
        <w:rPr>
          <w:rFonts w:hint="eastAsia" w:hAnsi="宋体"/>
          <w:color w:val="auto"/>
          <w:spacing w:val="-20"/>
          <w:szCs w:val="21"/>
          <w:highlight w:val="none"/>
        </w:rPr>
        <w:t xml:space="preserve"> </w:t>
      </w:r>
      <w:r>
        <w:rPr>
          <w:rFonts w:hint="eastAsia" w:hAnsi="宋体"/>
          <w:color w:val="auto"/>
          <w:szCs w:val="21"/>
          <w:highlight w:val="none"/>
        </w:rPr>
        <w:t>（4）乙方不得为甲方单位和个人购置或提供通讯工具、交通工具和高档办公用品等。</w:t>
      </w:r>
    </w:p>
    <w:p w14:paraId="20CDA9B8">
      <w:pPr>
        <w:spacing w:line="380" w:lineRule="exact"/>
        <w:rPr>
          <w:rFonts w:hint="eastAsia" w:ascii="楷体_GB2312" w:hAnsi="宋体"/>
          <w:b/>
          <w:color w:val="auto"/>
          <w:szCs w:val="21"/>
          <w:highlight w:val="none"/>
        </w:rPr>
      </w:pPr>
      <w:r>
        <w:rPr>
          <w:rFonts w:hint="eastAsia" w:hAnsi="宋体"/>
          <w:color w:val="auto"/>
          <w:szCs w:val="21"/>
          <w:highlight w:val="none"/>
        </w:rPr>
        <w:t xml:space="preserve">   </w:t>
      </w:r>
      <w:r>
        <w:rPr>
          <w:rFonts w:hint="eastAsia" w:ascii="楷体_GB2312" w:hAnsi="宋体"/>
          <w:b/>
          <w:color w:val="auto"/>
          <w:szCs w:val="21"/>
          <w:highlight w:val="none"/>
        </w:rPr>
        <w:t xml:space="preserve"> 4.违约责任</w:t>
      </w:r>
    </w:p>
    <w:p w14:paraId="53A57F75">
      <w:pPr>
        <w:spacing w:line="380" w:lineRule="exact"/>
        <w:rPr>
          <w:rFonts w:hint="eastAsia" w:hAnsi="宋体"/>
          <w:color w:val="auto"/>
          <w:szCs w:val="21"/>
          <w:highlight w:val="none"/>
        </w:rPr>
      </w:pPr>
      <w:r>
        <w:rPr>
          <w:rFonts w:hint="eastAsia" w:hAnsi="宋体"/>
          <w:color w:val="auto"/>
          <w:szCs w:val="21"/>
          <w:highlight w:val="none"/>
        </w:rPr>
        <w:t xml:space="preserve">    （1）甲方及其工作人员违反本合同第一、二条，按管理权限，依据有关规定给予党纪、政纪或组织处理；涉嫌犯罪的，移交司法机关追究刑事责任；给乙方单位造成经济损失的，应予以赔偿。</w:t>
      </w:r>
    </w:p>
    <w:p w14:paraId="240DB0F9">
      <w:pPr>
        <w:spacing w:line="380" w:lineRule="exact"/>
        <w:rPr>
          <w:rFonts w:hint="eastAsia" w:hAnsi="宋体"/>
          <w:color w:val="auto"/>
          <w:szCs w:val="21"/>
          <w:highlight w:val="none"/>
        </w:rPr>
      </w:pPr>
      <w:r>
        <w:rPr>
          <w:rFonts w:hint="eastAsia" w:hAnsi="宋体"/>
          <w:color w:val="auto"/>
          <w:szCs w:val="21"/>
          <w:highlight w:val="none"/>
        </w:rPr>
        <w:t xml:space="preserve">    （2）乙方及其工作人员违反本合同第一、三条，按管理权限，依据有关规定给予党纪、政纪或组织处理；给甲方单位造成经济损失的，应予以赔偿；情节严重的，甲方建议工程建设主管部门给予乙方一至三年内不得进入其主管的工程建设市场的处罚。</w:t>
      </w:r>
    </w:p>
    <w:p w14:paraId="3430B239">
      <w:pPr>
        <w:spacing w:line="380" w:lineRule="exact"/>
        <w:rPr>
          <w:rFonts w:hint="eastAsia" w:hAnsi="宋体"/>
          <w:color w:val="auto"/>
          <w:szCs w:val="21"/>
          <w:highlight w:val="none"/>
        </w:rPr>
      </w:pPr>
      <w:r>
        <w:rPr>
          <w:rFonts w:hint="eastAsia" w:hAnsi="宋体"/>
          <w:color w:val="auto"/>
          <w:szCs w:val="21"/>
          <w:highlight w:val="none"/>
        </w:rPr>
        <w:t xml:space="preserve">    </w:t>
      </w:r>
      <w:r>
        <w:rPr>
          <w:rFonts w:hint="eastAsia" w:ascii="楷体_GB2312" w:hAnsi="宋体"/>
          <w:b/>
          <w:color w:val="auto"/>
          <w:szCs w:val="21"/>
          <w:highlight w:val="none"/>
        </w:rPr>
        <w:t>5.双方约定</w:t>
      </w:r>
      <w:r>
        <w:rPr>
          <w:rFonts w:hint="eastAsia" w:hAnsi="宋体"/>
          <w:color w:val="auto"/>
          <w:szCs w:val="21"/>
          <w:highlight w:val="none"/>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578020C5">
      <w:pPr>
        <w:spacing w:line="380" w:lineRule="exact"/>
        <w:rPr>
          <w:rFonts w:hint="eastAsia" w:hAnsi="宋体"/>
          <w:color w:val="auto"/>
          <w:szCs w:val="21"/>
          <w:highlight w:val="none"/>
        </w:rPr>
      </w:pPr>
      <w:r>
        <w:rPr>
          <w:rFonts w:hint="eastAsia" w:hAnsi="宋体"/>
          <w:color w:val="auto"/>
          <w:szCs w:val="21"/>
          <w:highlight w:val="none"/>
        </w:rPr>
        <w:t xml:space="preserve">    6.本合同有效期为甲乙双签署之日起至该工程项目竣工验收后止。</w:t>
      </w:r>
    </w:p>
    <w:p w14:paraId="6F372B69">
      <w:pPr>
        <w:spacing w:line="380" w:lineRule="exact"/>
        <w:rPr>
          <w:rFonts w:hint="eastAsia" w:hAnsi="宋体"/>
          <w:color w:val="auto"/>
          <w:szCs w:val="21"/>
          <w:highlight w:val="none"/>
        </w:rPr>
      </w:pPr>
      <w:r>
        <w:rPr>
          <w:rFonts w:hint="eastAsia" w:hAnsi="宋体"/>
          <w:color w:val="auto"/>
          <w:szCs w:val="21"/>
          <w:highlight w:val="none"/>
        </w:rPr>
        <w:t xml:space="preserve">    7.本合同作为</w:t>
      </w:r>
      <w:r>
        <w:rPr>
          <w:rFonts w:hint="eastAsia" w:hAnsi="宋体"/>
          <w:color w:val="auto"/>
          <w:szCs w:val="21"/>
          <w:highlight w:val="none"/>
          <w:u w:val="single"/>
        </w:rPr>
        <w:t>（项目名称）</w:t>
      </w:r>
      <w:r>
        <w:rPr>
          <w:rFonts w:hint="eastAsia" w:hAnsi="宋体"/>
          <w:color w:val="auto"/>
          <w:szCs w:val="21"/>
          <w:highlight w:val="none"/>
        </w:rPr>
        <w:t>工程施工合同的附件，与工程施工合同具有同等的法律效力，经合同双方签署立即生效。</w:t>
      </w:r>
    </w:p>
    <w:p w14:paraId="27135149">
      <w:pPr>
        <w:spacing w:line="380" w:lineRule="exact"/>
        <w:rPr>
          <w:rFonts w:hint="eastAsia" w:hAnsi="宋体"/>
          <w:color w:val="auto"/>
          <w:szCs w:val="21"/>
          <w:highlight w:val="none"/>
        </w:rPr>
      </w:pPr>
      <w:r>
        <w:rPr>
          <w:rFonts w:hint="eastAsia" w:hAnsi="宋体"/>
          <w:color w:val="auto"/>
          <w:szCs w:val="21"/>
          <w:highlight w:val="none"/>
        </w:rPr>
        <w:t xml:space="preserve">    8.本合同一式四份，由甲乙双方各执一份，送交甲乙双方的监督单位各一份。</w:t>
      </w:r>
    </w:p>
    <w:p w14:paraId="0CFD8A42">
      <w:pPr>
        <w:spacing w:line="380" w:lineRule="exact"/>
        <w:ind w:firstLine="315" w:firstLineChars="150"/>
        <w:rPr>
          <w:rFonts w:hint="eastAsia" w:hAnsi="宋体"/>
          <w:color w:val="auto"/>
          <w:szCs w:val="21"/>
          <w:highlight w:val="none"/>
        </w:rPr>
      </w:pPr>
    </w:p>
    <w:p w14:paraId="141E985E">
      <w:pPr>
        <w:spacing w:line="380" w:lineRule="exact"/>
        <w:ind w:firstLine="315" w:firstLineChars="150"/>
        <w:rPr>
          <w:rFonts w:hint="eastAsia" w:hAnsi="宋体"/>
          <w:color w:val="auto"/>
          <w:szCs w:val="21"/>
          <w:highlight w:val="none"/>
        </w:rPr>
      </w:pPr>
    </w:p>
    <w:p w14:paraId="221213D4">
      <w:pPr>
        <w:spacing w:line="380" w:lineRule="exact"/>
        <w:ind w:firstLine="315" w:firstLineChars="150"/>
        <w:rPr>
          <w:rFonts w:hint="eastAsia" w:hAnsi="宋体"/>
          <w:color w:val="auto"/>
          <w:szCs w:val="21"/>
          <w:highlight w:val="none"/>
          <w:u w:val="single"/>
        </w:rPr>
      </w:pPr>
      <w:r>
        <w:rPr>
          <w:rFonts w:hint="eastAsia" w:hAnsi="宋体"/>
          <w:color w:val="auto"/>
          <w:szCs w:val="21"/>
          <w:highlight w:val="none"/>
        </w:rPr>
        <w:t>甲  方：</w:t>
      </w:r>
      <w:r>
        <w:rPr>
          <w:rFonts w:hint="eastAsia" w:hAnsi="宋体"/>
          <w:color w:val="auto"/>
          <w:szCs w:val="21"/>
          <w:highlight w:val="none"/>
          <w:u w:val="single"/>
        </w:rPr>
        <w:t>（单位全称）（盖章）</w:t>
      </w:r>
      <w:r>
        <w:rPr>
          <w:rFonts w:hint="eastAsia" w:hAnsi="宋体"/>
          <w:color w:val="auto"/>
          <w:szCs w:val="21"/>
          <w:highlight w:val="none"/>
        </w:rPr>
        <w:t xml:space="preserve">                  乙  方：</w:t>
      </w:r>
      <w:r>
        <w:rPr>
          <w:rFonts w:hint="eastAsia" w:hAnsi="宋体"/>
          <w:color w:val="auto"/>
          <w:szCs w:val="21"/>
          <w:highlight w:val="none"/>
          <w:u w:val="single"/>
        </w:rPr>
        <w:t>（单位全称）（盖章）</w:t>
      </w:r>
    </w:p>
    <w:p w14:paraId="03ECB89A">
      <w:pPr>
        <w:spacing w:line="380" w:lineRule="exact"/>
        <w:ind w:firstLine="315" w:firstLineChars="150"/>
        <w:rPr>
          <w:rFonts w:hint="eastAsia" w:hAnsi="宋体"/>
          <w:color w:val="auto"/>
          <w:szCs w:val="21"/>
          <w:highlight w:val="none"/>
        </w:rPr>
      </w:pPr>
      <w:r>
        <w:rPr>
          <w:rFonts w:hint="eastAsia" w:hAnsi="宋体"/>
          <w:color w:val="auto"/>
          <w:szCs w:val="21"/>
          <w:highlight w:val="none"/>
        </w:rPr>
        <w:t>法定代表人(签字)：                     法定代表人(签字)：</w:t>
      </w:r>
    </w:p>
    <w:p w14:paraId="2C578691">
      <w:pPr>
        <w:spacing w:line="380" w:lineRule="exact"/>
        <w:ind w:firstLine="315" w:firstLineChars="150"/>
        <w:rPr>
          <w:rFonts w:hint="eastAsia" w:hAnsi="宋体"/>
          <w:color w:val="auto"/>
          <w:szCs w:val="21"/>
          <w:highlight w:val="none"/>
        </w:rPr>
      </w:pPr>
      <w:r>
        <w:rPr>
          <w:rFonts w:hint="eastAsia" w:hAnsi="宋体"/>
          <w:color w:val="auto"/>
          <w:szCs w:val="21"/>
          <w:highlight w:val="none"/>
        </w:rPr>
        <w:t>委托代理人(签字)：                     委托代理人(签字)：</w:t>
      </w:r>
    </w:p>
    <w:p w14:paraId="2C620B8A">
      <w:pPr>
        <w:spacing w:line="380" w:lineRule="exact"/>
        <w:ind w:firstLine="315" w:firstLineChars="150"/>
        <w:rPr>
          <w:rFonts w:hint="eastAsia" w:hAnsi="宋体"/>
          <w:color w:val="auto"/>
          <w:szCs w:val="21"/>
          <w:highlight w:val="none"/>
        </w:rPr>
      </w:pPr>
      <w:r>
        <w:rPr>
          <w:rFonts w:hint="eastAsia" w:hAnsi="宋体"/>
          <w:color w:val="auto"/>
          <w:szCs w:val="21"/>
          <w:highlight w:val="none"/>
        </w:rPr>
        <w:t>地         址：                        地         址：</w:t>
      </w:r>
    </w:p>
    <w:p w14:paraId="0F84203F">
      <w:pPr>
        <w:spacing w:line="380" w:lineRule="exact"/>
        <w:ind w:firstLine="315" w:firstLineChars="150"/>
        <w:rPr>
          <w:rFonts w:hint="eastAsia" w:hAnsi="宋体"/>
          <w:color w:val="auto"/>
          <w:szCs w:val="21"/>
          <w:highlight w:val="none"/>
        </w:rPr>
      </w:pPr>
      <w:r>
        <w:rPr>
          <w:rFonts w:hint="eastAsia" w:hAnsi="宋体"/>
          <w:color w:val="auto"/>
          <w:szCs w:val="21"/>
          <w:highlight w:val="none"/>
        </w:rPr>
        <w:t>电         话：                        电         话：</w:t>
      </w:r>
    </w:p>
    <w:p w14:paraId="57CA605D">
      <w:pPr>
        <w:spacing w:line="380" w:lineRule="exact"/>
        <w:ind w:firstLine="315" w:firstLineChars="150"/>
        <w:rPr>
          <w:rFonts w:hint="eastAsia" w:hAnsi="宋体"/>
          <w:color w:val="auto"/>
          <w:szCs w:val="21"/>
          <w:highlight w:val="none"/>
        </w:rPr>
      </w:pPr>
      <w:r>
        <w:rPr>
          <w:rFonts w:hint="eastAsia" w:hAnsi="宋体"/>
          <w:color w:val="auto"/>
          <w:szCs w:val="21"/>
          <w:highlight w:val="none"/>
        </w:rPr>
        <w:t>日         期：                        日         期：</w:t>
      </w:r>
    </w:p>
    <w:p w14:paraId="4D63BAA5">
      <w:pPr>
        <w:spacing w:line="360" w:lineRule="auto"/>
        <w:rPr>
          <w:rFonts w:hint="eastAsia" w:hAnsi="宋体"/>
          <w:color w:val="auto"/>
          <w:szCs w:val="21"/>
          <w:highlight w:val="none"/>
        </w:rPr>
      </w:pPr>
    </w:p>
    <w:p w14:paraId="6A5E5CF1">
      <w:pPr>
        <w:spacing w:line="360" w:lineRule="auto"/>
        <w:rPr>
          <w:rFonts w:hint="eastAsia" w:hAnsi="宋体"/>
          <w:color w:val="auto"/>
          <w:szCs w:val="21"/>
          <w:highlight w:val="none"/>
        </w:rPr>
      </w:pPr>
    </w:p>
    <w:p w14:paraId="08DDDE33">
      <w:pPr>
        <w:spacing w:line="360" w:lineRule="auto"/>
        <w:rPr>
          <w:rFonts w:hint="eastAsia" w:hAnsi="宋体"/>
          <w:color w:val="auto"/>
          <w:szCs w:val="21"/>
          <w:highlight w:val="none"/>
        </w:rPr>
      </w:pPr>
    </w:p>
    <w:p w14:paraId="6B0F9BA1">
      <w:pPr>
        <w:spacing w:line="360" w:lineRule="auto"/>
        <w:rPr>
          <w:rFonts w:hint="eastAsia" w:hAnsi="宋体"/>
          <w:color w:val="auto"/>
          <w:szCs w:val="21"/>
          <w:highlight w:val="none"/>
        </w:rPr>
      </w:pPr>
    </w:p>
    <w:p w14:paraId="348C8A97">
      <w:pPr>
        <w:spacing w:line="360" w:lineRule="auto"/>
        <w:rPr>
          <w:rFonts w:hint="eastAsia" w:hAnsi="宋体"/>
          <w:color w:val="auto"/>
          <w:szCs w:val="21"/>
          <w:highlight w:val="none"/>
        </w:rPr>
      </w:pPr>
    </w:p>
    <w:p w14:paraId="25BA41CF">
      <w:pPr>
        <w:spacing w:line="360" w:lineRule="auto"/>
        <w:rPr>
          <w:rFonts w:hint="eastAsia" w:hAnsi="宋体"/>
          <w:color w:val="auto"/>
          <w:szCs w:val="21"/>
          <w:highlight w:val="none"/>
        </w:rPr>
      </w:pPr>
    </w:p>
    <w:p w14:paraId="32A2C83B">
      <w:pPr>
        <w:spacing w:line="360" w:lineRule="auto"/>
        <w:rPr>
          <w:rFonts w:hint="eastAsia" w:hAnsi="宋体"/>
          <w:color w:val="auto"/>
          <w:szCs w:val="21"/>
          <w:highlight w:val="none"/>
        </w:rPr>
      </w:pPr>
    </w:p>
    <w:p w14:paraId="26E6022C">
      <w:pPr>
        <w:spacing w:line="360" w:lineRule="auto"/>
        <w:rPr>
          <w:rFonts w:hint="eastAsia" w:hAnsi="宋体"/>
          <w:color w:val="auto"/>
          <w:szCs w:val="21"/>
          <w:highlight w:val="none"/>
        </w:rPr>
      </w:pPr>
    </w:p>
    <w:p w14:paraId="27F56FE7">
      <w:pPr>
        <w:spacing w:line="360" w:lineRule="auto"/>
        <w:rPr>
          <w:rFonts w:hint="eastAsia" w:hAnsi="宋体"/>
          <w:color w:val="auto"/>
          <w:szCs w:val="21"/>
          <w:highlight w:val="none"/>
        </w:rPr>
      </w:pPr>
    </w:p>
    <w:p w14:paraId="60491DDC">
      <w:pPr>
        <w:spacing w:line="360" w:lineRule="auto"/>
        <w:rPr>
          <w:rFonts w:hint="eastAsia" w:hAnsi="宋体"/>
          <w:color w:val="auto"/>
          <w:szCs w:val="21"/>
          <w:highlight w:val="none"/>
        </w:rPr>
      </w:pPr>
    </w:p>
    <w:p w14:paraId="0E8CA06F">
      <w:pPr>
        <w:spacing w:line="360" w:lineRule="auto"/>
        <w:rPr>
          <w:rFonts w:hint="eastAsia" w:hAnsi="宋体"/>
          <w:color w:val="auto"/>
          <w:szCs w:val="21"/>
          <w:highlight w:val="none"/>
        </w:rPr>
      </w:pPr>
    </w:p>
    <w:p w14:paraId="230380DA">
      <w:pPr>
        <w:spacing w:line="360" w:lineRule="auto"/>
        <w:rPr>
          <w:rFonts w:hint="eastAsia" w:hAnsi="宋体"/>
          <w:color w:val="auto"/>
          <w:szCs w:val="21"/>
          <w:highlight w:val="none"/>
        </w:rPr>
      </w:pPr>
    </w:p>
    <w:p w14:paraId="20B940BE">
      <w:pPr>
        <w:spacing w:line="360" w:lineRule="auto"/>
        <w:rPr>
          <w:rFonts w:hint="eastAsia" w:hAnsi="宋体"/>
          <w:color w:val="auto"/>
          <w:szCs w:val="21"/>
          <w:highlight w:val="none"/>
        </w:rPr>
      </w:pPr>
    </w:p>
    <w:p w14:paraId="2FF00669">
      <w:pPr>
        <w:spacing w:line="360" w:lineRule="auto"/>
        <w:rPr>
          <w:rFonts w:hint="eastAsia" w:hAnsi="宋体"/>
          <w:color w:val="auto"/>
          <w:szCs w:val="21"/>
          <w:highlight w:val="none"/>
        </w:rPr>
      </w:pPr>
    </w:p>
    <w:p w14:paraId="14183A82">
      <w:pPr>
        <w:rPr>
          <w:rFonts w:hint="eastAsia" w:hAnsi="宋体"/>
          <w:b/>
          <w:color w:val="auto"/>
          <w:szCs w:val="21"/>
          <w:highlight w:val="none"/>
        </w:rPr>
      </w:pPr>
    </w:p>
    <w:p w14:paraId="3B6F6411">
      <w:pPr>
        <w:rPr>
          <w:rFonts w:ascii="黑体" w:eastAsia="黑体"/>
          <w:color w:val="auto"/>
          <w:szCs w:val="21"/>
          <w:highlight w:val="none"/>
        </w:rPr>
      </w:pPr>
      <w:r>
        <w:rPr>
          <w:rFonts w:hint="eastAsia" w:hAnsi="宋体"/>
          <w:b/>
          <w:color w:val="auto"/>
          <w:szCs w:val="21"/>
          <w:highlight w:val="none"/>
        </w:rPr>
        <w:t>附件</w:t>
      </w:r>
      <w:r>
        <w:rPr>
          <w:rFonts w:hint="eastAsia" w:hAnsi="宋体"/>
          <w:b/>
          <w:color w:val="auto"/>
          <w:szCs w:val="21"/>
          <w:highlight w:val="none"/>
          <w:lang w:val="en-US" w:eastAsia="zh-CN"/>
        </w:rPr>
        <w:t>3</w:t>
      </w:r>
      <w:r>
        <w:rPr>
          <w:rFonts w:hint="eastAsia" w:hAnsi="宋体"/>
          <w:b/>
          <w:color w:val="auto"/>
          <w:szCs w:val="21"/>
          <w:highlight w:val="none"/>
        </w:rPr>
        <w:t xml:space="preserve">   安全生产合同</w:t>
      </w:r>
    </w:p>
    <w:p w14:paraId="75329455">
      <w:pPr>
        <w:spacing w:line="400" w:lineRule="exact"/>
        <w:jc w:val="center"/>
        <w:rPr>
          <w:rFonts w:hint="eastAsia" w:hAnsi="宋体"/>
          <w:b/>
          <w:bCs/>
          <w:color w:val="auto"/>
          <w:szCs w:val="21"/>
          <w:highlight w:val="none"/>
        </w:rPr>
      </w:pPr>
      <w:r>
        <w:rPr>
          <w:rFonts w:hint="eastAsia" w:ascii="Arial" w:hAnsi="Arial" w:cs="Arial"/>
          <w:b/>
          <w:bCs/>
          <w:color w:val="auto"/>
          <w:szCs w:val="21"/>
          <w:highlight w:val="none"/>
        </w:rPr>
        <w:t>安全生产合同</w:t>
      </w:r>
    </w:p>
    <w:p w14:paraId="09E4A044">
      <w:pPr>
        <w:spacing w:line="400" w:lineRule="exact"/>
        <w:rPr>
          <w:rFonts w:hint="eastAsia" w:hAnsi="宋体"/>
          <w:color w:val="auto"/>
          <w:szCs w:val="21"/>
          <w:highlight w:val="none"/>
        </w:rPr>
      </w:pPr>
      <w:r>
        <w:rPr>
          <w:rFonts w:hint="eastAsia" w:hAnsi="宋体"/>
          <w:color w:val="auto"/>
          <w:szCs w:val="21"/>
          <w:highlight w:val="none"/>
        </w:rPr>
        <w:t xml:space="preserve">    为在</w:t>
      </w:r>
      <w:r>
        <w:rPr>
          <w:rFonts w:hint="eastAsia" w:hAnsi="宋体"/>
          <w:color w:val="auto"/>
          <w:szCs w:val="21"/>
          <w:highlight w:val="none"/>
          <w:u w:val="single"/>
        </w:rPr>
        <w:t xml:space="preserve">                           </w:t>
      </w:r>
      <w:r>
        <w:rPr>
          <w:rFonts w:hint="eastAsia" w:hAnsi="宋体"/>
          <w:color w:val="auto"/>
          <w:szCs w:val="21"/>
          <w:highlight w:val="none"/>
        </w:rPr>
        <w:t>施工合同的实施过程中创造安全、高效的施工环境，切实搞好本项目的安全管理工作，本项目业主</w:t>
      </w:r>
      <w:r>
        <w:rPr>
          <w:rFonts w:hint="eastAsia" w:hAnsi="宋体"/>
          <w:color w:val="auto"/>
          <w:szCs w:val="21"/>
          <w:highlight w:val="none"/>
          <w:u w:val="single"/>
        </w:rPr>
        <w:t xml:space="preserve">                                 </w:t>
      </w:r>
      <w:r>
        <w:rPr>
          <w:rFonts w:hint="eastAsia" w:hAnsi="宋体"/>
          <w:color w:val="auto"/>
          <w:szCs w:val="21"/>
          <w:highlight w:val="none"/>
        </w:rPr>
        <w:t>（以下简称“甲方”）与承包人</w:t>
      </w:r>
      <w:r>
        <w:rPr>
          <w:rFonts w:hint="eastAsia" w:hAnsi="宋体"/>
          <w:color w:val="auto"/>
          <w:szCs w:val="21"/>
          <w:highlight w:val="none"/>
          <w:u w:val="single"/>
        </w:rPr>
        <w:t xml:space="preserve">     （全称）      </w:t>
      </w:r>
      <w:r>
        <w:rPr>
          <w:rFonts w:hint="eastAsia" w:hAnsi="宋体"/>
          <w:color w:val="auto"/>
          <w:szCs w:val="21"/>
          <w:highlight w:val="none"/>
        </w:rPr>
        <w:t>（以下简称“乙方”）特此签订安全生产合同：</w:t>
      </w:r>
    </w:p>
    <w:p w14:paraId="05085B43">
      <w:pPr>
        <w:spacing w:line="400" w:lineRule="exact"/>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一、甲方职责</w:t>
      </w:r>
    </w:p>
    <w:p w14:paraId="5BC97786">
      <w:pPr>
        <w:spacing w:line="400" w:lineRule="exact"/>
        <w:jc w:val="distribute"/>
        <w:rPr>
          <w:rFonts w:hint="eastAsia" w:hAnsi="宋体"/>
          <w:color w:val="auto"/>
          <w:spacing w:val="-20"/>
          <w:szCs w:val="21"/>
          <w:highlight w:val="none"/>
        </w:rPr>
      </w:pPr>
      <w:r>
        <w:rPr>
          <w:rFonts w:hint="eastAsia" w:hAnsi="宋体"/>
          <w:color w:val="auto"/>
          <w:szCs w:val="21"/>
          <w:highlight w:val="none"/>
        </w:rPr>
        <w:t xml:space="preserve">   </w:t>
      </w:r>
      <w:r>
        <w:rPr>
          <w:rFonts w:hint="eastAsia" w:hAnsi="宋体"/>
          <w:color w:val="auto"/>
          <w:spacing w:val="-20"/>
          <w:szCs w:val="21"/>
          <w:highlight w:val="none"/>
        </w:rPr>
        <w:t xml:space="preserve"> 1.严格遵守国家有关安全生产的法律法规，认真执行工程承包合同中的有关安全要求。</w:t>
      </w:r>
    </w:p>
    <w:p w14:paraId="006170DA">
      <w:pPr>
        <w:spacing w:line="400" w:lineRule="exact"/>
        <w:rPr>
          <w:rFonts w:hint="eastAsia" w:hAnsi="宋体"/>
          <w:color w:val="auto"/>
          <w:szCs w:val="21"/>
          <w:highlight w:val="none"/>
        </w:rPr>
      </w:pPr>
      <w:r>
        <w:rPr>
          <w:rFonts w:hint="eastAsia" w:hAnsi="宋体"/>
          <w:color w:val="auto"/>
          <w:szCs w:val="21"/>
          <w:highlight w:val="none"/>
        </w:rPr>
        <w:t xml:space="preserve">    2.按照“安全第一、预防为主”和坚持“管生产必须管安全”的原则进行安全生产管理，做到生产与安全工作同时计划、布置、检查、总结和评比。</w:t>
      </w:r>
    </w:p>
    <w:p w14:paraId="2A5E8CA8">
      <w:pPr>
        <w:spacing w:line="400" w:lineRule="exact"/>
        <w:rPr>
          <w:rFonts w:hint="eastAsia" w:hAnsi="宋体"/>
          <w:color w:val="auto"/>
          <w:szCs w:val="21"/>
          <w:highlight w:val="none"/>
        </w:rPr>
      </w:pPr>
      <w:r>
        <w:rPr>
          <w:rFonts w:hint="eastAsia" w:hAnsi="宋体"/>
          <w:color w:val="auto"/>
          <w:szCs w:val="21"/>
          <w:highlight w:val="none"/>
        </w:rPr>
        <w:t xml:space="preserve">    3.重要的安全设施必须坚持与主体工程“三同时”的原则，即：同时设计、审批，同时施工，同时验收，投入使用。</w:t>
      </w:r>
    </w:p>
    <w:p w14:paraId="33526C6C">
      <w:pPr>
        <w:spacing w:line="400" w:lineRule="exact"/>
        <w:rPr>
          <w:rFonts w:hint="eastAsia" w:hAnsi="宋体"/>
          <w:color w:val="auto"/>
          <w:szCs w:val="21"/>
          <w:highlight w:val="none"/>
        </w:rPr>
      </w:pPr>
      <w:r>
        <w:rPr>
          <w:rFonts w:hint="eastAsia" w:hAnsi="宋体"/>
          <w:color w:val="auto"/>
          <w:szCs w:val="21"/>
          <w:highlight w:val="none"/>
        </w:rPr>
        <w:t xml:space="preserve">    4.定期召开安全生产调度会，及时传达中央及地方有关安全生产的精神。</w:t>
      </w:r>
    </w:p>
    <w:p w14:paraId="5190A270">
      <w:pPr>
        <w:spacing w:line="400" w:lineRule="exact"/>
        <w:rPr>
          <w:rFonts w:hint="eastAsia" w:hAnsi="宋体"/>
          <w:color w:val="auto"/>
          <w:szCs w:val="21"/>
          <w:highlight w:val="none"/>
        </w:rPr>
      </w:pPr>
      <w:r>
        <w:rPr>
          <w:rFonts w:hint="eastAsia" w:hAnsi="宋体"/>
          <w:color w:val="auto"/>
          <w:szCs w:val="21"/>
          <w:highlight w:val="none"/>
        </w:rPr>
        <w:t xml:space="preserve">    5.组织对乙方施工现场安全生产检查，监督乙方及时处理发现的各种安全隐患。</w:t>
      </w:r>
    </w:p>
    <w:p w14:paraId="01A19C81">
      <w:pPr>
        <w:spacing w:line="400" w:lineRule="exact"/>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二、乙方职责</w:t>
      </w:r>
    </w:p>
    <w:p w14:paraId="58D48F32">
      <w:pPr>
        <w:spacing w:line="400" w:lineRule="exact"/>
        <w:rPr>
          <w:rFonts w:hint="eastAsia" w:hAnsi="宋体"/>
          <w:color w:val="auto"/>
          <w:szCs w:val="21"/>
          <w:highlight w:val="none"/>
        </w:rPr>
      </w:pPr>
      <w:r>
        <w:rPr>
          <w:rFonts w:hint="eastAsia" w:hAnsi="宋体"/>
          <w:color w:val="auto"/>
          <w:szCs w:val="21"/>
          <w:highlight w:val="none"/>
        </w:rPr>
        <w:t xml:space="preserve">    1.严格遵守国家有关安全生产的法律法规及建筑工程有关安全生产的规定，认真执行工程承包合同中的有关安全要求。</w:t>
      </w:r>
    </w:p>
    <w:p w14:paraId="7CFAA80E">
      <w:pPr>
        <w:spacing w:line="400" w:lineRule="exact"/>
        <w:rPr>
          <w:rFonts w:hint="eastAsia" w:hAnsi="宋体"/>
          <w:color w:val="auto"/>
          <w:szCs w:val="21"/>
          <w:highlight w:val="none"/>
        </w:rPr>
      </w:pPr>
      <w:r>
        <w:rPr>
          <w:rFonts w:hint="eastAsia" w:hAnsi="宋体"/>
          <w:color w:val="auto"/>
          <w:szCs w:val="21"/>
          <w:highlight w:val="none"/>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339C74C3">
      <w:pPr>
        <w:spacing w:line="400" w:lineRule="exact"/>
        <w:rPr>
          <w:rFonts w:hint="eastAsia" w:hAnsi="宋体"/>
          <w:color w:val="auto"/>
          <w:szCs w:val="21"/>
          <w:highlight w:val="none"/>
        </w:rPr>
      </w:pPr>
      <w:r>
        <w:rPr>
          <w:rFonts w:hint="eastAsia" w:hAnsi="宋体"/>
          <w:color w:val="auto"/>
          <w:szCs w:val="21"/>
          <w:highlight w:val="none"/>
        </w:rPr>
        <w:t xml:space="preserve">    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74F912E4">
      <w:pPr>
        <w:spacing w:line="400" w:lineRule="exact"/>
        <w:rPr>
          <w:rFonts w:hint="eastAsia" w:hAnsi="宋体"/>
          <w:color w:val="auto"/>
          <w:szCs w:val="21"/>
          <w:highlight w:val="none"/>
        </w:rPr>
      </w:pPr>
      <w:r>
        <w:rPr>
          <w:rFonts w:hint="eastAsia" w:hAnsi="宋体"/>
          <w:color w:val="auto"/>
          <w:szCs w:val="21"/>
          <w:highlight w:val="none"/>
        </w:rPr>
        <w:t xml:space="preserve">    4.乙方在任何时候都应采取各种合理的预防措施，防止其员工发生任何违法、违禁、暴力或妨碍治安的行为。</w:t>
      </w:r>
    </w:p>
    <w:p w14:paraId="2E928655">
      <w:pPr>
        <w:spacing w:line="400" w:lineRule="exact"/>
        <w:rPr>
          <w:rFonts w:hint="eastAsia" w:hAnsi="宋体"/>
          <w:color w:val="auto"/>
          <w:szCs w:val="21"/>
          <w:highlight w:val="none"/>
        </w:rPr>
      </w:pPr>
      <w:r>
        <w:rPr>
          <w:rFonts w:hint="eastAsia" w:hAnsi="宋体"/>
          <w:color w:val="auto"/>
          <w:szCs w:val="21"/>
          <w:highlight w:val="none"/>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14:paraId="716EA75B">
      <w:pPr>
        <w:spacing w:line="400" w:lineRule="exact"/>
        <w:rPr>
          <w:rFonts w:hint="eastAsia" w:hAnsi="宋体"/>
          <w:color w:val="auto"/>
          <w:szCs w:val="21"/>
          <w:highlight w:val="none"/>
        </w:rPr>
      </w:pPr>
      <w:r>
        <w:rPr>
          <w:rFonts w:hint="eastAsia" w:hAnsi="宋体"/>
          <w:color w:val="auto"/>
          <w:szCs w:val="21"/>
          <w:highlight w:val="none"/>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5FC336D2">
      <w:pPr>
        <w:spacing w:line="400" w:lineRule="exact"/>
        <w:rPr>
          <w:rFonts w:hint="eastAsia" w:hAnsi="宋体"/>
          <w:color w:val="auto"/>
          <w:szCs w:val="21"/>
          <w:highlight w:val="none"/>
        </w:rPr>
      </w:pPr>
      <w:r>
        <w:rPr>
          <w:rFonts w:hint="eastAsia" w:hAnsi="宋体"/>
          <w:color w:val="auto"/>
          <w:szCs w:val="21"/>
          <w:highlight w:val="none"/>
        </w:rPr>
        <w:t xml:space="preserve">    7.操作人员上岗，必须按规定穿戴防护用品。施工负责人和安全检查员应随时检查劳动防护用品的穿戴情况，不按规定穿戴防护用品的人员不得上岗。</w:t>
      </w:r>
    </w:p>
    <w:p w14:paraId="7A99399D">
      <w:pPr>
        <w:spacing w:line="400" w:lineRule="exact"/>
        <w:rPr>
          <w:rFonts w:hint="eastAsia" w:hAnsi="宋体"/>
          <w:color w:val="auto"/>
          <w:szCs w:val="21"/>
          <w:highlight w:val="none"/>
        </w:rPr>
      </w:pPr>
      <w:r>
        <w:rPr>
          <w:rFonts w:hint="eastAsia" w:hAnsi="宋体"/>
          <w:color w:val="auto"/>
          <w:szCs w:val="21"/>
          <w:highlight w:val="none"/>
        </w:rPr>
        <w:t xml:space="preserve">    8.所有施工机械设备和高空作业的设备均应定期检查，并有安全员的签字记录，保证其经常处于完好状态；不合格的机具、设备和劳动保护用品严禁使用。</w:t>
      </w:r>
    </w:p>
    <w:p w14:paraId="1FCF2FE1">
      <w:pPr>
        <w:spacing w:line="400" w:lineRule="exact"/>
        <w:rPr>
          <w:rFonts w:hint="eastAsia" w:hAnsi="宋体"/>
          <w:color w:val="auto"/>
          <w:szCs w:val="21"/>
          <w:highlight w:val="none"/>
        </w:rPr>
      </w:pPr>
      <w:r>
        <w:rPr>
          <w:rFonts w:hint="eastAsia" w:hAnsi="宋体"/>
          <w:color w:val="auto"/>
          <w:szCs w:val="21"/>
          <w:highlight w:val="none"/>
        </w:rPr>
        <w:t xml:space="preserve">    9.施工中采用新技术、新工艺、新设备、新材料时，必须制定相应的安全技术措施，施工现场必须具有相关的安全标志牌。</w:t>
      </w:r>
    </w:p>
    <w:p w14:paraId="435DBE48">
      <w:pPr>
        <w:spacing w:line="400" w:lineRule="exact"/>
        <w:rPr>
          <w:rFonts w:hint="eastAsia" w:hAnsi="宋体"/>
          <w:color w:val="auto"/>
          <w:szCs w:val="21"/>
          <w:highlight w:val="none"/>
        </w:rPr>
      </w:pPr>
      <w:r>
        <w:rPr>
          <w:rFonts w:hint="eastAsia" w:hAnsi="宋体"/>
          <w:color w:val="auto"/>
          <w:szCs w:val="21"/>
          <w:highlight w:val="none"/>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29FB0834">
      <w:pPr>
        <w:spacing w:line="400" w:lineRule="exact"/>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三、违约责任</w:t>
      </w:r>
    </w:p>
    <w:p w14:paraId="4A67D5A0">
      <w:pPr>
        <w:spacing w:line="400" w:lineRule="exact"/>
        <w:rPr>
          <w:rFonts w:hint="eastAsia" w:hAnsi="宋体"/>
          <w:color w:val="auto"/>
          <w:szCs w:val="21"/>
          <w:highlight w:val="none"/>
        </w:rPr>
      </w:pPr>
      <w:r>
        <w:rPr>
          <w:rFonts w:hint="eastAsia" w:hAnsi="宋体"/>
          <w:color w:val="auto"/>
          <w:szCs w:val="21"/>
          <w:highlight w:val="none"/>
        </w:rPr>
        <w:t xml:space="preserve">    如因甲方或乙方违约造成安全事故，将依法追究责任。</w:t>
      </w:r>
    </w:p>
    <w:p w14:paraId="126867F7">
      <w:pPr>
        <w:spacing w:line="400" w:lineRule="exact"/>
        <w:rPr>
          <w:rFonts w:hint="eastAsia" w:hAnsi="宋体"/>
          <w:color w:val="auto"/>
          <w:szCs w:val="21"/>
          <w:highlight w:val="none"/>
        </w:rPr>
      </w:pPr>
      <w:r>
        <w:rPr>
          <w:rFonts w:hint="eastAsia" w:hAnsi="宋体"/>
          <w:color w:val="auto"/>
          <w:szCs w:val="21"/>
          <w:highlight w:val="none"/>
        </w:rPr>
        <w:t xml:space="preserve">    本合同正本一式二份，副本八份，合同双方各执正本一份，副本四份。由双方法定代表人或其授权的代理人签署与加盖公章后生效，全部工程竣工验收后失效。</w:t>
      </w:r>
    </w:p>
    <w:p w14:paraId="37C58E05">
      <w:pPr>
        <w:spacing w:line="400" w:lineRule="exact"/>
        <w:rPr>
          <w:rFonts w:hint="eastAsia" w:hAnsi="宋体"/>
          <w:color w:val="auto"/>
          <w:szCs w:val="21"/>
          <w:highlight w:val="none"/>
        </w:rPr>
      </w:pPr>
    </w:p>
    <w:p w14:paraId="5A25DE70">
      <w:pPr>
        <w:spacing w:line="400" w:lineRule="exact"/>
        <w:rPr>
          <w:rFonts w:hint="eastAsia" w:hAnsi="宋体"/>
          <w:color w:val="auto"/>
          <w:szCs w:val="21"/>
          <w:highlight w:val="none"/>
          <w:u w:val="single"/>
        </w:rPr>
      </w:pPr>
      <w:r>
        <w:rPr>
          <w:rFonts w:hint="eastAsia" w:hAnsi="宋体"/>
          <w:color w:val="auto"/>
          <w:szCs w:val="21"/>
          <w:highlight w:val="none"/>
        </w:rPr>
        <w:t>甲        方：</w:t>
      </w:r>
      <w:r>
        <w:rPr>
          <w:rFonts w:hint="eastAsia" w:hAnsi="宋体"/>
          <w:color w:val="auto"/>
          <w:szCs w:val="21"/>
          <w:highlight w:val="none"/>
          <w:u w:val="single"/>
        </w:rPr>
        <w:t>（单位全称）（盖章）</w:t>
      </w:r>
      <w:r>
        <w:rPr>
          <w:rFonts w:hint="eastAsia" w:hAnsi="宋体"/>
          <w:color w:val="auto"/>
          <w:szCs w:val="21"/>
          <w:highlight w:val="none"/>
        </w:rPr>
        <w:t xml:space="preserve">              乙       方：</w:t>
      </w:r>
      <w:r>
        <w:rPr>
          <w:rFonts w:hint="eastAsia" w:hAnsi="宋体"/>
          <w:color w:val="auto"/>
          <w:szCs w:val="21"/>
          <w:highlight w:val="none"/>
          <w:u w:val="single"/>
        </w:rPr>
        <w:t>（单位全称）（盖章）</w:t>
      </w:r>
    </w:p>
    <w:p w14:paraId="596FEFAF">
      <w:pPr>
        <w:spacing w:line="400" w:lineRule="exact"/>
        <w:rPr>
          <w:rFonts w:hint="eastAsia" w:hAnsi="宋体"/>
          <w:color w:val="auto"/>
          <w:szCs w:val="21"/>
          <w:highlight w:val="none"/>
        </w:rPr>
      </w:pPr>
      <w:r>
        <w:rPr>
          <w:rFonts w:hint="eastAsia" w:hAnsi="宋体"/>
          <w:color w:val="auto"/>
          <w:szCs w:val="21"/>
          <w:highlight w:val="none"/>
        </w:rPr>
        <w:t>法定代表人(签字)：                              法定代表人(签字)：</w:t>
      </w:r>
    </w:p>
    <w:p w14:paraId="2756890B">
      <w:pPr>
        <w:spacing w:line="400" w:lineRule="exact"/>
        <w:rPr>
          <w:rFonts w:hint="eastAsia" w:hAnsi="宋体"/>
          <w:color w:val="auto"/>
          <w:szCs w:val="21"/>
          <w:highlight w:val="none"/>
        </w:rPr>
      </w:pPr>
      <w:r>
        <w:rPr>
          <w:rFonts w:hint="eastAsia" w:hAnsi="宋体"/>
          <w:color w:val="auto"/>
          <w:szCs w:val="21"/>
          <w:highlight w:val="none"/>
        </w:rPr>
        <w:t>委托代理人(签字)：                              委托代理人(签字)：</w:t>
      </w:r>
    </w:p>
    <w:p w14:paraId="46931D27">
      <w:pPr>
        <w:spacing w:line="400" w:lineRule="exact"/>
        <w:rPr>
          <w:rFonts w:hint="eastAsia" w:hAnsi="宋体"/>
          <w:color w:val="auto"/>
          <w:szCs w:val="21"/>
          <w:highlight w:val="none"/>
        </w:rPr>
      </w:pPr>
      <w:r>
        <w:rPr>
          <w:rFonts w:hint="eastAsia" w:hAnsi="宋体"/>
          <w:color w:val="auto"/>
          <w:szCs w:val="21"/>
          <w:highlight w:val="none"/>
        </w:rPr>
        <w:t>地         址：                                 地         址：</w:t>
      </w:r>
    </w:p>
    <w:p w14:paraId="0BFC67B7">
      <w:pPr>
        <w:spacing w:line="400" w:lineRule="exact"/>
        <w:rPr>
          <w:rFonts w:hint="eastAsia" w:hAnsi="宋体"/>
          <w:color w:val="auto"/>
          <w:szCs w:val="21"/>
          <w:highlight w:val="none"/>
        </w:rPr>
      </w:pPr>
      <w:r>
        <w:rPr>
          <w:rFonts w:hint="eastAsia" w:hAnsi="宋体"/>
          <w:color w:val="auto"/>
          <w:szCs w:val="21"/>
          <w:highlight w:val="none"/>
        </w:rPr>
        <w:t>电         话：                                 电         话：</w:t>
      </w:r>
    </w:p>
    <w:p w14:paraId="76BF3421">
      <w:pPr>
        <w:spacing w:line="400" w:lineRule="exact"/>
        <w:rPr>
          <w:rFonts w:hint="eastAsia"/>
          <w:color w:val="auto"/>
          <w:szCs w:val="21"/>
          <w:highlight w:val="none"/>
        </w:rPr>
      </w:pPr>
      <w:r>
        <w:rPr>
          <w:rFonts w:hint="eastAsia" w:hAnsi="宋体"/>
          <w:color w:val="auto"/>
          <w:szCs w:val="21"/>
          <w:highlight w:val="none"/>
        </w:rPr>
        <w:t>日         期：                                 日         期：</w:t>
      </w:r>
      <w:r>
        <w:rPr>
          <w:rFonts w:hAnsi="宋体"/>
          <w:color w:val="auto"/>
          <w:szCs w:val="21"/>
          <w:highlight w:val="none"/>
        </w:rPr>
        <w:t xml:space="preserve">    </w:t>
      </w:r>
    </w:p>
    <w:p w14:paraId="5FD03BD5">
      <w:pPr>
        <w:spacing w:line="400" w:lineRule="exact"/>
        <w:rPr>
          <w:rFonts w:hint="eastAsia"/>
          <w:color w:val="auto"/>
          <w:szCs w:val="21"/>
          <w:highlight w:val="none"/>
        </w:rPr>
      </w:pPr>
    </w:p>
    <w:p w14:paraId="4EB905E1">
      <w:pPr>
        <w:rPr>
          <w:rFonts w:hint="eastAsia"/>
          <w:color w:val="auto"/>
          <w:szCs w:val="21"/>
          <w:highlight w:val="none"/>
        </w:rPr>
      </w:pPr>
    </w:p>
    <w:p w14:paraId="64A49F93">
      <w:pPr>
        <w:rPr>
          <w:rFonts w:hint="eastAsia"/>
          <w:color w:val="auto"/>
          <w:szCs w:val="21"/>
          <w:highlight w:val="none"/>
        </w:rPr>
      </w:pPr>
    </w:p>
    <w:p w14:paraId="57404B7C">
      <w:pPr>
        <w:rPr>
          <w:rFonts w:hint="eastAsia"/>
          <w:color w:val="auto"/>
          <w:szCs w:val="21"/>
          <w:highlight w:val="none"/>
        </w:rPr>
      </w:pPr>
    </w:p>
    <w:p w14:paraId="2D1B8E50">
      <w:pPr>
        <w:rPr>
          <w:rFonts w:hint="eastAsia"/>
          <w:color w:val="auto"/>
          <w:szCs w:val="21"/>
          <w:highlight w:val="none"/>
        </w:rPr>
      </w:pPr>
    </w:p>
    <w:p w14:paraId="63670F9A">
      <w:pPr>
        <w:rPr>
          <w:rFonts w:hint="eastAsia"/>
          <w:color w:val="auto"/>
          <w:szCs w:val="21"/>
          <w:highlight w:val="none"/>
        </w:rPr>
      </w:pPr>
    </w:p>
    <w:p w14:paraId="0C9408CE">
      <w:pPr>
        <w:rPr>
          <w:rFonts w:hint="eastAsia"/>
          <w:color w:val="auto"/>
          <w:szCs w:val="21"/>
          <w:highlight w:val="none"/>
        </w:rPr>
      </w:pPr>
    </w:p>
    <w:p w14:paraId="6656B3B2">
      <w:pPr>
        <w:rPr>
          <w:rFonts w:hint="eastAsia"/>
          <w:color w:val="auto"/>
          <w:szCs w:val="21"/>
          <w:highlight w:val="none"/>
        </w:rPr>
      </w:pPr>
    </w:p>
    <w:p w14:paraId="68F782F8">
      <w:pPr>
        <w:rPr>
          <w:rFonts w:hint="eastAsia"/>
          <w:color w:val="auto"/>
          <w:szCs w:val="21"/>
          <w:highlight w:val="none"/>
        </w:rPr>
      </w:pPr>
    </w:p>
    <w:p w14:paraId="149B2653">
      <w:pPr>
        <w:rPr>
          <w:rFonts w:hint="eastAsia"/>
          <w:color w:val="auto"/>
          <w:szCs w:val="21"/>
          <w:highlight w:val="none"/>
        </w:rPr>
      </w:pPr>
    </w:p>
    <w:p w14:paraId="627F4709">
      <w:pPr>
        <w:rPr>
          <w:rFonts w:hint="eastAsia"/>
          <w:color w:val="auto"/>
          <w:szCs w:val="21"/>
          <w:highlight w:val="none"/>
        </w:rPr>
      </w:pPr>
    </w:p>
    <w:p w14:paraId="25B6F211">
      <w:pPr>
        <w:rPr>
          <w:rFonts w:hint="eastAsia"/>
          <w:color w:val="auto"/>
          <w:szCs w:val="21"/>
          <w:highlight w:val="none"/>
        </w:rPr>
      </w:pPr>
    </w:p>
    <w:p w14:paraId="2F9BE763">
      <w:pPr>
        <w:rPr>
          <w:rFonts w:hint="eastAsia"/>
          <w:color w:val="auto"/>
          <w:szCs w:val="21"/>
          <w:highlight w:val="none"/>
        </w:rPr>
      </w:pPr>
    </w:p>
    <w:p w14:paraId="493F313D">
      <w:pPr>
        <w:rPr>
          <w:rFonts w:hint="eastAsia"/>
          <w:color w:val="auto"/>
          <w:szCs w:val="21"/>
          <w:highlight w:val="none"/>
        </w:rPr>
      </w:pPr>
    </w:p>
    <w:p w14:paraId="4A4A8770">
      <w:pPr>
        <w:rPr>
          <w:rFonts w:hint="eastAsia"/>
          <w:color w:val="auto"/>
          <w:szCs w:val="21"/>
          <w:highlight w:val="none"/>
        </w:rPr>
      </w:pPr>
    </w:p>
    <w:p w14:paraId="6478B625">
      <w:pPr>
        <w:rPr>
          <w:rFonts w:hint="eastAsia"/>
          <w:color w:val="auto"/>
          <w:szCs w:val="21"/>
          <w:highlight w:val="none"/>
        </w:rPr>
      </w:pPr>
    </w:p>
    <w:p w14:paraId="227739F1">
      <w:pPr>
        <w:rPr>
          <w:rFonts w:hint="eastAsia"/>
          <w:color w:val="auto"/>
          <w:szCs w:val="21"/>
          <w:highlight w:val="none"/>
        </w:rPr>
      </w:pPr>
    </w:p>
    <w:p w14:paraId="7A6BDC45">
      <w:pPr>
        <w:rPr>
          <w:rFonts w:hint="eastAsia"/>
          <w:color w:val="auto"/>
          <w:szCs w:val="21"/>
          <w:highlight w:val="none"/>
        </w:rPr>
      </w:pPr>
    </w:p>
    <w:p w14:paraId="2943E277">
      <w:pPr>
        <w:rPr>
          <w:rFonts w:hint="eastAsia"/>
          <w:color w:val="auto"/>
          <w:szCs w:val="21"/>
          <w:highlight w:val="none"/>
        </w:rPr>
      </w:pPr>
    </w:p>
    <w:p w14:paraId="7890C884">
      <w:pPr>
        <w:rPr>
          <w:rFonts w:hint="eastAsia" w:hAnsi="宋体"/>
          <w:b/>
          <w:color w:val="auto"/>
          <w:szCs w:val="21"/>
          <w:highlight w:val="none"/>
        </w:rPr>
      </w:pPr>
      <w:r>
        <w:rPr>
          <w:rFonts w:hint="eastAsia" w:hAnsi="宋体"/>
          <w:b/>
          <w:color w:val="auto"/>
          <w:szCs w:val="21"/>
          <w:highlight w:val="none"/>
        </w:rPr>
        <w:t>附件</w:t>
      </w:r>
      <w:r>
        <w:rPr>
          <w:rFonts w:hint="eastAsia" w:hAnsi="宋体"/>
          <w:b/>
          <w:color w:val="auto"/>
          <w:szCs w:val="21"/>
          <w:highlight w:val="none"/>
          <w:lang w:val="en-US" w:eastAsia="zh-CN"/>
        </w:rPr>
        <w:t>4</w:t>
      </w:r>
      <w:r>
        <w:rPr>
          <w:rFonts w:hint="eastAsia" w:hAnsi="宋体"/>
          <w:b/>
          <w:color w:val="auto"/>
          <w:szCs w:val="21"/>
          <w:highlight w:val="none"/>
        </w:rPr>
        <w:t xml:space="preserve">   项目负责人委托书</w:t>
      </w:r>
    </w:p>
    <w:p w14:paraId="3F5DE04B">
      <w:pPr>
        <w:spacing w:line="400" w:lineRule="exact"/>
        <w:rPr>
          <w:rFonts w:hint="eastAsia" w:ascii="隶书" w:eastAsia="隶书"/>
          <w:color w:val="auto"/>
          <w:szCs w:val="21"/>
          <w:highlight w:val="none"/>
        </w:rPr>
      </w:pPr>
    </w:p>
    <w:p w14:paraId="7CCACB13">
      <w:pPr>
        <w:spacing w:line="400" w:lineRule="exact"/>
        <w:jc w:val="center"/>
        <w:rPr>
          <w:rFonts w:hint="eastAsia" w:ascii="黑体" w:hAnsi="宋体" w:eastAsia="黑体"/>
          <w:color w:val="auto"/>
          <w:szCs w:val="21"/>
          <w:highlight w:val="none"/>
          <w:u w:val="single"/>
        </w:rPr>
      </w:pPr>
      <w:r>
        <w:rPr>
          <w:rFonts w:hint="eastAsia" w:ascii="黑体" w:hAnsi="宋体" w:eastAsia="黑体"/>
          <w:color w:val="auto"/>
          <w:szCs w:val="21"/>
          <w:highlight w:val="none"/>
          <w:u w:val="single"/>
        </w:rPr>
        <w:t>（承包人全称）</w:t>
      </w:r>
    </w:p>
    <w:p w14:paraId="3BF788E8">
      <w:pPr>
        <w:spacing w:line="400" w:lineRule="exact"/>
        <w:jc w:val="center"/>
        <w:rPr>
          <w:rFonts w:hint="eastAsia" w:ascii="黑体" w:hAnsi="宋体" w:eastAsia="黑体"/>
          <w:color w:val="auto"/>
          <w:szCs w:val="21"/>
          <w:highlight w:val="none"/>
          <w:u w:val="single"/>
        </w:rPr>
      </w:pPr>
      <w:r>
        <w:rPr>
          <w:rFonts w:hint="eastAsia" w:ascii="黑体" w:hAnsi="宋体" w:eastAsia="黑体"/>
          <w:color w:val="auto"/>
          <w:szCs w:val="21"/>
          <w:highlight w:val="none"/>
          <w:u w:val="single"/>
        </w:rPr>
        <w:t>（合同工程名称）项目负责人委任书</w:t>
      </w:r>
    </w:p>
    <w:p w14:paraId="62DF9F41">
      <w:pPr>
        <w:spacing w:line="400" w:lineRule="exact"/>
        <w:rPr>
          <w:rFonts w:hint="eastAsia" w:hAnsi="宋体"/>
          <w:color w:val="auto"/>
          <w:szCs w:val="21"/>
          <w:highlight w:val="none"/>
        </w:rPr>
      </w:pPr>
    </w:p>
    <w:p w14:paraId="7D8EC5BD">
      <w:pPr>
        <w:spacing w:line="360" w:lineRule="auto"/>
        <w:rPr>
          <w:rFonts w:hint="eastAsia" w:hAnsi="宋体"/>
          <w:color w:val="auto"/>
          <w:szCs w:val="21"/>
          <w:highlight w:val="none"/>
        </w:rPr>
      </w:pPr>
      <w:r>
        <w:rPr>
          <w:rFonts w:hint="eastAsia" w:hAnsi="宋体"/>
          <w:color w:val="auto"/>
          <w:szCs w:val="21"/>
          <w:highlight w:val="none"/>
        </w:rPr>
        <w:t>致：</w:t>
      </w:r>
      <w:r>
        <w:rPr>
          <w:rFonts w:hint="eastAsia" w:hAnsi="宋体"/>
          <w:color w:val="auto"/>
          <w:szCs w:val="21"/>
          <w:highlight w:val="none"/>
          <w:u w:val="single"/>
        </w:rPr>
        <w:t>（发包人全称</w:t>
      </w:r>
      <w:r>
        <w:rPr>
          <w:rFonts w:hint="eastAsia" w:hAnsi="宋体"/>
          <w:color w:val="auto"/>
          <w:szCs w:val="21"/>
          <w:highlight w:val="none"/>
        </w:rPr>
        <w:t>）</w:t>
      </w:r>
    </w:p>
    <w:p w14:paraId="28B0CCFF">
      <w:pPr>
        <w:spacing w:line="360" w:lineRule="auto"/>
        <w:ind w:firstLine="420" w:firstLineChars="200"/>
        <w:rPr>
          <w:rFonts w:hint="eastAsia" w:hAnsi="宋体"/>
          <w:color w:val="auto"/>
          <w:szCs w:val="21"/>
          <w:highlight w:val="none"/>
        </w:rPr>
      </w:pPr>
      <w:r>
        <w:rPr>
          <w:rFonts w:hint="eastAsia" w:hAnsi="宋体"/>
          <w:color w:val="auto"/>
          <w:szCs w:val="21"/>
          <w:highlight w:val="none"/>
          <w:u w:val="single"/>
        </w:rPr>
        <w:t>（承包人全称）</w:t>
      </w:r>
      <w:r>
        <w:rPr>
          <w:rFonts w:hint="eastAsia" w:hAnsi="宋体"/>
          <w:color w:val="auto"/>
          <w:szCs w:val="21"/>
          <w:highlight w:val="none"/>
        </w:rPr>
        <w:t xml:space="preserve"> 法定代表人</w:t>
      </w:r>
      <w:r>
        <w:rPr>
          <w:rFonts w:hint="eastAsia" w:hAnsi="宋体"/>
          <w:color w:val="auto"/>
          <w:szCs w:val="21"/>
          <w:highlight w:val="none"/>
          <w:u w:val="single"/>
        </w:rPr>
        <w:t xml:space="preserve"> （职务、姓名）</w:t>
      </w:r>
      <w:r>
        <w:rPr>
          <w:rFonts w:hint="eastAsia" w:hAnsi="宋体"/>
          <w:color w:val="auto"/>
          <w:szCs w:val="21"/>
          <w:highlight w:val="none"/>
        </w:rPr>
        <w:t xml:space="preserve"> 代表本单位委任 </w:t>
      </w:r>
      <w:r>
        <w:rPr>
          <w:rFonts w:hint="eastAsia" w:hAnsi="宋体"/>
          <w:color w:val="auto"/>
          <w:szCs w:val="21"/>
          <w:highlight w:val="none"/>
          <w:u w:val="single"/>
        </w:rPr>
        <w:t>（职务、姓名）</w:t>
      </w:r>
      <w:r>
        <w:rPr>
          <w:rFonts w:hint="eastAsia" w:hAnsi="宋体"/>
          <w:color w:val="auto"/>
          <w:szCs w:val="21"/>
          <w:highlight w:val="none"/>
        </w:rPr>
        <w:t xml:space="preserve"> 为</w:t>
      </w:r>
      <w:r>
        <w:rPr>
          <w:rFonts w:hint="eastAsia" w:hAnsi="宋体"/>
          <w:color w:val="auto"/>
          <w:szCs w:val="21"/>
          <w:highlight w:val="none"/>
          <w:u w:val="single"/>
        </w:rPr>
        <w:t>（合同工程名称）</w:t>
      </w:r>
      <w:r>
        <w:rPr>
          <w:rFonts w:hint="eastAsia" w:hAnsi="宋体"/>
          <w:color w:val="auto"/>
          <w:szCs w:val="21"/>
          <w:highlight w:val="none"/>
        </w:rPr>
        <w:t>的项目负责人。凡本合同执行中的有关技术、工程进度、现场管理、质量检验、结算与支付等方面工作，由</w:t>
      </w:r>
      <w:r>
        <w:rPr>
          <w:rFonts w:hint="eastAsia" w:hAnsi="宋体"/>
          <w:color w:val="auto"/>
          <w:szCs w:val="21"/>
          <w:highlight w:val="none"/>
          <w:u w:val="single"/>
        </w:rPr>
        <w:t xml:space="preserve"> （姓名） </w:t>
      </w:r>
      <w:r>
        <w:rPr>
          <w:rFonts w:hint="eastAsia" w:hAnsi="宋体"/>
          <w:color w:val="auto"/>
          <w:szCs w:val="21"/>
          <w:highlight w:val="none"/>
        </w:rPr>
        <w:t>代表本单位全面负责。</w:t>
      </w:r>
    </w:p>
    <w:p w14:paraId="4CE17AA2">
      <w:pPr>
        <w:spacing w:line="360" w:lineRule="auto"/>
        <w:rPr>
          <w:rFonts w:hint="eastAsia" w:hAnsi="宋体"/>
          <w:color w:val="auto"/>
          <w:szCs w:val="21"/>
          <w:highlight w:val="none"/>
        </w:rPr>
      </w:pPr>
    </w:p>
    <w:p w14:paraId="62413759">
      <w:pPr>
        <w:spacing w:line="360" w:lineRule="auto"/>
        <w:jc w:val="right"/>
        <w:rPr>
          <w:rFonts w:hint="eastAsia" w:hAnsi="宋体"/>
          <w:color w:val="auto"/>
          <w:szCs w:val="21"/>
          <w:highlight w:val="none"/>
        </w:rPr>
      </w:pPr>
      <w:r>
        <w:rPr>
          <w:rFonts w:hint="eastAsia" w:hAnsi="宋体"/>
          <w:color w:val="auto"/>
          <w:szCs w:val="21"/>
          <w:highlight w:val="none"/>
        </w:rPr>
        <w:t>承包人：</w:t>
      </w:r>
      <w:r>
        <w:rPr>
          <w:rFonts w:hint="eastAsia" w:hAnsi="宋体"/>
          <w:color w:val="auto"/>
          <w:szCs w:val="21"/>
          <w:highlight w:val="none"/>
          <w:u w:val="single"/>
        </w:rPr>
        <w:t xml:space="preserve">            </w:t>
      </w:r>
      <w:r>
        <w:rPr>
          <w:rFonts w:hint="eastAsia" w:hAnsi="宋体"/>
          <w:color w:val="auto"/>
          <w:szCs w:val="21"/>
          <w:highlight w:val="none"/>
        </w:rPr>
        <w:t>（盖单位章）</w:t>
      </w:r>
    </w:p>
    <w:p w14:paraId="11D31868">
      <w:pPr>
        <w:spacing w:line="360" w:lineRule="auto"/>
        <w:jc w:val="right"/>
        <w:rPr>
          <w:rFonts w:hint="eastAsia" w:hAnsi="宋体"/>
          <w:color w:val="auto"/>
          <w:szCs w:val="21"/>
          <w:highlight w:val="none"/>
          <w:u w:val="single"/>
        </w:rPr>
      </w:pPr>
      <w:r>
        <w:rPr>
          <w:rFonts w:hint="eastAsia" w:hAnsi="宋体"/>
          <w:color w:val="auto"/>
          <w:szCs w:val="21"/>
          <w:highlight w:val="none"/>
        </w:rPr>
        <w:t>法定代表人：</w:t>
      </w:r>
      <w:r>
        <w:rPr>
          <w:rFonts w:hint="eastAsia" w:hAnsi="宋体"/>
          <w:color w:val="auto"/>
          <w:szCs w:val="21"/>
          <w:highlight w:val="none"/>
          <w:u w:val="single"/>
        </w:rPr>
        <w:t xml:space="preserve">  （职务） </w:t>
      </w:r>
    </w:p>
    <w:p w14:paraId="5D7C50C9">
      <w:pPr>
        <w:spacing w:line="360" w:lineRule="auto"/>
        <w:ind w:firstLine="1575" w:firstLineChars="750"/>
        <w:jc w:val="right"/>
        <w:rPr>
          <w:rFonts w:hint="eastAsia" w:hAnsi="宋体"/>
          <w:color w:val="auto"/>
          <w:szCs w:val="21"/>
          <w:highlight w:val="none"/>
          <w:u w:val="single"/>
        </w:rPr>
      </w:pPr>
      <w:r>
        <w:rPr>
          <w:rFonts w:hint="eastAsia" w:hAnsi="宋体"/>
          <w:color w:val="auto"/>
          <w:szCs w:val="21"/>
          <w:highlight w:val="none"/>
          <w:u w:val="single"/>
        </w:rPr>
        <w:t xml:space="preserve">  （姓名） </w:t>
      </w:r>
    </w:p>
    <w:p w14:paraId="4103C16B">
      <w:pPr>
        <w:spacing w:line="360" w:lineRule="auto"/>
        <w:ind w:firstLine="1575" w:firstLineChars="750"/>
        <w:jc w:val="right"/>
        <w:rPr>
          <w:rFonts w:hint="eastAsia" w:hAnsi="宋体"/>
          <w:color w:val="auto"/>
          <w:szCs w:val="21"/>
          <w:highlight w:val="none"/>
          <w:u w:val="single"/>
        </w:rPr>
      </w:pPr>
      <w:r>
        <w:rPr>
          <w:rFonts w:hint="eastAsia" w:hAnsi="宋体"/>
          <w:color w:val="auto"/>
          <w:szCs w:val="21"/>
          <w:highlight w:val="none"/>
          <w:u w:val="single"/>
        </w:rPr>
        <w:t xml:space="preserve">  （签字） </w:t>
      </w:r>
    </w:p>
    <w:p w14:paraId="0CEBA160">
      <w:pPr>
        <w:spacing w:line="360" w:lineRule="auto"/>
        <w:rPr>
          <w:rFonts w:hint="eastAsia" w:hAnsi="宋体"/>
          <w:color w:val="auto"/>
          <w:szCs w:val="21"/>
          <w:highlight w:val="none"/>
        </w:rPr>
      </w:pPr>
    </w:p>
    <w:p w14:paraId="19ACA2F1">
      <w:pPr>
        <w:spacing w:line="400" w:lineRule="exact"/>
        <w:jc w:val="right"/>
        <w:rPr>
          <w:rFonts w:hint="eastAsia"/>
          <w:color w:val="auto"/>
          <w:szCs w:val="21"/>
          <w:highlight w:val="none"/>
        </w:rPr>
      </w:pPr>
      <w:r>
        <w:rPr>
          <w:rFonts w:hint="eastAsia"/>
          <w:color w:val="auto"/>
          <w:szCs w:val="21"/>
          <w:highlight w:val="none"/>
        </w:rPr>
        <w:t xml:space="preserve">     年    月      日</w:t>
      </w:r>
    </w:p>
    <w:p w14:paraId="4ECDE240">
      <w:pPr>
        <w:pStyle w:val="12"/>
        <w:spacing w:line="25" w:lineRule="atLeast"/>
        <w:rPr>
          <w:rFonts w:hint="eastAsia" w:hAnsi="宋体"/>
          <w:color w:val="auto"/>
          <w:highlight w:val="none"/>
        </w:rPr>
      </w:pPr>
    </w:p>
    <w:p w14:paraId="339AD03E">
      <w:pPr>
        <w:pStyle w:val="12"/>
        <w:spacing w:line="25" w:lineRule="atLeast"/>
        <w:rPr>
          <w:rFonts w:hint="eastAsia" w:hAnsi="宋体"/>
          <w:color w:val="auto"/>
          <w:highlight w:val="none"/>
        </w:rPr>
      </w:pPr>
    </w:p>
    <w:p w14:paraId="6F6A0388">
      <w:pPr>
        <w:pStyle w:val="12"/>
        <w:spacing w:line="25" w:lineRule="atLeast"/>
        <w:rPr>
          <w:rFonts w:hint="eastAsia" w:hAnsi="宋体"/>
          <w:color w:val="auto"/>
          <w:highlight w:val="none"/>
        </w:rPr>
      </w:pPr>
    </w:p>
    <w:p w14:paraId="621FD1F3">
      <w:pPr>
        <w:pStyle w:val="12"/>
        <w:spacing w:line="25" w:lineRule="atLeast"/>
        <w:rPr>
          <w:rFonts w:hint="eastAsia" w:hAnsi="宋体"/>
          <w:color w:val="auto"/>
          <w:highlight w:val="none"/>
        </w:rPr>
      </w:pPr>
    </w:p>
    <w:p w14:paraId="2849CB22">
      <w:pPr>
        <w:pStyle w:val="12"/>
        <w:spacing w:line="25" w:lineRule="atLeast"/>
        <w:rPr>
          <w:rFonts w:hint="eastAsia" w:hAnsi="宋体"/>
          <w:color w:val="auto"/>
          <w:highlight w:val="none"/>
        </w:rPr>
      </w:pPr>
      <w:r>
        <w:rPr>
          <w:rFonts w:hAnsi="宋体"/>
          <w:color w:val="auto"/>
          <w:highlight w:val="none"/>
        </w:rPr>
        <w:br w:type="page"/>
      </w:r>
    </w:p>
    <w:p w14:paraId="1A061253">
      <w:pPr>
        <w:pStyle w:val="12"/>
        <w:spacing w:line="25" w:lineRule="atLeast"/>
        <w:rPr>
          <w:rFonts w:hint="eastAsia" w:hAnsi="宋体"/>
          <w:color w:val="auto"/>
          <w:highlight w:val="none"/>
        </w:rPr>
      </w:pPr>
    </w:p>
    <w:p w14:paraId="41B85FF8">
      <w:pPr>
        <w:jc w:val="center"/>
        <w:rPr>
          <w:rFonts w:hint="eastAsia" w:hAnsi="宋体"/>
          <w:b/>
          <w:color w:val="auto"/>
          <w:szCs w:val="21"/>
          <w:highlight w:val="none"/>
        </w:rPr>
      </w:pPr>
      <w:r>
        <w:rPr>
          <w:rFonts w:hint="eastAsia" w:hAnsi="宋体"/>
          <w:b/>
          <w:color w:val="auto"/>
          <w:szCs w:val="21"/>
          <w:highlight w:val="none"/>
        </w:rPr>
        <w:t>三、通用条款</w:t>
      </w:r>
    </w:p>
    <w:p w14:paraId="5AAA9FC5">
      <w:pPr>
        <w:spacing w:line="25" w:lineRule="atLeast"/>
        <w:rPr>
          <w:rFonts w:hAnsi="宋体"/>
          <w:color w:val="auto"/>
          <w:szCs w:val="21"/>
          <w:highlight w:val="none"/>
        </w:rPr>
      </w:pPr>
    </w:p>
    <w:p w14:paraId="158A262A">
      <w:pPr>
        <w:spacing w:line="25" w:lineRule="atLeast"/>
        <w:ind w:firstLine="420" w:firstLineChars="200"/>
        <w:rPr>
          <w:rFonts w:hint="eastAsia" w:hAnsi="宋体"/>
          <w:color w:val="auto"/>
          <w:szCs w:val="21"/>
          <w:highlight w:val="none"/>
        </w:rPr>
      </w:pPr>
      <w:r>
        <w:rPr>
          <w:rFonts w:hint="eastAsia" w:hAnsi="宋体"/>
          <w:color w:val="auto"/>
          <w:szCs w:val="21"/>
          <w:highlight w:val="none"/>
        </w:rPr>
        <w:t>采用国家工商行政管理局和建设部颁发的《建设工程施工合同》</w:t>
      </w:r>
      <w:r>
        <w:rPr>
          <w:rFonts w:hAnsi="宋体"/>
          <w:color w:val="auto"/>
          <w:szCs w:val="21"/>
          <w:highlight w:val="none"/>
        </w:rPr>
        <w:t>(GF-</w:t>
      </w:r>
      <w:r>
        <w:rPr>
          <w:rFonts w:hint="eastAsia" w:hAnsi="宋体"/>
          <w:color w:val="auto"/>
          <w:szCs w:val="21"/>
          <w:highlight w:val="none"/>
        </w:rPr>
        <w:t>19</w:t>
      </w:r>
      <w:r>
        <w:rPr>
          <w:rFonts w:hAnsi="宋体"/>
          <w:color w:val="auto"/>
          <w:szCs w:val="21"/>
          <w:highlight w:val="none"/>
        </w:rPr>
        <w:t>9</w:t>
      </w:r>
      <w:r>
        <w:rPr>
          <w:rFonts w:hint="eastAsia" w:hAnsi="宋体"/>
          <w:color w:val="auto"/>
          <w:szCs w:val="21"/>
          <w:highlight w:val="none"/>
        </w:rPr>
        <w:t>9</w:t>
      </w:r>
      <w:r>
        <w:rPr>
          <w:rFonts w:hAnsi="宋体"/>
          <w:color w:val="auto"/>
          <w:szCs w:val="21"/>
          <w:highlight w:val="none"/>
        </w:rPr>
        <w:t>-0201)</w:t>
      </w:r>
      <w:r>
        <w:rPr>
          <w:rFonts w:hint="eastAsia" w:hAnsi="宋体"/>
          <w:color w:val="auto"/>
          <w:szCs w:val="21"/>
          <w:highlight w:val="none"/>
        </w:rPr>
        <w:t>的通用条款。</w:t>
      </w:r>
    </w:p>
    <w:p w14:paraId="680FED66">
      <w:pPr>
        <w:pStyle w:val="9"/>
        <w:rPr>
          <w:color w:val="auto"/>
          <w:sz w:val="21"/>
          <w:szCs w:val="21"/>
        </w:rPr>
      </w:pPr>
    </w:p>
    <w:sectPr>
      <w:headerReference r:id="rId8" w:type="default"/>
      <w:footerReference r:id="rId9" w:type="default"/>
      <w:pgSz w:w="11906" w:h="16838"/>
      <w:pgMar w:top="1440" w:right="1080" w:bottom="1440" w:left="1080" w:header="567" w:footer="567" w:gutter="567"/>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2010609000101010101"/>
    <w:charset w:val="86"/>
    <w:family w:val="modern"/>
    <w:pitch w:val="default"/>
    <w:sig w:usb0="00000000" w:usb1="00000000" w:usb2="00000012" w:usb3="00000000" w:csb0="00040000" w:csb1="00000000"/>
  </w:font>
  <w:font w:name="汉仪字典宋简">
    <w:altName w:val="宋体"/>
    <w:panose1 w:val="02010609000101010101"/>
    <w:charset w:val="86"/>
    <w:family w:val="modern"/>
    <w:pitch w:val="default"/>
    <w:sig w:usb0="00000000" w:usb1="00000000" w:usb2="00000012"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56361">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6101C7">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86101C7">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50C2B">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B85A4">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03B85A4">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F97E5">
    <w:pPr>
      <w:spacing w:line="196" w:lineRule="auto"/>
      <w:ind w:left="415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4DA60">
                          <w:pPr>
                            <w:pStyle w:val="1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F34DA60">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05D82">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9E904">
                          <w:pPr>
                            <w:pStyle w:val="1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939E904">
                    <w:pPr>
                      <w:pStyle w:val="1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74365">
    <w:pPr>
      <w:pStyle w:val="16"/>
      <w:rPr>
        <w:rFonts w:hint="eastAsia" w:ascii="Times New Roman" w:eastAsia="宋体"/>
        <w:color w:val="auto"/>
        <w:sz w:val="20"/>
        <w:lang w:val="en-US" w:eastAsia="zh-CN"/>
      </w:rPr>
    </w:pPr>
    <w:r>
      <w:rPr>
        <w:rFonts w:hint="eastAsia"/>
        <w:color w:val="auto"/>
        <w:sz w:val="20"/>
        <w:lang w:eastAsia="zh-CN"/>
      </w:rPr>
      <w:t>钦北区2025年巩固拓展脱贫攻坚成果同乡村振兴有效衔接项目(道路部分)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20481">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3C743">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A84D"/>
    <w:multiLevelType w:val="singleLevel"/>
    <w:tmpl w:val="872EA84D"/>
    <w:lvl w:ilvl="0" w:tentative="0">
      <w:start w:val="6"/>
      <w:numFmt w:val="chineseCounting"/>
      <w:suff w:val="space"/>
      <w:lvlText w:val="第%1章"/>
      <w:lvlJc w:val="left"/>
      <w:rPr>
        <w:rFonts w:hint="eastAsia"/>
      </w:rPr>
    </w:lvl>
  </w:abstractNum>
  <w:abstractNum w:abstractNumId="1">
    <w:nsid w:val="984BBA03"/>
    <w:multiLevelType w:val="singleLevel"/>
    <w:tmpl w:val="984BBA03"/>
    <w:lvl w:ilvl="0" w:tentative="0">
      <w:start w:val="3"/>
      <w:numFmt w:val="chineseCounting"/>
      <w:suff w:val="nothing"/>
      <w:lvlText w:val="%1、"/>
      <w:lvlJc w:val="left"/>
      <w:rPr>
        <w:rFonts w:hint="eastAsia"/>
      </w:rPr>
    </w:lvl>
  </w:abstractNum>
  <w:abstractNum w:abstractNumId="2">
    <w:nsid w:val="0AF5B8FA"/>
    <w:multiLevelType w:val="singleLevel"/>
    <w:tmpl w:val="0AF5B8FA"/>
    <w:lvl w:ilvl="0" w:tentative="0">
      <w:start w:val="1"/>
      <w:numFmt w:val="decimal"/>
      <w:suff w:val="space"/>
      <w:lvlText w:val="(%1)"/>
      <w:lvlJc w:val="left"/>
    </w:lvl>
  </w:abstractNum>
  <w:abstractNum w:abstractNumId="3">
    <w:nsid w:val="1FD6DDE3"/>
    <w:multiLevelType w:val="singleLevel"/>
    <w:tmpl w:val="1FD6DDE3"/>
    <w:lvl w:ilvl="0" w:tentative="0">
      <w:start w:val="2"/>
      <w:numFmt w:val="chineseCounting"/>
      <w:suff w:val="nothing"/>
      <w:lvlText w:val="%1、"/>
      <w:lvlJc w:val="left"/>
      <w:rPr>
        <w:rFonts w:hint="eastAsia"/>
      </w:rPr>
    </w:lvl>
  </w:abstractNum>
  <w:abstractNum w:abstractNumId="4">
    <w:nsid w:val="21A205B0"/>
    <w:multiLevelType w:val="singleLevel"/>
    <w:tmpl w:val="21A205B0"/>
    <w:lvl w:ilvl="0" w:tentative="0">
      <w:start w:val="2"/>
      <w:numFmt w:val="chineseCounting"/>
      <w:suff w:val="space"/>
      <w:lvlText w:val="第%1章"/>
      <w:lvlJc w:val="left"/>
      <w:rPr>
        <w:rFonts w:hint="eastAsia"/>
      </w:rPr>
    </w:lvl>
  </w:abstractNum>
  <w:abstractNum w:abstractNumId="5">
    <w:nsid w:val="42AA97E8"/>
    <w:multiLevelType w:val="singleLevel"/>
    <w:tmpl w:val="42AA97E8"/>
    <w:lvl w:ilvl="0" w:tentative="0">
      <w:start w:val="4"/>
      <w:numFmt w:val="decimal"/>
      <w:suff w:val="nothing"/>
      <w:lvlText w:val="%1、"/>
      <w:lvlJc w:val="left"/>
    </w:lvl>
  </w:abstractNum>
  <w:abstractNum w:abstractNumId="6">
    <w:nsid w:val="57D66720"/>
    <w:multiLevelType w:val="singleLevel"/>
    <w:tmpl w:val="57D66720"/>
    <w:lvl w:ilvl="0" w:tentative="0">
      <w:start w:val="2"/>
      <w:numFmt w:val="chineseCounting"/>
      <w:suff w:val="nothing"/>
      <w:lvlText w:val="%1、"/>
      <w:lvlJc w:val="left"/>
    </w:lvl>
  </w:abstractNum>
  <w:num w:numId="1">
    <w:abstractNumId w:val="4"/>
  </w:num>
  <w:num w:numId="2">
    <w:abstractNumId w:val="1"/>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1YTE1NmNhNzgwMTBlOWJiOTFmZmZhZmU5YTQyODcifQ=="/>
    <w:docVar w:name="KSO_WPS_MARK_KEY" w:val="6ac96a03-626a-46fb-aa33-9e6954186514"/>
  </w:docVars>
  <w:rsids>
    <w:rsidRoot w:val="556F068E"/>
    <w:rsid w:val="00022272"/>
    <w:rsid w:val="00046300"/>
    <w:rsid w:val="00092EAF"/>
    <w:rsid w:val="000A365B"/>
    <w:rsid w:val="000C199D"/>
    <w:rsid w:val="000E03F8"/>
    <w:rsid w:val="001A5BFD"/>
    <w:rsid w:val="001C657D"/>
    <w:rsid w:val="002203C2"/>
    <w:rsid w:val="00222EAA"/>
    <w:rsid w:val="0028721A"/>
    <w:rsid w:val="002C2E79"/>
    <w:rsid w:val="002E364F"/>
    <w:rsid w:val="00341A32"/>
    <w:rsid w:val="00344260"/>
    <w:rsid w:val="003479CE"/>
    <w:rsid w:val="00350E8A"/>
    <w:rsid w:val="003566F1"/>
    <w:rsid w:val="00396966"/>
    <w:rsid w:val="003B5B92"/>
    <w:rsid w:val="004302EE"/>
    <w:rsid w:val="00430665"/>
    <w:rsid w:val="00446559"/>
    <w:rsid w:val="004B25EB"/>
    <w:rsid w:val="00511007"/>
    <w:rsid w:val="0055311E"/>
    <w:rsid w:val="005F1692"/>
    <w:rsid w:val="006C03D0"/>
    <w:rsid w:val="006E49D4"/>
    <w:rsid w:val="006F4DB7"/>
    <w:rsid w:val="007051D0"/>
    <w:rsid w:val="0073092E"/>
    <w:rsid w:val="00740C23"/>
    <w:rsid w:val="00753155"/>
    <w:rsid w:val="00762457"/>
    <w:rsid w:val="0079775D"/>
    <w:rsid w:val="007B713C"/>
    <w:rsid w:val="00822614"/>
    <w:rsid w:val="0086498E"/>
    <w:rsid w:val="008A64A8"/>
    <w:rsid w:val="008D11E2"/>
    <w:rsid w:val="008D54D8"/>
    <w:rsid w:val="008E648C"/>
    <w:rsid w:val="008F25AF"/>
    <w:rsid w:val="00922F24"/>
    <w:rsid w:val="00946919"/>
    <w:rsid w:val="009564A4"/>
    <w:rsid w:val="00985A95"/>
    <w:rsid w:val="009A2CCA"/>
    <w:rsid w:val="009B2168"/>
    <w:rsid w:val="009D2098"/>
    <w:rsid w:val="009E6A77"/>
    <w:rsid w:val="00A360B5"/>
    <w:rsid w:val="00A461D0"/>
    <w:rsid w:val="00A51D4B"/>
    <w:rsid w:val="00A74461"/>
    <w:rsid w:val="00A806A3"/>
    <w:rsid w:val="00A974A6"/>
    <w:rsid w:val="00AA6128"/>
    <w:rsid w:val="00AD4031"/>
    <w:rsid w:val="00AF24A3"/>
    <w:rsid w:val="00B27491"/>
    <w:rsid w:val="00B3531B"/>
    <w:rsid w:val="00B57815"/>
    <w:rsid w:val="00BA74DD"/>
    <w:rsid w:val="00BC04D1"/>
    <w:rsid w:val="00BC2F65"/>
    <w:rsid w:val="00C720D9"/>
    <w:rsid w:val="00CD32AF"/>
    <w:rsid w:val="00CE6497"/>
    <w:rsid w:val="00D12F80"/>
    <w:rsid w:val="00D17065"/>
    <w:rsid w:val="00D676B2"/>
    <w:rsid w:val="00D7037D"/>
    <w:rsid w:val="00DA25AA"/>
    <w:rsid w:val="00DD6B5C"/>
    <w:rsid w:val="00E828D2"/>
    <w:rsid w:val="00F447E0"/>
    <w:rsid w:val="00F5573C"/>
    <w:rsid w:val="00FA5913"/>
    <w:rsid w:val="00FF0247"/>
    <w:rsid w:val="00FF6368"/>
    <w:rsid w:val="01003FCC"/>
    <w:rsid w:val="01104A24"/>
    <w:rsid w:val="013730A5"/>
    <w:rsid w:val="014C3BDB"/>
    <w:rsid w:val="01813E16"/>
    <w:rsid w:val="018412B2"/>
    <w:rsid w:val="0190392E"/>
    <w:rsid w:val="01A340D1"/>
    <w:rsid w:val="01D152A8"/>
    <w:rsid w:val="01D16F05"/>
    <w:rsid w:val="01D9471B"/>
    <w:rsid w:val="01E5765B"/>
    <w:rsid w:val="01E8610D"/>
    <w:rsid w:val="0217360F"/>
    <w:rsid w:val="02365E7D"/>
    <w:rsid w:val="02756169"/>
    <w:rsid w:val="027827AD"/>
    <w:rsid w:val="02806C74"/>
    <w:rsid w:val="02932757"/>
    <w:rsid w:val="02B62811"/>
    <w:rsid w:val="02C47A2B"/>
    <w:rsid w:val="02DC227F"/>
    <w:rsid w:val="02E80E6A"/>
    <w:rsid w:val="02E93C7C"/>
    <w:rsid w:val="02F76F90"/>
    <w:rsid w:val="032075CD"/>
    <w:rsid w:val="03244D3B"/>
    <w:rsid w:val="03361F3B"/>
    <w:rsid w:val="03406696"/>
    <w:rsid w:val="03A41F96"/>
    <w:rsid w:val="03BE5C4F"/>
    <w:rsid w:val="03C57F1D"/>
    <w:rsid w:val="03D3354B"/>
    <w:rsid w:val="043C2B7C"/>
    <w:rsid w:val="045D6149"/>
    <w:rsid w:val="04631E56"/>
    <w:rsid w:val="047354F2"/>
    <w:rsid w:val="047553ED"/>
    <w:rsid w:val="04832496"/>
    <w:rsid w:val="048838BB"/>
    <w:rsid w:val="04924FE3"/>
    <w:rsid w:val="04A24CDA"/>
    <w:rsid w:val="04AF1326"/>
    <w:rsid w:val="04FD0E31"/>
    <w:rsid w:val="050637A5"/>
    <w:rsid w:val="0523406D"/>
    <w:rsid w:val="05243941"/>
    <w:rsid w:val="054769B3"/>
    <w:rsid w:val="05480B39"/>
    <w:rsid w:val="05563D80"/>
    <w:rsid w:val="05571F68"/>
    <w:rsid w:val="05A0262C"/>
    <w:rsid w:val="05F46366"/>
    <w:rsid w:val="061631B2"/>
    <w:rsid w:val="06191E33"/>
    <w:rsid w:val="061C3D5B"/>
    <w:rsid w:val="06352C8D"/>
    <w:rsid w:val="06376F97"/>
    <w:rsid w:val="065A3ABE"/>
    <w:rsid w:val="06652463"/>
    <w:rsid w:val="06836237"/>
    <w:rsid w:val="06A7419D"/>
    <w:rsid w:val="06E35353"/>
    <w:rsid w:val="07245A59"/>
    <w:rsid w:val="0745028B"/>
    <w:rsid w:val="075A22F1"/>
    <w:rsid w:val="07AD2721"/>
    <w:rsid w:val="07AF6F49"/>
    <w:rsid w:val="07BB664B"/>
    <w:rsid w:val="082006F3"/>
    <w:rsid w:val="083C3003"/>
    <w:rsid w:val="08406DEA"/>
    <w:rsid w:val="086871CD"/>
    <w:rsid w:val="086E336F"/>
    <w:rsid w:val="087B43C8"/>
    <w:rsid w:val="08B531C4"/>
    <w:rsid w:val="08B74801"/>
    <w:rsid w:val="08E06F07"/>
    <w:rsid w:val="0903492F"/>
    <w:rsid w:val="090A71E9"/>
    <w:rsid w:val="0916122C"/>
    <w:rsid w:val="094B34E5"/>
    <w:rsid w:val="0950282C"/>
    <w:rsid w:val="097E46B7"/>
    <w:rsid w:val="099D12AF"/>
    <w:rsid w:val="09AD5E3C"/>
    <w:rsid w:val="09B12057"/>
    <w:rsid w:val="09C735AB"/>
    <w:rsid w:val="09D41DD9"/>
    <w:rsid w:val="09FB0360"/>
    <w:rsid w:val="0A312D88"/>
    <w:rsid w:val="0A443EE4"/>
    <w:rsid w:val="0A9C7D1B"/>
    <w:rsid w:val="0ADB0DD6"/>
    <w:rsid w:val="0AF95B2E"/>
    <w:rsid w:val="0AFA3F41"/>
    <w:rsid w:val="0B163B89"/>
    <w:rsid w:val="0B1A6F5A"/>
    <w:rsid w:val="0B311F83"/>
    <w:rsid w:val="0B5934C2"/>
    <w:rsid w:val="0B7023F3"/>
    <w:rsid w:val="0B9665C6"/>
    <w:rsid w:val="0BC2585F"/>
    <w:rsid w:val="0BC4602F"/>
    <w:rsid w:val="0BC50665"/>
    <w:rsid w:val="0BD465DB"/>
    <w:rsid w:val="0C03028C"/>
    <w:rsid w:val="0C3E7A39"/>
    <w:rsid w:val="0C5636E2"/>
    <w:rsid w:val="0C770701"/>
    <w:rsid w:val="0C816B43"/>
    <w:rsid w:val="0CB060DE"/>
    <w:rsid w:val="0CB43D56"/>
    <w:rsid w:val="0CBA47E6"/>
    <w:rsid w:val="0CBF41E0"/>
    <w:rsid w:val="0D001946"/>
    <w:rsid w:val="0D006A41"/>
    <w:rsid w:val="0D1A6DAB"/>
    <w:rsid w:val="0D236286"/>
    <w:rsid w:val="0D4357F1"/>
    <w:rsid w:val="0D4D2D10"/>
    <w:rsid w:val="0D95578C"/>
    <w:rsid w:val="0D98311E"/>
    <w:rsid w:val="0DB92613"/>
    <w:rsid w:val="0DC3449B"/>
    <w:rsid w:val="0DF13383"/>
    <w:rsid w:val="0E1D31AF"/>
    <w:rsid w:val="0E2E5189"/>
    <w:rsid w:val="0E4531F0"/>
    <w:rsid w:val="0E5114F5"/>
    <w:rsid w:val="0E8A703D"/>
    <w:rsid w:val="0EB12B04"/>
    <w:rsid w:val="0EB8284C"/>
    <w:rsid w:val="0EBF4D9D"/>
    <w:rsid w:val="0F37609A"/>
    <w:rsid w:val="0F5E7FAF"/>
    <w:rsid w:val="0F666CCA"/>
    <w:rsid w:val="0F801C32"/>
    <w:rsid w:val="0FC73BE9"/>
    <w:rsid w:val="0FDD010F"/>
    <w:rsid w:val="0FEC00EE"/>
    <w:rsid w:val="0FEE6836"/>
    <w:rsid w:val="0FF55875"/>
    <w:rsid w:val="101A1FFE"/>
    <w:rsid w:val="10574280"/>
    <w:rsid w:val="108A2DF9"/>
    <w:rsid w:val="108C6F6A"/>
    <w:rsid w:val="109218D9"/>
    <w:rsid w:val="10A1515D"/>
    <w:rsid w:val="10AB7642"/>
    <w:rsid w:val="10B637C0"/>
    <w:rsid w:val="10EB474A"/>
    <w:rsid w:val="11170ED8"/>
    <w:rsid w:val="11347157"/>
    <w:rsid w:val="113D6C89"/>
    <w:rsid w:val="11467149"/>
    <w:rsid w:val="114E2AEE"/>
    <w:rsid w:val="115B567E"/>
    <w:rsid w:val="11A823B3"/>
    <w:rsid w:val="11BF6701"/>
    <w:rsid w:val="11C436DA"/>
    <w:rsid w:val="11CC3E60"/>
    <w:rsid w:val="121E0907"/>
    <w:rsid w:val="12417917"/>
    <w:rsid w:val="12423A2C"/>
    <w:rsid w:val="12972A6D"/>
    <w:rsid w:val="12A03046"/>
    <w:rsid w:val="12F16C1F"/>
    <w:rsid w:val="12F50A68"/>
    <w:rsid w:val="137F578F"/>
    <w:rsid w:val="138A5D40"/>
    <w:rsid w:val="13B33EEB"/>
    <w:rsid w:val="13BC12BF"/>
    <w:rsid w:val="13BF768D"/>
    <w:rsid w:val="13CF3AB0"/>
    <w:rsid w:val="14034BB8"/>
    <w:rsid w:val="14236617"/>
    <w:rsid w:val="14405D22"/>
    <w:rsid w:val="1444201F"/>
    <w:rsid w:val="14990D44"/>
    <w:rsid w:val="14A64372"/>
    <w:rsid w:val="14BE5716"/>
    <w:rsid w:val="14C34F24"/>
    <w:rsid w:val="14EB19FB"/>
    <w:rsid w:val="14F670A8"/>
    <w:rsid w:val="151F00E8"/>
    <w:rsid w:val="15227D0F"/>
    <w:rsid w:val="153170A0"/>
    <w:rsid w:val="153C1486"/>
    <w:rsid w:val="1574696E"/>
    <w:rsid w:val="15BD2C4B"/>
    <w:rsid w:val="15C15585"/>
    <w:rsid w:val="15C6474A"/>
    <w:rsid w:val="15D762E2"/>
    <w:rsid w:val="15F46539"/>
    <w:rsid w:val="15F815D5"/>
    <w:rsid w:val="160254E2"/>
    <w:rsid w:val="16326427"/>
    <w:rsid w:val="16433642"/>
    <w:rsid w:val="16441BC9"/>
    <w:rsid w:val="164A3658"/>
    <w:rsid w:val="164E4553"/>
    <w:rsid w:val="16621C8D"/>
    <w:rsid w:val="1665243A"/>
    <w:rsid w:val="16950C3B"/>
    <w:rsid w:val="16A13E1C"/>
    <w:rsid w:val="16E77B3D"/>
    <w:rsid w:val="16F23CD8"/>
    <w:rsid w:val="16FA4E2C"/>
    <w:rsid w:val="171C17FB"/>
    <w:rsid w:val="171D46C2"/>
    <w:rsid w:val="171F74F7"/>
    <w:rsid w:val="17461863"/>
    <w:rsid w:val="17593127"/>
    <w:rsid w:val="17607065"/>
    <w:rsid w:val="17863661"/>
    <w:rsid w:val="17A941B6"/>
    <w:rsid w:val="17B172B6"/>
    <w:rsid w:val="180C7126"/>
    <w:rsid w:val="181C7503"/>
    <w:rsid w:val="18236833"/>
    <w:rsid w:val="18333BE2"/>
    <w:rsid w:val="18664E5B"/>
    <w:rsid w:val="18776039"/>
    <w:rsid w:val="188305B7"/>
    <w:rsid w:val="191C7213"/>
    <w:rsid w:val="19813A83"/>
    <w:rsid w:val="19845EE9"/>
    <w:rsid w:val="199D157A"/>
    <w:rsid w:val="199D5C40"/>
    <w:rsid w:val="19A940E1"/>
    <w:rsid w:val="19BA6784"/>
    <w:rsid w:val="19E80221"/>
    <w:rsid w:val="1A397664"/>
    <w:rsid w:val="1A700B7C"/>
    <w:rsid w:val="1A9C70C5"/>
    <w:rsid w:val="1AB8269D"/>
    <w:rsid w:val="1AE41258"/>
    <w:rsid w:val="1B070751"/>
    <w:rsid w:val="1B090479"/>
    <w:rsid w:val="1B093739"/>
    <w:rsid w:val="1B093B1D"/>
    <w:rsid w:val="1B305F40"/>
    <w:rsid w:val="1B356C3A"/>
    <w:rsid w:val="1B3A401D"/>
    <w:rsid w:val="1B644C78"/>
    <w:rsid w:val="1B7156B8"/>
    <w:rsid w:val="1B757C39"/>
    <w:rsid w:val="1B770817"/>
    <w:rsid w:val="1B7B7487"/>
    <w:rsid w:val="1B7E7F14"/>
    <w:rsid w:val="1BAB04C0"/>
    <w:rsid w:val="1BC04FD1"/>
    <w:rsid w:val="1BD27D58"/>
    <w:rsid w:val="1BE54582"/>
    <w:rsid w:val="1BF84AF8"/>
    <w:rsid w:val="1BFB09A3"/>
    <w:rsid w:val="1C164185"/>
    <w:rsid w:val="1C262354"/>
    <w:rsid w:val="1C4D58A1"/>
    <w:rsid w:val="1C75643E"/>
    <w:rsid w:val="1C93342E"/>
    <w:rsid w:val="1C986933"/>
    <w:rsid w:val="1CBD2679"/>
    <w:rsid w:val="1CC31008"/>
    <w:rsid w:val="1CCC3CBC"/>
    <w:rsid w:val="1CD566D8"/>
    <w:rsid w:val="1CD974FA"/>
    <w:rsid w:val="1CDF3B2A"/>
    <w:rsid w:val="1CE4752C"/>
    <w:rsid w:val="1CE83302"/>
    <w:rsid w:val="1D167EEA"/>
    <w:rsid w:val="1D17252D"/>
    <w:rsid w:val="1D2F2D17"/>
    <w:rsid w:val="1D495FAC"/>
    <w:rsid w:val="1D4C4A30"/>
    <w:rsid w:val="1D503E27"/>
    <w:rsid w:val="1D8D58DE"/>
    <w:rsid w:val="1DB2375B"/>
    <w:rsid w:val="1DC05A19"/>
    <w:rsid w:val="1DF71A39"/>
    <w:rsid w:val="1DFB4A45"/>
    <w:rsid w:val="1DFC6FA3"/>
    <w:rsid w:val="1E005F9D"/>
    <w:rsid w:val="1E096100"/>
    <w:rsid w:val="1E1D673B"/>
    <w:rsid w:val="1E231AEA"/>
    <w:rsid w:val="1E5C7AA3"/>
    <w:rsid w:val="1E6426A0"/>
    <w:rsid w:val="1E8500B7"/>
    <w:rsid w:val="1E8D2FC4"/>
    <w:rsid w:val="1ECA5910"/>
    <w:rsid w:val="1F5E1AA4"/>
    <w:rsid w:val="1F655403"/>
    <w:rsid w:val="1F807C45"/>
    <w:rsid w:val="1F86142A"/>
    <w:rsid w:val="1F8D47B9"/>
    <w:rsid w:val="1F8E2E26"/>
    <w:rsid w:val="1F9E53C0"/>
    <w:rsid w:val="1FAB4F33"/>
    <w:rsid w:val="1FE67D3D"/>
    <w:rsid w:val="1FE80522"/>
    <w:rsid w:val="1FE9475C"/>
    <w:rsid w:val="1FFC7D8E"/>
    <w:rsid w:val="20254C0F"/>
    <w:rsid w:val="2049230F"/>
    <w:rsid w:val="204E5A2F"/>
    <w:rsid w:val="20664963"/>
    <w:rsid w:val="20A9754C"/>
    <w:rsid w:val="20BA111E"/>
    <w:rsid w:val="20C454B5"/>
    <w:rsid w:val="20FE67E9"/>
    <w:rsid w:val="211713ED"/>
    <w:rsid w:val="21241618"/>
    <w:rsid w:val="21460B4D"/>
    <w:rsid w:val="219B7DE7"/>
    <w:rsid w:val="21BA18CA"/>
    <w:rsid w:val="21C4457A"/>
    <w:rsid w:val="21EC3353"/>
    <w:rsid w:val="21F05D61"/>
    <w:rsid w:val="21F3425F"/>
    <w:rsid w:val="22001A09"/>
    <w:rsid w:val="221E50FA"/>
    <w:rsid w:val="222D1D02"/>
    <w:rsid w:val="22625109"/>
    <w:rsid w:val="227B4DAD"/>
    <w:rsid w:val="22B4097F"/>
    <w:rsid w:val="22B64134"/>
    <w:rsid w:val="22D15291"/>
    <w:rsid w:val="22F22FF9"/>
    <w:rsid w:val="23141D1B"/>
    <w:rsid w:val="231470B2"/>
    <w:rsid w:val="231D1EEC"/>
    <w:rsid w:val="23260413"/>
    <w:rsid w:val="23533917"/>
    <w:rsid w:val="236B31BC"/>
    <w:rsid w:val="236D4D88"/>
    <w:rsid w:val="237B3D5E"/>
    <w:rsid w:val="237D3953"/>
    <w:rsid w:val="23856F77"/>
    <w:rsid w:val="239177CA"/>
    <w:rsid w:val="23CB3857"/>
    <w:rsid w:val="23F35D0C"/>
    <w:rsid w:val="23FA7E69"/>
    <w:rsid w:val="244627A5"/>
    <w:rsid w:val="245323A6"/>
    <w:rsid w:val="2460107D"/>
    <w:rsid w:val="24756BA6"/>
    <w:rsid w:val="24B060A4"/>
    <w:rsid w:val="24B43F14"/>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D2DD3"/>
    <w:rsid w:val="26322B7B"/>
    <w:rsid w:val="26361BCE"/>
    <w:rsid w:val="26371462"/>
    <w:rsid w:val="264A53DE"/>
    <w:rsid w:val="26501172"/>
    <w:rsid w:val="265509DB"/>
    <w:rsid w:val="26616E22"/>
    <w:rsid w:val="266B1340"/>
    <w:rsid w:val="267257B3"/>
    <w:rsid w:val="267A636E"/>
    <w:rsid w:val="268D7140"/>
    <w:rsid w:val="269711B9"/>
    <w:rsid w:val="26B26A7B"/>
    <w:rsid w:val="26BD6D0E"/>
    <w:rsid w:val="26D121AE"/>
    <w:rsid w:val="26E873DA"/>
    <w:rsid w:val="270933F2"/>
    <w:rsid w:val="27187560"/>
    <w:rsid w:val="272A0C68"/>
    <w:rsid w:val="27433C4E"/>
    <w:rsid w:val="27665E21"/>
    <w:rsid w:val="27736981"/>
    <w:rsid w:val="277C2603"/>
    <w:rsid w:val="278230B3"/>
    <w:rsid w:val="279961FC"/>
    <w:rsid w:val="27AE44D5"/>
    <w:rsid w:val="27D80610"/>
    <w:rsid w:val="280944AF"/>
    <w:rsid w:val="282646EC"/>
    <w:rsid w:val="282C6E8B"/>
    <w:rsid w:val="28662581"/>
    <w:rsid w:val="28687751"/>
    <w:rsid w:val="286B4291"/>
    <w:rsid w:val="289A528E"/>
    <w:rsid w:val="28A8460E"/>
    <w:rsid w:val="28C24CA3"/>
    <w:rsid w:val="28F63507"/>
    <w:rsid w:val="28FC1E02"/>
    <w:rsid w:val="290E23D9"/>
    <w:rsid w:val="29157609"/>
    <w:rsid w:val="291D6FAC"/>
    <w:rsid w:val="29267D5D"/>
    <w:rsid w:val="292C56FA"/>
    <w:rsid w:val="29311834"/>
    <w:rsid w:val="29347D47"/>
    <w:rsid w:val="29611F8B"/>
    <w:rsid w:val="296C7C2C"/>
    <w:rsid w:val="299F4685"/>
    <w:rsid w:val="29AD67F7"/>
    <w:rsid w:val="29DC62F2"/>
    <w:rsid w:val="2A021B3E"/>
    <w:rsid w:val="2A290BDC"/>
    <w:rsid w:val="2A3E35AD"/>
    <w:rsid w:val="2A4D76CB"/>
    <w:rsid w:val="2A652BD4"/>
    <w:rsid w:val="2A6C420C"/>
    <w:rsid w:val="2A8F0449"/>
    <w:rsid w:val="2AB26607"/>
    <w:rsid w:val="2ACE4FC6"/>
    <w:rsid w:val="2AD94755"/>
    <w:rsid w:val="2AF77367"/>
    <w:rsid w:val="2B0A326E"/>
    <w:rsid w:val="2B411857"/>
    <w:rsid w:val="2B54148E"/>
    <w:rsid w:val="2B5E61B8"/>
    <w:rsid w:val="2B7118BF"/>
    <w:rsid w:val="2B724E22"/>
    <w:rsid w:val="2B8818D0"/>
    <w:rsid w:val="2B8A1EA0"/>
    <w:rsid w:val="2BC5737C"/>
    <w:rsid w:val="2BE13188"/>
    <w:rsid w:val="2BE713FE"/>
    <w:rsid w:val="2C053476"/>
    <w:rsid w:val="2C113654"/>
    <w:rsid w:val="2C1B212D"/>
    <w:rsid w:val="2C3E2C44"/>
    <w:rsid w:val="2C44674C"/>
    <w:rsid w:val="2C491D5B"/>
    <w:rsid w:val="2C874F6F"/>
    <w:rsid w:val="2C920372"/>
    <w:rsid w:val="2CDD2828"/>
    <w:rsid w:val="2D28535E"/>
    <w:rsid w:val="2D735A67"/>
    <w:rsid w:val="2DBA131A"/>
    <w:rsid w:val="2DBA5AC8"/>
    <w:rsid w:val="2DCB735A"/>
    <w:rsid w:val="2DD462C2"/>
    <w:rsid w:val="2DDD2134"/>
    <w:rsid w:val="2DDD4E5F"/>
    <w:rsid w:val="2DE60BE9"/>
    <w:rsid w:val="2E2668E4"/>
    <w:rsid w:val="2E3B5ECD"/>
    <w:rsid w:val="2E451A7C"/>
    <w:rsid w:val="2ED36202"/>
    <w:rsid w:val="2EE13B2F"/>
    <w:rsid w:val="2EE15691"/>
    <w:rsid w:val="2F1F4FB0"/>
    <w:rsid w:val="2F4A5657"/>
    <w:rsid w:val="2F9C2E37"/>
    <w:rsid w:val="2FB000FC"/>
    <w:rsid w:val="2FC93316"/>
    <w:rsid w:val="2FCC5583"/>
    <w:rsid w:val="2FD61001"/>
    <w:rsid w:val="2FD96081"/>
    <w:rsid w:val="300852DE"/>
    <w:rsid w:val="30464020"/>
    <w:rsid w:val="306B512F"/>
    <w:rsid w:val="306D5C41"/>
    <w:rsid w:val="30A83EC2"/>
    <w:rsid w:val="30B80D4C"/>
    <w:rsid w:val="30BD2B5F"/>
    <w:rsid w:val="30F84E6F"/>
    <w:rsid w:val="31127E0D"/>
    <w:rsid w:val="3129025F"/>
    <w:rsid w:val="31320998"/>
    <w:rsid w:val="313474AF"/>
    <w:rsid w:val="31453C7B"/>
    <w:rsid w:val="31487FE6"/>
    <w:rsid w:val="314D312F"/>
    <w:rsid w:val="31615C49"/>
    <w:rsid w:val="316D7D22"/>
    <w:rsid w:val="31843543"/>
    <w:rsid w:val="31857990"/>
    <w:rsid w:val="318B126D"/>
    <w:rsid w:val="31A1157A"/>
    <w:rsid w:val="31C25309"/>
    <w:rsid w:val="31D67B45"/>
    <w:rsid w:val="31E35430"/>
    <w:rsid w:val="3210510A"/>
    <w:rsid w:val="322055D3"/>
    <w:rsid w:val="322C2A8A"/>
    <w:rsid w:val="322E1180"/>
    <w:rsid w:val="324D07E6"/>
    <w:rsid w:val="32757B61"/>
    <w:rsid w:val="32822213"/>
    <w:rsid w:val="328F2B5E"/>
    <w:rsid w:val="32981347"/>
    <w:rsid w:val="329F7A2B"/>
    <w:rsid w:val="3311647A"/>
    <w:rsid w:val="33193A0A"/>
    <w:rsid w:val="3329346A"/>
    <w:rsid w:val="333659DA"/>
    <w:rsid w:val="335553C6"/>
    <w:rsid w:val="3357102E"/>
    <w:rsid w:val="33572FB0"/>
    <w:rsid w:val="33633EB8"/>
    <w:rsid w:val="336D250C"/>
    <w:rsid w:val="33957634"/>
    <w:rsid w:val="33B30672"/>
    <w:rsid w:val="33D579CF"/>
    <w:rsid w:val="33E836FB"/>
    <w:rsid w:val="33F205F7"/>
    <w:rsid w:val="33FF2179"/>
    <w:rsid w:val="345E13BA"/>
    <w:rsid w:val="345E3292"/>
    <w:rsid w:val="34664A0B"/>
    <w:rsid w:val="346E2D0F"/>
    <w:rsid w:val="34AE1E6A"/>
    <w:rsid w:val="350E3B42"/>
    <w:rsid w:val="35125628"/>
    <w:rsid w:val="352100FF"/>
    <w:rsid w:val="352167CF"/>
    <w:rsid w:val="3566212E"/>
    <w:rsid w:val="356B276A"/>
    <w:rsid w:val="358E654C"/>
    <w:rsid w:val="35965B9C"/>
    <w:rsid w:val="359F0A1F"/>
    <w:rsid w:val="35C43240"/>
    <w:rsid w:val="35D42CBE"/>
    <w:rsid w:val="35EE4FFC"/>
    <w:rsid w:val="361B3EDC"/>
    <w:rsid w:val="361F6493"/>
    <w:rsid w:val="365C025C"/>
    <w:rsid w:val="36626692"/>
    <w:rsid w:val="367242E0"/>
    <w:rsid w:val="36897340"/>
    <w:rsid w:val="36D05609"/>
    <w:rsid w:val="36E35E9F"/>
    <w:rsid w:val="36EC24B8"/>
    <w:rsid w:val="36EE4AC4"/>
    <w:rsid w:val="36FF2B34"/>
    <w:rsid w:val="3712448B"/>
    <w:rsid w:val="37A34A15"/>
    <w:rsid w:val="37A52ECC"/>
    <w:rsid w:val="37C64260"/>
    <w:rsid w:val="37E548B0"/>
    <w:rsid w:val="38262FFF"/>
    <w:rsid w:val="38282D9D"/>
    <w:rsid w:val="38473444"/>
    <w:rsid w:val="38496EE5"/>
    <w:rsid w:val="385308AB"/>
    <w:rsid w:val="38854458"/>
    <w:rsid w:val="389A51EB"/>
    <w:rsid w:val="38A22B6B"/>
    <w:rsid w:val="38AA1DD4"/>
    <w:rsid w:val="38BB18EB"/>
    <w:rsid w:val="38D563EE"/>
    <w:rsid w:val="38EA10A6"/>
    <w:rsid w:val="390441CE"/>
    <w:rsid w:val="390B5D7B"/>
    <w:rsid w:val="39166111"/>
    <w:rsid w:val="391E1E7A"/>
    <w:rsid w:val="39255B75"/>
    <w:rsid w:val="395370EE"/>
    <w:rsid w:val="39545D8E"/>
    <w:rsid w:val="3985179C"/>
    <w:rsid w:val="39916AF0"/>
    <w:rsid w:val="39BF1CE5"/>
    <w:rsid w:val="3A0B1954"/>
    <w:rsid w:val="3A106036"/>
    <w:rsid w:val="3A151FA0"/>
    <w:rsid w:val="3A2B232A"/>
    <w:rsid w:val="3A716DDB"/>
    <w:rsid w:val="3A793A8F"/>
    <w:rsid w:val="3AA77FB9"/>
    <w:rsid w:val="3ABF2507"/>
    <w:rsid w:val="3AC32E01"/>
    <w:rsid w:val="3AC9498B"/>
    <w:rsid w:val="3B256DAF"/>
    <w:rsid w:val="3B533D48"/>
    <w:rsid w:val="3B5A1A2F"/>
    <w:rsid w:val="3B5B5758"/>
    <w:rsid w:val="3B8D3791"/>
    <w:rsid w:val="3BA27B10"/>
    <w:rsid w:val="3BA92E72"/>
    <w:rsid w:val="3BAA04FF"/>
    <w:rsid w:val="3BAD1686"/>
    <w:rsid w:val="3BAF6081"/>
    <w:rsid w:val="3BBD016F"/>
    <w:rsid w:val="3BE0479C"/>
    <w:rsid w:val="3BEE3761"/>
    <w:rsid w:val="3C0E5061"/>
    <w:rsid w:val="3C9A335A"/>
    <w:rsid w:val="3CBB635D"/>
    <w:rsid w:val="3CC05722"/>
    <w:rsid w:val="3CDC396E"/>
    <w:rsid w:val="3CF248ED"/>
    <w:rsid w:val="3D0D4A0D"/>
    <w:rsid w:val="3D261A6D"/>
    <w:rsid w:val="3D312940"/>
    <w:rsid w:val="3D34266C"/>
    <w:rsid w:val="3D681D5A"/>
    <w:rsid w:val="3D6A1C0B"/>
    <w:rsid w:val="3D8D6ED1"/>
    <w:rsid w:val="3D8F3E21"/>
    <w:rsid w:val="3D901E47"/>
    <w:rsid w:val="3DC31ADA"/>
    <w:rsid w:val="3DFD7731"/>
    <w:rsid w:val="3E0C733A"/>
    <w:rsid w:val="3E874902"/>
    <w:rsid w:val="3E921361"/>
    <w:rsid w:val="3EB06A0E"/>
    <w:rsid w:val="3EB31640"/>
    <w:rsid w:val="3EB54AE2"/>
    <w:rsid w:val="3EB92D62"/>
    <w:rsid w:val="3EF16D0C"/>
    <w:rsid w:val="3F15023A"/>
    <w:rsid w:val="3F2476CE"/>
    <w:rsid w:val="3F273217"/>
    <w:rsid w:val="3F2A77CA"/>
    <w:rsid w:val="3F5C67E0"/>
    <w:rsid w:val="3F6046C3"/>
    <w:rsid w:val="3F816C8A"/>
    <w:rsid w:val="3FA93691"/>
    <w:rsid w:val="3FC568AC"/>
    <w:rsid w:val="3FD0385B"/>
    <w:rsid w:val="3FDB3D77"/>
    <w:rsid w:val="3FE6347C"/>
    <w:rsid w:val="402F6781"/>
    <w:rsid w:val="40394958"/>
    <w:rsid w:val="403A1C8F"/>
    <w:rsid w:val="404D5299"/>
    <w:rsid w:val="404E76D3"/>
    <w:rsid w:val="408560B2"/>
    <w:rsid w:val="408F3C3B"/>
    <w:rsid w:val="40AD0BEA"/>
    <w:rsid w:val="40B45FA1"/>
    <w:rsid w:val="40C50789"/>
    <w:rsid w:val="40E2404A"/>
    <w:rsid w:val="40F40090"/>
    <w:rsid w:val="40F57964"/>
    <w:rsid w:val="40FA0619"/>
    <w:rsid w:val="41141D46"/>
    <w:rsid w:val="41262582"/>
    <w:rsid w:val="41277321"/>
    <w:rsid w:val="415C5513"/>
    <w:rsid w:val="41661CEC"/>
    <w:rsid w:val="417304D2"/>
    <w:rsid w:val="41B67760"/>
    <w:rsid w:val="4200486D"/>
    <w:rsid w:val="42084854"/>
    <w:rsid w:val="420A4AA8"/>
    <w:rsid w:val="423C231C"/>
    <w:rsid w:val="424E5D3B"/>
    <w:rsid w:val="42894103"/>
    <w:rsid w:val="42DA35EB"/>
    <w:rsid w:val="42DC1373"/>
    <w:rsid w:val="42EB5F3F"/>
    <w:rsid w:val="433B4FAD"/>
    <w:rsid w:val="43494E83"/>
    <w:rsid w:val="434A1ED7"/>
    <w:rsid w:val="434B5F61"/>
    <w:rsid w:val="439452CD"/>
    <w:rsid w:val="43987C3E"/>
    <w:rsid w:val="43DF168F"/>
    <w:rsid w:val="43DF3270"/>
    <w:rsid w:val="43F70347"/>
    <w:rsid w:val="44151500"/>
    <w:rsid w:val="44225771"/>
    <w:rsid w:val="442E2C0A"/>
    <w:rsid w:val="443415E8"/>
    <w:rsid w:val="44471AAC"/>
    <w:rsid w:val="4491321B"/>
    <w:rsid w:val="449A2A3E"/>
    <w:rsid w:val="44B86F81"/>
    <w:rsid w:val="44C0114A"/>
    <w:rsid w:val="44CA2639"/>
    <w:rsid w:val="44D50E68"/>
    <w:rsid w:val="44E25F72"/>
    <w:rsid w:val="44E32866"/>
    <w:rsid w:val="44EB189F"/>
    <w:rsid w:val="44FD7B3F"/>
    <w:rsid w:val="451136F6"/>
    <w:rsid w:val="45127E77"/>
    <w:rsid w:val="451417BD"/>
    <w:rsid w:val="45355F69"/>
    <w:rsid w:val="45387544"/>
    <w:rsid w:val="453975C8"/>
    <w:rsid w:val="453B0148"/>
    <w:rsid w:val="453B36EE"/>
    <w:rsid w:val="45681A93"/>
    <w:rsid w:val="459020E6"/>
    <w:rsid w:val="45EB5B41"/>
    <w:rsid w:val="45FC5122"/>
    <w:rsid w:val="4608625E"/>
    <w:rsid w:val="460B09E3"/>
    <w:rsid w:val="460E37F4"/>
    <w:rsid w:val="462E28FA"/>
    <w:rsid w:val="463D21F4"/>
    <w:rsid w:val="46E66176"/>
    <w:rsid w:val="46F618BC"/>
    <w:rsid w:val="47172FCE"/>
    <w:rsid w:val="472D20DA"/>
    <w:rsid w:val="47322751"/>
    <w:rsid w:val="473E0204"/>
    <w:rsid w:val="473E1081"/>
    <w:rsid w:val="475075B1"/>
    <w:rsid w:val="477301BF"/>
    <w:rsid w:val="47770F2B"/>
    <w:rsid w:val="47D9109A"/>
    <w:rsid w:val="47DF1EDE"/>
    <w:rsid w:val="47E32A44"/>
    <w:rsid w:val="47ED6A7E"/>
    <w:rsid w:val="48001EB1"/>
    <w:rsid w:val="485F067A"/>
    <w:rsid w:val="48A46FB5"/>
    <w:rsid w:val="48C63978"/>
    <w:rsid w:val="48D931CF"/>
    <w:rsid w:val="48DB1A95"/>
    <w:rsid w:val="49095468"/>
    <w:rsid w:val="492B4F94"/>
    <w:rsid w:val="492E6967"/>
    <w:rsid w:val="496F0653"/>
    <w:rsid w:val="49867716"/>
    <w:rsid w:val="49A25D9E"/>
    <w:rsid w:val="49A96B07"/>
    <w:rsid w:val="49C51CAF"/>
    <w:rsid w:val="49F53957"/>
    <w:rsid w:val="4A2057D5"/>
    <w:rsid w:val="4A2A06C4"/>
    <w:rsid w:val="4A6819DC"/>
    <w:rsid w:val="4A8A479E"/>
    <w:rsid w:val="4A8F0E29"/>
    <w:rsid w:val="4A902D26"/>
    <w:rsid w:val="4AC17322"/>
    <w:rsid w:val="4AEB7F8C"/>
    <w:rsid w:val="4B1506E1"/>
    <w:rsid w:val="4B182BCD"/>
    <w:rsid w:val="4B2E3F72"/>
    <w:rsid w:val="4B341A2A"/>
    <w:rsid w:val="4B375FBE"/>
    <w:rsid w:val="4B3B7B1E"/>
    <w:rsid w:val="4B414BEA"/>
    <w:rsid w:val="4B587F93"/>
    <w:rsid w:val="4B7103C2"/>
    <w:rsid w:val="4B812B8E"/>
    <w:rsid w:val="4B85737C"/>
    <w:rsid w:val="4B9F74CF"/>
    <w:rsid w:val="4BB07FA2"/>
    <w:rsid w:val="4BED1616"/>
    <w:rsid w:val="4C073223"/>
    <w:rsid w:val="4C1A464A"/>
    <w:rsid w:val="4C274913"/>
    <w:rsid w:val="4CA14D01"/>
    <w:rsid w:val="4CAC3D23"/>
    <w:rsid w:val="4CBB0999"/>
    <w:rsid w:val="4CCF792C"/>
    <w:rsid w:val="4CED7708"/>
    <w:rsid w:val="4CFB7F38"/>
    <w:rsid w:val="4CFE7AD0"/>
    <w:rsid w:val="4D033455"/>
    <w:rsid w:val="4D10719D"/>
    <w:rsid w:val="4D2211D8"/>
    <w:rsid w:val="4D583F97"/>
    <w:rsid w:val="4D9D79DA"/>
    <w:rsid w:val="4DC002E1"/>
    <w:rsid w:val="4DC07059"/>
    <w:rsid w:val="4DD44A19"/>
    <w:rsid w:val="4DE75FC1"/>
    <w:rsid w:val="4E6E58E7"/>
    <w:rsid w:val="4EA551CE"/>
    <w:rsid w:val="4EA57992"/>
    <w:rsid w:val="4EC86811"/>
    <w:rsid w:val="4F112BD8"/>
    <w:rsid w:val="4F2359D6"/>
    <w:rsid w:val="4F27534F"/>
    <w:rsid w:val="4F3A6B04"/>
    <w:rsid w:val="4F6621C1"/>
    <w:rsid w:val="4F69181E"/>
    <w:rsid w:val="4F9A2167"/>
    <w:rsid w:val="4FD0029E"/>
    <w:rsid w:val="50596932"/>
    <w:rsid w:val="505E71AE"/>
    <w:rsid w:val="50833C49"/>
    <w:rsid w:val="50880633"/>
    <w:rsid w:val="508F5958"/>
    <w:rsid w:val="50A32944"/>
    <w:rsid w:val="50DD469C"/>
    <w:rsid w:val="50E41AF7"/>
    <w:rsid w:val="50EC3EA9"/>
    <w:rsid w:val="50ED0E10"/>
    <w:rsid w:val="513B0119"/>
    <w:rsid w:val="513C7D41"/>
    <w:rsid w:val="515A0C65"/>
    <w:rsid w:val="515E27BB"/>
    <w:rsid w:val="51A45F6D"/>
    <w:rsid w:val="51B16972"/>
    <w:rsid w:val="51B907B6"/>
    <w:rsid w:val="51DF0CDF"/>
    <w:rsid w:val="51E30B98"/>
    <w:rsid w:val="51E97071"/>
    <w:rsid w:val="51FD61FC"/>
    <w:rsid w:val="52120376"/>
    <w:rsid w:val="52203D61"/>
    <w:rsid w:val="52386D39"/>
    <w:rsid w:val="523C3645"/>
    <w:rsid w:val="5242431B"/>
    <w:rsid w:val="524877D4"/>
    <w:rsid w:val="524F0DF4"/>
    <w:rsid w:val="52A00B52"/>
    <w:rsid w:val="52A651A9"/>
    <w:rsid w:val="52CB4CC5"/>
    <w:rsid w:val="52D0584F"/>
    <w:rsid w:val="52E23DAC"/>
    <w:rsid w:val="52EB770C"/>
    <w:rsid w:val="52F6441F"/>
    <w:rsid w:val="5309719A"/>
    <w:rsid w:val="53140C09"/>
    <w:rsid w:val="531E1115"/>
    <w:rsid w:val="53311A2E"/>
    <w:rsid w:val="5366484D"/>
    <w:rsid w:val="53731EF1"/>
    <w:rsid w:val="53733493"/>
    <w:rsid w:val="53912B90"/>
    <w:rsid w:val="53AC07DC"/>
    <w:rsid w:val="53C41B44"/>
    <w:rsid w:val="53F969C4"/>
    <w:rsid w:val="5404740A"/>
    <w:rsid w:val="54050B1A"/>
    <w:rsid w:val="542362A5"/>
    <w:rsid w:val="54280325"/>
    <w:rsid w:val="546D41B1"/>
    <w:rsid w:val="547701CD"/>
    <w:rsid w:val="549501D8"/>
    <w:rsid w:val="54A65B3A"/>
    <w:rsid w:val="54CD01EC"/>
    <w:rsid w:val="54F558F9"/>
    <w:rsid w:val="54FA6EB3"/>
    <w:rsid w:val="550348EE"/>
    <w:rsid w:val="550E3200"/>
    <w:rsid w:val="55135050"/>
    <w:rsid w:val="551E35E3"/>
    <w:rsid w:val="5520072C"/>
    <w:rsid w:val="55373ACE"/>
    <w:rsid w:val="5552212C"/>
    <w:rsid w:val="556A2277"/>
    <w:rsid w:val="556F068E"/>
    <w:rsid w:val="558D4430"/>
    <w:rsid w:val="559427CA"/>
    <w:rsid w:val="55C8191C"/>
    <w:rsid w:val="55C8432B"/>
    <w:rsid w:val="55D33DE7"/>
    <w:rsid w:val="56223544"/>
    <w:rsid w:val="562B0309"/>
    <w:rsid w:val="56320F1A"/>
    <w:rsid w:val="564D41A9"/>
    <w:rsid w:val="565E4274"/>
    <w:rsid w:val="5666031A"/>
    <w:rsid w:val="566A27F8"/>
    <w:rsid w:val="56803FF0"/>
    <w:rsid w:val="568F750C"/>
    <w:rsid w:val="569014CB"/>
    <w:rsid w:val="56925ED7"/>
    <w:rsid w:val="56B55995"/>
    <w:rsid w:val="56C91168"/>
    <w:rsid w:val="56E15BAE"/>
    <w:rsid w:val="56FA0DF2"/>
    <w:rsid w:val="56FF0F11"/>
    <w:rsid w:val="5714339A"/>
    <w:rsid w:val="5717042A"/>
    <w:rsid w:val="571A1A7B"/>
    <w:rsid w:val="572E4DA3"/>
    <w:rsid w:val="572E781C"/>
    <w:rsid w:val="575952E3"/>
    <w:rsid w:val="57842375"/>
    <w:rsid w:val="57866CAC"/>
    <w:rsid w:val="579B36BD"/>
    <w:rsid w:val="57B2220D"/>
    <w:rsid w:val="57C76DE6"/>
    <w:rsid w:val="57D165DD"/>
    <w:rsid w:val="57D80574"/>
    <w:rsid w:val="580A0E63"/>
    <w:rsid w:val="580E3A4B"/>
    <w:rsid w:val="5814779C"/>
    <w:rsid w:val="584357AA"/>
    <w:rsid w:val="58764BA4"/>
    <w:rsid w:val="588221AB"/>
    <w:rsid w:val="58870496"/>
    <w:rsid w:val="588A1876"/>
    <w:rsid w:val="588D71B2"/>
    <w:rsid w:val="58AC68EF"/>
    <w:rsid w:val="58B77F1B"/>
    <w:rsid w:val="58BE53CF"/>
    <w:rsid w:val="58C007C6"/>
    <w:rsid w:val="58C41915"/>
    <w:rsid w:val="58E407EA"/>
    <w:rsid w:val="590649AC"/>
    <w:rsid w:val="591B616B"/>
    <w:rsid w:val="591F0B0B"/>
    <w:rsid w:val="592D1F6B"/>
    <w:rsid w:val="59304CE8"/>
    <w:rsid w:val="59370159"/>
    <w:rsid w:val="59532C2C"/>
    <w:rsid w:val="5981656F"/>
    <w:rsid w:val="59A06B52"/>
    <w:rsid w:val="59A26243"/>
    <w:rsid w:val="59C76055"/>
    <w:rsid w:val="59E75FD1"/>
    <w:rsid w:val="5A065F4B"/>
    <w:rsid w:val="5A0B1C28"/>
    <w:rsid w:val="5A2255E6"/>
    <w:rsid w:val="5A420AE5"/>
    <w:rsid w:val="5A5C07B7"/>
    <w:rsid w:val="5A6617B0"/>
    <w:rsid w:val="5A851E01"/>
    <w:rsid w:val="5AA15ABA"/>
    <w:rsid w:val="5AB06C76"/>
    <w:rsid w:val="5AF63E2E"/>
    <w:rsid w:val="5B1128EC"/>
    <w:rsid w:val="5B29025F"/>
    <w:rsid w:val="5B3143F9"/>
    <w:rsid w:val="5B503CBD"/>
    <w:rsid w:val="5B50627E"/>
    <w:rsid w:val="5BF21181"/>
    <w:rsid w:val="5BFA46DF"/>
    <w:rsid w:val="5BFD0432"/>
    <w:rsid w:val="5C1974E5"/>
    <w:rsid w:val="5C1C7E80"/>
    <w:rsid w:val="5C4828EE"/>
    <w:rsid w:val="5CA72002"/>
    <w:rsid w:val="5CBD3C20"/>
    <w:rsid w:val="5CE075FF"/>
    <w:rsid w:val="5CE9518C"/>
    <w:rsid w:val="5D0462C8"/>
    <w:rsid w:val="5D2166D8"/>
    <w:rsid w:val="5D272680"/>
    <w:rsid w:val="5D45468E"/>
    <w:rsid w:val="5D6B04DF"/>
    <w:rsid w:val="5D9B1497"/>
    <w:rsid w:val="5DDC51F6"/>
    <w:rsid w:val="5DE3422A"/>
    <w:rsid w:val="5DFC1EDA"/>
    <w:rsid w:val="5E05130E"/>
    <w:rsid w:val="5E135B29"/>
    <w:rsid w:val="5E466F37"/>
    <w:rsid w:val="5E6A0CC2"/>
    <w:rsid w:val="5E845B3F"/>
    <w:rsid w:val="5E8B0A3E"/>
    <w:rsid w:val="5E8D1899"/>
    <w:rsid w:val="5ED063E1"/>
    <w:rsid w:val="5EF4213A"/>
    <w:rsid w:val="5EF778DD"/>
    <w:rsid w:val="5F012051"/>
    <w:rsid w:val="5F151A68"/>
    <w:rsid w:val="5F1E594E"/>
    <w:rsid w:val="5F2306D2"/>
    <w:rsid w:val="5F364291"/>
    <w:rsid w:val="5F720D05"/>
    <w:rsid w:val="5F925B0E"/>
    <w:rsid w:val="5FB038A7"/>
    <w:rsid w:val="5FBB2542"/>
    <w:rsid w:val="5FFB489D"/>
    <w:rsid w:val="6014637F"/>
    <w:rsid w:val="60304923"/>
    <w:rsid w:val="60340051"/>
    <w:rsid w:val="60350C06"/>
    <w:rsid w:val="603B74D8"/>
    <w:rsid w:val="60687CAA"/>
    <w:rsid w:val="6074197E"/>
    <w:rsid w:val="60A7279D"/>
    <w:rsid w:val="60C625CB"/>
    <w:rsid w:val="60C71D15"/>
    <w:rsid w:val="61036CD9"/>
    <w:rsid w:val="61097F16"/>
    <w:rsid w:val="612451AE"/>
    <w:rsid w:val="613E3C59"/>
    <w:rsid w:val="61717233"/>
    <w:rsid w:val="61734481"/>
    <w:rsid w:val="61842912"/>
    <w:rsid w:val="619513BF"/>
    <w:rsid w:val="61A55E2E"/>
    <w:rsid w:val="61B90EE2"/>
    <w:rsid w:val="61C34C9F"/>
    <w:rsid w:val="61CF1FDD"/>
    <w:rsid w:val="61FA205F"/>
    <w:rsid w:val="620D15FF"/>
    <w:rsid w:val="624F2F20"/>
    <w:rsid w:val="626C2C39"/>
    <w:rsid w:val="627A61C5"/>
    <w:rsid w:val="62841CE0"/>
    <w:rsid w:val="629E5C56"/>
    <w:rsid w:val="62B524F7"/>
    <w:rsid w:val="62E513AE"/>
    <w:rsid w:val="62EF4D57"/>
    <w:rsid w:val="62F1602A"/>
    <w:rsid w:val="63203A10"/>
    <w:rsid w:val="6321699F"/>
    <w:rsid w:val="63360CF0"/>
    <w:rsid w:val="63554E4D"/>
    <w:rsid w:val="63652DBD"/>
    <w:rsid w:val="63687E84"/>
    <w:rsid w:val="637257E9"/>
    <w:rsid w:val="63951967"/>
    <w:rsid w:val="63B50F8C"/>
    <w:rsid w:val="640E61DB"/>
    <w:rsid w:val="641206A9"/>
    <w:rsid w:val="64545838"/>
    <w:rsid w:val="645F02B5"/>
    <w:rsid w:val="64681B01"/>
    <w:rsid w:val="64867FEE"/>
    <w:rsid w:val="649007B3"/>
    <w:rsid w:val="64AE06FA"/>
    <w:rsid w:val="64D401A5"/>
    <w:rsid w:val="65024685"/>
    <w:rsid w:val="652A7FEB"/>
    <w:rsid w:val="652B00E3"/>
    <w:rsid w:val="65535A5A"/>
    <w:rsid w:val="65781972"/>
    <w:rsid w:val="659D0DEE"/>
    <w:rsid w:val="65A6262A"/>
    <w:rsid w:val="65D219C2"/>
    <w:rsid w:val="65D21E1C"/>
    <w:rsid w:val="65DA54B3"/>
    <w:rsid w:val="65FB4D18"/>
    <w:rsid w:val="660A7073"/>
    <w:rsid w:val="660E3C9E"/>
    <w:rsid w:val="66164CE6"/>
    <w:rsid w:val="66425F55"/>
    <w:rsid w:val="664E5D65"/>
    <w:rsid w:val="665C5C0C"/>
    <w:rsid w:val="66706827"/>
    <w:rsid w:val="66BF254A"/>
    <w:rsid w:val="66E3632D"/>
    <w:rsid w:val="66EE49DE"/>
    <w:rsid w:val="676F09D5"/>
    <w:rsid w:val="67790849"/>
    <w:rsid w:val="67AA7DCF"/>
    <w:rsid w:val="67B34464"/>
    <w:rsid w:val="67BD22B9"/>
    <w:rsid w:val="67D6379C"/>
    <w:rsid w:val="67FE1162"/>
    <w:rsid w:val="681B0E12"/>
    <w:rsid w:val="685823EC"/>
    <w:rsid w:val="688F28E2"/>
    <w:rsid w:val="68A11DD7"/>
    <w:rsid w:val="68A51FB8"/>
    <w:rsid w:val="68DB53E7"/>
    <w:rsid w:val="68EA3016"/>
    <w:rsid w:val="68EB7ABC"/>
    <w:rsid w:val="69062705"/>
    <w:rsid w:val="691B0B6B"/>
    <w:rsid w:val="69782CD3"/>
    <w:rsid w:val="697F5EFC"/>
    <w:rsid w:val="698A7439"/>
    <w:rsid w:val="69936875"/>
    <w:rsid w:val="69964E32"/>
    <w:rsid w:val="69AE114D"/>
    <w:rsid w:val="69DC7E67"/>
    <w:rsid w:val="69E80350"/>
    <w:rsid w:val="69EF047B"/>
    <w:rsid w:val="6A1D56B2"/>
    <w:rsid w:val="6A2B6FC3"/>
    <w:rsid w:val="6A3A339B"/>
    <w:rsid w:val="6A3A5E65"/>
    <w:rsid w:val="6A6F1A86"/>
    <w:rsid w:val="6A6F1C4C"/>
    <w:rsid w:val="6A7202DC"/>
    <w:rsid w:val="6AA47249"/>
    <w:rsid w:val="6AA74E35"/>
    <w:rsid w:val="6AC6225B"/>
    <w:rsid w:val="6B1B0851"/>
    <w:rsid w:val="6B505BBB"/>
    <w:rsid w:val="6B6333A7"/>
    <w:rsid w:val="6BCA5C39"/>
    <w:rsid w:val="6BE27CF9"/>
    <w:rsid w:val="6C2D1409"/>
    <w:rsid w:val="6C2D7D63"/>
    <w:rsid w:val="6C3206C8"/>
    <w:rsid w:val="6C357AB5"/>
    <w:rsid w:val="6C3628E8"/>
    <w:rsid w:val="6C3934B6"/>
    <w:rsid w:val="6C615C61"/>
    <w:rsid w:val="6C6367AC"/>
    <w:rsid w:val="6C80536B"/>
    <w:rsid w:val="6C862345"/>
    <w:rsid w:val="6C8B724B"/>
    <w:rsid w:val="6C9048E4"/>
    <w:rsid w:val="6C9E2A18"/>
    <w:rsid w:val="6CA35456"/>
    <w:rsid w:val="6CB017D7"/>
    <w:rsid w:val="6CBC68B9"/>
    <w:rsid w:val="6CD66EDA"/>
    <w:rsid w:val="6D146CD3"/>
    <w:rsid w:val="6D1566D6"/>
    <w:rsid w:val="6D165C6D"/>
    <w:rsid w:val="6D1C589C"/>
    <w:rsid w:val="6D5502AA"/>
    <w:rsid w:val="6D5533B5"/>
    <w:rsid w:val="6D9923DD"/>
    <w:rsid w:val="6DA31776"/>
    <w:rsid w:val="6DA45FD5"/>
    <w:rsid w:val="6DA65016"/>
    <w:rsid w:val="6DCB15BA"/>
    <w:rsid w:val="6DEF5697"/>
    <w:rsid w:val="6E290AC9"/>
    <w:rsid w:val="6E2E4332"/>
    <w:rsid w:val="6E366026"/>
    <w:rsid w:val="6E3C157B"/>
    <w:rsid w:val="6E4628B1"/>
    <w:rsid w:val="6E6903A5"/>
    <w:rsid w:val="6E9905B2"/>
    <w:rsid w:val="6EB87125"/>
    <w:rsid w:val="6EBB6069"/>
    <w:rsid w:val="6EC11D71"/>
    <w:rsid w:val="6EC647CC"/>
    <w:rsid w:val="6EEB4982"/>
    <w:rsid w:val="6F1222C5"/>
    <w:rsid w:val="6F161214"/>
    <w:rsid w:val="6F317DD0"/>
    <w:rsid w:val="6F322D6E"/>
    <w:rsid w:val="6F3A0D2D"/>
    <w:rsid w:val="6F563706"/>
    <w:rsid w:val="6F710F7D"/>
    <w:rsid w:val="6F757BA3"/>
    <w:rsid w:val="6F794E16"/>
    <w:rsid w:val="6F7D7056"/>
    <w:rsid w:val="6F8E0F7C"/>
    <w:rsid w:val="6FA4799D"/>
    <w:rsid w:val="6FAF019B"/>
    <w:rsid w:val="6FB202FC"/>
    <w:rsid w:val="6FBA5851"/>
    <w:rsid w:val="6FD431BC"/>
    <w:rsid w:val="6FD64D8A"/>
    <w:rsid w:val="709649ED"/>
    <w:rsid w:val="70A84AD3"/>
    <w:rsid w:val="70AE3508"/>
    <w:rsid w:val="70B351A6"/>
    <w:rsid w:val="70BF773C"/>
    <w:rsid w:val="70C41831"/>
    <w:rsid w:val="70D23028"/>
    <w:rsid w:val="70DF444F"/>
    <w:rsid w:val="70E94F37"/>
    <w:rsid w:val="7117334E"/>
    <w:rsid w:val="711F7F62"/>
    <w:rsid w:val="712719C8"/>
    <w:rsid w:val="71336359"/>
    <w:rsid w:val="713A344D"/>
    <w:rsid w:val="71492755"/>
    <w:rsid w:val="714B63FF"/>
    <w:rsid w:val="717A4EBB"/>
    <w:rsid w:val="71844269"/>
    <w:rsid w:val="71A121E2"/>
    <w:rsid w:val="71AA47BF"/>
    <w:rsid w:val="71CD5454"/>
    <w:rsid w:val="71D5629F"/>
    <w:rsid w:val="71EB57C6"/>
    <w:rsid w:val="71F46524"/>
    <w:rsid w:val="71FB06B4"/>
    <w:rsid w:val="720D5D43"/>
    <w:rsid w:val="72112D0B"/>
    <w:rsid w:val="72144DE3"/>
    <w:rsid w:val="72196118"/>
    <w:rsid w:val="723C3D7F"/>
    <w:rsid w:val="72736E18"/>
    <w:rsid w:val="728D1118"/>
    <w:rsid w:val="72B03A9F"/>
    <w:rsid w:val="72B25F6B"/>
    <w:rsid w:val="72B81190"/>
    <w:rsid w:val="72EF7206"/>
    <w:rsid w:val="73032A0D"/>
    <w:rsid w:val="731F3B82"/>
    <w:rsid w:val="734D21A1"/>
    <w:rsid w:val="73836ECE"/>
    <w:rsid w:val="73C67500"/>
    <w:rsid w:val="73C864B5"/>
    <w:rsid w:val="73DE7E71"/>
    <w:rsid w:val="744228E5"/>
    <w:rsid w:val="744D411F"/>
    <w:rsid w:val="745C2CF4"/>
    <w:rsid w:val="74641182"/>
    <w:rsid w:val="74744A68"/>
    <w:rsid w:val="749D4770"/>
    <w:rsid w:val="74A622B2"/>
    <w:rsid w:val="74B50C75"/>
    <w:rsid w:val="74BC3B37"/>
    <w:rsid w:val="74D43FCD"/>
    <w:rsid w:val="74D736BD"/>
    <w:rsid w:val="74E403D4"/>
    <w:rsid w:val="74EA6DE6"/>
    <w:rsid w:val="74FC6F38"/>
    <w:rsid w:val="74FE3413"/>
    <w:rsid w:val="751029AE"/>
    <w:rsid w:val="751111C4"/>
    <w:rsid w:val="753649D0"/>
    <w:rsid w:val="756A1040"/>
    <w:rsid w:val="75921044"/>
    <w:rsid w:val="75970512"/>
    <w:rsid w:val="759944E1"/>
    <w:rsid w:val="759B5199"/>
    <w:rsid w:val="76055490"/>
    <w:rsid w:val="761A6BC1"/>
    <w:rsid w:val="763E74B8"/>
    <w:rsid w:val="765C476B"/>
    <w:rsid w:val="765D6FD0"/>
    <w:rsid w:val="76764904"/>
    <w:rsid w:val="76952171"/>
    <w:rsid w:val="76BA690C"/>
    <w:rsid w:val="76EF17B7"/>
    <w:rsid w:val="76F275B7"/>
    <w:rsid w:val="77057570"/>
    <w:rsid w:val="773118FC"/>
    <w:rsid w:val="77313A2D"/>
    <w:rsid w:val="774A6DC8"/>
    <w:rsid w:val="77503EB2"/>
    <w:rsid w:val="77752D13"/>
    <w:rsid w:val="77953B9B"/>
    <w:rsid w:val="77CD4DD9"/>
    <w:rsid w:val="77F2017E"/>
    <w:rsid w:val="77FA423A"/>
    <w:rsid w:val="78005019"/>
    <w:rsid w:val="78092CC0"/>
    <w:rsid w:val="780C2435"/>
    <w:rsid w:val="782A0B51"/>
    <w:rsid w:val="78353363"/>
    <w:rsid w:val="783A31FE"/>
    <w:rsid w:val="78486CF0"/>
    <w:rsid w:val="78534919"/>
    <w:rsid w:val="785663DA"/>
    <w:rsid w:val="78584462"/>
    <w:rsid w:val="7895462E"/>
    <w:rsid w:val="78D631FC"/>
    <w:rsid w:val="78FC2FBF"/>
    <w:rsid w:val="78FD5501"/>
    <w:rsid w:val="791467F0"/>
    <w:rsid w:val="79430114"/>
    <w:rsid w:val="79430A37"/>
    <w:rsid w:val="795E7C16"/>
    <w:rsid w:val="795F01E3"/>
    <w:rsid w:val="79AD6C40"/>
    <w:rsid w:val="79B10333"/>
    <w:rsid w:val="79C95ADF"/>
    <w:rsid w:val="79EF0BCC"/>
    <w:rsid w:val="79FF02D1"/>
    <w:rsid w:val="7A0612C2"/>
    <w:rsid w:val="7A1833CE"/>
    <w:rsid w:val="7A1F3257"/>
    <w:rsid w:val="7A3C1967"/>
    <w:rsid w:val="7A60132A"/>
    <w:rsid w:val="7A6E2CF1"/>
    <w:rsid w:val="7A817696"/>
    <w:rsid w:val="7AA05017"/>
    <w:rsid w:val="7AA86BBE"/>
    <w:rsid w:val="7AC94AC1"/>
    <w:rsid w:val="7AC977F9"/>
    <w:rsid w:val="7AE11572"/>
    <w:rsid w:val="7AE31524"/>
    <w:rsid w:val="7AE70BEB"/>
    <w:rsid w:val="7B057C25"/>
    <w:rsid w:val="7B1A3C93"/>
    <w:rsid w:val="7B4C6C66"/>
    <w:rsid w:val="7B5C332E"/>
    <w:rsid w:val="7B904C22"/>
    <w:rsid w:val="7B9E18EF"/>
    <w:rsid w:val="7BB9672E"/>
    <w:rsid w:val="7C0968F5"/>
    <w:rsid w:val="7C1235AA"/>
    <w:rsid w:val="7C160893"/>
    <w:rsid w:val="7C5622FF"/>
    <w:rsid w:val="7C571497"/>
    <w:rsid w:val="7C914409"/>
    <w:rsid w:val="7CB95588"/>
    <w:rsid w:val="7CBA56FF"/>
    <w:rsid w:val="7CE64D15"/>
    <w:rsid w:val="7CF732D1"/>
    <w:rsid w:val="7D131D7B"/>
    <w:rsid w:val="7D1E10B2"/>
    <w:rsid w:val="7D1E1A15"/>
    <w:rsid w:val="7D3D5EFF"/>
    <w:rsid w:val="7D435739"/>
    <w:rsid w:val="7D93221A"/>
    <w:rsid w:val="7DA977AA"/>
    <w:rsid w:val="7DAC0454"/>
    <w:rsid w:val="7DED2A89"/>
    <w:rsid w:val="7DFA3D48"/>
    <w:rsid w:val="7E980733"/>
    <w:rsid w:val="7E9B4DC3"/>
    <w:rsid w:val="7EC57197"/>
    <w:rsid w:val="7EFB4248"/>
    <w:rsid w:val="7EFD7DC7"/>
    <w:rsid w:val="7F274E2A"/>
    <w:rsid w:val="7F2C2F55"/>
    <w:rsid w:val="7F45439F"/>
    <w:rsid w:val="7F4A4D43"/>
    <w:rsid w:val="7F545830"/>
    <w:rsid w:val="7F590F20"/>
    <w:rsid w:val="7F647934"/>
    <w:rsid w:val="7F8F3F40"/>
    <w:rsid w:val="7FA62478"/>
    <w:rsid w:val="7FB2257F"/>
    <w:rsid w:val="7FE92E70"/>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360" w:lineRule="auto"/>
      <w:outlineLvl w:val="0"/>
    </w:pPr>
    <w:rPr>
      <w:rFonts w:ascii="Times New Roman" w:hAnsi="Times New Roman" w:eastAsia="宋体"/>
      <w:b/>
      <w:bCs/>
      <w:kern w:val="44"/>
      <w:sz w:val="28"/>
      <w:szCs w:val="44"/>
    </w:rPr>
  </w:style>
  <w:style w:type="paragraph" w:styleId="3">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beforeLines="0" w:after="260" w:afterLines="0" w:line="24" w:lineRule="auto"/>
      <w:outlineLvl w:val="2"/>
    </w:pPr>
    <w:rPr>
      <w:rFonts w:ascii="宋体" w:hAnsi="宋体"/>
      <w:b/>
      <w:bCs/>
      <w:kern w:val="0"/>
      <w:sz w:val="24"/>
      <w:szCs w:val="32"/>
    </w:rPr>
  </w:style>
  <w:style w:type="paragraph" w:styleId="5">
    <w:name w:val="heading 4"/>
    <w:basedOn w:val="1"/>
    <w:next w:val="1"/>
    <w:unhideWhenUsed/>
    <w:qFormat/>
    <w:uiPriority w:val="0"/>
    <w:pPr>
      <w:spacing w:before="35"/>
      <w:ind w:left="142"/>
      <w:jc w:val="center"/>
      <w:outlineLvl w:val="3"/>
    </w:pPr>
    <w:rPr>
      <w:rFonts w:ascii="宋体" w:hAnsi="宋体" w:cs="宋体"/>
      <w:b/>
      <w:bCs/>
      <w:sz w:val="32"/>
      <w:szCs w:val="32"/>
      <w:lang w:val="zh-CN" w:bidi="zh-CN"/>
    </w:rPr>
  </w:style>
  <w:style w:type="paragraph" w:styleId="6">
    <w:name w:val="heading 7"/>
    <w:basedOn w:val="1"/>
    <w:next w:val="1"/>
    <w:unhideWhenUsed/>
    <w:qFormat/>
    <w:uiPriority w:val="0"/>
    <w:pPr>
      <w:ind w:left="448"/>
      <w:outlineLvl w:val="6"/>
    </w:pPr>
    <w:rPr>
      <w:rFonts w:ascii="宋体" w:hAnsi="宋体" w:cs="宋体"/>
      <w:sz w:val="24"/>
      <w:lang w:val="zh-CN" w:bidi="zh-CN"/>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unhideWhenUsed/>
    <w:qFormat/>
    <w:uiPriority w:val="0"/>
    <w:pPr>
      <w:ind w:firstLine="420" w:firstLineChars="200"/>
    </w:pPr>
  </w:style>
  <w:style w:type="paragraph" w:styleId="8">
    <w:name w:val="annotation text"/>
    <w:basedOn w:val="1"/>
    <w:link w:val="39"/>
    <w:qFormat/>
    <w:uiPriority w:val="0"/>
    <w:pPr>
      <w:jc w:val="left"/>
    </w:pPr>
  </w:style>
  <w:style w:type="paragraph" w:styleId="9">
    <w:name w:val="Body Text"/>
    <w:basedOn w:val="1"/>
    <w:next w:val="1"/>
    <w:qFormat/>
    <w:uiPriority w:val="0"/>
    <w:pPr>
      <w:autoSpaceDE w:val="0"/>
      <w:autoSpaceDN w:val="0"/>
      <w:adjustRightInd w:val="0"/>
      <w:spacing w:after="120"/>
      <w:jc w:val="left"/>
    </w:pPr>
    <w:rPr>
      <w:rFonts w:ascii="宋体"/>
      <w:kern w:val="0"/>
      <w:sz w:val="34"/>
      <w:szCs w:val="20"/>
    </w:rPr>
  </w:style>
  <w:style w:type="paragraph" w:styleId="10">
    <w:name w:val="Body Text Indent"/>
    <w:basedOn w:val="1"/>
    <w:next w:val="11"/>
    <w:qFormat/>
    <w:uiPriority w:val="0"/>
    <w:pPr>
      <w:ind w:firstLine="830" w:firstLineChars="352"/>
    </w:pPr>
    <w:rPr>
      <w:rFonts w:ascii="仿宋_GB2312" w:eastAsia="仿宋_GB2312"/>
      <w:sz w:val="32"/>
      <w:szCs w:val="20"/>
    </w:rPr>
  </w:style>
  <w:style w:type="paragraph" w:styleId="11">
    <w:name w:val="envelope return"/>
    <w:basedOn w:val="1"/>
    <w:unhideWhenUsed/>
    <w:qFormat/>
    <w:uiPriority w:val="0"/>
    <w:pPr>
      <w:snapToGrid w:val="0"/>
    </w:pPr>
    <w:rPr>
      <w:rFonts w:ascii="Arial" w:hAnsi="Arial"/>
    </w:rPr>
  </w:style>
  <w:style w:type="paragraph" w:styleId="12">
    <w:name w:val="Plain Text"/>
    <w:basedOn w:val="1"/>
    <w:next w:val="5"/>
    <w:qFormat/>
    <w:uiPriority w:val="0"/>
    <w:rPr>
      <w:rFonts w:ascii="宋体" w:hAnsi="Courier New" w:cs="Courier New"/>
      <w:szCs w:val="21"/>
    </w:rPr>
  </w:style>
  <w:style w:type="paragraph" w:styleId="13">
    <w:name w:val="Date"/>
    <w:basedOn w:val="1"/>
    <w:next w:val="1"/>
    <w:qFormat/>
    <w:uiPriority w:val="0"/>
    <w:pPr>
      <w:ind w:left="100" w:leftChars="2500"/>
    </w:pPr>
    <w:rPr>
      <w:rFonts w:ascii="宋体" w:hAnsi="Courier New"/>
      <w:bCs/>
      <w:sz w:val="24"/>
    </w:rPr>
  </w:style>
  <w:style w:type="paragraph" w:styleId="14">
    <w:name w:val="Balloon Text"/>
    <w:basedOn w:val="1"/>
    <w:link w:val="41"/>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Body Text Indent 3"/>
    <w:basedOn w:val="1"/>
    <w:qFormat/>
    <w:uiPriority w:val="0"/>
    <w:pPr>
      <w:spacing w:after="120"/>
      <w:ind w:left="420" w:leftChars="200"/>
    </w:pPr>
    <w:rPr>
      <w:sz w:val="16"/>
      <w:szCs w:val="16"/>
    </w:rPr>
  </w:style>
  <w:style w:type="paragraph" w:styleId="19">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20">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2">
    <w:name w:val="index 1"/>
    <w:basedOn w:val="1"/>
    <w:next w:val="1"/>
    <w:qFormat/>
    <w:uiPriority w:val="0"/>
    <w:rPr>
      <w:lang w:eastAsia="en-US"/>
    </w:rPr>
  </w:style>
  <w:style w:type="paragraph" w:styleId="23">
    <w:name w:val="annotation subject"/>
    <w:basedOn w:val="8"/>
    <w:next w:val="8"/>
    <w:link w:val="40"/>
    <w:qFormat/>
    <w:uiPriority w:val="0"/>
    <w:rPr>
      <w:b/>
      <w:bCs/>
    </w:rPr>
  </w:style>
  <w:style w:type="paragraph" w:styleId="24">
    <w:name w:val="Body Text First Indent"/>
    <w:basedOn w:val="9"/>
    <w:next w:val="1"/>
    <w:qFormat/>
    <w:uiPriority w:val="0"/>
    <w:pPr>
      <w:ind w:firstLine="420" w:firstLineChars="100"/>
    </w:pPr>
    <w:rPr>
      <w:rFonts w:ascii="Times New Roman"/>
      <w:sz w:val="21"/>
      <w:szCs w:val="24"/>
    </w:rPr>
  </w:style>
  <w:style w:type="paragraph" w:styleId="25">
    <w:name w:val="Body Text First Indent 2"/>
    <w:basedOn w:val="10"/>
    <w:next w:val="1"/>
    <w:qFormat/>
    <w:uiPriority w:val="0"/>
    <w:pPr>
      <w:spacing w:line="360" w:lineRule="auto"/>
      <w:ind w:firstLine="420" w:firstLineChars="200"/>
    </w:pPr>
    <w:rPr>
      <w:sz w:val="24"/>
      <w:szCs w:val="24"/>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qFormat/>
    <w:uiPriority w:val="0"/>
  </w:style>
  <w:style w:type="character" w:styleId="30">
    <w:name w:val="Hyperlink"/>
    <w:basedOn w:val="28"/>
    <w:unhideWhenUsed/>
    <w:qFormat/>
    <w:uiPriority w:val="99"/>
    <w:rPr>
      <w:color w:val="0000FF"/>
      <w:u w:val="single"/>
    </w:rPr>
  </w:style>
  <w:style w:type="character" w:styleId="31">
    <w:name w:val="annotation reference"/>
    <w:qFormat/>
    <w:uiPriority w:val="0"/>
    <w:rPr>
      <w:sz w:val="21"/>
      <w:szCs w:val="21"/>
    </w:rPr>
  </w:style>
  <w:style w:type="character" w:styleId="32">
    <w:name w:val="HTML Sample"/>
    <w:basedOn w:val="28"/>
    <w:qFormat/>
    <w:uiPriority w:val="0"/>
    <w:rPr>
      <w:rFonts w:ascii="Courier New" w:hAnsi="Courier New"/>
    </w:rPr>
  </w:style>
  <w:style w:type="paragraph" w:customStyle="1" w:styleId="33">
    <w:name w:val="表格文字"/>
    <w:basedOn w:val="34"/>
    <w:qFormat/>
    <w:uiPriority w:val="99"/>
    <w:pPr>
      <w:spacing w:before="25" w:after="25"/>
      <w:jc w:val="left"/>
    </w:pPr>
    <w:rPr>
      <w:bCs/>
      <w:spacing w:val="10"/>
      <w:kern w:val="0"/>
      <w:sz w:val="24"/>
    </w:rPr>
  </w:style>
  <w:style w:type="paragraph" w:customStyle="1" w:styleId="34">
    <w:name w:val="正文_0"/>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5">
    <w:name w:val="Default"/>
    <w:qFormat/>
    <w:uiPriority w:val="0"/>
    <w:pPr>
      <w:widowControl w:val="0"/>
      <w:autoSpaceDE w:val="0"/>
      <w:autoSpaceDN w:val="0"/>
      <w:adjustRightInd w:val="0"/>
    </w:pPr>
    <w:rPr>
      <w:rFonts w:ascii="......." w:hAnsi="......." w:eastAsia="......." w:cs="......."/>
      <w:color w:val="000000"/>
      <w:sz w:val="21"/>
      <w:szCs w:val="24"/>
      <w:lang w:val="en-US" w:eastAsia="zh-CN" w:bidi="ar-SA"/>
    </w:rPr>
  </w:style>
  <w:style w:type="paragraph" w:styleId="36">
    <w:name w:val="List Paragraph"/>
    <w:basedOn w:val="1"/>
    <w:qFormat/>
    <w:uiPriority w:val="34"/>
    <w:pPr>
      <w:ind w:firstLine="420" w:firstLineChars="200"/>
    </w:pPr>
  </w:style>
  <w:style w:type="paragraph" w:customStyle="1" w:styleId="37">
    <w:name w:val="Plain Text1"/>
    <w:basedOn w:val="1"/>
    <w:qFormat/>
    <w:uiPriority w:val="0"/>
    <w:rPr>
      <w:rFonts w:ascii="宋体" w:hAnsi="Courier New" w:cs="Courier New"/>
      <w:szCs w:val="21"/>
    </w:rPr>
  </w:style>
  <w:style w:type="paragraph" w:customStyle="1" w:styleId="38">
    <w:name w:val="Table Paragraph"/>
    <w:basedOn w:val="1"/>
    <w:qFormat/>
    <w:uiPriority w:val="1"/>
    <w:rPr>
      <w:rFonts w:ascii="宋体" w:hAnsi="宋体" w:cs="宋体"/>
      <w:lang w:val="zh-CN" w:bidi="zh-CN"/>
    </w:rPr>
  </w:style>
  <w:style w:type="character" w:customStyle="1" w:styleId="39">
    <w:name w:val="批注文字 Char"/>
    <w:basedOn w:val="28"/>
    <w:link w:val="8"/>
    <w:qFormat/>
    <w:uiPriority w:val="0"/>
    <w:rPr>
      <w:kern w:val="2"/>
      <w:sz w:val="21"/>
      <w:szCs w:val="24"/>
    </w:rPr>
  </w:style>
  <w:style w:type="character" w:customStyle="1" w:styleId="40">
    <w:name w:val="批注主题 Char"/>
    <w:basedOn w:val="39"/>
    <w:link w:val="23"/>
    <w:qFormat/>
    <w:uiPriority w:val="0"/>
    <w:rPr>
      <w:b/>
      <w:bCs/>
      <w:kern w:val="2"/>
      <w:sz w:val="21"/>
      <w:szCs w:val="24"/>
    </w:rPr>
  </w:style>
  <w:style w:type="character" w:customStyle="1" w:styleId="41">
    <w:name w:val="批注框文本 Char"/>
    <w:basedOn w:val="28"/>
    <w:link w:val="14"/>
    <w:qFormat/>
    <w:uiPriority w:val="0"/>
    <w:rPr>
      <w:kern w:val="2"/>
      <w:sz w:val="18"/>
      <w:szCs w:val="18"/>
    </w:rPr>
  </w:style>
  <w:style w:type="paragraph" w:customStyle="1" w:styleId="42">
    <w:name w:val="纯文本1"/>
    <w:basedOn w:val="1"/>
    <w:qFormat/>
    <w:uiPriority w:val="0"/>
    <w:pPr>
      <w:suppressAutoHyphens/>
    </w:pPr>
    <w:rPr>
      <w:rFonts w:ascii="宋体" w:hAnsi="宋体" w:cs="Courier New"/>
      <w:szCs w:val="21"/>
      <w:lang w:eastAsia="ar-SA"/>
    </w:rPr>
  </w:style>
  <w:style w:type="paragraph" w:customStyle="1" w:styleId="4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44">
    <w:name w:val="textcontents"/>
    <w:basedOn w:val="28"/>
    <w:qFormat/>
    <w:uiPriority w:val="0"/>
  </w:style>
  <w:style w:type="paragraph" w:customStyle="1" w:styleId="45">
    <w:name w:val="正文2"/>
    <w:basedOn w:val="1"/>
    <w:qFormat/>
    <w:uiPriority w:val="0"/>
    <w:pPr>
      <w:adjustRightInd w:val="0"/>
      <w:spacing w:before="156" w:line="360" w:lineRule="auto"/>
      <w:ind w:firstLine="510" w:firstLineChars="200"/>
    </w:pPr>
    <w:rPr>
      <w:kern w:val="0"/>
      <w:sz w:val="24"/>
      <w:szCs w:val="20"/>
    </w:rPr>
  </w:style>
  <w:style w:type="paragraph" w:customStyle="1" w:styleId="46">
    <w:name w:val="WPSOffice手动目录 1"/>
    <w:qFormat/>
    <w:uiPriority w:val="0"/>
    <w:pPr>
      <w:ind w:leftChars="0"/>
    </w:pPr>
    <w:rPr>
      <w:rFonts w:ascii="Times New Roman" w:hAnsi="Times New Roman" w:eastAsia="宋体" w:cs="Times New Roman"/>
      <w:sz w:val="20"/>
      <w:szCs w:val="20"/>
    </w:rPr>
  </w:style>
  <w:style w:type="table" w:customStyle="1" w:styleId="47">
    <w:name w:val="Table Normal"/>
    <w:semiHidden/>
    <w:unhideWhenUsed/>
    <w:qFormat/>
    <w:uiPriority w:val="0"/>
    <w:tblPr>
      <w:tblCellMar>
        <w:top w:w="0" w:type="dxa"/>
        <w:left w:w="0" w:type="dxa"/>
        <w:bottom w:w="0" w:type="dxa"/>
        <w:right w:w="0" w:type="dxa"/>
      </w:tblCellMar>
    </w:tblPr>
  </w:style>
  <w:style w:type="paragraph" w:customStyle="1" w:styleId="48">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文本_0"/>
    <w:basedOn w:val="48"/>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50">
    <w:name w:val="Normal_1"/>
    <w:qFormat/>
    <w:uiPriority w:val="0"/>
    <w:rPr>
      <w:rFonts w:ascii="Times New Roman" w:hAnsi="Times New Roman" w:eastAsia="Times New Roman" w:cs="Times New Roman"/>
      <w:sz w:val="24"/>
      <w:szCs w:val="24"/>
    </w:rPr>
  </w:style>
  <w:style w:type="paragraph" w:customStyle="1" w:styleId="51">
    <w:name w:val="Body text|1_2"/>
    <w:basedOn w:val="48"/>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2">
    <w:name w:val="Other|1_2"/>
    <w:basedOn w:val="48"/>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3">
    <w:name w:val="标题 2_1"/>
    <w:basedOn w:val="48"/>
    <w:next w:val="48"/>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54">
    <w:name w:val="标题 3_2"/>
    <w:basedOn w:val="48"/>
    <w:next w:val="48"/>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55">
    <w:name w:val="标题 2_0"/>
    <w:basedOn w:val="56"/>
    <w:next w:val="56"/>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56">
    <w:name w:val="正文_2"/>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57">
    <w:name w:val="标题 3_1"/>
    <w:basedOn w:val="56"/>
    <w:next w:val="56"/>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58">
    <w:name w:val="Body text|1_1"/>
    <w:basedOn w:val="56"/>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9">
    <w:name w:val="Body text|2_0"/>
    <w:basedOn w:val="56"/>
    <w:qFormat/>
    <w:uiPriority w:val="0"/>
    <w:pPr>
      <w:spacing w:after="30"/>
      <w:ind w:firstLine="420"/>
    </w:pPr>
    <w:rPr>
      <w:rFonts w:eastAsia="宋体"/>
      <w:color w:val="auto"/>
      <w:sz w:val="20"/>
      <w:szCs w:val="20"/>
      <w:lang w:bidi="ar-SA"/>
    </w:rPr>
  </w:style>
  <w:style w:type="paragraph" w:customStyle="1" w:styleId="60">
    <w:name w:val="Other|1_1"/>
    <w:basedOn w:val="56"/>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1">
    <w:name w:val="正文_2_0"/>
    <w:basedOn w:val="56"/>
    <w:qFormat/>
    <w:uiPriority w:val="0"/>
    <w:rPr>
      <w:rFonts w:eastAsia="宋体"/>
      <w:lang w:eastAsia="zh-CN" w:bidi="ar-SA"/>
    </w:rPr>
  </w:style>
  <w:style w:type="character" w:customStyle="1" w:styleId="62">
    <w:name w:val="10"/>
    <w:qFormat/>
    <w:uiPriority w:val="0"/>
    <w:rPr>
      <w:rFonts w:hint="default" w:ascii="Times New Roman" w:hAnsi="Times New Roman" w:eastAsia="Times New Roman" w:cs="Times New Roman"/>
      <w:lang w:eastAsia="en-US" w:bidi="en-US"/>
    </w:rPr>
  </w:style>
  <w:style w:type="paragraph" w:customStyle="1" w:styleId="63">
    <w:name w:val="正文_3"/>
    <w:basedOn w:val="56"/>
    <w:qFormat/>
    <w:uiPriority w:val="0"/>
    <w:rPr>
      <w:rFonts w:eastAsia="宋体"/>
      <w:lang w:eastAsia="zh-CN" w:bidi="ar-SA"/>
    </w:rPr>
  </w:style>
  <w:style w:type="paragraph" w:customStyle="1" w:styleId="64">
    <w:name w:val="样式 样式16 + 首行缩进:  2 字符"/>
    <w:basedOn w:val="1"/>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65">
    <w:name w:val="样式29"/>
    <w:basedOn w:val="66"/>
    <w:qFormat/>
    <w:uiPriority w:val="0"/>
    <w:rPr>
      <w:rFonts w:eastAsia="楷体_GB2312"/>
    </w:rPr>
  </w:style>
  <w:style w:type="paragraph" w:customStyle="1" w:styleId="66">
    <w:name w:val="样式9 Char"/>
    <w:basedOn w:val="1"/>
    <w:qFormat/>
    <w:uiPriority w:val="0"/>
    <w:pPr>
      <w:spacing w:line="440" w:lineRule="exact"/>
      <w:ind w:firstLine="200" w:firstLineChars="200"/>
    </w:pPr>
    <w:rPr>
      <w:spacing w:val="6"/>
      <w:sz w:val="24"/>
    </w:rPr>
  </w:style>
  <w:style w:type="paragraph" w:customStyle="1" w:styleId="67">
    <w:name w:val="Table Text"/>
    <w:basedOn w:val="1"/>
    <w:semiHidden/>
    <w:qFormat/>
    <w:uiPriority w:val="0"/>
    <w:rPr>
      <w:rFonts w:ascii="宋体" w:hAnsi="宋体" w:eastAsia="宋体" w:cs="宋体"/>
      <w:sz w:val="33"/>
      <w:szCs w:val="3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73</Pages>
  <Words>28290</Words>
  <Characters>30309</Characters>
  <Lines>51</Lines>
  <Paragraphs>59</Paragraphs>
  <TotalTime>50</TotalTime>
  <ScaleCrop>false</ScaleCrop>
  <LinksUpToDate>false</LinksUpToDate>
  <CharactersWithSpaces>31485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DELL</cp:lastModifiedBy>
  <cp:lastPrinted>2024-10-15T00:45:00Z</cp:lastPrinted>
  <dcterms:modified xsi:type="dcterms:W3CDTF">2025-04-22T05:10:40Z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F759AD8609A54849885A4259DBFCA1A3_13</vt:lpwstr>
  </property>
  <property fmtid="{D5CDD505-2E9C-101B-9397-08002B2CF9AE}" pid="4" name="KSOTemplateDocerSaveRecord">
    <vt:lpwstr>eyJoZGlkIjoiOTNjMmYyNTg3ODEyMGFlODQwODRlODk0NmExNDk4NmIifQ==</vt:lpwstr>
  </property>
</Properties>
</file>