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443"/>
        </w:tabs>
        <w:jc w:val="center"/>
        <w:rPr>
          <w:rFonts w:ascii="宋体" w:hAnsi="宋体" w:cs="宋体"/>
          <w:b/>
          <w:bCs/>
          <w:color w:val="auto"/>
          <w:sz w:val="72"/>
          <w:szCs w:val="72"/>
          <w14:shadow w14:blurRad="50800" w14:dist="38100" w14:dir="2700000" w14:sx="100000" w14:sy="100000" w14:kx="0" w14:ky="0" w14:algn="tl">
            <w14:srgbClr w14:val="000000">
              <w14:alpha w14:val="60000"/>
            </w14:srgbClr>
          </w14:shadow>
        </w:rPr>
      </w:pPr>
      <w:r>
        <w:rPr>
          <w:rFonts w:hint="eastAsia" w:ascii="宋体" w:hAnsi="宋体" w:cs="宋体"/>
          <w:b/>
          <w:bCs/>
          <w:color w:val="auto"/>
          <w:sz w:val="72"/>
          <w:szCs w:val="72"/>
          <w14:shadow w14:blurRad="50800" w14:dist="38100" w14:dir="2700000" w14:sx="100000" w14:sy="100000" w14:kx="0" w14:ky="0" w14:algn="tl">
            <w14:srgbClr w14:val="000000">
              <w14:alpha w14:val="60000"/>
            </w14:srgbClr>
          </w14:shadow>
        </w:rPr>
        <w:drawing>
          <wp:anchor distT="0" distB="0" distL="114300" distR="114300" simplePos="0" relativeHeight="251659264" behindDoc="1" locked="0" layoutInCell="1" allowOverlap="1">
            <wp:simplePos x="0" y="0"/>
            <wp:positionH relativeFrom="column">
              <wp:posOffset>-33655</wp:posOffset>
            </wp:positionH>
            <wp:positionV relativeFrom="paragraph">
              <wp:posOffset>-80645</wp:posOffset>
            </wp:positionV>
            <wp:extent cx="731520" cy="755650"/>
            <wp:effectExtent l="0" t="0" r="11430" b="6350"/>
            <wp:wrapNone/>
            <wp:docPr id="1" name="图片 10" descr="QQ图片2016061717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QQ图片20160617170011"/>
                    <pic:cNvPicPr>
                      <a:picLocks noChangeAspect="1"/>
                    </pic:cNvPicPr>
                  </pic:nvPicPr>
                  <pic:blipFill>
                    <a:blip r:embed="rId17"/>
                    <a:stretch>
                      <a:fillRect/>
                    </a:stretch>
                  </pic:blipFill>
                  <pic:spPr>
                    <a:xfrm>
                      <a:off x="0" y="0"/>
                      <a:ext cx="731520" cy="755650"/>
                    </a:xfrm>
                    <a:prstGeom prst="rect">
                      <a:avLst/>
                    </a:prstGeom>
                    <a:noFill/>
                    <a:ln>
                      <a:noFill/>
                    </a:ln>
                  </pic:spPr>
                </pic:pic>
              </a:graphicData>
            </a:graphic>
          </wp:anchor>
        </w:drawing>
      </w:r>
      <w:r>
        <w:rPr>
          <w:rFonts w:hint="eastAsia" w:ascii="宋体" w:hAnsi="宋体" w:cs="宋体"/>
          <w:b/>
          <w:bCs/>
          <w:color w:val="auto"/>
          <w:sz w:val="66"/>
          <w:szCs w:val="66"/>
          <w14:shadow w14:blurRad="50800" w14:dist="38100" w14:dir="2700000" w14:sx="100000" w14:sy="100000" w14:kx="0" w14:ky="0" w14:algn="tl">
            <w14:srgbClr w14:val="000000">
              <w14:alpha w14:val="60000"/>
            </w14:srgbClr>
          </w14:shadow>
        </w:rPr>
        <w:t xml:space="preserve">   广西龙建工程管理有限公司</w:t>
      </w:r>
    </w:p>
    <w:p>
      <w:pPr>
        <w:pStyle w:val="10"/>
        <w:ind w:firstLine="680" w:firstLineChars="200"/>
        <w:rPr>
          <w:rFonts w:ascii="宋体" w:hAnsi="宋体" w:cs="宋体"/>
          <w:bCs/>
          <w:color w:val="auto"/>
          <w:sz w:val="39"/>
          <w:szCs w:val="39"/>
        </w:rPr>
      </w:pPr>
      <w:r>
        <w:rPr>
          <w:rFonts w:hint="eastAsia" w:ascii="宋体" w:hAnsi="宋体" w:cs="宋体"/>
          <w:bCs/>
          <w:color w:val="auto"/>
          <w:sz w:val="34"/>
          <w:szCs w:val="34"/>
        </w:rPr>
        <w:t>Guangxi Longjian engineering management co., Ltd</w:t>
      </w:r>
    </w:p>
    <w:p>
      <w:pPr>
        <w:pStyle w:val="10"/>
        <w:rPr>
          <w:rFonts w:ascii="宋体" w:hAnsi="宋体" w:cs="宋体"/>
          <w:bCs/>
          <w:color w:val="auto"/>
          <w:sz w:val="10"/>
        </w:rPr>
      </w:pPr>
      <w:r>
        <w:rPr>
          <w:rFonts w:hint="eastAsia" w:ascii="宋体" w:hAnsi="宋体" w:cs="宋体"/>
          <w:bCs/>
          <w:color w:val="auto"/>
          <w:sz w:val="10"/>
        </w:rPr>
        <w:t xml:space="preserve">                                                                                                                                                                                                            </w:t>
      </w:r>
    </w:p>
    <w:p>
      <w:pPr>
        <w:pStyle w:val="10"/>
        <w:rPr>
          <w:rFonts w:ascii="宋体" w:hAnsi="宋体" w:cs="宋体"/>
          <w:color w:val="auto"/>
          <w14:shadow w14:blurRad="50800" w14:dist="38100" w14:dir="2700000" w14:sx="100000" w14:sy="100000" w14:kx="0" w14:ky="0" w14:algn="tl">
            <w14:srgbClr w14:val="000000">
              <w14:alpha w14:val="60000"/>
            </w14:srgbClr>
          </w14:shadow>
        </w:rPr>
      </w:pPr>
      <w:r>
        <w:rPr>
          <w:rFonts w:hint="eastAsia" w:ascii="宋体" w:hAnsi="宋体" w:cs="宋体"/>
          <w:color w:val="auto"/>
          <w:sz w:val="20"/>
          <w:u w:val="single"/>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56515</wp:posOffset>
                </wp:positionV>
                <wp:extent cx="6353810" cy="36195"/>
                <wp:effectExtent l="0" t="13970" r="8890" b="26035"/>
                <wp:wrapNone/>
                <wp:docPr id="3" name="直线 4"/>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flip:y;margin-left:-0.75pt;margin-top:4.45pt;height:2.85pt;width:500.3pt;z-index:251661312;mso-width-relative:page;mso-height-relative:page;" filled="f" stroked="t" coordsize="21600,21600" o:gfxdata="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&#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vpB8jVAAAABwEAAA8AAAAAAAAAAQAgAAAAIgAAAGRy&#10;cy9kb3ducmV2LnhtbFBLAQIUABQAAAAIAIdO4kAq4eu5zwEAAJADAAAOAAAAAAAAAAEAIAAAACQB&#10;AABkcnMvZTJvRG9jLnhtbFBLBQYAAAAABgAGAFkBAABlBQAAAAA=&#10;">
                <v:fill on="f" focussize="0,0"/>
                <v:stroke weight="2.25pt" color="#000000" joinstyle="round"/>
                <v:imagedata o:title=""/>
                <o:lock v:ext="edit" aspectratio="f"/>
              </v:line>
            </w:pict>
          </mc:Fallback>
        </mc:AlternateContent>
      </w:r>
    </w:p>
    <w:p>
      <w:pPr>
        <w:pStyle w:val="10"/>
        <w:rPr>
          <w:rFonts w:ascii="宋体" w:hAnsi="宋体" w:cs="宋体"/>
          <w:color w:val="auto"/>
          <w14:shadow w14:blurRad="50800" w14:dist="38100" w14:dir="2700000" w14:sx="100000" w14:sy="100000" w14:kx="0" w14:ky="0" w14:algn="tl">
            <w14:srgbClr w14:val="000000">
              <w14:alpha w14:val="60000"/>
            </w14:srgbClr>
          </w14:shadow>
        </w:rPr>
      </w:pPr>
    </w:p>
    <w:p>
      <w:pPr>
        <w:pStyle w:val="10"/>
        <w:spacing w:line="240" w:lineRule="exact"/>
        <w:rPr>
          <w:rFonts w:ascii="宋体" w:hAnsi="宋体" w:cs="宋体"/>
          <w:color w:val="auto"/>
          <w:sz w:val="100"/>
          <w:szCs w:val="100"/>
          <w14:shadow w14:blurRad="50800" w14:dist="38100" w14:dir="2700000" w14:sx="100000" w14:sy="100000" w14:kx="0" w14:ky="0" w14:algn="tl">
            <w14:srgbClr w14:val="000000">
              <w14:alpha w14:val="60000"/>
            </w14:srgbClr>
          </w14:shadow>
        </w:rPr>
      </w:pPr>
    </w:p>
    <w:p>
      <w:pPr>
        <w:pStyle w:val="10"/>
        <w:spacing w:line="240" w:lineRule="exact"/>
        <w:rPr>
          <w:rFonts w:ascii="宋体" w:hAnsi="宋体" w:cs="宋体"/>
          <w:color w:val="auto"/>
          <w:sz w:val="100"/>
          <w:szCs w:val="100"/>
          <w14:shadow w14:blurRad="50800" w14:dist="38100" w14:dir="2700000" w14:sx="100000" w14:sy="100000" w14:kx="0" w14:ky="0" w14:algn="tl">
            <w14:srgbClr w14:val="000000">
              <w14:alpha w14:val="60000"/>
            </w14:srgbClr>
          </w14:shadow>
        </w:rPr>
      </w:pPr>
    </w:p>
    <w:p>
      <w:pPr>
        <w:pStyle w:val="10"/>
        <w:spacing w:line="240" w:lineRule="exact"/>
        <w:rPr>
          <w:rFonts w:ascii="宋体" w:hAnsi="宋体" w:cs="宋体"/>
          <w:color w:val="auto"/>
          <w:sz w:val="100"/>
          <w:szCs w:val="100"/>
          <w14:shadow w14:blurRad="50800" w14:dist="38100" w14:dir="2700000" w14:sx="100000" w14:sy="100000" w14:kx="0" w14:ky="0" w14:algn="tl">
            <w14:srgbClr w14:val="000000">
              <w14:alpha w14:val="60000"/>
            </w14:srgbClr>
          </w14:shadow>
        </w:rPr>
      </w:pPr>
    </w:p>
    <w:p>
      <w:pPr>
        <w:pStyle w:val="10"/>
        <w:spacing w:line="240" w:lineRule="exact"/>
        <w:rPr>
          <w:rFonts w:ascii="宋体" w:hAnsi="宋体" w:cs="宋体"/>
          <w:color w:val="auto"/>
          <w:sz w:val="100"/>
          <w:szCs w:val="100"/>
          <w14:shadow w14:blurRad="50800" w14:dist="38100" w14:dir="2700000" w14:sx="100000" w14:sy="100000" w14:kx="0" w14:ky="0" w14:algn="tl">
            <w14:srgbClr w14:val="000000">
              <w14:alpha w14:val="60000"/>
            </w14:srgbClr>
          </w14:shadow>
        </w:rPr>
      </w:pPr>
    </w:p>
    <w:p>
      <w:pPr>
        <w:pStyle w:val="10"/>
        <w:spacing w:line="240" w:lineRule="exact"/>
        <w:rPr>
          <w:rFonts w:ascii="宋体" w:hAnsi="宋体" w:cs="宋体"/>
          <w:color w:val="auto"/>
          <w:sz w:val="100"/>
          <w:szCs w:val="100"/>
          <w14:shadow w14:blurRad="50800" w14:dist="38100" w14:dir="2700000" w14:sx="100000" w14:sy="100000" w14:kx="0" w14:ky="0" w14:algn="tl">
            <w14:srgbClr w14:val="000000">
              <w14:alpha w14:val="60000"/>
            </w14:srgbClr>
          </w14:shadow>
        </w:rPr>
      </w:pPr>
    </w:p>
    <w:p>
      <w:pPr>
        <w:pStyle w:val="10"/>
        <w:spacing w:line="240" w:lineRule="exact"/>
        <w:rPr>
          <w:rFonts w:ascii="宋体" w:hAnsi="宋体" w:cs="宋体"/>
          <w:color w:val="auto"/>
          <w:sz w:val="100"/>
          <w:szCs w:val="100"/>
          <w14:shadow w14:blurRad="50800" w14:dist="38100" w14:dir="2700000" w14:sx="100000" w14:sy="100000" w14:kx="0" w14:ky="0" w14:algn="tl">
            <w14:srgbClr w14:val="000000">
              <w14:alpha w14:val="60000"/>
            </w14:srgbClr>
          </w14:shadow>
        </w:rPr>
      </w:pPr>
    </w:p>
    <w:p>
      <w:pPr>
        <w:autoSpaceDE w:val="0"/>
        <w:autoSpaceDN w:val="0"/>
        <w:adjustRightInd w:val="0"/>
        <w:jc w:val="center"/>
        <w:rPr>
          <w:rFonts w:ascii="宋体" w:hAnsi="宋体" w:cs="宋体"/>
          <w:b/>
          <w:color w:val="auto"/>
          <w:sz w:val="44"/>
          <w:szCs w:val="44"/>
        </w:rPr>
      </w:pPr>
    </w:p>
    <w:p>
      <w:pPr>
        <w:autoSpaceDE w:val="0"/>
        <w:autoSpaceDN w:val="0"/>
        <w:adjustRightInd w:val="0"/>
        <w:spacing w:line="324" w:lineRule="auto"/>
        <w:jc w:val="center"/>
        <w:rPr>
          <w:rFonts w:ascii="宋体" w:hAnsi="宋体" w:cs="宋体"/>
          <w:b/>
          <w:bCs/>
          <w:color w:val="auto"/>
          <w:kern w:val="0"/>
          <w:sz w:val="80"/>
          <w:szCs w:val="80"/>
          <w14:shadow w14:blurRad="50800" w14:dist="38100" w14:dir="2700000" w14:sx="100000" w14:sy="100000" w14:kx="0" w14:ky="0" w14:algn="tl">
            <w14:srgbClr w14:val="000000">
              <w14:alpha w14:val="60000"/>
            </w14:srgbClr>
          </w14:shadow>
        </w:rPr>
      </w:pPr>
      <w:r>
        <w:rPr>
          <w:rFonts w:hint="eastAsia" w:ascii="宋体" w:hAnsi="宋体" w:cs="宋体"/>
          <w:b/>
          <w:bCs/>
          <w:color w:val="auto"/>
          <w:sz w:val="80"/>
          <w:szCs w:val="80"/>
          <w14:shadow w14:blurRad="50800" w14:dist="38100" w14:dir="2700000" w14:sx="100000" w14:sy="100000" w14:kx="0" w14:ky="0" w14:algn="tl">
            <w14:srgbClr w14:val="000000">
              <w14:alpha w14:val="60000"/>
            </w14:srgbClr>
          </w14:shadow>
        </w:rPr>
        <w:t>竞争性谈判采购文件</w:t>
      </w:r>
    </w:p>
    <w:p>
      <w:pPr>
        <w:pStyle w:val="19"/>
        <w:spacing w:line="324" w:lineRule="auto"/>
        <w:ind w:left="5250"/>
        <w:rPr>
          <w:rFonts w:hAnsi="宋体" w:cs="宋体"/>
          <w:color w:val="auto"/>
          <w:sz w:val="32"/>
        </w:rPr>
      </w:pPr>
    </w:p>
    <w:p>
      <w:pPr>
        <w:autoSpaceDE w:val="0"/>
        <w:autoSpaceDN w:val="0"/>
        <w:adjustRightInd w:val="0"/>
        <w:spacing w:line="324" w:lineRule="auto"/>
        <w:jc w:val="center"/>
        <w:rPr>
          <w:rFonts w:ascii="宋体" w:hAnsi="宋体" w:cs="宋体"/>
          <w:color w:val="auto"/>
          <w:kern w:val="0"/>
          <w:sz w:val="32"/>
          <w:szCs w:val="32"/>
        </w:rPr>
      </w:pPr>
      <w:bookmarkStart w:id="0" w:name="_Toc114052332"/>
    </w:p>
    <w:bookmarkEnd w:id="0"/>
    <w:p>
      <w:pPr>
        <w:spacing w:line="324" w:lineRule="auto"/>
        <w:rPr>
          <w:rFonts w:ascii="宋体" w:hAnsi="宋体" w:cs="宋体"/>
          <w:color w:val="auto"/>
        </w:rPr>
      </w:pPr>
    </w:p>
    <w:p>
      <w:pPr>
        <w:rPr>
          <w:rFonts w:ascii="宋体" w:hAnsi="宋体" w:cs="宋体"/>
          <w:color w:val="auto"/>
          <w:sz w:val="28"/>
          <w:szCs w:val="28"/>
        </w:rPr>
      </w:pPr>
    </w:p>
    <w:p>
      <w:pPr>
        <w:ind w:firstLine="1680" w:firstLineChars="600"/>
        <w:rPr>
          <w:rFonts w:ascii="宋体" w:hAnsi="宋体" w:cs="宋体"/>
          <w:color w:val="auto"/>
          <w:sz w:val="28"/>
          <w:szCs w:val="28"/>
        </w:rPr>
      </w:pPr>
      <w:r>
        <w:rPr>
          <w:rFonts w:hint="eastAsia" w:ascii="宋体" w:hAnsi="宋体" w:cs="宋体"/>
          <w:color w:val="auto"/>
          <w:sz w:val="28"/>
          <w:szCs w:val="28"/>
        </w:rPr>
        <w:t>项目名称：钦州市外国语学校新校区图书采购项目</w:t>
      </w:r>
    </w:p>
    <w:p>
      <w:pPr>
        <w:ind w:firstLine="1680" w:firstLineChars="600"/>
        <w:rPr>
          <w:rFonts w:ascii="宋体" w:hAnsi="宋体" w:cs="宋体"/>
          <w:color w:val="auto"/>
          <w:sz w:val="28"/>
          <w:szCs w:val="28"/>
        </w:rPr>
      </w:pPr>
      <w:r>
        <w:rPr>
          <w:rFonts w:hint="eastAsia" w:ascii="宋体" w:hAnsi="宋体" w:cs="宋体"/>
          <w:color w:val="auto"/>
          <w:sz w:val="28"/>
          <w:szCs w:val="28"/>
        </w:rPr>
        <w:t>项目编号：</w:t>
      </w:r>
      <w:r>
        <w:rPr>
          <w:rFonts w:hint="eastAsia" w:ascii="宋体" w:hAnsi="宋体" w:cs="宋体"/>
          <w:color w:val="auto"/>
          <w:kern w:val="0"/>
          <w:sz w:val="28"/>
          <w:szCs w:val="28"/>
          <w:lang w:eastAsia="zh-CN"/>
        </w:rPr>
        <w:t>QZZC2024-J1-990477-GXLJ</w:t>
      </w:r>
    </w:p>
    <w:p>
      <w:pPr>
        <w:pStyle w:val="10"/>
        <w:spacing w:line="600" w:lineRule="exact"/>
        <w:ind w:right="-260" w:rightChars="-124" w:firstLine="640" w:firstLineChars="200"/>
        <w:rPr>
          <w:rFonts w:ascii="宋体" w:hAnsi="宋体" w:cs="宋体"/>
          <w:color w:val="auto"/>
          <w:sz w:val="32"/>
          <w:szCs w:val="32"/>
        </w:rPr>
      </w:pPr>
    </w:p>
    <w:p>
      <w:pPr>
        <w:pStyle w:val="10"/>
        <w:spacing w:line="600" w:lineRule="exact"/>
        <w:ind w:right="-260" w:rightChars="-124" w:firstLine="640" w:firstLineChars="200"/>
        <w:rPr>
          <w:rFonts w:ascii="宋体" w:hAnsi="宋体" w:cs="宋体"/>
          <w:color w:val="auto"/>
          <w:sz w:val="32"/>
          <w:szCs w:val="32"/>
        </w:rPr>
      </w:pPr>
      <w:r>
        <w:rPr>
          <w:rFonts w:hint="eastAsia" w:ascii="宋体" w:hAnsi="宋体" w:cs="宋体"/>
          <w:color w:val="auto"/>
          <w:sz w:val="32"/>
          <w:szCs w:val="32"/>
          <w:u w:val="single"/>
        </w:rPr>
        <mc:AlternateContent>
          <mc:Choice Requires="wps">
            <w:drawing>
              <wp:anchor distT="0" distB="0" distL="114300" distR="114300" simplePos="0" relativeHeight="251660288" behindDoc="0" locked="0" layoutInCell="1" allowOverlap="1">
                <wp:simplePos x="0" y="0"/>
                <wp:positionH relativeFrom="column">
                  <wp:posOffset>-476885</wp:posOffset>
                </wp:positionH>
                <wp:positionV relativeFrom="paragraph">
                  <wp:posOffset>38735</wp:posOffset>
                </wp:positionV>
                <wp:extent cx="6965315" cy="1270"/>
                <wp:effectExtent l="0" t="13970" r="6985" b="22860"/>
                <wp:wrapNone/>
                <wp:docPr id="2" name="Line 4"/>
                <wp:cNvGraphicFramePr/>
                <a:graphic xmlns:a="http://schemas.openxmlformats.org/drawingml/2006/main">
                  <a:graphicData uri="http://schemas.microsoft.com/office/word/2010/wordprocessingShape">
                    <wps:wsp>
                      <wps:cNvCnPr/>
                      <wps:spPr>
                        <a:xfrm>
                          <a:off x="0" y="0"/>
                          <a:ext cx="6965315" cy="127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Line 4" o:spid="_x0000_s1026" o:spt="20" style="position:absolute;left:0pt;margin-left:-37.55pt;margin-top:3.05pt;height:0.1pt;width:548.45pt;z-index:251660288;mso-width-relative:page;mso-height-relative:page;" filled="f" stroked="t" coordsize="21600,21600" o:gfxdata="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3k3C1gAAAAgBAAAPAAAAAAAAAAEAIAAAACIAAABkcnMvZG93bnJldi54bWxQSwEC&#10;FAAUAAAACACHTuJArAoqHL0BAACDAwAADgAAAAAAAAABACAAAAAlAQAAZHJzL2Uyb0RvYy54bWxQ&#10;SwUGAAAAAAYABgBZAQAAVAUAAAAA&#10;">
                <v:fill on="f" focussize="0,0"/>
                <v:stroke weight="2.25pt" color="#000000" joinstyle="round"/>
                <v:imagedata o:title=""/>
                <o:lock v:ext="edit" aspectratio="f"/>
              </v:line>
            </w:pict>
          </mc:Fallback>
        </mc:AlternateContent>
      </w:r>
      <w:r>
        <w:rPr>
          <w:rFonts w:hint="eastAsia" w:ascii="宋体" w:hAnsi="宋体" w:cs="宋体"/>
          <w:color w:val="auto"/>
          <w:sz w:val="32"/>
          <w:szCs w:val="32"/>
        </w:rPr>
        <w:t xml:space="preserve"> </w:t>
      </w:r>
    </w:p>
    <w:p>
      <w:pPr>
        <w:rPr>
          <w:color w:val="auto"/>
        </w:rPr>
      </w:pPr>
    </w:p>
    <w:p>
      <w:pPr>
        <w:rPr>
          <w:color w:val="auto"/>
        </w:rPr>
      </w:pPr>
    </w:p>
    <w:p>
      <w:pPr>
        <w:rPr>
          <w:rFonts w:ascii="宋体" w:hAnsi="宋体" w:cs="宋体"/>
          <w:bCs/>
          <w:color w:val="auto"/>
          <w:sz w:val="32"/>
          <w:szCs w:val="32"/>
        </w:rPr>
      </w:pPr>
      <w:r>
        <w:rPr>
          <w:rFonts w:hint="eastAsia" w:ascii="宋体" w:hAnsi="宋体" w:cs="宋体"/>
          <w:color w:val="auto"/>
          <w:sz w:val="32"/>
          <w:szCs w:val="32"/>
        </w:rPr>
        <w:t xml:space="preserve">           采购单位：</w:t>
      </w:r>
      <w:r>
        <w:rPr>
          <w:rFonts w:hint="eastAsia" w:ascii="宋体" w:hAnsi="宋体" w:cs="宋体"/>
          <w:color w:val="auto"/>
          <w:kern w:val="0"/>
          <w:sz w:val="32"/>
          <w:szCs w:val="32"/>
        </w:rPr>
        <w:t xml:space="preserve"> 钦州市外国语学校</w:t>
      </w:r>
    </w:p>
    <w:p>
      <w:pPr>
        <w:rPr>
          <w:rFonts w:ascii="宋体" w:hAnsi="宋体" w:cs="宋体"/>
          <w:bCs/>
          <w:color w:val="auto"/>
          <w:sz w:val="32"/>
          <w:szCs w:val="32"/>
        </w:rPr>
      </w:pPr>
    </w:p>
    <w:p>
      <w:pPr>
        <w:rPr>
          <w:rFonts w:ascii="宋体" w:hAnsi="宋体" w:cs="宋体"/>
          <w:color w:val="auto"/>
          <w:sz w:val="32"/>
          <w:szCs w:val="32"/>
        </w:rPr>
      </w:pPr>
      <w:r>
        <w:rPr>
          <w:rFonts w:hint="eastAsia" w:ascii="宋体" w:hAnsi="宋体" w:cs="宋体"/>
          <w:color w:val="auto"/>
          <w:sz w:val="32"/>
          <w:szCs w:val="32"/>
        </w:rPr>
        <w:t xml:space="preserve">           采购代理机构：广西龙建工程管理有限公司</w:t>
      </w:r>
    </w:p>
    <w:p>
      <w:pPr>
        <w:spacing w:line="324" w:lineRule="auto"/>
        <w:jc w:val="center"/>
        <w:rPr>
          <w:rFonts w:ascii="宋体" w:hAnsi="宋体" w:cs="宋体"/>
          <w:color w:val="auto"/>
        </w:rPr>
      </w:pPr>
      <w:r>
        <w:rPr>
          <w:rFonts w:hint="eastAsia" w:ascii="宋体" w:hAnsi="宋体" w:cs="宋体"/>
          <w:color w:val="auto"/>
          <w:sz w:val="32"/>
          <w:szCs w:val="32"/>
        </w:rPr>
        <w:t>二○二四年</w:t>
      </w:r>
      <w:r>
        <w:rPr>
          <w:rFonts w:hint="eastAsia" w:ascii="宋体" w:hAnsi="宋体" w:cs="宋体"/>
          <w:color w:val="auto"/>
          <w:sz w:val="32"/>
          <w:szCs w:val="32"/>
          <w:lang w:eastAsia="zh-CN"/>
        </w:rPr>
        <w:t>十</w:t>
      </w:r>
      <w:r>
        <w:rPr>
          <w:rFonts w:hint="eastAsia" w:ascii="宋体" w:hAnsi="宋体" w:cs="宋体"/>
          <w:color w:val="auto"/>
          <w:sz w:val="32"/>
          <w:szCs w:val="32"/>
        </w:rPr>
        <w:t>月</w:t>
      </w:r>
    </w:p>
    <w:p>
      <w:pPr>
        <w:spacing w:line="324" w:lineRule="auto"/>
        <w:rPr>
          <w:rFonts w:ascii="宋体" w:hAnsi="宋体" w:cs="宋体"/>
          <w:color w:val="auto"/>
        </w:rPr>
        <w:sectPr>
          <w:headerReference r:id="rId3" w:type="default"/>
          <w:pgSz w:w="11906" w:h="16838"/>
          <w:pgMar w:top="1134" w:right="1077" w:bottom="1134" w:left="1077" w:header="850" w:footer="992" w:gutter="0"/>
          <w:cols w:space="720" w:num="1"/>
          <w:docGrid w:type="lines" w:linePitch="317" w:charSpace="0"/>
        </w:sectPr>
      </w:pPr>
    </w:p>
    <w:p>
      <w:pPr>
        <w:jc w:val="center"/>
        <w:rPr>
          <w:rFonts w:ascii="宋体" w:hAnsi="宋体" w:cs="宋体"/>
          <w:color w:val="auto"/>
          <w:sz w:val="28"/>
          <w:szCs w:val="28"/>
        </w:rPr>
      </w:pPr>
    </w:p>
    <w:p>
      <w:pPr>
        <w:pStyle w:val="10"/>
        <w:spacing w:line="240" w:lineRule="atLeast"/>
        <w:rPr>
          <w:rFonts w:ascii="宋体" w:hAnsi="宋体" w:cs="宋体"/>
          <w:b/>
          <w:bCs/>
          <w:color w:val="auto"/>
          <w:spacing w:val="-14"/>
          <w:position w:val="-6"/>
          <w:sz w:val="30"/>
          <w:szCs w:val="30"/>
        </w:rPr>
        <w:sectPr>
          <w:headerReference r:id="rId6" w:type="first"/>
          <w:headerReference r:id="rId4" w:type="default"/>
          <w:headerReference r:id="rId5" w:type="even"/>
          <w:type w:val="continuous"/>
          <w:pgSz w:w="11906" w:h="16838"/>
          <w:pgMar w:top="1134" w:right="1134" w:bottom="1134" w:left="1134" w:header="680" w:footer="680" w:gutter="0"/>
          <w:cols w:space="720" w:num="1"/>
          <w:titlePg/>
          <w:docGrid w:linePitch="331" w:charSpace="0"/>
        </w:sectPr>
      </w:pPr>
      <w:bookmarkStart w:id="1" w:name="OLE_LINK20"/>
    </w:p>
    <w:bookmarkEnd w:id="1"/>
    <w:p>
      <w:pPr>
        <w:pStyle w:val="10"/>
        <w:rPr>
          <w:rFonts w:ascii="宋体" w:hAnsi="宋体" w:cs="宋体"/>
          <w:b/>
          <w:bCs/>
          <w:color w:val="auto"/>
          <w:spacing w:val="-14"/>
          <w:position w:val="-6"/>
          <w:sz w:val="28"/>
          <w:szCs w:val="28"/>
        </w:rPr>
      </w:pPr>
      <w:r>
        <w:rPr>
          <w:rFonts w:hint="eastAsia" w:ascii="宋体" w:hAnsi="宋体" w:cs="宋体"/>
          <w:b/>
          <w:bCs/>
          <w:color w:val="auto"/>
          <w:spacing w:val="-14"/>
          <w:position w:val="-6"/>
          <w:sz w:val="28"/>
          <w:szCs w:val="28"/>
        </w:rPr>
        <w:t>广西龙建工程管理有限公司</w:t>
      </w:r>
    </w:p>
    <w:p>
      <w:pPr>
        <w:pStyle w:val="10"/>
        <w:rPr>
          <w:rFonts w:ascii="宋体" w:hAnsi="宋体" w:cs="宋体"/>
          <w:b/>
          <w:bCs/>
          <w:color w:val="auto"/>
          <w:spacing w:val="-14"/>
          <w:position w:val="-6"/>
          <w:sz w:val="28"/>
          <w:szCs w:val="28"/>
        </w:rPr>
      </w:pPr>
      <w:r>
        <w:rPr>
          <w:rFonts w:hint="eastAsia" w:ascii="宋体" w:hAnsi="宋体" w:cs="宋体"/>
          <w:b/>
          <w:bCs/>
          <w:color w:val="auto"/>
          <w:spacing w:val="-14"/>
          <w:position w:val="-6"/>
          <w:sz w:val="28"/>
          <w:szCs w:val="28"/>
        </w:rPr>
        <w:t>关于钦州市外国语学校新校区图书采购项目（</w:t>
      </w:r>
      <w:r>
        <w:rPr>
          <w:rFonts w:hint="eastAsia" w:ascii="宋体" w:hAnsi="宋体" w:cs="宋体"/>
          <w:b/>
          <w:bCs/>
          <w:color w:val="auto"/>
          <w:spacing w:val="-14"/>
          <w:position w:val="-6"/>
          <w:sz w:val="28"/>
          <w:szCs w:val="28"/>
          <w:lang w:eastAsia="zh-CN"/>
        </w:rPr>
        <w:t>QZZC2024-J1-990477-GXLJ</w:t>
      </w:r>
      <w:r>
        <w:rPr>
          <w:rFonts w:hint="eastAsia" w:ascii="宋体" w:hAnsi="宋体" w:cs="宋体"/>
          <w:b/>
          <w:bCs/>
          <w:color w:val="auto"/>
          <w:spacing w:val="-14"/>
          <w:position w:val="-6"/>
          <w:sz w:val="28"/>
          <w:szCs w:val="28"/>
        </w:rPr>
        <w:t xml:space="preserve">）     </w:t>
      </w:r>
    </w:p>
    <w:p>
      <w:pPr>
        <w:pStyle w:val="10"/>
        <w:rPr>
          <w:rFonts w:ascii="宋体" w:hAnsi="宋体" w:cs="宋体"/>
          <w:b/>
          <w:bCs/>
          <w:color w:val="auto"/>
          <w:spacing w:val="-14"/>
          <w:position w:val="-6"/>
          <w:sz w:val="28"/>
          <w:szCs w:val="28"/>
        </w:rPr>
      </w:pPr>
      <w:r>
        <w:rPr>
          <w:rFonts w:hint="eastAsia" w:ascii="宋体" w:hAnsi="宋体" w:cs="宋体"/>
          <w:b/>
          <w:bCs/>
          <w:color w:val="auto"/>
          <w:spacing w:val="-14"/>
          <w:position w:val="-6"/>
          <w:sz w:val="28"/>
          <w:szCs w:val="28"/>
        </w:rPr>
        <w:t>竞争性谈判公告</w:t>
      </w:r>
    </w:p>
    <w:p>
      <w:pPr>
        <w:rPr>
          <w:rFonts w:ascii="宋体" w:hAnsi="宋体" w:cs="宋体"/>
          <w:color w:val="auto"/>
        </w:rPr>
      </w:pPr>
    </w:p>
    <w:p>
      <w:pPr>
        <w:pBdr>
          <w:top w:val="single" w:color="auto" w:sz="4" w:space="1"/>
          <w:left w:val="single" w:color="auto" w:sz="4" w:space="4"/>
          <w:bottom w:val="single" w:color="auto" w:sz="4" w:space="1"/>
          <w:right w:val="single" w:color="auto" w:sz="4" w:space="4"/>
        </w:pBdr>
        <w:ind w:firstLine="420" w:firstLineChars="200"/>
        <w:rPr>
          <w:rFonts w:ascii="宋体" w:hAnsi="宋体" w:cs="宋体"/>
          <w:color w:val="auto"/>
          <w:szCs w:val="21"/>
        </w:rPr>
      </w:pPr>
      <w:r>
        <w:rPr>
          <w:rFonts w:hint="eastAsia" w:ascii="宋体" w:hAnsi="宋体" w:cs="宋体"/>
          <w:color w:val="auto"/>
          <w:szCs w:val="21"/>
        </w:rPr>
        <w:t>项目概况</w:t>
      </w:r>
    </w:p>
    <w:p>
      <w:pPr>
        <w:pBdr>
          <w:top w:val="single" w:color="auto" w:sz="4" w:space="1"/>
          <w:left w:val="single" w:color="auto" w:sz="4" w:space="4"/>
          <w:bottom w:val="single" w:color="auto" w:sz="4" w:space="1"/>
          <w:right w:val="single" w:color="auto" w:sz="4" w:space="4"/>
        </w:pBdr>
        <w:ind w:firstLine="420" w:firstLineChars="200"/>
        <w:rPr>
          <w:rFonts w:ascii="宋体" w:hAnsi="宋体" w:cs="宋体"/>
          <w:color w:val="auto"/>
          <w:szCs w:val="21"/>
        </w:rPr>
      </w:pPr>
      <w:r>
        <w:rPr>
          <w:rFonts w:hint="eastAsia" w:ascii="宋体" w:hAnsi="宋体" w:cs="宋体"/>
          <w:color w:val="auto"/>
          <w:szCs w:val="21"/>
          <w:u w:val="single"/>
        </w:rPr>
        <w:t>钦州市外国语学校新校区图书采购项目</w:t>
      </w:r>
      <w:r>
        <w:rPr>
          <w:rFonts w:hint="eastAsia" w:ascii="宋体" w:hAnsi="宋体" w:cs="宋体"/>
          <w:color w:val="auto"/>
          <w:szCs w:val="21"/>
        </w:rPr>
        <w:t>项目的潜在供应商应在</w:t>
      </w:r>
      <w:r>
        <w:rPr>
          <w:rFonts w:hint="eastAsia" w:ascii="宋体" w:hAnsi="宋体" w:cs="宋体"/>
          <w:color w:val="auto"/>
          <w:szCs w:val="21"/>
          <w:u w:val="single"/>
        </w:rPr>
        <w:t>广西政府采购云平台（https://www.gcy.zfcg.gxzf.gov.cn/）</w:t>
      </w:r>
      <w:r>
        <w:rPr>
          <w:rFonts w:hint="eastAsia" w:ascii="宋体" w:hAnsi="宋体" w:cs="宋体"/>
          <w:color w:val="auto"/>
          <w:szCs w:val="21"/>
        </w:rPr>
        <w:t>获取采购文件，并于</w:t>
      </w:r>
      <w:r>
        <w:rPr>
          <w:rFonts w:hint="eastAsia" w:ascii="宋体" w:hAnsi="宋体" w:cs="宋体"/>
          <w:color w:val="auto"/>
          <w:szCs w:val="21"/>
          <w:u w:val="single"/>
        </w:rPr>
        <w:t>2024</w:t>
      </w:r>
      <w:r>
        <w:rPr>
          <w:rFonts w:hint="eastAsia" w:ascii="宋体" w:hAnsi="宋体" w:cs="宋体"/>
          <w:bCs/>
          <w:color w:val="auto"/>
          <w:szCs w:val="21"/>
          <w:u w:val="single"/>
        </w:rPr>
        <w:t xml:space="preserve">年11月1日 </w:t>
      </w:r>
      <w:r>
        <w:rPr>
          <w:rFonts w:hint="eastAsia" w:ascii="宋体" w:hAnsi="宋体" w:cs="宋体"/>
          <w:bCs/>
          <w:color w:val="auto"/>
          <w:szCs w:val="21"/>
          <w:u w:val="single"/>
          <w:lang w:val="en-US" w:eastAsia="zh-CN"/>
        </w:rPr>
        <w:t>8</w:t>
      </w:r>
      <w:r>
        <w:rPr>
          <w:rFonts w:hint="eastAsia" w:ascii="宋体" w:hAnsi="宋体" w:cs="宋体"/>
          <w:bCs/>
          <w:color w:val="auto"/>
          <w:szCs w:val="21"/>
          <w:u w:val="single"/>
        </w:rPr>
        <w:t>:</w:t>
      </w:r>
      <w:r>
        <w:rPr>
          <w:rFonts w:hint="eastAsia" w:ascii="宋体" w:hAnsi="宋体" w:cs="宋体"/>
          <w:bCs/>
          <w:color w:val="auto"/>
          <w:szCs w:val="21"/>
          <w:u w:val="single"/>
          <w:lang w:val="en-US" w:eastAsia="zh-CN"/>
        </w:rPr>
        <w:t>30</w:t>
      </w:r>
      <w:r>
        <w:rPr>
          <w:rFonts w:hint="eastAsia" w:ascii="宋体" w:hAnsi="宋体" w:cs="宋体"/>
          <w:bCs/>
          <w:color w:val="auto"/>
          <w:szCs w:val="21"/>
          <w:u w:val="single"/>
        </w:rPr>
        <w:t xml:space="preserve">分 </w:t>
      </w:r>
      <w:r>
        <w:rPr>
          <w:rFonts w:hint="eastAsia" w:ascii="宋体" w:hAnsi="宋体" w:cs="宋体"/>
          <w:bCs/>
          <w:color w:val="auto"/>
          <w:szCs w:val="21"/>
        </w:rPr>
        <w:t>（北京时间）前提交响应文件</w:t>
      </w:r>
      <w:r>
        <w:rPr>
          <w:rFonts w:hint="eastAsia" w:ascii="宋体" w:hAnsi="宋体" w:cs="宋体"/>
          <w:color w:val="auto"/>
          <w:szCs w:val="21"/>
        </w:rPr>
        <w:t>。</w:t>
      </w:r>
    </w:p>
    <w:p>
      <w:pPr>
        <w:rPr>
          <w:rFonts w:ascii="宋体" w:hAnsi="宋体" w:cs="宋体"/>
          <w:color w:val="auto"/>
          <w:szCs w:val="21"/>
        </w:rPr>
      </w:pPr>
    </w:p>
    <w:p>
      <w:pPr>
        <w:pStyle w:val="6"/>
        <w:spacing w:before="0" w:after="0" w:line="288" w:lineRule="auto"/>
        <w:rPr>
          <w:rFonts w:ascii="宋体" w:hAnsi="宋体" w:eastAsia="宋体" w:cs="宋体"/>
          <w:bCs w:val="0"/>
          <w:color w:val="auto"/>
          <w:sz w:val="21"/>
          <w:szCs w:val="21"/>
        </w:rPr>
      </w:pPr>
      <w:bookmarkStart w:id="2" w:name="_Toc28359012"/>
      <w:bookmarkStart w:id="3" w:name="_Toc28359089"/>
      <w:bookmarkStart w:id="4" w:name="_Toc35393798"/>
      <w:bookmarkStart w:id="5" w:name="_Toc35393629"/>
      <w:r>
        <w:rPr>
          <w:rFonts w:hint="eastAsia" w:ascii="宋体" w:hAnsi="宋体" w:eastAsia="宋体" w:cs="宋体"/>
          <w:bCs w:val="0"/>
          <w:color w:val="auto"/>
          <w:sz w:val="21"/>
          <w:szCs w:val="21"/>
        </w:rPr>
        <w:t>一、项目基本情况</w:t>
      </w:r>
      <w:bookmarkEnd w:id="2"/>
      <w:bookmarkEnd w:id="3"/>
      <w:bookmarkEnd w:id="4"/>
      <w:bookmarkEnd w:id="5"/>
    </w:p>
    <w:p>
      <w:pPr>
        <w:spacing w:line="288" w:lineRule="auto"/>
        <w:ind w:firstLine="420" w:firstLineChars="200"/>
        <w:rPr>
          <w:rFonts w:ascii="宋体" w:hAnsi="宋体" w:cs="宋体"/>
          <w:color w:val="auto"/>
          <w:szCs w:val="21"/>
        </w:rPr>
      </w:pPr>
      <w:r>
        <w:rPr>
          <w:rFonts w:hint="eastAsia" w:ascii="宋体" w:hAnsi="宋体" w:cs="宋体"/>
          <w:color w:val="auto"/>
          <w:szCs w:val="21"/>
        </w:rPr>
        <w:t>项目编号：</w:t>
      </w:r>
      <w:r>
        <w:rPr>
          <w:rFonts w:hint="eastAsia" w:ascii="宋体" w:hAnsi="宋体" w:cs="宋体"/>
          <w:color w:val="auto"/>
          <w:szCs w:val="21"/>
          <w:lang w:eastAsia="zh-CN"/>
        </w:rPr>
        <w:t>QZZC2024-J1-990477-GXLJ</w:t>
      </w:r>
    </w:p>
    <w:p>
      <w:pPr>
        <w:spacing w:line="288" w:lineRule="auto"/>
        <w:ind w:firstLine="420" w:firstLineChars="200"/>
        <w:rPr>
          <w:rFonts w:ascii="宋体" w:hAnsi="宋体" w:cs="宋体"/>
          <w:color w:val="auto"/>
          <w:szCs w:val="21"/>
        </w:rPr>
      </w:pPr>
      <w:r>
        <w:rPr>
          <w:rFonts w:hint="eastAsia" w:ascii="宋体" w:hAnsi="宋体" w:cs="宋体"/>
          <w:color w:val="auto"/>
          <w:szCs w:val="21"/>
        </w:rPr>
        <w:t>项目名称：钦州市外国语学校新校区图书采购项目</w:t>
      </w:r>
    </w:p>
    <w:p>
      <w:pPr>
        <w:spacing w:line="288" w:lineRule="auto"/>
        <w:ind w:firstLine="420" w:firstLineChars="200"/>
        <w:rPr>
          <w:rFonts w:ascii="宋体" w:hAnsi="宋体" w:cs="宋体"/>
          <w:color w:val="auto"/>
          <w:szCs w:val="21"/>
        </w:rPr>
      </w:pPr>
      <w:r>
        <w:rPr>
          <w:rFonts w:hint="eastAsia" w:ascii="宋体" w:hAnsi="宋体" w:cs="宋体"/>
          <w:color w:val="auto"/>
          <w:szCs w:val="21"/>
        </w:rPr>
        <w:t xml:space="preserve">采购方式：竞争性谈判 </w:t>
      </w:r>
    </w:p>
    <w:p>
      <w:pPr>
        <w:spacing w:line="288" w:lineRule="auto"/>
        <w:ind w:firstLine="420" w:firstLineChars="200"/>
        <w:rPr>
          <w:rFonts w:ascii="宋体" w:hAnsi="宋体" w:cs="宋体"/>
          <w:color w:val="auto"/>
          <w:szCs w:val="21"/>
        </w:rPr>
      </w:pPr>
      <w:r>
        <w:rPr>
          <w:rFonts w:hint="eastAsia" w:ascii="宋体" w:hAnsi="宋体" w:cs="宋体"/>
          <w:color w:val="auto"/>
          <w:szCs w:val="21"/>
        </w:rPr>
        <w:t>预算总金额（元）1260000.00</w:t>
      </w:r>
      <w:r>
        <w:rPr>
          <w:rFonts w:hint="eastAsia" w:ascii="宋体" w:hAnsi="Courier New"/>
          <w:color w:val="auto"/>
          <w:szCs w:val="21"/>
        </w:rPr>
        <w:t xml:space="preserve"> </w:t>
      </w:r>
    </w:p>
    <w:p>
      <w:pPr>
        <w:spacing w:line="288" w:lineRule="auto"/>
        <w:ind w:left="420" w:leftChars="200"/>
        <w:rPr>
          <w:rFonts w:ascii="宋体" w:hAnsi="宋体" w:cs="宋体"/>
          <w:color w:val="auto"/>
          <w:szCs w:val="21"/>
        </w:rPr>
      </w:pPr>
      <w:r>
        <w:rPr>
          <w:rFonts w:hint="eastAsia" w:ascii="宋体" w:hAnsi="宋体" w:cs="宋体"/>
          <w:color w:val="auto"/>
          <w:szCs w:val="21"/>
        </w:rPr>
        <w:t>采购需求：</w:t>
      </w:r>
    </w:p>
    <w:p>
      <w:pPr>
        <w:pStyle w:val="22"/>
        <w:rPr>
          <w:color w:val="auto"/>
          <w:sz w:val="21"/>
          <w:szCs w:val="21"/>
        </w:rPr>
      </w:pPr>
    </w:p>
    <w:p>
      <w:pPr>
        <w:pStyle w:val="22"/>
        <w:ind w:firstLine="840" w:firstLineChars="400"/>
        <w:rPr>
          <w:color w:val="auto"/>
          <w:sz w:val="21"/>
          <w:szCs w:val="21"/>
        </w:rPr>
      </w:pPr>
      <w:r>
        <w:rPr>
          <w:rFonts w:hint="eastAsia"/>
          <w:color w:val="auto"/>
          <w:sz w:val="21"/>
          <w:szCs w:val="21"/>
        </w:rPr>
        <w:t>标项名称:钦州市外国语学校新校区图书采购项目</w:t>
      </w:r>
    </w:p>
    <w:p>
      <w:pPr>
        <w:pStyle w:val="22"/>
        <w:ind w:firstLine="840" w:firstLineChars="400"/>
        <w:rPr>
          <w:color w:val="auto"/>
          <w:sz w:val="21"/>
          <w:szCs w:val="21"/>
        </w:rPr>
      </w:pPr>
      <w:r>
        <w:rPr>
          <w:rFonts w:hint="eastAsia"/>
          <w:color w:val="auto"/>
          <w:sz w:val="21"/>
          <w:szCs w:val="21"/>
        </w:rPr>
        <w:t>数量:</w:t>
      </w:r>
      <w:r>
        <w:rPr>
          <w:rFonts w:hint="eastAsia"/>
          <w:color w:val="auto"/>
          <w:sz w:val="21"/>
          <w:szCs w:val="21"/>
          <w:lang w:val="en-US" w:eastAsia="zh-CN"/>
        </w:rPr>
        <w:t>1</w:t>
      </w:r>
    </w:p>
    <w:p>
      <w:pPr>
        <w:spacing w:line="288" w:lineRule="auto"/>
        <w:ind w:firstLine="840" w:firstLineChars="400"/>
        <w:rPr>
          <w:rFonts w:ascii="宋体" w:hAnsi="宋体" w:cs="宋体"/>
          <w:color w:val="auto"/>
          <w:szCs w:val="21"/>
        </w:rPr>
      </w:pPr>
      <w:r>
        <w:rPr>
          <w:rFonts w:hint="eastAsia"/>
          <w:color w:val="auto"/>
          <w:szCs w:val="21"/>
        </w:rPr>
        <w:t>预算金额（元）</w:t>
      </w:r>
      <w:r>
        <w:rPr>
          <w:rFonts w:hint="eastAsia" w:ascii="宋体" w:hAnsi="宋体" w:cs="宋体"/>
          <w:color w:val="auto"/>
          <w:szCs w:val="21"/>
        </w:rPr>
        <w:t>1260000.00</w:t>
      </w:r>
    </w:p>
    <w:p>
      <w:pPr>
        <w:pStyle w:val="22"/>
        <w:ind w:firstLine="840" w:firstLineChars="400"/>
        <w:rPr>
          <w:color w:val="auto"/>
          <w:sz w:val="21"/>
          <w:szCs w:val="21"/>
        </w:rPr>
      </w:pPr>
      <w:r>
        <w:rPr>
          <w:rFonts w:hint="eastAsia"/>
          <w:color w:val="auto"/>
          <w:sz w:val="21"/>
          <w:szCs w:val="21"/>
        </w:rPr>
        <w:t>简要规格描述或项目基本概况介绍、用途：</w:t>
      </w:r>
      <w:r>
        <w:rPr>
          <w:rFonts w:hint="eastAsia"/>
          <w:color w:val="auto"/>
          <w:sz w:val="21"/>
          <w:szCs w:val="21"/>
          <w:lang w:eastAsia="zh-CN"/>
        </w:rPr>
        <w:t>采购智慧图书馆设备及图书一批</w:t>
      </w:r>
      <w:r>
        <w:rPr>
          <w:rFonts w:hint="eastAsia"/>
          <w:color w:val="auto"/>
          <w:sz w:val="21"/>
          <w:szCs w:val="21"/>
        </w:rPr>
        <w:t>，详见采购需求一览表。</w:t>
      </w:r>
    </w:p>
    <w:p>
      <w:pPr>
        <w:spacing w:line="288" w:lineRule="auto"/>
        <w:ind w:firstLine="840" w:firstLineChars="400"/>
        <w:rPr>
          <w:color w:val="auto"/>
          <w:szCs w:val="21"/>
        </w:rPr>
      </w:pPr>
      <w:r>
        <w:rPr>
          <w:rFonts w:hint="eastAsia"/>
          <w:color w:val="auto"/>
          <w:szCs w:val="21"/>
        </w:rPr>
        <w:t>最高限价（如有）：</w:t>
      </w:r>
      <w:r>
        <w:rPr>
          <w:rFonts w:hint="eastAsia" w:ascii="宋体" w:hAnsi="宋体" w:cs="宋体"/>
          <w:color w:val="auto"/>
          <w:szCs w:val="21"/>
        </w:rPr>
        <w:t>1260000.00</w:t>
      </w:r>
    </w:p>
    <w:p>
      <w:pPr>
        <w:pStyle w:val="22"/>
        <w:ind w:firstLine="840" w:firstLineChars="400"/>
        <w:rPr>
          <w:color w:val="auto"/>
          <w:sz w:val="21"/>
          <w:szCs w:val="21"/>
        </w:rPr>
      </w:pPr>
      <w:r>
        <w:rPr>
          <w:rFonts w:hint="eastAsia"/>
          <w:color w:val="auto"/>
          <w:sz w:val="21"/>
          <w:szCs w:val="21"/>
        </w:rPr>
        <w:t>合同履约期限：自签订合同之日起30个日历日内交货安装完毕并通过验收。</w:t>
      </w:r>
    </w:p>
    <w:p>
      <w:pPr>
        <w:pStyle w:val="22"/>
        <w:ind w:firstLine="840" w:firstLineChars="400"/>
        <w:rPr>
          <w:color w:val="auto"/>
          <w:sz w:val="21"/>
          <w:szCs w:val="21"/>
        </w:rPr>
      </w:pPr>
      <w:r>
        <w:rPr>
          <w:rFonts w:hint="eastAsia"/>
          <w:color w:val="auto"/>
          <w:sz w:val="21"/>
          <w:szCs w:val="21"/>
        </w:rPr>
        <w:t>本项目（否）接受联合体投标</w:t>
      </w:r>
    </w:p>
    <w:p>
      <w:pPr>
        <w:pStyle w:val="22"/>
        <w:ind w:firstLine="840" w:firstLineChars="400"/>
        <w:rPr>
          <w:color w:val="auto"/>
          <w:sz w:val="21"/>
          <w:szCs w:val="21"/>
        </w:rPr>
      </w:pPr>
      <w:r>
        <w:rPr>
          <w:rFonts w:hint="eastAsia"/>
          <w:color w:val="auto"/>
          <w:sz w:val="21"/>
          <w:szCs w:val="21"/>
        </w:rPr>
        <w:t>备注：</w:t>
      </w:r>
    </w:p>
    <w:p>
      <w:pPr>
        <w:pStyle w:val="22"/>
        <w:rPr>
          <w:color w:val="auto"/>
          <w:sz w:val="21"/>
          <w:szCs w:val="21"/>
        </w:rPr>
      </w:pPr>
    </w:p>
    <w:p>
      <w:pPr>
        <w:pStyle w:val="6"/>
        <w:spacing w:before="0" w:after="0" w:line="288" w:lineRule="auto"/>
        <w:rPr>
          <w:rFonts w:ascii="宋体" w:hAnsi="宋体" w:eastAsia="宋体" w:cs="宋体"/>
          <w:bCs w:val="0"/>
          <w:color w:val="auto"/>
          <w:sz w:val="21"/>
          <w:szCs w:val="21"/>
        </w:rPr>
      </w:pPr>
      <w:bookmarkStart w:id="6" w:name="_Toc28359013"/>
      <w:bookmarkStart w:id="7" w:name="_Toc35393799"/>
      <w:bookmarkStart w:id="8" w:name="_Toc28359090"/>
      <w:bookmarkStart w:id="9" w:name="_Toc35393630"/>
      <w:r>
        <w:rPr>
          <w:rFonts w:hint="eastAsia" w:ascii="宋体" w:hAnsi="宋体" w:eastAsia="宋体" w:cs="宋体"/>
          <w:bCs w:val="0"/>
          <w:color w:val="auto"/>
          <w:sz w:val="21"/>
          <w:szCs w:val="21"/>
        </w:rPr>
        <w:t>二、申请人的资格要求：</w:t>
      </w:r>
      <w:bookmarkEnd w:id="6"/>
      <w:bookmarkEnd w:id="7"/>
      <w:bookmarkEnd w:id="8"/>
      <w:bookmarkEnd w:id="9"/>
    </w:p>
    <w:p>
      <w:pPr>
        <w:spacing w:line="288" w:lineRule="auto"/>
        <w:ind w:firstLine="420" w:firstLineChars="200"/>
        <w:rPr>
          <w:rFonts w:ascii="宋体" w:hAnsi="宋体" w:cs="宋体"/>
          <w:color w:val="auto"/>
          <w:szCs w:val="21"/>
        </w:rPr>
      </w:pPr>
      <w:bookmarkStart w:id="10" w:name="_Toc28359014"/>
      <w:bookmarkStart w:id="11" w:name="_Toc28359091"/>
      <w:r>
        <w:rPr>
          <w:rFonts w:hint="eastAsia" w:ascii="宋体" w:hAnsi="宋体" w:cs="宋体"/>
          <w:color w:val="auto"/>
          <w:szCs w:val="21"/>
        </w:rPr>
        <w:t>1.基本资格要求：满足《中华人民共和国政府采购法》第二十二条的规定。</w:t>
      </w:r>
    </w:p>
    <w:p>
      <w:pPr>
        <w:tabs>
          <w:tab w:val="left" w:pos="2520"/>
        </w:tabs>
        <w:spacing w:line="288" w:lineRule="auto"/>
        <w:ind w:firstLine="420" w:firstLineChars="200"/>
        <w:rPr>
          <w:rFonts w:ascii="宋体" w:hAnsi="宋体" w:cs="宋体"/>
          <w:color w:val="auto"/>
          <w:szCs w:val="21"/>
        </w:rPr>
      </w:pPr>
      <w:r>
        <w:rPr>
          <w:rFonts w:hint="eastAsia" w:ascii="宋体" w:hAnsi="宋体" w:cs="宋体"/>
          <w:color w:val="auto"/>
          <w:szCs w:val="21"/>
        </w:rPr>
        <w:t xml:space="preserve">2.落实政府采购政策需满足的资格要求：无  </w:t>
      </w:r>
    </w:p>
    <w:p>
      <w:pPr>
        <w:spacing w:line="288" w:lineRule="auto"/>
        <w:ind w:firstLine="420" w:firstLineChars="200"/>
        <w:rPr>
          <w:rFonts w:ascii="宋体" w:hAnsi="宋体" w:cs="宋体"/>
          <w:color w:val="auto"/>
          <w:szCs w:val="21"/>
        </w:rPr>
      </w:pPr>
      <w:r>
        <w:rPr>
          <w:rFonts w:hint="eastAsia" w:ascii="宋体" w:hAnsi="宋体" w:cs="宋体"/>
          <w:color w:val="auto"/>
          <w:szCs w:val="21"/>
        </w:rPr>
        <w:t>3.本项目的特定资格要求：（1）供应商须具备有效的《中华人民共和国出版物经营许可证》。（2）未被“信用中国”（www.creditchina.gov.cn）、中国政府采购网（www.ccgp.gov.cn）列入失信被执行人、重大税收违法案件当事人名单、政府采购严重违法失信行为记录名单。（3）单位负责人为同一人或者存在直接控股、管理关系的不同供应商，不得参加同一合同项下的政府采购活动。</w:t>
      </w:r>
    </w:p>
    <w:p>
      <w:pPr>
        <w:pStyle w:val="6"/>
        <w:spacing w:before="0" w:after="0" w:line="288" w:lineRule="auto"/>
        <w:rPr>
          <w:rFonts w:ascii="宋体" w:hAnsi="宋体" w:eastAsia="宋体" w:cs="宋体"/>
          <w:bCs w:val="0"/>
          <w:color w:val="auto"/>
          <w:sz w:val="21"/>
          <w:szCs w:val="21"/>
        </w:rPr>
      </w:pPr>
      <w:bookmarkStart w:id="12" w:name="_Toc35393800"/>
      <w:bookmarkStart w:id="13" w:name="_Toc35393631"/>
      <w:r>
        <w:rPr>
          <w:rFonts w:hint="eastAsia" w:ascii="宋体" w:hAnsi="宋体" w:eastAsia="宋体" w:cs="宋体"/>
          <w:bCs w:val="0"/>
          <w:color w:val="auto"/>
          <w:sz w:val="21"/>
          <w:szCs w:val="21"/>
        </w:rPr>
        <w:t>三、获取采购文件</w:t>
      </w:r>
      <w:bookmarkEnd w:id="10"/>
      <w:bookmarkEnd w:id="11"/>
      <w:bookmarkEnd w:id="12"/>
      <w:bookmarkEnd w:id="13"/>
    </w:p>
    <w:p>
      <w:pPr>
        <w:spacing w:line="288" w:lineRule="auto"/>
        <w:ind w:firstLine="540"/>
        <w:rPr>
          <w:rFonts w:ascii="宋体" w:hAnsi="宋体" w:cs="宋体"/>
          <w:color w:val="auto"/>
          <w:szCs w:val="21"/>
        </w:rPr>
      </w:pPr>
      <w:r>
        <w:rPr>
          <w:rFonts w:hint="eastAsia" w:ascii="宋体" w:hAnsi="宋体" w:cs="宋体"/>
          <w:color w:val="auto"/>
          <w:szCs w:val="21"/>
        </w:rPr>
        <w:t>时间：2024年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28</w:t>
      </w:r>
      <w:r>
        <w:rPr>
          <w:rFonts w:hint="eastAsia" w:ascii="宋体" w:hAnsi="宋体" w:cs="宋体"/>
          <w:color w:val="auto"/>
          <w:szCs w:val="21"/>
        </w:rPr>
        <w:t>日至2024年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31</w:t>
      </w:r>
      <w:r>
        <w:rPr>
          <w:rFonts w:hint="eastAsia" w:ascii="宋体" w:hAnsi="宋体" w:cs="宋体"/>
          <w:color w:val="auto"/>
          <w:szCs w:val="21"/>
        </w:rPr>
        <w:t>日，每天上午8:00至12:00，下午15:00至18:00（北京时间，法定节假日除外 ）</w:t>
      </w:r>
    </w:p>
    <w:p>
      <w:pPr>
        <w:spacing w:line="288" w:lineRule="auto"/>
        <w:ind w:firstLine="540"/>
        <w:rPr>
          <w:rFonts w:ascii="宋体" w:hAnsi="宋体" w:cs="宋体"/>
          <w:color w:val="auto"/>
          <w:szCs w:val="21"/>
        </w:rPr>
      </w:pPr>
      <w:r>
        <w:rPr>
          <w:rFonts w:hint="eastAsia" w:ascii="宋体" w:hAnsi="宋体" w:cs="宋体"/>
          <w:color w:val="auto"/>
          <w:szCs w:val="21"/>
        </w:rPr>
        <w:t>地点（网址）：广西政府采购云平台（https://www.gcy.zfcg.gxzf.gov.cn/）</w:t>
      </w:r>
    </w:p>
    <w:p>
      <w:pPr>
        <w:spacing w:line="288" w:lineRule="auto"/>
        <w:ind w:firstLine="540"/>
        <w:rPr>
          <w:rFonts w:ascii="宋体" w:hAnsi="宋体" w:cs="宋体"/>
          <w:color w:val="auto"/>
          <w:szCs w:val="21"/>
        </w:rPr>
      </w:pPr>
      <w:r>
        <w:rPr>
          <w:rFonts w:hint="eastAsia" w:ascii="宋体" w:hAnsi="宋体" w:cs="宋体"/>
          <w:color w:val="auto"/>
          <w:szCs w:val="21"/>
        </w:rPr>
        <w:t>方式：本项目不发放纸质采购文件，</w:t>
      </w:r>
      <w:r>
        <w:rPr>
          <w:rFonts w:hint="eastAsia" w:ascii="宋体" w:hAnsi="宋体" w:cs="宋体"/>
          <w:color w:val="auto"/>
          <w:szCs w:val="21"/>
          <w:shd w:val="clear" w:color="auto" w:fill="FFFFFF"/>
        </w:rPr>
        <w:t>由潜在供应商自行注册账号密码或企业CA锁登录</w:t>
      </w:r>
      <w:r>
        <w:rPr>
          <w:rFonts w:ascii="宋体" w:hAnsi="宋体" w:cs="宋体"/>
          <w:color w:val="auto"/>
          <w:szCs w:val="21"/>
          <w:shd w:val="clear" w:color="auto" w:fill="FFFFFF"/>
        </w:rPr>
        <w:t>广西政府采购云平台</w:t>
      </w:r>
      <w:r>
        <w:rPr>
          <w:rFonts w:hint="eastAsia" w:ascii="宋体" w:hAnsi="宋体" w:cs="宋体"/>
          <w:color w:val="auto"/>
          <w:szCs w:val="21"/>
          <w:shd w:val="clear" w:color="auto" w:fill="FFFFFF"/>
        </w:rPr>
        <w:t>免费下载，通过其他方式获取采购文件的，将有可能导致供应商无法在</w:t>
      </w:r>
      <w:r>
        <w:rPr>
          <w:rFonts w:ascii="宋体" w:hAnsi="宋体" w:cs="宋体"/>
          <w:color w:val="auto"/>
          <w:szCs w:val="21"/>
          <w:shd w:val="clear" w:color="auto" w:fill="FFFFFF"/>
        </w:rPr>
        <w:t>广西政府采购云平台</w:t>
      </w:r>
      <w:r>
        <w:rPr>
          <w:rFonts w:hint="eastAsia" w:ascii="宋体" w:hAnsi="宋体" w:cs="宋体"/>
          <w:color w:val="auto"/>
          <w:szCs w:val="21"/>
          <w:shd w:val="clear" w:color="auto" w:fill="FFFFFF"/>
        </w:rPr>
        <w:t>编制及上传</w:t>
      </w:r>
      <w:r>
        <w:rPr>
          <w:rFonts w:hint="eastAsia" w:ascii="宋体" w:hAnsi="宋体" w:cs="宋体"/>
          <w:color w:val="auto"/>
          <w:szCs w:val="21"/>
        </w:rPr>
        <w:t>响应文件。</w:t>
      </w:r>
    </w:p>
    <w:p>
      <w:pPr>
        <w:spacing w:line="288" w:lineRule="auto"/>
        <w:ind w:firstLine="540"/>
        <w:rPr>
          <w:rFonts w:ascii="宋体" w:hAnsi="宋体" w:cs="宋体"/>
          <w:color w:val="auto"/>
          <w:szCs w:val="21"/>
        </w:rPr>
      </w:pPr>
      <w:r>
        <w:rPr>
          <w:rFonts w:hint="eastAsia" w:ascii="宋体" w:hAnsi="宋体" w:cs="宋体"/>
          <w:color w:val="auto"/>
          <w:szCs w:val="21"/>
        </w:rPr>
        <w:t>售价（元）：0</w:t>
      </w:r>
    </w:p>
    <w:p>
      <w:pPr>
        <w:pStyle w:val="6"/>
        <w:spacing w:before="0" w:after="0" w:line="288" w:lineRule="auto"/>
        <w:rPr>
          <w:rFonts w:ascii="宋体" w:hAnsi="宋体" w:eastAsia="宋体" w:cs="宋体"/>
          <w:bCs w:val="0"/>
          <w:color w:val="auto"/>
          <w:sz w:val="21"/>
          <w:szCs w:val="21"/>
        </w:rPr>
      </w:pPr>
      <w:bookmarkStart w:id="14" w:name="_Toc35393801"/>
      <w:bookmarkStart w:id="15" w:name="_Toc28359015"/>
      <w:bookmarkStart w:id="16" w:name="_Toc35393632"/>
      <w:bookmarkStart w:id="17" w:name="_Toc28359092"/>
      <w:r>
        <w:rPr>
          <w:rFonts w:hint="eastAsia" w:ascii="宋体" w:hAnsi="宋体" w:eastAsia="宋体" w:cs="宋体"/>
          <w:bCs w:val="0"/>
          <w:color w:val="auto"/>
          <w:sz w:val="21"/>
          <w:szCs w:val="21"/>
        </w:rPr>
        <w:t>四、响应文件提交</w:t>
      </w:r>
      <w:bookmarkEnd w:id="14"/>
      <w:bookmarkEnd w:id="15"/>
      <w:bookmarkEnd w:id="16"/>
      <w:bookmarkEnd w:id="17"/>
    </w:p>
    <w:p>
      <w:pPr>
        <w:spacing w:line="288" w:lineRule="auto"/>
        <w:ind w:firstLine="420" w:firstLineChars="200"/>
        <w:rPr>
          <w:rFonts w:ascii="宋体" w:hAnsi="宋体" w:cs="宋体"/>
          <w:bCs/>
          <w:color w:val="auto"/>
          <w:szCs w:val="21"/>
        </w:rPr>
      </w:pPr>
      <w:r>
        <w:rPr>
          <w:rFonts w:hint="eastAsia" w:ascii="宋体" w:hAnsi="宋体" w:cs="宋体"/>
          <w:bCs/>
          <w:color w:val="auto"/>
          <w:szCs w:val="21"/>
        </w:rPr>
        <w:t>截止时间：</w:t>
      </w:r>
      <w:r>
        <w:rPr>
          <w:rFonts w:hint="eastAsia" w:ascii="宋体" w:hAnsi="宋体" w:cs="宋体"/>
          <w:color w:val="auto"/>
          <w:szCs w:val="21"/>
          <w:u w:val="single"/>
        </w:rPr>
        <w:t>2024</w:t>
      </w:r>
      <w:r>
        <w:rPr>
          <w:rFonts w:hint="eastAsia" w:ascii="宋体" w:hAnsi="宋体" w:cs="宋体"/>
          <w:bCs/>
          <w:color w:val="auto"/>
          <w:szCs w:val="21"/>
          <w:u w:val="single"/>
        </w:rPr>
        <w:t>年</w:t>
      </w:r>
      <w:r>
        <w:rPr>
          <w:rFonts w:hint="eastAsia" w:ascii="宋体" w:hAnsi="宋体" w:cs="宋体"/>
          <w:bCs/>
          <w:color w:val="auto"/>
          <w:szCs w:val="21"/>
          <w:u w:val="single"/>
          <w:lang w:val="en-US" w:eastAsia="zh-CN"/>
        </w:rPr>
        <w:t>11</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1</w:t>
      </w:r>
      <w:r>
        <w:rPr>
          <w:rFonts w:hint="eastAsia" w:ascii="宋体" w:hAnsi="宋体" w:cs="宋体"/>
          <w:bCs/>
          <w:color w:val="auto"/>
          <w:szCs w:val="21"/>
          <w:u w:val="single"/>
        </w:rPr>
        <w:t>日</w:t>
      </w:r>
      <w:r>
        <w:rPr>
          <w:rFonts w:hint="eastAsia" w:ascii="宋体" w:hAnsi="宋体" w:cs="宋体"/>
          <w:bCs/>
          <w:color w:val="auto"/>
          <w:szCs w:val="21"/>
          <w:u w:val="single"/>
          <w:lang w:val="en-US" w:eastAsia="zh-CN"/>
        </w:rPr>
        <w:t>8</w:t>
      </w:r>
      <w:r>
        <w:rPr>
          <w:rFonts w:hint="eastAsia" w:ascii="宋体" w:hAnsi="宋体" w:cs="宋体"/>
          <w:bCs/>
          <w:color w:val="auto"/>
          <w:szCs w:val="21"/>
          <w:u w:val="single"/>
        </w:rPr>
        <w:t>:</w:t>
      </w:r>
      <w:r>
        <w:rPr>
          <w:rFonts w:hint="eastAsia" w:ascii="宋体" w:hAnsi="宋体" w:cs="宋体"/>
          <w:bCs/>
          <w:color w:val="auto"/>
          <w:szCs w:val="21"/>
          <w:u w:val="single"/>
          <w:lang w:val="en-US" w:eastAsia="zh-CN"/>
        </w:rPr>
        <w:t>30</w:t>
      </w:r>
      <w:r>
        <w:rPr>
          <w:rFonts w:hint="eastAsia" w:ascii="宋体" w:hAnsi="宋体" w:cs="宋体"/>
          <w:bCs/>
          <w:color w:val="auto"/>
          <w:szCs w:val="21"/>
          <w:u w:val="single"/>
        </w:rPr>
        <w:t>分</w:t>
      </w:r>
      <w:r>
        <w:rPr>
          <w:rFonts w:hint="eastAsia" w:ascii="宋体" w:hAnsi="宋体" w:cs="宋体"/>
          <w:bCs/>
          <w:color w:val="auto"/>
          <w:szCs w:val="21"/>
        </w:rPr>
        <w:t>（北京时间）</w:t>
      </w:r>
    </w:p>
    <w:p>
      <w:pPr>
        <w:spacing w:line="288" w:lineRule="auto"/>
        <w:ind w:firstLine="420" w:firstLineChars="200"/>
        <w:rPr>
          <w:rFonts w:ascii="宋体" w:hAnsi="宋体" w:cs="宋体"/>
          <w:bCs/>
          <w:color w:val="auto"/>
          <w:szCs w:val="21"/>
        </w:rPr>
      </w:pPr>
      <w:r>
        <w:rPr>
          <w:rFonts w:hint="eastAsia" w:ascii="宋体" w:hAnsi="宋体" w:cs="宋体"/>
          <w:bCs/>
          <w:color w:val="auto"/>
          <w:szCs w:val="21"/>
        </w:rPr>
        <w:t>地点（网址）：通过</w:t>
      </w:r>
      <w:r>
        <w:rPr>
          <w:rFonts w:hint="eastAsia" w:ascii="宋体" w:hAnsi="宋体" w:cs="宋体"/>
          <w:color w:val="auto"/>
          <w:szCs w:val="21"/>
        </w:rPr>
        <w:t>广西政府采购云平台（https://www.gcy.zfcg.gxzf.gov.cn/）上传响应文件，并在线竞标。</w:t>
      </w:r>
    </w:p>
    <w:p>
      <w:pPr>
        <w:pStyle w:val="6"/>
        <w:spacing w:before="0" w:after="0" w:line="288" w:lineRule="auto"/>
        <w:rPr>
          <w:rFonts w:ascii="宋体" w:hAnsi="宋体" w:eastAsia="宋体" w:cs="宋体"/>
          <w:bCs w:val="0"/>
          <w:color w:val="auto"/>
          <w:sz w:val="21"/>
          <w:szCs w:val="21"/>
        </w:rPr>
      </w:pPr>
      <w:bookmarkStart w:id="18" w:name="_Toc35393802"/>
      <w:bookmarkStart w:id="19" w:name="_Toc28359093"/>
      <w:bookmarkStart w:id="20" w:name="_Toc35393633"/>
      <w:bookmarkStart w:id="21" w:name="_Toc28359016"/>
      <w:r>
        <w:rPr>
          <w:rFonts w:hint="eastAsia" w:ascii="宋体" w:hAnsi="宋体" w:eastAsia="宋体" w:cs="宋体"/>
          <w:bCs w:val="0"/>
          <w:color w:val="auto"/>
          <w:sz w:val="21"/>
          <w:szCs w:val="21"/>
        </w:rPr>
        <w:t>五、开启</w:t>
      </w:r>
      <w:bookmarkEnd w:id="18"/>
      <w:bookmarkEnd w:id="19"/>
      <w:bookmarkEnd w:id="20"/>
      <w:bookmarkEnd w:id="21"/>
    </w:p>
    <w:p>
      <w:pPr>
        <w:spacing w:line="288" w:lineRule="auto"/>
        <w:ind w:firstLine="420" w:firstLineChars="200"/>
        <w:rPr>
          <w:rFonts w:ascii="宋体" w:hAnsi="宋体" w:cs="宋体"/>
          <w:bCs/>
          <w:color w:val="auto"/>
          <w:szCs w:val="21"/>
        </w:rPr>
      </w:pPr>
      <w:r>
        <w:rPr>
          <w:rFonts w:hint="eastAsia" w:ascii="宋体" w:hAnsi="宋体" w:cs="宋体"/>
          <w:bCs/>
          <w:color w:val="auto"/>
          <w:szCs w:val="21"/>
        </w:rPr>
        <w:t>开启时间：</w:t>
      </w:r>
      <w:r>
        <w:rPr>
          <w:rFonts w:hint="eastAsia" w:ascii="宋体" w:hAnsi="宋体" w:cs="宋体"/>
          <w:color w:val="auto"/>
          <w:szCs w:val="21"/>
          <w:u w:val="single"/>
        </w:rPr>
        <w:t>2024</w:t>
      </w:r>
      <w:r>
        <w:rPr>
          <w:rFonts w:hint="eastAsia" w:ascii="宋体" w:hAnsi="宋体" w:cs="宋体"/>
          <w:bCs/>
          <w:color w:val="auto"/>
          <w:szCs w:val="21"/>
          <w:u w:val="single"/>
        </w:rPr>
        <w:t>年</w:t>
      </w:r>
      <w:r>
        <w:rPr>
          <w:rFonts w:hint="eastAsia" w:ascii="宋体" w:hAnsi="宋体" w:cs="宋体"/>
          <w:bCs/>
          <w:color w:val="auto"/>
          <w:szCs w:val="21"/>
          <w:u w:val="single"/>
          <w:lang w:val="en-US" w:eastAsia="zh-CN"/>
        </w:rPr>
        <w:t>11</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1</w:t>
      </w:r>
      <w:r>
        <w:rPr>
          <w:rFonts w:hint="eastAsia" w:ascii="宋体" w:hAnsi="宋体" w:cs="宋体"/>
          <w:bCs/>
          <w:color w:val="auto"/>
          <w:szCs w:val="21"/>
          <w:u w:val="single"/>
        </w:rPr>
        <w:t xml:space="preserve">日 </w:t>
      </w:r>
      <w:r>
        <w:rPr>
          <w:rFonts w:hint="eastAsia" w:ascii="宋体" w:hAnsi="宋体" w:cs="宋体"/>
          <w:bCs/>
          <w:color w:val="auto"/>
          <w:szCs w:val="21"/>
          <w:u w:val="single"/>
          <w:lang w:val="en-US" w:eastAsia="zh-CN"/>
        </w:rPr>
        <w:t>8</w:t>
      </w:r>
      <w:r>
        <w:rPr>
          <w:rFonts w:hint="eastAsia" w:ascii="宋体" w:hAnsi="宋体" w:cs="宋体"/>
          <w:bCs/>
          <w:color w:val="auto"/>
          <w:szCs w:val="21"/>
          <w:u w:val="single"/>
        </w:rPr>
        <w:t>:</w:t>
      </w:r>
      <w:r>
        <w:rPr>
          <w:rFonts w:hint="eastAsia" w:ascii="宋体" w:hAnsi="宋体" w:cs="宋体"/>
          <w:bCs/>
          <w:color w:val="auto"/>
          <w:szCs w:val="21"/>
          <w:u w:val="single"/>
          <w:lang w:val="en-US" w:eastAsia="zh-CN"/>
        </w:rPr>
        <w:t>30</w:t>
      </w:r>
      <w:r>
        <w:rPr>
          <w:rFonts w:hint="eastAsia" w:ascii="宋体" w:hAnsi="宋体" w:cs="宋体"/>
          <w:bCs/>
          <w:color w:val="auto"/>
          <w:szCs w:val="21"/>
          <w:u w:val="single"/>
        </w:rPr>
        <w:t xml:space="preserve">分 </w:t>
      </w:r>
      <w:r>
        <w:rPr>
          <w:rFonts w:hint="eastAsia" w:ascii="宋体" w:hAnsi="宋体" w:cs="宋体"/>
          <w:bCs/>
          <w:color w:val="auto"/>
          <w:szCs w:val="21"/>
        </w:rPr>
        <w:t>（北京时间）</w:t>
      </w:r>
    </w:p>
    <w:p>
      <w:pPr>
        <w:spacing w:line="288" w:lineRule="auto"/>
        <w:ind w:firstLine="420" w:firstLineChars="200"/>
        <w:rPr>
          <w:rFonts w:ascii="宋体" w:hAnsi="宋体" w:cs="宋体"/>
          <w:bCs/>
          <w:color w:val="auto"/>
          <w:szCs w:val="21"/>
          <w:u w:val="single"/>
        </w:rPr>
      </w:pPr>
      <w:r>
        <w:rPr>
          <w:rFonts w:hint="eastAsia" w:ascii="宋体" w:hAnsi="宋体" w:cs="宋体"/>
          <w:bCs/>
          <w:color w:val="auto"/>
          <w:szCs w:val="21"/>
        </w:rPr>
        <w:t>地点：</w:t>
      </w:r>
      <w:r>
        <w:rPr>
          <w:rFonts w:ascii="宋体" w:hAnsi="宋体" w:cs="宋体"/>
          <w:bCs/>
          <w:color w:val="auto"/>
          <w:szCs w:val="21"/>
        </w:rPr>
        <w:t>广西政府采购云平台</w:t>
      </w:r>
      <w:r>
        <w:rPr>
          <w:rFonts w:hint="eastAsia" w:ascii="宋体" w:hAnsi="宋体" w:cs="宋体"/>
          <w:bCs/>
          <w:color w:val="auto"/>
          <w:szCs w:val="21"/>
        </w:rPr>
        <w:t>电子开标大厅在线解密开启</w:t>
      </w:r>
    </w:p>
    <w:p>
      <w:pPr>
        <w:pStyle w:val="6"/>
        <w:spacing w:before="0" w:after="0" w:line="288" w:lineRule="auto"/>
        <w:rPr>
          <w:rFonts w:ascii="宋体" w:hAnsi="宋体" w:eastAsia="宋体" w:cs="宋体"/>
          <w:bCs w:val="0"/>
          <w:color w:val="auto"/>
          <w:sz w:val="21"/>
          <w:szCs w:val="21"/>
        </w:rPr>
      </w:pPr>
      <w:bookmarkStart w:id="22" w:name="_Toc35393634"/>
      <w:bookmarkStart w:id="23" w:name="_Toc35393803"/>
      <w:bookmarkStart w:id="24" w:name="_Toc28359094"/>
      <w:bookmarkStart w:id="25" w:name="_Toc28359017"/>
      <w:r>
        <w:rPr>
          <w:rFonts w:hint="eastAsia" w:ascii="宋体" w:hAnsi="宋体" w:eastAsia="宋体" w:cs="宋体"/>
          <w:bCs w:val="0"/>
          <w:color w:val="auto"/>
          <w:sz w:val="21"/>
          <w:szCs w:val="21"/>
        </w:rPr>
        <w:t>六、公告期限</w:t>
      </w:r>
      <w:bookmarkEnd w:id="22"/>
      <w:bookmarkEnd w:id="23"/>
      <w:bookmarkEnd w:id="24"/>
      <w:bookmarkEnd w:id="25"/>
    </w:p>
    <w:p>
      <w:pPr>
        <w:spacing w:line="288" w:lineRule="auto"/>
        <w:ind w:firstLine="420" w:firstLineChars="200"/>
        <w:rPr>
          <w:rFonts w:ascii="宋体" w:hAnsi="宋体" w:cs="宋体"/>
          <w:color w:val="auto"/>
          <w:szCs w:val="21"/>
        </w:rPr>
      </w:pPr>
      <w:r>
        <w:rPr>
          <w:rFonts w:hint="eastAsia" w:ascii="宋体" w:hAnsi="宋体" w:cs="宋体"/>
          <w:color w:val="auto"/>
          <w:szCs w:val="21"/>
        </w:rPr>
        <w:t>自本公告发布之日起3个工作日。</w:t>
      </w:r>
    </w:p>
    <w:p>
      <w:pPr>
        <w:pStyle w:val="6"/>
        <w:spacing w:before="0" w:after="0" w:line="288" w:lineRule="auto"/>
        <w:rPr>
          <w:rFonts w:ascii="宋体" w:hAnsi="宋体" w:eastAsia="宋体" w:cs="宋体"/>
          <w:bCs w:val="0"/>
          <w:color w:val="auto"/>
          <w:sz w:val="21"/>
          <w:szCs w:val="21"/>
        </w:rPr>
      </w:pPr>
      <w:bookmarkStart w:id="26" w:name="_Toc35393804"/>
      <w:bookmarkStart w:id="27" w:name="_Toc35393635"/>
      <w:r>
        <w:rPr>
          <w:rFonts w:hint="eastAsia" w:ascii="宋体" w:hAnsi="宋体" w:eastAsia="宋体" w:cs="宋体"/>
          <w:bCs w:val="0"/>
          <w:color w:val="auto"/>
          <w:sz w:val="21"/>
          <w:szCs w:val="21"/>
        </w:rPr>
        <w:t>七、其他补充事宜</w:t>
      </w:r>
      <w:bookmarkEnd w:id="26"/>
      <w:bookmarkEnd w:id="27"/>
    </w:p>
    <w:p>
      <w:pPr>
        <w:spacing w:line="288" w:lineRule="auto"/>
        <w:ind w:firstLine="420" w:firstLineChars="200"/>
        <w:rPr>
          <w:rFonts w:ascii="宋体" w:hAnsi="宋体" w:cs="宋体"/>
          <w:color w:val="auto"/>
          <w:szCs w:val="21"/>
        </w:rPr>
      </w:pPr>
      <w:r>
        <w:rPr>
          <w:rFonts w:hint="eastAsia" w:ascii="宋体" w:hAnsi="宋体" w:cs="宋体"/>
          <w:color w:val="auto"/>
          <w:szCs w:val="21"/>
        </w:rPr>
        <w:t>1.本项目为全流程电子化政府采购项目，供应商应按照本项目采购文件和</w:t>
      </w:r>
      <w:r>
        <w:rPr>
          <w:rFonts w:hint="eastAsia" w:ascii="宋体" w:hAnsi="宋体" w:cs="宋体"/>
          <w:color w:val="auto"/>
          <w:szCs w:val="21"/>
          <w:u w:val="single"/>
        </w:rPr>
        <w:t>广西政府采购云平台</w:t>
      </w:r>
      <w:r>
        <w:rPr>
          <w:rFonts w:hint="eastAsia" w:ascii="宋体" w:hAnsi="宋体" w:cs="宋体"/>
          <w:color w:val="auto"/>
          <w:szCs w:val="21"/>
        </w:rPr>
        <w:t>的要求编制、加密并提交电子响应文件。未完成</w:t>
      </w:r>
      <w:r>
        <w:rPr>
          <w:rFonts w:hint="eastAsia" w:ascii="宋体" w:hAnsi="宋体" w:cs="宋体"/>
          <w:color w:val="auto"/>
          <w:szCs w:val="21"/>
          <w:u w:val="single"/>
        </w:rPr>
        <w:t>广西政府采购云平台</w:t>
      </w:r>
      <w:r>
        <w:rPr>
          <w:rFonts w:hint="eastAsia" w:ascii="宋体" w:hAnsi="宋体" w:cs="宋体"/>
          <w:color w:val="auto"/>
          <w:szCs w:val="21"/>
        </w:rPr>
        <w:t>供应商注册入驻并办理数字证书（CA认证）的供应商将无法参与本项目政府采购活动。供应商在使用</w:t>
      </w:r>
      <w:r>
        <w:rPr>
          <w:rFonts w:hint="eastAsia" w:ascii="宋体" w:hAnsi="宋体" w:cs="宋体"/>
          <w:color w:val="auto"/>
          <w:szCs w:val="21"/>
          <w:u w:val="single"/>
        </w:rPr>
        <w:t>广西政府采购云平台</w:t>
      </w:r>
      <w:r>
        <w:rPr>
          <w:rFonts w:hint="eastAsia" w:ascii="宋体" w:hAnsi="宋体" w:cs="宋体"/>
          <w:color w:val="auto"/>
          <w:szCs w:val="21"/>
        </w:rPr>
        <w:t>参与投标过程中遇到涉及平台使用的任何问题，可致电</w:t>
      </w:r>
      <w:r>
        <w:rPr>
          <w:rFonts w:hint="eastAsia" w:ascii="宋体" w:hAnsi="宋体" w:cs="宋体"/>
          <w:color w:val="auto"/>
          <w:szCs w:val="21"/>
          <w:u w:val="single"/>
        </w:rPr>
        <w:t>广西政府采购云平台</w:t>
      </w:r>
      <w:r>
        <w:rPr>
          <w:rFonts w:hint="eastAsia" w:ascii="宋体" w:hAnsi="宋体" w:cs="宋体"/>
          <w:color w:val="auto"/>
          <w:szCs w:val="21"/>
        </w:rPr>
        <w:t>技术支持热线咨询，联系方式：95763。</w:t>
      </w:r>
    </w:p>
    <w:p>
      <w:pPr>
        <w:spacing w:line="288" w:lineRule="auto"/>
        <w:ind w:firstLine="420" w:firstLineChars="200"/>
        <w:rPr>
          <w:rFonts w:ascii="宋体" w:hAnsi="宋体" w:cs="宋体"/>
          <w:color w:val="auto"/>
          <w:szCs w:val="21"/>
        </w:rPr>
      </w:pPr>
      <w:r>
        <w:rPr>
          <w:rFonts w:hint="eastAsia" w:ascii="宋体" w:hAnsi="宋体" w:cs="宋体"/>
          <w:color w:val="auto"/>
          <w:szCs w:val="21"/>
        </w:rPr>
        <w:t>（1）供应商应及时熟悉掌握电子标系统操作指南（见</w:t>
      </w:r>
      <w:r>
        <w:rPr>
          <w:rFonts w:hint="eastAsia" w:ascii="宋体" w:hAnsi="宋体" w:cs="宋体"/>
          <w:color w:val="auto"/>
          <w:szCs w:val="21"/>
          <w:u w:val="single"/>
        </w:rPr>
        <w:t>广西政府采购云平台</w:t>
      </w:r>
      <w:r>
        <w:rPr>
          <w:rFonts w:hint="eastAsia" w:ascii="宋体" w:hAnsi="宋体" w:cs="宋体"/>
          <w:color w:val="auto"/>
          <w:szCs w:val="21"/>
        </w:rPr>
        <w:t>电子卖场首页右上角—服务中心—帮助文档—项目采购）：https://service.zcygov.cn/#/knowledges/tree?tag=AG1DtGwBFdiHxlNdhY0r。</w:t>
      </w:r>
    </w:p>
    <w:p>
      <w:pPr>
        <w:spacing w:line="288" w:lineRule="auto"/>
        <w:ind w:firstLine="420" w:firstLineChars="200"/>
        <w:rPr>
          <w:rFonts w:ascii="宋体" w:hAnsi="宋体" w:cs="宋体"/>
          <w:color w:val="auto"/>
          <w:szCs w:val="21"/>
        </w:rPr>
      </w:pPr>
      <w:r>
        <w:rPr>
          <w:rFonts w:hint="eastAsia" w:ascii="宋体" w:hAnsi="宋体" w:cs="宋体"/>
          <w:color w:val="auto"/>
          <w:szCs w:val="21"/>
        </w:rPr>
        <w:t>（2）供应商应及时完成</w:t>
      </w:r>
      <w:r>
        <w:rPr>
          <w:rFonts w:hint="eastAsia" w:ascii="宋体" w:hAnsi="宋体" w:cs="宋体"/>
          <w:color w:val="auto"/>
          <w:szCs w:val="21"/>
          <w:u w:val="single"/>
        </w:rPr>
        <w:t>广西政府采购云平台</w:t>
      </w:r>
      <w:r>
        <w:rPr>
          <w:rFonts w:hint="eastAsia" w:ascii="宋体" w:hAnsi="宋体" w:cs="宋体"/>
          <w:color w:val="auto"/>
          <w:szCs w:val="21"/>
        </w:rPr>
        <w:t>供应商注册入驻和办理云平台CA证书申领和绑定（详见广西壮族自治区政府采购网—办事服务—下载专区-</w:t>
      </w:r>
      <w:r>
        <w:rPr>
          <w:rFonts w:ascii="Arial" w:hAnsi="Arial" w:eastAsia="Arial" w:cs="Arial"/>
          <w:color w:val="auto"/>
          <w:szCs w:val="21"/>
          <w:shd w:val="clear" w:color="auto" w:fill="FFFFFF"/>
        </w:rPr>
        <w:t>广西政府采购云平台CA驱动下载</w:t>
      </w:r>
      <w:r>
        <w:rPr>
          <w:rFonts w:hint="eastAsia" w:ascii="宋体" w:hAnsi="宋体" w:cs="宋体"/>
          <w:color w:val="auto"/>
          <w:szCs w:val="21"/>
        </w:rPr>
        <w:t>办理操作指南）。</w:t>
      </w:r>
    </w:p>
    <w:p>
      <w:pPr>
        <w:spacing w:line="288" w:lineRule="auto"/>
        <w:ind w:firstLine="420" w:firstLineChars="200"/>
        <w:rPr>
          <w:rFonts w:ascii="宋体" w:hAnsi="宋体" w:cs="宋体"/>
          <w:color w:val="auto"/>
          <w:szCs w:val="21"/>
        </w:rPr>
      </w:pPr>
      <w:r>
        <w:rPr>
          <w:rFonts w:hint="eastAsia" w:ascii="宋体" w:hAnsi="宋体" w:cs="宋体"/>
          <w:color w:val="auto"/>
          <w:szCs w:val="21"/>
        </w:rPr>
        <w:t>（3）供应商须通过广西政府采购云平台供应商客户端软件制作电子响应文件，广西政府采购云平台供应商客户端软件请供应商自行前往下载并安装（详见广西壮族自治区政府采购网—办事服务—下载专区-</w:t>
      </w:r>
      <w:r>
        <w:rPr>
          <w:rFonts w:ascii="Arial" w:hAnsi="Arial" w:eastAsia="Arial" w:cs="Arial"/>
          <w:color w:val="auto"/>
          <w:szCs w:val="21"/>
          <w:shd w:val="clear" w:color="auto" w:fill="FFFFFF"/>
        </w:rPr>
        <w:t>广西政府采购云平台新版客户端</w:t>
      </w:r>
      <w:r>
        <w:rPr>
          <w:rFonts w:hint="eastAsia" w:ascii="宋体" w:hAnsi="宋体" w:cs="宋体"/>
          <w:color w:val="auto"/>
          <w:szCs w:val="21"/>
        </w:rPr>
        <w:t>）。</w:t>
      </w:r>
    </w:p>
    <w:p>
      <w:pPr>
        <w:spacing w:line="288" w:lineRule="auto"/>
        <w:ind w:firstLine="420" w:firstLineChars="200"/>
        <w:rPr>
          <w:rFonts w:ascii="宋体" w:hAnsi="宋体" w:cs="宋体"/>
          <w:color w:val="auto"/>
          <w:szCs w:val="21"/>
        </w:rPr>
      </w:pPr>
      <w:r>
        <w:rPr>
          <w:rFonts w:hint="eastAsia" w:ascii="宋体" w:hAnsi="宋体" w:cs="宋体"/>
          <w:color w:val="auto"/>
          <w:szCs w:val="21"/>
        </w:rPr>
        <w:t>2.本项目需要落实的政府采购政策</w:t>
      </w:r>
    </w:p>
    <w:p>
      <w:pPr>
        <w:spacing w:line="288" w:lineRule="auto"/>
        <w:ind w:firstLine="420" w:firstLineChars="200"/>
        <w:rPr>
          <w:rFonts w:ascii="宋体" w:hAnsi="宋体" w:cs="宋体"/>
          <w:color w:val="auto"/>
          <w:szCs w:val="21"/>
        </w:rPr>
      </w:pPr>
      <w:r>
        <w:rPr>
          <w:rFonts w:hint="eastAsia" w:ascii="宋体" w:hAnsi="宋体" w:cs="宋体"/>
          <w:color w:val="auto"/>
          <w:szCs w:val="21"/>
        </w:rPr>
        <w:t>（1）政府采购促进中小企业发展。</w:t>
      </w:r>
    </w:p>
    <w:p>
      <w:pPr>
        <w:spacing w:line="288" w:lineRule="auto"/>
        <w:ind w:firstLine="420" w:firstLineChars="200"/>
        <w:rPr>
          <w:rFonts w:ascii="宋体" w:hAnsi="宋体" w:cs="宋体"/>
          <w:color w:val="auto"/>
          <w:szCs w:val="21"/>
        </w:rPr>
      </w:pPr>
      <w:r>
        <w:rPr>
          <w:rFonts w:hint="eastAsia" w:ascii="宋体" w:hAnsi="宋体" w:cs="宋体"/>
          <w:color w:val="auto"/>
          <w:szCs w:val="21"/>
        </w:rPr>
        <w:t>（2）政府采购支持采用本国产品的政策。</w:t>
      </w:r>
    </w:p>
    <w:p>
      <w:pPr>
        <w:spacing w:line="288" w:lineRule="auto"/>
        <w:ind w:firstLine="420" w:firstLineChars="200"/>
        <w:rPr>
          <w:rFonts w:ascii="宋体" w:hAnsi="宋体" w:cs="宋体"/>
          <w:color w:val="auto"/>
          <w:szCs w:val="21"/>
        </w:rPr>
      </w:pPr>
      <w:r>
        <w:rPr>
          <w:rFonts w:hint="eastAsia" w:ascii="宋体" w:hAnsi="宋体" w:cs="宋体"/>
          <w:color w:val="auto"/>
          <w:szCs w:val="21"/>
        </w:rPr>
        <w:t>（3）强制采购节能产品；优先采购节能产品、环境标志产品。</w:t>
      </w:r>
    </w:p>
    <w:p>
      <w:pPr>
        <w:spacing w:line="288" w:lineRule="auto"/>
        <w:ind w:firstLine="420" w:firstLineChars="200"/>
        <w:rPr>
          <w:rFonts w:ascii="宋体" w:hAnsi="宋体" w:cs="宋体"/>
          <w:color w:val="auto"/>
          <w:szCs w:val="21"/>
        </w:rPr>
      </w:pPr>
      <w:r>
        <w:rPr>
          <w:rFonts w:hint="eastAsia" w:ascii="宋体" w:hAnsi="宋体" w:cs="宋体"/>
          <w:color w:val="auto"/>
          <w:szCs w:val="21"/>
        </w:rPr>
        <w:t>（4）政府采购促进残疾人就业政策。</w:t>
      </w:r>
    </w:p>
    <w:p>
      <w:pPr>
        <w:spacing w:line="288" w:lineRule="auto"/>
        <w:ind w:firstLine="420" w:firstLineChars="200"/>
        <w:rPr>
          <w:rFonts w:ascii="宋体" w:hAnsi="宋体" w:cs="宋体"/>
          <w:color w:val="auto"/>
          <w:szCs w:val="21"/>
        </w:rPr>
      </w:pPr>
      <w:r>
        <w:rPr>
          <w:rFonts w:hint="eastAsia" w:ascii="宋体" w:hAnsi="宋体" w:cs="宋体"/>
          <w:color w:val="auto"/>
          <w:szCs w:val="21"/>
        </w:rPr>
        <w:t>（5）政府采购支持监狱企业发展。</w:t>
      </w:r>
    </w:p>
    <w:p>
      <w:pPr>
        <w:spacing w:line="288" w:lineRule="auto"/>
        <w:ind w:firstLine="420" w:firstLineChars="200"/>
        <w:rPr>
          <w:rFonts w:ascii="宋体" w:hAnsi="宋体" w:cs="宋体"/>
          <w:color w:val="auto"/>
          <w:szCs w:val="21"/>
        </w:rPr>
      </w:pPr>
      <w:r>
        <w:rPr>
          <w:rFonts w:hint="eastAsia" w:ascii="宋体" w:hAnsi="宋体" w:cs="宋体"/>
          <w:color w:val="auto"/>
          <w:szCs w:val="21"/>
        </w:rPr>
        <w:t>3.网上查询地址</w:t>
      </w:r>
    </w:p>
    <w:p>
      <w:pPr>
        <w:spacing w:line="320" w:lineRule="exact"/>
        <w:ind w:firstLine="630" w:firstLineChars="300"/>
        <w:rPr>
          <w:rFonts w:ascii="宋体" w:hAnsi="宋体" w:cs="宋体"/>
          <w:color w:val="auto"/>
          <w:szCs w:val="21"/>
        </w:rPr>
      </w:pPr>
      <w:bookmarkStart w:id="28" w:name="_Toc28359018"/>
      <w:bookmarkStart w:id="29" w:name="_Toc28359095"/>
      <w:bookmarkStart w:id="30" w:name="_Toc35393636"/>
      <w:bookmarkStart w:id="31" w:name="_Toc35393805"/>
      <w:r>
        <w:rPr>
          <w:rFonts w:hint="eastAsia" w:ascii="宋体" w:hAnsi="宋体"/>
          <w:color w:val="auto"/>
          <w:szCs w:val="21"/>
        </w:rPr>
        <w:t>中国政府采购网（www.ccgp.gov.cn）、</w:t>
      </w:r>
      <w:r>
        <w:rPr>
          <w:rFonts w:hint="eastAsia" w:ascii="宋体" w:hAnsi="宋体" w:cs="宋体"/>
          <w:color w:val="auto"/>
          <w:szCs w:val="21"/>
        </w:rPr>
        <w:t>广西壮族自治区政府采购网（zfcg.gxzf.gov.cn）、龙建公司网（http://www.gxljgc.com/）。</w:t>
      </w:r>
    </w:p>
    <w:p>
      <w:pPr>
        <w:spacing w:line="288" w:lineRule="auto"/>
        <w:ind w:firstLine="420" w:firstLineChars="200"/>
        <w:rPr>
          <w:rFonts w:ascii="宋体" w:hAnsi="宋体" w:cs="宋体"/>
          <w:color w:val="auto"/>
          <w:szCs w:val="21"/>
        </w:rPr>
      </w:pPr>
      <w:r>
        <w:rPr>
          <w:rFonts w:hint="eastAsia" w:ascii="宋体" w:hAnsi="宋体" w:cs="宋体"/>
          <w:color w:val="auto"/>
          <w:szCs w:val="21"/>
        </w:rPr>
        <w:t>4.监管管理部门及联系电话： 钦州市财政局政府采购监督管理科    电话：0777-2895258</w:t>
      </w:r>
    </w:p>
    <w:p>
      <w:pPr>
        <w:spacing w:line="288" w:lineRule="auto"/>
        <w:rPr>
          <w:rFonts w:ascii="宋体" w:hAnsi="宋体" w:cs="宋体"/>
          <w:b/>
          <w:bCs/>
          <w:color w:val="auto"/>
          <w:szCs w:val="21"/>
        </w:rPr>
      </w:pPr>
      <w:r>
        <w:rPr>
          <w:rFonts w:hint="eastAsia" w:ascii="宋体" w:hAnsi="宋体" w:cs="宋体"/>
          <w:b/>
          <w:bCs/>
          <w:color w:val="auto"/>
          <w:szCs w:val="21"/>
        </w:rPr>
        <w:t>八、凡对本次采购提出询问，请按以下方式联系</w:t>
      </w:r>
      <w:bookmarkEnd w:id="28"/>
      <w:bookmarkEnd w:id="29"/>
      <w:bookmarkEnd w:id="30"/>
      <w:bookmarkEnd w:id="31"/>
    </w:p>
    <w:p>
      <w:pPr>
        <w:spacing w:line="288" w:lineRule="auto"/>
        <w:ind w:firstLine="420" w:firstLineChars="200"/>
        <w:rPr>
          <w:rFonts w:ascii="宋体" w:hAnsi="宋体" w:cs="宋体"/>
          <w:color w:val="auto"/>
          <w:szCs w:val="21"/>
        </w:rPr>
      </w:pPr>
      <w:bookmarkStart w:id="32" w:name="_Toc28359019"/>
      <w:bookmarkStart w:id="33" w:name="_Toc35393637"/>
      <w:bookmarkStart w:id="34" w:name="_Toc35393806"/>
      <w:bookmarkStart w:id="35" w:name="_Toc28359096"/>
      <w:r>
        <w:rPr>
          <w:rFonts w:hint="eastAsia" w:ascii="宋体" w:hAnsi="宋体" w:cs="宋体"/>
          <w:color w:val="auto"/>
          <w:szCs w:val="21"/>
        </w:rPr>
        <w:t>1.采购人信息</w:t>
      </w:r>
      <w:bookmarkEnd w:id="32"/>
      <w:bookmarkEnd w:id="33"/>
      <w:bookmarkEnd w:id="34"/>
      <w:bookmarkEnd w:id="35"/>
    </w:p>
    <w:p>
      <w:pPr>
        <w:spacing w:line="288" w:lineRule="auto"/>
        <w:ind w:left="1041" w:leftChars="371" w:hanging="262" w:hangingChars="125"/>
        <w:jc w:val="left"/>
        <w:rPr>
          <w:rFonts w:ascii="宋体" w:hAnsi="宋体" w:cs="宋体"/>
          <w:color w:val="auto"/>
          <w:szCs w:val="21"/>
        </w:rPr>
      </w:pPr>
      <w:r>
        <w:rPr>
          <w:rFonts w:hint="eastAsia" w:ascii="宋体" w:hAnsi="宋体" w:cs="宋体"/>
          <w:color w:val="auto"/>
          <w:szCs w:val="21"/>
        </w:rPr>
        <w:t>名    称：钦州市外国语学校　</w:t>
      </w:r>
    </w:p>
    <w:p>
      <w:pPr>
        <w:spacing w:line="288" w:lineRule="auto"/>
        <w:ind w:left="1041" w:leftChars="371" w:hanging="262" w:hangingChars="125"/>
        <w:jc w:val="left"/>
        <w:rPr>
          <w:rFonts w:ascii="宋体" w:hAnsi="宋体" w:cs="宋体"/>
          <w:color w:val="auto"/>
          <w:szCs w:val="21"/>
          <w:highlight w:val="yellow"/>
        </w:rPr>
      </w:pPr>
      <w:r>
        <w:rPr>
          <w:rFonts w:hint="eastAsia" w:ascii="宋体" w:hAnsi="宋体" w:cs="宋体"/>
          <w:color w:val="auto"/>
          <w:szCs w:val="21"/>
        </w:rPr>
        <w:t>地    址：钦州市钦北区育才路9号</w:t>
      </w:r>
    </w:p>
    <w:p>
      <w:pPr>
        <w:spacing w:line="288" w:lineRule="auto"/>
        <w:ind w:left="1041" w:leftChars="371" w:hanging="262" w:hangingChars="125"/>
        <w:jc w:val="left"/>
        <w:rPr>
          <w:rFonts w:ascii="宋体" w:hAnsi="宋体" w:cs="宋体"/>
          <w:color w:val="auto"/>
          <w:szCs w:val="21"/>
        </w:rPr>
      </w:pPr>
      <w:r>
        <w:rPr>
          <w:rFonts w:hint="eastAsia" w:ascii="宋体" w:hAnsi="宋体" w:cs="宋体"/>
          <w:color w:val="auto"/>
          <w:szCs w:val="21"/>
        </w:rPr>
        <w:t>项目联系人：归老师</w:t>
      </w:r>
    </w:p>
    <w:p>
      <w:pPr>
        <w:spacing w:line="288" w:lineRule="auto"/>
        <w:ind w:left="1041" w:leftChars="371" w:hanging="262" w:hangingChars="125"/>
        <w:jc w:val="left"/>
        <w:rPr>
          <w:rFonts w:ascii="宋体" w:hAnsi="宋体" w:cs="宋体"/>
          <w:color w:val="auto"/>
          <w:szCs w:val="21"/>
        </w:rPr>
      </w:pPr>
      <w:r>
        <w:rPr>
          <w:rFonts w:hint="eastAsia" w:ascii="宋体" w:hAnsi="宋体" w:cs="宋体"/>
          <w:color w:val="auto"/>
          <w:szCs w:val="21"/>
        </w:rPr>
        <w:t>项目联系方式：</w:t>
      </w:r>
      <w:r>
        <w:rPr>
          <w:rFonts w:hint="eastAsia" w:ascii="宋体" w:hAnsi="宋体"/>
          <w:color w:val="auto"/>
          <w:szCs w:val="21"/>
        </w:rPr>
        <w:t>15177998664</w:t>
      </w:r>
    </w:p>
    <w:p>
      <w:pPr>
        <w:pStyle w:val="6"/>
        <w:spacing w:before="0" w:after="0" w:line="288" w:lineRule="auto"/>
        <w:ind w:firstLine="630" w:firstLineChars="300"/>
        <w:rPr>
          <w:rFonts w:ascii="宋体" w:hAnsi="宋体" w:eastAsia="宋体" w:cs="宋体"/>
          <w:b w:val="0"/>
          <w:color w:val="auto"/>
          <w:sz w:val="21"/>
          <w:szCs w:val="21"/>
        </w:rPr>
      </w:pPr>
      <w:bookmarkStart w:id="36" w:name="_Toc35393807"/>
      <w:bookmarkStart w:id="37" w:name="_Toc35393638"/>
      <w:bookmarkStart w:id="38" w:name="_Toc28359020"/>
      <w:bookmarkStart w:id="39" w:name="_Toc28359097"/>
      <w:r>
        <w:rPr>
          <w:rFonts w:hint="eastAsia" w:ascii="宋体" w:hAnsi="宋体" w:eastAsia="宋体" w:cs="宋体"/>
          <w:b w:val="0"/>
          <w:color w:val="auto"/>
          <w:sz w:val="21"/>
          <w:szCs w:val="21"/>
        </w:rPr>
        <w:t>2.采购代理机构信息</w:t>
      </w:r>
      <w:bookmarkEnd w:id="36"/>
      <w:bookmarkEnd w:id="37"/>
      <w:bookmarkEnd w:id="38"/>
      <w:bookmarkEnd w:id="39"/>
    </w:p>
    <w:p>
      <w:pPr>
        <w:spacing w:line="288" w:lineRule="auto"/>
        <w:ind w:left="1041" w:leftChars="371" w:hanging="262" w:hangingChars="125"/>
        <w:jc w:val="left"/>
        <w:rPr>
          <w:rFonts w:ascii="宋体" w:hAnsi="宋体" w:cs="宋体"/>
          <w:color w:val="auto"/>
          <w:szCs w:val="21"/>
        </w:rPr>
      </w:pPr>
      <w:r>
        <w:rPr>
          <w:rFonts w:hint="eastAsia" w:ascii="宋体" w:hAnsi="宋体" w:cs="宋体"/>
          <w:color w:val="auto"/>
          <w:szCs w:val="21"/>
        </w:rPr>
        <w:t>名    称：广西龙建工程管理有限公司　</w:t>
      </w:r>
    </w:p>
    <w:p>
      <w:pPr>
        <w:spacing w:line="288" w:lineRule="auto"/>
        <w:ind w:left="1041" w:leftChars="371" w:hanging="262" w:hangingChars="125"/>
        <w:jc w:val="left"/>
        <w:rPr>
          <w:rFonts w:ascii="宋体" w:hAnsi="宋体" w:cs="宋体"/>
          <w:color w:val="auto"/>
          <w:szCs w:val="21"/>
        </w:rPr>
      </w:pPr>
      <w:r>
        <w:rPr>
          <w:rFonts w:hint="eastAsia" w:ascii="宋体" w:hAnsi="宋体" w:cs="宋体"/>
          <w:color w:val="auto"/>
          <w:szCs w:val="21"/>
        </w:rPr>
        <w:t>地　　址：钦州市钦南区子材东大街8号奥林财富1号楼11层　　</w:t>
      </w:r>
    </w:p>
    <w:p>
      <w:pPr>
        <w:spacing w:line="288" w:lineRule="auto"/>
        <w:ind w:left="1041" w:leftChars="371" w:hanging="262" w:hangingChars="125"/>
        <w:jc w:val="left"/>
        <w:rPr>
          <w:rFonts w:ascii="宋体" w:hAnsi="宋体" w:cs="宋体"/>
          <w:color w:val="auto"/>
          <w:szCs w:val="21"/>
        </w:rPr>
      </w:pPr>
      <w:r>
        <w:rPr>
          <w:rFonts w:hint="eastAsia" w:ascii="宋体" w:hAnsi="宋体" w:cs="宋体"/>
          <w:color w:val="auto"/>
          <w:szCs w:val="21"/>
        </w:rPr>
        <w:t>项目联系人：滕丽华</w:t>
      </w:r>
    </w:p>
    <w:p>
      <w:pPr>
        <w:spacing w:line="288" w:lineRule="auto"/>
        <w:ind w:left="1041" w:leftChars="371" w:hanging="262" w:hangingChars="125"/>
        <w:jc w:val="left"/>
        <w:rPr>
          <w:rFonts w:ascii="宋体" w:hAnsi="宋体" w:cs="宋体"/>
          <w:color w:val="auto"/>
          <w:szCs w:val="21"/>
        </w:rPr>
      </w:pPr>
      <w:r>
        <w:rPr>
          <w:rFonts w:hint="eastAsia" w:ascii="宋体" w:hAnsi="宋体" w:cs="宋体"/>
          <w:color w:val="auto"/>
          <w:szCs w:val="21"/>
        </w:rPr>
        <w:t>项目联系方式：</w:t>
      </w:r>
      <w:r>
        <w:rPr>
          <w:rFonts w:ascii="宋体" w:hAnsi="宋体" w:cs="宋体"/>
          <w:color w:val="auto"/>
          <w:szCs w:val="21"/>
        </w:rPr>
        <w:t>0777-</w:t>
      </w:r>
      <w:r>
        <w:rPr>
          <w:rFonts w:hint="eastAsia" w:ascii="宋体" w:hAnsi="宋体" w:cs="宋体"/>
          <w:color w:val="auto"/>
          <w:szCs w:val="21"/>
        </w:rPr>
        <w:t>3617888　</w:t>
      </w:r>
    </w:p>
    <w:p>
      <w:pPr>
        <w:spacing w:line="288" w:lineRule="auto"/>
        <w:rPr>
          <w:rFonts w:ascii="宋体" w:hAnsi="宋体" w:cs="宋体"/>
          <w:color w:val="auto"/>
          <w:szCs w:val="21"/>
        </w:rPr>
      </w:pPr>
    </w:p>
    <w:p>
      <w:pPr>
        <w:pStyle w:val="9"/>
        <w:spacing w:line="288" w:lineRule="auto"/>
        <w:ind w:firstLine="210"/>
        <w:rPr>
          <w:rFonts w:ascii="宋体" w:hAnsi="宋体" w:cs="宋体"/>
          <w:color w:val="auto"/>
          <w:szCs w:val="21"/>
        </w:rPr>
      </w:pPr>
    </w:p>
    <w:p>
      <w:pPr>
        <w:spacing w:line="288" w:lineRule="auto"/>
        <w:ind w:firstLine="420" w:firstLineChars="200"/>
        <w:jc w:val="center"/>
        <w:rPr>
          <w:rFonts w:ascii="宋体" w:hAnsi="宋体" w:cs="宋体"/>
          <w:color w:val="auto"/>
          <w:szCs w:val="21"/>
        </w:rPr>
      </w:pPr>
      <w:r>
        <w:rPr>
          <w:rFonts w:hint="eastAsia" w:ascii="宋体" w:hAnsi="宋体" w:cs="宋体"/>
          <w:color w:val="auto"/>
          <w:szCs w:val="21"/>
        </w:rPr>
        <w:t xml:space="preserve">                                                       广西龙建工程管理有限公司</w:t>
      </w:r>
    </w:p>
    <w:p>
      <w:pPr>
        <w:pStyle w:val="10"/>
        <w:spacing w:line="460" w:lineRule="exact"/>
        <w:rPr>
          <w:rFonts w:ascii="宋体" w:hAnsi="宋体" w:cs="宋体"/>
          <w:b/>
          <w:bCs/>
          <w:color w:val="auto"/>
          <w:spacing w:val="-14"/>
          <w:position w:val="-6"/>
          <w:szCs w:val="21"/>
        </w:rPr>
      </w:pPr>
      <w:r>
        <w:rPr>
          <w:rFonts w:hint="eastAsia" w:ascii="宋体" w:hAnsi="宋体" w:cs="宋体"/>
          <w:color w:val="auto"/>
          <w:szCs w:val="21"/>
        </w:rPr>
        <w:t xml:space="preserve">                                                            2024年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28</w:t>
      </w:r>
      <w:r>
        <w:rPr>
          <w:rFonts w:hint="eastAsia" w:ascii="宋体" w:hAnsi="宋体" w:cs="宋体"/>
          <w:color w:val="auto"/>
          <w:szCs w:val="21"/>
        </w:rPr>
        <w:t>日</w:t>
      </w:r>
    </w:p>
    <w:p>
      <w:pPr>
        <w:pStyle w:val="18"/>
        <w:ind w:firstLine="3814" w:firstLineChars="867"/>
        <w:rPr>
          <w:rFonts w:hAnsi="宋体" w:cs="宋体"/>
          <w:color w:val="auto"/>
          <w:sz w:val="44"/>
        </w:rPr>
      </w:pPr>
    </w:p>
    <w:p>
      <w:pPr>
        <w:rPr>
          <w:color w:val="auto"/>
        </w:rPr>
      </w:pPr>
    </w:p>
    <w:p>
      <w:pPr>
        <w:pStyle w:val="18"/>
        <w:ind w:firstLine="4417" w:firstLineChars="1000"/>
        <w:rPr>
          <w:rFonts w:hAnsi="宋体" w:cs="宋体"/>
          <w:color w:val="auto"/>
        </w:rPr>
      </w:pPr>
      <w:r>
        <w:rPr>
          <w:rFonts w:hint="eastAsia" w:hAnsi="宋体" w:cs="宋体"/>
          <w:b/>
          <w:bCs/>
          <w:color w:val="auto"/>
          <w:sz w:val="44"/>
        </w:rPr>
        <w:t>目   录</w:t>
      </w:r>
      <w:r>
        <w:rPr>
          <w:rFonts w:hint="eastAsia" w:hAnsi="宋体" w:cs="宋体"/>
          <w:color w:val="auto"/>
        </w:rPr>
        <w:cr/>
      </w:r>
      <w:r>
        <w:rPr>
          <w:rFonts w:hint="eastAsia" w:hAnsi="宋体" w:cs="宋体"/>
          <w:color w:val="auto"/>
        </w:rPr>
        <w:t xml:space="preserve">   </w:t>
      </w:r>
    </w:p>
    <w:p>
      <w:pPr>
        <w:pStyle w:val="18"/>
        <w:spacing w:line="360" w:lineRule="exact"/>
        <w:ind w:firstLine="1820" w:firstLineChars="867"/>
        <w:rPr>
          <w:rFonts w:hAnsi="宋体" w:cs="宋体"/>
          <w:color w:val="auto"/>
        </w:rPr>
      </w:pPr>
    </w:p>
    <w:p>
      <w:pPr>
        <w:pStyle w:val="25"/>
        <w:rPr>
          <w:rFonts w:ascii="宋体" w:hAnsi="宋体" w:cs="宋体"/>
          <w:color w:val="auto"/>
          <w:sz w:val="28"/>
          <w:szCs w:val="28"/>
        </w:rPr>
      </w:pPr>
      <w:r>
        <w:rPr>
          <w:rFonts w:hint="eastAsia" w:ascii="宋体" w:hAnsi="宋体" w:cs="宋体"/>
          <w:color w:val="auto"/>
          <w:sz w:val="28"/>
          <w:szCs w:val="28"/>
          <w:shd w:val="pct10" w:color="auto" w:fill="FFFFFF"/>
        </w:rPr>
        <w:fldChar w:fldCharType="begin"/>
      </w:r>
      <w:r>
        <w:rPr>
          <w:rFonts w:hint="eastAsia" w:ascii="宋体" w:hAnsi="宋体" w:cs="宋体"/>
          <w:color w:val="auto"/>
          <w:sz w:val="28"/>
          <w:szCs w:val="28"/>
          <w:shd w:val="pct10" w:color="auto" w:fill="FFFFFF"/>
        </w:rPr>
        <w:instrText xml:space="preserve"> TOC \o "1-1" \h \z \u </w:instrText>
      </w:r>
      <w:r>
        <w:rPr>
          <w:rFonts w:hint="eastAsia" w:ascii="宋体" w:hAnsi="宋体" w:cs="宋体"/>
          <w:color w:val="auto"/>
          <w:sz w:val="28"/>
          <w:szCs w:val="28"/>
          <w:shd w:val="pct10" w:color="auto" w:fill="FFFFFF"/>
        </w:rPr>
        <w:fldChar w:fldCharType="separate"/>
      </w:r>
      <w:r>
        <w:rPr>
          <w:color w:val="auto"/>
        </w:rPr>
        <w:fldChar w:fldCharType="begin"/>
      </w:r>
      <w:r>
        <w:rPr>
          <w:color w:val="auto"/>
        </w:rPr>
        <w:instrText xml:space="preserve"> HYPERLINK \l "_Toc285437473" </w:instrText>
      </w:r>
      <w:r>
        <w:rPr>
          <w:color w:val="auto"/>
        </w:rPr>
        <w:fldChar w:fldCharType="separate"/>
      </w:r>
      <w:r>
        <w:rPr>
          <w:rStyle w:val="40"/>
          <w:rFonts w:hint="eastAsia" w:ascii="宋体" w:hAnsi="宋体" w:eastAsia="宋体" w:cs="宋体"/>
          <w:color w:val="auto"/>
          <w:kern w:val="44"/>
          <w:sz w:val="28"/>
          <w:szCs w:val="28"/>
        </w:rPr>
        <w:t>第一章  竞标人须知及前附表</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_Toc285437473 \h </w:instrText>
      </w:r>
      <w:r>
        <w:rPr>
          <w:rFonts w:hint="eastAsia" w:ascii="宋体" w:hAnsi="宋体" w:cs="宋体"/>
          <w:color w:val="auto"/>
          <w:sz w:val="28"/>
          <w:szCs w:val="28"/>
        </w:rPr>
        <w:fldChar w:fldCharType="separate"/>
      </w:r>
      <w:r>
        <w:rPr>
          <w:rFonts w:hint="eastAsia" w:ascii="宋体" w:hAnsi="宋体" w:cs="宋体"/>
          <w:color w:val="auto"/>
          <w:sz w:val="28"/>
          <w:szCs w:val="28"/>
        </w:rPr>
        <w:t>4</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25"/>
        <w:rPr>
          <w:rFonts w:ascii="宋体" w:hAnsi="宋体" w:cs="宋体"/>
          <w:color w:val="auto"/>
          <w:sz w:val="28"/>
          <w:szCs w:val="28"/>
        </w:rPr>
      </w:pPr>
      <w:r>
        <w:rPr>
          <w:color w:val="auto"/>
        </w:rPr>
        <w:fldChar w:fldCharType="begin"/>
      </w:r>
      <w:r>
        <w:rPr>
          <w:color w:val="auto"/>
        </w:rPr>
        <w:instrText xml:space="preserve"> HYPERLINK \l "_Toc285437474" </w:instrText>
      </w:r>
      <w:r>
        <w:rPr>
          <w:color w:val="auto"/>
        </w:rPr>
        <w:fldChar w:fldCharType="separate"/>
      </w:r>
      <w:r>
        <w:rPr>
          <w:rStyle w:val="40"/>
          <w:rFonts w:hint="eastAsia" w:ascii="宋体" w:hAnsi="宋体" w:eastAsia="宋体" w:cs="宋体"/>
          <w:color w:val="auto"/>
          <w:kern w:val="44"/>
          <w:sz w:val="28"/>
          <w:szCs w:val="28"/>
        </w:rPr>
        <w:t xml:space="preserve">第二章  </w:t>
      </w:r>
      <w:bookmarkStart w:id="40" w:name="OLE_LINK17"/>
      <w:r>
        <w:rPr>
          <w:rStyle w:val="40"/>
          <w:rFonts w:hint="eastAsia" w:ascii="宋体" w:hAnsi="宋体" w:eastAsia="宋体" w:cs="宋体"/>
          <w:color w:val="auto"/>
          <w:kern w:val="44"/>
          <w:sz w:val="28"/>
          <w:szCs w:val="28"/>
        </w:rPr>
        <w:t>货物需求一览表</w:t>
      </w:r>
      <w:bookmarkEnd w:id="40"/>
      <w:r>
        <w:rPr>
          <w:rFonts w:hint="eastAsia" w:ascii="宋体" w:hAnsi="宋体" w:cs="宋体"/>
          <w:color w:val="auto"/>
          <w:sz w:val="28"/>
          <w:szCs w:val="28"/>
        </w:rPr>
        <w:tab/>
      </w:r>
      <w:r>
        <w:rPr>
          <w:rFonts w:hint="eastAsia" w:ascii="宋体" w:hAnsi="宋体" w:cs="宋体"/>
          <w:color w:val="auto"/>
          <w:sz w:val="28"/>
          <w:szCs w:val="28"/>
        </w:rPr>
        <w:t>1</w:t>
      </w:r>
      <w:r>
        <w:rPr>
          <w:rFonts w:hint="eastAsia" w:ascii="宋体" w:hAnsi="宋体" w:cs="宋体"/>
          <w:color w:val="auto"/>
          <w:sz w:val="28"/>
          <w:szCs w:val="28"/>
        </w:rPr>
        <w:fldChar w:fldCharType="end"/>
      </w:r>
      <w:r>
        <w:rPr>
          <w:rFonts w:hint="eastAsia" w:ascii="宋体" w:hAnsi="宋体" w:cs="宋体"/>
          <w:color w:val="auto"/>
          <w:sz w:val="28"/>
          <w:szCs w:val="28"/>
        </w:rPr>
        <w:t>6</w:t>
      </w:r>
    </w:p>
    <w:p>
      <w:pPr>
        <w:pStyle w:val="25"/>
        <w:rPr>
          <w:rFonts w:ascii="宋体" w:hAnsi="宋体" w:cs="宋体"/>
          <w:color w:val="auto"/>
          <w:sz w:val="28"/>
          <w:szCs w:val="28"/>
        </w:rPr>
      </w:pPr>
      <w:r>
        <w:rPr>
          <w:color w:val="auto"/>
        </w:rPr>
        <w:fldChar w:fldCharType="begin"/>
      </w:r>
      <w:r>
        <w:rPr>
          <w:color w:val="auto"/>
        </w:rPr>
        <w:instrText xml:space="preserve"> HYPERLINK \l "_Toc285437475" </w:instrText>
      </w:r>
      <w:r>
        <w:rPr>
          <w:color w:val="auto"/>
        </w:rPr>
        <w:fldChar w:fldCharType="separate"/>
      </w:r>
      <w:r>
        <w:rPr>
          <w:rStyle w:val="40"/>
          <w:rFonts w:hint="eastAsia" w:ascii="宋体" w:hAnsi="宋体" w:eastAsia="宋体" w:cs="宋体"/>
          <w:color w:val="auto"/>
          <w:sz w:val="28"/>
          <w:szCs w:val="28"/>
        </w:rPr>
        <w:t xml:space="preserve">第三章  </w:t>
      </w:r>
      <w:bookmarkStart w:id="41" w:name="OLE_LINK18"/>
      <w:r>
        <w:rPr>
          <w:rStyle w:val="40"/>
          <w:rFonts w:hint="eastAsia" w:ascii="宋体" w:hAnsi="宋体" w:eastAsia="宋体" w:cs="宋体"/>
          <w:color w:val="auto"/>
          <w:sz w:val="28"/>
          <w:szCs w:val="28"/>
        </w:rPr>
        <w:t>合同基本条款及合同书</w:t>
      </w:r>
      <w:bookmarkEnd w:id="41"/>
      <w:r>
        <w:rPr>
          <w:rStyle w:val="40"/>
          <w:rFonts w:hint="eastAsia" w:ascii="宋体" w:hAnsi="宋体" w:eastAsia="宋体" w:cs="宋体"/>
          <w:color w:val="auto"/>
          <w:sz w:val="28"/>
          <w:szCs w:val="28"/>
        </w:rPr>
        <w:t>（格式）</w:t>
      </w:r>
      <w:r>
        <w:rPr>
          <w:rFonts w:hint="eastAsia" w:ascii="宋体" w:hAnsi="宋体" w:cs="宋体"/>
          <w:color w:val="auto"/>
          <w:sz w:val="28"/>
          <w:szCs w:val="28"/>
        </w:rPr>
        <w:tab/>
      </w:r>
      <w:r>
        <w:rPr>
          <w:rFonts w:hint="eastAsia" w:ascii="宋体" w:hAnsi="宋体" w:cs="宋体"/>
          <w:color w:val="auto"/>
          <w:sz w:val="28"/>
          <w:szCs w:val="28"/>
        </w:rPr>
        <w:t>2</w:t>
      </w:r>
      <w:r>
        <w:rPr>
          <w:rFonts w:hint="eastAsia" w:ascii="宋体" w:hAnsi="宋体" w:cs="宋体"/>
          <w:color w:val="auto"/>
          <w:sz w:val="28"/>
          <w:szCs w:val="28"/>
        </w:rPr>
        <w:fldChar w:fldCharType="end"/>
      </w:r>
      <w:r>
        <w:rPr>
          <w:rFonts w:hint="eastAsia" w:ascii="宋体" w:hAnsi="宋体" w:cs="宋体"/>
          <w:color w:val="auto"/>
          <w:sz w:val="28"/>
          <w:szCs w:val="28"/>
        </w:rPr>
        <w:t>4</w:t>
      </w:r>
    </w:p>
    <w:p>
      <w:pPr>
        <w:pStyle w:val="25"/>
        <w:rPr>
          <w:rFonts w:ascii="宋体" w:hAnsi="宋体" w:cs="宋体"/>
          <w:color w:val="auto"/>
          <w:sz w:val="28"/>
          <w:szCs w:val="28"/>
        </w:rPr>
      </w:pPr>
      <w:r>
        <w:rPr>
          <w:color w:val="auto"/>
        </w:rPr>
        <w:fldChar w:fldCharType="begin"/>
      </w:r>
      <w:r>
        <w:rPr>
          <w:color w:val="auto"/>
        </w:rPr>
        <w:instrText xml:space="preserve"> HYPERLINK \l "_Toc285437476" </w:instrText>
      </w:r>
      <w:r>
        <w:rPr>
          <w:color w:val="auto"/>
        </w:rPr>
        <w:fldChar w:fldCharType="separate"/>
      </w:r>
      <w:r>
        <w:rPr>
          <w:rStyle w:val="40"/>
          <w:rFonts w:hint="eastAsia" w:ascii="宋体" w:hAnsi="宋体" w:eastAsia="宋体" w:cs="宋体"/>
          <w:color w:val="auto"/>
          <w:kern w:val="44"/>
          <w:sz w:val="28"/>
          <w:szCs w:val="28"/>
        </w:rPr>
        <w:t>第四章  评定成交的标准</w:t>
      </w:r>
      <w:r>
        <w:rPr>
          <w:rFonts w:hint="eastAsia" w:ascii="宋体" w:hAnsi="宋体" w:cs="宋体"/>
          <w:color w:val="auto"/>
          <w:sz w:val="28"/>
          <w:szCs w:val="28"/>
        </w:rPr>
        <w:tab/>
      </w:r>
      <w:r>
        <w:rPr>
          <w:rFonts w:hint="eastAsia" w:ascii="宋体" w:hAnsi="宋体" w:cs="宋体"/>
          <w:color w:val="auto"/>
          <w:sz w:val="28"/>
          <w:szCs w:val="28"/>
        </w:rPr>
        <w:t>3</w:t>
      </w:r>
      <w:r>
        <w:rPr>
          <w:rFonts w:hint="eastAsia" w:ascii="宋体" w:hAnsi="宋体" w:cs="宋体"/>
          <w:color w:val="auto"/>
          <w:sz w:val="28"/>
          <w:szCs w:val="28"/>
        </w:rPr>
        <w:fldChar w:fldCharType="end"/>
      </w:r>
      <w:r>
        <w:rPr>
          <w:rFonts w:hint="eastAsia" w:ascii="宋体" w:hAnsi="宋体" w:cs="宋体"/>
          <w:color w:val="auto"/>
          <w:sz w:val="28"/>
          <w:szCs w:val="28"/>
        </w:rPr>
        <w:t>3</w:t>
      </w:r>
    </w:p>
    <w:p>
      <w:pPr>
        <w:pStyle w:val="25"/>
        <w:rPr>
          <w:rFonts w:ascii="宋体" w:hAnsi="宋体" w:cs="宋体"/>
          <w:color w:val="auto"/>
          <w:sz w:val="28"/>
          <w:szCs w:val="28"/>
        </w:rPr>
      </w:pPr>
      <w:r>
        <w:rPr>
          <w:color w:val="auto"/>
        </w:rPr>
        <w:fldChar w:fldCharType="begin"/>
      </w:r>
      <w:r>
        <w:rPr>
          <w:color w:val="auto"/>
        </w:rPr>
        <w:instrText xml:space="preserve"> HYPERLINK \l "_Toc285437477" </w:instrText>
      </w:r>
      <w:r>
        <w:rPr>
          <w:color w:val="auto"/>
        </w:rPr>
        <w:fldChar w:fldCharType="separate"/>
      </w:r>
      <w:r>
        <w:rPr>
          <w:rStyle w:val="40"/>
          <w:rFonts w:hint="eastAsia" w:ascii="宋体" w:hAnsi="宋体" w:eastAsia="宋体" w:cs="宋体"/>
          <w:color w:val="auto"/>
          <w:kern w:val="44"/>
          <w:sz w:val="28"/>
          <w:szCs w:val="28"/>
        </w:rPr>
        <w:t xml:space="preserve">第五章  </w:t>
      </w:r>
      <w:r>
        <w:rPr>
          <w:rStyle w:val="40"/>
          <w:rFonts w:hint="eastAsia" w:ascii="宋体" w:hAnsi="宋体" w:eastAsia="宋体" w:cs="宋体"/>
          <w:color w:val="auto"/>
          <w:sz w:val="28"/>
          <w:szCs w:val="28"/>
        </w:rPr>
        <w:t>响应文件（格式）</w:t>
      </w:r>
      <w:r>
        <w:rPr>
          <w:rFonts w:hint="eastAsia" w:ascii="宋体" w:hAnsi="宋体" w:cs="宋体"/>
          <w:color w:val="auto"/>
          <w:sz w:val="28"/>
          <w:szCs w:val="28"/>
        </w:rPr>
        <w:tab/>
      </w:r>
      <w:r>
        <w:rPr>
          <w:rFonts w:hint="eastAsia" w:ascii="宋体" w:hAnsi="宋体" w:cs="宋体"/>
          <w:color w:val="auto"/>
          <w:sz w:val="28"/>
          <w:szCs w:val="28"/>
        </w:rPr>
        <w:t>3</w:t>
      </w:r>
      <w:r>
        <w:rPr>
          <w:rFonts w:hint="eastAsia" w:ascii="宋体" w:hAnsi="宋体" w:cs="宋体"/>
          <w:color w:val="auto"/>
          <w:sz w:val="28"/>
          <w:szCs w:val="28"/>
        </w:rPr>
        <w:fldChar w:fldCharType="end"/>
      </w:r>
      <w:r>
        <w:rPr>
          <w:rFonts w:hint="eastAsia" w:ascii="宋体" w:hAnsi="宋体" w:cs="宋体"/>
          <w:color w:val="auto"/>
          <w:sz w:val="28"/>
          <w:szCs w:val="28"/>
        </w:rPr>
        <w:t>4</w:t>
      </w:r>
    </w:p>
    <w:p>
      <w:pPr>
        <w:pStyle w:val="18"/>
        <w:spacing w:line="480" w:lineRule="auto"/>
        <w:jc w:val="right"/>
        <w:rPr>
          <w:rFonts w:hAnsi="宋体" w:cs="宋体"/>
          <w:color w:val="auto"/>
          <w:sz w:val="32"/>
          <w:szCs w:val="32"/>
        </w:rPr>
      </w:pPr>
      <w:r>
        <w:rPr>
          <w:rFonts w:hint="eastAsia" w:hAnsi="宋体" w:cs="宋体"/>
          <w:color w:val="auto"/>
          <w:sz w:val="28"/>
          <w:szCs w:val="28"/>
          <w:shd w:val="pct10" w:color="auto" w:fill="FFFFFF"/>
        </w:rPr>
        <w:fldChar w:fldCharType="end"/>
      </w:r>
    </w:p>
    <w:p>
      <w:pPr>
        <w:pStyle w:val="18"/>
        <w:ind w:firstLine="735"/>
        <w:rPr>
          <w:rFonts w:hAnsi="宋体" w:cs="宋体"/>
          <w:color w:val="auto"/>
          <w:sz w:val="32"/>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sectPr>
          <w:footerReference r:id="rId9" w:type="first"/>
          <w:footerReference r:id="rId7" w:type="default"/>
          <w:footerReference r:id="rId8" w:type="even"/>
          <w:pgSz w:w="11906" w:h="16838"/>
          <w:pgMar w:top="1134" w:right="850" w:bottom="1134" w:left="1134" w:header="680" w:footer="680" w:gutter="0"/>
          <w:pgNumType w:start="1"/>
          <w:cols w:space="720" w:num="1"/>
          <w:titlePg/>
          <w:docGrid w:linePitch="331" w:charSpace="0"/>
        </w:sectPr>
      </w:pPr>
    </w:p>
    <w:p>
      <w:pPr>
        <w:pStyle w:val="2"/>
        <w:ind w:firstLine="0"/>
        <w:rPr>
          <w:rFonts w:hAnsi="宋体" w:cs="宋体"/>
          <w:color w:val="auto"/>
        </w:rPr>
      </w:pPr>
    </w:p>
    <w:p>
      <w:pPr>
        <w:rPr>
          <w:rFonts w:ascii="宋体" w:hAnsi="宋体" w:cs="宋体"/>
          <w:color w:val="auto"/>
        </w:rPr>
      </w:pPr>
    </w:p>
    <w:p>
      <w:pPr>
        <w:pStyle w:val="2"/>
        <w:rPr>
          <w:rFonts w:hAnsi="宋体" w:cs="宋体"/>
          <w:color w:val="auto"/>
        </w:rPr>
      </w:pPr>
    </w:p>
    <w:p>
      <w:pPr>
        <w:pStyle w:val="2"/>
        <w:rPr>
          <w:rFonts w:hAnsi="宋体" w:cs="宋体"/>
          <w:color w:val="auto"/>
        </w:rPr>
      </w:pPr>
    </w:p>
    <w:p>
      <w:pPr>
        <w:pStyle w:val="2"/>
        <w:rPr>
          <w:rFonts w:hAnsi="宋体" w:cs="宋体"/>
          <w:color w:val="auto"/>
        </w:rPr>
      </w:pPr>
    </w:p>
    <w:p>
      <w:pPr>
        <w:pStyle w:val="2"/>
        <w:rPr>
          <w:rFonts w:hAnsi="宋体" w:cs="宋体"/>
          <w:color w:val="auto"/>
        </w:rPr>
      </w:pPr>
    </w:p>
    <w:p>
      <w:pPr>
        <w:pStyle w:val="2"/>
        <w:rPr>
          <w:rFonts w:hAnsi="宋体" w:cs="宋体"/>
          <w:color w:val="auto"/>
        </w:rPr>
      </w:pPr>
    </w:p>
    <w:p>
      <w:pPr>
        <w:pStyle w:val="2"/>
        <w:rPr>
          <w:rFonts w:hAnsi="宋体" w:cs="宋体"/>
          <w:color w:val="auto"/>
        </w:rPr>
      </w:pPr>
    </w:p>
    <w:p>
      <w:pPr>
        <w:pStyle w:val="2"/>
        <w:rPr>
          <w:rFonts w:hAnsi="宋体" w:cs="宋体"/>
          <w:color w:val="auto"/>
        </w:rPr>
      </w:pPr>
    </w:p>
    <w:p>
      <w:pPr>
        <w:pStyle w:val="2"/>
        <w:rPr>
          <w:rFonts w:hAnsi="宋体" w:cs="宋体"/>
          <w:color w:val="auto"/>
        </w:rPr>
      </w:pPr>
    </w:p>
    <w:p>
      <w:pPr>
        <w:pStyle w:val="2"/>
        <w:rPr>
          <w:rFonts w:hAnsi="宋体" w:cs="宋体"/>
          <w:color w:val="auto"/>
        </w:rPr>
      </w:pPr>
    </w:p>
    <w:p>
      <w:pPr>
        <w:pStyle w:val="2"/>
        <w:rPr>
          <w:rFonts w:hAnsi="宋体" w:cs="宋体"/>
          <w:color w:val="auto"/>
        </w:rPr>
      </w:pPr>
    </w:p>
    <w:p>
      <w:pPr>
        <w:pStyle w:val="2"/>
        <w:rPr>
          <w:rFonts w:hAnsi="宋体" w:cs="宋体"/>
          <w:color w:val="auto"/>
        </w:rPr>
      </w:pPr>
    </w:p>
    <w:p>
      <w:pPr>
        <w:pStyle w:val="2"/>
        <w:rPr>
          <w:rFonts w:hAnsi="宋体" w:cs="宋体"/>
          <w:color w:val="auto"/>
        </w:rPr>
      </w:pPr>
    </w:p>
    <w:p>
      <w:pPr>
        <w:pStyle w:val="2"/>
        <w:rPr>
          <w:rFonts w:hAnsi="宋体" w:cs="宋体"/>
          <w:color w:val="auto"/>
        </w:rPr>
      </w:pPr>
    </w:p>
    <w:p>
      <w:pPr>
        <w:pStyle w:val="2"/>
        <w:rPr>
          <w:rFonts w:hAnsi="宋体" w:cs="宋体"/>
          <w:color w:val="auto"/>
        </w:rPr>
      </w:pPr>
    </w:p>
    <w:p>
      <w:pPr>
        <w:pStyle w:val="2"/>
        <w:rPr>
          <w:rFonts w:hAnsi="宋体" w:cs="宋体"/>
          <w:color w:val="auto"/>
        </w:rPr>
      </w:pPr>
    </w:p>
    <w:p>
      <w:pPr>
        <w:pStyle w:val="2"/>
        <w:rPr>
          <w:rFonts w:hAnsi="宋体" w:cs="宋体"/>
          <w:color w:val="auto"/>
        </w:rPr>
      </w:pPr>
    </w:p>
    <w:p>
      <w:pPr>
        <w:pStyle w:val="2"/>
        <w:rPr>
          <w:rFonts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pStyle w:val="5"/>
        <w:jc w:val="center"/>
        <w:rPr>
          <w:rFonts w:ascii="宋体" w:hAnsi="宋体" w:cs="宋体"/>
          <w:b w:val="0"/>
          <w:color w:val="auto"/>
          <w:kern w:val="44"/>
          <w:sz w:val="44"/>
          <w:szCs w:val="44"/>
        </w:rPr>
        <w:sectPr>
          <w:headerReference r:id="rId10" w:type="first"/>
          <w:footerReference r:id="rId12" w:type="first"/>
          <w:footerReference r:id="rId11" w:type="default"/>
          <w:pgSz w:w="11906" w:h="16838"/>
          <w:pgMar w:top="1134" w:right="1134" w:bottom="1134" w:left="1134" w:header="680" w:footer="680" w:gutter="0"/>
          <w:cols w:space="720" w:num="1"/>
          <w:titlePg/>
          <w:docGrid w:linePitch="331" w:charSpace="0"/>
        </w:sectPr>
      </w:pPr>
      <w:bookmarkStart w:id="42" w:name="_Toc285437473"/>
      <w:r>
        <w:rPr>
          <w:rFonts w:hint="eastAsia" w:ascii="宋体" w:hAnsi="宋体" w:cs="宋体"/>
          <w:b w:val="0"/>
          <w:color w:val="auto"/>
          <w:kern w:val="44"/>
          <w:sz w:val="44"/>
          <w:szCs w:val="44"/>
        </w:rPr>
        <w:t>第一章  竞标人须知及前附表</w:t>
      </w:r>
      <w:bookmarkEnd w:id="42"/>
    </w:p>
    <w:p>
      <w:pPr>
        <w:jc w:val="center"/>
        <w:rPr>
          <w:rFonts w:ascii="宋体" w:hAnsi="宋体" w:cs="宋体"/>
          <w:b/>
          <w:color w:val="auto"/>
          <w:sz w:val="32"/>
          <w:szCs w:val="32"/>
        </w:rPr>
      </w:pPr>
      <w:bookmarkStart w:id="43" w:name="_Toc137546022"/>
      <w:bookmarkStart w:id="44" w:name="_Toc137551162"/>
      <w:bookmarkStart w:id="45" w:name="_Toc171129616"/>
      <w:r>
        <w:rPr>
          <w:rFonts w:hint="eastAsia" w:ascii="宋体" w:hAnsi="宋体" w:cs="宋体"/>
          <w:b/>
          <w:color w:val="auto"/>
          <w:sz w:val="32"/>
          <w:szCs w:val="32"/>
        </w:rPr>
        <w:t>竞标人须知前附表</w:t>
      </w:r>
      <w:bookmarkEnd w:id="43"/>
      <w:bookmarkEnd w:id="44"/>
      <w:bookmarkEnd w:id="45"/>
    </w:p>
    <w:tbl>
      <w:tblPr>
        <w:tblStyle w:val="46"/>
        <w:tblW w:w="9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24"/>
        <w:gridCol w:w="7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26" w:type="dxa"/>
            <w:vAlign w:val="center"/>
          </w:tcPr>
          <w:p>
            <w:pPr>
              <w:jc w:val="center"/>
              <w:rPr>
                <w:rFonts w:ascii="宋体" w:hAnsi="宋体" w:cs="宋体"/>
                <w:color w:val="auto"/>
              </w:rPr>
            </w:pPr>
            <w:r>
              <w:rPr>
                <w:rFonts w:hint="eastAsia" w:ascii="宋体" w:hAnsi="宋体" w:cs="宋体"/>
                <w:color w:val="auto"/>
              </w:rPr>
              <w:t>项号</w:t>
            </w:r>
          </w:p>
        </w:tc>
        <w:tc>
          <w:tcPr>
            <w:tcW w:w="824" w:type="dxa"/>
            <w:vAlign w:val="center"/>
          </w:tcPr>
          <w:p>
            <w:pPr>
              <w:jc w:val="center"/>
              <w:rPr>
                <w:rFonts w:ascii="宋体" w:hAnsi="宋体" w:cs="宋体"/>
                <w:color w:val="auto"/>
              </w:rPr>
            </w:pPr>
            <w:r>
              <w:rPr>
                <w:rFonts w:hint="eastAsia" w:ascii="宋体" w:hAnsi="宋体" w:cs="宋体"/>
                <w:color w:val="auto"/>
              </w:rPr>
              <w:t>条款号</w:t>
            </w:r>
          </w:p>
        </w:tc>
        <w:tc>
          <w:tcPr>
            <w:tcW w:w="7939" w:type="dxa"/>
            <w:vAlign w:val="center"/>
          </w:tcPr>
          <w:p>
            <w:pPr>
              <w:jc w:val="center"/>
              <w:rPr>
                <w:rFonts w:ascii="宋体" w:hAnsi="宋体" w:cs="宋体"/>
                <w:color w:val="auto"/>
              </w:rPr>
            </w:pPr>
            <w:r>
              <w:rPr>
                <w:rFonts w:hint="eastAsia" w:ascii="宋体" w:hAnsi="宋体" w:cs="宋体"/>
                <w:color w:val="auto"/>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726" w:type="dxa"/>
            <w:vAlign w:val="center"/>
          </w:tcPr>
          <w:p>
            <w:pPr>
              <w:pStyle w:val="20"/>
              <w:spacing w:line="400" w:lineRule="exact"/>
              <w:ind w:firstLine="210" w:firstLineChars="100"/>
              <w:rPr>
                <w:rFonts w:ascii="宋体" w:hAnsi="宋体" w:cs="宋体"/>
                <w:color w:val="auto"/>
              </w:rPr>
            </w:pPr>
            <w:r>
              <w:rPr>
                <w:rFonts w:hint="eastAsia" w:ascii="宋体" w:hAnsi="宋体" w:cs="宋体"/>
                <w:color w:val="auto"/>
              </w:rPr>
              <w:t>1</w:t>
            </w:r>
          </w:p>
        </w:tc>
        <w:tc>
          <w:tcPr>
            <w:tcW w:w="824" w:type="dxa"/>
            <w:vAlign w:val="center"/>
          </w:tcPr>
          <w:p>
            <w:pPr>
              <w:spacing w:line="400" w:lineRule="exact"/>
              <w:jc w:val="center"/>
              <w:rPr>
                <w:rFonts w:ascii="宋体" w:hAnsi="宋体" w:cs="宋体"/>
                <w:color w:val="auto"/>
              </w:rPr>
            </w:pPr>
            <w:r>
              <w:rPr>
                <w:rFonts w:hint="eastAsia" w:ascii="宋体" w:hAnsi="宋体" w:cs="宋体"/>
                <w:color w:val="auto"/>
              </w:rPr>
              <w:t>1.1</w:t>
            </w:r>
          </w:p>
        </w:tc>
        <w:tc>
          <w:tcPr>
            <w:tcW w:w="7939" w:type="dxa"/>
            <w:vAlign w:val="center"/>
          </w:tcPr>
          <w:p>
            <w:pPr>
              <w:pStyle w:val="3"/>
              <w:spacing w:line="320" w:lineRule="exact"/>
              <w:ind w:firstLine="0"/>
              <w:rPr>
                <w:rFonts w:hAnsi="宋体" w:cs="宋体"/>
                <w:color w:val="auto"/>
                <w:spacing w:val="0"/>
                <w:sz w:val="21"/>
              </w:rPr>
            </w:pPr>
            <w:r>
              <w:rPr>
                <w:rFonts w:hint="eastAsia" w:hAnsi="宋体" w:cs="宋体"/>
                <w:color w:val="auto"/>
                <w:spacing w:val="0"/>
                <w:sz w:val="21"/>
              </w:rPr>
              <w:t>项目名称：钦州市外国语学校新校区图书采购项目</w:t>
            </w:r>
          </w:p>
          <w:p>
            <w:pPr>
              <w:pStyle w:val="3"/>
              <w:spacing w:line="320" w:lineRule="exact"/>
              <w:ind w:firstLine="0"/>
              <w:rPr>
                <w:rFonts w:hAnsi="宋体" w:cs="宋体"/>
                <w:color w:val="auto"/>
                <w:spacing w:val="0"/>
                <w:sz w:val="21"/>
              </w:rPr>
            </w:pPr>
            <w:r>
              <w:rPr>
                <w:rFonts w:hint="eastAsia" w:hAnsi="宋体" w:cs="宋体"/>
                <w:color w:val="auto"/>
                <w:spacing w:val="0"/>
                <w:sz w:val="21"/>
              </w:rPr>
              <w:t>项目编号：</w:t>
            </w:r>
            <w:r>
              <w:rPr>
                <w:rFonts w:hint="eastAsia" w:hAnsi="宋体" w:cs="宋体"/>
                <w:color w:val="auto"/>
                <w:spacing w:val="0"/>
                <w:sz w:val="21"/>
                <w:lang w:eastAsia="zh-CN"/>
              </w:rPr>
              <w:t>QZZC2024-J1-990477-GXLJ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726" w:type="dxa"/>
            <w:vAlign w:val="center"/>
          </w:tcPr>
          <w:p>
            <w:pPr>
              <w:pStyle w:val="20"/>
              <w:spacing w:line="400" w:lineRule="exact"/>
              <w:ind w:firstLine="210" w:firstLineChars="100"/>
              <w:rPr>
                <w:rFonts w:ascii="宋体" w:hAnsi="宋体" w:cs="宋体"/>
                <w:color w:val="auto"/>
              </w:rPr>
            </w:pPr>
            <w:r>
              <w:rPr>
                <w:rFonts w:hint="eastAsia" w:ascii="宋体" w:hAnsi="宋体" w:cs="宋体"/>
                <w:color w:val="auto"/>
              </w:rPr>
              <w:t>2</w:t>
            </w:r>
          </w:p>
        </w:tc>
        <w:tc>
          <w:tcPr>
            <w:tcW w:w="824" w:type="dxa"/>
            <w:vAlign w:val="center"/>
          </w:tcPr>
          <w:p>
            <w:pPr>
              <w:spacing w:line="400" w:lineRule="exact"/>
              <w:jc w:val="center"/>
              <w:rPr>
                <w:rFonts w:ascii="宋体" w:hAnsi="宋体" w:cs="宋体"/>
                <w:color w:val="auto"/>
              </w:rPr>
            </w:pPr>
            <w:r>
              <w:rPr>
                <w:rFonts w:hint="eastAsia" w:ascii="宋体" w:hAnsi="宋体" w:cs="宋体"/>
                <w:color w:val="auto"/>
              </w:rPr>
              <w:t>2.1</w:t>
            </w:r>
          </w:p>
        </w:tc>
        <w:tc>
          <w:tcPr>
            <w:tcW w:w="7939" w:type="dxa"/>
            <w:vAlign w:val="center"/>
          </w:tcPr>
          <w:p>
            <w:pPr>
              <w:spacing w:line="288" w:lineRule="auto"/>
              <w:rPr>
                <w:rFonts w:ascii="宋体" w:hAnsi="宋体" w:cs="宋体"/>
                <w:color w:val="auto"/>
                <w:szCs w:val="20"/>
              </w:rPr>
            </w:pPr>
            <w:r>
              <w:rPr>
                <w:rFonts w:hint="eastAsia" w:ascii="宋体" w:hAnsi="宋体" w:cs="宋体"/>
                <w:color w:val="auto"/>
                <w:szCs w:val="20"/>
              </w:rPr>
              <w:t>竞标人资格：</w:t>
            </w:r>
          </w:p>
          <w:p>
            <w:pPr>
              <w:pStyle w:val="18"/>
              <w:spacing w:line="390" w:lineRule="exact"/>
              <w:ind w:right="68"/>
              <w:rPr>
                <w:rFonts w:hAnsi="宋体" w:cs="宋体"/>
                <w:color w:val="auto"/>
                <w:szCs w:val="21"/>
              </w:rPr>
            </w:pPr>
            <w:r>
              <w:rPr>
                <w:rFonts w:hint="eastAsia" w:hAnsi="宋体" w:cs="宋体"/>
                <w:color w:val="auto"/>
                <w:szCs w:val="21"/>
              </w:rPr>
              <w:t>1.基本资格要求：满足《中华人民共和国政府采购法》第二十二条的规定。</w:t>
            </w:r>
          </w:p>
          <w:p>
            <w:pPr>
              <w:pStyle w:val="18"/>
              <w:spacing w:line="390" w:lineRule="exact"/>
              <w:ind w:right="68"/>
              <w:rPr>
                <w:rFonts w:hAnsi="宋体" w:cs="宋体"/>
                <w:color w:val="auto"/>
                <w:szCs w:val="21"/>
              </w:rPr>
            </w:pPr>
            <w:r>
              <w:rPr>
                <w:rFonts w:hint="eastAsia" w:hAnsi="宋体" w:cs="宋体"/>
                <w:color w:val="auto"/>
                <w:szCs w:val="21"/>
              </w:rPr>
              <w:t>2.落实政府采购政策需满足的资格要求：无</w:t>
            </w:r>
          </w:p>
          <w:p>
            <w:pPr>
              <w:pStyle w:val="18"/>
              <w:spacing w:line="390" w:lineRule="exact"/>
              <w:ind w:right="68"/>
              <w:rPr>
                <w:rFonts w:hAnsi="宋体" w:cs="宋体"/>
                <w:color w:val="auto"/>
                <w:kern w:val="0"/>
                <w:sz w:val="20"/>
                <w:szCs w:val="21"/>
              </w:rPr>
            </w:pPr>
            <w:r>
              <w:rPr>
                <w:rFonts w:hint="eastAsia" w:hAnsi="宋体" w:cs="宋体"/>
                <w:color w:val="auto"/>
                <w:szCs w:val="21"/>
              </w:rPr>
              <w:t>3.本项目的特定资格要求：（1）供应商须具备有效的《中华人民共和国出版物经营许可证》。（2）未被“信用中国”（www.creditchina.gov.cn）、中国政府采购网（www.ccgp.gov.cn）列入失信被执行人、重大税收违法案件当事人名单、政府采购严重违法失信行为记录名单。（3）单位负责人为同一人或者存在直接控股、管理关系的不同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726" w:type="dxa"/>
            <w:vAlign w:val="center"/>
          </w:tcPr>
          <w:p>
            <w:pPr>
              <w:pStyle w:val="20"/>
              <w:spacing w:line="400" w:lineRule="exact"/>
              <w:ind w:firstLine="210" w:firstLineChars="100"/>
              <w:rPr>
                <w:rFonts w:ascii="宋体" w:hAnsi="宋体" w:cs="宋体"/>
                <w:color w:val="auto"/>
              </w:rPr>
            </w:pPr>
            <w:r>
              <w:rPr>
                <w:rFonts w:hint="eastAsia" w:ascii="宋体" w:hAnsi="宋体" w:cs="宋体"/>
                <w:color w:val="auto"/>
              </w:rPr>
              <w:t>3</w:t>
            </w:r>
          </w:p>
        </w:tc>
        <w:tc>
          <w:tcPr>
            <w:tcW w:w="824" w:type="dxa"/>
            <w:vAlign w:val="center"/>
          </w:tcPr>
          <w:p>
            <w:pPr>
              <w:pStyle w:val="10"/>
              <w:spacing w:line="400" w:lineRule="exact"/>
              <w:rPr>
                <w:rFonts w:ascii="宋体" w:hAnsi="宋体" w:cs="宋体"/>
                <w:color w:val="auto"/>
              </w:rPr>
            </w:pPr>
            <w:r>
              <w:rPr>
                <w:rFonts w:hint="eastAsia" w:ascii="宋体" w:hAnsi="宋体" w:cs="宋体"/>
                <w:color w:val="auto"/>
              </w:rPr>
              <w:t>10.1</w:t>
            </w:r>
          </w:p>
        </w:tc>
        <w:tc>
          <w:tcPr>
            <w:tcW w:w="7939" w:type="dxa"/>
            <w:vAlign w:val="center"/>
          </w:tcPr>
          <w:p>
            <w:pPr>
              <w:spacing w:line="320" w:lineRule="exact"/>
              <w:ind w:left="1" w:hanging="1"/>
              <w:rPr>
                <w:rFonts w:ascii="宋体" w:hAnsi="宋体" w:cs="宋体"/>
                <w:color w:val="auto"/>
              </w:rPr>
            </w:pPr>
            <w:r>
              <w:rPr>
                <w:rFonts w:hint="eastAsia" w:ascii="宋体" w:hAnsi="宋体" w:cs="宋体"/>
                <w:color w:val="auto"/>
              </w:rPr>
              <w:t>竞标报价：竞标人必须就《货物需求一览表》及谈判记录中的所有货物内容作完整唯一报价，否则，其竞标将被拒绝。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26" w:type="dxa"/>
            <w:vAlign w:val="center"/>
          </w:tcPr>
          <w:p>
            <w:pPr>
              <w:pStyle w:val="20"/>
              <w:spacing w:line="400" w:lineRule="exact"/>
              <w:ind w:firstLine="210" w:firstLineChars="100"/>
              <w:rPr>
                <w:rFonts w:ascii="宋体" w:hAnsi="宋体" w:cs="宋体"/>
                <w:color w:val="auto"/>
              </w:rPr>
            </w:pPr>
            <w:r>
              <w:rPr>
                <w:rFonts w:hint="eastAsia" w:ascii="宋体" w:hAnsi="宋体" w:cs="宋体"/>
                <w:color w:val="auto"/>
              </w:rPr>
              <w:t>4</w:t>
            </w:r>
          </w:p>
        </w:tc>
        <w:tc>
          <w:tcPr>
            <w:tcW w:w="824" w:type="dxa"/>
            <w:vAlign w:val="center"/>
          </w:tcPr>
          <w:p>
            <w:pPr>
              <w:spacing w:line="400" w:lineRule="exact"/>
              <w:jc w:val="center"/>
              <w:rPr>
                <w:rFonts w:ascii="宋体" w:hAnsi="宋体" w:cs="宋体"/>
                <w:color w:val="auto"/>
              </w:rPr>
            </w:pPr>
            <w:r>
              <w:rPr>
                <w:rFonts w:hint="eastAsia" w:ascii="宋体" w:hAnsi="宋体" w:cs="宋体"/>
                <w:color w:val="auto"/>
              </w:rPr>
              <w:t>14.1</w:t>
            </w:r>
          </w:p>
        </w:tc>
        <w:tc>
          <w:tcPr>
            <w:tcW w:w="7939" w:type="dxa"/>
            <w:vAlign w:val="center"/>
          </w:tcPr>
          <w:p>
            <w:pPr>
              <w:spacing w:line="320" w:lineRule="exact"/>
              <w:rPr>
                <w:rFonts w:ascii="宋体" w:hAnsi="宋体" w:cs="宋体"/>
                <w:color w:val="auto"/>
                <w:szCs w:val="21"/>
              </w:rPr>
            </w:pPr>
            <w:r>
              <w:rPr>
                <w:rFonts w:hint="eastAsia" w:ascii="宋体" w:hAnsi="宋体" w:cs="宋体"/>
                <w:color w:val="auto"/>
                <w:szCs w:val="21"/>
              </w:rPr>
              <w:t>竞标有效期：竞标截止日期后60天。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726" w:type="dxa"/>
            <w:vAlign w:val="center"/>
          </w:tcPr>
          <w:p>
            <w:pPr>
              <w:pStyle w:val="20"/>
              <w:spacing w:line="400" w:lineRule="exact"/>
              <w:ind w:firstLine="210" w:firstLineChars="100"/>
              <w:rPr>
                <w:rFonts w:ascii="宋体" w:hAnsi="宋体" w:cs="宋体"/>
                <w:color w:val="auto"/>
              </w:rPr>
            </w:pPr>
            <w:r>
              <w:rPr>
                <w:rFonts w:hint="eastAsia" w:ascii="宋体" w:hAnsi="宋体" w:cs="宋体"/>
                <w:color w:val="auto"/>
              </w:rPr>
              <w:t>5</w:t>
            </w:r>
          </w:p>
        </w:tc>
        <w:tc>
          <w:tcPr>
            <w:tcW w:w="824" w:type="dxa"/>
            <w:vAlign w:val="center"/>
          </w:tcPr>
          <w:p>
            <w:pPr>
              <w:spacing w:line="400" w:lineRule="exact"/>
              <w:jc w:val="center"/>
              <w:rPr>
                <w:rFonts w:ascii="宋体" w:hAnsi="宋体" w:cs="宋体"/>
                <w:color w:val="auto"/>
              </w:rPr>
            </w:pPr>
            <w:r>
              <w:rPr>
                <w:rFonts w:hint="eastAsia" w:ascii="宋体" w:hAnsi="宋体" w:cs="宋体"/>
                <w:color w:val="auto"/>
              </w:rPr>
              <w:t>15.4</w:t>
            </w:r>
          </w:p>
        </w:tc>
        <w:tc>
          <w:tcPr>
            <w:tcW w:w="7939" w:type="dxa"/>
            <w:vAlign w:val="center"/>
          </w:tcPr>
          <w:p>
            <w:pPr>
              <w:snapToGrid w:val="0"/>
              <w:spacing w:line="360" w:lineRule="auto"/>
              <w:jc w:val="left"/>
              <w:rPr>
                <w:rFonts w:ascii="宋体" w:hAnsi="宋体" w:cs="宋体"/>
                <w:color w:val="auto"/>
              </w:rPr>
            </w:pPr>
            <w:r>
              <w:rPr>
                <w:rFonts w:hint="eastAsia" w:ascii="宋体" w:hAnsi="宋体" w:cs="宋体"/>
                <w:color w:val="auto"/>
              </w:rPr>
              <w:t>响应文件递交份数：</w:t>
            </w:r>
          </w:p>
          <w:p>
            <w:pPr>
              <w:snapToGrid w:val="0"/>
              <w:spacing w:line="360" w:lineRule="auto"/>
              <w:jc w:val="left"/>
              <w:rPr>
                <w:rFonts w:ascii="宋体" w:hAnsi="宋体" w:cs="宋体"/>
                <w:color w:val="auto"/>
              </w:rPr>
            </w:pPr>
            <w:r>
              <w:rPr>
                <w:rFonts w:hint="eastAsia" w:ascii="宋体" w:hAnsi="宋体" w:cs="宋体"/>
                <w:color w:val="auto"/>
              </w:rPr>
              <w:t>1.电子加密响应文件：1份</w:t>
            </w:r>
          </w:p>
          <w:p>
            <w:pPr>
              <w:pStyle w:val="74"/>
              <w:rPr>
                <w:rFonts w:ascii="宋体" w:hAnsi="宋体" w:eastAsia="宋体"/>
                <w:color w:val="auto"/>
                <w:lang w:eastAsia="zh-CN"/>
              </w:rPr>
            </w:pPr>
            <w:r>
              <w:rPr>
                <w:rFonts w:hint="eastAsia" w:ascii="宋体" w:hAnsi="宋体" w:eastAsia="宋体"/>
                <w:color w:val="auto"/>
                <w:lang w:eastAsia="zh-CN"/>
              </w:rPr>
              <w:t>2.电子备份响应文件：1份（以U盘或光盘存储并按要求密封）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26" w:type="dxa"/>
            <w:vAlign w:val="center"/>
          </w:tcPr>
          <w:p>
            <w:pPr>
              <w:pStyle w:val="20"/>
              <w:spacing w:line="400" w:lineRule="exact"/>
              <w:ind w:firstLine="210" w:firstLineChars="100"/>
              <w:rPr>
                <w:rFonts w:ascii="宋体" w:hAnsi="宋体" w:cs="宋体"/>
                <w:color w:val="auto"/>
              </w:rPr>
            </w:pPr>
            <w:r>
              <w:rPr>
                <w:rFonts w:hint="eastAsia" w:ascii="宋体" w:hAnsi="宋体" w:cs="宋体"/>
                <w:color w:val="auto"/>
              </w:rPr>
              <w:t>6</w:t>
            </w:r>
          </w:p>
        </w:tc>
        <w:tc>
          <w:tcPr>
            <w:tcW w:w="824" w:type="dxa"/>
            <w:vAlign w:val="center"/>
          </w:tcPr>
          <w:p>
            <w:pPr>
              <w:spacing w:line="400" w:lineRule="exact"/>
              <w:jc w:val="center"/>
              <w:rPr>
                <w:rFonts w:ascii="宋体" w:hAnsi="宋体" w:cs="宋体"/>
                <w:color w:val="auto"/>
              </w:rPr>
            </w:pPr>
            <w:r>
              <w:rPr>
                <w:rFonts w:hint="eastAsia" w:ascii="宋体" w:hAnsi="宋体" w:cs="宋体"/>
                <w:color w:val="auto"/>
              </w:rPr>
              <w:t>16.1</w:t>
            </w:r>
          </w:p>
        </w:tc>
        <w:tc>
          <w:tcPr>
            <w:tcW w:w="7939" w:type="dxa"/>
            <w:vAlign w:val="center"/>
          </w:tcPr>
          <w:p>
            <w:pPr>
              <w:spacing w:line="288" w:lineRule="auto"/>
              <w:rPr>
                <w:rFonts w:ascii="宋体" w:hAnsi="宋体" w:cs="宋体"/>
                <w:color w:val="auto"/>
                <w:szCs w:val="21"/>
              </w:rPr>
            </w:pPr>
            <w:r>
              <w:rPr>
                <w:rFonts w:hint="eastAsia" w:ascii="宋体" w:hAnsi="宋体" w:cs="宋体"/>
                <w:color w:val="auto"/>
                <w:szCs w:val="21"/>
              </w:rPr>
              <w:t>竞标保证金（人民币）：10000.00元。</w:t>
            </w:r>
          </w:p>
          <w:p>
            <w:pPr>
              <w:tabs>
                <w:tab w:val="left" w:pos="1305"/>
              </w:tabs>
              <w:spacing w:line="400" w:lineRule="exact"/>
              <w:rPr>
                <w:rFonts w:ascii="宋体" w:hAnsi="宋体" w:cs="宋体"/>
                <w:color w:val="auto"/>
                <w:szCs w:val="21"/>
              </w:rPr>
            </w:pPr>
            <w:r>
              <w:rPr>
                <w:rFonts w:hint="eastAsia" w:ascii="宋体" w:hAnsi="宋体" w:cs="宋体"/>
                <w:color w:val="auto"/>
                <w:szCs w:val="21"/>
              </w:rPr>
              <w:t>竞标保证金的交纳方式：银行转账、支票、汇票、本票或者银行、保险机构出具的保函，禁止采用现钞方式。采用银行转账方式的，在首次响应文件提交截止时间前交至采购代理机构指定账户并且到账。</w:t>
            </w:r>
          </w:p>
          <w:p>
            <w:pPr>
              <w:tabs>
                <w:tab w:val="left" w:pos="1305"/>
              </w:tabs>
              <w:spacing w:line="400" w:lineRule="exact"/>
              <w:rPr>
                <w:rFonts w:ascii="宋体" w:hAnsi="宋体" w:cs="宋体"/>
                <w:color w:val="auto"/>
                <w:szCs w:val="21"/>
              </w:rPr>
            </w:pPr>
            <w:r>
              <w:rPr>
                <w:rFonts w:hint="eastAsia" w:ascii="宋体" w:hAnsi="宋体" w:cs="宋体"/>
                <w:color w:val="auto"/>
                <w:szCs w:val="21"/>
              </w:rPr>
              <w:t>【开户名：广西龙建工程管理有限公司；开户银行：建设银行钦州子材东大街支行；银行帐号：4505 0110 6312 0988 8888】</w:t>
            </w:r>
          </w:p>
          <w:p>
            <w:pPr>
              <w:tabs>
                <w:tab w:val="left" w:pos="1305"/>
              </w:tabs>
              <w:spacing w:line="400" w:lineRule="exact"/>
              <w:rPr>
                <w:rFonts w:ascii="宋体" w:hAnsi="宋体" w:cs="宋体"/>
                <w:color w:val="auto"/>
                <w:szCs w:val="21"/>
              </w:rPr>
            </w:pPr>
            <w:r>
              <w:rPr>
                <w:rFonts w:hint="eastAsia" w:ascii="宋体" w:hAnsi="宋体" w:cs="宋体"/>
                <w:color w:val="auto"/>
                <w:szCs w:val="21"/>
              </w:rPr>
              <w:t>注：转账用途、摘要、附言上请备注“</w:t>
            </w:r>
            <w:r>
              <w:rPr>
                <w:rFonts w:hint="eastAsia" w:ascii="宋体" w:hAnsi="宋体" w:cs="宋体"/>
                <w:color w:val="auto"/>
                <w:szCs w:val="21"/>
                <w:lang w:eastAsia="zh-CN"/>
              </w:rPr>
              <w:t>QZZC2024-J1-990477-GXLJ</w:t>
            </w:r>
            <w:r>
              <w:rPr>
                <w:rFonts w:hint="eastAsia" w:ascii="宋体" w:hAnsi="宋体" w:cs="宋体"/>
                <w:color w:val="auto"/>
                <w:szCs w:val="21"/>
              </w:rPr>
              <w:t>保证金”</w:t>
            </w:r>
          </w:p>
          <w:p>
            <w:pPr>
              <w:tabs>
                <w:tab w:val="left" w:pos="1305"/>
              </w:tabs>
              <w:spacing w:line="400" w:lineRule="exact"/>
              <w:rPr>
                <w:rFonts w:ascii="宋体" w:hAnsi="宋体" w:cs="宋体"/>
                <w:color w:val="auto"/>
                <w:szCs w:val="21"/>
              </w:rPr>
            </w:pPr>
            <w:r>
              <w:rPr>
                <w:rFonts w:hint="eastAsia" w:ascii="宋体" w:hAnsi="宋体" w:cs="宋体"/>
                <w:color w:val="auto"/>
                <w:szCs w:val="21"/>
              </w:rPr>
              <w:t>投标保证金退还：未成交竞标人的竞标保证金，将在成交通知书发出后5个工作日内予以退还。中标的最迟在竞标人与中标人签订合同后5个工作日内予以退还。不计利息。</w:t>
            </w:r>
          </w:p>
          <w:p>
            <w:pPr>
              <w:spacing w:line="320" w:lineRule="exact"/>
              <w:rPr>
                <w:rFonts w:ascii="宋体" w:hAnsi="宋体" w:cs="宋体"/>
                <w:color w:val="auto"/>
                <w:szCs w:val="21"/>
              </w:rPr>
            </w:pPr>
            <w:r>
              <w:rPr>
                <w:rFonts w:hint="eastAsia" w:ascii="宋体" w:hAnsi="宋体" w:cs="宋体"/>
                <w:color w:val="auto"/>
                <w:szCs w:val="21"/>
              </w:rPr>
              <w:t>其他不予退还投标保证金的情形：</w:t>
            </w:r>
            <w:bookmarkStart w:id="46" w:name="EBb92cdeb838014d44a7ed3e9ced0d0cb2"/>
            <w:r>
              <w:rPr>
                <w:rFonts w:hint="eastAsia" w:ascii="宋体" w:hAnsi="宋体" w:cs="宋体"/>
                <w:color w:val="auto"/>
                <w:szCs w:val="21"/>
              </w:rPr>
              <w:t>投标保证金以电子保函形式递交的，保函生效后除办理保函时《申请须知》中约定的退保情形，均不予退还保函费用。</w:t>
            </w:r>
            <w:bookmarkEnd w:id="46"/>
            <w:r>
              <w:rPr>
                <w:rFonts w:hint="eastAsia" w:ascii="宋体" w:hAnsi="宋体" w:cs="宋体"/>
                <w:color w:val="auto"/>
                <w:szCs w:val="21"/>
              </w:rPr>
              <w:t>】。</w:t>
            </w:r>
          </w:p>
          <w:p>
            <w:pPr>
              <w:spacing w:line="360" w:lineRule="exact"/>
              <w:rPr>
                <w:rFonts w:ascii="宋体" w:hAnsi="宋体" w:cs="宋体"/>
                <w:b/>
                <w:color w:val="auto"/>
                <w:szCs w:val="21"/>
              </w:rPr>
            </w:pPr>
            <w:r>
              <w:rPr>
                <w:rFonts w:hint="eastAsia" w:ascii="宋体" w:hAnsi="宋体" w:cs="宋体"/>
                <w:b/>
                <w:color w:val="auto"/>
                <w:szCs w:val="21"/>
              </w:rPr>
              <w:t xml:space="preserve">备注： </w:t>
            </w:r>
          </w:p>
          <w:p>
            <w:pPr>
              <w:spacing w:line="360" w:lineRule="exact"/>
              <w:rPr>
                <w:rFonts w:ascii="宋体" w:hAnsi="宋体" w:cs="宋体"/>
                <w:b/>
                <w:color w:val="auto"/>
                <w:szCs w:val="21"/>
              </w:rPr>
            </w:pPr>
            <w:r>
              <w:rPr>
                <w:rFonts w:hint="eastAsia" w:ascii="宋体" w:hAnsi="宋体" w:cs="宋体"/>
                <w:b/>
                <w:color w:val="auto"/>
                <w:szCs w:val="21"/>
              </w:rPr>
              <w:t>1. 竞标截止时间后提交的，或未足额交纳的，或保函额度不足的，视为无效竞标保证金。</w:t>
            </w:r>
          </w:p>
          <w:p>
            <w:pPr>
              <w:spacing w:line="360" w:lineRule="exact"/>
              <w:rPr>
                <w:rFonts w:ascii="宋体" w:hAnsi="宋体" w:cs="宋体"/>
                <w:b/>
                <w:color w:val="auto"/>
                <w:szCs w:val="21"/>
              </w:rPr>
            </w:pPr>
            <w:r>
              <w:rPr>
                <w:rFonts w:hint="eastAsia" w:ascii="宋体" w:hAnsi="宋体" w:cs="宋体"/>
                <w:b/>
                <w:color w:val="auto"/>
                <w:szCs w:val="21"/>
              </w:rPr>
              <w:t>2.供应商采用现钞方式或从个人账户（自然人竞标除外）转出的竞标保证金，视为无效竞标保证金。</w:t>
            </w:r>
          </w:p>
          <w:p>
            <w:pPr>
              <w:spacing w:line="360" w:lineRule="exact"/>
              <w:rPr>
                <w:rFonts w:ascii="宋体" w:hAnsi="宋体" w:cs="宋体"/>
                <w:b/>
                <w:color w:val="auto"/>
                <w:szCs w:val="21"/>
              </w:rPr>
            </w:pPr>
            <w:r>
              <w:rPr>
                <w:rFonts w:hint="eastAsia" w:ascii="宋体" w:hAnsi="宋体" w:cs="宋体"/>
                <w:b/>
                <w:color w:val="auto"/>
                <w:szCs w:val="21"/>
              </w:rPr>
              <w:t>3.支票、汇票或本票出现无效或者背书情形的，视为无效竞标保证金。</w:t>
            </w:r>
          </w:p>
          <w:p>
            <w:pPr>
              <w:spacing w:line="360" w:lineRule="exact"/>
              <w:rPr>
                <w:rFonts w:ascii="宋体" w:hAnsi="宋体" w:cs="宋体"/>
                <w:b/>
                <w:color w:val="auto"/>
                <w:szCs w:val="21"/>
              </w:rPr>
            </w:pPr>
            <w:r>
              <w:rPr>
                <w:rFonts w:hint="eastAsia" w:ascii="宋体" w:hAnsi="宋体" w:cs="宋体"/>
                <w:b/>
                <w:color w:val="auto"/>
                <w:szCs w:val="21"/>
              </w:rPr>
              <w:t>4.保函有效期低于竞标有效期的，视为无效竞标保证金。</w:t>
            </w:r>
          </w:p>
          <w:p>
            <w:pPr>
              <w:spacing w:line="320" w:lineRule="exact"/>
              <w:rPr>
                <w:rFonts w:ascii="宋体" w:hAnsi="宋体" w:cs="宋体"/>
                <w:color w:val="auto"/>
                <w:szCs w:val="21"/>
              </w:rPr>
            </w:pPr>
            <w:r>
              <w:rPr>
                <w:rFonts w:hint="eastAsia" w:ascii="宋体" w:hAnsi="宋体" w:cs="宋体"/>
                <w:b/>
                <w:color w:val="auto"/>
                <w:szCs w:val="21"/>
              </w:rPr>
              <w:t>5.竞标保证金采用银行、保险机构出具的保函为有条件保函的，视为无效竞标保证金。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2" w:hRule="atLeast"/>
          <w:jc w:val="center"/>
        </w:trPr>
        <w:tc>
          <w:tcPr>
            <w:tcW w:w="726" w:type="dxa"/>
            <w:vAlign w:val="center"/>
          </w:tcPr>
          <w:p>
            <w:pPr>
              <w:pStyle w:val="20"/>
              <w:spacing w:line="400" w:lineRule="exact"/>
              <w:ind w:firstLine="210" w:firstLineChars="100"/>
              <w:rPr>
                <w:rFonts w:ascii="宋体" w:hAnsi="宋体" w:cs="宋体"/>
                <w:color w:val="auto"/>
              </w:rPr>
            </w:pPr>
            <w:r>
              <w:rPr>
                <w:rFonts w:hint="eastAsia" w:ascii="宋体" w:hAnsi="宋体" w:cs="宋体"/>
                <w:color w:val="auto"/>
              </w:rPr>
              <w:t>7</w:t>
            </w:r>
          </w:p>
        </w:tc>
        <w:tc>
          <w:tcPr>
            <w:tcW w:w="824" w:type="dxa"/>
            <w:vAlign w:val="center"/>
          </w:tcPr>
          <w:p>
            <w:pPr>
              <w:spacing w:line="400" w:lineRule="exact"/>
              <w:jc w:val="center"/>
              <w:rPr>
                <w:rFonts w:ascii="宋体" w:hAnsi="宋体" w:cs="宋体"/>
                <w:color w:val="auto"/>
              </w:rPr>
            </w:pPr>
            <w:r>
              <w:rPr>
                <w:rFonts w:hint="eastAsia" w:ascii="宋体" w:hAnsi="宋体" w:cs="宋体"/>
                <w:color w:val="auto"/>
              </w:rPr>
              <w:t>17</w:t>
            </w:r>
          </w:p>
          <w:p>
            <w:pPr>
              <w:pStyle w:val="18"/>
              <w:jc w:val="center"/>
              <w:rPr>
                <w:rFonts w:hAnsi="宋体" w:cs="宋体"/>
                <w:color w:val="auto"/>
                <w:kern w:val="0"/>
                <w:sz w:val="20"/>
                <w:szCs w:val="24"/>
              </w:rPr>
            </w:pPr>
            <w:r>
              <w:rPr>
                <w:rFonts w:hint="eastAsia" w:hAnsi="宋体" w:cs="宋体"/>
                <w:color w:val="auto"/>
                <w:kern w:val="0"/>
                <w:sz w:val="20"/>
                <w:szCs w:val="24"/>
              </w:rPr>
              <w:t>18</w:t>
            </w:r>
          </w:p>
        </w:tc>
        <w:tc>
          <w:tcPr>
            <w:tcW w:w="7939" w:type="dxa"/>
            <w:vAlign w:val="center"/>
          </w:tcPr>
          <w:p>
            <w:pPr>
              <w:spacing w:line="320" w:lineRule="exact"/>
              <w:rPr>
                <w:rFonts w:ascii="宋体" w:hAnsi="宋体" w:cs="宋体"/>
                <w:color w:val="auto"/>
              </w:rPr>
            </w:pPr>
            <w:r>
              <w:rPr>
                <w:rFonts w:hint="eastAsia" w:ascii="宋体" w:hAnsi="宋体" w:cs="宋体"/>
                <w:color w:val="auto"/>
              </w:rPr>
              <w:t>响应文件递交形式：</w:t>
            </w:r>
          </w:p>
          <w:p>
            <w:pPr>
              <w:snapToGrid w:val="0"/>
              <w:spacing w:line="360" w:lineRule="auto"/>
              <w:jc w:val="left"/>
              <w:rPr>
                <w:rFonts w:ascii="宋体" w:hAnsi="宋体" w:cs="宋体"/>
                <w:color w:val="auto"/>
              </w:rPr>
            </w:pPr>
            <w:r>
              <w:rPr>
                <w:rFonts w:hint="eastAsia" w:ascii="宋体" w:hAnsi="宋体" w:cs="宋体"/>
                <w:color w:val="auto"/>
              </w:rPr>
              <w:t>1.电子加密响应文件：供应商须通过</w:t>
            </w:r>
            <w:r>
              <w:rPr>
                <w:rStyle w:val="40"/>
                <w:rFonts w:ascii="Arial" w:hAnsi="Arial" w:eastAsia="Arial" w:cs="Arial"/>
                <w:color w:val="auto"/>
                <w:sz w:val="21"/>
                <w:szCs w:val="21"/>
                <w:shd w:val="clear" w:color="auto" w:fill="FFFFFF"/>
              </w:rPr>
              <w:t>广西政府采购云平台</w:t>
            </w:r>
            <w:r>
              <w:rPr>
                <w:rFonts w:hint="eastAsia" w:ascii="宋体" w:hAnsi="宋体" w:cs="宋体"/>
                <w:color w:val="auto"/>
              </w:rPr>
              <w:t>供应商客户端软件制作并加密生成电子响应文件，于响应文件提交截止时间前经</w:t>
            </w:r>
            <w:r>
              <w:rPr>
                <w:rStyle w:val="40"/>
                <w:rFonts w:ascii="Arial" w:hAnsi="Arial" w:eastAsia="Arial" w:cs="Arial"/>
                <w:color w:val="auto"/>
                <w:sz w:val="21"/>
                <w:szCs w:val="21"/>
                <w:shd w:val="clear" w:color="auto" w:fill="FFFFFF"/>
              </w:rPr>
              <w:t>广西政府采购云平台</w:t>
            </w:r>
            <w:r>
              <w:rPr>
                <w:rFonts w:hint="eastAsia" w:ascii="宋体" w:hAnsi="宋体" w:cs="宋体"/>
                <w:color w:val="auto"/>
              </w:rPr>
              <w:t>上传提交。</w:t>
            </w:r>
          </w:p>
          <w:p>
            <w:pPr>
              <w:snapToGrid w:val="0"/>
              <w:spacing w:line="360" w:lineRule="auto"/>
              <w:jc w:val="left"/>
              <w:rPr>
                <w:rFonts w:ascii="宋体" w:hAnsi="宋体" w:cs="宋体"/>
                <w:color w:val="auto"/>
              </w:rPr>
            </w:pPr>
            <w:r>
              <w:rPr>
                <w:rFonts w:hint="eastAsia" w:ascii="宋体" w:hAnsi="宋体" w:cs="宋体"/>
                <w:color w:val="auto"/>
              </w:rPr>
              <w:t>2.电子备份响应文件：以U盘或光盘存储，电子备份响应文件应当在响应文件提交截止时间前按要求密封并邮寄或直接送达广西龙建工程管理有限公司（地址：</w:t>
            </w:r>
            <w:r>
              <w:rPr>
                <w:rFonts w:hint="eastAsia" w:ascii="宋体" w:hAnsi="宋体" w:cs="宋体"/>
                <w:color w:val="auto"/>
                <w:kern w:val="0"/>
                <w:szCs w:val="21"/>
                <w:u w:val="single"/>
              </w:rPr>
              <w:t>钦州市钦南区子材东大街8号奥林财富1号楼11层　</w:t>
            </w:r>
            <w:r>
              <w:rPr>
                <w:rFonts w:hint="eastAsia" w:ascii="宋体" w:hAnsi="宋体" w:cs="宋体"/>
                <w:color w:val="auto"/>
                <w:kern w:val="0"/>
                <w:szCs w:val="21"/>
              </w:rPr>
              <w:t>，</w:t>
            </w:r>
            <w:r>
              <w:rPr>
                <w:rFonts w:hint="eastAsia" w:ascii="宋体" w:hAnsi="宋体" w:cs="宋体"/>
                <w:color w:val="auto"/>
                <w:szCs w:val="21"/>
              </w:rPr>
              <w:t>联系人：滕丽华，电话：0777-3617888</w:t>
            </w:r>
            <w:r>
              <w:rPr>
                <w:rFonts w:hint="eastAsia" w:ascii="宋体" w:hAnsi="宋体" w:cs="宋体"/>
                <w:color w:val="auto"/>
              </w:rPr>
              <w:t>），我公司拒收到付邮件，通过邮寄方式送达的，请合理安排邮寄时间，逾期送达或未按要求密封将被拒收。</w:t>
            </w:r>
          </w:p>
          <w:p>
            <w:pPr>
              <w:snapToGrid w:val="0"/>
              <w:spacing w:line="360" w:lineRule="auto"/>
              <w:jc w:val="left"/>
              <w:rPr>
                <w:rFonts w:ascii="宋体" w:hAnsi="宋体" w:cs="宋体"/>
                <w:color w:val="auto"/>
              </w:rPr>
            </w:pPr>
            <w:r>
              <w:rPr>
                <w:rFonts w:hint="eastAsia" w:ascii="宋体" w:hAnsi="宋体" w:cs="宋体"/>
                <w:color w:val="auto"/>
              </w:rPr>
              <w:t>3.响应文件递交截止时</w:t>
            </w:r>
            <w:r>
              <w:rPr>
                <w:rFonts w:hint="eastAsia" w:ascii="宋体" w:hAnsi="宋体" w:cs="宋体"/>
                <w:bCs/>
                <w:color w:val="auto"/>
                <w:szCs w:val="21"/>
              </w:rPr>
              <w:t>间：</w:t>
            </w:r>
            <w:r>
              <w:rPr>
                <w:rFonts w:hint="eastAsia" w:ascii="宋体" w:hAnsi="宋体" w:cs="宋体"/>
                <w:color w:val="auto"/>
                <w:szCs w:val="21"/>
                <w:u w:val="single"/>
              </w:rPr>
              <w:t>2024</w:t>
            </w:r>
            <w:r>
              <w:rPr>
                <w:rFonts w:hint="eastAsia" w:ascii="宋体" w:hAnsi="宋体" w:cs="宋体"/>
                <w:bCs/>
                <w:color w:val="auto"/>
                <w:szCs w:val="21"/>
                <w:u w:val="single"/>
              </w:rPr>
              <w:t>年</w:t>
            </w:r>
            <w:r>
              <w:rPr>
                <w:rFonts w:hint="eastAsia" w:ascii="宋体" w:hAnsi="宋体" w:cs="宋体"/>
                <w:bCs/>
                <w:color w:val="auto"/>
                <w:szCs w:val="21"/>
                <w:u w:val="single"/>
                <w:lang w:val="en-US" w:eastAsia="zh-CN"/>
              </w:rPr>
              <w:t>11</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1</w:t>
            </w:r>
            <w:r>
              <w:rPr>
                <w:rFonts w:hint="eastAsia" w:ascii="宋体" w:hAnsi="宋体" w:cs="宋体"/>
                <w:bCs/>
                <w:color w:val="auto"/>
                <w:szCs w:val="21"/>
                <w:u w:val="single"/>
              </w:rPr>
              <w:t xml:space="preserve">日 </w:t>
            </w:r>
            <w:r>
              <w:rPr>
                <w:rFonts w:hint="eastAsia" w:ascii="宋体" w:hAnsi="宋体" w:cs="宋体"/>
                <w:bCs/>
                <w:color w:val="auto"/>
                <w:szCs w:val="21"/>
                <w:u w:val="single"/>
                <w:lang w:val="en-US" w:eastAsia="zh-CN"/>
              </w:rPr>
              <w:t>8</w:t>
            </w:r>
            <w:r>
              <w:rPr>
                <w:rFonts w:hint="eastAsia" w:ascii="宋体" w:hAnsi="宋体" w:cs="宋体"/>
                <w:bCs/>
                <w:color w:val="auto"/>
                <w:szCs w:val="21"/>
                <w:u w:val="single"/>
              </w:rPr>
              <w:t>:</w:t>
            </w:r>
            <w:r>
              <w:rPr>
                <w:rFonts w:hint="eastAsia" w:ascii="宋体" w:hAnsi="宋体" w:cs="宋体"/>
                <w:bCs/>
                <w:color w:val="auto"/>
                <w:szCs w:val="21"/>
                <w:u w:val="single"/>
                <w:lang w:val="en-US" w:eastAsia="zh-CN"/>
              </w:rPr>
              <w:t>30</w:t>
            </w:r>
            <w:r>
              <w:rPr>
                <w:rFonts w:hint="eastAsia" w:ascii="宋体" w:hAnsi="宋体" w:cs="宋体"/>
                <w:bCs/>
                <w:color w:val="auto"/>
                <w:szCs w:val="21"/>
                <w:u w:val="single"/>
              </w:rPr>
              <w:t>分（</w:t>
            </w:r>
            <w:r>
              <w:rPr>
                <w:rFonts w:hint="eastAsia" w:ascii="宋体" w:hAnsi="宋体" w:cs="宋体"/>
                <w:bCs/>
                <w:color w:val="auto"/>
                <w:szCs w:val="21"/>
              </w:rPr>
              <w:t>北京时间）</w:t>
            </w:r>
          </w:p>
          <w:p>
            <w:pPr>
              <w:spacing w:line="320" w:lineRule="exact"/>
              <w:rPr>
                <w:rFonts w:ascii="宋体" w:hAnsi="宋体" w:cs="宋体"/>
                <w:color w:val="auto"/>
              </w:rPr>
            </w:pPr>
            <w:r>
              <w:rPr>
                <w:rFonts w:hint="eastAsia" w:ascii="宋体" w:hAnsi="宋体" w:cs="宋体"/>
                <w:color w:val="auto"/>
                <w:szCs w:val="21"/>
              </w:rPr>
              <w:t>备注：</w:t>
            </w:r>
            <w:r>
              <w:rPr>
                <w:rFonts w:hint="eastAsia" w:ascii="宋体" w:hAnsi="宋体" w:cs="宋体"/>
                <w:b/>
                <w:bCs/>
                <w:color w:val="auto"/>
              </w:rPr>
              <w:t>如</w:t>
            </w:r>
            <w:r>
              <w:rPr>
                <w:rFonts w:hint="eastAsia" w:ascii="宋体" w:hAnsi="宋体" w:cs="宋体"/>
                <w:b/>
                <w:bCs/>
                <w:color w:val="auto"/>
                <w:szCs w:val="21"/>
              </w:rPr>
              <w:t>通过</w:t>
            </w:r>
            <w:r>
              <w:rPr>
                <w:rStyle w:val="40"/>
                <w:rFonts w:ascii="Arial" w:hAnsi="Arial" w:eastAsia="Arial" w:cs="Arial"/>
                <w:bCs/>
                <w:color w:val="auto"/>
                <w:sz w:val="21"/>
                <w:szCs w:val="21"/>
                <w:shd w:val="clear" w:color="auto" w:fill="FFFFFF"/>
              </w:rPr>
              <w:t>广西政府采购云平台</w:t>
            </w:r>
            <w:r>
              <w:rPr>
                <w:rFonts w:hint="eastAsia" w:ascii="宋体" w:hAnsi="宋体" w:cs="宋体"/>
                <w:b/>
                <w:bCs/>
                <w:color w:val="auto"/>
                <w:szCs w:val="21"/>
              </w:rPr>
              <w:t>上传递交的电子加密响应文件无法按时解密，供应商未提交有</w:t>
            </w:r>
            <w:r>
              <w:rPr>
                <w:rFonts w:hint="eastAsia" w:ascii="宋体" w:hAnsi="宋体" w:cs="宋体"/>
                <w:b/>
                <w:bCs/>
                <w:color w:val="auto"/>
              </w:rPr>
              <w:t>电子备份响应文件的，视为撤回响应文件。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726" w:type="dxa"/>
            <w:vAlign w:val="center"/>
          </w:tcPr>
          <w:p>
            <w:pPr>
              <w:pStyle w:val="20"/>
              <w:spacing w:line="400" w:lineRule="exact"/>
              <w:ind w:firstLine="210" w:firstLineChars="100"/>
              <w:rPr>
                <w:rFonts w:ascii="宋体" w:hAnsi="宋体" w:cs="宋体"/>
                <w:color w:val="auto"/>
              </w:rPr>
            </w:pPr>
            <w:r>
              <w:rPr>
                <w:rFonts w:hint="eastAsia" w:ascii="宋体" w:hAnsi="宋体" w:cs="宋体"/>
                <w:color w:val="auto"/>
              </w:rPr>
              <w:t>8</w:t>
            </w:r>
          </w:p>
        </w:tc>
        <w:tc>
          <w:tcPr>
            <w:tcW w:w="824" w:type="dxa"/>
            <w:vAlign w:val="center"/>
          </w:tcPr>
          <w:p>
            <w:pPr>
              <w:spacing w:line="400" w:lineRule="exact"/>
              <w:jc w:val="center"/>
              <w:rPr>
                <w:rFonts w:ascii="宋体" w:hAnsi="宋体" w:cs="宋体"/>
                <w:color w:val="auto"/>
              </w:rPr>
            </w:pPr>
            <w:r>
              <w:rPr>
                <w:rFonts w:hint="eastAsia" w:ascii="宋体" w:hAnsi="宋体" w:cs="宋体"/>
                <w:color w:val="auto"/>
              </w:rPr>
              <w:t>19.1</w:t>
            </w:r>
          </w:p>
        </w:tc>
        <w:tc>
          <w:tcPr>
            <w:tcW w:w="7939" w:type="dxa"/>
            <w:vAlign w:val="center"/>
          </w:tcPr>
          <w:p>
            <w:pPr>
              <w:spacing w:line="320" w:lineRule="exact"/>
              <w:rPr>
                <w:rFonts w:ascii="宋体" w:hAnsi="宋体" w:cs="宋体"/>
                <w:color w:val="auto"/>
                <w:szCs w:val="21"/>
              </w:rPr>
            </w:pPr>
            <w:r>
              <w:rPr>
                <w:rFonts w:hint="eastAsia" w:ascii="宋体" w:hAnsi="宋体" w:cs="宋体"/>
                <w:color w:val="auto"/>
                <w:szCs w:val="21"/>
              </w:rPr>
              <w:t>竞争性谈判时间：</w:t>
            </w:r>
            <w:r>
              <w:rPr>
                <w:rFonts w:hint="eastAsia" w:ascii="宋体" w:hAnsi="宋体" w:cs="宋体"/>
                <w:color w:val="auto"/>
                <w:szCs w:val="21"/>
                <w:u w:val="single"/>
              </w:rPr>
              <w:t>2024</w:t>
            </w:r>
            <w:r>
              <w:rPr>
                <w:rFonts w:hint="eastAsia" w:ascii="宋体" w:hAnsi="宋体" w:cs="宋体"/>
                <w:bCs/>
                <w:color w:val="auto"/>
                <w:szCs w:val="21"/>
                <w:u w:val="single"/>
              </w:rPr>
              <w:t xml:space="preserve">年11月1日 </w:t>
            </w:r>
            <w:r>
              <w:rPr>
                <w:rFonts w:hint="eastAsia" w:ascii="宋体" w:hAnsi="宋体" w:cs="宋体"/>
                <w:bCs/>
                <w:color w:val="auto"/>
                <w:szCs w:val="21"/>
                <w:u w:val="single"/>
                <w:lang w:val="en-US" w:eastAsia="zh-CN"/>
              </w:rPr>
              <w:t>8</w:t>
            </w:r>
            <w:r>
              <w:rPr>
                <w:rFonts w:hint="eastAsia" w:ascii="宋体" w:hAnsi="宋体" w:cs="宋体"/>
                <w:bCs/>
                <w:color w:val="auto"/>
                <w:szCs w:val="21"/>
                <w:u w:val="single"/>
              </w:rPr>
              <w:t>:</w:t>
            </w:r>
            <w:r>
              <w:rPr>
                <w:rFonts w:hint="eastAsia" w:ascii="宋体" w:hAnsi="宋体" w:cs="宋体"/>
                <w:bCs/>
                <w:color w:val="auto"/>
                <w:szCs w:val="21"/>
                <w:u w:val="single"/>
                <w:lang w:val="en-US" w:eastAsia="zh-CN"/>
              </w:rPr>
              <w:t>30</w:t>
            </w:r>
            <w:r>
              <w:rPr>
                <w:rFonts w:hint="eastAsia" w:ascii="宋体" w:hAnsi="宋体" w:cs="宋体"/>
                <w:bCs/>
                <w:color w:val="auto"/>
                <w:szCs w:val="21"/>
                <w:u w:val="single"/>
              </w:rPr>
              <w:t>分（</w:t>
            </w:r>
            <w:r>
              <w:rPr>
                <w:rFonts w:hint="eastAsia" w:ascii="宋体" w:hAnsi="宋体" w:cs="宋体"/>
                <w:bCs/>
                <w:color w:val="auto"/>
                <w:szCs w:val="21"/>
              </w:rPr>
              <w:t>北京时间）</w:t>
            </w:r>
            <w:r>
              <w:rPr>
                <w:rFonts w:hint="eastAsia" w:ascii="宋体" w:hAnsi="宋体" w:cs="宋体"/>
                <w:color w:val="auto"/>
                <w:szCs w:val="21"/>
              </w:rPr>
              <w:t>截标后</w:t>
            </w:r>
          </w:p>
          <w:p>
            <w:pPr>
              <w:spacing w:line="320" w:lineRule="exact"/>
              <w:rPr>
                <w:rFonts w:ascii="宋体" w:hAnsi="宋体" w:cs="宋体"/>
                <w:color w:val="auto"/>
                <w:szCs w:val="21"/>
              </w:rPr>
            </w:pPr>
            <w:r>
              <w:rPr>
                <w:rFonts w:hint="eastAsia" w:ascii="宋体" w:hAnsi="宋体" w:cs="宋体"/>
                <w:color w:val="auto"/>
                <w:szCs w:val="21"/>
              </w:rPr>
              <w:t>谈判地点：供应商通过</w:t>
            </w:r>
            <w:r>
              <w:rPr>
                <w:rStyle w:val="40"/>
                <w:rFonts w:ascii="Arial" w:hAnsi="Arial" w:eastAsia="Arial" w:cs="Arial"/>
                <w:color w:val="auto"/>
                <w:sz w:val="21"/>
                <w:szCs w:val="21"/>
                <w:shd w:val="clear" w:color="auto" w:fill="FFFFFF"/>
              </w:rPr>
              <w:t>广西政府采购云平台</w:t>
            </w:r>
            <w:r>
              <w:rPr>
                <w:rFonts w:hint="eastAsia" w:ascii="宋体" w:hAnsi="宋体" w:cs="宋体"/>
                <w:color w:val="auto"/>
                <w:szCs w:val="21"/>
              </w:rPr>
              <w:t>在线等候谈判。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726" w:type="dxa"/>
            <w:vAlign w:val="center"/>
          </w:tcPr>
          <w:p>
            <w:pPr>
              <w:pStyle w:val="20"/>
              <w:spacing w:line="400" w:lineRule="exact"/>
              <w:ind w:firstLine="210" w:firstLineChars="100"/>
              <w:rPr>
                <w:rFonts w:ascii="宋体" w:hAnsi="宋体" w:cs="宋体"/>
                <w:color w:val="auto"/>
              </w:rPr>
            </w:pPr>
            <w:r>
              <w:rPr>
                <w:rFonts w:hint="eastAsia" w:ascii="宋体" w:hAnsi="宋体" w:cs="宋体"/>
                <w:color w:val="auto"/>
              </w:rPr>
              <w:t>9</w:t>
            </w:r>
          </w:p>
        </w:tc>
        <w:tc>
          <w:tcPr>
            <w:tcW w:w="824" w:type="dxa"/>
            <w:vAlign w:val="center"/>
          </w:tcPr>
          <w:p>
            <w:pPr>
              <w:spacing w:line="400" w:lineRule="exact"/>
              <w:jc w:val="center"/>
              <w:rPr>
                <w:rFonts w:ascii="宋体" w:hAnsi="宋体" w:cs="宋体"/>
                <w:color w:val="auto"/>
              </w:rPr>
            </w:pPr>
            <w:r>
              <w:rPr>
                <w:rFonts w:hint="eastAsia" w:ascii="宋体" w:hAnsi="宋体" w:cs="宋体"/>
                <w:color w:val="auto"/>
              </w:rPr>
              <w:t>20.2</w:t>
            </w:r>
          </w:p>
        </w:tc>
        <w:tc>
          <w:tcPr>
            <w:tcW w:w="7939" w:type="dxa"/>
            <w:vAlign w:val="center"/>
          </w:tcPr>
          <w:p>
            <w:pPr>
              <w:spacing w:line="320" w:lineRule="exact"/>
              <w:rPr>
                <w:rFonts w:ascii="宋体" w:hAnsi="宋体" w:cs="宋体"/>
                <w:color w:val="auto"/>
                <w:szCs w:val="21"/>
              </w:rPr>
            </w:pPr>
            <w:r>
              <w:rPr>
                <w:rFonts w:hint="eastAsia" w:ascii="宋体" w:hAnsi="宋体" w:cs="宋体"/>
                <w:color w:val="auto"/>
                <w:szCs w:val="21"/>
              </w:rPr>
              <w:t>评标方法：最低评标价法。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726" w:type="dxa"/>
            <w:vAlign w:val="center"/>
          </w:tcPr>
          <w:p>
            <w:pPr>
              <w:pStyle w:val="20"/>
              <w:spacing w:line="400" w:lineRule="exact"/>
              <w:ind w:firstLine="210" w:firstLineChars="100"/>
              <w:rPr>
                <w:rFonts w:ascii="宋体" w:hAnsi="宋体" w:cs="宋体"/>
                <w:color w:val="auto"/>
              </w:rPr>
            </w:pPr>
            <w:r>
              <w:rPr>
                <w:rFonts w:hint="eastAsia" w:ascii="宋体" w:hAnsi="宋体" w:cs="宋体"/>
                <w:color w:val="auto"/>
              </w:rPr>
              <w:t>10</w:t>
            </w:r>
          </w:p>
        </w:tc>
        <w:tc>
          <w:tcPr>
            <w:tcW w:w="824" w:type="dxa"/>
            <w:vAlign w:val="center"/>
          </w:tcPr>
          <w:p>
            <w:pPr>
              <w:spacing w:line="400" w:lineRule="exact"/>
              <w:jc w:val="center"/>
              <w:rPr>
                <w:rFonts w:ascii="宋体" w:hAnsi="宋体" w:cs="宋体"/>
                <w:color w:val="auto"/>
              </w:rPr>
            </w:pPr>
            <w:r>
              <w:rPr>
                <w:rFonts w:hint="eastAsia" w:ascii="宋体" w:hAnsi="宋体" w:cs="宋体"/>
                <w:color w:val="auto"/>
              </w:rPr>
              <w:t>27.1</w:t>
            </w:r>
          </w:p>
        </w:tc>
        <w:tc>
          <w:tcPr>
            <w:tcW w:w="7939" w:type="dxa"/>
            <w:vAlign w:val="center"/>
          </w:tcPr>
          <w:p>
            <w:pPr>
              <w:spacing w:line="320" w:lineRule="exact"/>
              <w:rPr>
                <w:rFonts w:ascii="宋体" w:hAnsi="宋体" w:cs="宋体"/>
                <w:color w:val="auto"/>
                <w:szCs w:val="21"/>
              </w:rPr>
            </w:pPr>
            <w:r>
              <w:rPr>
                <w:rFonts w:hint="eastAsia" w:ascii="宋体" w:hAnsi="宋体" w:cs="宋体"/>
                <w:color w:val="auto"/>
              </w:rPr>
              <w:t>履约保证金：无。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26" w:type="dxa"/>
            <w:vAlign w:val="center"/>
          </w:tcPr>
          <w:p>
            <w:pPr>
              <w:pStyle w:val="20"/>
              <w:spacing w:line="400" w:lineRule="exact"/>
              <w:ind w:firstLine="0" w:firstLineChars="0"/>
              <w:jc w:val="center"/>
              <w:rPr>
                <w:rFonts w:ascii="宋体" w:hAnsi="宋体" w:cs="宋体"/>
                <w:color w:val="auto"/>
              </w:rPr>
            </w:pPr>
            <w:r>
              <w:rPr>
                <w:rFonts w:hint="eastAsia" w:ascii="宋体" w:hAnsi="宋体" w:cs="宋体"/>
                <w:color w:val="auto"/>
              </w:rPr>
              <w:t>11</w:t>
            </w:r>
          </w:p>
        </w:tc>
        <w:tc>
          <w:tcPr>
            <w:tcW w:w="824" w:type="dxa"/>
            <w:vAlign w:val="center"/>
          </w:tcPr>
          <w:p>
            <w:pPr>
              <w:spacing w:line="400" w:lineRule="exact"/>
              <w:jc w:val="center"/>
              <w:rPr>
                <w:rFonts w:ascii="宋体" w:hAnsi="宋体" w:cs="宋体"/>
                <w:color w:val="auto"/>
                <w:szCs w:val="20"/>
              </w:rPr>
            </w:pPr>
            <w:r>
              <w:rPr>
                <w:rFonts w:hint="eastAsia" w:ascii="宋体" w:hAnsi="宋体" w:cs="宋体"/>
                <w:color w:val="auto"/>
              </w:rPr>
              <w:t>28.1</w:t>
            </w:r>
          </w:p>
        </w:tc>
        <w:tc>
          <w:tcPr>
            <w:tcW w:w="7939" w:type="dxa"/>
            <w:vAlign w:val="center"/>
          </w:tcPr>
          <w:p>
            <w:pPr>
              <w:pStyle w:val="18"/>
              <w:spacing w:line="320" w:lineRule="exact"/>
              <w:rPr>
                <w:rFonts w:hAnsi="宋体" w:cs="宋体"/>
                <w:color w:val="auto"/>
                <w:kern w:val="0"/>
                <w:sz w:val="20"/>
                <w:szCs w:val="21"/>
              </w:rPr>
            </w:pPr>
            <w:r>
              <w:rPr>
                <w:rFonts w:hint="eastAsia" w:hAnsi="宋体" w:cs="宋体"/>
                <w:color w:val="auto"/>
                <w:szCs w:val="24"/>
              </w:rPr>
              <w:t>成交服务费：</w:t>
            </w:r>
            <w:r>
              <w:rPr>
                <w:rFonts w:hint="eastAsia" w:hAnsi="宋体" w:cs="宋体"/>
                <w:color w:val="auto"/>
                <w:szCs w:val="21"/>
              </w:rPr>
              <w:t>中标供应商领取中标通知书前，向广西龙建工程管理有限公司一次性付清竞标代理服务费，本项目的竞标代理服务收费标准参照计价格[2002]1980号《竞标代理服务收费管理暂行办法》收费标准向中标供应商收取。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489" w:type="dxa"/>
            <w:gridSpan w:val="3"/>
            <w:vAlign w:val="center"/>
          </w:tcPr>
          <w:p>
            <w:pPr>
              <w:adjustRightInd w:val="0"/>
              <w:spacing w:line="340" w:lineRule="exact"/>
              <w:textAlignment w:val="baseline"/>
              <w:rPr>
                <w:rFonts w:ascii="宋体" w:hAnsi="宋体" w:cs="宋体"/>
                <w:color w:val="auto"/>
              </w:rPr>
            </w:pPr>
            <w:r>
              <w:rPr>
                <w:rFonts w:hint="eastAsia" w:ascii="宋体" w:hAnsi="宋体" w:cs="宋体"/>
                <w:color w:val="auto"/>
              </w:rPr>
              <w:t>竞标注意事项：</w:t>
            </w:r>
          </w:p>
          <w:p>
            <w:pPr>
              <w:spacing w:line="288" w:lineRule="auto"/>
              <w:rPr>
                <w:rFonts w:ascii="宋体" w:hAnsi="宋体" w:cs="宋体"/>
                <w:color w:val="auto"/>
              </w:rPr>
            </w:pPr>
            <w:r>
              <w:rPr>
                <w:rFonts w:hint="eastAsia" w:ascii="宋体" w:hAnsi="宋体" w:cs="宋体"/>
                <w:color w:val="auto"/>
              </w:rPr>
              <w:t>（1）本项目为全流程电子化政府采购项目，供应商应按照本项目采购文件和</w:t>
            </w:r>
            <w:r>
              <w:rPr>
                <w:rStyle w:val="40"/>
                <w:rFonts w:ascii="Arial" w:hAnsi="Arial" w:eastAsia="Arial" w:cs="Arial"/>
                <w:color w:val="auto"/>
                <w:sz w:val="21"/>
                <w:szCs w:val="21"/>
                <w:shd w:val="clear" w:color="auto" w:fill="FFFFFF"/>
              </w:rPr>
              <w:t>广西政府采购云平台</w:t>
            </w:r>
            <w:r>
              <w:rPr>
                <w:rFonts w:hint="eastAsia" w:ascii="宋体" w:hAnsi="宋体" w:cs="宋体"/>
                <w:color w:val="auto"/>
              </w:rPr>
              <w:t>的要求编制、加密并提交电子响应文件。供应商在使用</w:t>
            </w:r>
            <w:r>
              <w:rPr>
                <w:rStyle w:val="40"/>
                <w:rFonts w:ascii="Arial" w:hAnsi="Arial" w:eastAsia="Arial" w:cs="Arial"/>
                <w:color w:val="auto"/>
                <w:sz w:val="21"/>
                <w:szCs w:val="21"/>
                <w:shd w:val="clear" w:color="auto" w:fill="FFFFFF"/>
              </w:rPr>
              <w:t>广西政府采购云平台</w:t>
            </w:r>
            <w:r>
              <w:rPr>
                <w:rFonts w:hint="eastAsia" w:ascii="宋体" w:hAnsi="宋体" w:cs="宋体"/>
                <w:color w:val="auto"/>
              </w:rPr>
              <w:t>参与投标过程中遇到涉及平台使用的任何问题，可致电</w:t>
            </w:r>
            <w:r>
              <w:rPr>
                <w:rStyle w:val="40"/>
                <w:rFonts w:ascii="Arial" w:hAnsi="Arial" w:eastAsia="Arial" w:cs="Arial"/>
                <w:color w:val="auto"/>
                <w:sz w:val="21"/>
                <w:szCs w:val="21"/>
                <w:shd w:val="clear" w:color="auto" w:fill="FFFFFF"/>
              </w:rPr>
              <w:t>广西政府采购云平台</w:t>
            </w:r>
            <w:r>
              <w:rPr>
                <w:rFonts w:hint="eastAsia" w:ascii="宋体" w:hAnsi="宋体" w:cs="宋体"/>
                <w:color w:val="auto"/>
              </w:rPr>
              <w:t>技术支持热线咨询，联系方式：400-881-7190。</w:t>
            </w:r>
          </w:p>
          <w:p>
            <w:pPr>
              <w:spacing w:line="288" w:lineRule="auto"/>
              <w:jc w:val="left"/>
              <w:rPr>
                <w:rFonts w:ascii="宋体" w:hAnsi="宋体" w:cs="宋体"/>
                <w:color w:val="auto"/>
              </w:rPr>
            </w:pPr>
            <w:r>
              <w:rPr>
                <w:rFonts w:hint="eastAsia" w:ascii="宋体" w:hAnsi="宋体" w:cs="宋体"/>
                <w:color w:val="auto"/>
              </w:rPr>
              <w:t>（2）供应商应及时熟悉掌握电子标系统操作指南（见</w:t>
            </w:r>
            <w:r>
              <w:rPr>
                <w:rStyle w:val="40"/>
                <w:rFonts w:ascii="Arial" w:hAnsi="Arial" w:eastAsia="Arial" w:cs="Arial"/>
                <w:color w:val="auto"/>
                <w:sz w:val="21"/>
                <w:szCs w:val="21"/>
                <w:shd w:val="clear" w:color="auto" w:fill="FFFFFF"/>
              </w:rPr>
              <w:t>广西政府采购云平台</w:t>
            </w:r>
            <w:r>
              <w:rPr>
                <w:rFonts w:hint="eastAsia" w:ascii="宋体" w:hAnsi="宋体" w:cs="宋体"/>
                <w:color w:val="auto"/>
              </w:rPr>
              <w:t>电子卖场首页右上角—服务中心—帮助文档—项目采购）：</w:t>
            </w:r>
            <w:r>
              <w:rPr>
                <w:color w:val="auto"/>
              </w:rPr>
              <w:fldChar w:fldCharType="begin"/>
            </w:r>
            <w:r>
              <w:rPr>
                <w:color w:val="auto"/>
              </w:rPr>
              <w:instrText xml:space="preserve"> HYPERLINK "https://service.zcygov.cn/" \l "/knowledges/tree?tag=AG1DtGwBFdiHxlNdhY0r" </w:instrText>
            </w:r>
            <w:r>
              <w:rPr>
                <w:color w:val="auto"/>
              </w:rPr>
              <w:fldChar w:fldCharType="separate"/>
            </w:r>
            <w:r>
              <w:rPr>
                <w:rStyle w:val="34"/>
                <w:rFonts w:hint="eastAsia" w:ascii="宋体" w:hAnsi="宋体" w:eastAsia="宋体" w:cs="宋体"/>
                <w:color w:val="auto"/>
                <w:sz w:val="21"/>
                <w:szCs w:val="21"/>
              </w:rPr>
              <w:t>https://service.zcygov.cn/#/knowledges/tree?tag=AG1DtGwBFdiHxlNdhY0r</w:t>
            </w:r>
            <w:r>
              <w:rPr>
                <w:rStyle w:val="34"/>
                <w:rFonts w:hint="eastAsia" w:ascii="宋体" w:hAnsi="宋体" w:eastAsia="宋体" w:cs="宋体"/>
                <w:color w:val="auto"/>
                <w:sz w:val="21"/>
                <w:szCs w:val="21"/>
              </w:rPr>
              <w:fldChar w:fldCharType="end"/>
            </w:r>
            <w:r>
              <w:rPr>
                <w:rFonts w:hint="eastAsia" w:ascii="宋体" w:hAnsi="宋体" w:cs="宋体"/>
                <w:color w:val="auto"/>
                <w:szCs w:val="21"/>
              </w:rPr>
              <w:t>。</w:t>
            </w:r>
          </w:p>
          <w:p>
            <w:pPr>
              <w:spacing w:line="288" w:lineRule="auto"/>
              <w:rPr>
                <w:rFonts w:ascii="宋体" w:hAnsi="宋体" w:cs="宋体"/>
                <w:color w:val="auto"/>
              </w:rPr>
            </w:pPr>
            <w:r>
              <w:rPr>
                <w:rFonts w:hint="eastAsia" w:ascii="宋体" w:hAnsi="宋体" w:cs="宋体"/>
                <w:color w:val="auto"/>
              </w:rPr>
              <w:t>（3）供应商须通过</w:t>
            </w:r>
            <w:r>
              <w:rPr>
                <w:rStyle w:val="40"/>
                <w:rFonts w:ascii="Arial" w:hAnsi="Arial" w:eastAsia="Arial" w:cs="Arial"/>
                <w:color w:val="auto"/>
                <w:sz w:val="21"/>
                <w:szCs w:val="21"/>
                <w:shd w:val="clear" w:color="auto" w:fill="FFFFFF"/>
              </w:rPr>
              <w:t>广西政府采购云平台</w:t>
            </w:r>
            <w:r>
              <w:rPr>
                <w:rFonts w:hint="eastAsia" w:ascii="宋体" w:hAnsi="宋体" w:cs="宋体"/>
                <w:color w:val="auto"/>
              </w:rPr>
              <w:t>供应商客户端软件制作电子响应文件，</w:t>
            </w:r>
            <w:r>
              <w:rPr>
                <w:rStyle w:val="40"/>
                <w:rFonts w:ascii="Arial" w:hAnsi="Arial" w:eastAsia="Arial" w:cs="Arial"/>
                <w:color w:val="auto"/>
                <w:sz w:val="21"/>
                <w:szCs w:val="21"/>
                <w:shd w:val="clear" w:color="auto" w:fill="FFFFFF"/>
              </w:rPr>
              <w:t>广西政府采购云平台</w:t>
            </w:r>
            <w:r>
              <w:rPr>
                <w:rFonts w:hint="eastAsia" w:ascii="宋体" w:hAnsi="宋体" w:cs="宋体"/>
                <w:color w:val="auto"/>
              </w:rPr>
              <w:t>供应商客户端软件请供应商自行前往下载并安装（见广西壮族自治区政府采购网—办事服务—下载专区--</w:t>
            </w:r>
            <w:r>
              <w:rPr>
                <w:color w:val="auto"/>
              </w:rPr>
              <w:fldChar w:fldCharType="begin"/>
            </w:r>
            <w:r>
              <w:rPr>
                <w:color w:val="auto"/>
              </w:rPr>
              <w:instrText xml:space="preserve"> HYPERLINK "http://zfcg.gxzf.gov.cn/site/detail?parentId=66479&amp;articleId=+06E5n62B1RzrGh0ew1OFg==" \t "http://zfcg.gxzf.gov.cn/site/_blank" \o "广西政府采购云平台新版客户端" </w:instrText>
            </w:r>
            <w:r>
              <w:rPr>
                <w:color w:val="auto"/>
              </w:rPr>
              <w:fldChar w:fldCharType="separate"/>
            </w:r>
            <w:r>
              <w:rPr>
                <w:rFonts w:hint="eastAsia" w:ascii="宋体" w:hAnsi="宋体" w:cs="宋体"/>
                <w:color w:val="auto"/>
              </w:rPr>
              <w:t>广西政府采购云平台新版客户端</w:t>
            </w:r>
            <w:r>
              <w:rPr>
                <w:rFonts w:hint="eastAsia" w:ascii="宋体" w:hAnsi="宋体" w:cs="宋体"/>
                <w:color w:val="auto"/>
              </w:rPr>
              <w:fldChar w:fldCharType="end"/>
            </w:r>
            <w:r>
              <w:rPr>
                <w:rFonts w:hint="eastAsia" w:ascii="宋体" w:hAnsi="宋体" w:cs="宋体"/>
                <w:color w:val="auto"/>
              </w:rPr>
              <w:t>）。</w:t>
            </w:r>
          </w:p>
          <w:p>
            <w:pPr>
              <w:spacing w:line="288" w:lineRule="auto"/>
              <w:rPr>
                <w:rFonts w:ascii="宋体" w:hAnsi="宋体" w:cs="宋体"/>
                <w:color w:val="auto"/>
              </w:rPr>
            </w:pPr>
            <w:r>
              <w:rPr>
                <w:rFonts w:hint="eastAsia" w:ascii="宋体" w:hAnsi="宋体" w:cs="宋体"/>
                <w:color w:val="auto"/>
              </w:rPr>
              <w:t>（4）供应商应及时完成网上注册和办理</w:t>
            </w:r>
            <w:r>
              <w:rPr>
                <w:rStyle w:val="40"/>
                <w:rFonts w:ascii="Arial" w:hAnsi="Arial" w:eastAsia="Arial" w:cs="Arial"/>
                <w:color w:val="auto"/>
                <w:sz w:val="21"/>
                <w:szCs w:val="21"/>
                <w:shd w:val="clear" w:color="auto" w:fill="FFFFFF"/>
              </w:rPr>
              <w:t>广西政府采购云平台</w:t>
            </w:r>
            <w:r>
              <w:rPr>
                <w:rFonts w:hint="eastAsia" w:ascii="宋体" w:hAnsi="宋体" w:cs="宋体"/>
                <w:color w:val="auto"/>
              </w:rPr>
              <w:t>CA证书申领和绑定（见广西壮族自治区政府采购网—办事服务—下载专区-</w:t>
            </w:r>
            <w:r>
              <w:rPr>
                <w:color w:val="auto"/>
              </w:rPr>
              <w:fldChar w:fldCharType="begin"/>
            </w:r>
            <w:r>
              <w:rPr>
                <w:color w:val="auto"/>
              </w:rPr>
              <w:instrText xml:space="preserve"> HYPERLINK "http://zfcg.gxzf.gov.cn/site/detail?parentId=66479&amp;articleId=2REyoOGJIIdO7F8ZCOxHRg==&amp;utm=site.site-PC-38919.1024-pc-wsg-secondLevelPage-front.1.3a0a8560ec9e11ee92cdb9908f7af9eb" \t "http://zfcg.gxzf.gov.cn/site/_blank" \o "广西政府采购云平台CA驱动下载" </w:instrText>
            </w:r>
            <w:r>
              <w:rPr>
                <w:color w:val="auto"/>
              </w:rPr>
              <w:fldChar w:fldCharType="separate"/>
            </w:r>
            <w:r>
              <w:rPr>
                <w:rStyle w:val="40"/>
                <w:rFonts w:ascii="Arial" w:hAnsi="Arial" w:eastAsia="Arial" w:cs="Arial"/>
                <w:color w:val="auto"/>
                <w:sz w:val="21"/>
                <w:szCs w:val="21"/>
                <w:shd w:val="clear" w:color="auto" w:fill="FFFFFF"/>
              </w:rPr>
              <w:t>广西政府采购云平台CA驱动下载</w:t>
            </w:r>
            <w:r>
              <w:rPr>
                <w:rStyle w:val="40"/>
                <w:rFonts w:ascii="Arial" w:hAnsi="Arial" w:eastAsia="Arial" w:cs="Arial"/>
                <w:color w:val="auto"/>
                <w:sz w:val="21"/>
                <w:szCs w:val="21"/>
                <w:shd w:val="clear" w:color="auto" w:fill="FFFFFF"/>
              </w:rPr>
              <w:fldChar w:fldCharType="end"/>
            </w:r>
            <w:r>
              <w:rPr>
                <w:rFonts w:hint="eastAsia" w:ascii="宋体" w:hAnsi="宋体" w:cs="宋体"/>
                <w:color w:val="auto"/>
              </w:rPr>
              <w:t>办理操作指南），并在响应文件提交截止时间前，通过</w:t>
            </w:r>
            <w:r>
              <w:rPr>
                <w:rStyle w:val="40"/>
                <w:rFonts w:ascii="Arial" w:hAnsi="Arial" w:eastAsia="Arial" w:cs="Arial"/>
                <w:color w:val="auto"/>
                <w:sz w:val="21"/>
                <w:szCs w:val="21"/>
                <w:shd w:val="clear" w:color="auto" w:fill="FFFFFF"/>
              </w:rPr>
              <w:t>广西政府采购云平台</w:t>
            </w:r>
            <w:r>
              <w:rPr>
                <w:rFonts w:hint="eastAsia" w:ascii="宋体" w:hAnsi="宋体" w:cs="宋体"/>
                <w:color w:val="auto"/>
              </w:rPr>
              <w:t>上完成电子响应文件的提交。响应文件需要补充或修改的应及时撤回响应文件，补充、修改后重新提交，提交响应文件截止时间前未完成提交（上传）的，视为撤回响应文件。</w:t>
            </w:r>
          </w:p>
          <w:p>
            <w:pPr>
              <w:spacing w:line="288" w:lineRule="auto"/>
              <w:rPr>
                <w:rFonts w:ascii="宋体" w:hAnsi="宋体" w:cs="宋体"/>
                <w:color w:val="auto"/>
              </w:rPr>
            </w:pPr>
            <w:r>
              <w:rPr>
                <w:rFonts w:hint="eastAsia" w:ascii="宋体" w:hAnsi="宋体" w:cs="宋体"/>
                <w:color w:val="auto"/>
              </w:rPr>
              <w:t>（5）本项目不要求竞标供应商到达开标现场，但供应商应派法定代表人或委托代理人准时在线出席电子开评标会议，在首次响应文件开启时，供应商须使用制作加密电子响应文件的CA证书登录“</w:t>
            </w:r>
            <w:r>
              <w:rPr>
                <w:rStyle w:val="40"/>
                <w:rFonts w:ascii="Arial" w:hAnsi="Arial" w:eastAsia="Arial" w:cs="Arial"/>
                <w:color w:val="auto"/>
                <w:sz w:val="21"/>
                <w:szCs w:val="21"/>
                <w:shd w:val="clear" w:color="auto" w:fill="FFFFFF"/>
              </w:rPr>
              <w:t>广西政府采购云平台</w:t>
            </w:r>
            <w:r>
              <w:rPr>
                <w:rFonts w:hint="eastAsia" w:ascii="宋体" w:hAnsi="宋体" w:cs="宋体"/>
                <w:color w:val="auto"/>
              </w:rPr>
              <w:t>”平台电子开标大厅按规定时间进行解密，并在线等候谈判或对电子询标函进行澄清回复。</w:t>
            </w:r>
          </w:p>
          <w:p>
            <w:pPr>
              <w:spacing w:line="288" w:lineRule="auto"/>
              <w:rPr>
                <w:rFonts w:ascii="宋体" w:hAnsi="宋体" w:cs="宋体"/>
                <w:color w:val="auto"/>
              </w:rPr>
            </w:pPr>
            <w:r>
              <w:rPr>
                <w:rFonts w:hint="eastAsia" w:ascii="宋体" w:hAnsi="宋体" w:cs="宋体"/>
                <w:color w:val="auto"/>
              </w:rPr>
              <w:t>（6）竞标供应商可以提交经供应商客户端软件制作生成的电子备份响应文件（U盘或光盘存储），电子备份响应文件应当在响应文件提交截止时间前按要求密封并邮寄或直接送达广西龙建工程管理有限公司</w:t>
            </w:r>
            <w:r>
              <w:rPr>
                <w:rFonts w:hint="eastAsia" w:ascii="宋体" w:hAnsi="宋体" w:cs="宋体"/>
                <w:b/>
                <w:bCs/>
                <w:color w:val="auto"/>
              </w:rPr>
              <w:t>（地址：钦州市钦南区子材东大街8号奥林财富1号楼11层　，联系人：滕丽华，0777-3617888），</w:t>
            </w:r>
            <w:r>
              <w:rPr>
                <w:rFonts w:hint="eastAsia" w:ascii="宋体" w:hAnsi="宋体" w:cs="宋体"/>
                <w:color w:val="auto"/>
              </w:rPr>
              <w:t>我公司拒收到付邮件，通过邮寄方式送达的，请合理安排邮寄时间，逾期送达或未按要求密封将被拒收。</w:t>
            </w:r>
          </w:p>
          <w:p>
            <w:pPr>
              <w:spacing w:line="288" w:lineRule="auto"/>
              <w:rPr>
                <w:rFonts w:ascii="宋体" w:hAnsi="宋体" w:cs="宋体"/>
                <w:color w:val="auto"/>
              </w:rPr>
            </w:pPr>
            <w:r>
              <w:rPr>
                <w:rFonts w:hint="eastAsia" w:ascii="宋体" w:hAnsi="宋体" w:cs="宋体"/>
                <w:color w:val="auto"/>
              </w:rPr>
              <w:t>（7）响应文件启用顺序和效力：响应文件的启用，按先后顺位分别为电子加密响应文件、电子备份响应文件。通过</w:t>
            </w:r>
            <w:r>
              <w:rPr>
                <w:rStyle w:val="40"/>
                <w:rFonts w:ascii="Arial" w:hAnsi="Arial" w:eastAsia="Arial" w:cs="Arial"/>
                <w:color w:val="auto"/>
                <w:sz w:val="21"/>
                <w:szCs w:val="21"/>
                <w:shd w:val="clear" w:color="auto" w:fill="FFFFFF"/>
              </w:rPr>
              <w:t>广西政府采购云平台</w:t>
            </w:r>
            <w:r>
              <w:rPr>
                <w:rFonts w:hint="eastAsia" w:ascii="宋体" w:hAnsi="宋体" w:cs="宋体"/>
                <w:color w:val="auto"/>
              </w:rPr>
              <w:t>上传递交的电子加密响应文件无法按时解密，供应商递交了电子备份响应文件的，以电子备份响应文件为依据，否则视为响应文件撤回。通过</w:t>
            </w:r>
            <w:r>
              <w:rPr>
                <w:rStyle w:val="40"/>
                <w:rFonts w:ascii="Arial" w:hAnsi="Arial" w:eastAsia="Arial" w:cs="Arial"/>
                <w:color w:val="auto"/>
                <w:sz w:val="21"/>
                <w:szCs w:val="21"/>
                <w:shd w:val="clear" w:color="auto" w:fill="FFFFFF"/>
              </w:rPr>
              <w:t>广西政府采购云平台</w:t>
            </w:r>
            <w:r>
              <w:rPr>
                <w:rFonts w:hint="eastAsia" w:ascii="宋体" w:hAnsi="宋体" w:cs="宋体"/>
                <w:color w:val="auto"/>
              </w:rPr>
              <w:t>上传递交的电子加密响应文件已按时解密的，电子备份响应文件自动失效。供应商仅递交电子备份响应文件的，竞标无效。</w:t>
            </w:r>
          </w:p>
          <w:p>
            <w:pPr>
              <w:spacing w:line="288" w:lineRule="auto"/>
              <w:rPr>
                <w:rFonts w:ascii="宋体" w:hAnsi="宋体" w:cs="宋体"/>
                <w:color w:val="auto"/>
              </w:rPr>
            </w:pPr>
            <w:r>
              <w:rPr>
                <w:rFonts w:hint="eastAsia" w:ascii="宋体" w:hAnsi="宋体" w:cs="宋体"/>
                <w:color w:val="auto"/>
              </w:rPr>
              <w:t>（8）因未注册成为正式供应商、未办理CA证书、CA证书故障、操作不当等原因造成无法竞标或竞标失败等后果由供应商自行承担。</w:t>
            </w:r>
          </w:p>
          <w:p>
            <w:pPr>
              <w:spacing w:line="288" w:lineRule="auto"/>
              <w:rPr>
                <w:rFonts w:ascii="宋体" w:hAnsi="宋体" w:cs="宋体"/>
                <w:color w:val="auto"/>
              </w:rPr>
            </w:pPr>
            <w:r>
              <w:rPr>
                <w:rFonts w:hint="eastAsia" w:ascii="宋体" w:hAnsi="宋体" w:cs="宋体"/>
                <w:color w:val="auto"/>
              </w:rPr>
              <w:t>（9）供应商需要在互联网网络状况良好的电脑登录</w:t>
            </w:r>
            <w:r>
              <w:rPr>
                <w:rStyle w:val="40"/>
                <w:rFonts w:ascii="Arial" w:hAnsi="Arial" w:eastAsia="Arial" w:cs="Arial"/>
                <w:color w:val="auto"/>
                <w:sz w:val="21"/>
                <w:szCs w:val="21"/>
                <w:shd w:val="clear" w:color="auto" w:fill="FFFFFF"/>
              </w:rPr>
              <w:t>广西政府采购云平台</w:t>
            </w:r>
            <w:r>
              <w:rPr>
                <w:rFonts w:hint="eastAsia" w:ascii="宋体" w:hAnsi="宋体" w:cs="宋体"/>
                <w:color w:val="auto"/>
              </w:rPr>
              <w:t>远程开标大厅参与本次谈判，为保证供应商在开标时进行响应文件解密的稳定性，建议供应商使用同一台电脑进行响应文件的编制、加密上传及开标解密。</w:t>
            </w:r>
          </w:p>
        </w:tc>
      </w:tr>
    </w:tbl>
    <w:p>
      <w:pPr>
        <w:rPr>
          <w:rFonts w:ascii="宋体" w:hAnsi="宋体" w:cs="宋体"/>
          <w:b/>
          <w:color w:val="auto"/>
          <w:sz w:val="32"/>
          <w:szCs w:val="32"/>
        </w:rPr>
      </w:pPr>
      <w:bookmarkStart w:id="47" w:name="_Toc137551163"/>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pStyle w:val="25"/>
        <w:rPr>
          <w:color w:val="auto"/>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r>
        <w:rPr>
          <w:rFonts w:hint="eastAsia" w:ascii="宋体" w:hAnsi="宋体" w:cs="宋体"/>
          <w:b/>
          <w:color w:val="auto"/>
          <w:sz w:val="32"/>
          <w:szCs w:val="32"/>
        </w:rPr>
        <w:t>竞 标 人 须 知</w:t>
      </w:r>
    </w:p>
    <w:bookmarkEnd w:id="47"/>
    <w:p>
      <w:pPr>
        <w:pStyle w:val="18"/>
        <w:spacing w:line="420" w:lineRule="exact"/>
        <w:ind w:firstLine="4096" w:firstLineChars="1700"/>
        <w:rPr>
          <w:rFonts w:hAnsi="宋体" w:cs="宋体"/>
          <w:b/>
          <w:color w:val="auto"/>
          <w:sz w:val="24"/>
        </w:rPr>
      </w:pPr>
      <w:r>
        <w:rPr>
          <w:rFonts w:hint="eastAsia" w:hAnsi="宋体" w:cs="宋体"/>
          <w:b/>
          <w:color w:val="auto"/>
          <w:sz w:val="24"/>
        </w:rPr>
        <w:t>一、总 则</w:t>
      </w:r>
    </w:p>
    <w:p>
      <w:pPr>
        <w:pStyle w:val="18"/>
        <w:spacing w:line="380" w:lineRule="atLeast"/>
        <w:jc w:val="center"/>
        <w:rPr>
          <w:rFonts w:hAnsi="宋体" w:cs="宋体"/>
          <w:b/>
          <w:color w:val="auto"/>
        </w:rPr>
      </w:pPr>
    </w:p>
    <w:p>
      <w:pPr>
        <w:pStyle w:val="18"/>
        <w:spacing w:line="380" w:lineRule="atLeast"/>
        <w:rPr>
          <w:rFonts w:hAnsi="宋体" w:cs="宋体"/>
          <w:color w:val="auto"/>
        </w:rPr>
      </w:pPr>
      <w:r>
        <w:rPr>
          <w:rFonts w:hint="eastAsia" w:hAnsi="宋体" w:cs="宋体"/>
          <w:b/>
          <w:color w:val="auto"/>
        </w:rPr>
        <w:t>1.项目名称及项目编号</w:t>
      </w:r>
    </w:p>
    <w:p>
      <w:pPr>
        <w:pStyle w:val="18"/>
        <w:spacing w:line="380" w:lineRule="atLeast"/>
        <w:ind w:firstLine="420"/>
        <w:rPr>
          <w:rFonts w:hAnsi="宋体" w:cs="宋体"/>
          <w:color w:val="auto"/>
        </w:rPr>
      </w:pPr>
      <w:r>
        <w:rPr>
          <w:rFonts w:hint="eastAsia" w:hAnsi="宋体" w:cs="宋体"/>
          <w:color w:val="auto"/>
        </w:rPr>
        <w:t>1.1项目名称及项目编号详见本须知前附表</w:t>
      </w:r>
      <w:r>
        <w:rPr>
          <w:rFonts w:hint="eastAsia" w:hAnsi="宋体" w:cs="宋体"/>
          <w:bCs/>
          <w:color w:val="auto"/>
        </w:rPr>
        <w:t>第1项。</w:t>
      </w:r>
    </w:p>
    <w:p>
      <w:pPr>
        <w:pStyle w:val="18"/>
        <w:spacing w:line="380" w:lineRule="atLeast"/>
        <w:rPr>
          <w:rFonts w:hAnsi="宋体" w:cs="宋体"/>
          <w:b/>
          <w:color w:val="auto"/>
        </w:rPr>
      </w:pPr>
      <w:r>
        <w:rPr>
          <w:rFonts w:hint="eastAsia" w:hAnsi="宋体" w:cs="宋体"/>
          <w:b/>
          <w:color w:val="auto"/>
        </w:rPr>
        <w:t>2.竞标人资格</w:t>
      </w:r>
    </w:p>
    <w:p>
      <w:pPr>
        <w:pStyle w:val="18"/>
        <w:spacing w:line="380" w:lineRule="atLeast"/>
        <w:ind w:firstLine="420"/>
        <w:rPr>
          <w:rFonts w:hAnsi="宋体" w:cs="宋体"/>
          <w:color w:val="auto"/>
        </w:rPr>
      </w:pPr>
      <w:r>
        <w:rPr>
          <w:rFonts w:hint="eastAsia" w:hAnsi="宋体" w:cs="宋体"/>
          <w:color w:val="auto"/>
        </w:rPr>
        <w:t>2.1参加本项目的竞标人必须满足本须知前附表第2项要求的资格；</w:t>
      </w:r>
    </w:p>
    <w:p>
      <w:pPr>
        <w:pStyle w:val="18"/>
        <w:spacing w:line="380" w:lineRule="atLeast"/>
        <w:ind w:firstLine="420"/>
        <w:rPr>
          <w:rFonts w:hAnsi="宋体" w:cs="宋体"/>
          <w:color w:val="auto"/>
        </w:rPr>
      </w:pPr>
      <w:r>
        <w:rPr>
          <w:rFonts w:hint="eastAsia" w:hAnsi="宋体" w:cs="宋体"/>
          <w:color w:val="auto"/>
        </w:rPr>
        <w:t>2.2符合竞标人资格的竞标人应承担竞标及履约中应承担的全部责任与义务。</w:t>
      </w:r>
    </w:p>
    <w:p>
      <w:pPr>
        <w:pStyle w:val="18"/>
        <w:spacing w:line="380" w:lineRule="atLeast"/>
        <w:ind w:firstLine="420"/>
        <w:rPr>
          <w:rFonts w:hAnsi="宋体" w:cs="宋体"/>
          <w:color w:val="auto"/>
        </w:rPr>
      </w:pPr>
      <w:r>
        <w:rPr>
          <w:rFonts w:hint="eastAsia" w:hAnsi="宋体" w:cs="宋体"/>
          <w:color w:val="auto"/>
        </w:rPr>
        <w:t>2.3已向采购代理机构购买了采购文件的供应商。</w:t>
      </w:r>
    </w:p>
    <w:p>
      <w:pPr>
        <w:pStyle w:val="18"/>
        <w:spacing w:line="380" w:lineRule="atLeast"/>
        <w:rPr>
          <w:rFonts w:hAnsi="宋体" w:cs="宋体"/>
          <w:b/>
          <w:color w:val="auto"/>
        </w:rPr>
      </w:pPr>
      <w:r>
        <w:rPr>
          <w:rFonts w:hint="eastAsia" w:hAnsi="宋体" w:cs="宋体"/>
          <w:b/>
          <w:color w:val="auto"/>
        </w:rPr>
        <w:t>3.竞标费用</w:t>
      </w:r>
    </w:p>
    <w:p>
      <w:pPr>
        <w:pStyle w:val="18"/>
        <w:spacing w:line="380" w:lineRule="atLeast"/>
        <w:ind w:firstLine="420"/>
        <w:rPr>
          <w:rFonts w:hAnsi="宋体" w:cs="宋体"/>
          <w:color w:val="auto"/>
        </w:rPr>
      </w:pPr>
      <w:r>
        <w:rPr>
          <w:rFonts w:hint="eastAsia" w:hAnsi="宋体" w:cs="宋体"/>
          <w:color w:val="auto"/>
        </w:rPr>
        <w:t>3.1竞标人自行承担所有与本次竞标有关的全部费用。</w:t>
      </w:r>
    </w:p>
    <w:p>
      <w:pPr>
        <w:pStyle w:val="18"/>
        <w:spacing w:line="380" w:lineRule="atLeast"/>
        <w:rPr>
          <w:rFonts w:hAnsi="宋体" w:cs="宋体"/>
          <w:b/>
          <w:color w:val="auto"/>
        </w:rPr>
      </w:pPr>
    </w:p>
    <w:p>
      <w:pPr>
        <w:pStyle w:val="18"/>
        <w:spacing w:line="380" w:lineRule="atLeast"/>
        <w:jc w:val="center"/>
        <w:rPr>
          <w:rFonts w:hAnsi="宋体" w:cs="宋体"/>
          <w:b/>
          <w:color w:val="auto"/>
          <w:sz w:val="24"/>
        </w:rPr>
      </w:pPr>
      <w:r>
        <w:rPr>
          <w:rFonts w:hint="eastAsia" w:hAnsi="宋体" w:cs="宋体"/>
          <w:b/>
          <w:color w:val="auto"/>
          <w:sz w:val="24"/>
        </w:rPr>
        <w:t>二、竞争性谈判采购文件（以下简称采购文件）</w:t>
      </w:r>
    </w:p>
    <w:p>
      <w:pPr>
        <w:pStyle w:val="18"/>
        <w:spacing w:line="380" w:lineRule="atLeast"/>
        <w:jc w:val="center"/>
        <w:rPr>
          <w:rFonts w:hAnsi="宋体" w:cs="宋体"/>
          <w:b/>
          <w:color w:val="auto"/>
        </w:rPr>
      </w:pPr>
    </w:p>
    <w:p>
      <w:pPr>
        <w:pStyle w:val="18"/>
        <w:spacing w:line="380" w:lineRule="atLeast"/>
        <w:rPr>
          <w:rFonts w:hAnsi="宋体" w:cs="宋体"/>
          <w:b/>
          <w:color w:val="auto"/>
        </w:rPr>
      </w:pPr>
      <w:r>
        <w:rPr>
          <w:rFonts w:hint="eastAsia" w:hAnsi="宋体" w:cs="宋体"/>
          <w:b/>
          <w:color w:val="auto"/>
        </w:rPr>
        <w:t>4.采购文件的构成</w:t>
      </w:r>
    </w:p>
    <w:p>
      <w:pPr>
        <w:pStyle w:val="18"/>
        <w:spacing w:line="380" w:lineRule="atLeast"/>
        <w:ind w:firstLine="420"/>
        <w:rPr>
          <w:rFonts w:hAnsi="宋体" w:cs="宋体"/>
          <w:color w:val="auto"/>
        </w:rPr>
      </w:pPr>
      <w:r>
        <w:rPr>
          <w:rFonts w:hint="eastAsia" w:hAnsi="宋体" w:cs="宋体"/>
          <w:color w:val="auto"/>
        </w:rPr>
        <w:t>4.1采购文件包括：</w:t>
      </w:r>
    </w:p>
    <w:p>
      <w:pPr>
        <w:pStyle w:val="18"/>
        <w:spacing w:line="380" w:lineRule="atLeast"/>
        <w:ind w:firstLine="426"/>
        <w:rPr>
          <w:rFonts w:hAnsi="宋体" w:cs="宋体"/>
          <w:color w:val="auto"/>
        </w:rPr>
      </w:pPr>
      <w:r>
        <w:rPr>
          <w:rFonts w:hint="eastAsia" w:hAnsi="宋体" w:cs="宋体"/>
          <w:color w:val="auto"/>
        </w:rPr>
        <w:t>⑴竞标公告；</w:t>
      </w:r>
    </w:p>
    <w:p>
      <w:pPr>
        <w:pStyle w:val="18"/>
        <w:spacing w:line="380" w:lineRule="atLeast"/>
        <w:ind w:firstLine="420"/>
        <w:rPr>
          <w:rFonts w:hAnsi="宋体" w:cs="宋体"/>
          <w:color w:val="auto"/>
        </w:rPr>
      </w:pPr>
      <w:r>
        <w:rPr>
          <w:rFonts w:hint="eastAsia" w:hAnsi="宋体" w:cs="宋体"/>
          <w:color w:val="auto"/>
        </w:rPr>
        <w:t>⑵竞标人须知及前附表；</w:t>
      </w:r>
    </w:p>
    <w:p>
      <w:pPr>
        <w:pStyle w:val="18"/>
        <w:spacing w:line="380" w:lineRule="atLeast"/>
        <w:ind w:firstLine="420"/>
        <w:rPr>
          <w:rFonts w:hAnsi="宋体" w:cs="宋体"/>
          <w:color w:val="auto"/>
        </w:rPr>
      </w:pPr>
      <w:r>
        <w:rPr>
          <w:rFonts w:hint="eastAsia" w:hAnsi="宋体" w:cs="宋体"/>
          <w:color w:val="auto"/>
        </w:rPr>
        <w:t>⑶货物需求一览表；</w:t>
      </w:r>
    </w:p>
    <w:p>
      <w:pPr>
        <w:pStyle w:val="18"/>
        <w:spacing w:line="380" w:lineRule="atLeast"/>
        <w:ind w:firstLine="420"/>
        <w:rPr>
          <w:rFonts w:hAnsi="宋体" w:cs="宋体"/>
          <w:color w:val="auto"/>
        </w:rPr>
      </w:pPr>
      <w:r>
        <w:rPr>
          <w:rFonts w:hint="eastAsia" w:hAnsi="宋体" w:cs="宋体"/>
          <w:color w:val="auto"/>
        </w:rPr>
        <w:t>⑷合同基本条款及合同（格式）；</w:t>
      </w:r>
    </w:p>
    <w:p>
      <w:pPr>
        <w:pStyle w:val="18"/>
        <w:spacing w:line="380" w:lineRule="atLeast"/>
        <w:ind w:firstLine="420"/>
        <w:rPr>
          <w:rFonts w:hAnsi="宋体" w:cs="宋体"/>
          <w:color w:val="auto"/>
        </w:rPr>
      </w:pPr>
      <w:r>
        <w:rPr>
          <w:rFonts w:hint="eastAsia" w:hAnsi="宋体" w:cs="宋体"/>
          <w:color w:val="auto"/>
        </w:rPr>
        <w:t>⑸评标方法和成交标准；</w:t>
      </w:r>
    </w:p>
    <w:p>
      <w:pPr>
        <w:pStyle w:val="18"/>
        <w:spacing w:line="380" w:lineRule="atLeast"/>
        <w:ind w:firstLine="420"/>
        <w:rPr>
          <w:rFonts w:hAnsi="宋体" w:cs="宋体"/>
          <w:color w:val="auto"/>
        </w:rPr>
      </w:pPr>
      <w:r>
        <w:rPr>
          <w:rFonts w:hint="eastAsia" w:hAnsi="宋体" w:cs="宋体"/>
          <w:color w:val="auto"/>
        </w:rPr>
        <w:t>⑹响应文件（格式）。</w:t>
      </w:r>
    </w:p>
    <w:p>
      <w:pPr>
        <w:pStyle w:val="18"/>
        <w:spacing w:line="380" w:lineRule="atLeast"/>
        <w:ind w:firstLine="420"/>
        <w:rPr>
          <w:rFonts w:hAnsi="宋体" w:cs="宋体"/>
          <w:color w:val="auto"/>
        </w:rPr>
      </w:pPr>
      <w:r>
        <w:rPr>
          <w:rFonts w:hint="eastAsia" w:hAnsi="宋体" w:cs="宋体"/>
          <w:color w:val="auto"/>
        </w:rPr>
        <w:t>4.2本竞标采购文件以纸质文件为准，不提供电子文件。</w:t>
      </w:r>
    </w:p>
    <w:p>
      <w:pPr>
        <w:pStyle w:val="18"/>
        <w:spacing w:line="380" w:lineRule="atLeast"/>
        <w:rPr>
          <w:rFonts w:hAnsi="宋体" w:cs="宋体"/>
          <w:color w:val="auto"/>
        </w:rPr>
      </w:pPr>
      <w:r>
        <w:rPr>
          <w:rFonts w:hint="eastAsia" w:hAnsi="宋体" w:cs="宋体"/>
          <w:b/>
          <w:color w:val="auto"/>
        </w:rPr>
        <w:t>5.采购文件的澄清、修改；质疑和投诉</w:t>
      </w:r>
    </w:p>
    <w:p>
      <w:pPr>
        <w:pStyle w:val="18"/>
        <w:spacing w:line="380" w:lineRule="exact"/>
        <w:ind w:firstLine="422"/>
        <w:rPr>
          <w:rFonts w:hAnsi="宋体" w:cs="宋体"/>
          <w:color w:val="auto"/>
        </w:rPr>
      </w:pPr>
      <w:r>
        <w:rPr>
          <w:rFonts w:hint="eastAsia" w:hAnsi="宋体" w:cs="宋体"/>
          <w:color w:val="auto"/>
        </w:rPr>
        <w:t>5.1竞标人要认真审核《货物需求一览表》中的技术参数、配置及要求，如发现表中技术参数、配置有误或要求不合理的，竞标人必须在规定的时间前要求澄清，否则，由此产生的后果由竞标人负责。</w:t>
      </w:r>
    </w:p>
    <w:p>
      <w:pPr>
        <w:pStyle w:val="18"/>
        <w:spacing w:line="380" w:lineRule="exact"/>
        <w:ind w:firstLine="420"/>
        <w:rPr>
          <w:rFonts w:hAnsi="宋体" w:cs="宋体"/>
          <w:color w:val="auto"/>
        </w:rPr>
      </w:pPr>
      <w:r>
        <w:rPr>
          <w:rFonts w:hint="eastAsia" w:hAnsi="宋体" w:cs="宋体"/>
          <w:color w:val="auto"/>
        </w:rPr>
        <w:t>5.2如果竞标人认为本采购文件中存在有倾向性、排他性的内容或条款的，可以在竞标截止日期3天前，以书面形式并附上相关证明材料向本采购项目联系人反映。</w:t>
      </w:r>
    </w:p>
    <w:p>
      <w:pPr>
        <w:pStyle w:val="18"/>
        <w:spacing w:line="380" w:lineRule="exact"/>
        <w:ind w:firstLine="422"/>
        <w:rPr>
          <w:rFonts w:hAnsi="宋体" w:cs="宋体"/>
          <w:color w:val="auto"/>
        </w:rPr>
      </w:pPr>
      <w:r>
        <w:rPr>
          <w:rFonts w:hint="eastAsia" w:hAnsi="宋体" w:cs="宋体"/>
          <w:color w:val="auto"/>
        </w:rPr>
        <w:t>5.3任何竞标人对采购文件的澄清要求，均应在竞标截止时间3天前的正常工作时间以传真或电报等书面形式通知采购代理机构，同时认定其他形式为无效。采购代理机构将以书面形式予以答复，该答复不指明答复问题的来源，并以书面形式通知所有购买了采购文件的竞标人，答复将同时在竞标公告发布网站上公布。为确保项目的如期完成，采购代理机构将可能对竞标人在规定时间之后提出的澄清问题不予答复。</w:t>
      </w:r>
    </w:p>
    <w:p>
      <w:pPr>
        <w:pStyle w:val="18"/>
        <w:spacing w:line="380" w:lineRule="exact"/>
        <w:ind w:firstLine="420"/>
        <w:rPr>
          <w:rFonts w:hAnsi="宋体" w:cs="宋体"/>
          <w:color w:val="auto"/>
        </w:rPr>
      </w:pPr>
      <w:r>
        <w:rPr>
          <w:rFonts w:hint="eastAsia" w:hAnsi="宋体" w:cs="宋体"/>
          <w:color w:val="auto"/>
        </w:rPr>
        <w:t>5.4采购代理机构对已发出的采购文件进行必要修改的，在采购文件要求提交响应文件截止时间1天前，在竞标公告发布媒体上发布更正公告，并以书面形式通知所有购买采购文件的竞标人。</w:t>
      </w:r>
    </w:p>
    <w:p>
      <w:pPr>
        <w:pStyle w:val="18"/>
        <w:spacing w:line="380" w:lineRule="exact"/>
        <w:ind w:firstLine="420"/>
        <w:rPr>
          <w:rFonts w:hAnsi="宋体" w:cs="宋体"/>
          <w:color w:val="auto"/>
        </w:rPr>
      </w:pPr>
      <w:r>
        <w:rPr>
          <w:rFonts w:hint="eastAsia" w:hAnsi="宋体" w:cs="宋体"/>
          <w:color w:val="auto"/>
        </w:rPr>
        <w:t>5.5请竞标人接电话通知后到采购代理机构处领取以上澄清答复（或补充通知），或在网上查询，不用传真方式发出，如在电话通知后24小时内不上门领取的，则视为已在网上查询收到。该澄清或修改的内容为采购文件的组成部分。竞标人在每一次收到澄清答复或补充通知后应立即以书面形式通知采购代理机构，确认已收到该澄清答复或补充通知。否则，由此造成的一切后果由竞标人承担。</w:t>
      </w:r>
    </w:p>
    <w:p>
      <w:pPr>
        <w:pStyle w:val="18"/>
        <w:tabs>
          <w:tab w:val="left" w:pos="455"/>
        </w:tabs>
        <w:spacing w:line="380" w:lineRule="exact"/>
        <w:ind w:firstLine="420" w:firstLineChars="200"/>
        <w:rPr>
          <w:rFonts w:hAnsi="宋体" w:cs="宋体"/>
          <w:color w:val="auto"/>
        </w:rPr>
      </w:pPr>
      <w:r>
        <w:rPr>
          <w:rFonts w:hint="eastAsia" w:hAnsi="宋体" w:cs="宋体"/>
          <w:color w:val="auto"/>
        </w:rPr>
        <w:t>5.6采购代理机构可视具体情况，延长竞标截止日期和开标时间，至少于竞标截止时间1天前以书面形式通知所有购买采购文件的竞标人。</w:t>
      </w:r>
    </w:p>
    <w:p>
      <w:pPr>
        <w:pStyle w:val="18"/>
        <w:spacing w:line="440" w:lineRule="exact"/>
        <w:ind w:left="1" w:firstLine="422" w:firstLineChars="200"/>
        <w:jc w:val="left"/>
        <w:rPr>
          <w:rFonts w:hAnsi="宋体" w:cs="宋体"/>
          <w:b/>
          <w:color w:val="auto"/>
          <w:szCs w:val="21"/>
        </w:rPr>
      </w:pPr>
      <w:r>
        <w:rPr>
          <w:rFonts w:hint="eastAsia" w:hAnsi="宋体" w:cs="宋体"/>
          <w:b/>
          <w:color w:val="auto"/>
          <w:szCs w:val="21"/>
        </w:rPr>
        <w:t>5.7.  质疑</w:t>
      </w:r>
    </w:p>
    <w:p>
      <w:pPr>
        <w:pStyle w:val="18"/>
        <w:spacing w:line="440" w:lineRule="exact"/>
        <w:ind w:left="2" w:leftChars="1" w:firstLine="420" w:firstLineChars="200"/>
        <w:jc w:val="left"/>
        <w:rPr>
          <w:rFonts w:hAnsi="宋体" w:cs="宋体"/>
          <w:bCs/>
          <w:color w:val="auto"/>
          <w:szCs w:val="21"/>
        </w:rPr>
      </w:pPr>
      <w:r>
        <w:rPr>
          <w:rFonts w:hint="eastAsia" w:hAnsi="宋体" w:cs="宋体"/>
          <w:bCs/>
          <w:color w:val="auto"/>
          <w:szCs w:val="21"/>
        </w:rPr>
        <w:t>5.7.1  竞标人</w:t>
      </w:r>
      <w:r>
        <w:rPr>
          <w:rFonts w:hint="eastAsia" w:hAnsi="宋体" w:cs="宋体"/>
          <w:color w:val="auto"/>
          <w:szCs w:val="21"/>
        </w:rPr>
        <w:t>对政府采购活动事项有疑问的，可以向采购人或</w:t>
      </w:r>
      <w:r>
        <w:rPr>
          <w:rFonts w:hint="eastAsia" w:hAnsi="宋体" w:cs="宋体"/>
          <w:bCs/>
          <w:color w:val="auto"/>
          <w:szCs w:val="21"/>
        </w:rPr>
        <w:t>采购代理机构提出询问</w:t>
      </w:r>
      <w:r>
        <w:rPr>
          <w:rFonts w:hint="eastAsia" w:hAnsi="宋体" w:cs="宋体"/>
          <w:color w:val="auto"/>
          <w:szCs w:val="21"/>
        </w:rPr>
        <w:t>；</w:t>
      </w:r>
      <w:r>
        <w:rPr>
          <w:rFonts w:hint="eastAsia" w:hAnsi="宋体" w:cs="宋体"/>
          <w:bCs/>
          <w:color w:val="auto"/>
          <w:szCs w:val="21"/>
        </w:rPr>
        <w:t>竞标人如认为公开竞标文件使自己的权益受到损</w:t>
      </w:r>
      <w:r>
        <w:rPr>
          <w:rFonts w:hint="eastAsia" w:hAnsi="宋体" w:cs="宋体"/>
          <w:color w:val="auto"/>
          <w:szCs w:val="21"/>
        </w:rPr>
        <w:t>害的，可以在自竞标文件发布之日起七个工作日内</w:t>
      </w:r>
      <w:r>
        <w:rPr>
          <w:rFonts w:hint="eastAsia" w:hAnsi="宋体" w:cs="宋体"/>
          <w:bCs/>
          <w:color w:val="auto"/>
          <w:szCs w:val="21"/>
        </w:rPr>
        <w:t>以书面形式向采购代理机构提出质疑；竞标截止时间后，采购代理机构不再受理对公开竞标文件的询问或质疑。竞标人认为</w:t>
      </w:r>
      <w:r>
        <w:rPr>
          <w:rFonts w:hint="eastAsia" w:hAnsi="宋体" w:cs="宋体"/>
          <w:color w:val="auto"/>
          <w:szCs w:val="21"/>
        </w:rPr>
        <w:t>采购过程和中标结果使自己的权益受到损害的，可</w:t>
      </w:r>
      <w:r>
        <w:rPr>
          <w:rFonts w:hint="eastAsia" w:hAnsi="宋体" w:cs="宋体"/>
          <w:bCs/>
          <w:color w:val="auto"/>
          <w:szCs w:val="21"/>
        </w:rPr>
        <w:t>以</w:t>
      </w:r>
      <w:r>
        <w:rPr>
          <w:rFonts w:hint="eastAsia" w:hAnsi="宋体" w:cs="宋体"/>
          <w:color w:val="auto"/>
          <w:szCs w:val="21"/>
        </w:rPr>
        <w:t>在中标结果公示之日起七个工作日内，以书面形式向采购人委托的采购代理机构质疑。质疑书的提交地点和质疑受理电话见竞标人须知前附表。</w:t>
      </w:r>
    </w:p>
    <w:p>
      <w:pPr>
        <w:pStyle w:val="18"/>
        <w:spacing w:line="440" w:lineRule="exact"/>
        <w:ind w:left="2" w:leftChars="1" w:firstLine="420" w:firstLineChars="200"/>
        <w:jc w:val="left"/>
        <w:rPr>
          <w:rFonts w:hAnsi="宋体" w:cs="宋体"/>
          <w:bCs/>
          <w:color w:val="auto"/>
          <w:szCs w:val="21"/>
        </w:rPr>
      </w:pPr>
      <w:r>
        <w:rPr>
          <w:rFonts w:hint="eastAsia" w:hAnsi="宋体" w:cs="宋体"/>
          <w:bCs/>
          <w:color w:val="auto"/>
          <w:szCs w:val="21"/>
        </w:rPr>
        <w:t>5.7.2  供应商质疑实行实名制，其质疑应当有具体的质疑事项及事实根据，不得进行虚假、恶意质疑。</w:t>
      </w:r>
    </w:p>
    <w:p>
      <w:pPr>
        <w:pStyle w:val="18"/>
        <w:spacing w:line="440" w:lineRule="exact"/>
        <w:ind w:left="2" w:leftChars="1" w:firstLine="420" w:firstLineChars="200"/>
        <w:jc w:val="left"/>
        <w:rPr>
          <w:rFonts w:hAnsi="宋体" w:cs="宋体"/>
          <w:bCs/>
          <w:color w:val="auto"/>
          <w:szCs w:val="21"/>
        </w:rPr>
      </w:pPr>
      <w:r>
        <w:rPr>
          <w:rFonts w:hint="eastAsia" w:hAnsi="宋体" w:cs="宋体"/>
          <w:bCs/>
          <w:color w:val="auto"/>
          <w:szCs w:val="21"/>
        </w:rPr>
        <w:t>5.7.3  供应商质疑时，应当提交一性次质疑书原件，一性次质疑书应当包括下列主要内容：</w:t>
      </w:r>
    </w:p>
    <w:p>
      <w:pPr>
        <w:pStyle w:val="18"/>
        <w:spacing w:line="440" w:lineRule="exact"/>
        <w:ind w:left="2" w:firstLine="646" w:firstLineChars="308"/>
        <w:jc w:val="left"/>
        <w:rPr>
          <w:rFonts w:hAnsi="宋体" w:cs="宋体"/>
          <w:color w:val="auto"/>
          <w:szCs w:val="21"/>
        </w:rPr>
      </w:pPr>
      <w:r>
        <w:rPr>
          <w:rFonts w:hint="eastAsia" w:hAnsi="宋体" w:cs="宋体"/>
          <w:color w:val="auto"/>
          <w:szCs w:val="21"/>
        </w:rPr>
        <w:t>（1）供应商的姓名或者名称、地址、邮编、联系人及联系电话；</w:t>
      </w:r>
    </w:p>
    <w:p>
      <w:pPr>
        <w:pStyle w:val="18"/>
        <w:spacing w:line="440" w:lineRule="exact"/>
        <w:ind w:left="2" w:firstLine="418"/>
        <w:jc w:val="left"/>
        <w:rPr>
          <w:rFonts w:hAnsi="宋体" w:cs="宋体"/>
          <w:color w:val="auto"/>
          <w:szCs w:val="21"/>
        </w:rPr>
      </w:pPr>
      <w:r>
        <w:rPr>
          <w:rFonts w:hint="eastAsia" w:hAnsi="宋体" w:cs="宋体"/>
          <w:color w:val="auto"/>
          <w:szCs w:val="21"/>
        </w:rPr>
        <w:t>　（2）质疑项目的名称、编号；</w:t>
      </w:r>
    </w:p>
    <w:p>
      <w:pPr>
        <w:pStyle w:val="18"/>
        <w:spacing w:line="440" w:lineRule="exact"/>
        <w:ind w:left="2" w:firstLine="418"/>
        <w:jc w:val="left"/>
        <w:rPr>
          <w:rFonts w:hAnsi="宋体" w:cs="宋体"/>
          <w:color w:val="auto"/>
          <w:szCs w:val="21"/>
        </w:rPr>
      </w:pPr>
      <w:r>
        <w:rPr>
          <w:rFonts w:hint="eastAsia" w:hAnsi="宋体" w:cs="宋体"/>
          <w:color w:val="auto"/>
          <w:szCs w:val="21"/>
        </w:rPr>
        <w:t>　（3）具体、明确的质疑事项和与质疑事项相关的请求；</w:t>
      </w:r>
    </w:p>
    <w:p>
      <w:pPr>
        <w:pStyle w:val="18"/>
        <w:spacing w:line="440" w:lineRule="exact"/>
        <w:ind w:left="2" w:firstLine="418"/>
        <w:jc w:val="left"/>
        <w:rPr>
          <w:rFonts w:hAnsi="宋体" w:cs="宋体"/>
          <w:color w:val="auto"/>
          <w:szCs w:val="21"/>
        </w:rPr>
      </w:pPr>
      <w:r>
        <w:rPr>
          <w:rFonts w:hint="eastAsia" w:hAnsi="宋体" w:cs="宋体"/>
          <w:color w:val="auto"/>
          <w:szCs w:val="21"/>
        </w:rPr>
        <w:t>　（4）事实依据；</w:t>
      </w:r>
    </w:p>
    <w:p>
      <w:pPr>
        <w:pStyle w:val="18"/>
        <w:spacing w:line="440" w:lineRule="exact"/>
        <w:ind w:left="2" w:firstLine="418"/>
        <w:jc w:val="left"/>
        <w:rPr>
          <w:rFonts w:hAnsi="宋体" w:cs="宋体"/>
          <w:color w:val="auto"/>
          <w:szCs w:val="21"/>
        </w:rPr>
      </w:pPr>
      <w:r>
        <w:rPr>
          <w:rFonts w:hint="eastAsia" w:hAnsi="宋体" w:cs="宋体"/>
          <w:color w:val="auto"/>
          <w:szCs w:val="21"/>
        </w:rPr>
        <w:t>　（5）必要的法律依据；</w:t>
      </w:r>
    </w:p>
    <w:p>
      <w:pPr>
        <w:pStyle w:val="18"/>
        <w:spacing w:line="440" w:lineRule="exact"/>
        <w:ind w:left="2" w:firstLine="418"/>
        <w:jc w:val="left"/>
        <w:rPr>
          <w:rFonts w:hAnsi="宋体" w:cs="宋体"/>
          <w:color w:val="auto"/>
          <w:szCs w:val="21"/>
        </w:rPr>
      </w:pPr>
      <w:r>
        <w:rPr>
          <w:rFonts w:hint="eastAsia" w:hAnsi="宋体" w:cs="宋体"/>
          <w:color w:val="auto"/>
          <w:szCs w:val="21"/>
        </w:rPr>
        <w:t>　（6）提出质疑的日期。</w:t>
      </w:r>
    </w:p>
    <w:p>
      <w:pPr>
        <w:pStyle w:val="18"/>
        <w:tabs>
          <w:tab w:val="left" w:pos="455"/>
        </w:tabs>
        <w:spacing w:line="380" w:lineRule="atLeast"/>
        <w:ind w:firstLine="630" w:firstLineChars="300"/>
        <w:rPr>
          <w:rFonts w:hAnsi="宋体" w:cs="宋体"/>
          <w:color w:val="auto"/>
          <w:szCs w:val="21"/>
        </w:rPr>
      </w:pPr>
      <w:r>
        <w:rPr>
          <w:rFonts w:hint="eastAsia" w:hAnsi="宋体" w:cs="宋体"/>
          <w:color w:val="auto"/>
          <w:szCs w:val="21"/>
        </w:rPr>
        <w:t>（7）附件材料复印件加盖公章：</w:t>
      </w:r>
      <w:r>
        <w:rPr>
          <w:rFonts w:hint="eastAsia" w:hAnsi="宋体" w:cs="宋体"/>
          <w:color w:val="auto"/>
        </w:rPr>
        <w:t>（附营业执照复印件、法定代表人身份证复印件、代理人委托书原件及代理人身份证复印件及原件、代理人</w:t>
      </w:r>
      <w:r>
        <w:rPr>
          <w:rFonts w:hint="eastAsia" w:hAnsi="宋体" w:cs="宋体"/>
          <w:color w:val="auto"/>
          <w:szCs w:val="21"/>
        </w:rPr>
        <w:t>近期三个月社保缴费证明复印件</w:t>
      </w:r>
      <w:r>
        <w:rPr>
          <w:rFonts w:hint="eastAsia" w:hAnsi="宋体" w:cs="宋体"/>
          <w:color w:val="auto"/>
        </w:rPr>
        <w:t>）</w:t>
      </w:r>
      <w:r>
        <w:rPr>
          <w:rFonts w:hint="eastAsia" w:hAnsi="宋体" w:cs="宋体"/>
          <w:color w:val="auto"/>
          <w:szCs w:val="21"/>
        </w:rPr>
        <w:t>。</w:t>
      </w:r>
    </w:p>
    <w:p>
      <w:pPr>
        <w:pStyle w:val="18"/>
        <w:spacing w:line="440" w:lineRule="exact"/>
        <w:ind w:firstLine="420" w:firstLineChars="200"/>
        <w:jc w:val="left"/>
        <w:rPr>
          <w:rFonts w:hAnsi="宋体" w:cs="宋体"/>
          <w:color w:val="auto"/>
          <w:szCs w:val="21"/>
        </w:rPr>
      </w:pPr>
      <w:r>
        <w:rPr>
          <w:rFonts w:hint="eastAsia" w:hAnsi="宋体" w:cs="宋体"/>
          <w:color w:val="auto"/>
          <w:szCs w:val="21"/>
        </w:rPr>
        <w:t>质疑书应当署名。质疑供应商为法人或者其他组织的，应当由法定代表人或者主要负责人签字并加盖公章。</w:t>
      </w:r>
    </w:p>
    <w:p>
      <w:pPr>
        <w:pStyle w:val="18"/>
        <w:spacing w:line="440" w:lineRule="exact"/>
        <w:ind w:firstLine="420" w:firstLineChars="200"/>
        <w:rPr>
          <w:rFonts w:hAnsi="宋体" w:cs="宋体"/>
          <w:color w:val="auto"/>
          <w:szCs w:val="21"/>
        </w:rPr>
      </w:pPr>
      <w:r>
        <w:rPr>
          <w:rFonts w:hint="eastAsia" w:hAnsi="宋体" w:cs="宋体"/>
          <w:bCs/>
          <w:color w:val="auto"/>
          <w:szCs w:val="21"/>
        </w:rPr>
        <w:t>5.7.4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w:t>
      </w:r>
      <w:r>
        <w:rPr>
          <w:rFonts w:hint="eastAsia" w:hAnsi="宋体" w:cs="宋体"/>
          <w:color w:val="auto"/>
          <w:szCs w:val="21"/>
        </w:rPr>
        <w:t>。</w:t>
      </w:r>
    </w:p>
    <w:p>
      <w:pPr>
        <w:pStyle w:val="18"/>
        <w:spacing w:line="440" w:lineRule="exact"/>
        <w:ind w:firstLine="420" w:firstLineChars="200"/>
        <w:rPr>
          <w:rFonts w:hAnsi="宋体" w:cs="宋体"/>
          <w:color w:val="auto"/>
          <w:szCs w:val="21"/>
        </w:rPr>
      </w:pPr>
      <w:r>
        <w:rPr>
          <w:rFonts w:hint="eastAsia" w:hAnsi="宋体" w:cs="宋体"/>
          <w:bCs/>
          <w:color w:val="auto"/>
          <w:szCs w:val="21"/>
        </w:rPr>
        <w:t>5.7.5  质疑供应商提起质疑应当符合下列条件：</w:t>
      </w:r>
    </w:p>
    <w:p>
      <w:pPr>
        <w:spacing w:line="440" w:lineRule="exact"/>
        <w:ind w:firstLine="420"/>
        <w:rPr>
          <w:rFonts w:ascii="宋体" w:hAnsi="宋体" w:cs="宋体"/>
          <w:color w:val="auto"/>
          <w:szCs w:val="21"/>
        </w:rPr>
      </w:pPr>
      <w:r>
        <w:rPr>
          <w:rFonts w:hint="eastAsia" w:ascii="宋体" w:hAnsi="宋体" w:cs="宋体"/>
          <w:color w:val="auto"/>
          <w:szCs w:val="21"/>
        </w:rPr>
        <w:t>（1）质疑供应商是参与所质疑政府采购活动的供应商；</w:t>
      </w:r>
    </w:p>
    <w:p>
      <w:pPr>
        <w:spacing w:line="440" w:lineRule="exact"/>
        <w:ind w:firstLine="420"/>
        <w:rPr>
          <w:rFonts w:ascii="宋体" w:hAnsi="宋体" w:cs="宋体"/>
          <w:color w:val="auto"/>
          <w:szCs w:val="21"/>
        </w:rPr>
      </w:pPr>
      <w:r>
        <w:rPr>
          <w:rFonts w:hint="eastAsia" w:ascii="宋体" w:hAnsi="宋体" w:cs="宋体"/>
          <w:color w:val="auto"/>
          <w:szCs w:val="21"/>
        </w:rPr>
        <w:t>（2）质疑书内容符合本章第</w:t>
      </w:r>
      <w:r>
        <w:rPr>
          <w:rFonts w:hint="eastAsia" w:ascii="宋体" w:hAnsi="宋体" w:cs="宋体"/>
          <w:bCs/>
          <w:color w:val="auto"/>
          <w:szCs w:val="21"/>
        </w:rPr>
        <w:t xml:space="preserve">5.7.3 </w:t>
      </w:r>
      <w:r>
        <w:rPr>
          <w:rFonts w:hint="eastAsia" w:ascii="宋体" w:hAnsi="宋体" w:cs="宋体"/>
          <w:color w:val="auto"/>
          <w:szCs w:val="21"/>
        </w:rPr>
        <w:t>项的规定；</w:t>
      </w:r>
    </w:p>
    <w:p>
      <w:pPr>
        <w:spacing w:line="440" w:lineRule="exact"/>
        <w:ind w:firstLine="420"/>
        <w:rPr>
          <w:rFonts w:ascii="宋体" w:hAnsi="宋体" w:cs="宋体"/>
          <w:color w:val="auto"/>
          <w:szCs w:val="21"/>
        </w:rPr>
      </w:pPr>
      <w:r>
        <w:rPr>
          <w:rFonts w:hint="eastAsia" w:ascii="宋体" w:hAnsi="宋体" w:cs="宋体"/>
          <w:color w:val="auto"/>
          <w:szCs w:val="21"/>
        </w:rPr>
        <w:t>（3）在质疑有效期限内提起质疑；</w:t>
      </w:r>
    </w:p>
    <w:p>
      <w:pPr>
        <w:spacing w:line="440" w:lineRule="exact"/>
        <w:ind w:firstLine="420"/>
        <w:rPr>
          <w:rFonts w:ascii="宋体" w:hAnsi="宋体" w:cs="宋体"/>
          <w:color w:val="auto"/>
          <w:szCs w:val="21"/>
        </w:rPr>
      </w:pPr>
      <w:r>
        <w:rPr>
          <w:rFonts w:hint="eastAsia" w:ascii="宋体" w:hAnsi="宋体" w:cs="宋体"/>
          <w:color w:val="auto"/>
          <w:szCs w:val="21"/>
        </w:rPr>
        <w:t>（4）属于所质疑的采购人或采购人委托的采购代理机构组织的采购活动；</w:t>
      </w:r>
    </w:p>
    <w:p>
      <w:pPr>
        <w:spacing w:line="440" w:lineRule="exact"/>
        <w:ind w:firstLine="420"/>
        <w:rPr>
          <w:rFonts w:ascii="宋体" w:hAnsi="宋体" w:cs="宋体"/>
          <w:color w:val="auto"/>
          <w:szCs w:val="21"/>
        </w:rPr>
      </w:pPr>
      <w:r>
        <w:rPr>
          <w:rFonts w:hint="eastAsia" w:ascii="宋体" w:hAnsi="宋体" w:cs="宋体"/>
          <w:color w:val="auto"/>
          <w:szCs w:val="21"/>
        </w:rPr>
        <w:t>（5）同一质疑事项未经采购人或采购人委托的采购代理机构质疑处理；</w:t>
      </w:r>
    </w:p>
    <w:p>
      <w:pPr>
        <w:spacing w:line="440" w:lineRule="exact"/>
        <w:ind w:firstLine="420"/>
        <w:rPr>
          <w:rFonts w:ascii="宋体" w:hAnsi="宋体" w:cs="宋体"/>
          <w:color w:val="auto"/>
          <w:szCs w:val="21"/>
        </w:rPr>
      </w:pPr>
      <w:r>
        <w:rPr>
          <w:rFonts w:hint="eastAsia" w:ascii="宋体" w:hAnsi="宋体" w:cs="宋体"/>
          <w:color w:val="auto"/>
          <w:szCs w:val="21"/>
        </w:rPr>
        <w:t>（6）财政部门规定的其他条件。</w:t>
      </w:r>
    </w:p>
    <w:p>
      <w:pPr>
        <w:spacing w:line="440" w:lineRule="exact"/>
        <w:ind w:firstLine="420" w:firstLineChars="200"/>
        <w:rPr>
          <w:rFonts w:ascii="宋体" w:hAnsi="宋体" w:cs="宋体"/>
          <w:color w:val="auto"/>
          <w:szCs w:val="21"/>
        </w:rPr>
      </w:pPr>
      <w:r>
        <w:rPr>
          <w:rFonts w:hint="eastAsia" w:ascii="宋体" w:hAnsi="宋体" w:cs="宋体"/>
          <w:color w:val="auto"/>
          <w:szCs w:val="21"/>
        </w:rPr>
        <w:t>5.7.6  采购人或采购人委托的采购代理机构自受理质疑之日起七个工作日内，对质疑事项作出答复，并以书面形式通知质疑供应商及其他有关供应商。</w:t>
      </w:r>
    </w:p>
    <w:p>
      <w:pPr>
        <w:pStyle w:val="18"/>
        <w:spacing w:line="440" w:lineRule="exact"/>
        <w:ind w:left="1" w:firstLine="422" w:firstLineChars="200"/>
        <w:jc w:val="left"/>
        <w:rPr>
          <w:rFonts w:hAnsi="宋体" w:cs="宋体"/>
          <w:b/>
          <w:color w:val="auto"/>
          <w:szCs w:val="21"/>
        </w:rPr>
      </w:pPr>
      <w:r>
        <w:rPr>
          <w:rFonts w:hint="eastAsia" w:hAnsi="宋体" w:cs="宋体"/>
          <w:b/>
          <w:color w:val="auto"/>
          <w:szCs w:val="21"/>
        </w:rPr>
        <w:t>5.8  投诉</w:t>
      </w:r>
    </w:p>
    <w:p>
      <w:pPr>
        <w:pStyle w:val="18"/>
        <w:spacing w:line="440" w:lineRule="exact"/>
        <w:ind w:left="2" w:leftChars="1" w:firstLine="420" w:firstLineChars="200"/>
        <w:jc w:val="left"/>
        <w:rPr>
          <w:rFonts w:hAnsi="宋体" w:cs="宋体"/>
          <w:color w:val="auto"/>
          <w:szCs w:val="21"/>
        </w:rPr>
      </w:pPr>
      <w:r>
        <w:rPr>
          <w:rFonts w:hint="eastAsia" w:hAnsi="宋体" w:cs="宋体"/>
          <w:bCs/>
          <w:color w:val="auto"/>
          <w:szCs w:val="21"/>
        </w:rPr>
        <w:t>5.8.1 供应商认为采购文件、采购过程、中标和成交结果使自己的合法权益受到损害的，应当首先依法向采购人或采购人委托的</w:t>
      </w:r>
      <w:r>
        <w:rPr>
          <w:rFonts w:hint="eastAsia" w:hAnsi="宋体" w:cs="宋体"/>
          <w:color w:val="auto"/>
          <w:szCs w:val="21"/>
        </w:rPr>
        <w:t>采购代理机构</w:t>
      </w:r>
      <w:r>
        <w:rPr>
          <w:rFonts w:hint="eastAsia" w:hAnsi="宋体" w:cs="宋体"/>
          <w:bCs/>
          <w:color w:val="auto"/>
          <w:szCs w:val="21"/>
        </w:rPr>
        <w:t>提出质疑。对采购人、</w:t>
      </w:r>
      <w:r>
        <w:rPr>
          <w:rFonts w:hint="eastAsia" w:hAnsi="宋体" w:cs="宋体"/>
          <w:color w:val="auto"/>
          <w:szCs w:val="21"/>
        </w:rPr>
        <w:t>采购代理机构</w:t>
      </w:r>
      <w:r>
        <w:rPr>
          <w:rFonts w:hint="eastAsia" w:hAnsi="宋体" w:cs="宋体"/>
          <w:bCs/>
          <w:color w:val="auto"/>
          <w:szCs w:val="21"/>
        </w:rPr>
        <w:t>的答复不满意，或者采购人、</w:t>
      </w:r>
      <w:r>
        <w:rPr>
          <w:rFonts w:hint="eastAsia" w:hAnsi="宋体" w:cs="宋体"/>
          <w:color w:val="auto"/>
          <w:szCs w:val="21"/>
        </w:rPr>
        <w:t>采购代理机构</w:t>
      </w:r>
      <w:r>
        <w:rPr>
          <w:rFonts w:hint="eastAsia" w:hAnsi="宋体" w:cs="宋体"/>
          <w:bCs/>
          <w:color w:val="auto"/>
          <w:szCs w:val="21"/>
        </w:rPr>
        <w:t>未在规定期限内做出答复的，供应商可以在答复期满后十五个工作日内向</w:t>
      </w:r>
      <w:r>
        <w:rPr>
          <w:rFonts w:hint="eastAsia" w:hAnsi="宋体" w:cs="宋体"/>
          <w:color w:val="auto"/>
          <w:szCs w:val="21"/>
        </w:rPr>
        <w:t>政府采购监督部门提起投诉。</w:t>
      </w:r>
    </w:p>
    <w:p>
      <w:pPr>
        <w:pStyle w:val="18"/>
        <w:spacing w:line="380" w:lineRule="exact"/>
        <w:ind w:firstLine="420" w:firstLineChars="200"/>
        <w:jc w:val="left"/>
        <w:outlineLvl w:val="0"/>
        <w:rPr>
          <w:rFonts w:hAnsi="宋体" w:cs="宋体"/>
          <w:color w:val="auto"/>
          <w:szCs w:val="22"/>
        </w:rPr>
      </w:pPr>
      <w:r>
        <w:rPr>
          <w:rFonts w:hint="eastAsia" w:hAnsi="宋体" w:cs="宋体"/>
          <w:bCs/>
          <w:color w:val="auto"/>
          <w:szCs w:val="21"/>
        </w:rPr>
        <w:t>5.8.</w:t>
      </w:r>
      <w:r>
        <w:rPr>
          <w:rFonts w:hint="eastAsia" w:hAnsi="宋体" w:cs="宋体"/>
          <w:color w:val="auto"/>
          <w:szCs w:val="22"/>
        </w:rPr>
        <w:t>2在提出投诉时，应附送相关证明材料。如投诉书及证明材料为外文的，应同时提供其中文译本；中文与外文意思不一致，以中文为准。</w:t>
      </w:r>
    </w:p>
    <w:p>
      <w:pPr>
        <w:pStyle w:val="18"/>
        <w:tabs>
          <w:tab w:val="left" w:pos="455"/>
        </w:tabs>
        <w:spacing w:line="380" w:lineRule="atLeast"/>
        <w:rPr>
          <w:rFonts w:hAnsi="宋体" w:cs="宋体"/>
          <w:color w:val="auto"/>
        </w:rPr>
      </w:pPr>
    </w:p>
    <w:p>
      <w:pPr>
        <w:pStyle w:val="18"/>
        <w:spacing w:line="380" w:lineRule="atLeast"/>
        <w:jc w:val="center"/>
        <w:rPr>
          <w:rFonts w:hAnsi="宋体" w:cs="宋体"/>
          <w:b/>
          <w:color w:val="auto"/>
          <w:sz w:val="24"/>
        </w:rPr>
      </w:pPr>
      <w:r>
        <w:rPr>
          <w:rFonts w:hint="eastAsia" w:hAnsi="宋体" w:cs="宋体"/>
          <w:b/>
          <w:color w:val="auto"/>
          <w:sz w:val="24"/>
        </w:rPr>
        <w:t>三、响应文件的编制格式</w:t>
      </w:r>
    </w:p>
    <w:p>
      <w:pPr>
        <w:pStyle w:val="18"/>
        <w:spacing w:line="380" w:lineRule="atLeast"/>
        <w:jc w:val="center"/>
        <w:rPr>
          <w:rFonts w:hAnsi="宋体" w:cs="宋体"/>
          <w:b/>
          <w:color w:val="auto"/>
        </w:rPr>
      </w:pPr>
    </w:p>
    <w:p>
      <w:pPr>
        <w:pStyle w:val="18"/>
        <w:spacing w:line="380" w:lineRule="atLeast"/>
        <w:rPr>
          <w:rFonts w:hAnsi="宋体" w:cs="宋体"/>
          <w:color w:val="auto"/>
        </w:rPr>
      </w:pPr>
      <w:r>
        <w:rPr>
          <w:rFonts w:hint="eastAsia" w:hAnsi="宋体" w:cs="宋体"/>
          <w:b/>
          <w:color w:val="auto"/>
        </w:rPr>
        <w:t>6.响应文件编写的注意事项</w:t>
      </w:r>
    </w:p>
    <w:p>
      <w:pPr>
        <w:pStyle w:val="18"/>
        <w:spacing w:line="380" w:lineRule="atLeast"/>
        <w:ind w:firstLine="420"/>
        <w:rPr>
          <w:rFonts w:hAnsi="宋体" w:cs="宋体"/>
          <w:color w:val="auto"/>
        </w:rPr>
      </w:pPr>
      <w:r>
        <w:rPr>
          <w:rFonts w:hint="eastAsia" w:hAnsi="宋体" w:cs="宋体"/>
          <w:color w:val="auto"/>
        </w:rPr>
        <w:t>6.1</w:t>
      </w:r>
      <w:r>
        <w:rPr>
          <w:rFonts w:hint="eastAsia" w:hAnsi="宋体" w:cs="宋体"/>
          <w:color w:val="auto"/>
          <w:szCs w:val="21"/>
        </w:rPr>
        <w:t>本项目为全流程电子化政府采购项目，供应商应按照本项目采购文件和</w:t>
      </w:r>
      <w:r>
        <w:rPr>
          <w:rStyle w:val="40"/>
          <w:rFonts w:ascii="Arial" w:hAnsi="Arial" w:eastAsia="Arial" w:cs="Arial"/>
          <w:color w:val="auto"/>
          <w:sz w:val="21"/>
          <w:szCs w:val="21"/>
          <w:shd w:val="clear" w:color="auto" w:fill="FFFFFF"/>
        </w:rPr>
        <w:t>广西政府采购云平台</w:t>
      </w:r>
      <w:r>
        <w:rPr>
          <w:rFonts w:hint="eastAsia" w:hAnsi="宋体" w:cs="宋体"/>
          <w:color w:val="auto"/>
          <w:szCs w:val="21"/>
        </w:rPr>
        <w:t>的要求编制、加密并提交电子响应文件。</w:t>
      </w:r>
      <w:r>
        <w:rPr>
          <w:rFonts w:hint="eastAsia" w:hAnsi="宋体" w:cs="宋体"/>
          <w:color w:val="auto"/>
        </w:rPr>
        <w:t>如果没有按照</w:t>
      </w:r>
      <w:r>
        <w:rPr>
          <w:rFonts w:hint="eastAsia" w:hAnsi="宋体" w:cs="宋体"/>
          <w:color w:val="auto"/>
          <w:szCs w:val="21"/>
        </w:rPr>
        <w:t>采购文件和</w:t>
      </w:r>
      <w:r>
        <w:rPr>
          <w:rStyle w:val="40"/>
          <w:rFonts w:ascii="Arial" w:hAnsi="Arial" w:eastAsia="Arial" w:cs="Arial"/>
          <w:color w:val="auto"/>
          <w:sz w:val="21"/>
          <w:szCs w:val="21"/>
          <w:shd w:val="clear" w:color="auto" w:fill="FFFFFF"/>
        </w:rPr>
        <w:t>广西政府采购云平台</w:t>
      </w:r>
      <w:r>
        <w:rPr>
          <w:rFonts w:hint="eastAsia" w:hAnsi="宋体" w:cs="宋体"/>
          <w:color w:val="auto"/>
          <w:szCs w:val="21"/>
        </w:rPr>
        <w:t>要求</w:t>
      </w:r>
      <w:r>
        <w:rPr>
          <w:rFonts w:hint="eastAsia" w:hAnsi="宋体" w:cs="宋体"/>
          <w:color w:val="auto"/>
        </w:rPr>
        <w:t>提交响应文件，没有对采购文件提出的实质性要求和条件作出响应，该竞标将被拒绝。</w:t>
      </w:r>
    </w:p>
    <w:p>
      <w:pPr>
        <w:pStyle w:val="18"/>
        <w:spacing w:line="380" w:lineRule="atLeast"/>
        <w:ind w:firstLine="420"/>
        <w:rPr>
          <w:rFonts w:hAnsi="宋体" w:cs="宋体"/>
          <w:color w:val="auto"/>
        </w:rPr>
      </w:pPr>
      <w:r>
        <w:rPr>
          <w:rFonts w:hint="eastAsia" w:hAnsi="宋体" w:cs="宋体"/>
          <w:color w:val="auto"/>
        </w:rPr>
        <w:t>6.2采购文件提出的实质性要求和条件是指本竞标项目所涉及的价格、技术参数及性能配置、数量、售后服务及其它要求、合同条款等内容。</w:t>
      </w:r>
    </w:p>
    <w:p>
      <w:pPr>
        <w:pStyle w:val="18"/>
        <w:spacing w:line="380" w:lineRule="atLeast"/>
        <w:rPr>
          <w:rFonts w:hAnsi="宋体" w:cs="宋体"/>
          <w:b/>
          <w:color w:val="auto"/>
        </w:rPr>
      </w:pPr>
      <w:r>
        <w:rPr>
          <w:rFonts w:hint="eastAsia" w:hAnsi="宋体" w:cs="宋体"/>
          <w:b/>
          <w:color w:val="auto"/>
        </w:rPr>
        <w:t>7.响应文件的构成</w:t>
      </w:r>
    </w:p>
    <w:p>
      <w:pPr>
        <w:pStyle w:val="18"/>
        <w:spacing w:line="380" w:lineRule="atLeast"/>
        <w:ind w:firstLine="420"/>
        <w:rPr>
          <w:rFonts w:hAnsi="宋体" w:cs="宋体"/>
          <w:color w:val="auto"/>
        </w:rPr>
      </w:pPr>
      <w:r>
        <w:rPr>
          <w:rFonts w:hint="eastAsia" w:hAnsi="宋体" w:cs="宋体"/>
          <w:color w:val="auto"/>
        </w:rPr>
        <w:t>7.1竞争性谈判响应文件的组成：竞争性谈判响应文件应分为资格文件、价格文件和商务技术文件三个部分组成。供应商应仔细阅读竞争性谈判采购文件的所有内容，按采购文件的要求，详细编制谈判响应文件，竞标人应按下列顺序自编目录及页码</w:t>
      </w:r>
      <w:r>
        <w:rPr>
          <w:rFonts w:hint="eastAsia" w:hAnsi="宋体" w:cs="宋体"/>
          <w:b/>
          <w:bCs/>
          <w:color w:val="auto"/>
        </w:rPr>
        <w:t>（标“</w:t>
      </w:r>
      <w:r>
        <w:rPr>
          <w:rFonts w:hint="eastAsia" w:hAnsi="宋体" w:cs="宋体"/>
          <w:b/>
          <w:bCs/>
          <w:color w:val="auto"/>
          <w:sz w:val="22"/>
          <w:szCs w:val="22"/>
        </w:rPr>
        <w:t>▲</w:t>
      </w:r>
      <w:r>
        <w:rPr>
          <w:rFonts w:hint="eastAsia" w:hAnsi="宋体" w:cs="宋体"/>
          <w:b/>
          <w:bCs/>
          <w:color w:val="auto"/>
        </w:rPr>
        <w:t>”部分为必须提供材料，否则竞标无效）</w:t>
      </w:r>
      <w:r>
        <w:rPr>
          <w:rFonts w:hint="eastAsia" w:hAnsi="宋体" w:cs="宋体"/>
          <w:color w:val="auto"/>
        </w:rPr>
        <w:t>：</w:t>
      </w:r>
    </w:p>
    <w:p>
      <w:pPr>
        <w:pStyle w:val="18"/>
        <w:spacing w:line="380" w:lineRule="atLeast"/>
        <w:ind w:firstLine="420"/>
        <w:rPr>
          <w:rFonts w:hAnsi="宋体" w:cs="宋体"/>
          <w:b/>
          <w:bCs/>
          <w:color w:val="auto"/>
        </w:rPr>
      </w:pPr>
      <w:r>
        <w:rPr>
          <w:rFonts w:hint="eastAsia" w:hAnsi="宋体" w:cs="宋体"/>
          <w:b/>
          <w:bCs/>
          <w:color w:val="auto"/>
        </w:rPr>
        <w:t>7.1.1资格文件</w:t>
      </w:r>
    </w:p>
    <w:p>
      <w:pPr>
        <w:pStyle w:val="18"/>
        <w:spacing w:line="380" w:lineRule="atLeast"/>
        <w:ind w:firstLine="420"/>
        <w:rPr>
          <w:rFonts w:hAnsi="宋体" w:cs="宋体"/>
          <w:bCs/>
          <w:color w:val="auto"/>
        </w:rPr>
      </w:pPr>
      <w:r>
        <w:rPr>
          <w:rFonts w:hint="eastAsia" w:hAnsi="宋体" w:cs="宋体"/>
          <w:color w:val="auto"/>
          <w:sz w:val="22"/>
          <w:szCs w:val="22"/>
        </w:rPr>
        <w:t>▲</w:t>
      </w:r>
      <w:r>
        <w:rPr>
          <w:rFonts w:hint="eastAsia" w:hAnsi="宋体" w:cs="宋体"/>
          <w:bCs/>
          <w:color w:val="auto"/>
        </w:rPr>
        <w:t>(</w:t>
      </w:r>
      <w:r>
        <w:rPr>
          <w:rFonts w:hint="eastAsia" w:hAnsi="宋体" w:cs="宋体"/>
          <w:color w:val="auto"/>
        </w:rPr>
        <w:t>1)竞标人有效的“营业执照”等证明文件复印件；</w:t>
      </w:r>
      <w:r>
        <w:rPr>
          <w:rFonts w:hint="eastAsia" w:hAnsi="宋体" w:cs="宋体"/>
          <w:b/>
          <w:bCs/>
          <w:color w:val="auto"/>
        </w:rPr>
        <w:t xml:space="preserve"> </w:t>
      </w:r>
      <w:r>
        <w:rPr>
          <w:rFonts w:hint="eastAsia" w:hAnsi="宋体" w:cs="宋体"/>
          <w:bCs/>
          <w:color w:val="auto"/>
        </w:rPr>
        <w:t xml:space="preserve"> </w:t>
      </w:r>
    </w:p>
    <w:p>
      <w:pPr>
        <w:pStyle w:val="18"/>
        <w:spacing w:line="380" w:lineRule="atLeast"/>
        <w:ind w:firstLine="429" w:firstLineChars="195"/>
        <w:rPr>
          <w:rFonts w:hAnsi="宋体" w:cs="宋体"/>
          <w:bCs/>
          <w:color w:val="auto"/>
        </w:rPr>
      </w:pPr>
      <w:r>
        <w:rPr>
          <w:rFonts w:hint="eastAsia" w:hAnsi="宋体" w:cs="宋体"/>
          <w:color w:val="auto"/>
          <w:sz w:val="22"/>
          <w:szCs w:val="22"/>
        </w:rPr>
        <w:t>▲</w:t>
      </w:r>
      <w:r>
        <w:rPr>
          <w:rFonts w:hint="eastAsia" w:hAnsi="宋体" w:cs="宋体"/>
          <w:bCs/>
          <w:color w:val="auto"/>
        </w:rPr>
        <w:t>(2)</w:t>
      </w:r>
      <w:r>
        <w:rPr>
          <w:rFonts w:hint="eastAsia" w:hAnsi="宋体" w:cs="宋体"/>
          <w:color w:val="auto"/>
        </w:rPr>
        <w:t>供应商须</w:t>
      </w:r>
      <w:r>
        <w:rPr>
          <w:rFonts w:hint="eastAsia" w:hAnsi="宋体" w:cs="宋体"/>
          <w:color w:val="auto"/>
          <w:szCs w:val="21"/>
        </w:rPr>
        <w:t>具备有效的《中华人民共和国出版物经营许可证》</w:t>
      </w:r>
      <w:r>
        <w:rPr>
          <w:rFonts w:hint="eastAsia" w:hAnsi="宋体" w:cs="宋体"/>
          <w:color w:val="auto"/>
        </w:rPr>
        <w:t>。</w:t>
      </w:r>
    </w:p>
    <w:p>
      <w:pPr>
        <w:pStyle w:val="18"/>
        <w:spacing w:line="380" w:lineRule="atLeast"/>
        <w:ind w:firstLine="429" w:firstLineChars="195"/>
        <w:rPr>
          <w:rFonts w:hAnsi="宋体" w:cs="宋体"/>
          <w:b/>
          <w:bCs/>
          <w:color w:val="auto"/>
        </w:rPr>
      </w:pPr>
      <w:r>
        <w:rPr>
          <w:rFonts w:hint="eastAsia" w:hAnsi="宋体" w:cs="宋体"/>
          <w:color w:val="auto"/>
          <w:sz w:val="22"/>
          <w:szCs w:val="22"/>
        </w:rPr>
        <w:t>▲</w:t>
      </w:r>
      <w:r>
        <w:rPr>
          <w:rFonts w:hint="eastAsia" w:hAnsi="宋体" w:cs="宋体"/>
          <w:bCs/>
          <w:color w:val="auto"/>
        </w:rPr>
        <w:t>(3)法定代表人（负责人）身份证明及有效身份证复印件</w:t>
      </w:r>
    </w:p>
    <w:p>
      <w:pPr>
        <w:pStyle w:val="18"/>
        <w:spacing w:line="380" w:lineRule="atLeast"/>
        <w:ind w:firstLine="429" w:firstLineChars="195"/>
        <w:rPr>
          <w:rFonts w:hAnsi="宋体" w:cs="宋体"/>
          <w:color w:val="auto"/>
        </w:rPr>
      </w:pPr>
      <w:r>
        <w:rPr>
          <w:rFonts w:hint="eastAsia" w:hAnsi="宋体" w:cs="宋体"/>
          <w:color w:val="auto"/>
          <w:sz w:val="22"/>
          <w:szCs w:val="22"/>
        </w:rPr>
        <w:t>▲</w:t>
      </w:r>
      <w:r>
        <w:rPr>
          <w:rFonts w:hint="eastAsia" w:hAnsi="宋体" w:cs="宋体"/>
          <w:bCs/>
          <w:color w:val="auto"/>
        </w:rPr>
        <w:t>(4)法定代表人（负责人）授权委托书原件和委托代理人身份证复印件；</w:t>
      </w:r>
      <w:r>
        <w:rPr>
          <w:rFonts w:hint="eastAsia" w:hAnsi="宋体" w:cs="宋体"/>
          <w:b/>
          <w:bCs/>
          <w:color w:val="auto"/>
        </w:rPr>
        <w:t>（委托代理时必须提供）</w:t>
      </w:r>
    </w:p>
    <w:p>
      <w:pPr>
        <w:pStyle w:val="18"/>
        <w:spacing w:line="380" w:lineRule="atLeast"/>
        <w:ind w:firstLine="440" w:firstLineChars="200"/>
        <w:rPr>
          <w:rFonts w:hAnsi="宋体" w:cs="宋体"/>
          <w:color w:val="auto"/>
        </w:rPr>
      </w:pPr>
      <w:r>
        <w:rPr>
          <w:rFonts w:hint="eastAsia" w:hAnsi="宋体" w:cs="宋体"/>
          <w:color w:val="auto"/>
          <w:sz w:val="22"/>
          <w:szCs w:val="22"/>
        </w:rPr>
        <w:t>▲</w:t>
      </w:r>
      <w:r>
        <w:rPr>
          <w:rFonts w:hint="eastAsia" w:hAnsi="宋体" w:cs="宋体"/>
          <w:color w:val="auto"/>
        </w:rPr>
        <w:t>(5)竞标人参加政府采购活动前三年内在经营活动中没有重大违法记录或不良信用记录的书面声明；</w:t>
      </w:r>
    </w:p>
    <w:p>
      <w:pPr>
        <w:pStyle w:val="18"/>
        <w:spacing w:line="380" w:lineRule="atLeast"/>
        <w:ind w:firstLine="420" w:firstLineChars="200"/>
        <w:rPr>
          <w:rFonts w:hAnsi="宋体" w:cs="宋体"/>
          <w:color w:val="auto"/>
        </w:rPr>
      </w:pPr>
      <w:r>
        <w:rPr>
          <w:rFonts w:hint="eastAsia" w:hAnsi="宋体" w:cs="宋体"/>
          <w:color w:val="auto"/>
        </w:rPr>
        <w:t>▲(6)供应商直接控股股东信息、直接管理关系信息表；</w:t>
      </w:r>
    </w:p>
    <w:p>
      <w:pPr>
        <w:pStyle w:val="18"/>
        <w:spacing w:line="380" w:lineRule="atLeast"/>
        <w:ind w:firstLine="431" w:firstLineChars="196"/>
        <w:rPr>
          <w:rFonts w:hAnsi="宋体" w:cs="宋体"/>
          <w:b/>
          <w:bCs/>
          <w:color w:val="auto"/>
        </w:rPr>
      </w:pPr>
      <w:r>
        <w:rPr>
          <w:rFonts w:hint="eastAsia" w:hAnsi="宋体" w:cs="宋体"/>
          <w:color w:val="auto"/>
          <w:sz w:val="22"/>
          <w:szCs w:val="22"/>
        </w:rPr>
        <w:t>▲</w:t>
      </w:r>
      <w:r>
        <w:rPr>
          <w:rFonts w:hint="eastAsia" w:hAnsi="宋体" w:cs="宋体"/>
          <w:color w:val="auto"/>
        </w:rPr>
        <w:t>(7)截标前半年内竞标人连续三个月依法缴纳税收（国税或地税）的凭证复印件（如属新成立的公司不足三个月的递交工商注册之月起的纳税证明）；无纳税记录的，应提供竞标人所在地的税务部门出具的《依法纳税或依法免税证明》复印件；</w:t>
      </w:r>
    </w:p>
    <w:p>
      <w:pPr>
        <w:pStyle w:val="18"/>
        <w:spacing w:line="380" w:lineRule="atLeast"/>
        <w:ind w:firstLine="420"/>
        <w:rPr>
          <w:rFonts w:hAnsi="宋体" w:cs="宋体"/>
          <w:b/>
          <w:bCs/>
          <w:color w:val="auto"/>
        </w:rPr>
      </w:pPr>
      <w:r>
        <w:rPr>
          <w:rFonts w:hint="eastAsia" w:hAnsi="宋体" w:cs="宋体"/>
          <w:color w:val="auto"/>
          <w:sz w:val="22"/>
          <w:szCs w:val="22"/>
        </w:rPr>
        <w:t>▲</w:t>
      </w:r>
      <w:r>
        <w:rPr>
          <w:rFonts w:hint="eastAsia" w:hAnsi="宋体" w:cs="宋体"/>
          <w:color w:val="auto"/>
        </w:rPr>
        <w:t>(8)截标前半年内竞标人连续三个月依法缴纳社保费的缴费凭证复印件（如属新成立的公司不足三个月的递交工商注册之月起的社保缴纳凭证）；无缴费记录的，应提供由竞标人所在地社保部门出具的《依法缴纳或依法免缴社保费证明》复印件；</w:t>
      </w:r>
    </w:p>
    <w:p>
      <w:pPr>
        <w:pStyle w:val="18"/>
        <w:spacing w:line="380" w:lineRule="atLeast"/>
        <w:ind w:firstLine="420"/>
        <w:rPr>
          <w:rFonts w:hAnsi="宋体" w:cs="宋体"/>
          <w:color w:val="auto"/>
        </w:rPr>
      </w:pPr>
      <w:r>
        <w:rPr>
          <w:rFonts w:hint="eastAsia" w:hAnsi="宋体" w:cs="宋体"/>
          <w:color w:val="auto"/>
          <w:sz w:val="22"/>
          <w:szCs w:val="22"/>
        </w:rPr>
        <w:t>▲</w:t>
      </w:r>
      <w:r>
        <w:rPr>
          <w:rFonts w:hint="eastAsia" w:hAnsi="宋体" w:cs="宋体"/>
          <w:color w:val="auto"/>
        </w:rPr>
        <w:t>(9)竞标人2023年度财务报表（新成立的公司递交工商注册后最近竞标截止期一个月度的月度财务报表）或者其基本开户银行出具的资信证明（注明有效期的，应在有效期内；未注明有效期的，出具时间至竞标截止时间不超过一年）；</w:t>
      </w:r>
    </w:p>
    <w:p>
      <w:pPr>
        <w:ind w:firstLine="440" w:firstLineChars="200"/>
        <w:rPr>
          <w:rFonts w:ascii="宋体" w:hAnsi="宋体" w:cs="宋体"/>
          <w:color w:val="auto"/>
        </w:rPr>
      </w:pPr>
      <w:r>
        <w:rPr>
          <w:rFonts w:hint="eastAsia" w:ascii="宋体" w:hAnsi="宋体" w:cs="宋体"/>
          <w:color w:val="auto"/>
          <w:sz w:val="22"/>
          <w:szCs w:val="22"/>
        </w:rPr>
        <w:t>▲</w:t>
      </w:r>
      <w:r>
        <w:rPr>
          <w:rFonts w:hint="eastAsia" w:ascii="宋体" w:hAnsi="宋体" w:cs="宋体"/>
          <w:color w:val="auto"/>
        </w:rPr>
        <w:t>(10)竞标保证金缴纳证明；</w:t>
      </w:r>
    </w:p>
    <w:p>
      <w:pPr>
        <w:pStyle w:val="18"/>
        <w:spacing w:line="380" w:lineRule="atLeast"/>
        <w:ind w:firstLine="630" w:firstLineChars="300"/>
        <w:rPr>
          <w:rFonts w:hAnsi="宋体" w:cs="宋体"/>
          <w:color w:val="auto"/>
        </w:rPr>
      </w:pPr>
      <w:r>
        <w:rPr>
          <w:rFonts w:hint="eastAsia" w:hAnsi="宋体" w:cs="宋体"/>
          <w:color w:val="auto"/>
        </w:rPr>
        <w:t>(11)竞标人认为必要提供的声明及文件资料（如有请提供）。</w:t>
      </w:r>
    </w:p>
    <w:p>
      <w:pPr>
        <w:pStyle w:val="18"/>
        <w:spacing w:line="380" w:lineRule="atLeast"/>
        <w:ind w:firstLine="420"/>
        <w:rPr>
          <w:rFonts w:hAnsi="宋体" w:cs="宋体"/>
          <w:b/>
          <w:bCs/>
          <w:color w:val="auto"/>
        </w:rPr>
      </w:pPr>
      <w:r>
        <w:rPr>
          <w:rFonts w:hint="eastAsia" w:hAnsi="宋体" w:cs="宋体"/>
          <w:b/>
          <w:bCs/>
          <w:color w:val="auto"/>
        </w:rPr>
        <w:t>7.1.2报价文件</w:t>
      </w:r>
    </w:p>
    <w:p>
      <w:pPr>
        <w:pStyle w:val="18"/>
        <w:spacing w:line="380" w:lineRule="atLeast"/>
        <w:ind w:firstLine="420"/>
        <w:rPr>
          <w:rFonts w:hAnsi="宋体" w:cs="宋体"/>
          <w:color w:val="auto"/>
        </w:rPr>
      </w:pPr>
      <w:r>
        <w:rPr>
          <w:rFonts w:hint="eastAsia" w:hAnsi="宋体" w:cs="宋体"/>
          <w:color w:val="auto"/>
          <w:sz w:val="22"/>
          <w:szCs w:val="22"/>
        </w:rPr>
        <w:t>▲</w:t>
      </w:r>
      <w:r>
        <w:rPr>
          <w:rFonts w:hint="eastAsia" w:hAnsi="宋体" w:cs="宋体"/>
          <w:color w:val="auto"/>
        </w:rPr>
        <w:t>(1)竞标函；</w:t>
      </w:r>
    </w:p>
    <w:p>
      <w:pPr>
        <w:pStyle w:val="18"/>
        <w:spacing w:line="380" w:lineRule="atLeast"/>
        <w:ind w:firstLine="420"/>
        <w:rPr>
          <w:rFonts w:hAnsi="宋体" w:cs="宋体"/>
          <w:color w:val="auto"/>
        </w:rPr>
      </w:pPr>
      <w:r>
        <w:rPr>
          <w:rFonts w:hint="eastAsia" w:hAnsi="宋体" w:cs="宋体"/>
          <w:color w:val="auto"/>
          <w:sz w:val="22"/>
          <w:szCs w:val="22"/>
        </w:rPr>
        <w:t>▲</w:t>
      </w:r>
      <w:r>
        <w:rPr>
          <w:rFonts w:hint="eastAsia" w:hAnsi="宋体" w:cs="宋体"/>
          <w:color w:val="auto"/>
        </w:rPr>
        <w:t>(2)竞标报价表；</w:t>
      </w:r>
    </w:p>
    <w:p>
      <w:pPr>
        <w:pStyle w:val="18"/>
        <w:spacing w:line="380" w:lineRule="atLeast"/>
        <w:ind w:firstLine="420"/>
        <w:rPr>
          <w:rFonts w:hAnsi="宋体" w:cs="宋体"/>
          <w:color w:val="auto"/>
        </w:rPr>
      </w:pPr>
      <w:r>
        <w:rPr>
          <w:rFonts w:hint="eastAsia" w:hAnsi="宋体" w:cs="宋体"/>
          <w:color w:val="auto"/>
        </w:rPr>
        <w:t>(3)竞标人认为有必要提供的与报价有关材料（（如中小企业声明等，如有请提供）。</w:t>
      </w:r>
    </w:p>
    <w:p>
      <w:pPr>
        <w:pStyle w:val="18"/>
        <w:spacing w:line="380" w:lineRule="atLeast"/>
        <w:ind w:firstLine="420"/>
        <w:rPr>
          <w:rFonts w:hAnsi="宋体" w:cs="宋体"/>
          <w:b/>
          <w:bCs/>
          <w:color w:val="auto"/>
        </w:rPr>
      </w:pPr>
      <w:r>
        <w:rPr>
          <w:rFonts w:hint="eastAsia" w:hAnsi="宋体" w:cs="宋体"/>
          <w:b/>
          <w:bCs/>
          <w:color w:val="auto"/>
        </w:rPr>
        <w:t>7.1.3商务技术文件</w:t>
      </w:r>
    </w:p>
    <w:p>
      <w:pPr>
        <w:pStyle w:val="18"/>
        <w:spacing w:line="380" w:lineRule="atLeast"/>
        <w:ind w:firstLine="412"/>
        <w:rPr>
          <w:rFonts w:hAnsi="宋体" w:cs="宋体"/>
          <w:color w:val="auto"/>
        </w:rPr>
      </w:pPr>
      <w:r>
        <w:rPr>
          <w:rFonts w:hint="eastAsia" w:hAnsi="宋体" w:cs="宋体"/>
          <w:color w:val="auto"/>
          <w:sz w:val="22"/>
          <w:szCs w:val="22"/>
        </w:rPr>
        <w:t>▲</w:t>
      </w:r>
      <w:r>
        <w:rPr>
          <w:rFonts w:hint="eastAsia" w:hAnsi="宋体" w:cs="宋体"/>
          <w:bCs/>
          <w:color w:val="auto"/>
        </w:rPr>
        <w:t>(1)</w:t>
      </w:r>
      <w:r>
        <w:rPr>
          <w:rFonts w:hint="eastAsia" w:hAnsi="宋体" w:cs="宋体"/>
          <w:color w:val="auto"/>
        </w:rPr>
        <w:t>无串通竞标行为的承诺函 ；</w:t>
      </w:r>
    </w:p>
    <w:p>
      <w:pPr>
        <w:pStyle w:val="18"/>
        <w:spacing w:line="380" w:lineRule="atLeast"/>
        <w:ind w:firstLine="412"/>
        <w:rPr>
          <w:rFonts w:hAnsi="宋体" w:cs="宋体"/>
          <w:color w:val="auto"/>
        </w:rPr>
      </w:pPr>
      <w:r>
        <w:rPr>
          <w:rFonts w:hint="eastAsia" w:hAnsi="宋体" w:cs="宋体"/>
          <w:color w:val="auto"/>
          <w:sz w:val="22"/>
          <w:szCs w:val="22"/>
        </w:rPr>
        <w:t>▲</w:t>
      </w:r>
      <w:r>
        <w:rPr>
          <w:rFonts w:hint="eastAsia" w:hAnsi="宋体" w:cs="宋体"/>
          <w:bCs/>
          <w:color w:val="auto"/>
        </w:rPr>
        <w:t>(2)</w:t>
      </w:r>
      <w:r>
        <w:rPr>
          <w:rFonts w:hint="eastAsia" w:hAnsi="宋体" w:cs="宋体"/>
          <w:color w:val="auto"/>
        </w:rPr>
        <w:t>技术、商务偏离表；</w:t>
      </w:r>
    </w:p>
    <w:p>
      <w:pPr>
        <w:pStyle w:val="18"/>
        <w:spacing w:line="380" w:lineRule="atLeast"/>
        <w:ind w:firstLine="412"/>
        <w:rPr>
          <w:rFonts w:hAnsi="宋体" w:cs="宋体"/>
          <w:color w:val="auto"/>
        </w:rPr>
      </w:pPr>
      <w:r>
        <w:rPr>
          <w:rFonts w:hint="eastAsia" w:hAnsi="宋体" w:cs="宋体"/>
          <w:color w:val="auto"/>
          <w:sz w:val="22"/>
          <w:szCs w:val="22"/>
        </w:rPr>
        <w:t>▲</w:t>
      </w:r>
      <w:r>
        <w:rPr>
          <w:rFonts w:hint="eastAsia" w:hAnsi="宋体" w:cs="宋体"/>
          <w:bCs/>
          <w:color w:val="auto"/>
        </w:rPr>
        <w:t>(3)</w:t>
      </w:r>
      <w:r>
        <w:rPr>
          <w:rFonts w:hint="eastAsia" w:hAnsi="宋体" w:cs="宋体"/>
          <w:color w:val="auto"/>
        </w:rPr>
        <w:t>售后服务承诺书；</w:t>
      </w:r>
    </w:p>
    <w:p>
      <w:pPr>
        <w:pStyle w:val="18"/>
        <w:spacing w:line="380" w:lineRule="atLeast"/>
        <w:ind w:firstLine="420"/>
        <w:rPr>
          <w:rFonts w:hAnsi="宋体" w:cs="宋体"/>
          <w:color w:val="auto"/>
        </w:rPr>
      </w:pPr>
      <w:r>
        <w:rPr>
          <w:rFonts w:hint="eastAsia" w:hAnsi="宋体" w:cs="宋体"/>
          <w:color w:val="auto"/>
        </w:rPr>
        <w:t>(4)货物合格证明文件（如有请提供）；</w:t>
      </w:r>
    </w:p>
    <w:p>
      <w:pPr>
        <w:pStyle w:val="18"/>
        <w:spacing w:line="380" w:lineRule="atLeast"/>
        <w:ind w:firstLine="420"/>
        <w:rPr>
          <w:rFonts w:hAnsi="宋体" w:cs="宋体"/>
          <w:color w:val="auto"/>
        </w:rPr>
      </w:pPr>
      <w:r>
        <w:rPr>
          <w:rFonts w:hint="eastAsia" w:hAnsi="宋体" w:cs="宋体"/>
          <w:color w:val="auto"/>
        </w:rPr>
        <w:t>(5)竞标人认为有必要提供的其他有关材料（如有请提供）。</w:t>
      </w:r>
    </w:p>
    <w:p>
      <w:pPr>
        <w:pStyle w:val="18"/>
        <w:spacing w:line="380" w:lineRule="atLeast"/>
        <w:rPr>
          <w:rFonts w:hAnsi="宋体" w:cs="宋体"/>
          <w:b/>
          <w:color w:val="auto"/>
        </w:rPr>
      </w:pPr>
      <w:r>
        <w:rPr>
          <w:rFonts w:hint="eastAsia" w:hAnsi="宋体" w:cs="宋体"/>
          <w:b/>
          <w:color w:val="auto"/>
        </w:rPr>
        <w:t>8.响应文件的文字及计量单位</w:t>
      </w:r>
    </w:p>
    <w:p>
      <w:pPr>
        <w:pStyle w:val="18"/>
        <w:spacing w:line="380" w:lineRule="atLeast"/>
        <w:ind w:firstLine="420"/>
        <w:rPr>
          <w:rFonts w:hAnsi="宋体" w:cs="宋体"/>
          <w:color w:val="auto"/>
        </w:rPr>
      </w:pPr>
      <w:r>
        <w:rPr>
          <w:rFonts w:hint="eastAsia" w:hAnsi="宋体" w:cs="宋体"/>
          <w:color w:val="auto"/>
        </w:rPr>
        <w:t>8.1竞标人的响应文件以及竞标人与采购代理机构的所有来往的函电统一使用中文（另有规定的除外）。</w:t>
      </w:r>
    </w:p>
    <w:p>
      <w:pPr>
        <w:pStyle w:val="18"/>
        <w:spacing w:line="380" w:lineRule="atLeast"/>
        <w:ind w:firstLine="420"/>
        <w:rPr>
          <w:rFonts w:hAnsi="宋体" w:cs="宋体"/>
          <w:color w:val="auto"/>
        </w:rPr>
      </w:pPr>
      <w:r>
        <w:rPr>
          <w:rFonts w:hint="eastAsia" w:hAnsi="宋体" w:cs="宋体"/>
          <w:color w:val="auto"/>
        </w:rPr>
        <w:t>8.2响应文件中使用的计量单位除采购文件中有特殊规定外，一律使用法定计量单位。</w:t>
      </w:r>
    </w:p>
    <w:p>
      <w:pPr>
        <w:pStyle w:val="18"/>
        <w:spacing w:line="380" w:lineRule="atLeast"/>
        <w:rPr>
          <w:rFonts w:hAnsi="宋体" w:cs="宋体"/>
          <w:b/>
          <w:color w:val="auto"/>
        </w:rPr>
      </w:pPr>
      <w:r>
        <w:rPr>
          <w:rFonts w:hint="eastAsia" w:hAnsi="宋体" w:cs="宋体"/>
          <w:b/>
          <w:color w:val="auto"/>
        </w:rPr>
        <w:t>9.响应文件格式</w:t>
      </w:r>
    </w:p>
    <w:p>
      <w:pPr>
        <w:pStyle w:val="18"/>
        <w:spacing w:line="380" w:lineRule="atLeast"/>
        <w:ind w:firstLine="420"/>
        <w:rPr>
          <w:rFonts w:hAnsi="宋体" w:cs="宋体"/>
          <w:bCs/>
          <w:color w:val="auto"/>
        </w:rPr>
      </w:pPr>
      <w:r>
        <w:rPr>
          <w:rFonts w:hint="eastAsia" w:hAnsi="宋体" w:cs="宋体"/>
          <w:bCs/>
          <w:color w:val="auto"/>
        </w:rPr>
        <w:t>9.1竞标人应按采购文件</w:t>
      </w:r>
      <w:r>
        <w:rPr>
          <w:rFonts w:hint="eastAsia" w:hAnsi="宋体" w:cs="宋体"/>
          <w:color w:val="auto"/>
        </w:rPr>
        <w:t>第五章中“响应文件(格式)”</w:t>
      </w:r>
      <w:r>
        <w:rPr>
          <w:rFonts w:hint="eastAsia" w:hAnsi="宋体" w:cs="宋体"/>
          <w:bCs/>
          <w:color w:val="auto"/>
        </w:rPr>
        <w:t>详细完整地填写各项内容。</w:t>
      </w:r>
    </w:p>
    <w:p>
      <w:pPr>
        <w:pStyle w:val="18"/>
        <w:spacing w:line="380" w:lineRule="atLeast"/>
        <w:ind w:firstLine="420"/>
        <w:rPr>
          <w:rFonts w:hAnsi="宋体" w:cs="宋体"/>
          <w:color w:val="auto"/>
        </w:rPr>
      </w:pPr>
      <w:r>
        <w:rPr>
          <w:rFonts w:hint="eastAsia" w:hAnsi="宋体" w:cs="宋体"/>
          <w:color w:val="auto"/>
        </w:rPr>
        <w:t>9.2在竞标报价表中，竞标人应详细标明所提供的货物及部件名称、品牌型号、技术参数、配置、生产厂家、数量等。</w:t>
      </w:r>
    </w:p>
    <w:p>
      <w:pPr>
        <w:pStyle w:val="18"/>
        <w:spacing w:line="380" w:lineRule="atLeast"/>
        <w:ind w:firstLine="420"/>
        <w:rPr>
          <w:rFonts w:hAnsi="宋体" w:cs="宋体"/>
          <w:b/>
          <w:color w:val="auto"/>
        </w:rPr>
      </w:pPr>
      <w:r>
        <w:rPr>
          <w:rFonts w:hint="eastAsia" w:hAnsi="宋体" w:cs="宋体"/>
          <w:color w:val="auto"/>
        </w:rPr>
        <w:t>9.3响应文件必须编制目录及页码，目录与页码必须保持一致，否则因此造成的一切后果由竞标人自行承担。</w:t>
      </w:r>
    </w:p>
    <w:p>
      <w:pPr>
        <w:pStyle w:val="18"/>
        <w:spacing w:line="380" w:lineRule="atLeast"/>
        <w:rPr>
          <w:rFonts w:hAnsi="宋体" w:cs="宋体"/>
          <w:b/>
          <w:color w:val="auto"/>
        </w:rPr>
      </w:pPr>
      <w:r>
        <w:rPr>
          <w:rFonts w:hint="eastAsia" w:hAnsi="宋体" w:cs="宋体"/>
          <w:b/>
          <w:color w:val="auto"/>
        </w:rPr>
        <w:t>10.竞标报价</w:t>
      </w:r>
    </w:p>
    <w:p>
      <w:pPr>
        <w:pStyle w:val="18"/>
        <w:spacing w:line="380" w:lineRule="atLeast"/>
        <w:ind w:firstLine="420"/>
        <w:rPr>
          <w:rFonts w:hAnsi="宋体" w:cs="宋体"/>
          <w:color w:val="auto"/>
          <w:u w:val="single"/>
        </w:rPr>
      </w:pPr>
      <w:r>
        <w:rPr>
          <w:rFonts w:hint="eastAsia" w:hAnsi="宋体" w:cs="宋体"/>
          <w:b/>
          <w:color w:val="auto"/>
        </w:rPr>
        <w:t>10.1竞标人必须就《货物需求一览表》及谈判记录中的所有货物内容作完整唯一报价，否则其竞标将被拒绝。如果竞标人所填报的货物内容与采购文件及谈判记录相比较有存在漏项的状况且在评标时被接受，则将被认为该遗漏项目已包含在谈判后的最终竞标价中，成交人在供货时应严格按采购文件及谈判要求的货物内容完整提供，不得要求采购人对其漏报的货物追加支付货款。</w:t>
      </w:r>
    </w:p>
    <w:p>
      <w:pPr>
        <w:pStyle w:val="18"/>
        <w:spacing w:line="380" w:lineRule="atLeast"/>
        <w:ind w:firstLine="420"/>
        <w:rPr>
          <w:rFonts w:hAnsi="宋体" w:cs="宋体"/>
          <w:color w:val="auto"/>
        </w:rPr>
      </w:pPr>
      <w:r>
        <w:rPr>
          <w:rFonts w:hint="eastAsia" w:hAnsi="宋体" w:cs="宋体"/>
          <w:color w:val="auto"/>
        </w:rPr>
        <w:t>10.2竞标人应在竞标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如果因竞标人原因引起的报价失误，并在谈判时被接受，其后果由竞标人自负。</w:t>
      </w:r>
    </w:p>
    <w:p>
      <w:pPr>
        <w:pStyle w:val="18"/>
        <w:spacing w:line="380" w:lineRule="atLeast"/>
        <w:ind w:firstLine="420"/>
        <w:rPr>
          <w:rFonts w:hAnsi="宋体" w:cs="宋体"/>
          <w:color w:val="auto"/>
        </w:rPr>
      </w:pPr>
      <w:r>
        <w:rPr>
          <w:rFonts w:hint="eastAsia" w:hAnsi="宋体" w:cs="宋体"/>
          <w:color w:val="auto"/>
        </w:rPr>
        <w:t>10.3竞标报价包含货物、随配附件、备品备件、工具、运抵指定交货地点、现场安装调试、检测的各种费用和售后服务、税金及其他所有成本费用的总和。</w:t>
      </w:r>
    </w:p>
    <w:p>
      <w:pPr>
        <w:pStyle w:val="18"/>
        <w:spacing w:line="380" w:lineRule="atLeast"/>
        <w:rPr>
          <w:rFonts w:hAnsi="宋体" w:cs="宋体"/>
          <w:b/>
          <w:color w:val="auto"/>
        </w:rPr>
      </w:pPr>
      <w:r>
        <w:rPr>
          <w:rFonts w:hint="eastAsia" w:hAnsi="宋体" w:cs="宋体"/>
          <w:b/>
          <w:color w:val="auto"/>
        </w:rPr>
        <w:t>11.竞标货币</w:t>
      </w:r>
    </w:p>
    <w:p>
      <w:pPr>
        <w:pStyle w:val="18"/>
        <w:spacing w:line="380" w:lineRule="atLeast"/>
        <w:ind w:firstLine="420"/>
        <w:rPr>
          <w:rFonts w:hAnsi="宋体" w:cs="宋体"/>
          <w:color w:val="auto"/>
        </w:rPr>
      </w:pPr>
      <w:r>
        <w:rPr>
          <w:rFonts w:hint="eastAsia" w:hAnsi="宋体" w:cs="宋体"/>
          <w:color w:val="auto"/>
        </w:rPr>
        <w:t>11.1竞标应以人民币报价。</w:t>
      </w:r>
    </w:p>
    <w:p>
      <w:pPr>
        <w:pStyle w:val="18"/>
        <w:spacing w:line="380" w:lineRule="atLeast"/>
        <w:rPr>
          <w:rFonts w:hAnsi="宋体" w:cs="宋体"/>
          <w:b/>
          <w:color w:val="auto"/>
        </w:rPr>
      </w:pPr>
      <w:r>
        <w:rPr>
          <w:rFonts w:hint="eastAsia" w:hAnsi="宋体" w:cs="宋体"/>
          <w:b/>
          <w:color w:val="auto"/>
        </w:rPr>
        <w:t>12.联合体竞标要求</w:t>
      </w:r>
    </w:p>
    <w:p>
      <w:pPr>
        <w:pStyle w:val="18"/>
        <w:spacing w:line="380" w:lineRule="atLeast"/>
        <w:ind w:firstLine="310" w:firstLineChars="147"/>
        <w:rPr>
          <w:rFonts w:hAnsi="宋体" w:cs="宋体"/>
          <w:color w:val="auto"/>
        </w:rPr>
      </w:pPr>
      <w:r>
        <w:rPr>
          <w:rFonts w:hint="eastAsia" w:hAnsi="宋体" w:cs="宋体"/>
          <w:b/>
          <w:color w:val="auto"/>
        </w:rPr>
        <w:t>12.1本项目不接受联合体竞标。</w:t>
      </w:r>
    </w:p>
    <w:p>
      <w:pPr>
        <w:pStyle w:val="18"/>
        <w:spacing w:line="380" w:lineRule="atLeast"/>
        <w:rPr>
          <w:rFonts w:hAnsi="宋体" w:cs="宋体"/>
          <w:b/>
          <w:color w:val="auto"/>
        </w:rPr>
      </w:pPr>
      <w:r>
        <w:rPr>
          <w:rFonts w:hint="eastAsia" w:hAnsi="宋体" w:cs="宋体"/>
          <w:b/>
          <w:color w:val="auto"/>
        </w:rPr>
        <w:t>13.货物合格和符合采购文件规定的证明文件：</w:t>
      </w:r>
    </w:p>
    <w:p>
      <w:pPr>
        <w:pStyle w:val="18"/>
        <w:spacing w:line="380" w:lineRule="atLeast"/>
        <w:ind w:firstLine="420"/>
        <w:rPr>
          <w:rFonts w:hAnsi="宋体" w:cs="宋体"/>
          <w:color w:val="auto"/>
        </w:rPr>
      </w:pPr>
      <w:r>
        <w:rPr>
          <w:rFonts w:hint="eastAsia" w:hAnsi="宋体" w:cs="宋体"/>
          <w:color w:val="auto"/>
        </w:rPr>
        <w:t>13.1按照本须知第7条规定，竞标人还应提交根据本项目要求提供证明货物和手续合格性的文件及资料。以下材料均需加盖单位公章，它们可以是：</w:t>
      </w:r>
    </w:p>
    <w:p>
      <w:pPr>
        <w:pStyle w:val="18"/>
        <w:spacing w:line="380" w:lineRule="atLeast"/>
        <w:ind w:firstLine="420"/>
        <w:rPr>
          <w:rFonts w:hAnsi="宋体" w:cs="宋体"/>
          <w:color w:val="auto"/>
        </w:rPr>
      </w:pPr>
      <w:r>
        <w:rPr>
          <w:rFonts w:hint="eastAsia" w:hAnsi="宋体" w:cs="宋体"/>
          <w:color w:val="auto"/>
        </w:rPr>
        <w:t>⑴生产厂家的有效产品注册证、产品强制标准认证证书、产品质量检验证，以上均为复印件；</w:t>
      </w:r>
    </w:p>
    <w:p>
      <w:pPr>
        <w:pStyle w:val="18"/>
        <w:spacing w:line="380" w:lineRule="atLeast"/>
        <w:ind w:firstLine="420"/>
        <w:rPr>
          <w:rFonts w:hAnsi="宋体" w:cs="宋体"/>
          <w:color w:val="auto"/>
        </w:rPr>
      </w:pPr>
      <w:r>
        <w:rPr>
          <w:rFonts w:hint="eastAsia" w:hAnsi="宋体" w:cs="宋体"/>
          <w:color w:val="auto"/>
        </w:rPr>
        <w:t>⑵产品样本、使用说明书等技术资料及产品近三年获得的质量获奖荣誉证书(复印件)；</w:t>
      </w:r>
    </w:p>
    <w:p>
      <w:pPr>
        <w:pStyle w:val="18"/>
        <w:spacing w:line="380" w:lineRule="atLeast"/>
        <w:ind w:firstLine="420"/>
        <w:rPr>
          <w:rFonts w:hAnsi="宋体" w:cs="宋体"/>
          <w:color w:val="auto"/>
        </w:rPr>
      </w:pPr>
      <w:r>
        <w:rPr>
          <w:rFonts w:hint="eastAsia" w:hAnsi="宋体" w:cs="宋体"/>
          <w:color w:val="auto"/>
        </w:rPr>
        <w:t>⑶设备或产品保证供货有效证明（指由竞标货物生产厂家针对本项目出具的保证按响应文件承诺的时间、数量、价格供应货物的证明）；</w:t>
      </w:r>
    </w:p>
    <w:p>
      <w:pPr>
        <w:pStyle w:val="18"/>
        <w:spacing w:line="380" w:lineRule="atLeast"/>
        <w:ind w:firstLine="420"/>
        <w:rPr>
          <w:rFonts w:hAnsi="宋体" w:cs="宋体"/>
          <w:color w:val="auto"/>
        </w:rPr>
      </w:pPr>
      <w:r>
        <w:rPr>
          <w:rFonts w:hint="eastAsia" w:hAnsi="宋体" w:cs="宋体"/>
          <w:color w:val="auto"/>
        </w:rPr>
        <w:t>⑷产品合法手续有效证明。</w:t>
      </w:r>
    </w:p>
    <w:p>
      <w:pPr>
        <w:pStyle w:val="18"/>
        <w:spacing w:line="380" w:lineRule="atLeast"/>
        <w:rPr>
          <w:rFonts w:hAnsi="宋体" w:cs="宋体"/>
          <w:b/>
          <w:color w:val="auto"/>
        </w:rPr>
      </w:pPr>
      <w:r>
        <w:rPr>
          <w:rFonts w:hint="eastAsia" w:hAnsi="宋体" w:cs="宋体"/>
          <w:b/>
          <w:color w:val="auto"/>
        </w:rPr>
        <w:t>14.竞标的有效期</w:t>
      </w:r>
    </w:p>
    <w:p>
      <w:pPr>
        <w:pStyle w:val="18"/>
        <w:spacing w:line="380" w:lineRule="atLeast"/>
        <w:ind w:firstLine="420"/>
        <w:rPr>
          <w:rFonts w:hAnsi="宋体" w:cs="宋体"/>
          <w:color w:val="auto"/>
        </w:rPr>
      </w:pPr>
      <w:r>
        <w:rPr>
          <w:rFonts w:hint="eastAsia" w:hAnsi="宋体" w:cs="宋体"/>
          <w:color w:val="auto"/>
        </w:rPr>
        <w:t>14.1响应文件有效期详见本须知前附表第4项规定。</w:t>
      </w:r>
    </w:p>
    <w:p>
      <w:pPr>
        <w:pStyle w:val="18"/>
        <w:spacing w:line="380" w:lineRule="atLeast"/>
        <w:ind w:firstLine="420"/>
        <w:rPr>
          <w:rFonts w:hAnsi="宋体" w:cs="宋体"/>
          <w:color w:val="auto"/>
          <w:spacing w:val="2"/>
        </w:rPr>
      </w:pPr>
      <w:r>
        <w:rPr>
          <w:rFonts w:hint="eastAsia" w:hAnsi="宋体" w:cs="宋体"/>
          <w:color w:val="auto"/>
        </w:rPr>
        <w:t>14.2</w:t>
      </w:r>
      <w:r>
        <w:rPr>
          <w:rFonts w:hint="eastAsia" w:hAnsi="宋体" w:cs="宋体"/>
          <w:color w:val="auto"/>
          <w:spacing w:val="2"/>
        </w:rPr>
        <w:t>在原定竞标有效期满之前，如果出现特殊情况，采购人可以书面形式向竞标人提出延长竞标有效期的要求。竞标人须以书面形式予以答复，竞标人可以拒绝这种要求而不被没收竞标保证金。同意延长竞标有效期的竞标人不允许修改其响应文件及谈判应答文件，但需要相应地延长竞标保证金的有效期，</w:t>
      </w:r>
    </w:p>
    <w:p>
      <w:pPr>
        <w:pStyle w:val="18"/>
        <w:spacing w:line="380" w:lineRule="atLeast"/>
        <w:rPr>
          <w:rFonts w:hAnsi="宋体" w:cs="宋体"/>
          <w:color w:val="auto"/>
        </w:rPr>
      </w:pPr>
      <w:r>
        <w:rPr>
          <w:rFonts w:hint="eastAsia" w:hAnsi="宋体" w:cs="宋体"/>
          <w:color w:val="auto"/>
          <w:spacing w:val="2"/>
        </w:rPr>
        <w:t>在延长期内本须知第16条的规定仍然适用。</w:t>
      </w:r>
    </w:p>
    <w:p>
      <w:pPr>
        <w:pStyle w:val="18"/>
        <w:spacing w:line="380" w:lineRule="atLeast"/>
        <w:rPr>
          <w:rFonts w:hAnsi="宋体" w:cs="宋体"/>
          <w:color w:val="auto"/>
        </w:rPr>
      </w:pPr>
      <w:r>
        <w:rPr>
          <w:rFonts w:hint="eastAsia" w:hAnsi="宋体" w:cs="宋体"/>
          <w:b/>
          <w:color w:val="auto"/>
        </w:rPr>
        <w:t>15.响应文件书写及签名、盖章要求</w:t>
      </w:r>
    </w:p>
    <w:p>
      <w:pPr>
        <w:spacing w:line="360" w:lineRule="exact"/>
        <w:ind w:firstLine="422" w:firstLineChars="200"/>
        <w:rPr>
          <w:rFonts w:ascii="宋体" w:hAnsi="宋体" w:cs="宋体"/>
          <w:b/>
          <w:color w:val="auto"/>
          <w:szCs w:val="21"/>
        </w:rPr>
      </w:pPr>
      <w:r>
        <w:rPr>
          <w:rFonts w:hint="eastAsia" w:ascii="宋体" w:hAnsi="宋体" w:cs="宋体"/>
          <w:b/>
          <w:color w:val="auto"/>
          <w:szCs w:val="21"/>
        </w:rPr>
        <w:t>15.1响应文件中所须加盖公章部分均采用CA签章。若采购文件中有专门标注的某关联点，并要求供应商在电子投标系统中作出竞标响应的，如供应商未对关联点进行响应或者在响应文件其它内容进行描述，造成电子评审不能查询的责任由供应商自行承担。</w:t>
      </w:r>
    </w:p>
    <w:p>
      <w:pPr>
        <w:spacing w:line="360" w:lineRule="exact"/>
        <w:ind w:firstLine="422" w:firstLineChars="200"/>
        <w:rPr>
          <w:rFonts w:ascii="宋体" w:hAnsi="宋体" w:cs="宋体"/>
          <w:b/>
          <w:color w:val="auto"/>
          <w:szCs w:val="21"/>
        </w:rPr>
      </w:pPr>
      <w:r>
        <w:rPr>
          <w:rFonts w:hint="eastAsia" w:ascii="宋体" w:hAnsi="宋体" w:cs="宋体"/>
          <w:b/>
          <w:color w:val="auto"/>
          <w:szCs w:val="21"/>
        </w:rPr>
        <w:t>15.2采购文件要求提供的的各种复印件，必须加盖竞标供应商CA签章，否则其竞标无效。</w:t>
      </w:r>
    </w:p>
    <w:p>
      <w:pPr>
        <w:adjustRightInd w:val="0"/>
        <w:snapToGrid w:val="0"/>
        <w:spacing w:line="360" w:lineRule="exact"/>
        <w:ind w:firstLine="422" w:firstLineChars="200"/>
        <w:rPr>
          <w:rFonts w:ascii="宋体" w:hAnsi="宋体" w:cs="宋体"/>
          <w:b/>
          <w:color w:val="auto"/>
          <w:szCs w:val="21"/>
        </w:rPr>
      </w:pPr>
      <w:r>
        <w:rPr>
          <w:rFonts w:hint="eastAsia" w:ascii="宋体" w:hAnsi="宋体" w:cs="宋体"/>
          <w:b/>
          <w:color w:val="auto"/>
          <w:szCs w:val="21"/>
        </w:rPr>
        <w:t>15.3采购文件要求“必须提供”的证明等材料，竞标供应商必须全部提供，缺一不可，否则竞标无效。</w:t>
      </w:r>
    </w:p>
    <w:p>
      <w:pPr>
        <w:pStyle w:val="18"/>
        <w:spacing w:line="380" w:lineRule="atLeast"/>
        <w:ind w:firstLine="420"/>
        <w:rPr>
          <w:rFonts w:hAnsi="宋体" w:cs="宋体"/>
          <w:b/>
          <w:color w:val="auto"/>
          <w:szCs w:val="21"/>
        </w:rPr>
      </w:pPr>
      <w:r>
        <w:rPr>
          <w:rFonts w:hint="eastAsia" w:hAnsi="宋体" w:cs="宋体"/>
          <w:b/>
          <w:color w:val="auto"/>
          <w:szCs w:val="21"/>
        </w:rPr>
        <w:t>15.4采购文件要求法定代表人（负责人）或委托代理人签字的部分必须打印签字后扫描或拍照做成PDF格式上传，如供应商有</w:t>
      </w:r>
      <w:r>
        <w:rPr>
          <w:rStyle w:val="40"/>
          <w:rFonts w:ascii="Arial" w:hAnsi="Arial" w:eastAsia="Arial" w:cs="Arial"/>
          <w:color w:val="auto"/>
          <w:sz w:val="21"/>
          <w:szCs w:val="21"/>
          <w:shd w:val="clear" w:color="auto" w:fill="FFFFFF"/>
        </w:rPr>
        <w:t>广西政府采购云平台</w:t>
      </w:r>
      <w:r>
        <w:rPr>
          <w:rFonts w:hint="eastAsia" w:hAnsi="宋体" w:cs="宋体"/>
          <w:b/>
          <w:color w:val="auto"/>
          <w:szCs w:val="21"/>
        </w:rPr>
        <w:t>法人私章CA证书或签字章的也可直接使用，否则视为竞标无效。</w:t>
      </w:r>
    </w:p>
    <w:p>
      <w:pPr>
        <w:pStyle w:val="18"/>
        <w:spacing w:line="380" w:lineRule="atLeast"/>
        <w:rPr>
          <w:rFonts w:hAnsi="宋体" w:cs="宋体"/>
          <w:b/>
          <w:color w:val="auto"/>
        </w:rPr>
      </w:pPr>
      <w:r>
        <w:rPr>
          <w:rFonts w:hint="eastAsia" w:hAnsi="宋体" w:cs="宋体"/>
          <w:b/>
          <w:color w:val="auto"/>
        </w:rPr>
        <w:t>16.竞标保证金</w:t>
      </w:r>
    </w:p>
    <w:p>
      <w:pPr>
        <w:pStyle w:val="18"/>
        <w:spacing w:line="380" w:lineRule="atLeast"/>
        <w:ind w:firstLine="420"/>
        <w:rPr>
          <w:rFonts w:hAnsi="宋体" w:cs="宋体"/>
          <w:color w:val="auto"/>
        </w:rPr>
      </w:pPr>
      <w:r>
        <w:rPr>
          <w:rFonts w:hint="eastAsia" w:hAnsi="宋体" w:cs="宋体"/>
          <w:color w:val="auto"/>
          <w:spacing w:val="-4"/>
        </w:rPr>
        <w:t>16.1竞标保证金应用人民币</w:t>
      </w:r>
      <w:r>
        <w:rPr>
          <w:rFonts w:hint="eastAsia" w:hAnsi="宋体" w:cs="宋体"/>
          <w:color w:val="auto"/>
        </w:rPr>
        <w:t>。金额按竞标人须知前附表第6项规定。</w:t>
      </w:r>
    </w:p>
    <w:p>
      <w:pPr>
        <w:pStyle w:val="18"/>
        <w:spacing w:line="380" w:lineRule="atLeast"/>
        <w:ind w:firstLine="420"/>
        <w:rPr>
          <w:rFonts w:hAnsi="宋体" w:cs="宋体"/>
          <w:color w:val="auto"/>
        </w:rPr>
      </w:pPr>
      <w:r>
        <w:rPr>
          <w:rFonts w:hint="eastAsia" w:hAnsi="宋体" w:cs="宋体"/>
          <w:color w:val="auto"/>
        </w:rPr>
        <w:t>16.2缴纳方式：按竞标人须知前附表第6项规定。</w:t>
      </w:r>
    </w:p>
    <w:p>
      <w:pPr>
        <w:pStyle w:val="18"/>
        <w:spacing w:line="380" w:lineRule="atLeast"/>
        <w:ind w:firstLine="420"/>
        <w:rPr>
          <w:rFonts w:hAnsi="宋体" w:cs="宋体"/>
          <w:color w:val="auto"/>
        </w:rPr>
      </w:pPr>
      <w:r>
        <w:rPr>
          <w:rFonts w:hint="eastAsia" w:hAnsi="宋体" w:cs="宋体"/>
          <w:bCs/>
          <w:color w:val="auto"/>
        </w:rPr>
        <w:t>16.3</w:t>
      </w:r>
      <w:r>
        <w:rPr>
          <w:rFonts w:hint="eastAsia" w:hAnsi="宋体" w:cs="宋体"/>
          <w:b/>
          <w:color w:val="auto"/>
        </w:rPr>
        <w:t>竞标人递交响应文件的时候须提供竞标保证金缴纳凭证，否则将可能导致其响应文件无效</w:t>
      </w:r>
      <w:r>
        <w:rPr>
          <w:rFonts w:hint="eastAsia" w:hAnsi="宋体" w:cs="宋体"/>
          <w:color w:val="auto"/>
        </w:rPr>
        <w:t>。</w:t>
      </w:r>
    </w:p>
    <w:p>
      <w:pPr>
        <w:pStyle w:val="18"/>
        <w:spacing w:line="380" w:lineRule="atLeast"/>
        <w:ind w:firstLine="420"/>
        <w:rPr>
          <w:rFonts w:hAnsi="宋体" w:cs="宋体"/>
          <w:color w:val="auto"/>
        </w:rPr>
      </w:pPr>
      <w:r>
        <w:rPr>
          <w:rFonts w:hint="eastAsia" w:hAnsi="宋体" w:cs="宋体"/>
          <w:color w:val="auto"/>
        </w:rPr>
        <w:t>16.4对未按本采购文件要求足额缴纳竞标保证金的响应文件，采购代理机构将视其为不响应竞标条件而予以拒绝。</w:t>
      </w:r>
    </w:p>
    <w:p>
      <w:pPr>
        <w:pStyle w:val="18"/>
        <w:spacing w:line="380" w:lineRule="atLeast"/>
        <w:ind w:firstLine="420"/>
        <w:rPr>
          <w:rFonts w:hAnsi="宋体" w:cs="宋体"/>
          <w:color w:val="auto"/>
        </w:rPr>
      </w:pPr>
      <w:r>
        <w:rPr>
          <w:rFonts w:hint="eastAsia" w:hAnsi="宋体" w:cs="宋体"/>
          <w:color w:val="auto"/>
        </w:rPr>
        <w:t>16.5办理竞标保证金手续时，请务必在银行进账单或电汇单的用途或空白栏上注明竞标项目名称及项目编号，否则由此造成的一切后果由竞标人自行承担。</w:t>
      </w:r>
    </w:p>
    <w:p>
      <w:pPr>
        <w:pStyle w:val="18"/>
        <w:spacing w:line="380" w:lineRule="atLeast"/>
        <w:ind w:firstLine="420" w:firstLineChars="200"/>
        <w:rPr>
          <w:rFonts w:hAnsi="宋体" w:cs="宋体"/>
          <w:color w:val="auto"/>
        </w:rPr>
      </w:pPr>
      <w:r>
        <w:rPr>
          <w:rFonts w:hint="eastAsia" w:hAnsi="宋体" w:cs="宋体"/>
          <w:color w:val="auto"/>
        </w:rPr>
        <w:t>16.6未成交竞标人的竞标保证金，将在成交通知书发出后5个工作日内予以退还，不计利息。</w:t>
      </w:r>
    </w:p>
    <w:p>
      <w:pPr>
        <w:pStyle w:val="18"/>
        <w:spacing w:line="380" w:lineRule="atLeast"/>
        <w:ind w:firstLine="420" w:firstLineChars="200"/>
        <w:rPr>
          <w:rFonts w:hAnsi="宋体" w:cs="宋体"/>
          <w:color w:val="auto"/>
        </w:rPr>
      </w:pPr>
      <w:r>
        <w:rPr>
          <w:rFonts w:hint="eastAsia" w:hAnsi="宋体" w:cs="宋体"/>
          <w:color w:val="auto"/>
        </w:rPr>
        <w:t>16.7成交单位的竞标保证金，将在签订政府采购合同并提交到竞标代理机构后5个工作日内予以退还，不计利息。</w:t>
      </w:r>
    </w:p>
    <w:p>
      <w:pPr>
        <w:pStyle w:val="18"/>
        <w:spacing w:line="380" w:lineRule="atLeast"/>
        <w:jc w:val="center"/>
        <w:rPr>
          <w:rFonts w:hAnsi="宋体" w:cs="宋体"/>
          <w:b/>
          <w:color w:val="auto"/>
          <w:sz w:val="24"/>
        </w:rPr>
      </w:pPr>
      <w:r>
        <w:rPr>
          <w:rFonts w:hint="eastAsia" w:hAnsi="宋体" w:cs="宋体"/>
          <w:b/>
          <w:color w:val="auto"/>
          <w:sz w:val="24"/>
        </w:rPr>
        <w:t>四、响应文件的递交</w:t>
      </w:r>
    </w:p>
    <w:p>
      <w:pPr>
        <w:pStyle w:val="18"/>
        <w:spacing w:line="380" w:lineRule="atLeast"/>
        <w:jc w:val="center"/>
        <w:rPr>
          <w:rFonts w:hAnsi="宋体" w:cs="宋体"/>
          <w:b/>
          <w:color w:val="auto"/>
        </w:rPr>
      </w:pPr>
    </w:p>
    <w:p>
      <w:pPr>
        <w:pStyle w:val="18"/>
        <w:spacing w:line="380" w:lineRule="atLeast"/>
        <w:rPr>
          <w:rFonts w:hAnsi="宋体" w:cs="宋体"/>
          <w:b/>
          <w:color w:val="auto"/>
        </w:rPr>
      </w:pPr>
      <w:r>
        <w:rPr>
          <w:rFonts w:hint="eastAsia" w:hAnsi="宋体" w:cs="宋体"/>
          <w:b/>
          <w:color w:val="auto"/>
        </w:rPr>
        <w:t>17. 响应文件的密封与标记</w:t>
      </w:r>
    </w:p>
    <w:p>
      <w:pPr>
        <w:pStyle w:val="18"/>
        <w:spacing w:line="380" w:lineRule="atLeast"/>
        <w:ind w:firstLine="420" w:firstLineChars="200"/>
        <w:rPr>
          <w:rFonts w:hAnsi="宋体" w:cs="宋体"/>
          <w:b/>
          <w:color w:val="auto"/>
        </w:rPr>
      </w:pPr>
      <w:r>
        <w:rPr>
          <w:rFonts w:hint="eastAsia" w:hAnsi="宋体" w:cs="宋体"/>
          <w:color w:val="auto"/>
        </w:rPr>
        <w:t>17.1电子响应文件按竞标人须知前附表第7项规定由竞标人自行编制、加密并通过</w:t>
      </w:r>
      <w:r>
        <w:rPr>
          <w:rStyle w:val="40"/>
          <w:rFonts w:ascii="Arial" w:hAnsi="Arial" w:eastAsia="Arial" w:cs="Arial"/>
          <w:color w:val="auto"/>
          <w:sz w:val="21"/>
          <w:szCs w:val="21"/>
          <w:shd w:val="clear" w:color="auto" w:fill="FFFFFF"/>
        </w:rPr>
        <w:t>广西政府采购云平台</w:t>
      </w:r>
      <w:r>
        <w:rPr>
          <w:rFonts w:hint="eastAsia" w:hAnsi="宋体" w:cs="宋体"/>
          <w:color w:val="auto"/>
        </w:rPr>
        <w:t>上传提交。</w:t>
      </w:r>
    </w:p>
    <w:p>
      <w:pPr>
        <w:pStyle w:val="18"/>
        <w:spacing w:line="380" w:lineRule="atLeast"/>
        <w:ind w:firstLine="420" w:firstLineChars="200"/>
        <w:rPr>
          <w:rFonts w:hAnsi="宋体" w:cs="宋体"/>
          <w:color w:val="auto"/>
        </w:rPr>
      </w:pPr>
      <w:r>
        <w:rPr>
          <w:rFonts w:hint="eastAsia" w:hAnsi="宋体" w:cs="宋体"/>
          <w:color w:val="auto"/>
        </w:rPr>
        <w:t>17.2竞标人应将电子备份响应文件（以U盘或光盘存储）加以密封提交，电子备份响应文件袋上都应写明：</w:t>
      </w:r>
    </w:p>
    <w:p>
      <w:pPr>
        <w:pStyle w:val="18"/>
        <w:spacing w:line="380" w:lineRule="atLeast"/>
        <w:ind w:firstLine="420" w:firstLineChars="200"/>
        <w:rPr>
          <w:rFonts w:hAnsi="宋体" w:cs="宋体"/>
          <w:color w:val="auto"/>
          <w:u w:val="single"/>
        </w:rPr>
      </w:pPr>
      <w:r>
        <w:rPr>
          <w:rFonts w:hint="eastAsia" w:hAnsi="宋体" w:cs="宋体"/>
          <w:color w:val="auto"/>
        </w:rPr>
        <w:t>(1)代理单位：</w:t>
      </w:r>
      <w:r>
        <w:rPr>
          <w:rFonts w:hint="eastAsia" w:hAnsi="宋体" w:cs="宋体"/>
          <w:i/>
          <w:iCs/>
          <w:color w:val="auto"/>
        </w:rPr>
        <w:t xml:space="preserve">                  </w:t>
      </w:r>
      <w:r>
        <w:rPr>
          <w:rFonts w:hint="eastAsia" w:hAnsi="宋体" w:cs="宋体"/>
          <w:color w:val="auto"/>
          <w:u w:val="single"/>
        </w:rPr>
        <w:t xml:space="preserve">    </w:t>
      </w:r>
    </w:p>
    <w:p>
      <w:pPr>
        <w:pStyle w:val="18"/>
        <w:spacing w:line="380" w:lineRule="atLeast"/>
        <w:ind w:firstLine="420" w:firstLineChars="200"/>
        <w:rPr>
          <w:rFonts w:hAnsi="宋体" w:cs="宋体"/>
          <w:color w:val="auto"/>
          <w:u w:val="single"/>
        </w:rPr>
      </w:pPr>
      <w:r>
        <w:rPr>
          <w:rFonts w:hint="eastAsia" w:hAnsi="宋体" w:cs="宋体"/>
          <w:color w:val="auto"/>
        </w:rPr>
        <w:t>(2)项目名称：</w:t>
      </w:r>
      <w:r>
        <w:rPr>
          <w:rFonts w:hint="eastAsia" w:hAnsi="宋体" w:cs="宋体"/>
          <w:color w:val="auto"/>
          <w:u w:val="single"/>
        </w:rPr>
        <w:t xml:space="preserve">  </w:t>
      </w:r>
    </w:p>
    <w:p>
      <w:pPr>
        <w:pStyle w:val="18"/>
        <w:spacing w:line="380" w:lineRule="atLeast"/>
        <w:ind w:firstLine="420" w:firstLineChars="200"/>
        <w:rPr>
          <w:rFonts w:hAnsi="宋体" w:cs="宋体"/>
          <w:color w:val="auto"/>
        </w:rPr>
      </w:pPr>
      <w:r>
        <w:rPr>
          <w:rFonts w:hint="eastAsia" w:hAnsi="宋体" w:cs="宋体"/>
          <w:color w:val="auto"/>
        </w:rPr>
        <w:t xml:space="preserve">(3)项目编号：   </w:t>
      </w:r>
      <w:r>
        <w:rPr>
          <w:rFonts w:hint="eastAsia" w:hAnsi="宋体" w:cs="宋体"/>
          <w:color w:val="auto"/>
          <w:u w:val="single"/>
        </w:rPr>
        <w:t xml:space="preserve">              </w:t>
      </w:r>
      <w:r>
        <w:rPr>
          <w:rFonts w:hint="eastAsia" w:hAnsi="宋体" w:cs="宋体"/>
          <w:color w:val="auto"/>
        </w:rPr>
        <w:t xml:space="preserve">   </w:t>
      </w:r>
    </w:p>
    <w:p>
      <w:pPr>
        <w:pStyle w:val="18"/>
        <w:spacing w:line="380" w:lineRule="atLeast"/>
        <w:ind w:firstLine="420" w:firstLineChars="200"/>
        <w:rPr>
          <w:rFonts w:hAnsi="宋体" w:cs="宋体"/>
          <w:color w:val="auto"/>
          <w:u w:val="single"/>
        </w:rPr>
      </w:pPr>
      <w:r>
        <w:rPr>
          <w:rFonts w:hint="eastAsia" w:hAnsi="宋体" w:cs="宋体"/>
          <w:color w:val="auto"/>
        </w:rPr>
        <w:t>(4)竞标人名称（加盖公章）：</w:t>
      </w:r>
      <w:r>
        <w:rPr>
          <w:rFonts w:hint="eastAsia" w:hAnsi="宋体" w:cs="宋体"/>
          <w:color w:val="auto"/>
          <w:u w:val="single"/>
        </w:rPr>
        <w:t xml:space="preserve">                     </w:t>
      </w:r>
      <w:r>
        <w:rPr>
          <w:rFonts w:hint="eastAsia" w:hAnsi="宋体" w:cs="宋体"/>
          <w:color w:val="auto"/>
        </w:rPr>
        <w:t xml:space="preserve">   </w:t>
      </w:r>
    </w:p>
    <w:p>
      <w:pPr>
        <w:pStyle w:val="18"/>
        <w:spacing w:line="380" w:lineRule="atLeast"/>
        <w:ind w:firstLine="420" w:firstLineChars="200"/>
        <w:rPr>
          <w:rFonts w:hAnsi="宋体" w:cs="宋体"/>
          <w:color w:val="auto"/>
          <w:u w:val="single"/>
        </w:rPr>
      </w:pPr>
      <w:r>
        <w:rPr>
          <w:rFonts w:hint="eastAsia" w:hAnsi="宋体" w:cs="宋体"/>
          <w:color w:val="auto"/>
        </w:rPr>
        <w:t>(5)竞标人地址：</w:t>
      </w:r>
      <w:r>
        <w:rPr>
          <w:rFonts w:hint="eastAsia" w:hAnsi="宋体" w:cs="宋体"/>
          <w:color w:val="auto"/>
          <w:u w:val="single"/>
        </w:rPr>
        <w:t xml:space="preserve">                     </w:t>
      </w:r>
      <w:r>
        <w:rPr>
          <w:rFonts w:hint="eastAsia" w:hAnsi="宋体" w:cs="宋体"/>
          <w:color w:val="auto"/>
        </w:rPr>
        <w:t xml:space="preserve">                  </w:t>
      </w:r>
    </w:p>
    <w:p>
      <w:pPr>
        <w:pStyle w:val="18"/>
        <w:spacing w:line="380" w:lineRule="atLeast"/>
        <w:ind w:firstLine="420" w:firstLineChars="200"/>
        <w:rPr>
          <w:rFonts w:hAnsi="宋体" w:cs="宋体"/>
          <w:color w:val="auto"/>
        </w:rPr>
      </w:pPr>
      <w:r>
        <w:rPr>
          <w:rFonts w:hint="eastAsia" w:hAnsi="宋体" w:cs="宋体"/>
          <w:color w:val="auto"/>
        </w:rPr>
        <w:t>(6)注明“截标前不得启封”</w:t>
      </w:r>
    </w:p>
    <w:p>
      <w:pPr>
        <w:pStyle w:val="18"/>
        <w:spacing w:line="380" w:lineRule="atLeast"/>
        <w:ind w:firstLine="420"/>
        <w:rPr>
          <w:rFonts w:hAnsi="宋体" w:cs="宋体"/>
          <w:color w:val="auto"/>
        </w:rPr>
      </w:pPr>
      <w:r>
        <w:rPr>
          <w:rFonts w:hint="eastAsia" w:hAnsi="宋体" w:cs="宋体"/>
          <w:color w:val="auto"/>
        </w:rPr>
        <w:t>17.3电子备份响应文件</w:t>
      </w:r>
      <w:r>
        <w:rPr>
          <w:rFonts w:hint="eastAsia" w:hAnsi="宋体" w:cs="宋体"/>
          <w:bCs/>
          <w:color w:val="auto"/>
        </w:rPr>
        <w:t>的密封以响应文件袋无明显缝隙暴露袋内文件且封口处有密封签章为合格。</w:t>
      </w:r>
    </w:p>
    <w:p>
      <w:pPr>
        <w:pStyle w:val="18"/>
        <w:spacing w:line="380" w:lineRule="atLeast"/>
        <w:ind w:firstLine="420"/>
        <w:rPr>
          <w:rFonts w:hAnsi="宋体" w:cs="宋体"/>
          <w:color w:val="auto"/>
        </w:rPr>
      </w:pPr>
      <w:r>
        <w:rPr>
          <w:rFonts w:hint="eastAsia" w:hAnsi="宋体" w:cs="宋体"/>
          <w:b/>
          <w:bCs/>
          <w:color w:val="auto"/>
        </w:rPr>
        <w:t>17.4竞标人在递交响应文件时未按本须知要求密封、标记的，采购代理机构有权拒收，拒收所产生的后果由竞标人自负。</w:t>
      </w:r>
    </w:p>
    <w:p>
      <w:pPr>
        <w:pStyle w:val="18"/>
        <w:spacing w:line="380" w:lineRule="atLeast"/>
        <w:rPr>
          <w:rFonts w:hAnsi="宋体" w:cs="宋体"/>
          <w:b/>
          <w:bCs/>
          <w:color w:val="auto"/>
        </w:rPr>
      </w:pPr>
      <w:r>
        <w:rPr>
          <w:rFonts w:hint="eastAsia" w:hAnsi="宋体" w:cs="宋体"/>
          <w:b/>
          <w:bCs/>
          <w:color w:val="auto"/>
        </w:rPr>
        <w:t>18.竞标截止时间</w:t>
      </w:r>
    </w:p>
    <w:p>
      <w:pPr>
        <w:pStyle w:val="18"/>
        <w:tabs>
          <w:tab w:val="left" w:pos="1957"/>
        </w:tabs>
        <w:spacing w:line="380" w:lineRule="atLeast"/>
        <w:ind w:firstLine="420"/>
        <w:rPr>
          <w:rFonts w:hAnsi="宋体" w:cs="宋体"/>
          <w:color w:val="auto"/>
          <w:spacing w:val="-4"/>
        </w:rPr>
      </w:pPr>
      <w:r>
        <w:rPr>
          <w:rFonts w:hint="eastAsia" w:hAnsi="宋体" w:cs="宋体"/>
          <w:color w:val="auto"/>
        </w:rPr>
        <w:t>18.1</w:t>
      </w:r>
      <w:r>
        <w:rPr>
          <w:rFonts w:hint="eastAsia" w:hAnsi="宋体" w:cs="宋体"/>
          <w:color w:val="auto"/>
          <w:spacing w:val="-4"/>
        </w:rPr>
        <w:t>响应文件的递交不得迟于本须知前附表第7项规定的截止时间。</w:t>
      </w:r>
    </w:p>
    <w:p>
      <w:pPr>
        <w:pStyle w:val="18"/>
        <w:spacing w:line="380" w:lineRule="atLeast"/>
        <w:ind w:firstLine="420"/>
        <w:rPr>
          <w:rFonts w:hAnsi="宋体" w:cs="宋体"/>
          <w:color w:val="auto"/>
        </w:rPr>
      </w:pPr>
      <w:r>
        <w:rPr>
          <w:rFonts w:hint="eastAsia" w:hAnsi="宋体" w:cs="宋体"/>
          <w:color w:val="auto"/>
        </w:rPr>
        <w:t>18.2竞标人必须在规定时间内将电子备份响应文件送到本须知前附表第7项规定地点，超过竞标截止时间送达的电子备份响应文件将不予受理。</w:t>
      </w:r>
    </w:p>
    <w:p>
      <w:pPr>
        <w:pStyle w:val="18"/>
        <w:spacing w:line="380" w:lineRule="atLeast"/>
        <w:ind w:firstLine="420"/>
        <w:rPr>
          <w:rFonts w:hAnsi="宋体" w:cs="宋体"/>
          <w:color w:val="auto"/>
        </w:rPr>
      </w:pPr>
    </w:p>
    <w:p>
      <w:pPr>
        <w:pStyle w:val="18"/>
        <w:spacing w:line="380" w:lineRule="atLeast"/>
        <w:jc w:val="center"/>
        <w:rPr>
          <w:rFonts w:hAnsi="宋体" w:cs="宋体"/>
          <w:b/>
          <w:color w:val="auto"/>
        </w:rPr>
      </w:pPr>
      <w:r>
        <w:rPr>
          <w:rFonts w:hint="eastAsia" w:hAnsi="宋体" w:cs="宋体"/>
          <w:b/>
          <w:color w:val="auto"/>
          <w:sz w:val="24"/>
        </w:rPr>
        <w:t>五、竞争性谈判（简称谈判）与评标</w:t>
      </w:r>
    </w:p>
    <w:p>
      <w:pPr>
        <w:pStyle w:val="18"/>
        <w:spacing w:line="380" w:lineRule="atLeast"/>
        <w:rPr>
          <w:rFonts w:hAnsi="宋体" w:cs="宋体"/>
          <w:color w:val="auto"/>
        </w:rPr>
      </w:pPr>
      <w:r>
        <w:rPr>
          <w:rFonts w:hint="eastAsia" w:hAnsi="宋体" w:cs="宋体"/>
          <w:b/>
          <w:color w:val="auto"/>
        </w:rPr>
        <w:t>19.谈判</w:t>
      </w:r>
    </w:p>
    <w:p>
      <w:pPr>
        <w:pStyle w:val="18"/>
        <w:spacing w:line="380" w:lineRule="atLeast"/>
        <w:ind w:firstLine="420"/>
        <w:rPr>
          <w:rFonts w:hAnsi="宋体" w:cs="宋体"/>
          <w:color w:val="auto"/>
        </w:rPr>
      </w:pPr>
      <w:r>
        <w:rPr>
          <w:rFonts w:hint="eastAsia" w:hAnsi="宋体" w:cs="宋体"/>
          <w:color w:val="auto"/>
        </w:rPr>
        <w:t>19.1谈判时间及地点：按本须知前附表第8项规定。</w:t>
      </w:r>
    </w:p>
    <w:p>
      <w:pPr>
        <w:pStyle w:val="18"/>
        <w:spacing w:line="380" w:lineRule="atLeast"/>
        <w:ind w:firstLine="420"/>
        <w:rPr>
          <w:rFonts w:hAnsi="宋体" w:cs="宋体"/>
          <w:color w:val="auto"/>
        </w:rPr>
      </w:pPr>
      <w:r>
        <w:rPr>
          <w:rFonts w:hint="eastAsia" w:hAnsi="宋体" w:cs="宋体"/>
          <w:color w:val="auto"/>
        </w:rPr>
        <w:t>19.2采购代理机构根据竞标项目的特点组建由三人以上（含三人）的单数组成的谈判小组，小组成员由采购人代表和有关专家组成，其中专家人数不少于成员总数的三分之二。在整个谈判过程中，谈判小组将负责对全部响应文件进行审查、谈判及评标工作。</w:t>
      </w:r>
    </w:p>
    <w:p>
      <w:pPr>
        <w:pStyle w:val="18"/>
        <w:spacing w:line="380" w:lineRule="atLeast"/>
        <w:ind w:firstLine="420"/>
        <w:rPr>
          <w:rFonts w:hAnsi="宋体" w:cs="宋体"/>
          <w:color w:val="auto"/>
        </w:rPr>
      </w:pPr>
      <w:r>
        <w:rPr>
          <w:rFonts w:hint="eastAsia" w:hAnsi="宋体" w:cs="宋体"/>
          <w:color w:val="auto"/>
        </w:rPr>
        <w:t xml:space="preserve">19.3 在谈判开始前，谈判小组定好下列事项：谈判的具体程序，如谈判轮次及每个轮次的谈判重点；拟谈判的内容，包括技术规格、价格、服务等，明确谈判小组应当考虑的具体因素及相关要求等。 </w:t>
      </w:r>
    </w:p>
    <w:p>
      <w:pPr>
        <w:pStyle w:val="18"/>
        <w:spacing w:line="380" w:lineRule="atLeast"/>
        <w:ind w:firstLine="420"/>
        <w:rPr>
          <w:rFonts w:hAnsi="宋体" w:cs="宋体"/>
          <w:color w:val="auto"/>
        </w:rPr>
      </w:pPr>
      <w:r>
        <w:rPr>
          <w:rFonts w:hint="eastAsia" w:hAnsi="宋体" w:cs="宋体"/>
          <w:color w:val="auto"/>
        </w:rPr>
        <w:t xml:space="preserve">    19.4谈判原则如下：</w:t>
      </w:r>
    </w:p>
    <w:p>
      <w:pPr>
        <w:pStyle w:val="18"/>
        <w:spacing w:line="380" w:lineRule="atLeast"/>
        <w:ind w:firstLine="420"/>
        <w:rPr>
          <w:rFonts w:hAnsi="宋体" w:cs="宋体"/>
          <w:color w:val="auto"/>
        </w:rPr>
      </w:pPr>
      <w:r>
        <w:rPr>
          <w:rFonts w:hint="eastAsia" w:hAnsi="宋体" w:cs="宋体"/>
          <w:color w:val="auto"/>
        </w:rPr>
        <w:t>⑴竞标人的法定代表人或其授权的代理人必须依时在线等候参加谈判。</w:t>
      </w:r>
    </w:p>
    <w:p>
      <w:pPr>
        <w:pStyle w:val="18"/>
        <w:spacing w:line="380" w:lineRule="atLeast"/>
        <w:ind w:firstLine="420"/>
        <w:rPr>
          <w:rFonts w:hAnsi="宋体" w:cs="宋体"/>
          <w:color w:val="auto"/>
        </w:rPr>
      </w:pPr>
      <w:r>
        <w:rPr>
          <w:rFonts w:hint="eastAsia" w:hAnsi="宋体" w:cs="宋体"/>
          <w:color w:val="auto"/>
        </w:rPr>
        <w:t>⑵谈判小组成员作为一个集体与各竞标人分别进行谈判，谈判的内容包括技术性条件、商务性条件以及谈判小组认为需要谈判的内容。当采购文件有实质性变动的，谈判小组以书面形式通知所有参加谈判的竞标人。其中涉及价格的内容不得要求竞标人在谈判时作口头报价，而应以书面密封形式报价。根据政府采购法第三十条第（二）款，项目谈判时可能涉及到本采购文件中未确定的规格或技术要求，由此将可能造成某些竞标人因竞标产品无法满足采购需求而失去成交机会，此时竞标人应自行承担此风险且不得向采购人或代理机构索取参与竞标的任何费用。</w:t>
      </w:r>
    </w:p>
    <w:p>
      <w:pPr>
        <w:pStyle w:val="18"/>
        <w:spacing w:line="380" w:lineRule="atLeast"/>
        <w:ind w:firstLine="420"/>
        <w:rPr>
          <w:rFonts w:hAnsi="宋体" w:cs="宋体"/>
          <w:color w:val="auto"/>
        </w:rPr>
      </w:pPr>
      <w:r>
        <w:rPr>
          <w:rFonts w:hint="eastAsia" w:hAnsi="宋体" w:cs="宋体"/>
          <w:color w:val="auto"/>
        </w:rPr>
        <w:t>⑶谈判内容应作记录，并由竞标人及谈判小组成员签字确认（可用CA签章）。</w:t>
      </w:r>
    </w:p>
    <w:p>
      <w:pPr>
        <w:pStyle w:val="18"/>
        <w:spacing w:line="380" w:lineRule="atLeast"/>
        <w:ind w:firstLine="420"/>
        <w:rPr>
          <w:rFonts w:hAnsi="宋体" w:cs="宋体"/>
          <w:color w:val="auto"/>
        </w:rPr>
      </w:pPr>
      <w:r>
        <w:rPr>
          <w:rFonts w:hint="eastAsia" w:hAnsi="宋体" w:cs="宋体"/>
          <w:color w:val="auto"/>
        </w:rPr>
        <w:t>⑷谈判结束后，谈判小组应要求竞标人在规定的时间递交谈判时要求其就商务和技术条件作出的包含补充、修改、承诺、重新报价等内容的应答文件，应答文件必须由竞标人进行CA签章，应答文件构成响应文件的一部分。竞标人在应答文件中应按竞标报价表的格式列明各分项价格及汇总价格，同时应写明详细配置及参数（如有要求），否则将被认为其配置及参数则保持原报价时内容不变。</w:t>
      </w:r>
    </w:p>
    <w:p>
      <w:pPr>
        <w:pStyle w:val="18"/>
        <w:spacing w:line="380" w:lineRule="atLeast"/>
        <w:ind w:firstLine="420"/>
        <w:rPr>
          <w:rFonts w:hAnsi="宋体" w:cs="宋体"/>
          <w:color w:val="auto"/>
        </w:rPr>
      </w:pPr>
      <w:r>
        <w:rPr>
          <w:rFonts w:hint="eastAsia" w:hAnsi="宋体" w:cs="宋体"/>
          <w:color w:val="auto"/>
        </w:rPr>
        <w:t>⑸谈判小组对各竞标人递交的应答文件统一开启，并进行评审后，认为有必要再次进行谈判的，可再次与竞标人进行谈判（最多三轮）。对最后一轮谈判，谈判小组应明确告知竞标人，并要求所有竞标人在规定的时间递交最终的应答文件。提交最后报价的供应商不得少于三家。</w:t>
      </w:r>
    </w:p>
    <w:p>
      <w:pPr>
        <w:pStyle w:val="18"/>
        <w:spacing w:line="380" w:lineRule="atLeast"/>
        <w:ind w:firstLine="420"/>
        <w:rPr>
          <w:rFonts w:hAnsi="宋体" w:cs="宋体"/>
          <w:color w:val="auto"/>
        </w:rPr>
      </w:pPr>
      <w:r>
        <w:rPr>
          <w:rFonts w:hint="eastAsia" w:hAnsi="宋体" w:cs="宋体"/>
          <w:color w:val="auto"/>
        </w:rPr>
        <w:t>19.5最终谈判结束后，谈判小组不得再与竞标人进行任何形式的商谈。</w:t>
      </w:r>
    </w:p>
    <w:p>
      <w:pPr>
        <w:pStyle w:val="18"/>
        <w:spacing w:line="380" w:lineRule="atLeast"/>
        <w:ind w:firstLine="420"/>
        <w:rPr>
          <w:rFonts w:hAnsi="宋体" w:cs="宋体"/>
          <w:color w:val="auto"/>
        </w:rPr>
      </w:pPr>
      <w:r>
        <w:rPr>
          <w:rFonts w:hint="eastAsia" w:hAnsi="宋体" w:cs="宋体"/>
          <w:color w:val="auto"/>
        </w:rPr>
        <w:t>19.6谈判的任何一方不得透露与谈判有关的其他竞标人的技术资料、价格和其他信息。</w:t>
      </w:r>
    </w:p>
    <w:p>
      <w:pPr>
        <w:pStyle w:val="18"/>
        <w:spacing w:line="380" w:lineRule="atLeast"/>
        <w:rPr>
          <w:rFonts w:hAnsi="宋体" w:cs="宋体"/>
          <w:b/>
          <w:color w:val="auto"/>
        </w:rPr>
      </w:pPr>
      <w:r>
        <w:rPr>
          <w:rFonts w:hint="eastAsia" w:hAnsi="宋体" w:cs="宋体"/>
          <w:b/>
          <w:color w:val="auto"/>
        </w:rPr>
        <w:t xml:space="preserve">20.评标 </w:t>
      </w:r>
    </w:p>
    <w:p>
      <w:pPr>
        <w:pStyle w:val="18"/>
        <w:spacing w:line="380" w:lineRule="atLeast"/>
        <w:ind w:firstLine="420"/>
        <w:rPr>
          <w:rFonts w:hAnsi="宋体" w:cs="宋体"/>
          <w:color w:val="auto"/>
        </w:rPr>
      </w:pPr>
      <w:r>
        <w:rPr>
          <w:rFonts w:hint="eastAsia" w:hAnsi="宋体" w:cs="宋体"/>
          <w:color w:val="auto"/>
        </w:rPr>
        <w:t>20.1本采购项目是以采购预算价为最高限价，超出采购预算价的最终竞标报价，采购人不能支付时，谈判小组将不予以评审。</w:t>
      </w:r>
    </w:p>
    <w:p>
      <w:pPr>
        <w:pStyle w:val="18"/>
        <w:spacing w:line="380" w:lineRule="atLeast"/>
        <w:ind w:firstLine="420"/>
        <w:rPr>
          <w:rFonts w:hAnsi="宋体" w:cs="宋体"/>
          <w:color w:val="auto"/>
        </w:rPr>
      </w:pPr>
      <w:r>
        <w:rPr>
          <w:rFonts w:hint="eastAsia" w:hAnsi="宋体" w:cs="宋体"/>
          <w:color w:val="auto"/>
        </w:rPr>
        <w:t>20.2本采购项目的评标依据为采购文件和响应文件。</w:t>
      </w:r>
    </w:p>
    <w:p>
      <w:pPr>
        <w:pStyle w:val="18"/>
        <w:spacing w:line="380" w:lineRule="atLeast"/>
        <w:ind w:firstLine="420"/>
        <w:rPr>
          <w:rFonts w:hAnsi="宋体" w:cs="宋体"/>
          <w:color w:val="auto"/>
        </w:rPr>
      </w:pPr>
      <w:r>
        <w:rPr>
          <w:rFonts w:hint="eastAsia" w:hAnsi="宋体" w:cs="宋体"/>
          <w:color w:val="auto"/>
        </w:rPr>
        <w:t>20.3本项目采用的评标方法为低价评分法，“谈判小组”成员、有关工作人员及其他知情人不得透露对响应文件的评审、比较和成交候选供应商的推荐情况以及与评标有关的其他情况。</w:t>
      </w:r>
    </w:p>
    <w:p>
      <w:pPr>
        <w:pStyle w:val="18"/>
        <w:spacing w:line="380" w:lineRule="atLeast"/>
        <w:ind w:firstLine="420"/>
        <w:rPr>
          <w:rFonts w:hAnsi="宋体" w:cs="宋体"/>
          <w:color w:val="auto"/>
        </w:rPr>
      </w:pPr>
      <w:r>
        <w:rPr>
          <w:rFonts w:hint="eastAsia" w:hAnsi="宋体" w:cs="宋体"/>
          <w:color w:val="auto"/>
        </w:rPr>
        <w:t>20.4竞标人在评标过程中，所进行的力图影响评标结果公正性的活动，将可能导致其成交资格被取消。</w:t>
      </w:r>
    </w:p>
    <w:p>
      <w:pPr>
        <w:pStyle w:val="18"/>
        <w:spacing w:line="380" w:lineRule="atLeast"/>
        <w:jc w:val="left"/>
        <w:rPr>
          <w:rFonts w:hAnsi="宋体" w:cs="宋体"/>
          <w:color w:val="auto"/>
        </w:rPr>
      </w:pPr>
      <w:r>
        <w:rPr>
          <w:rFonts w:hint="eastAsia" w:hAnsi="宋体" w:cs="宋体"/>
          <w:b/>
          <w:color w:val="auto"/>
        </w:rPr>
        <w:t>21.无效的响应文件</w:t>
      </w:r>
    </w:p>
    <w:p>
      <w:pPr>
        <w:widowControl/>
        <w:spacing w:line="380" w:lineRule="atLeast"/>
        <w:ind w:firstLine="409" w:firstLineChars="194"/>
        <w:jc w:val="left"/>
        <w:rPr>
          <w:rFonts w:ascii="宋体" w:hAnsi="宋体" w:cs="宋体"/>
          <w:b/>
          <w:bCs/>
          <w:color w:val="auto"/>
        </w:rPr>
      </w:pPr>
      <w:r>
        <w:rPr>
          <w:rFonts w:hint="eastAsia" w:ascii="宋体" w:hAnsi="宋体" w:cs="宋体"/>
          <w:b/>
          <w:bCs/>
          <w:color w:val="auto"/>
        </w:rPr>
        <w:t>21.1响应文件</w:t>
      </w:r>
      <w:r>
        <w:rPr>
          <w:rFonts w:hint="eastAsia" w:ascii="宋体" w:hAnsi="宋体" w:cs="宋体"/>
          <w:b/>
          <w:color w:val="auto"/>
          <w:szCs w:val="20"/>
        </w:rPr>
        <w:t>或最终竞标报价如有下列情况之一</w:t>
      </w:r>
      <w:r>
        <w:rPr>
          <w:rFonts w:hint="eastAsia" w:ascii="宋体" w:hAnsi="宋体" w:cs="宋体"/>
          <w:b/>
          <w:bCs/>
          <w:color w:val="auto"/>
        </w:rPr>
        <w:t>，将会在评标中按照无效响应文件处理：</w:t>
      </w:r>
    </w:p>
    <w:p>
      <w:pPr>
        <w:pStyle w:val="18"/>
        <w:spacing w:line="440" w:lineRule="exact"/>
        <w:ind w:firstLine="207" w:firstLineChars="98"/>
        <w:rPr>
          <w:rFonts w:hAnsi="宋体" w:cs="宋体"/>
          <w:b/>
          <w:color w:val="auto"/>
        </w:rPr>
      </w:pPr>
      <w:r>
        <w:rPr>
          <w:rFonts w:hint="eastAsia" w:hAnsi="宋体" w:cs="宋体"/>
          <w:b/>
          <w:color w:val="auto"/>
        </w:rPr>
        <w:t>（1）竞标人所提供材料不足以证明其具备本项目要求的资格；</w:t>
      </w:r>
    </w:p>
    <w:p>
      <w:pPr>
        <w:pStyle w:val="18"/>
        <w:spacing w:line="440" w:lineRule="exact"/>
        <w:ind w:firstLine="207" w:firstLineChars="98"/>
        <w:rPr>
          <w:rFonts w:hAnsi="宋体" w:cs="宋体"/>
          <w:b/>
          <w:color w:val="auto"/>
        </w:rPr>
      </w:pPr>
      <w:r>
        <w:rPr>
          <w:rFonts w:hint="eastAsia" w:hAnsi="宋体" w:cs="宋体"/>
          <w:b/>
          <w:color w:val="auto"/>
        </w:rPr>
        <w:t>（2）竞标人未按规定通过</w:t>
      </w:r>
      <w:r>
        <w:rPr>
          <w:rStyle w:val="40"/>
          <w:rFonts w:ascii="Arial" w:hAnsi="Arial" w:eastAsia="Arial" w:cs="Arial"/>
          <w:color w:val="auto"/>
          <w:sz w:val="21"/>
          <w:szCs w:val="21"/>
          <w:shd w:val="clear" w:color="auto" w:fill="FFFFFF"/>
        </w:rPr>
        <w:t>广西政府采购云平台</w:t>
      </w:r>
      <w:r>
        <w:rPr>
          <w:rFonts w:hint="eastAsia" w:hAnsi="宋体" w:cs="宋体"/>
          <w:b/>
          <w:color w:val="auto"/>
        </w:rPr>
        <w:t>获取本项目采购文件；</w:t>
      </w:r>
    </w:p>
    <w:p>
      <w:pPr>
        <w:pStyle w:val="18"/>
        <w:spacing w:line="440" w:lineRule="exact"/>
        <w:ind w:firstLine="207" w:firstLineChars="98"/>
        <w:rPr>
          <w:rFonts w:hAnsi="宋体" w:cs="宋体"/>
          <w:b/>
          <w:color w:val="auto"/>
        </w:rPr>
      </w:pPr>
      <w:r>
        <w:rPr>
          <w:rFonts w:hint="eastAsia" w:hAnsi="宋体" w:cs="宋体"/>
          <w:b/>
          <w:color w:val="auto"/>
        </w:rPr>
        <w:t>（3）未按本项目采购文件要求交纳竞标保证金的；</w:t>
      </w:r>
    </w:p>
    <w:p>
      <w:pPr>
        <w:pStyle w:val="18"/>
        <w:spacing w:line="440" w:lineRule="exact"/>
        <w:ind w:firstLine="207" w:firstLineChars="98"/>
        <w:rPr>
          <w:rFonts w:hAnsi="宋体" w:cs="宋体"/>
          <w:b/>
          <w:color w:val="auto"/>
        </w:rPr>
      </w:pPr>
      <w:r>
        <w:rPr>
          <w:rFonts w:hint="eastAsia" w:hAnsi="宋体" w:cs="宋体"/>
          <w:b/>
          <w:color w:val="auto"/>
        </w:rPr>
        <w:t>（4）竞标人未就所竞标段的所有货物内容作完整唯一报价；</w:t>
      </w:r>
    </w:p>
    <w:p>
      <w:pPr>
        <w:pStyle w:val="18"/>
        <w:spacing w:line="440" w:lineRule="exact"/>
        <w:ind w:firstLine="207" w:firstLineChars="98"/>
        <w:rPr>
          <w:rFonts w:hAnsi="宋体" w:cs="宋体"/>
          <w:b/>
          <w:color w:val="auto"/>
        </w:rPr>
      </w:pPr>
      <w:r>
        <w:rPr>
          <w:rFonts w:hint="eastAsia" w:hAnsi="宋体" w:cs="宋体"/>
          <w:b/>
          <w:color w:val="auto"/>
        </w:rPr>
        <w:t>（5）未按采购文件的要求密封、签署、盖章的；</w:t>
      </w:r>
    </w:p>
    <w:p>
      <w:pPr>
        <w:pStyle w:val="18"/>
        <w:spacing w:line="440" w:lineRule="exact"/>
        <w:ind w:firstLine="207" w:firstLineChars="98"/>
        <w:rPr>
          <w:rFonts w:hAnsi="宋体" w:cs="宋体"/>
          <w:b/>
          <w:color w:val="auto"/>
        </w:rPr>
      </w:pPr>
      <w:r>
        <w:rPr>
          <w:rFonts w:hint="eastAsia" w:hAnsi="宋体" w:cs="宋体"/>
          <w:b/>
          <w:color w:val="auto"/>
        </w:rPr>
        <w:t>（6）最终竞标报价超出采购预算价的；</w:t>
      </w:r>
    </w:p>
    <w:p>
      <w:pPr>
        <w:pStyle w:val="18"/>
        <w:spacing w:line="440" w:lineRule="exact"/>
        <w:ind w:firstLine="207" w:firstLineChars="98"/>
        <w:rPr>
          <w:rFonts w:hAnsi="宋体" w:cs="宋体"/>
          <w:b/>
          <w:color w:val="auto"/>
        </w:rPr>
      </w:pPr>
      <w:r>
        <w:rPr>
          <w:rFonts w:hint="eastAsia" w:hAnsi="宋体" w:cs="宋体"/>
          <w:b/>
          <w:color w:val="auto"/>
        </w:rPr>
        <w:t>（7）不符合采购文件中规定的实质性要求并且在谈判规定的时间内无法说明和补充的；</w:t>
      </w:r>
    </w:p>
    <w:p>
      <w:pPr>
        <w:pStyle w:val="18"/>
        <w:spacing w:line="440" w:lineRule="exact"/>
        <w:ind w:firstLine="207" w:firstLineChars="98"/>
        <w:rPr>
          <w:rFonts w:hAnsi="宋体" w:cs="宋体"/>
          <w:b/>
          <w:color w:val="auto"/>
        </w:rPr>
      </w:pPr>
      <w:r>
        <w:rPr>
          <w:rFonts w:hint="eastAsia" w:hAnsi="宋体" w:cs="宋体"/>
          <w:b/>
          <w:color w:val="auto"/>
        </w:rPr>
        <w:t>（8）竞标人无法在规定时间内提供资格证明材料进行核对，或与谈判小组要求提供的有关材料原件与其在响应文件中所提供的材料复印件不一致的；</w:t>
      </w:r>
    </w:p>
    <w:p>
      <w:pPr>
        <w:pStyle w:val="18"/>
        <w:spacing w:line="440" w:lineRule="exact"/>
        <w:ind w:firstLine="207" w:firstLineChars="98"/>
        <w:rPr>
          <w:rFonts w:hAnsi="宋体" w:cs="宋体"/>
          <w:b/>
          <w:color w:val="auto"/>
        </w:rPr>
      </w:pPr>
      <w:r>
        <w:rPr>
          <w:rFonts w:hint="eastAsia" w:hAnsi="宋体" w:cs="宋体"/>
          <w:b/>
          <w:color w:val="auto"/>
        </w:rPr>
        <w:t>（9）竞标人递交两份或多份内容不同的响应文件，或在一份响应文件中对同一采购货物报有两个或多个报价，且未声明哪一个为最终报价的，按采购文件规定提交备选竞标方案的除外；</w:t>
      </w:r>
    </w:p>
    <w:p>
      <w:pPr>
        <w:widowControl/>
        <w:spacing w:line="440" w:lineRule="exact"/>
        <w:ind w:firstLine="207" w:firstLineChars="98"/>
        <w:jc w:val="left"/>
        <w:rPr>
          <w:rFonts w:ascii="宋体" w:hAnsi="宋体" w:cs="宋体"/>
          <w:b/>
          <w:color w:val="auto"/>
          <w:szCs w:val="20"/>
        </w:rPr>
      </w:pPr>
      <w:r>
        <w:rPr>
          <w:rFonts w:hint="eastAsia" w:ascii="宋体" w:hAnsi="宋体" w:cs="宋体"/>
          <w:b/>
          <w:color w:val="auto"/>
          <w:szCs w:val="20"/>
        </w:rPr>
        <w:t>（10）不符合法律、法规和采购文件规定的其他实质性要求和条件的。</w:t>
      </w:r>
    </w:p>
    <w:p>
      <w:pPr>
        <w:widowControl/>
        <w:spacing w:line="440" w:lineRule="exact"/>
        <w:ind w:firstLine="207" w:firstLineChars="98"/>
        <w:jc w:val="left"/>
        <w:rPr>
          <w:rFonts w:ascii="宋体" w:hAnsi="宋体" w:cs="宋体"/>
          <w:b/>
          <w:color w:val="auto"/>
          <w:szCs w:val="20"/>
        </w:rPr>
      </w:pPr>
      <w:r>
        <w:rPr>
          <w:rFonts w:hint="eastAsia" w:ascii="宋体" w:hAnsi="宋体" w:cs="宋体"/>
          <w:b/>
          <w:color w:val="auto"/>
          <w:szCs w:val="20"/>
        </w:rPr>
        <w:t>（11）不同竞标人的响应文件由同一单位或者个人编制；或不同竞标人报名或提交响应文件的IP地址一致的；</w:t>
      </w:r>
    </w:p>
    <w:p>
      <w:pPr>
        <w:widowControl/>
        <w:spacing w:line="440" w:lineRule="exact"/>
        <w:ind w:firstLine="207" w:firstLineChars="98"/>
        <w:jc w:val="left"/>
        <w:rPr>
          <w:rFonts w:ascii="宋体" w:hAnsi="宋体" w:cs="宋体"/>
          <w:b/>
          <w:color w:val="auto"/>
          <w:szCs w:val="20"/>
        </w:rPr>
      </w:pPr>
      <w:r>
        <w:rPr>
          <w:rFonts w:hint="eastAsia" w:ascii="宋体" w:hAnsi="宋体" w:cs="宋体"/>
          <w:b/>
          <w:color w:val="auto"/>
          <w:szCs w:val="20"/>
        </w:rPr>
        <w:t>（12）不同竞标人委托同一单位或者个人办理投标事宜；</w:t>
      </w:r>
    </w:p>
    <w:p>
      <w:pPr>
        <w:widowControl/>
        <w:spacing w:line="440" w:lineRule="exact"/>
        <w:ind w:firstLine="207" w:firstLineChars="98"/>
        <w:jc w:val="left"/>
        <w:rPr>
          <w:rFonts w:ascii="宋体" w:hAnsi="宋体" w:cs="宋体"/>
          <w:b/>
          <w:color w:val="auto"/>
          <w:szCs w:val="20"/>
        </w:rPr>
      </w:pPr>
      <w:r>
        <w:rPr>
          <w:rFonts w:hint="eastAsia" w:ascii="宋体" w:hAnsi="宋体" w:cs="宋体"/>
          <w:b/>
          <w:color w:val="auto"/>
          <w:szCs w:val="20"/>
        </w:rPr>
        <w:t>（13）不同的竞标人的响应文件载明的项目管理员为同一个人；</w:t>
      </w:r>
    </w:p>
    <w:p>
      <w:pPr>
        <w:widowControl/>
        <w:spacing w:line="440" w:lineRule="exact"/>
        <w:ind w:firstLine="207" w:firstLineChars="98"/>
        <w:jc w:val="left"/>
        <w:rPr>
          <w:rFonts w:ascii="宋体" w:hAnsi="宋体" w:cs="宋体"/>
          <w:b/>
          <w:color w:val="auto"/>
          <w:szCs w:val="20"/>
        </w:rPr>
      </w:pPr>
      <w:r>
        <w:rPr>
          <w:rFonts w:hint="eastAsia" w:ascii="宋体" w:hAnsi="宋体" w:cs="宋体"/>
          <w:b/>
          <w:color w:val="auto"/>
          <w:szCs w:val="20"/>
        </w:rPr>
        <w:t>（14）不同竞标人的响应文件异常一致或投标报价呈规律性差异；</w:t>
      </w:r>
    </w:p>
    <w:p>
      <w:pPr>
        <w:widowControl/>
        <w:spacing w:line="440" w:lineRule="exact"/>
        <w:ind w:firstLine="207" w:firstLineChars="98"/>
        <w:jc w:val="left"/>
        <w:rPr>
          <w:rFonts w:ascii="宋体" w:hAnsi="宋体" w:cs="宋体"/>
          <w:b/>
          <w:color w:val="auto"/>
          <w:szCs w:val="20"/>
        </w:rPr>
      </w:pPr>
      <w:r>
        <w:rPr>
          <w:rFonts w:hint="eastAsia" w:ascii="宋体" w:hAnsi="宋体" w:cs="宋体"/>
          <w:b/>
          <w:color w:val="auto"/>
          <w:szCs w:val="20"/>
        </w:rPr>
        <w:t>（15）不同竞标人的响应文件相互混装；</w:t>
      </w:r>
    </w:p>
    <w:p>
      <w:pPr>
        <w:widowControl/>
        <w:spacing w:line="440" w:lineRule="exact"/>
        <w:ind w:firstLine="207" w:firstLineChars="98"/>
        <w:jc w:val="left"/>
        <w:rPr>
          <w:rFonts w:ascii="宋体" w:hAnsi="宋体" w:cs="宋体"/>
          <w:b/>
          <w:color w:val="auto"/>
          <w:szCs w:val="20"/>
        </w:rPr>
      </w:pPr>
      <w:r>
        <w:rPr>
          <w:rFonts w:hint="eastAsia" w:ascii="宋体" w:hAnsi="宋体" w:cs="宋体"/>
          <w:b/>
          <w:color w:val="auto"/>
          <w:szCs w:val="20"/>
        </w:rPr>
        <w:t>（16）不同竞标人的竞标保证金从同一单位或者个人账户转出。</w:t>
      </w:r>
    </w:p>
    <w:p>
      <w:pPr>
        <w:pStyle w:val="18"/>
        <w:spacing w:line="380" w:lineRule="atLeast"/>
        <w:jc w:val="left"/>
        <w:rPr>
          <w:rFonts w:hAnsi="宋体" w:cs="宋体"/>
          <w:b/>
          <w:color w:val="auto"/>
        </w:rPr>
      </w:pPr>
      <w:r>
        <w:rPr>
          <w:rFonts w:hint="eastAsia" w:hAnsi="宋体" w:cs="宋体"/>
          <w:b/>
          <w:color w:val="auto"/>
        </w:rPr>
        <w:t>22．废标</w:t>
      </w:r>
    </w:p>
    <w:p>
      <w:pPr>
        <w:pStyle w:val="18"/>
        <w:spacing w:line="380" w:lineRule="atLeast"/>
        <w:ind w:firstLine="413" w:firstLineChars="196"/>
        <w:jc w:val="left"/>
        <w:rPr>
          <w:rFonts w:hAnsi="宋体" w:cs="宋体"/>
          <w:b/>
          <w:bCs/>
          <w:color w:val="auto"/>
        </w:rPr>
      </w:pPr>
      <w:r>
        <w:rPr>
          <w:rFonts w:hint="eastAsia" w:hAnsi="宋体" w:cs="宋体"/>
          <w:b/>
          <w:bCs/>
          <w:color w:val="auto"/>
        </w:rPr>
        <w:t>22.1</w:t>
      </w:r>
      <w:r>
        <w:rPr>
          <w:rFonts w:hint="eastAsia" w:hAnsi="宋体" w:cs="宋体"/>
          <w:b/>
          <w:color w:val="auto"/>
        </w:rPr>
        <w:t>竞标采购过程中出现下列情形之一的，将予以废标：</w:t>
      </w:r>
    </w:p>
    <w:p>
      <w:pPr>
        <w:pStyle w:val="18"/>
        <w:spacing w:line="380" w:lineRule="atLeast"/>
        <w:ind w:firstLine="420"/>
        <w:jc w:val="left"/>
        <w:rPr>
          <w:rFonts w:hAnsi="宋体" w:cs="宋体"/>
          <w:b/>
          <w:color w:val="auto"/>
        </w:rPr>
      </w:pPr>
      <w:r>
        <w:rPr>
          <w:rFonts w:hint="eastAsia" w:hAnsi="宋体" w:cs="宋体"/>
          <w:b/>
          <w:color w:val="auto"/>
        </w:rPr>
        <w:t>（1）出现影响采购公正的违法、违规行为的；　</w:t>
      </w:r>
    </w:p>
    <w:p>
      <w:pPr>
        <w:pStyle w:val="18"/>
        <w:spacing w:line="380" w:lineRule="atLeast"/>
        <w:ind w:firstLine="420"/>
        <w:jc w:val="left"/>
        <w:rPr>
          <w:rFonts w:hAnsi="宋体" w:cs="宋体"/>
          <w:b/>
          <w:color w:val="auto"/>
        </w:rPr>
      </w:pPr>
      <w:r>
        <w:rPr>
          <w:rFonts w:hint="eastAsia" w:hAnsi="宋体" w:cs="宋体"/>
          <w:b/>
          <w:color w:val="auto"/>
        </w:rPr>
        <w:t>（2）竞标人的最终报价均超过了采购预算，采购人不能支付的；</w:t>
      </w:r>
    </w:p>
    <w:p>
      <w:pPr>
        <w:pStyle w:val="18"/>
        <w:spacing w:line="380" w:lineRule="atLeast"/>
        <w:ind w:firstLine="420"/>
        <w:jc w:val="left"/>
        <w:rPr>
          <w:rFonts w:hAnsi="宋体" w:cs="宋体"/>
          <w:b/>
          <w:color w:val="auto"/>
        </w:rPr>
      </w:pPr>
      <w:r>
        <w:rPr>
          <w:rFonts w:hint="eastAsia" w:hAnsi="宋体" w:cs="宋体"/>
          <w:b/>
          <w:color w:val="auto"/>
        </w:rPr>
        <w:t>（3）因重大变故，采购任务取消的。　</w:t>
      </w:r>
    </w:p>
    <w:p>
      <w:pPr>
        <w:pStyle w:val="18"/>
        <w:spacing w:line="380" w:lineRule="atLeast"/>
        <w:ind w:firstLine="420"/>
        <w:jc w:val="left"/>
        <w:rPr>
          <w:rFonts w:hAnsi="宋体" w:cs="宋体"/>
          <w:color w:val="auto"/>
        </w:rPr>
      </w:pPr>
      <w:r>
        <w:rPr>
          <w:rFonts w:hint="eastAsia" w:hAnsi="宋体" w:cs="宋体"/>
          <w:color w:val="auto"/>
        </w:rPr>
        <w:t>22.2废标后，采购代理机构无义务把废标理由通知竞标人。</w:t>
      </w:r>
      <w:bookmarkStart w:id="48" w:name="_Toc137551169"/>
    </w:p>
    <w:p>
      <w:pPr>
        <w:pStyle w:val="18"/>
        <w:spacing w:line="380" w:lineRule="atLeast"/>
        <w:ind w:firstLine="420"/>
        <w:rPr>
          <w:rFonts w:hAnsi="宋体" w:cs="宋体"/>
          <w:color w:val="auto"/>
        </w:rPr>
      </w:pPr>
    </w:p>
    <w:p>
      <w:pPr>
        <w:pStyle w:val="18"/>
        <w:spacing w:line="380" w:lineRule="atLeast"/>
        <w:ind w:firstLine="420"/>
        <w:jc w:val="center"/>
        <w:rPr>
          <w:rFonts w:hAnsi="宋体" w:cs="宋体"/>
          <w:b/>
          <w:bCs/>
          <w:color w:val="auto"/>
          <w:sz w:val="24"/>
        </w:rPr>
      </w:pPr>
      <w:r>
        <w:rPr>
          <w:rFonts w:hint="eastAsia" w:hAnsi="宋体" w:cs="宋体"/>
          <w:b/>
          <w:bCs/>
          <w:color w:val="auto"/>
          <w:sz w:val="24"/>
        </w:rPr>
        <w:t>六、签订合同</w:t>
      </w:r>
      <w:bookmarkEnd w:id="48"/>
    </w:p>
    <w:p>
      <w:pPr>
        <w:pStyle w:val="18"/>
        <w:spacing w:line="380" w:lineRule="atLeast"/>
        <w:rPr>
          <w:rFonts w:hAnsi="宋体" w:cs="宋体"/>
          <w:b/>
          <w:color w:val="auto"/>
        </w:rPr>
      </w:pPr>
      <w:r>
        <w:rPr>
          <w:rFonts w:hint="eastAsia" w:hAnsi="宋体" w:cs="宋体"/>
          <w:b/>
          <w:color w:val="auto"/>
        </w:rPr>
        <w:t>23.成交结果及公告</w:t>
      </w:r>
    </w:p>
    <w:p>
      <w:pPr>
        <w:pStyle w:val="18"/>
        <w:spacing w:line="380" w:lineRule="exact"/>
        <w:ind w:right="68" w:firstLine="420" w:firstLineChars="200"/>
        <w:rPr>
          <w:rFonts w:hAnsi="宋体" w:cs="宋体"/>
          <w:color w:val="auto"/>
        </w:rPr>
      </w:pPr>
      <w:r>
        <w:rPr>
          <w:rFonts w:hint="eastAsia" w:hAnsi="宋体" w:cs="宋体"/>
          <w:color w:val="auto"/>
        </w:rPr>
        <w:t>23.1采购代理机构在谈判工作完成后五个工作日内将谈判报告送采购人,采购人确认后，成交结果将在竞标公告发布媒体上公告。</w:t>
      </w:r>
    </w:p>
    <w:p>
      <w:pPr>
        <w:pStyle w:val="18"/>
        <w:spacing w:line="380" w:lineRule="exact"/>
        <w:ind w:firstLine="407" w:firstLineChars="194"/>
        <w:rPr>
          <w:rFonts w:hAnsi="宋体" w:cs="宋体"/>
          <w:color w:val="auto"/>
        </w:rPr>
      </w:pPr>
      <w:r>
        <w:rPr>
          <w:rFonts w:hint="eastAsia" w:hAnsi="宋体" w:cs="宋体"/>
          <w:color w:val="auto"/>
        </w:rPr>
        <w:t>23.2竞标人如对成交公告有异议，可以在成交公告发布后七个工作日内以书面形式向采购代理机构提出质疑。采购代理机构将在收到竞标人的书面质疑后七个工作日内做出答复，但答复的内容不得涉及商业秘密。</w:t>
      </w:r>
    </w:p>
    <w:p>
      <w:pPr>
        <w:pStyle w:val="18"/>
        <w:spacing w:line="320" w:lineRule="exact"/>
        <w:ind w:firstLine="407" w:firstLineChars="194"/>
        <w:rPr>
          <w:rFonts w:hAnsi="宋体" w:cs="宋体"/>
          <w:color w:val="auto"/>
        </w:rPr>
      </w:pPr>
      <w:r>
        <w:rPr>
          <w:rFonts w:hint="eastAsia" w:hAnsi="宋体" w:cs="宋体"/>
          <w:color w:val="auto"/>
        </w:rPr>
        <w:t>23.3质疑竞标人必须首先经过质疑程序，质疑材料必须符合《广西壮族自治区政府采购供应商质疑处理办法》（桂财采[2006]11号）的规定，在对采购代理机构的答复不满意或者采购代理机构未在规定的时间内做出答复的，可以在答复期满后十五个工作日内书面向同级人民政府财政部门投诉。</w:t>
      </w:r>
    </w:p>
    <w:p>
      <w:pPr>
        <w:pStyle w:val="18"/>
        <w:spacing w:line="320" w:lineRule="exact"/>
        <w:rPr>
          <w:rFonts w:hAnsi="宋体" w:cs="宋体"/>
          <w:color w:val="auto"/>
        </w:rPr>
      </w:pPr>
      <w:r>
        <w:rPr>
          <w:rFonts w:hint="eastAsia" w:hAnsi="宋体" w:cs="宋体"/>
          <w:b/>
          <w:color w:val="auto"/>
        </w:rPr>
        <w:t>24.成交通知</w:t>
      </w:r>
    </w:p>
    <w:p>
      <w:pPr>
        <w:pStyle w:val="18"/>
        <w:spacing w:line="320" w:lineRule="exact"/>
        <w:ind w:firstLine="420"/>
        <w:rPr>
          <w:rFonts w:hAnsi="宋体" w:cs="宋体"/>
          <w:color w:val="auto"/>
        </w:rPr>
      </w:pPr>
      <w:r>
        <w:rPr>
          <w:rFonts w:hint="eastAsia" w:hAnsi="宋体" w:cs="宋体"/>
          <w:color w:val="auto"/>
        </w:rPr>
        <w:t>24.1在发布成交公告的同时，采购代理机构将向成交供应商发出成交通知书。</w:t>
      </w:r>
    </w:p>
    <w:p>
      <w:pPr>
        <w:pStyle w:val="18"/>
        <w:spacing w:line="320" w:lineRule="exact"/>
        <w:ind w:firstLine="420"/>
        <w:rPr>
          <w:rFonts w:hAnsi="宋体" w:cs="宋体"/>
          <w:color w:val="auto"/>
        </w:rPr>
      </w:pPr>
      <w:r>
        <w:rPr>
          <w:rFonts w:hint="eastAsia" w:hAnsi="宋体" w:cs="宋体"/>
          <w:color w:val="auto"/>
        </w:rPr>
        <w:t>24.2采购代理机构无义务向落标的竞标人解释落标原因和退还响应文件，（竞标人可以到竞标公告发布相关媒体上自行查询）。</w:t>
      </w:r>
    </w:p>
    <w:p>
      <w:pPr>
        <w:pStyle w:val="18"/>
        <w:spacing w:line="320" w:lineRule="exact"/>
        <w:rPr>
          <w:rFonts w:hAnsi="宋体" w:cs="宋体"/>
          <w:b/>
          <w:color w:val="auto"/>
        </w:rPr>
      </w:pPr>
      <w:r>
        <w:rPr>
          <w:rFonts w:hint="eastAsia" w:hAnsi="宋体" w:cs="宋体"/>
          <w:b/>
          <w:color w:val="auto"/>
        </w:rPr>
        <w:t>25.合同授予标准</w:t>
      </w:r>
    </w:p>
    <w:p>
      <w:pPr>
        <w:pStyle w:val="18"/>
        <w:spacing w:line="320" w:lineRule="exact"/>
        <w:ind w:firstLine="420"/>
        <w:rPr>
          <w:rFonts w:hAnsi="宋体" w:cs="宋体"/>
          <w:color w:val="auto"/>
        </w:rPr>
      </w:pPr>
      <w:r>
        <w:rPr>
          <w:rFonts w:hint="eastAsia" w:hAnsi="宋体" w:cs="宋体"/>
          <w:color w:val="auto"/>
        </w:rPr>
        <w:t>25.1合同将授予被确定为实质上响应采购文件要求，评标认为具备履行合同能力，评标价最低的竞标人。</w:t>
      </w:r>
    </w:p>
    <w:p>
      <w:pPr>
        <w:pStyle w:val="18"/>
        <w:spacing w:line="320" w:lineRule="exact"/>
        <w:ind w:firstLine="420"/>
        <w:rPr>
          <w:rFonts w:hAnsi="宋体" w:cs="宋体"/>
          <w:color w:val="auto"/>
        </w:rPr>
      </w:pPr>
      <w:r>
        <w:rPr>
          <w:rFonts w:hint="eastAsia" w:hAnsi="宋体" w:cs="宋体"/>
          <w:color w:val="auto"/>
        </w:rPr>
        <w:t>25.2采购人应按照评标报告中推荐的成交候选供应商顺序确定成交供应商，也可以事先授权评标委员会直接确定成交供应商。</w:t>
      </w:r>
    </w:p>
    <w:p>
      <w:pPr>
        <w:pStyle w:val="18"/>
        <w:spacing w:line="320" w:lineRule="exact"/>
        <w:ind w:firstLine="420"/>
        <w:rPr>
          <w:rFonts w:hAnsi="宋体" w:cs="宋体"/>
          <w:color w:val="auto"/>
        </w:rPr>
      </w:pPr>
      <w:r>
        <w:rPr>
          <w:rFonts w:hint="eastAsia" w:hAnsi="宋体" w:cs="宋体"/>
          <w:color w:val="auto"/>
        </w:rPr>
        <w:t>25.3成交供应商因不可抗力或者自身原因，不能履行政府采购合同的，采购人可以与排位在成交供应商之后第一位的成交候选供应商签订政府采购合同，以此类推。</w:t>
      </w:r>
    </w:p>
    <w:p>
      <w:pPr>
        <w:pStyle w:val="18"/>
        <w:spacing w:line="320" w:lineRule="exact"/>
        <w:rPr>
          <w:rFonts w:hAnsi="宋体" w:cs="宋体"/>
          <w:b/>
          <w:color w:val="auto"/>
        </w:rPr>
      </w:pPr>
      <w:r>
        <w:rPr>
          <w:rFonts w:hint="eastAsia" w:hAnsi="宋体" w:cs="宋体"/>
          <w:b/>
          <w:color w:val="auto"/>
        </w:rPr>
        <w:t>26.签订合同</w:t>
      </w:r>
    </w:p>
    <w:p>
      <w:pPr>
        <w:pStyle w:val="18"/>
        <w:spacing w:line="320" w:lineRule="exact"/>
        <w:ind w:firstLine="420"/>
        <w:rPr>
          <w:rFonts w:hAnsi="宋体" w:cs="宋体"/>
          <w:color w:val="auto"/>
        </w:rPr>
      </w:pPr>
      <w:r>
        <w:rPr>
          <w:rFonts w:hint="eastAsia" w:hAnsi="宋体" w:cs="宋体"/>
          <w:color w:val="auto"/>
        </w:rPr>
        <w:t>26.1成交供应商收到成交通知书后，按成交通知书中规定的时间、地点与采购人签订合同。</w:t>
      </w:r>
    </w:p>
    <w:p>
      <w:pPr>
        <w:pStyle w:val="18"/>
        <w:spacing w:line="320" w:lineRule="exact"/>
        <w:ind w:firstLine="420"/>
        <w:rPr>
          <w:rFonts w:hAnsi="宋体" w:cs="宋体"/>
          <w:color w:val="auto"/>
        </w:rPr>
      </w:pPr>
      <w:r>
        <w:rPr>
          <w:rFonts w:hint="eastAsia" w:hAnsi="宋体" w:cs="宋体"/>
          <w:color w:val="auto"/>
        </w:rPr>
        <w:t>26.2如成交供应商不按成交通知书的规定签订合同，则按成交供应商违约处理，采购代理机构对成交供应商竞标的全部竞标保证金将不予退还。</w:t>
      </w:r>
    </w:p>
    <w:p>
      <w:pPr>
        <w:pStyle w:val="18"/>
        <w:spacing w:line="320" w:lineRule="exact"/>
        <w:ind w:firstLine="420"/>
        <w:rPr>
          <w:rFonts w:hAnsi="宋体" w:cs="宋体"/>
          <w:color w:val="auto"/>
        </w:rPr>
      </w:pPr>
      <w:r>
        <w:rPr>
          <w:rFonts w:hint="eastAsia" w:hAnsi="宋体" w:cs="宋体"/>
          <w:color w:val="auto"/>
        </w:rPr>
        <w:t>26.3采购人如遇成交供应商违约，有权从成交候选供应商中确定成交供应商，由采购代理机构组织成交供应商与采购人签订合同，或重新组织采购。</w:t>
      </w:r>
    </w:p>
    <w:p>
      <w:pPr>
        <w:pStyle w:val="18"/>
        <w:spacing w:line="320" w:lineRule="exact"/>
        <w:ind w:firstLine="420" w:firstLineChars="200"/>
        <w:outlineLvl w:val="1"/>
        <w:rPr>
          <w:rFonts w:hAnsi="宋体" w:cs="宋体"/>
          <w:color w:val="auto"/>
        </w:rPr>
      </w:pPr>
      <w:r>
        <w:rPr>
          <w:rFonts w:hint="eastAsia" w:hAnsi="宋体" w:cs="宋体"/>
          <w:color w:val="auto"/>
        </w:rPr>
        <w:t>26.4政府采购合同公告：根据《中华人民共和国政府采购法实施条例》第五十条规定，采购人应当自政府采购合同签订之日起2个工作日内，将政府采购合同政府财政部门指定的媒体上公告，但政府采购合同中涉及国家秘密、商业秘密的内容除外。</w:t>
      </w:r>
    </w:p>
    <w:p>
      <w:pPr>
        <w:rPr>
          <w:color w:val="auto"/>
        </w:rPr>
      </w:pPr>
    </w:p>
    <w:p>
      <w:pPr>
        <w:pStyle w:val="18"/>
        <w:spacing w:line="320" w:lineRule="exact"/>
        <w:outlineLvl w:val="1"/>
        <w:rPr>
          <w:rFonts w:hAnsi="宋体" w:cs="宋体"/>
          <w:b/>
          <w:color w:val="auto"/>
        </w:rPr>
      </w:pPr>
      <w:bookmarkStart w:id="49" w:name="_Toc147250344"/>
      <w:bookmarkStart w:id="50" w:name="_Toc147250546"/>
      <w:bookmarkStart w:id="51" w:name="_Toc147250390"/>
      <w:r>
        <w:rPr>
          <w:rFonts w:hint="eastAsia" w:hAnsi="宋体" w:cs="宋体"/>
          <w:b/>
          <w:color w:val="auto"/>
        </w:rPr>
        <w:t>27履约保证金</w:t>
      </w:r>
      <w:bookmarkEnd w:id="49"/>
      <w:bookmarkEnd w:id="50"/>
      <w:bookmarkEnd w:id="51"/>
      <w:r>
        <w:rPr>
          <w:rFonts w:hint="eastAsia" w:hAnsi="宋体" w:cs="宋体"/>
          <w:b/>
          <w:color w:val="auto"/>
        </w:rPr>
        <w:t>：无。</w:t>
      </w:r>
    </w:p>
    <w:p>
      <w:pPr>
        <w:spacing w:line="320" w:lineRule="exact"/>
        <w:jc w:val="center"/>
        <w:rPr>
          <w:rFonts w:ascii="宋体" w:hAnsi="宋体" w:cs="宋体"/>
          <w:b/>
          <w:color w:val="auto"/>
          <w:sz w:val="24"/>
        </w:rPr>
      </w:pPr>
      <w:bookmarkStart w:id="52" w:name="_Toc137551170"/>
      <w:r>
        <w:rPr>
          <w:rFonts w:hint="eastAsia" w:ascii="宋体" w:hAnsi="宋体" w:cs="宋体"/>
          <w:b/>
          <w:color w:val="auto"/>
          <w:sz w:val="24"/>
        </w:rPr>
        <w:t>七、其他事项</w:t>
      </w:r>
      <w:bookmarkEnd w:id="52"/>
    </w:p>
    <w:p>
      <w:pPr>
        <w:pStyle w:val="18"/>
        <w:spacing w:line="320" w:lineRule="exact"/>
        <w:rPr>
          <w:rFonts w:hAnsi="宋体" w:cs="宋体"/>
          <w:b/>
          <w:color w:val="auto"/>
        </w:rPr>
      </w:pPr>
      <w:r>
        <w:rPr>
          <w:rFonts w:hint="eastAsia" w:hAnsi="宋体" w:cs="宋体"/>
          <w:b/>
          <w:color w:val="auto"/>
        </w:rPr>
        <w:t>28.成交服务费</w:t>
      </w:r>
    </w:p>
    <w:p>
      <w:pPr>
        <w:pStyle w:val="18"/>
        <w:spacing w:line="320" w:lineRule="exact"/>
        <w:ind w:left="97" w:leftChars="46" w:firstLine="323" w:firstLineChars="154"/>
        <w:rPr>
          <w:rFonts w:hAnsi="宋体" w:cs="宋体"/>
          <w:color w:val="auto"/>
        </w:rPr>
      </w:pPr>
      <w:r>
        <w:rPr>
          <w:rFonts w:hint="eastAsia" w:hAnsi="宋体" w:cs="宋体"/>
          <w:color w:val="auto"/>
        </w:rPr>
        <w:t>28.1签订合同前，成交供应商向广西龙建工程管理有限公司一次性付清成交服务费，其金额详见本须知前附表第11项规定。否则，采购代理机构将视之为违约，取消该成交决定并没收成交供应商这次参加竞标的全部竞标保证金。</w:t>
      </w:r>
    </w:p>
    <w:p>
      <w:pPr>
        <w:pStyle w:val="18"/>
        <w:spacing w:line="320" w:lineRule="exact"/>
        <w:rPr>
          <w:rFonts w:hAnsi="宋体" w:cs="宋体"/>
          <w:b/>
          <w:color w:val="auto"/>
        </w:rPr>
      </w:pPr>
      <w:r>
        <w:rPr>
          <w:rFonts w:hint="eastAsia" w:hAnsi="宋体" w:cs="宋体"/>
          <w:b/>
          <w:color w:val="auto"/>
        </w:rPr>
        <w:t>29.解释权</w:t>
      </w:r>
    </w:p>
    <w:p>
      <w:pPr>
        <w:pStyle w:val="18"/>
        <w:spacing w:line="320" w:lineRule="exact"/>
        <w:ind w:firstLine="420"/>
        <w:rPr>
          <w:rFonts w:hAnsi="宋体" w:cs="宋体"/>
          <w:color w:val="auto"/>
        </w:rPr>
      </w:pPr>
      <w:r>
        <w:rPr>
          <w:rFonts w:hint="eastAsia" w:hAnsi="宋体" w:cs="宋体"/>
          <w:color w:val="auto"/>
        </w:rPr>
        <w:t>29.1本采购文件是根据国家有关法律、法规以及政府采购管理有关规定和参照国际惯例编制，解释权属本采购代理机构。</w:t>
      </w:r>
    </w:p>
    <w:p>
      <w:pPr>
        <w:pStyle w:val="18"/>
        <w:spacing w:line="320" w:lineRule="exact"/>
        <w:rPr>
          <w:rFonts w:hAnsi="宋体" w:cs="宋体"/>
          <w:b/>
          <w:color w:val="auto"/>
        </w:rPr>
      </w:pPr>
      <w:r>
        <w:rPr>
          <w:rFonts w:hint="eastAsia" w:hAnsi="宋体" w:cs="宋体"/>
          <w:b/>
          <w:color w:val="auto"/>
        </w:rPr>
        <w:t>30.有关事宜</w:t>
      </w:r>
    </w:p>
    <w:p>
      <w:pPr>
        <w:pStyle w:val="18"/>
        <w:spacing w:line="320" w:lineRule="exact"/>
        <w:ind w:firstLine="420"/>
        <w:rPr>
          <w:rFonts w:hAnsi="宋体" w:cs="宋体"/>
          <w:color w:val="auto"/>
        </w:rPr>
      </w:pPr>
      <w:r>
        <w:rPr>
          <w:rFonts w:hint="eastAsia" w:hAnsi="宋体" w:cs="宋体"/>
          <w:color w:val="auto"/>
        </w:rPr>
        <w:t>30.1所有与本采购文件有关的函电请按下列通讯地址联系：</w:t>
      </w:r>
    </w:p>
    <w:p>
      <w:pPr>
        <w:pStyle w:val="18"/>
        <w:spacing w:line="320" w:lineRule="exact"/>
        <w:ind w:firstLine="422" w:firstLineChars="200"/>
        <w:rPr>
          <w:rFonts w:hAnsi="宋体" w:cs="宋体"/>
          <w:color w:val="auto"/>
        </w:rPr>
      </w:pPr>
      <w:r>
        <w:rPr>
          <w:rFonts w:hint="eastAsia" w:hAnsi="宋体" w:cs="宋体"/>
          <w:b/>
          <w:bCs/>
          <w:color w:val="auto"/>
        </w:rPr>
        <w:t>广西龙建工程管理有限公司</w:t>
      </w:r>
      <w:r>
        <w:rPr>
          <w:rFonts w:hint="eastAsia" w:hAnsi="宋体" w:cs="宋体"/>
          <w:color w:val="auto"/>
        </w:rPr>
        <w:t xml:space="preserve">                        </w:t>
      </w:r>
    </w:p>
    <w:p>
      <w:pPr>
        <w:pStyle w:val="18"/>
        <w:spacing w:line="320" w:lineRule="exact"/>
        <w:ind w:firstLine="630" w:firstLineChars="300"/>
        <w:rPr>
          <w:rFonts w:hAnsi="宋体" w:cs="宋体"/>
          <w:color w:val="auto"/>
        </w:rPr>
      </w:pPr>
      <w:r>
        <w:rPr>
          <w:rFonts w:hint="eastAsia" w:hAnsi="宋体" w:cs="宋体"/>
          <w:color w:val="auto"/>
        </w:rPr>
        <w:t xml:space="preserve">通讯地址：钦州市钦南区子材东大街8号奥林财富中心1号楼11层  邮政编码：535000   </w:t>
      </w:r>
    </w:p>
    <w:p>
      <w:pPr>
        <w:pStyle w:val="18"/>
        <w:spacing w:line="320" w:lineRule="exact"/>
        <w:ind w:firstLine="630" w:firstLineChars="300"/>
        <w:rPr>
          <w:rFonts w:hAnsi="宋体" w:cs="宋体"/>
          <w:color w:val="auto"/>
        </w:rPr>
      </w:pPr>
      <w:r>
        <w:rPr>
          <w:rFonts w:hint="eastAsia" w:hAnsi="宋体" w:cs="宋体"/>
          <w:color w:val="auto"/>
        </w:rPr>
        <w:t xml:space="preserve">电    话：0777-3617888                </w:t>
      </w:r>
    </w:p>
    <w:p>
      <w:pPr>
        <w:pStyle w:val="18"/>
        <w:spacing w:line="320" w:lineRule="exact"/>
        <w:ind w:firstLine="630" w:firstLineChars="300"/>
        <w:rPr>
          <w:rFonts w:hAnsi="宋体" w:cs="宋体"/>
          <w:color w:val="auto"/>
        </w:rPr>
      </w:pPr>
      <w:r>
        <w:rPr>
          <w:rFonts w:hint="eastAsia" w:hAnsi="宋体" w:cs="宋体"/>
          <w:color w:val="auto"/>
        </w:rPr>
        <w:t>传    真：0777-3617888</w:t>
      </w:r>
    </w:p>
    <w:p>
      <w:pPr>
        <w:pStyle w:val="18"/>
        <w:spacing w:line="320" w:lineRule="exact"/>
        <w:ind w:right="68" w:firstLine="560" w:firstLineChars="267"/>
        <w:rPr>
          <w:rFonts w:hAnsi="宋体" w:cs="宋体"/>
          <w:color w:val="auto"/>
        </w:rPr>
      </w:pPr>
      <w:r>
        <w:rPr>
          <w:rFonts w:hint="eastAsia" w:hAnsi="宋体" w:cs="宋体"/>
          <w:color w:val="auto"/>
        </w:rPr>
        <w:t>开户名称：广西龙建工程管理有限公司</w:t>
      </w:r>
    </w:p>
    <w:p>
      <w:pPr>
        <w:pStyle w:val="18"/>
        <w:spacing w:line="320" w:lineRule="exact"/>
        <w:ind w:right="68" w:firstLine="560" w:firstLineChars="267"/>
        <w:rPr>
          <w:rFonts w:hAnsi="宋体" w:cs="宋体"/>
          <w:color w:val="auto"/>
        </w:rPr>
      </w:pPr>
      <w:r>
        <w:rPr>
          <w:rFonts w:hint="eastAsia" w:hAnsi="宋体" w:cs="宋体"/>
          <w:color w:val="auto"/>
        </w:rPr>
        <w:t>开户银行：建设银行钦州子材东大街支行</w:t>
      </w:r>
    </w:p>
    <w:p>
      <w:pPr>
        <w:pStyle w:val="18"/>
        <w:spacing w:line="320" w:lineRule="exact"/>
        <w:ind w:right="68" w:firstLine="560" w:firstLineChars="267"/>
        <w:rPr>
          <w:rFonts w:hAnsi="宋体" w:cs="宋体"/>
          <w:color w:val="auto"/>
        </w:rPr>
      </w:pPr>
      <w:r>
        <w:rPr>
          <w:rFonts w:hint="eastAsia" w:hAnsi="宋体" w:cs="宋体"/>
          <w:color w:val="auto"/>
        </w:rPr>
        <w:t xml:space="preserve">银行账号：4505 0110 6312 0988 8888 </w:t>
      </w:r>
    </w:p>
    <w:p>
      <w:pPr>
        <w:tabs>
          <w:tab w:val="left" w:pos="2835"/>
        </w:tabs>
        <w:spacing w:line="500" w:lineRule="exact"/>
        <w:ind w:firstLine="420" w:firstLineChars="200"/>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0.1采购代理服务费收费标准及缴纳账户详见“供应商须知前附表11”，供应商为联合体的，可以由联合体中的一方或者多方共同缴纳采购代理服务费：</w:t>
      </w:r>
    </w:p>
    <w:p>
      <w:pPr>
        <w:rPr>
          <w:color w:val="auto"/>
        </w:rPr>
      </w:pPr>
    </w:p>
    <w:tbl>
      <w:tblPr>
        <w:tblStyle w:val="46"/>
        <w:tblW w:w="7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9"/>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5329" w:type="dxa"/>
            <w:tcBorders>
              <w:tl2br w:val="single" w:color="auto" w:sz="4" w:space="0"/>
            </w:tcBorders>
          </w:tcPr>
          <w:p>
            <w:pPr>
              <w:spacing w:line="360" w:lineRule="auto"/>
              <w:rPr>
                <w:rFonts w:ascii="宋体" w:hAnsi="宋体" w:cs="宋体"/>
                <w:color w:val="auto"/>
                <w:szCs w:val="21"/>
              </w:rPr>
            </w:pP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费率</w:t>
            </w:r>
          </w:p>
          <w:p>
            <w:pPr>
              <w:spacing w:line="360" w:lineRule="auto"/>
              <w:rPr>
                <w:rFonts w:ascii="宋体" w:hAnsi="宋体" w:cs="宋体"/>
                <w:color w:val="auto"/>
                <w:szCs w:val="21"/>
              </w:rPr>
            </w:pPr>
            <w:r>
              <w:rPr>
                <w:rFonts w:hint="eastAsia" w:ascii="宋体" w:hAnsi="宋体" w:cs="宋体"/>
                <w:color w:val="auto"/>
                <w:szCs w:val="21"/>
              </w:rPr>
              <w:t>金额</w:t>
            </w:r>
          </w:p>
        </w:tc>
        <w:tc>
          <w:tcPr>
            <w:tcW w:w="2546" w:type="dxa"/>
            <w:vAlign w:val="center"/>
          </w:tcPr>
          <w:p>
            <w:pPr>
              <w:spacing w:line="360" w:lineRule="auto"/>
              <w:ind w:firstLine="105" w:firstLineChars="50"/>
              <w:jc w:val="center"/>
              <w:rPr>
                <w:rFonts w:ascii="宋体" w:hAnsi="宋体" w:cs="宋体"/>
                <w:color w:val="auto"/>
                <w:szCs w:val="21"/>
              </w:rPr>
            </w:pPr>
            <w:r>
              <w:rPr>
                <w:rFonts w:hint="eastAsia" w:ascii="宋体" w:hAnsi="宋体" w:cs="宋体"/>
                <w:color w:val="auto"/>
                <w:szCs w:val="21"/>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5329" w:type="dxa"/>
          </w:tcPr>
          <w:p>
            <w:pPr>
              <w:spacing w:line="360" w:lineRule="auto"/>
              <w:rPr>
                <w:rFonts w:ascii="宋体" w:hAnsi="宋体" w:cs="宋体"/>
                <w:color w:val="auto"/>
                <w:szCs w:val="21"/>
              </w:rPr>
            </w:pPr>
            <w:r>
              <w:rPr>
                <w:rFonts w:hint="eastAsia" w:ascii="宋体" w:hAnsi="宋体" w:cs="宋体"/>
                <w:color w:val="auto"/>
                <w:szCs w:val="21"/>
              </w:rPr>
              <w:t>100万元以下</w:t>
            </w:r>
          </w:p>
        </w:tc>
        <w:tc>
          <w:tcPr>
            <w:tcW w:w="2546" w:type="dxa"/>
          </w:tcPr>
          <w:p>
            <w:pPr>
              <w:spacing w:line="360" w:lineRule="auto"/>
              <w:jc w:val="center"/>
              <w:rPr>
                <w:rFonts w:ascii="宋体" w:hAnsi="宋体" w:cs="宋体"/>
                <w:color w:val="auto"/>
                <w:szCs w:val="21"/>
              </w:rPr>
            </w:pPr>
            <w:r>
              <w:rPr>
                <w:rFonts w:hint="eastAsia" w:ascii="宋体" w:hAnsi="宋体" w:cs="宋体"/>
                <w:color w:val="auto"/>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5329" w:type="dxa"/>
          </w:tcPr>
          <w:p>
            <w:pPr>
              <w:spacing w:line="360" w:lineRule="auto"/>
              <w:rPr>
                <w:rFonts w:ascii="宋体" w:hAnsi="宋体" w:cs="宋体"/>
                <w:color w:val="auto"/>
                <w:szCs w:val="21"/>
              </w:rPr>
            </w:pPr>
            <w:r>
              <w:rPr>
                <w:rFonts w:hint="eastAsia" w:ascii="宋体" w:hAnsi="宋体" w:cs="宋体"/>
                <w:color w:val="auto"/>
                <w:szCs w:val="21"/>
              </w:rPr>
              <w:t>100～500万元</w:t>
            </w:r>
          </w:p>
        </w:tc>
        <w:tc>
          <w:tcPr>
            <w:tcW w:w="2546" w:type="dxa"/>
          </w:tcPr>
          <w:p>
            <w:pPr>
              <w:spacing w:line="360" w:lineRule="auto"/>
              <w:jc w:val="center"/>
              <w:rPr>
                <w:rFonts w:ascii="宋体" w:hAnsi="宋体" w:cs="宋体"/>
                <w:color w:val="auto"/>
                <w:szCs w:val="21"/>
              </w:rPr>
            </w:pPr>
            <w:r>
              <w:rPr>
                <w:rFonts w:hint="eastAsia" w:ascii="宋体" w:hAnsi="宋体" w:cs="宋体"/>
                <w:color w:val="auto"/>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5329" w:type="dxa"/>
          </w:tcPr>
          <w:p>
            <w:pPr>
              <w:spacing w:line="360" w:lineRule="auto"/>
              <w:rPr>
                <w:rFonts w:ascii="宋体" w:hAnsi="宋体" w:cs="宋体"/>
                <w:color w:val="auto"/>
                <w:szCs w:val="21"/>
              </w:rPr>
            </w:pPr>
            <w:r>
              <w:rPr>
                <w:rFonts w:hint="eastAsia" w:ascii="宋体" w:hAnsi="宋体" w:cs="宋体"/>
                <w:color w:val="auto"/>
                <w:szCs w:val="21"/>
              </w:rPr>
              <w:t>500～1000万元</w:t>
            </w:r>
          </w:p>
        </w:tc>
        <w:tc>
          <w:tcPr>
            <w:tcW w:w="2546" w:type="dxa"/>
          </w:tcPr>
          <w:p>
            <w:pPr>
              <w:spacing w:line="360" w:lineRule="auto"/>
              <w:jc w:val="center"/>
              <w:rPr>
                <w:rFonts w:ascii="宋体" w:hAnsi="宋体" w:cs="宋体"/>
                <w:color w:val="auto"/>
                <w:szCs w:val="21"/>
              </w:rPr>
            </w:pPr>
            <w:r>
              <w:rPr>
                <w:rFonts w:hint="eastAsia" w:ascii="宋体" w:hAnsi="宋体" w:cs="宋体"/>
                <w:color w:val="auto"/>
                <w:kern w:val="0"/>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5329" w:type="dxa"/>
          </w:tcPr>
          <w:p>
            <w:pPr>
              <w:spacing w:line="360" w:lineRule="auto"/>
              <w:rPr>
                <w:rFonts w:ascii="宋体" w:hAnsi="宋体" w:cs="宋体"/>
                <w:color w:val="auto"/>
                <w:szCs w:val="21"/>
              </w:rPr>
            </w:pPr>
            <w:r>
              <w:rPr>
                <w:rFonts w:hint="eastAsia" w:ascii="宋体" w:hAnsi="宋体" w:cs="宋体"/>
                <w:color w:val="auto"/>
                <w:szCs w:val="21"/>
              </w:rPr>
              <w:t>1000～5000万元</w:t>
            </w:r>
          </w:p>
        </w:tc>
        <w:tc>
          <w:tcPr>
            <w:tcW w:w="2546" w:type="dxa"/>
          </w:tcPr>
          <w:p>
            <w:pPr>
              <w:spacing w:line="360" w:lineRule="auto"/>
              <w:jc w:val="center"/>
              <w:rPr>
                <w:rFonts w:ascii="宋体" w:hAnsi="宋体" w:cs="宋体"/>
                <w:color w:val="auto"/>
                <w:szCs w:val="21"/>
              </w:rPr>
            </w:pPr>
            <w:r>
              <w:rPr>
                <w:rFonts w:hint="eastAsia" w:ascii="宋体" w:hAnsi="宋体" w:cs="宋体"/>
                <w:color w:val="auto"/>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29" w:type="dxa"/>
          </w:tcPr>
          <w:p>
            <w:pPr>
              <w:spacing w:line="360" w:lineRule="auto"/>
              <w:rPr>
                <w:rFonts w:ascii="宋体" w:hAnsi="宋体" w:cs="宋体"/>
                <w:color w:val="auto"/>
                <w:szCs w:val="21"/>
              </w:rPr>
            </w:pPr>
            <w:r>
              <w:rPr>
                <w:rFonts w:hint="eastAsia" w:ascii="宋体" w:hAnsi="宋体" w:cs="宋体"/>
                <w:color w:val="auto"/>
                <w:szCs w:val="21"/>
              </w:rPr>
              <w:t>5000万元～1亿元</w:t>
            </w:r>
          </w:p>
        </w:tc>
        <w:tc>
          <w:tcPr>
            <w:tcW w:w="2546" w:type="dxa"/>
          </w:tcPr>
          <w:p>
            <w:pPr>
              <w:spacing w:line="360" w:lineRule="auto"/>
              <w:jc w:val="center"/>
              <w:rPr>
                <w:rFonts w:ascii="宋体" w:hAnsi="宋体" w:cs="宋体"/>
                <w:color w:val="auto"/>
                <w:szCs w:val="21"/>
              </w:rPr>
            </w:pPr>
            <w:r>
              <w:rPr>
                <w:rFonts w:hint="eastAsia" w:ascii="宋体" w:hAnsi="宋体" w:cs="宋体"/>
                <w:color w:val="auto"/>
                <w:kern w:val="0"/>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5329" w:type="dxa"/>
          </w:tcPr>
          <w:p>
            <w:pPr>
              <w:spacing w:line="360" w:lineRule="auto"/>
              <w:rPr>
                <w:rFonts w:ascii="宋体" w:hAnsi="宋体" w:cs="宋体"/>
                <w:color w:val="auto"/>
                <w:szCs w:val="21"/>
              </w:rPr>
            </w:pPr>
            <w:r>
              <w:rPr>
                <w:rFonts w:hint="eastAsia" w:ascii="宋体" w:hAnsi="宋体" w:cs="宋体"/>
                <w:color w:val="auto"/>
                <w:szCs w:val="21"/>
              </w:rPr>
              <w:t>1～5亿元</w:t>
            </w:r>
          </w:p>
        </w:tc>
        <w:tc>
          <w:tcPr>
            <w:tcW w:w="2546" w:type="dxa"/>
          </w:tcPr>
          <w:p>
            <w:pPr>
              <w:spacing w:line="360" w:lineRule="auto"/>
              <w:jc w:val="center"/>
              <w:rPr>
                <w:rFonts w:ascii="宋体" w:hAnsi="宋体" w:cs="宋体"/>
                <w:color w:val="auto"/>
                <w:szCs w:val="21"/>
              </w:rPr>
            </w:pPr>
            <w:r>
              <w:rPr>
                <w:rFonts w:hint="eastAsia" w:ascii="宋体" w:hAnsi="宋体" w:cs="宋体"/>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5329" w:type="dxa"/>
          </w:tcPr>
          <w:p>
            <w:pPr>
              <w:spacing w:line="360" w:lineRule="auto"/>
              <w:rPr>
                <w:rFonts w:ascii="宋体" w:hAnsi="宋体" w:cs="宋体"/>
                <w:color w:val="auto"/>
                <w:szCs w:val="21"/>
              </w:rPr>
            </w:pPr>
            <w:r>
              <w:rPr>
                <w:rFonts w:hint="eastAsia" w:ascii="宋体" w:hAnsi="宋体" w:cs="宋体"/>
                <w:color w:val="auto"/>
                <w:szCs w:val="21"/>
              </w:rPr>
              <w:t>5～10亿元</w:t>
            </w:r>
          </w:p>
        </w:tc>
        <w:tc>
          <w:tcPr>
            <w:tcW w:w="2546" w:type="dxa"/>
          </w:tcPr>
          <w:p>
            <w:pPr>
              <w:spacing w:line="360" w:lineRule="auto"/>
              <w:jc w:val="center"/>
              <w:rPr>
                <w:rFonts w:ascii="宋体" w:hAnsi="宋体" w:cs="宋体"/>
                <w:color w:val="auto"/>
                <w:szCs w:val="21"/>
              </w:rPr>
            </w:pPr>
            <w:r>
              <w:rPr>
                <w:rFonts w:hint="eastAsia" w:ascii="宋体" w:hAnsi="宋体" w:cs="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5329" w:type="dxa"/>
          </w:tcPr>
          <w:p>
            <w:pPr>
              <w:spacing w:line="360" w:lineRule="auto"/>
              <w:rPr>
                <w:rFonts w:ascii="宋体" w:hAnsi="宋体" w:cs="宋体"/>
                <w:color w:val="auto"/>
                <w:szCs w:val="21"/>
              </w:rPr>
            </w:pPr>
            <w:r>
              <w:rPr>
                <w:rFonts w:hint="eastAsia" w:ascii="宋体" w:hAnsi="宋体" w:cs="宋体"/>
                <w:color w:val="auto"/>
                <w:szCs w:val="21"/>
              </w:rPr>
              <w:t>10～50亿元</w:t>
            </w:r>
          </w:p>
        </w:tc>
        <w:tc>
          <w:tcPr>
            <w:tcW w:w="2546" w:type="dxa"/>
          </w:tcPr>
          <w:p>
            <w:pPr>
              <w:spacing w:line="360" w:lineRule="auto"/>
              <w:jc w:val="center"/>
              <w:rPr>
                <w:rFonts w:ascii="宋体" w:hAnsi="宋体" w:cs="宋体"/>
                <w:color w:val="auto"/>
                <w:szCs w:val="21"/>
              </w:rPr>
            </w:pPr>
            <w:r>
              <w:rPr>
                <w:rFonts w:hint="eastAsia" w:ascii="宋体" w:hAnsi="宋体" w:cs="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5329" w:type="dxa"/>
          </w:tcPr>
          <w:p>
            <w:pPr>
              <w:spacing w:line="360" w:lineRule="auto"/>
              <w:rPr>
                <w:rFonts w:ascii="宋体" w:hAnsi="宋体" w:cs="宋体"/>
                <w:color w:val="auto"/>
                <w:szCs w:val="21"/>
              </w:rPr>
            </w:pPr>
            <w:r>
              <w:rPr>
                <w:rFonts w:hint="eastAsia" w:ascii="宋体" w:hAnsi="宋体" w:cs="宋体"/>
                <w:color w:val="auto"/>
                <w:szCs w:val="21"/>
              </w:rPr>
              <w:t>50～100亿元</w:t>
            </w:r>
          </w:p>
        </w:tc>
        <w:tc>
          <w:tcPr>
            <w:tcW w:w="2546" w:type="dxa"/>
          </w:tcPr>
          <w:p>
            <w:pPr>
              <w:spacing w:line="360" w:lineRule="auto"/>
              <w:jc w:val="center"/>
              <w:rPr>
                <w:rFonts w:ascii="宋体" w:hAnsi="宋体" w:cs="宋体"/>
                <w:color w:val="auto"/>
                <w:szCs w:val="21"/>
              </w:rPr>
            </w:pPr>
            <w:r>
              <w:rPr>
                <w:rFonts w:hint="eastAsia" w:ascii="宋体" w:hAnsi="宋体" w:cs="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29" w:type="dxa"/>
          </w:tcPr>
          <w:p>
            <w:pPr>
              <w:spacing w:line="360" w:lineRule="auto"/>
              <w:rPr>
                <w:rFonts w:ascii="宋体" w:hAnsi="宋体" w:cs="宋体"/>
                <w:color w:val="auto"/>
                <w:szCs w:val="21"/>
              </w:rPr>
            </w:pPr>
            <w:r>
              <w:rPr>
                <w:rFonts w:hint="eastAsia" w:ascii="宋体" w:hAnsi="宋体" w:cs="宋体"/>
                <w:color w:val="auto"/>
                <w:szCs w:val="21"/>
              </w:rPr>
              <w:t>100亿以上</w:t>
            </w:r>
          </w:p>
        </w:tc>
        <w:tc>
          <w:tcPr>
            <w:tcW w:w="2546" w:type="dxa"/>
          </w:tcPr>
          <w:p>
            <w:pPr>
              <w:spacing w:line="360" w:lineRule="auto"/>
              <w:jc w:val="center"/>
              <w:rPr>
                <w:rFonts w:ascii="宋体" w:hAnsi="宋体" w:cs="宋体"/>
                <w:color w:val="auto"/>
                <w:szCs w:val="21"/>
              </w:rPr>
            </w:pPr>
            <w:r>
              <w:rPr>
                <w:rFonts w:hint="eastAsia" w:ascii="宋体" w:hAnsi="宋体" w:cs="宋体"/>
                <w:color w:val="auto"/>
                <w:szCs w:val="21"/>
              </w:rPr>
              <w:t>0.004%</w:t>
            </w:r>
          </w:p>
        </w:tc>
      </w:tr>
    </w:tbl>
    <w:p>
      <w:pPr>
        <w:spacing w:line="500" w:lineRule="exact"/>
        <w:ind w:firstLine="420" w:firstLineChars="200"/>
        <w:rPr>
          <w:rFonts w:ascii="宋体" w:hAnsi="宋体" w:cs="宋体"/>
          <w:color w:val="auto"/>
          <w:szCs w:val="21"/>
        </w:rPr>
      </w:pPr>
      <w:r>
        <w:rPr>
          <w:rFonts w:ascii="宋体" w:hAnsi="宋体" w:cs="宋体"/>
          <w:color w:val="auto"/>
          <w:szCs w:val="21"/>
        </w:rPr>
        <w:t xml:space="preserve">注： </w:t>
      </w:r>
    </w:p>
    <w:p>
      <w:pPr>
        <w:spacing w:line="480" w:lineRule="exact"/>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按本表费率计算的收费为</w:t>
      </w:r>
      <w:r>
        <w:rPr>
          <w:rFonts w:hint="eastAsia" w:ascii="宋体" w:hAnsi="宋体" w:cs="宋体"/>
          <w:color w:val="auto"/>
          <w:szCs w:val="21"/>
        </w:rPr>
        <w:t>采购</w:t>
      </w:r>
      <w:r>
        <w:rPr>
          <w:rFonts w:ascii="宋体" w:hAnsi="宋体" w:cs="宋体"/>
          <w:color w:val="auto"/>
          <w:szCs w:val="21"/>
        </w:rPr>
        <w:t>代理的收费基准价格</w:t>
      </w:r>
      <w:r>
        <w:rPr>
          <w:rFonts w:hint="eastAsia" w:ascii="宋体" w:hAnsi="宋体" w:cs="宋体"/>
          <w:color w:val="auto"/>
          <w:szCs w:val="21"/>
        </w:rPr>
        <w:t>；</w:t>
      </w:r>
    </w:p>
    <w:p>
      <w:pPr>
        <w:spacing w:line="480" w:lineRule="exact"/>
        <w:ind w:firstLine="420" w:firstLineChars="200"/>
        <w:rPr>
          <w:rFonts w:ascii="宋体" w:hAnsi="宋体" w:cs="宋体"/>
          <w:color w:val="auto"/>
          <w:szCs w:val="21"/>
        </w:rPr>
      </w:pPr>
      <w:r>
        <w:rPr>
          <w:rFonts w:hint="eastAsia" w:ascii="宋体" w:hAnsi="宋体" w:cs="宋体"/>
          <w:color w:val="auto"/>
          <w:szCs w:val="21"/>
        </w:rPr>
        <w:t>（2）采购</w:t>
      </w:r>
      <w:r>
        <w:rPr>
          <w:rFonts w:ascii="宋体" w:hAnsi="宋体" w:cs="宋体"/>
          <w:color w:val="auto"/>
          <w:szCs w:val="21"/>
        </w:rPr>
        <w:t>代理收费按差额定率累进法计算。</w:t>
      </w:r>
    </w:p>
    <w:p>
      <w:pPr>
        <w:spacing w:line="480" w:lineRule="exact"/>
        <w:ind w:firstLine="420" w:firstLineChars="200"/>
        <w:rPr>
          <w:rFonts w:ascii="宋体" w:hAnsi="宋体" w:cs="宋体"/>
          <w:color w:val="auto"/>
          <w:szCs w:val="21"/>
        </w:rPr>
      </w:pPr>
      <w:r>
        <w:rPr>
          <w:rFonts w:ascii="宋体" w:hAnsi="宋体" w:cs="宋体"/>
          <w:color w:val="auto"/>
          <w:szCs w:val="21"/>
        </w:rPr>
        <w:t>例如：某</w:t>
      </w:r>
      <w:r>
        <w:rPr>
          <w:rFonts w:hint="eastAsia" w:ascii="宋体" w:hAnsi="宋体" w:cs="宋体"/>
          <w:color w:val="auto"/>
          <w:szCs w:val="21"/>
        </w:rPr>
        <w:t>货物采购</w:t>
      </w:r>
      <w:r>
        <w:rPr>
          <w:rFonts w:ascii="宋体" w:hAnsi="宋体" w:cs="宋体"/>
          <w:color w:val="auto"/>
          <w:szCs w:val="21"/>
        </w:rPr>
        <w:t>代理业务</w:t>
      </w:r>
      <w:r>
        <w:rPr>
          <w:rFonts w:hint="eastAsia" w:ascii="宋体" w:hAnsi="宋体" w:cs="宋体"/>
          <w:color w:val="auto"/>
          <w:szCs w:val="21"/>
        </w:rPr>
        <w:t>成交</w:t>
      </w:r>
      <w:r>
        <w:rPr>
          <w:rFonts w:ascii="宋体" w:hAnsi="宋体" w:cs="宋体"/>
          <w:color w:val="auto"/>
          <w:szCs w:val="21"/>
        </w:rPr>
        <w:t>金额</w:t>
      </w:r>
      <w:r>
        <w:rPr>
          <w:rFonts w:hint="eastAsia" w:ascii="宋体" w:hAnsi="宋体" w:cs="宋体"/>
          <w:color w:val="auto"/>
          <w:szCs w:val="21"/>
        </w:rPr>
        <w:t>或者暂定价</w:t>
      </w:r>
      <w:r>
        <w:rPr>
          <w:rFonts w:ascii="宋体" w:hAnsi="宋体" w:cs="宋体"/>
          <w:color w:val="auto"/>
          <w:szCs w:val="21"/>
        </w:rPr>
        <w:t>为150万元，计算</w:t>
      </w:r>
      <w:r>
        <w:rPr>
          <w:rFonts w:hint="eastAsia" w:ascii="宋体" w:hAnsi="宋体" w:cs="宋体"/>
          <w:color w:val="auto"/>
          <w:szCs w:val="21"/>
        </w:rPr>
        <w:t>采购</w:t>
      </w:r>
      <w:r>
        <w:rPr>
          <w:rFonts w:ascii="宋体" w:hAnsi="宋体" w:cs="宋体"/>
          <w:color w:val="auto"/>
          <w:szCs w:val="21"/>
        </w:rPr>
        <w:t>代理收费额如下：</w:t>
      </w:r>
    </w:p>
    <w:p>
      <w:pPr>
        <w:spacing w:line="480" w:lineRule="exact"/>
        <w:ind w:firstLine="420" w:firstLineChars="200"/>
        <w:rPr>
          <w:rFonts w:ascii="宋体" w:hAnsi="宋体" w:cs="宋体"/>
          <w:color w:val="auto"/>
          <w:szCs w:val="21"/>
        </w:rPr>
      </w:pPr>
      <w:r>
        <w:rPr>
          <w:rFonts w:ascii="宋体" w:hAnsi="宋体" w:cs="宋体"/>
          <w:color w:val="auto"/>
          <w:szCs w:val="21"/>
        </w:rPr>
        <w:t>100 万元 ×l.5 ％＝ 1.5 万元</w:t>
      </w:r>
    </w:p>
    <w:p>
      <w:pPr>
        <w:spacing w:line="480" w:lineRule="exact"/>
        <w:ind w:firstLine="420" w:firstLineChars="200"/>
        <w:rPr>
          <w:rFonts w:ascii="宋体" w:hAnsi="宋体" w:cs="宋体"/>
          <w:color w:val="auto"/>
          <w:szCs w:val="21"/>
        </w:rPr>
      </w:pPr>
      <w:r>
        <w:rPr>
          <w:rFonts w:ascii="宋体" w:hAnsi="宋体" w:cs="宋体"/>
          <w:color w:val="auto"/>
          <w:szCs w:val="21"/>
        </w:rPr>
        <w:t>（ 150 － 100 ）万元 ×1.1％＝ 0.55 万元</w:t>
      </w:r>
    </w:p>
    <w:p>
      <w:pPr>
        <w:spacing w:line="480" w:lineRule="exact"/>
        <w:ind w:firstLine="420" w:firstLineChars="200"/>
        <w:rPr>
          <w:rFonts w:ascii="宋体" w:hAnsi="宋体" w:cs="宋体"/>
          <w:color w:val="auto"/>
        </w:rPr>
      </w:pPr>
      <w:r>
        <w:rPr>
          <w:rFonts w:ascii="宋体" w:hAnsi="宋体" w:cs="宋体"/>
          <w:color w:val="auto"/>
          <w:szCs w:val="21"/>
        </w:rPr>
        <w:t>合计收费＝ 1.5 ＋ 0.55＝ 2.05 （万元）</w:t>
      </w:r>
    </w:p>
    <w:p>
      <w:pPr>
        <w:rPr>
          <w:rFonts w:ascii="宋体" w:hAnsi="宋体" w:cs="宋体"/>
          <w:color w:val="auto"/>
        </w:rPr>
      </w:pPr>
    </w:p>
    <w:p>
      <w:pPr>
        <w:pStyle w:val="18"/>
        <w:adjustRightInd w:val="0"/>
        <w:snapToGrid w:val="0"/>
        <w:spacing w:line="360" w:lineRule="exact"/>
        <w:rPr>
          <w:rFonts w:hAnsi="宋体" w:cs="宋体"/>
          <w:color w:val="auto"/>
          <w:sz w:val="22"/>
          <w:szCs w:val="22"/>
        </w:rPr>
      </w:pPr>
    </w:p>
    <w:p>
      <w:pPr>
        <w:pStyle w:val="18"/>
        <w:adjustRightInd w:val="0"/>
        <w:snapToGrid w:val="0"/>
        <w:spacing w:line="360" w:lineRule="exact"/>
        <w:rPr>
          <w:rFonts w:hAnsi="宋体" w:cs="宋体"/>
          <w:color w:val="auto"/>
          <w:sz w:val="22"/>
          <w:szCs w:val="22"/>
        </w:rPr>
      </w:pPr>
    </w:p>
    <w:p>
      <w:pPr>
        <w:pStyle w:val="18"/>
        <w:adjustRightInd w:val="0"/>
        <w:snapToGrid w:val="0"/>
        <w:spacing w:line="360" w:lineRule="exact"/>
        <w:rPr>
          <w:rFonts w:hAnsi="宋体" w:cs="宋体"/>
          <w:color w:val="auto"/>
          <w:sz w:val="22"/>
          <w:szCs w:val="22"/>
        </w:rPr>
      </w:pPr>
      <w:r>
        <w:rPr>
          <w:rFonts w:hint="eastAsia" w:hAnsi="宋体" w:cs="宋体"/>
          <w:color w:val="auto"/>
          <w:sz w:val="22"/>
          <w:szCs w:val="22"/>
        </w:rPr>
        <w:t>特别说明：</w:t>
      </w:r>
    </w:p>
    <w:p>
      <w:pPr>
        <w:pStyle w:val="18"/>
        <w:adjustRightInd w:val="0"/>
        <w:snapToGrid w:val="0"/>
        <w:spacing w:line="360" w:lineRule="exact"/>
        <w:ind w:firstLine="440" w:firstLineChars="200"/>
        <w:rPr>
          <w:rFonts w:hAnsi="宋体" w:cs="宋体"/>
          <w:color w:val="auto"/>
          <w:sz w:val="22"/>
          <w:szCs w:val="22"/>
        </w:rPr>
      </w:pPr>
      <w:r>
        <w:rPr>
          <w:rFonts w:hint="eastAsia" w:hAnsi="宋体" w:cs="宋体"/>
          <w:color w:val="auto"/>
          <w:sz w:val="22"/>
          <w:szCs w:val="22"/>
        </w:rPr>
        <w:t>1.</w:t>
      </w:r>
      <w:r>
        <w:rPr>
          <w:rStyle w:val="40"/>
          <w:rFonts w:ascii="Arial" w:hAnsi="Arial" w:eastAsia="Arial" w:cs="Arial"/>
          <w:color w:val="auto"/>
          <w:sz w:val="21"/>
          <w:szCs w:val="21"/>
          <w:shd w:val="clear" w:color="auto" w:fill="FFFFFF"/>
        </w:rPr>
        <w:t>广西政府采购云平台</w:t>
      </w:r>
      <w:r>
        <w:rPr>
          <w:rFonts w:hint="eastAsia" w:hAnsi="宋体" w:cs="宋体"/>
          <w:color w:val="auto"/>
          <w:sz w:val="22"/>
          <w:szCs w:val="22"/>
        </w:rPr>
        <w:t>公司如对政府采购电子化流程及评审程序有调整的，按调整后的程序操作。</w:t>
      </w:r>
    </w:p>
    <w:p>
      <w:pPr>
        <w:pStyle w:val="18"/>
        <w:adjustRightInd w:val="0"/>
        <w:snapToGrid w:val="0"/>
        <w:spacing w:line="360" w:lineRule="exact"/>
        <w:ind w:firstLine="440" w:firstLineChars="200"/>
        <w:rPr>
          <w:rFonts w:hAnsi="宋体" w:cs="宋体"/>
          <w:color w:val="auto"/>
          <w:sz w:val="22"/>
          <w:szCs w:val="22"/>
        </w:rPr>
      </w:pPr>
      <w:r>
        <w:rPr>
          <w:rFonts w:hint="eastAsia" w:hAnsi="宋体" w:cs="宋体"/>
          <w:color w:val="auto"/>
          <w:sz w:val="22"/>
          <w:szCs w:val="22"/>
        </w:rPr>
        <w:t>2.如有特殊情况，采购代理机构延长截止时间和开标时间，采购代理机构和供应商的权利和义务将受到新的截止时间和开标时间的约束。</w:t>
      </w:r>
    </w:p>
    <w:p>
      <w:pPr>
        <w:pStyle w:val="18"/>
        <w:adjustRightInd w:val="0"/>
        <w:snapToGrid w:val="0"/>
        <w:spacing w:line="360" w:lineRule="exact"/>
        <w:ind w:firstLine="440" w:firstLineChars="200"/>
        <w:rPr>
          <w:rFonts w:hAnsi="宋体" w:cs="宋体"/>
          <w:color w:val="auto"/>
          <w:sz w:val="22"/>
          <w:szCs w:val="22"/>
        </w:rPr>
      </w:pPr>
      <w:r>
        <w:rPr>
          <w:rFonts w:hint="eastAsia" w:hAnsi="宋体" w:cs="宋体"/>
          <w:color w:val="auto"/>
          <w:sz w:val="22"/>
          <w:szCs w:val="22"/>
        </w:rPr>
        <w:t>3.采购过程中出现以下情形，导致</w:t>
      </w:r>
      <w:r>
        <w:rPr>
          <w:rStyle w:val="40"/>
          <w:rFonts w:ascii="Arial" w:hAnsi="Arial" w:eastAsia="Arial" w:cs="Arial"/>
          <w:color w:val="auto"/>
          <w:sz w:val="21"/>
          <w:szCs w:val="21"/>
          <w:shd w:val="clear" w:color="auto" w:fill="FFFFFF"/>
        </w:rPr>
        <w:t>广西政府采购云平台</w:t>
      </w:r>
      <w:r>
        <w:rPr>
          <w:rFonts w:hint="eastAsia" w:hAnsi="宋体" w:cs="宋体"/>
          <w:color w:val="auto"/>
          <w:sz w:val="22"/>
          <w:szCs w:val="22"/>
        </w:rPr>
        <w:t>无法正常运行，或者无法保证开评标活动的公平、公正和安全时，采购代理机构可中止开评标活动：</w:t>
      </w:r>
    </w:p>
    <w:p>
      <w:pPr>
        <w:pStyle w:val="18"/>
        <w:adjustRightInd w:val="0"/>
        <w:snapToGrid w:val="0"/>
        <w:spacing w:line="360" w:lineRule="exact"/>
        <w:ind w:firstLine="440" w:firstLineChars="200"/>
        <w:rPr>
          <w:rFonts w:hAnsi="宋体" w:cs="宋体"/>
          <w:color w:val="auto"/>
          <w:sz w:val="22"/>
          <w:szCs w:val="22"/>
        </w:rPr>
      </w:pPr>
      <w:r>
        <w:rPr>
          <w:rFonts w:hint="eastAsia" w:hAnsi="宋体" w:cs="宋体"/>
          <w:color w:val="auto"/>
          <w:sz w:val="22"/>
          <w:szCs w:val="22"/>
        </w:rPr>
        <w:t>3.1</w:t>
      </w:r>
      <w:r>
        <w:rPr>
          <w:rStyle w:val="40"/>
          <w:rFonts w:ascii="Arial" w:hAnsi="Arial" w:eastAsia="Arial" w:cs="Arial"/>
          <w:color w:val="auto"/>
          <w:sz w:val="21"/>
          <w:szCs w:val="21"/>
          <w:shd w:val="clear" w:color="auto" w:fill="FFFFFF"/>
        </w:rPr>
        <w:t>广西政府采购云平台</w:t>
      </w:r>
      <w:r>
        <w:rPr>
          <w:rFonts w:hint="eastAsia" w:hAnsi="宋体" w:cs="宋体"/>
          <w:color w:val="auto"/>
          <w:sz w:val="22"/>
          <w:szCs w:val="22"/>
        </w:rPr>
        <w:t xml:space="preserve">发生故障而无法登录访问的； </w:t>
      </w:r>
    </w:p>
    <w:p>
      <w:pPr>
        <w:pStyle w:val="18"/>
        <w:adjustRightInd w:val="0"/>
        <w:snapToGrid w:val="0"/>
        <w:spacing w:line="360" w:lineRule="exact"/>
        <w:ind w:firstLine="440" w:firstLineChars="200"/>
        <w:rPr>
          <w:rFonts w:hAnsi="宋体" w:cs="宋体"/>
          <w:color w:val="auto"/>
          <w:sz w:val="22"/>
          <w:szCs w:val="22"/>
        </w:rPr>
      </w:pPr>
      <w:r>
        <w:rPr>
          <w:rFonts w:hint="eastAsia" w:hAnsi="宋体" w:cs="宋体"/>
          <w:color w:val="auto"/>
          <w:sz w:val="22"/>
          <w:szCs w:val="22"/>
        </w:rPr>
        <w:t>3.2</w:t>
      </w:r>
      <w:r>
        <w:rPr>
          <w:rStyle w:val="40"/>
          <w:rFonts w:ascii="Arial" w:hAnsi="Arial" w:eastAsia="Arial" w:cs="Arial"/>
          <w:color w:val="auto"/>
          <w:sz w:val="21"/>
          <w:szCs w:val="21"/>
          <w:shd w:val="clear" w:color="auto" w:fill="FFFFFF"/>
        </w:rPr>
        <w:t>广西政府采购云平台</w:t>
      </w:r>
      <w:r>
        <w:rPr>
          <w:rFonts w:hint="eastAsia" w:hAnsi="宋体" w:cs="宋体"/>
          <w:color w:val="auto"/>
          <w:sz w:val="22"/>
          <w:szCs w:val="22"/>
        </w:rPr>
        <w:t>应用或数据库出现错误，不能进行正常操作的；</w:t>
      </w:r>
    </w:p>
    <w:p>
      <w:pPr>
        <w:pStyle w:val="18"/>
        <w:adjustRightInd w:val="0"/>
        <w:snapToGrid w:val="0"/>
        <w:spacing w:line="360" w:lineRule="exact"/>
        <w:ind w:firstLine="440" w:firstLineChars="200"/>
        <w:rPr>
          <w:rFonts w:hAnsi="宋体" w:cs="宋体"/>
          <w:color w:val="auto"/>
          <w:sz w:val="22"/>
          <w:szCs w:val="22"/>
        </w:rPr>
      </w:pPr>
      <w:r>
        <w:rPr>
          <w:rFonts w:hint="eastAsia" w:hAnsi="宋体" w:cs="宋体"/>
          <w:color w:val="auto"/>
          <w:sz w:val="22"/>
          <w:szCs w:val="22"/>
        </w:rPr>
        <w:t>3.3</w:t>
      </w:r>
      <w:r>
        <w:rPr>
          <w:rStyle w:val="40"/>
          <w:rFonts w:ascii="Arial" w:hAnsi="Arial" w:eastAsia="Arial" w:cs="Arial"/>
          <w:color w:val="auto"/>
          <w:sz w:val="21"/>
          <w:szCs w:val="21"/>
          <w:shd w:val="clear" w:color="auto" w:fill="FFFFFF"/>
        </w:rPr>
        <w:t>广西政府采购云平台</w:t>
      </w:r>
      <w:r>
        <w:rPr>
          <w:rFonts w:hint="eastAsia" w:hAnsi="宋体" w:cs="宋体"/>
          <w:color w:val="auto"/>
          <w:sz w:val="22"/>
          <w:szCs w:val="22"/>
        </w:rPr>
        <w:t>发现严重安全漏洞，有潜在泄密危险的；</w:t>
      </w:r>
    </w:p>
    <w:p>
      <w:pPr>
        <w:pStyle w:val="18"/>
        <w:adjustRightInd w:val="0"/>
        <w:snapToGrid w:val="0"/>
        <w:spacing w:line="360" w:lineRule="exact"/>
        <w:ind w:firstLine="440" w:firstLineChars="200"/>
        <w:rPr>
          <w:rFonts w:hAnsi="宋体" w:cs="宋体"/>
          <w:color w:val="auto"/>
          <w:sz w:val="22"/>
          <w:szCs w:val="22"/>
        </w:rPr>
      </w:pPr>
      <w:r>
        <w:rPr>
          <w:rFonts w:hint="eastAsia" w:hAnsi="宋体" w:cs="宋体"/>
          <w:color w:val="auto"/>
          <w:sz w:val="22"/>
          <w:szCs w:val="22"/>
        </w:rPr>
        <w:t xml:space="preserve">3.4病毒发作导致不能进行正常操作的； </w:t>
      </w:r>
    </w:p>
    <w:p>
      <w:pPr>
        <w:pStyle w:val="18"/>
        <w:adjustRightInd w:val="0"/>
        <w:snapToGrid w:val="0"/>
        <w:spacing w:line="360" w:lineRule="exact"/>
        <w:ind w:firstLine="440" w:firstLineChars="200"/>
        <w:rPr>
          <w:rFonts w:hAnsi="宋体" w:cs="宋体"/>
          <w:color w:val="auto"/>
          <w:sz w:val="22"/>
          <w:szCs w:val="22"/>
        </w:rPr>
      </w:pPr>
      <w:r>
        <w:rPr>
          <w:rFonts w:hint="eastAsia" w:hAnsi="宋体" w:cs="宋体"/>
          <w:color w:val="auto"/>
          <w:sz w:val="22"/>
          <w:szCs w:val="22"/>
        </w:rPr>
        <w:t>3.5其他无法保证电子交易的公平、公正和安全的情况。</w:t>
      </w:r>
    </w:p>
    <w:p>
      <w:pPr>
        <w:pStyle w:val="18"/>
        <w:adjustRightInd w:val="0"/>
        <w:snapToGrid w:val="0"/>
        <w:spacing w:line="360" w:lineRule="exact"/>
        <w:ind w:firstLine="440" w:firstLineChars="200"/>
        <w:rPr>
          <w:rFonts w:hAnsi="宋体" w:cs="宋体"/>
          <w:color w:val="auto"/>
          <w:sz w:val="22"/>
          <w:szCs w:val="22"/>
        </w:rPr>
      </w:pPr>
      <w:r>
        <w:rPr>
          <w:rFonts w:hint="eastAsia" w:hAnsi="宋体" w:cs="宋体"/>
          <w:color w:val="auto"/>
          <w:sz w:val="22"/>
          <w:szCs w:val="22"/>
        </w:rPr>
        <w:t>出现前款规定情形，不影响采购公平、公正性的，采购代理机构可以待上述情形消除后继续组织开评标活动，也可以决定某些环节以纸质形式进行；影响或可能影响采购公平、公正性的，应当重新采购。</w:t>
      </w:r>
    </w:p>
    <w:p>
      <w:pPr>
        <w:rPr>
          <w:rFonts w:ascii="宋体" w:hAnsi="宋体" w:cs="宋体"/>
          <w:color w:val="auto"/>
        </w:rPr>
      </w:pPr>
    </w:p>
    <w:p>
      <w:pPr>
        <w:pStyle w:val="18"/>
        <w:rPr>
          <w:rFonts w:hAnsi="宋体" w:cs="宋体"/>
          <w:color w:val="auto"/>
        </w:rPr>
      </w:pPr>
      <w:r>
        <w:rPr>
          <w:rFonts w:hint="eastAsia" w:hAnsi="宋体" w:cs="宋体"/>
          <w:color w:val="auto"/>
        </w:rPr>
        <w:br w:type="page"/>
      </w:r>
    </w:p>
    <w:p>
      <w:pPr>
        <w:pStyle w:val="18"/>
        <w:rPr>
          <w:rFonts w:hAnsi="宋体" w:cs="宋体"/>
          <w:color w:val="auto"/>
        </w:rPr>
      </w:pPr>
    </w:p>
    <w:p>
      <w:pPr>
        <w:spacing w:line="580" w:lineRule="exact"/>
        <w:jc w:val="center"/>
        <w:rPr>
          <w:rFonts w:ascii="宋体" w:hAnsi="宋体" w:cs="宋体"/>
          <w:color w:val="auto"/>
          <w:sz w:val="32"/>
          <w:szCs w:val="32"/>
        </w:rPr>
      </w:pPr>
      <w:r>
        <w:rPr>
          <w:rFonts w:hint="eastAsia" w:ascii="宋体" w:hAnsi="宋体" w:cs="宋体"/>
          <w:color w:val="auto"/>
          <w:sz w:val="32"/>
          <w:szCs w:val="32"/>
        </w:rPr>
        <w:t>广西线上“政采贷”政策告知函</w:t>
      </w:r>
    </w:p>
    <w:p>
      <w:pPr>
        <w:spacing w:line="580" w:lineRule="exact"/>
        <w:ind w:firstLine="420" w:firstLineChars="200"/>
        <w:rPr>
          <w:rFonts w:ascii="宋体" w:hAnsi="宋体" w:cs="宋体"/>
          <w:color w:val="auto"/>
          <w:szCs w:val="32"/>
        </w:rPr>
      </w:pPr>
    </w:p>
    <w:p>
      <w:pPr>
        <w:spacing w:line="580" w:lineRule="exact"/>
        <w:rPr>
          <w:rFonts w:ascii="宋体" w:hAnsi="宋体" w:cs="宋体"/>
          <w:color w:val="auto"/>
          <w:szCs w:val="21"/>
        </w:rPr>
      </w:pPr>
      <w:r>
        <w:rPr>
          <w:rFonts w:hint="eastAsia" w:ascii="宋体" w:hAnsi="宋体" w:cs="宋体"/>
          <w:color w:val="auto"/>
          <w:szCs w:val="21"/>
        </w:rPr>
        <w:t>各供应商：</w:t>
      </w:r>
    </w:p>
    <w:p>
      <w:pPr>
        <w:spacing w:line="580" w:lineRule="exact"/>
        <w:ind w:firstLine="420" w:firstLineChars="200"/>
        <w:rPr>
          <w:rFonts w:ascii="宋体" w:hAnsi="宋体" w:cs="宋体"/>
          <w:color w:val="auto"/>
          <w:szCs w:val="21"/>
        </w:rPr>
      </w:pPr>
      <w:r>
        <w:rPr>
          <w:rFonts w:hint="eastAsia" w:ascii="宋体" w:hAnsi="宋体" w:cs="宋体"/>
          <w:color w:val="auto"/>
          <w:szCs w:val="21"/>
        </w:rPr>
        <w:t>欢迎贵公司参与广西政府采购活动！</w:t>
      </w:r>
    </w:p>
    <w:p>
      <w:pPr>
        <w:spacing w:line="580" w:lineRule="exact"/>
        <w:ind w:firstLine="420" w:firstLineChars="200"/>
        <w:rPr>
          <w:rFonts w:ascii="宋体" w:hAnsi="宋体" w:cs="宋体"/>
          <w:color w:val="auto"/>
          <w:szCs w:val="21"/>
        </w:rPr>
      </w:pPr>
      <w:r>
        <w:rPr>
          <w:rFonts w:hint="eastAsia" w:ascii="宋体" w:hAnsi="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580" w:lineRule="exact"/>
        <w:ind w:firstLine="420" w:firstLineChars="200"/>
        <w:rPr>
          <w:rFonts w:ascii="宋体" w:hAnsi="宋体" w:cs="宋体"/>
          <w:color w:val="auto"/>
          <w:szCs w:val="21"/>
        </w:rPr>
      </w:pPr>
      <w:r>
        <w:rPr>
          <w:rFonts w:hint="eastAsia" w:ascii="宋体" w:hAnsi="宋体" w:cs="宋体"/>
          <w:color w:val="auto"/>
          <w:szCs w:val="21"/>
        </w:rPr>
        <w:t>相关金融产品和银行业金融机构联系方式，可在中征应收账款融资服务平台查询（网址：</w:t>
      </w:r>
      <w:r>
        <w:rPr>
          <w:color w:val="auto"/>
        </w:rPr>
        <w:fldChar w:fldCharType="begin"/>
      </w:r>
      <w:r>
        <w:rPr>
          <w:color w:val="auto"/>
        </w:rPr>
        <w:instrText xml:space="preserve"> HYPERLINK "https://www.crcrfsp.com/" </w:instrText>
      </w:r>
      <w:r>
        <w:rPr>
          <w:color w:val="auto"/>
        </w:rPr>
        <w:fldChar w:fldCharType="separate"/>
      </w:r>
      <w:r>
        <w:rPr>
          <w:rStyle w:val="34"/>
          <w:rFonts w:hint="eastAsia" w:ascii="宋体" w:hAnsi="宋体" w:cs="宋体"/>
          <w:color w:val="auto"/>
          <w:szCs w:val="21"/>
        </w:rPr>
        <w:t>https://www.crcrfsp.com/</w:t>
      </w:r>
      <w:r>
        <w:rPr>
          <w:rStyle w:val="34"/>
          <w:rFonts w:hint="eastAsia" w:ascii="宋体" w:hAnsi="宋体" w:cs="宋体"/>
          <w:color w:val="auto"/>
          <w:szCs w:val="21"/>
        </w:rPr>
        <w:fldChar w:fldCharType="end"/>
      </w:r>
      <w:r>
        <w:rPr>
          <w:rFonts w:hint="eastAsia" w:ascii="宋体" w:hAnsi="宋体" w:cs="宋体"/>
          <w:color w:val="auto"/>
          <w:szCs w:val="21"/>
        </w:rPr>
        <w:t>，客服电话：400-009-0001）。</w:t>
      </w:r>
    </w:p>
    <w:p>
      <w:pPr>
        <w:pStyle w:val="18"/>
        <w:rPr>
          <w:rFonts w:hAnsi="宋体" w:cs="宋体"/>
          <w:color w:val="auto"/>
        </w:rPr>
      </w:pPr>
    </w:p>
    <w:p>
      <w:pPr>
        <w:rPr>
          <w:rFonts w:ascii="宋体" w:hAnsi="宋体" w:cs="宋体"/>
          <w:color w:val="auto"/>
        </w:rPr>
      </w:pPr>
    </w:p>
    <w:p>
      <w:pPr>
        <w:pStyle w:val="25"/>
        <w:rPr>
          <w:rFonts w:ascii="宋体" w:hAnsi="宋体" w:cs="宋体"/>
          <w:color w:val="auto"/>
        </w:rPr>
      </w:pPr>
    </w:p>
    <w:p>
      <w:pPr>
        <w:rPr>
          <w:rFonts w:ascii="宋体" w:hAnsi="宋体" w:cs="宋体"/>
          <w:color w:val="auto"/>
        </w:rPr>
      </w:pPr>
    </w:p>
    <w:p>
      <w:pPr>
        <w:pStyle w:val="25"/>
        <w:rPr>
          <w:rFonts w:ascii="宋体" w:hAnsi="宋体" w:cs="宋体"/>
          <w:color w:val="auto"/>
        </w:rPr>
      </w:pPr>
    </w:p>
    <w:p>
      <w:pPr>
        <w:rPr>
          <w:rFonts w:ascii="宋体" w:hAnsi="宋体" w:cs="宋体"/>
          <w:color w:val="auto"/>
        </w:rPr>
      </w:pPr>
    </w:p>
    <w:p>
      <w:pPr>
        <w:pStyle w:val="25"/>
        <w:rPr>
          <w:rFonts w:ascii="宋体" w:hAnsi="宋体" w:cs="宋体"/>
          <w:color w:val="auto"/>
        </w:rPr>
      </w:pPr>
    </w:p>
    <w:p>
      <w:pPr>
        <w:rPr>
          <w:rFonts w:ascii="宋体" w:hAnsi="宋体" w:cs="宋体"/>
          <w:color w:val="auto"/>
        </w:rPr>
      </w:pPr>
    </w:p>
    <w:p>
      <w:pPr>
        <w:pStyle w:val="25"/>
        <w:rPr>
          <w:rFonts w:ascii="宋体" w:hAnsi="宋体" w:cs="宋体"/>
          <w:color w:val="auto"/>
        </w:rPr>
      </w:pPr>
    </w:p>
    <w:p>
      <w:pPr>
        <w:rPr>
          <w:rFonts w:ascii="宋体" w:hAnsi="宋体" w:cs="宋体"/>
          <w:color w:val="auto"/>
        </w:rPr>
      </w:pPr>
    </w:p>
    <w:p>
      <w:pPr>
        <w:pStyle w:val="25"/>
        <w:rPr>
          <w:rFonts w:ascii="宋体" w:hAnsi="宋体" w:cs="宋体"/>
          <w:color w:val="auto"/>
        </w:rPr>
      </w:pPr>
    </w:p>
    <w:p>
      <w:pPr>
        <w:rPr>
          <w:rFonts w:ascii="宋体" w:hAnsi="宋体" w:cs="宋体"/>
          <w:color w:val="auto"/>
        </w:rPr>
      </w:pPr>
    </w:p>
    <w:p>
      <w:pPr>
        <w:pStyle w:val="25"/>
        <w:rPr>
          <w:color w:val="auto"/>
        </w:rPr>
      </w:pPr>
    </w:p>
    <w:p>
      <w:pPr>
        <w:pStyle w:val="18"/>
        <w:rPr>
          <w:rFonts w:hAnsi="宋体" w:cs="宋体"/>
          <w:color w:val="auto"/>
        </w:rPr>
      </w:pPr>
    </w:p>
    <w:p>
      <w:pPr>
        <w:rPr>
          <w:rFonts w:ascii="宋体" w:hAnsi="宋体" w:cs="宋体"/>
          <w:color w:val="auto"/>
        </w:rPr>
      </w:pPr>
    </w:p>
    <w:p>
      <w:pPr>
        <w:pStyle w:val="25"/>
        <w:rPr>
          <w:rFonts w:ascii="宋体" w:hAnsi="宋体" w:cs="宋体"/>
          <w:color w:val="auto"/>
        </w:rPr>
      </w:pPr>
    </w:p>
    <w:p>
      <w:pPr>
        <w:rPr>
          <w:rFonts w:ascii="宋体" w:hAnsi="宋体" w:cs="宋体"/>
          <w:color w:val="auto"/>
        </w:rPr>
      </w:pPr>
    </w:p>
    <w:p>
      <w:pPr>
        <w:pStyle w:val="25"/>
        <w:rPr>
          <w:rFonts w:ascii="宋体" w:hAnsi="宋体" w:cs="宋体"/>
          <w:color w:val="auto"/>
        </w:rPr>
      </w:pPr>
    </w:p>
    <w:p>
      <w:pPr>
        <w:rPr>
          <w:rFonts w:ascii="宋体" w:hAnsi="宋体" w:cs="宋体"/>
          <w:color w:val="auto"/>
        </w:rPr>
      </w:pPr>
    </w:p>
    <w:p>
      <w:pPr>
        <w:pStyle w:val="25"/>
        <w:rPr>
          <w:rFonts w:ascii="宋体" w:hAnsi="宋体" w:cs="宋体"/>
          <w:color w:val="auto"/>
        </w:rPr>
      </w:pPr>
    </w:p>
    <w:p>
      <w:pPr>
        <w:rPr>
          <w:rFonts w:ascii="宋体" w:hAnsi="宋体" w:cs="宋体"/>
          <w:color w:val="auto"/>
        </w:rPr>
      </w:pPr>
    </w:p>
    <w:p>
      <w:pPr>
        <w:pStyle w:val="25"/>
        <w:rPr>
          <w:rFonts w:ascii="宋体" w:hAnsi="宋体" w:cs="宋体"/>
          <w:color w:val="auto"/>
        </w:rPr>
      </w:pPr>
    </w:p>
    <w:p>
      <w:pPr>
        <w:rPr>
          <w:rFonts w:ascii="宋体" w:hAnsi="宋体" w:cs="宋体"/>
          <w:color w:val="auto"/>
        </w:rPr>
      </w:pPr>
    </w:p>
    <w:p>
      <w:pPr>
        <w:pStyle w:val="25"/>
        <w:rPr>
          <w:rFonts w:ascii="宋体" w:hAnsi="宋体" w:cs="宋体"/>
          <w:color w:val="auto"/>
        </w:rPr>
      </w:pPr>
    </w:p>
    <w:p>
      <w:pPr>
        <w:rPr>
          <w:rFonts w:ascii="宋体" w:hAnsi="宋体" w:cs="宋体"/>
          <w:color w:val="auto"/>
        </w:rPr>
      </w:pPr>
    </w:p>
    <w:p>
      <w:pPr>
        <w:pStyle w:val="25"/>
        <w:rPr>
          <w:rFonts w:ascii="宋体" w:hAnsi="宋体" w:cs="宋体"/>
          <w:color w:val="auto"/>
        </w:rPr>
      </w:pPr>
    </w:p>
    <w:p>
      <w:pPr>
        <w:rPr>
          <w:rFonts w:ascii="宋体" w:hAnsi="宋体" w:cs="宋体"/>
          <w:color w:val="auto"/>
        </w:rPr>
      </w:pPr>
    </w:p>
    <w:p>
      <w:pPr>
        <w:pStyle w:val="25"/>
        <w:rPr>
          <w:rFonts w:ascii="宋体" w:hAnsi="宋体" w:cs="宋体"/>
          <w:color w:val="auto"/>
        </w:rPr>
      </w:pPr>
    </w:p>
    <w:p>
      <w:pPr>
        <w:rPr>
          <w:rFonts w:ascii="宋体" w:hAnsi="宋体" w:cs="宋体"/>
          <w:color w:val="auto"/>
        </w:rPr>
      </w:pPr>
    </w:p>
    <w:p>
      <w:pPr>
        <w:pStyle w:val="25"/>
        <w:rPr>
          <w:rFonts w:ascii="宋体" w:hAnsi="宋体" w:cs="宋体"/>
          <w:color w:val="auto"/>
        </w:rPr>
      </w:pPr>
    </w:p>
    <w:p>
      <w:pPr>
        <w:rPr>
          <w:rFonts w:ascii="宋体" w:hAnsi="宋体" w:cs="宋体"/>
          <w:color w:val="auto"/>
        </w:rPr>
      </w:pPr>
    </w:p>
    <w:p>
      <w:pPr>
        <w:pStyle w:val="25"/>
        <w:rPr>
          <w:rFonts w:ascii="宋体" w:hAnsi="宋体" w:cs="宋体"/>
          <w:color w:val="auto"/>
        </w:rPr>
      </w:pPr>
    </w:p>
    <w:p>
      <w:pPr>
        <w:rPr>
          <w:rFonts w:ascii="宋体" w:hAnsi="宋体" w:cs="宋体"/>
          <w:color w:val="auto"/>
        </w:rPr>
      </w:pPr>
    </w:p>
    <w:p>
      <w:pPr>
        <w:pStyle w:val="25"/>
        <w:rPr>
          <w:rFonts w:ascii="宋体" w:hAnsi="宋体" w:cs="宋体"/>
          <w:color w:val="auto"/>
        </w:rPr>
      </w:pPr>
    </w:p>
    <w:p>
      <w:pPr>
        <w:rPr>
          <w:color w:val="auto"/>
        </w:rPr>
      </w:pPr>
    </w:p>
    <w:p>
      <w:pPr>
        <w:pStyle w:val="5"/>
        <w:keepLines/>
        <w:spacing w:before="340" w:after="330" w:line="576" w:lineRule="auto"/>
        <w:jc w:val="center"/>
        <w:rPr>
          <w:rFonts w:ascii="宋体" w:hAnsi="宋体" w:cs="宋体"/>
          <w:b w:val="0"/>
          <w:color w:val="auto"/>
          <w:sz w:val="44"/>
        </w:rPr>
      </w:pPr>
      <w:bookmarkStart w:id="53" w:name="_Toc285437474"/>
      <w:r>
        <w:rPr>
          <w:rFonts w:hint="eastAsia" w:ascii="宋体" w:hAnsi="宋体" w:cs="宋体"/>
          <w:b w:val="0"/>
          <w:color w:val="auto"/>
          <w:kern w:val="44"/>
          <w:sz w:val="44"/>
          <w:szCs w:val="44"/>
        </w:rPr>
        <w:t>第二章  货物需求一览表</w:t>
      </w:r>
      <w:bookmarkEnd w:id="53"/>
    </w:p>
    <w:p>
      <w:pPr>
        <w:pStyle w:val="18"/>
        <w:jc w:val="center"/>
        <w:rPr>
          <w:rFonts w:hAnsi="宋体" w:cs="宋体"/>
          <w:b/>
          <w:color w:val="auto"/>
          <w:sz w:val="32"/>
        </w:rPr>
      </w:pPr>
    </w:p>
    <w:p>
      <w:pPr>
        <w:pStyle w:val="18"/>
        <w:jc w:val="center"/>
        <w:rPr>
          <w:rFonts w:hAnsi="宋体" w:cs="宋体"/>
          <w:b/>
          <w:color w:val="auto"/>
          <w:sz w:val="32"/>
        </w:rPr>
      </w:pPr>
    </w:p>
    <w:p>
      <w:pPr>
        <w:pStyle w:val="18"/>
        <w:jc w:val="center"/>
        <w:rPr>
          <w:rFonts w:hAnsi="宋体" w:cs="宋体"/>
          <w:b/>
          <w:color w:val="auto"/>
          <w:sz w:val="32"/>
        </w:rPr>
      </w:pPr>
    </w:p>
    <w:p>
      <w:pPr>
        <w:pStyle w:val="18"/>
        <w:jc w:val="center"/>
        <w:rPr>
          <w:rFonts w:hAnsi="宋体" w:cs="宋体"/>
          <w:b/>
          <w:color w:val="auto"/>
          <w:sz w:val="32"/>
        </w:rPr>
      </w:pPr>
    </w:p>
    <w:p>
      <w:pPr>
        <w:pStyle w:val="18"/>
        <w:jc w:val="center"/>
        <w:rPr>
          <w:rFonts w:hAnsi="宋体" w:cs="宋体"/>
          <w:b/>
          <w:color w:val="auto"/>
          <w:sz w:val="32"/>
        </w:rPr>
      </w:pPr>
    </w:p>
    <w:p>
      <w:pPr>
        <w:pStyle w:val="18"/>
        <w:jc w:val="center"/>
        <w:rPr>
          <w:rFonts w:hAnsi="宋体" w:cs="宋体"/>
          <w:b/>
          <w:color w:val="auto"/>
          <w:sz w:val="32"/>
        </w:rPr>
      </w:pPr>
    </w:p>
    <w:p>
      <w:pPr>
        <w:pStyle w:val="18"/>
        <w:jc w:val="center"/>
        <w:rPr>
          <w:rFonts w:hAnsi="宋体" w:cs="宋体"/>
          <w:b/>
          <w:color w:val="auto"/>
          <w:sz w:val="32"/>
        </w:rPr>
      </w:pPr>
    </w:p>
    <w:p>
      <w:pPr>
        <w:pStyle w:val="18"/>
        <w:jc w:val="center"/>
        <w:rPr>
          <w:rFonts w:hAnsi="宋体" w:cs="宋体"/>
          <w:b/>
          <w:color w:val="auto"/>
          <w:sz w:val="32"/>
        </w:rPr>
      </w:pPr>
    </w:p>
    <w:p>
      <w:pPr>
        <w:pStyle w:val="18"/>
        <w:jc w:val="center"/>
        <w:rPr>
          <w:rFonts w:hAnsi="宋体" w:cs="宋体"/>
          <w:b/>
          <w:color w:val="auto"/>
          <w:sz w:val="32"/>
        </w:rPr>
      </w:pPr>
    </w:p>
    <w:p>
      <w:pPr>
        <w:pStyle w:val="18"/>
        <w:jc w:val="center"/>
        <w:rPr>
          <w:rFonts w:hAnsi="宋体" w:cs="宋体"/>
          <w:b/>
          <w:color w:val="auto"/>
          <w:sz w:val="36"/>
        </w:rPr>
      </w:pPr>
      <w:r>
        <w:rPr>
          <w:rFonts w:hint="eastAsia" w:hAnsi="宋体" w:cs="宋体"/>
          <w:b/>
          <w:color w:val="auto"/>
          <w:sz w:val="32"/>
        </w:rPr>
        <w:br w:type="page"/>
      </w:r>
      <w:bookmarkStart w:id="54" w:name="_Toc137551172"/>
      <w:r>
        <w:rPr>
          <w:rFonts w:hint="eastAsia" w:hAnsi="宋体" w:cs="宋体"/>
          <w:b/>
          <w:color w:val="auto"/>
          <w:sz w:val="36"/>
        </w:rPr>
        <w:t>货物需求一览表</w:t>
      </w:r>
      <w:bookmarkEnd w:id="54"/>
    </w:p>
    <w:p>
      <w:pPr>
        <w:spacing w:line="312" w:lineRule="auto"/>
        <w:rPr>
          <w:rFonts w:ascii="宋体" w:hAnsi="宋体" w:cs="宋体"/>
          <w:b/>
          <w:bCs/>
          <w:color w:val="auto"/>
        </w:rPr>
      </w:pPr>
      <w:r>
        <w:rPr>
          <w:rFonts w:hint="eastAsia" w:ascii="宋体" w:hAnsi="宋体" w:cs="宋体"/>
          <w:b/>
          <w:bCs/>
          <w:color w:val="auto"/>
        </w:rPr>
        <w:t>说明：</w:t>
      </w:r>
    </w:p>
    <w:p>
      <w:pPr>
        <w:spacing w:line="300" w:lineRule="exact"/>
        <w:ind w:firstLine="422" w:firstLineChars="200"/>
        <w:rPr>
          <w:rFonts w:ascii="宋体" w:hAnsi="宋体" w:cs="宋体"/>
          <w:b/>
          <w:bCs/>
          <w:color w:val="auto"/>
        </w:rPr>
      </w:pPr>
      <w:r>
        <w:rPr>
          <w:rFonts w:hint="eastAsia" w:ascii="宋体" w:hAnsi="宋体" w:cs="宋体"/>
          <w:b/>
          <w:bCs/>
          <w:color w:val="auto"/>
        </w:rPr>
        <w:t>1、本一览表中的品牌型号、技术参数及其性能（配置）仅起参考作用，竞标人可选用其他品牌型号替代，但这些替代的品牌型号要实质上相当于或优于参考品牌型号及其技术参数性能（配置）要求。</w:t>
      </w:r>
    </w:p>
    <w:p>
      <w:pPr>
        <w:spacing w:line="300" w:lineRule="exact"/>
        <w:ind w:firstLine="422" w:firstLineChars="200"/>
        <w:rPr>
          <w:rFonts w:ascii="宋体" w:hAnsi="宋体" w:cs="宋体"/>
          <w:b/>
          <w:bCs/>
          <w:color w:val="auto"/>
        </w:rPr>
      </w:pPr>
      <w:r>
        <w:rPr>
          <w:rFonts w:hint="eastAsia" w:ascii="宋体" w:hAnsi="宋体" w:cs="宋体"/>
          <w:b/>
          <w:bCs/>
          <w:color w:val="auto"/>
        </w:rPr>
        <w:t>2、本一览表中参考品牌型号及技术参数性能（配置）不明确或有误的，或竞标人选用其他品牌型号替代的，请以详细的品牌型号、技术参数性能（配置）同时填写投标报价表和技术规格偏离表。</w:t>
      </w:r>
    </w:p>
    <w:p>
      <w:pPr>
        <w:spacing w:line="300" w:lineRule="exact"/>
        <w:ind w:firstLine="422" w:firstLineChars="200"/>
        <w:rPr>
          <w:rFonts w:ascii="宋体" w:hAnsi="宋体" w:cs="宋体"/>
          <w:b/>
          <w:bCs/>
          <w:color w:val="auto"/>
        </w:rPr>
      </w:pPr>
      <w:r>
        <w:rPr>
          <w:rFonts w:hint="eastAsia" w:ascii="宋体" w:hAnsi="宋体" w:cs="宋体"/>
          <w:b/>
          <w:bCs/>
          <w:color w:val="auto"/>
        </w:rPr>
        <w:t>3、凡在“技术参数及性能（配置）要求”中表述为“标配”或“标准配置”的设备，竞标人应在投标报价表中将其标配参数详细列明，否则该投标无效。</w:t>
      </w:r>
    </w:p>
    <w:p>
      <w:pPr>
        <w:pStyle w:val="18"/>
        <w:spacing w:line="300" w:lineRule="exact"/>
        <w:ind w:firstLine="422" w:firstLineChars="200"/>
        <w:rPr>
          <w:rFonts w:hAnsi="宋体" w:cs="宋体"/>
          <w:b/>
          <w:bCs/>
          <w:color w:val="auto"/>
        </w:rPr>
      </w:pPr>
      <w:r>
        <w:rPr>
          <w:rFonts w:hint="eastAsia" w:hAnsi="宋体" w:cs="宋体"/>
          <w:b/>
          <w:bCs/>
          <w:color w:val="auto"/>
        </w:rPr>
        <w:t>4、评标时，如评标委员会发现本一览表技术参数及性能（配置）要求中含有某一品牌特有的参数或限制性要求的，有权认定不作为主要技术参数及性能（配置）要求处理。</w:t>
      </w:r>
    </w:p>
    <w:p>
      <w:pPr>
        <w:pStyle w:val="18"/>
        <w:spacing w:line="300" w:lineRule="exact"/>
        <w:ind w:firstLine="422" w:firstLineChars="200"/>
        <w:rPr>
          <w:rFonts w:hAnsi="宋体" w:cs="宋体"/>
          <w:b/>
          <w:bCs/>
          <w:color w:val="auto"/>
        </w:rPr>
      </w:pPr>
      <w:r>
        <w:rPr>
          <w:rFonts w:hint="eastAsia" w:hAnsi="宋体" w:cs="宋体"/>
          <w:b/>
          <w:bCs/>
          <w:color w:val="auto"/>
        </w:rPr>
        <w:t>5、①提供相同品牌产品的不同竞标人参加同一合同项下投标的，以其中通过资格审查、符合性审查且报价最低的参加评标，报价相同的，由采购人自主选择确定一个参加评标的竞标人，其他投标无效。</w:t>
      </w:r>
    </w:p>
    <w:p>
      <w:pPr>
        <w:pStyle w:val="18"/>
        <w:spacing w:line="300" w:lineRule="exact"/>
        <w:rPr>
          <w:rFonts w:hAnsi="宋体" w:cs="宋体"/>
          <w:b/>
          <w:bCs/>
          <w:color w:val="auto"/>
        </w:rPr>
      </w:pPr>
      <w:r>
        <w:rPr>
          <w:rFonts w:hint="eastAsia" w:hAnsi="宋体" w:cs="宋体"/>
          <w:b/>
          <w:bCs/>
          <w:color w:val="auto"/>
        </w:rPr>
        <w:t xml:space="preserve">        ②非单一产品采购项目中，多家竞标人提供的核心产品品牌相同的，视为提供相同品牌产品。</w:t>
      </w:r>
    </w:p>
    <w:p>
      <w:pPr>
        <w:pStyle w:val="18"/>
        <w:spacing w:line="300" w:lineRule="exact"/>
        <w:ind w:firstLine="422" w:firstLineChars="200"/>
        <w:rPr>
          <w:rFonts w:hAnsi="宋体" w:cs="宋体"/>
          <w:b/>
          <w:bCs/>
          <w:color w:val="auto"/>
        </w:rPr>
      </w:pPr>
      <w:r>
        <w:rPr>
          <w:rFonts w:hint="eastAsia" w:hAnsi="宋体" w:cs="宋体"/>
          <w:b/>
          <w:bCs/>
          <w:color w:val="auto"/>
        </w:rPr>
        <w:t>6、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的节能产品。</w:t>
      </w:r>
    </w:p>
    <w:p>
      <w:pPr>
        <w:pStyle w:val="18"/>
        <w:spacing w:line="300" w:lineRule="exact"/>
        <w:ind w:firstLine="422" w:firstLineChars="200"/>
        <w:rPr>
          <w:rFonts w:hAnsi="宋体" w:cs="宋体"/>
          <w:b/>
          <w:bCs/>
          <w:color w:val="auto"/>
        </w:rPr>
      </w:pPr>
      <w:r>
        <w:rPr>
          <w:rFonts w:hint="eastAsia" w:hAnsi="宋体" w:cs="宋体"/>
          <w:b/>
          <w:bCs/>
          <w:color w:val="auto"/>
        </w:rPr>
        <w:t>7、本招标文件所称中小企业必须符合《政府采购促进中小企业发展暂行办法》第二条规定。</w:t>
      </w:r>
    </w:p>
    <w:p>
      <w:pPr>
        <w:pStyle w:val="18"/>
        <w:spacing w:line="300" w:lineRule="exact"/>
        <w:ind w:firstLine="422" w:firstLineChars="200"/>
        <w:rPr>
          <w:rFonts w:hAnsi="宋体" w:cs="宋体"/>
          <w:b/>
          <w:bCs/>
          <w:color w:val="auto"/>
        </w:rPr>
      </w:pPr>
      <w:r>
        <w:rPr>
          <w:rFonts w:hint="eastAsia" w:hAnsi="宋体" w:cs="宋体"/>
          <w:b/>
          <w:bCs/>
          <w:color w:val="auto"/>
        </w:rPr>
        <w:t>8、小型和微型企业且所投产品均为小型和微型企业产品的价格给予20%的扣除;或联合体投标的，大中型企业与小型、微型企业组成联合体投标，其中小型、微型企业的协议合同金额占到联合体协议合同总金额30%以上的，可给予联合体6%的价格扣除。用扣除后的价格参与评审，具体扣除比例以第四章《评标办法及评标标准》的规定为准。</w:t>
      </w:r>
    </w:p>
    <w:p>
      <w:pPr>
        <w:pStyle w:val="18"/>
        <w:spacing w:line="300" w:lineRule="exact"/>
        <w:ind w:firstLine="422" w:firstLineChars="200"/>
        <w:rPr>
          <w:rFonts w:hAnsi="宋体" w:cs="宋体"/>
          <w:b/>
          <w:bCs/>
          <w:color w:val="auto"/>
        </w:rPr>
      </w:pPr>
      <w:r>
        <w:rPr>
          <w:rFonts w:hint="eastAsia" w:hAnsi="宋体" w:cs="宋体"/>
          <w:b/>
          <w:bCs/>
          <w:color w:val="auto"/>
        </w:rPr>
        <w:t>9、小型、微型企业提供中型企业制造的货物的，视同为中型企业。</w:t>
      </w:r>
    </w:p>
    <w:p>
      <w:pPr>
        <w:pStyle w:val="18"/>
        <w:spacing w:line="300" w:lineRule="exact"/>
        <w:ind w:firstLine="422" w:firstLineChars="200"/>
        <w:rPr>
          <w:rFonts w:hAnsi="宋体" w:cs="宋体"/>
          <w:b/>
          <w:bCs/>
          <w:color w:val="auto"/>
        </w:rPr>
      </w:pPr>
      <w:r>
        <w:rPr>
          <w:rFonts w:hint="eastAsia" w:hAnsi="宋体" w:cs="宋体"/>
          <w:b/>
          <w:bCs/>
          <w:color w:val="auto"/>
        </w:rPr>
        <w:t>10、小型、微型企业提供大型企业制造的货物的，视同为大型企业。</w:t>
      </w:r>
    </w:p>
    <w:p>
      <w:pPr>
        <w:pStyle w:val="10"/>
        <w:ind w:firstLine="422" w:firstLineChars="200"/>
        <w:jc w:val="both"/>
        <w:rPr>
          <w:rFonts w:ascii="宋体" w:hAnsi="宋体" w:cs="宋体"/>
          <w:b/>
          <w:bCs/>
          <w:color w:val="auto"/>
        </w:rPr>
      </w:pPr>
      <w:r>
        <w:rPr>
          <w:rFonts w:hint="eastAsia" w:ascii="宋体" w:hAnsi="宋体" w:cs="宋体"/>
          <w:b/>
          <w:bCs/>
          <w:color w:val="auto"/>
        </w:rPr>
        <w:t xml:space="preserve">11、本项目采购最高限价（人民币）： </w:t>
      </w:r>
      <w:r>
        <w:rPr>
          <w:rFonts w:hint="eastAsia" w:ascii="宋体" w:hAnsi="宋体" w:cs="宋体"/>
          <w:b/>
          <w:bCs/>
          <w:color w:val="auto"/>
          <w:u w:val="single"/>
        </w:rPr>
        <w:t>1260000.00</w:t>
      </w:r>
      <w:r>
        <w:rPr>
          <w:rFonts w:hint="eastAsia" w:ascii="宋体" w:hAnsi="宋体" w:cs="宋体"/>
          <w:b/>
          <w:bCs/>
          <w:color w:val="auto"/>
        </w:rPr>
        <w:t>元，竞标报价超过采购最高限价的，竞标无效。</w:t>
      </w:r>
    </w:p>
    <w:p>
      <w:pPr>
        <w:pStyle w:val="10"/>
        <w:ind w:firstLine="422" w:firstLineChars="200"/>
        <w:jc w:val="both"/>
        <w:rPr>
          <w:rFonts w:hAnsi="宋体" w:cs="宋体"/>
          <w:b/>
          <w:bCs/>
          <w:color w:val="auto"/>
        </w:rPr>
      </w:pPr>
      <w:r>
        <w:rPr>
          <w:rFonts w:hint="eastAsia" w:ascii="宋体" w:hAnsi="宋体" w:cs="宋体"/>
          <w:b/>
          <w:bCs/>
          <w:color w:val="auto"/>
        </w:rPr>
        <w:t>12、本项目不</w:t>
      </w:r>
      <w:r>
        <w:rPr>
          <w:rFonts w:hint="eastAsia" w:ascii="宋体" w:hAnsi="宋体" w:cs="宋体"/>
          <w:b/>
          <w:bCs/>
          <w:color w:val="auto"/>
          <w:lang w:val="zh-TW"/>
        </w:rPr>
        <w:t>接受进口产品参与竞标。</w:t>
      </w:r>
    </w:p>
    <w:tbl>
      <w:tblPr>
        <w:tblStyle w:val="46"/>
        <w:tblW w:w="10680" w:type="dxa"/>
        <w:jc w:val="center"/>
        <w:tblInd w:w="0" w:type="dxa"/>
        <w:tblLayout w:type="fixed"/>
        <w:tblCellMar>
          <w:top w:w="0" w:type="dxa"/>
          <w:left w:w="108" w:type="dxa"/>
          <w:bottom w:w="0" w:type="dxa"/>
          <w:right w:w="108" w:type="dxa"/>
        </w:tblCellMar>
      </w:tblPr>
      <w:tblGrid>
        <w:gridCol w:w="620"/>
        <w:gridCol w:w="811"/>
        <w:gridCol w:w="7809"/>
        <w:gridCol w:w="637"/>
        <w:gridCol w:w="803"/>
      </w:tblGrid>
      <w:tr>
        <w:tblPrEx>
          <w:tblLayout w:type="fixed"/>
          <w:tblCellMar>
            <w:top w:w="0" w:type="dxa"/>
            <w:left w:w="108" w:type="dxa"/>
            <w:bottom w:w="0" w:type="dxa"/>
            <w:right w:w="108" w:type="dxa"/>
          </w:tblCellMar>
        </w:tblPrEx>
        <w:trPr>
          <w:trHeight w:val="619"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b/>
                <w:bCs/>
                <w:color w:val="auto"/>
                <w:szCs w:val="21"/>
              </w:rPr>
            </w:pPr>
            <w:bookmarkStart w:id="55" w:name="_Toc285437475"/>
            <w:r>
              <w:rPr>
                <w:rFonts w:hint="eastAsia" w:ascii="宋体" w:hAnsi="宋体" w:cs="宋体"/>
                <w:b/>
                <w:bCs/>
                <w:color w:val="auto"/>
                <w:szCs w:val="21"/>
              </w:rPr>
              <w:t>序号</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b/>
                <w:bCs/>
                <w:color w:val="auto"/>
                <w:szCs w:val="21"/>
              </w:rPr>
            </w:pPr>
            <w:r>
              <w:rPr>
                <w:rFonts w:hint="eastAsia" w:ascii="宋体" w:hAnsi="宋体" w:cs="宋体"/>
                <w:b/>
                <w:bCs/>
                <w:color w:val="auto"/>
                <w:szCs w:val="21"/>
              </w:rPr>
              <w:t>标的名称</w:t>
            </w:r>
          </w:p>
        </w:tc>
        <w:tc>
          <w:tcPr>
            <w:tcW w:w="7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宋体" w:hAnsi="宋体" w:cs="宋体"/>
                <w:b/>
                <w:bCs/>
                <w:color w:val="auto"/>
                <w:szCs w:val="21"/>
              </w:rPr>
            </w:pPr>
            <w:r>
              <w:rPr>
                <w:rFonts w:hint="eastAsia" w:ascii="宋体" w:hAnsi="宋体" w:cs="宋体"/>
                <w:b/>
                <w:bCs/>
                <w:color w:val="auto"/>
                <w:szCs w:val="21"/>
              </w:rPr>
              <w:t>技术参数要求</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b/>
                <w:bCs/>
                <w:color w:val="auto"/>
                <w:szCs w:val="21"/>
              </w:rPr>
            </w:pPr>
            <w:r>
              <w:rPr>
                <w:rFonts w:hint="eastAsia" w:ascii="宋体" w:hAnsi="宋体" w:cs="宋体"/>
                <w:b/>
                <w:bCs/>
                <w:color w:val="auto"/>
                <w:szCs w:val="21"/>
              </w:rPr>
              <w:t>单位</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b/>
                <w:bCs/>
                <w:color w:val="auto"/>
                <w:szCs w:val="21"/>
              </w:rPr>
            </w:pPr>
            <w:r>
              <w:rPr>
                <w:rFonts w:hint="eastAsia" w:ascii="宋体" w:hAnsi="宋体" w:cs="宋体"/>
                <w:b/>
                <w:bCs/>
                <w:color w:val="auto"/>
                <w:szCs w:val="21"/>
              </w:rPr>
              <w:t>数量</w:t>
            </w:r>
          </w:p>
        </w:tc>
      </w:tr>
      <w:tr>
        <w:tblPrEx>
          <w:tblLayout w:type="fixed"/>
          <w:tblCellMar>
            <w:top w:w="0" w:type="dxa"/>
            <w:left w:w="108" w:type="dxa"/>
            <w:bottom w:w="0" w:type="dxa"/>
            <w:right w:w="108" w:type="dxa"/>
          </w:tblCellMar>
        </w:tblPrEx>
        <w:trPr>
          <w:trHeight w:val="90" w:hRule="atLeast"/>
          <w:jc w:val="center"/>
        </w:trPr>
        <w:tc>
          <w:tcPr>
            <w:tcW w:w="9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b/>
                <w:bCs/>
                <w:color w:val="auto"/>
                <w:szCs w:val="21"/>
              </w:rPr>
              <w:t>智慧图书馆设备及图书</w:t>
            </w:r>
          </w:p>
        </w:tc>
        <w:tc>
          <w:tcPr>
            <w:tcW w:w="637" w:type="dxa"/>
            <w:tcBorders>
              <w:top w:val="single" w:color="000000" w:sz="4" w:space="0"/>
              <w:left w:val="single" w:color="000000" w:sz="4" w:space="0"/>
              <w:bottom w:val="nil"/>
              <w:right w:val="single" w:color="000000" w:sz="4" w:space="0"/>
            </w:tcBorders>
            <w:shd w:val="clear" w:color="auto" w:fill="FFFFFF"/>
            <w:vAlign w:val="center"/>
          </w:tcPr>
          <w:p>
            <w:pPr>
              <w:spacing w:line="340" w:lineRule="exact"/>
              <w:rPr>
                <w:rFonts w:ascii="宋体" w:hAnsi="宋体" w:cs="宋体"/>
                <w:color w:val="auto"/>
                <w:szCs w:val="21"/>
              </w:rPr>
            </w:pPr>
          </w:p>
        </w:tc>
        <w:tc>
          <w:tcPr>
            <w:tcW w:w="803" w:type="dxa"/>
            <w:tcBorders>
              <w:top w:val="single" w:color="000000" w:sz="4" w:space="0"/>
              <w:left w:val="single" w:color="000000" w:sz="4" w:space="0"/>
              <w:bottom w:val="nil"/>
              <w:right w:val="single" w:color="000000" w:sz="4" w:space="0"/>
            </w:tcBorders>
            <w:shd w:val="clear" w:color="auto" w:fill="FFFFFF"/>
            <w:vAlign w:val="center"/>
          </w:tcPr>
          <w:p>
            <w:pPr>
              <w:spacing w:line="340" w:lineRule="exact"/>
              <w:rPr>
                <w:rFonts w:ascii="宋体" w:hAnsi="宋体" w:cs="宋体"/>
                <w:color w:val="auto"/>
                <w:szCs w:val="21"/>
              </w:rPr>
            </w:pPr>
          </w:p>
        </w:tc>
      </w:tr>
      <w:tr>
        <w:tblPrEx>
          <w:tblLayout w:type="fixed"/>
          <w:tblCellMar>
            <w:top w:w="0" w:type="dxa"/>
            <w:left w:w="108" w:type="dxa"/>
            <w:bottom w:w="0" w:type="dxa"/>
            <w:right w:w="108" w:type="dxa"/>
          </w:tblCellMar>
        </w:tblPrEx>
        <w:trPr>
          <w:trHeight w:val="1399" w:hRule="atLeast"/>
          <w:jc w:val="center"/>
        </w:trPr>
        <w:tc>
          <w:tcPr>
            <w:tcW w:w="620" w:type="dxa"/>
            <w:tcBorders>
              <w:top w:val="single" w:color="404040" w:sz="4" w:space="0"/>
              <w:left w:val="single" w:color="404040" w:sz="4" w:space="0"/>
              <w:bottom w:val="single" w:color="404040" w:sz="4" w:space="0"/>
              <w:right w:val="nil"/>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1</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正版图书</w:t>
            </w:r>
          </w:p>
        </w:tc>
        <w:tc>
          <w:tcPr>
            <w:tcW w:w="7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一、图书标准及要求</w:t>
            </w:r>
          </w:p>
          <w:p>
            <w:pPr>
              <w:spacing w:line="340" w:lineRule="exact"/>
              <w:rPr>
                <w:rFonts w:ascii="宋体" w:hAnsi="宋体" w:cs="宋体"/>
                <w:color w:val="auto"/>
                <w:szCs w:val="21"/>
              </w:rPr>
            </w:pPr>
            <w:r>
              <w:rPr>
                <w:rFonts w:hint="eastAsia" w:ascii="宋体" w:hAnsi="宋体" w:cs="宋体"/>
                <w:color w:val="auto"/>
                <w:szCs w:val="21"/>
              </w:rPr>
              <w:t>1.图书要求：投标人必须按照本招标文件采购目录中所有要求的招标图书进行投标,采购目录详见附件《图书采购目录》。</w:t>
            </w:r>
          </w:p>
          <w:p>
            <w:pPr>
              <w:spacing w:line="340" w:lineRule="exact"/>
              <w:rPr>
                <w:rFonts w:ascii="宋体" w:hAnsi="宋体" w:cs="宋体"/>
                <w:color w:val="auto"/>
                <w:szCs w:val="21"/>
              </w:rPr>
            </w:pPr>
            <w:r>
              <w:rPr>
                <w:rFonts w:hint="eastAsia" w:ascii="宋体" w:hAnsi="宋体" w:cs="宋体"/>
                <w:color w:val="auto"/>
                <w:szCs w:val="21"/>
              </w:rPr>
              <w:t>1.图书质量执行标准</w:t>
            </w:r>
          </w:p>
          <w:p>
            <w:pPr>
              <w:spacing w:line="340" w:lineRule="exact"/>
              <w:rPr>
                <w:rFonts w:ascii="宋体" w:hAnsi="宋体" w:cs="宋体"/>
                <w:color w:val="auto"/>
                <w:szCs w:val="21"/>
              </w:rPr>
            </w:pPr>
            <w:r>
              <w:rPr>
                <w:rFonts w:hint="eastAsia" w:ascii="宋体" w:hAnsi="宋体" w:cs="宋体"/>
                <w:color w:val="auto"/>
                <w:szCs w:val="21"/>
              </w:rPr>
              <w:t>1.1图书印刷质量执行《中华人民共和国产品质量法》和新闻出版总署《图书质量管理规定》（2004年第26号文件）中的规定。</w:t>
            </w:r>
          </w:p>
          <w:p>
            <w:pPr>
              <w:spacing w:line="340" w:lineRule="exact"/>
              <w:rPr>
                <w:rFonts w:ascii="宋体" w:hAnsi="宋体" w:cs="宋体"/>
                <w:color w:val="auto"/>
                <w:szCs w:val="21"/>
              </w:rPr>
            </w:pPr>
            <w:r>
              <w:rPr>
                <w:rFonts w:hint="eastAsia" w:ascii="宋体" w:hAnsi="宋体" w:cs="宋体"/>
                <w:color w:val="auto"/>
                <w:szCs w:val="21"/>
              </w:rPr>
              <w:t>1.2印刷技术术语依据GB9851标准。</w:t>
            </w:r>
          </w:p>
          <w:p>
            <w:pPr>
              <w:spacing w:line="340" w:lineRule="exact"/>
              <w:rPr>
                <w:rFonts w:ascii="宋体" w:hAnsi="宋体" w:cs="宋体"/>
                <w:color w:val="auto"/>
                <w:szCs w:val="21"/>
              </w:rPr>
            </w:pPr>
            <w:r>
              <w:rPr>
                <w:rFonts w:hint="eastAsia" w:ascii="宋体" w:hAnsi="宋体" w:cs="宋体"/>
                <w:color w:val="auto"/>
                <w:szCs w:val="21"/>
              </w:rPr>
              <w:t>1.3书刊印刷质量评价和分等导则依据CY/T2-1999标准。</w:t>
            </w:r>
          </w:p>
          <w:p>
            <w:pPr>
              <w:spacing w:line="340" w:lineRule="exact"/>
              <w:rPr>
                <w:rFonts w:ascii="宋体" w:hAnsi="宋体" w:cs="宋体"/>
                <w:color w:val="auto"/>
                <w:szCs w:val="21"/>
              </w:rPr>
            </w:pPr>
            <w:r>
              <w:rPr>
                <w:rFonts w:hint="eastAsia" w:ascii="宋体" w:hAnsi="宋体" w:cs="宋体"/>
                <w:color w:val="auto"/>
                <w:szCs w:val="21"/>
              </w:rPr>
              <w:t>1.4图书开本及幅面尺寸符合GB/T788-1999标准。</w:t>
            </w:r>
          </w:p>
          <w:p>
            <w:pPr>
              <w:spacing w:line="340" w:lineRule="exact"/>
              <w:rPr>
                <w:rFonts w:ascii="宋体" w:hAnsi="宋体" w:cs="宋体"/>
                <w:color w:val="auto"/>
                <w:szCs w:val="21"/>
              </w:rPr>
            </w:pPr>
            <w:r>
              <w:rPr>
                <w:rFonts w:hint="eastAsia" w:ascii="宋体" w:hAnsi="宋体" w:cs="宋体"/>
                <w:color w:val="auto"/>
                <w:szCs w:val="21"/>
              </w:rPr>
              <w:t>1.5图书必须是出版机构（经国家批准的）出版有版权的正式出版物。</w:t>
            </w:r>
          </w:p>
          <w:p>
            <w:pPr>
              <w:spacing w:line="340" w:lineRule="exact"/>
              <w:rPr>
                <w:rFonts w:ascii="宋体" w:hAnsi="宋体" w:cs="宋体"/>
                <w:color w:val="auto"/>
                <w:szCs w:val="21"/>
              </w:rPr>
            </w:pPr>
            <w:r>
              <w:rPr>
                <w:rFonts w:hint="eastAsia" w:ascii="宋体" w:hAnsi="宋体" w:cs="宋体"/>
                <w:color w:val="auto"/>
                <w:szCs w:val="21"/>
              </w:rPr>
              <w:t>2.图书质量要求：</w:t>
            </w:r>
          </w:p>
          <w:p>
            <w:pPr>
              <w:spacing w:line="340" w:lineRule="exact"/>
              <w:rPr>
                <w:rFonts w:ascii="宋体" w:hAnsi="宋体" w:cs="宋体"/>
                <w:color w:val="auto"/>
                <w:szCs w:val="21"/>
              </w:rPr>
            </w:pPr>
            <w:r>
              <w:rPr>
                <w:rFonts w:hint="eastAsia" w:ascii="宋体" w:hAnsi="宋体" w:cs="宋体"/>
                <w:color w:val="auto"/>
                <w:szCs w:val="21"/>
              </w:rPr>
              <w:t>（1）封面印刷套印准确，字、图、点、线印迹清楚，不花、不毛、不糊，实地版墨包均匀，无回胶印，背面不脏。</w:t>
            </w:r>
          </w:p>
          <w:p>
            <w:pPr>
              <w:spacing w:line="340" w:lineRule="exact"/>
              <w:rPr>
                <w:rFonts w:ascii="宋体" w:hAnsi="宋体" w:cs="宋体"/>
                <w:color w:val="auto"/>
                <w:szCs w:val="21"/>
              </w:rPr>
            </w:pPr>
            <w:r>
              <w:rPr>
                <w:rFonts w:hint="eastAsia" w:ascii="宋体" w:hAnsi="宋体" w:cs="宋体"/>
                <w:color w:val="auto"/>
                <w:szCs w:val="21"/>
              </w:rPr>
              <w:t>（2）插图印刷</w:t>
            </w:r>
          </w:p>
          <w:p>
            <w:pPr>
              <w:spacing w:line="340" w:lineRule="exact"/>
              <w:rPr>
                <w:rFonts w:ascii="宋体" w:hAnsi="宋体" w:cs="宋体"/>
                <w:color w:val="auto"/>
                <w:szCs w:val="21"/>
              </w:rPr>
            </w:pPr>
            <w:r>
              <w:rPr>
                <w:rFonts w:hint="eastAsia" w:ascii="宋体" w:hAnsi="宋体" w:cs="宋体"/>
                <w:color w:val="auto"/>
                <w:szCs w:val="21"/>
              </w:rPr>
              <w:t>①套印准确、层次分明、轮廓实，电分制版无浮雕印。</w:t>
            </w:r>
          </w:p>
          <w:p>
            <w:pPr>
              <w:spacing w:line="340" w:lineRule="exact"/>
              <w:rPr>
                <w:rFonts w:ascii="宋体" w:hAnsi="宋体" w:cs="宋体"/>
                <w:color w:val="auto"/>
                <w:szCs w:val="21"/>
              </w:rPr>
            </w:pPr>
            <w:r>
              <w:rPr>
                <w:rFonts w:hint="eastAsia" w:ascii="宋体" w:hAnsi="宋体" w:cs="宋体"/>
                <w:color w:val="auto"/>
                <w:szCs w:val="21"/>
              </w:rPr>
              <w:t>②网点清晰饱满，小点不秃、大点光洁不糊，质感好。</w:t>
            </w:r>
          </w:p>
          <w:p>
            <w:pPr>
              <w:spacing w:line="340" w:lineRule="exact"/>
              <w:rPr>
                <w:rFonts w:ascii="宋体" w:hAnsi="宋体" w:cs="宋体"/>
                <w:color w:val="auto"/>
                <w:szCs w:val="21"/>
              </w:rPr>
            </w:pPr>
            <w:r>
              <w:rPr>
                <w:rFonts w:hint="eastAsia" w:ascii="宋体" w:hAnsi="宋体" w:cs="宋体"/>
                <w:color w:val="auto"/>
                <w:szCs w:val="21"/>
              </w:rPr>
              <w:t>③墨色均匀实，色彩鲜艳有光泽，肤色正，接版准确，色调深浅一致。</w:t>
            </w:r>
          </w:p>
          <w:p>
            <w:pPr>
              <w:spacing w:line="340" w:lineRule="exact"/>
              <w:rPr>
                <w:rFonts w:ascii="宋体" w:hAnsi="宋体" w:cs="宋体"/>
                <w:color w:val="auto"/>
                <w:szCs w:val="21"/>
              </w:rPr>
            </w:pPr>
            <w:r>
              <w:rPr>
                <w:rFonts w:hint="eastAsia" w:ascii="宋体" w:hAnsi="宋体" w:cs="宋体"/>
                <w:color w:val="auto"/>
                <w:szCs w:val="21"/>
              </w:rPr>
              <w:t>（3）正文印刷</w:t>
            </w:r>
          </w:p>
          <w:p>
            <w:pPr>
              <w:spacing w:line="340" w:lineRule="exact"/>
              <w:rPr>
                <w:rFonts w:ascii="宋体" w:hAnsi="宋体" w:cs="宋体"/>
                <w:color w:val="auto"/>
                <w:szCs w:val="21"/>
              </w:rPr>
            </w:pPr>
            <w:r>
              <w:rPr>
                <w:rFonts w:hint="eastAsia" w:ascii="宋体" w:hAnsi="宋体" w:cs="宋体"/>
                <w:color w:val="auto"/>
                <w:szCs w:val="21"/>
              </w:rPr>
              <w:t>①压力：压力适度，全书前后轻重一致。</w:t>
            </w:r>
          </w:p>
          <w:p>
            <w:pPr>
              <w:spacing w:line="340" w:lineRule="exact"/>
              <w:rPr>
                <w:rFonts w:ascii="宋体" w:hAnsi="宋体" w:cs="宋体"/>
                <w:color w:val="auto"/>
                <w:szCs w:val="21"/>
              </w:rPr>
            </w:pPr>
            <w:r>
              <w:rPr>
                <w:rFonts w:hint="eastAsia" w:ascii="宋体" w:hAnsi="宋体" w:cs="宋体"/>
                <w:color w:val="auto"/>
                <w:szCs w:val="21"/>
              </w:rPr>
              <w:t>②墨色：全书前后一致，浓淡适度。</w:t>
            </w:r>
          </w:p>
          <w:p>
            <w:pPr>
              <w:spacing w:line="340" w:lineRule="exact"/>
              <w:rPr>
                <w:rFonts w:ascii="宋体" w:hAnsi="宋体" w:cs="宋体"/>
                <w:color w:val="auto"/>
                <w:szCs w:val="21"/>
              </w:rPr>
            </w:pPr>
            <w:r>
              <w:rPr>
                <w:rFonts w:hint="eastAsia" w:ascii="宋体" w:hAnsi="宋体" w:cs="宋体"/>
                <w:color w:val="auto"/>
                <w:szCs w:val="21"/>
              </w:rPr>
              <w:t>③套印：版面端正，正反套印准确。</w:t>
            </w:r>
          </w:p>
          <w:p>
            <w:pPr>
              <w:spacing w:line="340" w:lineRule="exact"/>
              <w:rPr>
                <w:rFonts w:ascii="宋体" w:hAnsi="宋体" w:cs="宋体"/>
                <w:color w:val="auto"/>
                <w:szCs w:val="21"/>
              </w:rPr>
            </w:pPr>
            <w:r>
              <w:rPr>
                <w:rFonts w:hint="eastAsia" w:ascii="宋体" w:hAnsi="宋体" w:cs="宋体"/>
                <w:color w:val="auto"/>
                <w:szCs w:val="21"/>
              </w:rPr>
              <w:t>④文字：文字、标点清晰，笔锋挺秀，无缺笔断划，标题黑实不花，小字不糊不瞎。</w:t>
            </w:r>
          </w:p>
          <w:p>
            <w:pPr>
              <w:spacing w:line="340" w:lineRule="exact"/>
              <w:rPr>
                <w:rFonts w:ascii="宋体" w:hAnsi="宋体" w:cs="宋体"/>
                <w:color w:val="auto"/>
                <w:szCs w:val="21"/>
              </w:rPr>
            </w:pPr>
            <w:r>
              <w:rPr>
                <w:rFonts w:hint="eastAsia" w:ascii="宋体" w:hAnsi="宋体" w:cs="宋体"/>
                <w:color w:val="auto"/>
                <w:szCs w:val="21"/>
              </w:rPr>
              <w:t>⑤书目无脏污，破损，无钉花，野黑。</w:t>
            </w:r>
          </w:p>
          <w:p>
            <w:pPr>
              <w:spacing w:line="340" w:lineRule="exact"/>
              <w:rPr>
                <w:rFonts w:ascii="宋体" w:hAnsi="宋体" w:cs="宋体"/>
                <w:color w:val="auto"/>
                <w:szCs w:val="21"/>
              </w:rPr>
            </w:pPr>
            <w:r>
              <w:rPr>
                <w:rFonts w:hint="eastAsia" w:ascii="宋体" w:hAnsi="宋体" w:cs="宋体"/>
                <w:color w:val="auto"/>
                <w:szCs w:val="21"/>
              </w:rPr>
              <w:t>（5）装订</w:t>
            </w:r>
          </w:p>
          <w:p>
            <w:pPr>
              <w:spacing w:line="340" w:lineRule="exact"/>
              <w:rPr>
                <w:rFonts w:ascii="宋体" w:hAnsi="宋体" w:cs="宋体"/>
                <w:color w:val="auto"/>
                <w:szCs w:val="21"/>
              </w:rPr>
            </w:pPr>
            <w:r>
              <w:rPr>
                <w:rFonts w:hint="eastAsia" w:ascii="宋体" w:hAnsi="宋体" w:cs="宋体"/>
                <w:color w:val="auto"/>
                <w:szCs w:val="21"/>
              </w:rPr>
              <w:t>①开本尺寸符合设计要求，套收规格一致，成品切方正，无明显刀花，无连接页、折角、破头。</w:t>
            </w:r>
          </w:p>
          <w:p>
            <w:pPr>
              <w:spacing w:line="340" w:lineRule="exact"/>
              <w:rPr>
                <w:rFonts w:ascii="宋体" w:hAnsi="宋体" w:cs="宋体"/>
                <w:color w:val="auto"/>
                <w:szCs w:val="21"/>
              </w:rPr>
            </w:pPr>
            <w:r>
              <w:rPr>
                <w:rFonts w:hint="eastAsia" w:ascii="宋体" w:hAnsi="宋体" w:cs="宋体"/>
                <w:color w:val="auto"/>
                <w:szCs w:val="21"/>
              </w:rPr>
              <w:t>②书背平整，无空背、起泡、明显皱纹，书脊字居中封面齐色，边框要色正。</w:t>
            </w:r>
          </w:p>
          <w:p>
            <w:pPr>
              <w:spacing w:line="340" w:lineRule="exact"/>
              <w:rPr>
                <w:rFonts w:ascii="宋体" w:hAnsi="宋体" w:cs="宋体"/>
                <w:color w:val="auto"/>
                <w:szCs w:val="21"/>
              </w:rPr>
            </w:pPr>
            <w:r>
              <w:rPr>
                <w:rFonts w:hint="eastAsia" w:ascii="宋体" w:hAnsi="宋体" w:cs="宋体"/>
                <w:color w:val="auto"/>
                <w:szCs w:val="21"/>
              </w:rPr>
              <w:t>③全书页码折正，书面平服，无皱折（八字折等）</w:t>
            </w:r>
          </w:p>
          <w:p>
            <w:pPr>
              <w:spacing w:line="340" w:lineRule="exact"/>
              <w:rPr>
                <w:rFonts w:ascii="宋体" w:hAnsi="宋体" w:cs="宋体"/>
                <w:color w:val="auto"/>
                <w:szCs w:val="21"/>
              </w:rPr>
            </w:pPr>
            <w:r>
              <w:rPr>
                <w:rFonts w:hint="eastAsia" w:ascii="宋体" w:hAnsi="宋体" w:cs="宋体"/>
                <w:color w:val="auto"/>
                <w:szCs w:val="21"/>
              </w:rPr>
              <w:t>④骑马钉、平钉的钉脚不翘，无断丝，凸肚，钉距匀称，坚实牢固易翻不脱页.</w:t>
            </w:r>
          </w:p>
          <w:p>
            <w:pPr>
              <w:spacing w:line="340" w:lineRule="exact"/>
              <w:rPr>
                <w:rFonts w:ascii="宋体" w:hAnsi="宋体" w:cs="宋体"/>
                <w:color w:val="auto"/>
                <w:szCs w:val="21"/>
              </w:rPr>
            </w:pPr>
            <w:r>
              <w:rPr>
                <w:rFonts w:hint="eastAsia" w:ascii="宋体" w:hAnsi="宋体" w:cs="宋体"/>
                <w:color w:val="auto"/>
                <w:szCs w:val="21"/>
              </w:rPr>
              <w:t>3.所提供的图书内容及插图必须健康向上，无负面影响，应具有长期保存及使用价值；具有较强知识性、科学性、趣味性、教育性、可读性。</w:t>
            </w:r>
          </w:p>
          <w:p>
            <w:pPr>
              <w:spacing w:line="340" w:lineRule="exact"/>
              <w:rPr>
                <w:rFonts w:ascii="宋体" w:hAnsi="宋体" w:cs="宋体"/>
                <w:color w:val="auto"/>
                <w:szCs w:val="21"/>
              </w:rPr>
            </w:pPr>
            <w:r>
              <w:rPr>
                <w:rFonts w:hint="eastAsia" w:ascii="宋体" w:hAnsi="宋体" w:cs="宋体"/>
                <w:color w:val="auto"/>
                <w:szCs w:val="21"/>
              </w:rPr>
              <w:t>4.▲图书目录报价明细表必须完全响应《图书采购目录》，并提供详细的书目参数信息，包含：书号、书名、定价、出版社、出版日期、数量等详细信息。提供虚假参数报价或参数响应率低于98%其投标报价无效。（提供图书目录报价明细表响应承诺函）</w:t>
            </w:r>
          </w:p>
          <w:p>
            <w:pPr>
              <w:spacing w:line="340" w:lineRule="exact"/>
              <w:rPr>
                <w:rFonts w:ascii="宋体" w:hAnsi="宋体" w:cs="宋体"/>
                <w:color w:val="auto"/>
                <w:szCs w:val="21"/>
              </w:rPr>
            </w:pPr>
            <w:r>
              <w:rPr>
                <w:rFonts w:hint="eastAsia" w:ascii="宋体" w:hAnsi="宋体" w:cs="宋体"/>
                <w:color w:val="auto"/>
                <w:szCs w:val="21"/>
              </w:rPr>
              <w:t>附：图书目录报价明细表（格式）</w:t>
            </w:r>
          </w:p>
          <w:tbl>
            <w:tblPr>
              <w:tblStyle w:val="46"/>
              <w:tblW w:w="75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896"/>
              <w:gridCol w:w="1302"/>
              <w:gridCol w:w="835"/>
              <w:gridCol w:w="599"/>
              <w:gridCol w:w="896"/>
              <w:gridCol w:w="661"/>
              <w:gridCol w:w="83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672" w:type="dxa"/>
                  <w:vAlign w:val="center"/>
                </w:tcPr>
                <w:p>
                  <w:pPr>
                    <w:spacing w:line="340" w:lineRule="exact"/>
                    <w:rPr>
                      <w:rFonts w:ascii="宋体" w:hAnsi="宋体" w:cs="宋体"/>
                      <w:color w:val="auto"/>
                      <w:szCs w:val="21"/>
                    </w:rPr>
                  </w:pPr>
                  <w:r>
                    <w:rPr>
                      <w:rFonts w:hint="eastAsia" w:ascii="宋体" w:hAnsi="宋体" w:cs="宋体"/>
                      <w:color w:val="auto"/>
                      <w:szCs w:val="21"/>
                    </w:rPr>
                    <w:t>序号</w:t>
                  </w:r>
                </w:p>
              </w:tc>
              <w:tc>
                <w:tcPr>
                  <w:tcW w:w="896"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书号</w:t>
                  </w:r>
                </w:p>
              </w:tc>
              <w:tc>
                <w:tcPr>
                  <w:tcW w:w="1302"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书名</w:t>
                  </w:r>
                </w:p>
              </w:tc>
              <w:tc>
                <w:tcPr>
                  <w:tcW w:w="835"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出版社</w:t>
                  </w:r>
                </w:p>
              </w:tc>
              <w:tc>
                <w:tcPr>
                  <w:tcW w:w="599"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定价</w:t>
                  </w:r>
                </w:p>
              </w:tc>
              <w:tc>
                <w:tcPr>
                  <w:tcW w:w="896"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出版日期</w:t>
                  </w:r>
                </w:p>
              </w:tc>
              <w:tc>
                <w:tcPr>
                  <w:tcW w:w="66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数量</w:t>
                  </w:r>
                </w:p>
              </w:tc>
              <w:tc>
                <w:tcPr>
                  <w:tcW w:w="835"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单价</w:t>
                  </w:r>
                </w:p>
              </w:tc>
              <w:tc>
                <w:tcPr>
                  <w:tcW w:w="882" w:type="dxa"/>
                  <w:vAlign w:val="center"/>
                </w:tcPr>
                <w:p>
                  <w:pPr>
                    <w:spacing w:line="340" w:lineRule="exact"/>
                    <w:jc w:val="center"/>
                    <w:rPr>
                      <w:rFonts w:ascii="宋体" w:hAnsi="宋体" w:cs="宋体"/>
                      <w:color w:val="auto"/>
                      <w:szCs w:val="21"/>
                    </w:rPr>
                  </w:pPr>
                  <w:r>
                    <w:rPr>
                      <w:rFonts w:hint="eastAsia" w:ascii="宋体" w:hAnsi="宋体" w:cs="宋体"/>
                      <w:color w:val="auto"/>
                      <w:szCs w:val="21"/>
                      <w:lang w:eastAsia="zh-CN"/>
                    </w:rPr>
                    <w:t>单项合</w:t>
                  </w:r>
                  <w:r>
                    <w:rPr>
                      <w:rFonts w:hint="eastAsia" w:ascii="宋体" w:hAnsi="宋体" w:cs="宋体"/>
                      <w:color w:val="auto"/>
                      <w:szCs w:val="21"/>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672" w:type="dxa"/>
                </w:tcPr>
                <w:p>
                  <w:pPr>
                    <w:spacing w:line="340" w:lineRule="exact"/>
                    <w:rPr>
                      <w:rFonts w:ascii="宋体" w:hAnsi="宋体" w:cs="宋体"/>
                      <w:color w:val="auto"/>
                      <w:szCs w:val="21"/>
                    </w:rPr>
                  </w:pPr>
                  <w:r>
                    <w:rPr>
                      <w:rFonts w:hint="eastAsia" w:ascii="宋体" w:hAnsi="宋体" w:cs="宋体"/>
                      <w:color w:val="auto"/>
                      <w:szCs w:val="21"/>
                    </w:rPr>
                    <w:t>1</w:t>
                  </w:r>
                </w:p>
              </w:tc>
              <w:tc>
                <w:tcPr>
                  <w:tcW w:w="896" w:type="dxa"/>
                </w:tcPr>
                <w:p>
                  <w:pPr>
                    <w:spacing w:line="340" w:lineRule="exact"/>
                    <w:rPr>
                      <w:rFonts w:ascii="宋体" w:hAnsi="宋体" w:cs="宋体"/>
                      <w:color w:val="auto"/>
                      <w:szCs w:val="21"/>
                    </w:rPr>
                  </w:pPr>
                </w:p>
              </w:tc>
              <w:tc>
                <w:tcPr>
                  <w:tcW w:w="1302" w:type="dxa"/>
                </w:tcPr>
                <w:p>
                  <w:pPr>
                    <w:spacing w:line="340" w:lineRule="exact"/>
                    <w:rPr>
                      <w:rFonts w:ascii="宋体" w:hAnsi="宋体" w:cs="宋体"/>
                      <w:color w:val="auto"/>
                      <w:szCs w:val="21"/>
                    </w:rPr>
                  </w:pPr>
                </w:p>
              </w:tc>
              <w:tc>
                <w:tcPr>
                  <w:tcW w:w="835" w:type="dxa"/>
                </w:tcPr>
                <w:p>
                  <w:pPr>
                    <w:spacing w:line="340" w:lineRule="exact"/>
                    <w:rPr>
                      <w:rFonts w:ascii="宋体" w:hAnsi="宋体" w:cs="宋体"/>
                      <w:color w:val="auto"/>
                      <w:szCs w:val="21"/>
                    </w:rPr>
                  </w:pPr>
                </w:p>
              </w:tc>
              <w:tc>
                <w:tcPr>
                  <w:tcW w:w="599" w:type="dxa"/>
                </w:tcPr>
                <w:p>
                  <w:pPr>
                    <w:spacing w:line="340" w:lineRule="exact"/>
                    <w:rPr>
                      <w:rFonts w:ascii="宋体" w:hAnsi="宋体" w:cs="宋体"/>
                      <w:color w:val="auto"/>
                      <w:szCs w:val="21"/>
                    </w:rPr>
                  </w:pPr>
                </w:p>
              </w:tc>
              <w:tc>
                <w:tcPr>
                  <w:tcW w:w="896" w:type="dxa"/>
                </w:tcPr>
                <w:p>
                  <w:pPr>
                    <w:spacing w:line="340" w:lineRule="exact"/>
                    <w:rPr>
                      <w:rFonts w:ascii="宋体" w:hAnsi="宋体" w:cs="宋体"/>
                      <w:color w:val="auto"/>
                      <w:szCs w:val="21"/>
                    </w:rPr>
                  </w:pPr>
                </w:p>
              </w:tc>
              <w:tc>
                <w:tcPr>
                  <w:tcW w:w="661" w:type="dxa"/>
                </w:tcPr>
                <w:p>
                  <w:pPr>
                    <w:spacing w:line="340" w:lineRule="exact"/>
                    <w:rPr>
                      <w:rFonts w:ascii="宋体" w:hAnsi="宋体" w:cs="宋体"/>
                      <w:color w:val="auto"/>
                      <w:szCs w:val="21"/>
                    </w:rPr>
                  </w:pPr>
                </w:p>
              </w:tc>
              <w:tc>
                <w:tcPr>
                  <w:tcW w:w="835" w:type="dxa"/>
                </w:tcPr>
                <w:p>
                  <w:pPr>
                    <w:spacing w:line="340" w:lineRule="exact"/>
                    <w:rPr>
                      <w:rFonts w:ascii="宋体" w:hAnsi="宋体" w:cs="宋体"/>
                      <w:color w:val="auto"/>
                      <w:szCs w:val="21"/>
                    </w:rPr>
                  </w:pPr>
                </w:p>
              </w:tc>
              <w:tc>
                <w:tcPr>
                  <w:tcW w:w="882" w:type="dxa"/>
                </w:tcPr>
                <w:p>
                  <w:pPr>
                    <w:spacing w:line="34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672" w:type="dxa"/>
                </w:tcPr>
                <w:p>
                  <w:pPr>
                    <w:spacing w:line="340" w:lineRule="exact"/>
                    <w:rPr>
                      <w:rFonts w:ascii="宋体" w:hAnsi="宋体" w:cs="宋体"/>
                      <w:color w:val="auto"/>
                      <w:szCs w:val="21"/>
                    </w:rPr>
                  </w:pPr>
                  <w:r>
                    <w:rPr>
                      <w:rFonts w:hint="eastAsia" w:ascii="宋体" w:hAnsi="宋体" w:cs="宋体"/>
                      <w:color w:val="auto"/>
                      <w:szCs w:val="21"/>
                    </w:rPr>
                    <w:t>2</w:t>
                  </w:r>
                </w:p>
              </w:tc>
              <w:tc>
                <w:tcPr>
                  <w:tcW w:w="896" w:type="dxa"/>
                </w:tcPr>
                <w:p>
                  <w:pPr>
                    <w:spacing w:line="340" w:lineRule="exact"/>
                    <w:rPr>
                      <w:rFonts w:ascii="宋体" w:hAnsi="宋体" w:cs="宋体"/>
                      <w:color w:val="auto"/>
                      <w:szCs w:val="21"/>
                    </w:rPr>
                  </w:pPr>
                </w:p>
              </w:tc>
              <w:tc>
                <w:tcPr>
                  <w:tcW w:w="1302" w:type="dxa"/>
                </w:tcPr>
                <w:p>
                  <w:pPr>
                    <w:spacing w:line="340" w:lineRule="exact"/>
                    <w:rPr>
                      <w:rFonts w:ascii="宋体" w:hAnsi="宋体" w:cs="宋体"/>
                      <w:color w:val="auto"/>
                      <w:szCs w:val="21"/>
                    </w:rPr>
                  </w:pPr>
                </w:p>
              </w:tc>
              <w:tc>
                <w:tcPr>
                  <w:tcW w:w="835" w:type="dxa"/>
                </w:tcPr>
                <w:p>
                  <w:pPr>
                    <w:spacing w:line="340" w:lineRule="exact"/>
                    <w:rPr>
                      <w:rFonts w:ascii="宋体" w:hAnsi="宋体" w:cs="宋体"/>
                      <w:color w:val="auto"/>
                      <w:szCs w:val="21"/>
                    </w:rPr>
                  </w:pPr>
                </w:p>
              </w:tc>
              <w:tc>
                <w:tcPr>
                  <w:tcW w:w="599" w:type="dxa"/>
                </w:tcPr>
                <w:p>
                  <w:pPr>
                    <w:spacing w:line="340" w:lineRule="exact"/>
                    <w:rPr>
                      <w:rFonts w:ascii="宋体" w:hAnsi="宋体" w:cs="宋体"/>
                      <w:color w:val="auto"/>
                      <w:szCs w:val="21"/>
                    </w:rPr>
                  </w:pPr>
                </w:p>
              </w:tc>
              <w:tc>
                <w:tcPr>
                  <w:tcW w:w="896" w:type="dxa"/>
                </w:tcPr>
                <w:p>
                  <w:pPr>
                    <w:spacing w:line="340" w:lineRule="exact"/>
                    <w:rPr>
                      <w:rFonts w:ascii="宋体" w:hAnsi="宋体" w:cs="宋体"/>
                      <w:color w:val="auto"/>
                      <w:szCs w:val="21"/>
                    </w:rPr>
                  </w:pPr>
                </w:p>
              </w:tc>
              <w:tc>
                <w:tcPr>
                  <w:tcW w:w="661" w:type="dxa"/>
                </w:tcPr>
                <w:p>
                  <w:pPr>
                    <w:spacing w:line="340" w:lineRule="exact"/>
                    <w:rPr>
                      <w:rFonts w:ascii="宋体" w:hAnsi="宋体" w:cs="宋体"/>
                      <w:color w:val="auto"/>
                      <w:szCs w:val="21"/>
                    </w:rPr>
                  </w:pPr>
                </w:p>
              </w:tc>
              <w:tc>
                <w:tcPr>
                  <w:tcW w:w="835" w:type="dxa"/>
                </w:tcPr>
                <w:p>
                  <w:pPr>
                    <w:spacing w:line="340" w:lineRule="exact"/>
                    <w:rPr>
                      <w:rFonts w:ascii="宋体" w:hAnsi="宋体" w:cs="宋体"/>
                      <w:color w:val="auto"/>
                      <w:szCs w:val="21"/>
                    </w:rPr>
                  </w:pPr>
                </w:p>
              </w:tc>
              <w:tc>
                <w:tcPr>
                  <w:tcW w:w="882" w:type="dxa"/>
                </w:tcPr>
                <w:p>
                  <w:pPr>
                    <w:spacing w:line="34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672" w:type="dxa"/>
                </w:tcPr>
                <w:p>
                  <w:pPr>
                    <w:spacing w:line="340" w:lineRule="exact"/>
                    <w:rPr>
                      <w:rFonts w:ascii="宋体" w:hAnsi="宋体" w:cs="宋体"/>
                      <w:color w:val="auto"/>
                      <w:szCs w:val="21"/>
                    </w:rPr>
                  </w:pPr>
                  <w:r>
                    <w:rPr>
                      <w:rFonts w:hint="eastAsia" w:ascii="宋体" w:hAnsi="宋体" w:cs="宋体"/>
                      <w:color w:val="auto"/>
                      <w:szCs w:val="21"/>
                    </w:rPr>
                    <w:t>...</w:t>
                  </w:r>
                </w:p>
              </w:tc>
              <w:tc>
                <w:tcPr>
                  <w:tcW w:w="896" w:type="dxa"/>
                </w:tcPr>
                <w:p>
                  <w:pPr>
                    <w:spacing w:line="340" w:lineRule="exact"/>
                    <w:rPr>
                      <w:rFonts w:ascii="宋体" w:hAnsi="宋体" w:cs="宋体"/>
                      <w:color w:val="auto"/>
                      <w:szCs w:val="21"/>
                    </w:rPr>
                  </w:pPr>
                </w:p>
              </w:tc>
              <w:tc>
                <w:tcPr>
                  <w:tcW w:w="1302" w:type="dxa"/>
                </w:tcPr>
                <w:p>
                  <w:pPr>
                    <w:spacing w:line="340" w:lineRule="exact"/>
                    <w:rPr>
                      <w:rFonts w:ascii="宋体" w:hAnsi="宋体" w:cs="宋体"/>
                      <w:color w:val="auto"/>
                      <w:szCs w:val="21"/>
                    </w:rPr>
                  </w:pPr>
                </w:p>
              </w:tc>
              <w:tc>
                <w:tcPr>
                  <w:tcW w:w="835" w:type="dxa"/>
                </w:tcPr>
                <w:p>
                  <w:pPr>
                    <w:spacing w:line="340" w:lineRule="exact"/>
                    <w:rPr>
                      <w:rFonts w:ascii="宋体" w:hAnsi="宋体" w:cs="宋体"/>
                      <w:color w:val="auto"/>
                      <w:szCs w:val="21"/>
                    </w:rPr>
                  </w:pPr>
                </w:p>
              </w:tc>
              <w:tc>
                <w:tcPr>
                  <w:tcW w:w="599" w:type="dxa"/>
                </w:tcPr>
                <w:p>
                  <w:pPr>
                    <w:spacing w:line="340" w:lineRule="exact"/>
                    <w:rPr>
                      <w:rFonts w:ascii="宋体" w:hAnsi="宋体" w:cs="宋体"/>
                      <w:color w:val="auto"/>
                      <w:szCs w:val="21"/>
                    </w:rPr>
                  </w:pPr>
                </w:p>
              </w:tc>
              <w:tc>
                <w:tcPr>
                  <w:tcW w:w="896" w:type="dxa"/>
                </w:tcPr>
                <w:p>
                  <w:pPr>
                    <w:spacing w:line="340" w:lineRule="exact"/>
                    <w:rPr>
                      <w:rFonts w:ascii="宋体" w:hAnsi="宋体" w:cs="宋体"/>
                      <w:color w:val="auto"/>
                      <w:szCs w:val="21"/>
                    </w:rPr>
                  </w:pPr>
                </w:p>
              </w:tc>
              <w:tc>
                <w:tcPr>
                  <w:tcW w:w="661" w:type="dxa"/>
                </w:tcPr>
                <w:p>
                  <w:pPr>
                    <w:spacing w:line="340" w:lineRule="exact"/>
                    <w:rPr>
                      <w:rFonts w:ascii="宋体" w:hAnsi="宋体" w:cs="宋体"/>
                      <w:color w:val="auto"/>
                      <w:szCs w:val="21"/>
                    </w:rPr>
                  </w:pPr>
                </w:p>
              </w:tc>
              <w:tc>
                <w:tcPr>
                  <w:tcW w:w="835" w:type="dxa"/>
                </w:tcPr>
                <w:p>
                  <w:pPr>
                    <w:spacing w:line="340" w:lineRule="exact"/>
                    <w:rPr>
                      <w:rFonts w:ascii="宋体" w:hAnsi="宋体" w:cs="宋体"/>
                      <w:color w:val="auto"/>
                      <w:szCs w:val="21"/>
                    </w:rPr>
                  </w:pPr>
                </w:p>
              </w:tc>
              <w:tc>
                <w:tcPr>
                  <w:tcW w:w="882" w:type="dxa"/>
                </w:tcPr>
                <w:p>
                  <w:pPr>
                    <w:spacing w:line="340" w:lineRule="exact"/>
                    <w:rPr>
                      <w:rFonts w:ascii="宋体" w:hAnsi="宋体" w:cs="宋体"/>
                      <w:color w:val="auto"/>
                      <w:szCs w:val="21"/>
                    </w:rPr>
                  </w:pPr>
                </w:p>
              </w:tc>
            </w:tr>
          </w:tbl>
          <w:p>
            <w:pPr>
              <w:spacing w:line="340" w:lineRule="exact"/>
              <w:rPr>
                <w:rFonts w:ascii="宋体" w:hAnsi="宋体" w:cs="宋体"/>
                <w:color w:val="auto"/>
                <w:szCs w:val="21"/>
              </w:rPr>
            </w:pPr>
            <w:r>
              <w:rPr>
                <w:rFonts w:hint="eastAsia" w:ascii="宋体" w:hAnsi="宋体" w:cs="宋体"/>
                <w:color w:val="auto"/>
                <w:szCs w:val="21"/>
              </w:rPr>
              <w:t>5.▲响应供应商需在响应文件中提供附件：《图书采购目录清单》（详见附件，附件另外发放）中序号100、序号200、序号300、序号400、序号500、序号600、序号700、序号800、序号900、序号1000、序号1100、序号1200、序号1300、序号1400、序号1500、序号1600、序号1700、序号1800、序号1900、序号2000等20种样书的版权信息，包括封面、版权页、正文第17页清晰复印件，投标人所提供的图书照片信息与附件《图书采购目录》中书名、出版社一致，图书图片提供率100% 准确。</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册</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28000</w:t>
            </w:r>
          </w:p>
        </w:tc>
      </w:tr>
      <w:tr>
        <w:tblPrEx>
          <w:tblLayout w:type="fixed"/>
          <w:tblCellMar>
            <w:top w:w="0" w:type="dxa"/>
            <w:left w:w="108" w:type="dxa"/>
            <w:bottom w:w="0" w:type="dxa"/>
            <w:right w:w="108" w:type="dxa"/>
          </w:tblCellMar>
        </w:tblPrEx>
        <w:trPr>
          <w:trHeight w:val="90" w:hRule="atLeast"/>
          <w:jc w:val="center"/>
        </w:trPr>
        <w:tc>
          <w:tcPr>
            <w:tcW w:w="620" w:type="dxa"/>
            <w:tcBorders>
              <w:top w:val="single" w:color="404040" w:sz="4" w:space="0"/>
              <w:left w:val="single" w:color="404040" w:sz="4" w:space="0"/>
              <w:bottom w:val="single" w:color="404040" w:sz="4" w:space="0"/>
              <w:right w:val="nil"/>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2</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图书馆管理系统</w:t>
            </w:r>
          </w:p>
        </w:tc>
        <w:tc>
          <w:tcPr>
            <w:tcW w:w="7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一、系统结构：</w:t>
            </w:r>
          </w:p>
          <w:p>
            <w:pPr>
              <w:spacing w:line="340" w:lineRule="exact"/>
              <w:rPr>
                <w:rFonts w:ascii="宋体" w:hAnsi="宋体" w:cs="宋体"/>
                <w:color w:val="auto"/>
                <w:szCs w:val="21"/>
              </w:rPr>
            </w:pPr>
            <w:r>
              <w:rPr>
                <w:rFonts w:hint="eastAsia" w:ascii="宋体" w:hAnsi="宋体" w:cs="宋体"/>
                <w:color w:val="auto"/>
                <w:szCs w:val="21"/>
              </w:rPr>
              <w:t>1.系统采用Net、C#等主流开发语言，支持SQLSever2000到SQLSever2019、Oracle等大型数据库。</w:t>
            </w:r>
          </w:p>
          <w:p>
            <w:pPr>
              <w:spacing w:line="340" w:lineRule="exact"/>
              <w:rPr>
                <w:rFonts w:ascii="宋体" w:hAnsi="宋体" w:cs="宋体"/>
                <w:color w:val="auto"/>
                <w:szCs w:val="21"/>
              </w:rPr>
            </w:pPr>
            <w:r>
              <w:rPr>
                <w:rFonts w:hint="eastAsia" w:ascii="宋体" w:hAnsi="宋体" w:cs="宋体"/>
                <w:color w:val="auto"/>
                <w:szCs w:val="21"/>
              </w:rPr>
              <w:t>2.图书馆管理系统可平稳运行于微软 Windows XP、Windows7到Windows10等操作系统。</w:t>
            </w:r>
          </w:p>
          <w:p>
            <w:pPr>
              <w:spacing w:line="340" w:lineRule="exact"/>
              <w:rPr>
                <w:rFonts w:ascii="宋体" w:hAnsi="宋体" w:cs="宋体"/>
                <w:color w:val="auto"/>
                <w:szCs w:val="21"/>
              </w:rPr>
            </w:pPr>
            <w:r>
              <w:rPr>
                <w:rFonts w:hint="eastAsia" w:ascii="宋体" w:hAnsi="宋体" w:cs="宋体"/>
                <w:color w:val="auto"/>
                <w:szCs w:val="21"/>
              </w:rPr>
              <w:t>3.▲采用C/S+B/S混合架构网络体系结构,支持C/S版本管理也同时支持B/S纯网页端管理，数据可同步管理，无需二次开发对接。(需提供数据同步承诺函)</w:t>
            </w:r>
          </w:p>
          <w:p>
            <w:pPr>
              <w:spacing w:line="340" w:lineRule="exact"/>
              <w:rPr>
                <w:rFonts w:ascii="宋体" w:hAnsi="宋体" w:cs="宋体"/>
                <w:color w:val="auto"/>
                <w:szCs w:val="21"/>
              </w:rPr>
            </w:pPr>
            <w:r>
              <w:rPr>
                <w:rFonts w:hint="eastAsia" w:ascii="宋体" w:hAnsi="宋体" w:cs="宋体"/>
                <w:color w:val="auto"/>
                <w:szCs w:val="21"/>
              </w:rPr>
              <w:t>4.▲系统包含（系统管理、读者管理、采编管理、期刊管理、流通管理、查询管理、数字资源、统计管理、OPAC管理）要用C/S+B/S混合架构。用户界面良好，灵活简便直观的操作，具有灵活、全面的系统维护功能。（需提供图书管理系统测试报告）</w:t>
            </w:r>
          </w:p>
          <w:p>
            <w:pPr>
              <w:spacing w:line="340" w:lineRule="exact"/>
              <w:rPr>
                <w:rFonts w:ascii="宋体" w:hAnsi="宋体" w:cs="宋体"/>
                <w:color w:val="auto"/>
                <w:szCs w:val="21"/>
              </w:rPr>
            </w:pPr>
            <w:r>
              <w:rPr>
                <w:rFonts w:hint="eastAsia" w:ascii="宋体" w:hAnsi="宋体" w:cs="宋体"/>
                <w:color w:val="auto"/>
                <w:szCs w:val="21"/>
              </w:rPr>
              <w:t>二、系统运行环境:</w:t>
            </w:r>
          </w:p>
          <w:p>
            <w:pPr>
              <w:spacing w:line="340" w:lineRule="exact"/>
              <w:rPr>
                <w:rFonts w:ascii="宋体" w:hAnsi="宋体" w:cs="宋体"/>
                <w:color w:val="auto"/>
                <w:szCs w:val="21"/>
              </w:rPr>
            </w:pPr>
            <w:r>
              <w:rPr>
                <w:rFonts w:hint="eastAsia" w:ascii="宋体" w:hAnsi="宋体" w:cs="宋体"/>
                <w:color w:val="auto"/>
                <w:szCs w:val="21"/>
              </w:rPr>
              <w:t>1.大型关系数据库管理系统：支持 SQL Sever、Oracle等。</w:t>
            </w:r>
          </w:p>
          <w:p>
            <w:pPr>
              <w:spacing w:line="340" w:lineRule="exact"/>
              <w:rPr>
                <w:rFonts w:ascii="宋体" w:hAnsi="宋体" w:cs="宋体"/>
                <w:color w:val="auto"/>
                <w:szCs w:val="21"/>
              </w:rPr>
            </w:pPr>
            <w:r>
              <w:rPr>
                <w:rFonts w:hint="eastAsia" w:ascii="宋体" w:hAnsi="宋体" w:cs="宋体"/>
                <w:color w:val="auto"/>
                <w:szCs w:val="21"/>
              </w:rPr>
              <w:t>2.工作站操作系统：Windows XP或以上。</w:t>
            </w:r>
          </w:p>
          <w:p>
            <w:pPr>
              <w:spacing w:line="340" w:lineRule="exact"/>
              <w:rPr>
                <w:rFonts w:ascii="宋体" w:hAnsi="宋体" w:cs="宋体"/>
                <w:color w:val="auto"/>
                <w:szCs w:val="21"/>
              </w:rPr>
            </w:pPr>
            <w:r>
              <w:rPr>
                <w:rFonts w:hint="eastAsia" w:ascii="宋体" w:hAnsi="宋体" w:cs="宋体"/>
                <w:color w:val="auto"/>
                <w:szCs w:val="21"/>
              </w:rPr>
              <w:t>3.数据库运行环境：支持所有Windows系列。</w:t>
            </w:r>
          </w:p>
          <w:p>
            <w:pPr>
              <w:spacing w:line="340" w:lineRule="exact"/>
              <w:rPr>
                <w:rFonts w:ascii="宋体" w:hAnsi="宋体" w:cs="宋体"/>
                <w:color w:val="auto"/>
                <w:szCs w:val="21"/>
              </w:rPr>
            </w:pPr>
            <w:r>
              <w:rPr>
                <w:rFonts w:hint="eastAsia" w:ascii="宋体" w:hAnsi="宋体" w:cs="宋体"/>
                <w:color w:val="auto"/>
                <w:szCs w:val="21"/>
              </w:rPr>
              <w:t>4.软件必须采用多层（三层及以上）架构，保障软件的可靠性和稳定性、客户端必须实现免维护、自动升级功能。</w:t>
            </w:r>
          </w:p>
          <w:p>
            <w:pPr>
              <w:spacing w:line="340" w:lineRule="exact"/>
              <w:rPr>
                <w:rFonts w:ascii="宋体" w:hAnsi="宋体" w:cs="宋体"/>
                <w:color w:val="auto"/>
                <w:szCs w:val="21"/>
              </w:rPr>
            </w:pPr>
            <w:r>
              <w:rPr>
                <w:rFonts w:hint="eastAsia" w:ascii="宋体" w:hAnsi="宋体" w:cs="宋体"/>
                <w:color w:val="auto"/>
                <w:szCs w:val="21"/>
              </w:rPr>
              <w:t>三、主要功能要求：</w:t>
            </w:r>
          </w:p>
          <w:p>
            <w:pPr>
              <w:spacing w:line="340" w:lineRule="exact"/>
              <w:rPr>
                <w:rFonts w:ascii="宋体" w:hAnsi="宋体" w:cs="宋体"/>
                <w:color w:val="auto"/>
                <w:szCs w:val="21"/>
              </w:rPr>
            </w:pPr>
            <w:r>
              <w:rPr>
                <w:rFonts w:hint="eastAsia" w:ascii="宋体" w:hAnsi="宋体" w:cs="宋体"/>
                <w:color w:val="auto"/>
                <w:szCs w:val="21"/>
              </w:rPr>
              <w:t>（一）系统管理</w:t>
            </w:r>
          </w:p>
          <w:p>
            <w:pPr>
              <w:spacing w:line="340" w:lineRule="exact"/>
              <w:rPr>
                <w:rFonts w:ascii="宋体" w:hAnsi="宋体" w:cs="宋体"/>
                <w:color w:val="auto"/>
                <w:szCs w:val="21"/>
              </w:rPr>
            </w:pPr>
            <w:r>
              <w:rPr>
                <w:rFonts w:hint="eastAsia" w:ascii="宋体" w:hAnsi="宋体" w:cs="宋体"/>
                <w:color w:val="auto"/>
                <w:szCs w:val="21"/>
              </w:rPr>
              <w:t>1.用户管理:可对操作员设置各种自定义权限管理。</w:t>
            </w:r>
          </w:p>
          <w:p>
            <w:pPr>
              <w:spacing w:line="340" w:lineRule="exact"/>
              <w:rPr>
                <w:rFonts w:ascii="宋体" w:hAnsi="宋体" w:cs="宋体"/>
                <w:color w:val="auto"/>
                <w:szCs w:val="21"/>
              </w:rPr>
            </w:pPr>
            <w:r>
              <w:rPr>
                <w:rFonts w:hint="eastAsia" w:ascii="宋体" w:hAnsi="宋体" w:cs="宋体"/>
                <w:color w:val="auto"/>
                <w:szCs w:val="21"/>
              </w:rPr>
              <w:t>2.工作量表管理:可对采编人员的工作量做直观统计，可按年统计、按月统计、按日统计。</w:t>
            </w:r>
          </w:p>
          <w:p>
            <w:pPr>
              <w:spacing w:line="340" w:lineRule="exact"/>
              <w:rPr>
                <w:rFonts w:ascii="宋体" w:hAnsi="宋体" w:cs="宋体"/>
                <w:color w:val="auto"/>
                <w:szCs w:val="21"/>
              </w:rPr>
            </w:pPr>
            <w:r>
              <w:rPr>
                <w:rFonts w:hint="eastAsia" w:ascii="宋体" w:hAnsi="宋体" w:cs="宋体"/>
                <w:color w:val="auto"/>
                <w:szCs w:val="21"/>
              </w:rPr>
              <w:t>3.系统离线管理:可对系统自定义设置离线时间、自动锁定管理系统，防止其它人误操作管理。</w:t>
            </w:r>
          </w:p>
          <w:p>
            <w:pPr>
              <w:spacing w:line="340" w:lineRule="exact"/>
              <w:rPr>
                <w:rFonts w:ascii="宋体" w:hAnsi="宋体" w:cs="宋体"/>
                <w:color w:val="auto"/>
                <w:szCs w:val="21"/>
              </w:rPr>
            </w:pPr>
            <w:r>
              <w:rPr>
                <w:rFonts w:hint="eastAsia" w:ascii="宋体" w:hAnsi="宋体" w:cs="宋体"/>
                <w:color w:val="auto"/>
                <w:szCs w:val="21"/>
              </w:rPr>
              <w:t>4.假期管理:可对系统自定义放假时间、暂停开放时间管理。</w:t>
            </w:r>
          </w:p>
          <w:p>
            <w:pPr>
              <w:spacing w:line="340" w:lineRule="exact"/>
              <w:rPr>
                <w:rFonts w:ascii="宋体" w:hAnsi="宋体" w:cs="宋体"/>
                <w:color w:val="auto"/>
                <w:szCs w:val="21"/>
              </w:rPr>
            </w:pPr>
            <w:r>
              <w:rPr>
                <w:rFonts w:hint="eastAsia" w:ascii="宋体" w:hAnsi="宋体" w:cs="宋体"/>
                <w:color w:val="auto"/>
                <w:szCs w:val="21"/>
              </w:rPr>
              <w:t>5.系统数据应采用标准的CNMARC数据格式存储，并能接收和输出标准的CNMARC字段。可自定义设置导入、导出带馆藏的CNMARC数据，分类符合中国图书馆分类法(第五版)规则，并能提供电子版中图分类法检索，方便管理员查询图书类别。</w:t>
            </w:r>
          </w:p>
          <w:p>
            <w:pPr>
              <w:spacing w:line="340" w:lineRule="exact"/>
              <w:rPr>
                <w:rFonts w:ascii="宋体" w:hAnsi="宋体" w:cs="宋体"/>
                <w:color w:val="auto"/>
                <w:szCs w:val="21"/>
              </w:rPr>
            </w:pPr>
            <w:r>
              <w:rPr>
                <w:rFonts w:hint="eastAsia" w:ascii="宋体" w:hAnsi="宋体" w:cs="宋体"/>
                <w:color w:val="auto"/>
                <w:szCs w:val="21"/>
              </w:rPr>
              <w:t>6.批套数据管理:系统可以按标准书号下载标准的CNMARC数据和书目详细清单。</w:t>
            </w:r>
          </w:p>
          <w:p>
            <w:pPr>
              <w:spacing w:line="340" w:lineRule="exact"/>
              <w:rPr>
                <w:rFonts w:ascii="宋体" w:hAnsi="宋体" w:cs="宋体"/>
                <w:color w:val="auto"/>
                <w:szCs w:val="21"/>
              </w:rPr>
            </w:pPr>
            <w:r>
              <w:rPr>
                <w:rFonts w:hint="eastAsia" w:ascii="宋体" w:hAnsi="宋体" w:cs="宋体"/>
                <w:color w:val="auto"/>
                <w:szCs w:val="21"/>
              </w:rPr>
              <w:t>7.字体设置:对系统的导出报表字体、借书证打印字体、打印标签字体、架位号字体、色标字体等设置大小。</w:t>
            </w:r>
          </w:p>
          <w:p>
            <w:pPr>
              <w:spacing w:line="340" w:lineRule="exact"/>
              <w:rPr>
                <w:rFonts w:ascii="宋体" w:hAnsi="宋体" w:cs="宋体"/>
                <w:color w:val="auto"/>
                <w:szCs w:val="21"/>
              </w:rPr>
            </w:pPr>
            <w:r>
              <w:rPr>
                <w:rFonts w:hint="eastAsia" w:ascii="宋体" w:hAnsi="宋体" w:cs="宋体"/>
                <w:color w:val="auto"/>
                <w:szCs w:val="21"/>
              </w:rPr>
              <w:t>(二)读者管理</w:t>
            </w:r>
          </w:p>
          <w:p>
            <w:pPr>
              <w:spacing w:line="340" w:lineRule="exact"/>
              <w:rPr>
                <w:rFonts w:ascii="宋体" w:hAnsi="宋体" w:cs="宋体"/>
                <w:color w:val="auto"/>
                <w:szCs w:val="21"/>
              </w:rPr>
            </w:pPr>
            <w:r>
              <w:rPr>
                <w:rFonts w:hint="eastAsia" w:ascii="宋体" w:hAnsi="宋体" w:cs="宋体"/>
                <w:color w:val="auto"/>
                <w:szCs w:val="21"/>
              </w:rPr>
              <w:t>1.能自定义设定各种类型读者对每种图书的外借期限、册数、超期罚款条件等流通参数，能批量设定流通工作日。</w:t>
            </w:r>
          </w:p>
          <w:p>
            <w:pPr>
              <w:spacing w:line="340" w:lineRule="exact"/>
              <w:rPr>
                <w:rFonts w:ascii="宋体" w:hAnsi="宋体" w:cs="宋体"/>
                <w:color w:val="auto"/>
                <w:szCs w:val="21"/>
              </w:rPr>
            </w:pPr>
            <w:r>
              <w:rPr>
                <w:rFonts w:hint="eastAsia" w:ascii="宋体" w:hAnsi="宋体" w:cs="宋体"/>
                <w:color w:val="auto"/>
                <w:szCs w:val="21"/>
              </w:rPr>
              <w:t>▲2.系统通过外接摄像头或数码相机，应实现直接采集读者数码相片进入数据库，方便读者认证管理及证件制作。添加照片时能够对照片进行智能分析，自动检测有效脸部信息，防止上传无效照片，同时应该生成人脸识别信息。（需提供人脸识别证明</w:t>
            </w:r>
            <w:r>
              <w:rPr>
                <w:rFonts w:hint="eastAsia" w:ascii="宋体" w:hAnsi="宋体" w:cs="宋体"/>
                <w:color w:val="auto"/>
                <w:szCs w:val="21"/>
                <w:lang w:eastAsia="zh-CN"/>
              </w:rPr>
              <w:t>材料</w:t>
            </w:r>
            <w:r>
              <w:rPr>
                <w:rFonts w:hint="eastAsia" w:ascii="宋体" w:hAnsi="宋体" w:cs="宋体"/>
                <w:color w:val="auto"/>
                <w:szCs w:val="21"/>
              </w:rPr>
              <w:t>）</w:t>
            </w:r>
          </w:p>
          <w:p>
            <w:pPr>
              <w:spacing w:line="340" w:lineRule="exact"/>
              <w:rPr>
                <w:rFonts w:ascii="宋体" w:hAnsi="宋体" w:cs="宋体"/>
                <w:color w:val="auto"/>
                <w:szCs w:val="21"/>
              </w:rPr>
            </w:pPr>
            <w:r>
              <w:rPr>
                <w:rFonts w:hint="eastAsia" w:ascii="宋体" w:hAnsi="宋体" w:cs="宋体"/>
                <w:color w:val="auto"/>
                <w:szCs w:val="21"/>
              </w:rPr>
              <w:t>3.可自定义批量修改读者班级或部门、类型、可批量删除部门和读者信息。</w:t>
            </w:r>
          </w:p>
          <w:p>
            <w:pPr>
              <w:spacing w:line="340" w:lineRule="exact"/>
              <w:rPr>
                <w:rFonts w:ascii="宋体" w:hAnsi="宋体" w:cs="宋体"/>
                <w:color w:val="auto"/>
                <w:szCs w:val="21"/>
              </w:rPr>
            </w:pPr>
            <w:r>
              <w:rPr>
                <w:rFonts w:hint="eastAsia" w:ascii="宋体" w:hAnsi="宋体" w:cs="宋体"/>
                <w:color w:val="auto"/>
                <w:szCs w:val="21"/>
              </w:rPr>
              <w:t>4.支持通过手机短信、电子邮件等方式自动批量发送催还通知、预约书到馆通知。</w:t>
            </w:r>
          </w:p>
          <w:p>
            <w:pPr>
              <w:spacing w:line="340" w:lineRule="exact"/>
              <w:rPr>
                <w:rFonts w:ascii="宋体" w:hAnsi="宋体" w:cs="宋体"/>
                <w:color w:val="auto"/>
                <w:szCs w:val="21"/>
              </w:rPr>
            </w:pPr>
            <w:r>
              <w:rPr>
                <w:rFonts w:hint="eastAsia" w:ascii="宋体" w:hAnsi="宋体" w:cs="宋体"/>
                <w:color w:val="auto"/>
                <w:szCs w:val="21"/>
              </w:rPr>
              <w:t>5.读者的登记、升级、挂失、注销、暂停、删除管理功能。</w:t>
            </w:r>
          </w:p>
          <w:p>
            <w:pPr>
              <w:spacing w:line="340" w:lineRule="exact"/>
              <w:rPr>
                <w:rFonts w:ascii="宋体" w:hAnsi="宋体" w:cs="宋体"/>
                <w:color w:val="auto"/>
                <w:szCs w:val="21"/>
              </w:rPr>
            </w:pPr>
            <w:r>
              <w:rPr>
                <w:rFonts w:hint="eastAsia" w:ascii="宋体" w:hAnsi="宋体" w:cs="宋体"/>
                <w:color w:val="auto"/>
                <w:szCs w:val="21"/>
              </w:rPr>
              <w:t>6.图书、音像、期刊应具有相应的借阅权限功能。</w:t>
            </w:r>
          </w:p>
          <w:p>
            <w:pPr>
              <w:spacing w:line="340" w:lineRule="exact"/>
              <w:rPr>
                <w:rFonts w:ascii="宋体" w:hAnsi="宋体" w:cs="宋体"/>
                <w:color w:val="auto"/>
                <w:szCs w:val="21"/>
              </w:rPr>
            </w:pPr>
            <w:r>
              <w:rPr>
                <w:rFonts w:hint="eastAsia" w:ascii="宋体" w:hAnsi="宋体" w:cs="宋体"/>
                <w:color w:val="auto"/>
                <w:szCs w:val="21"/>
              </w:rPr>
              <w:t>7.读者导入和导出：通过EXCEL表格可以批量导入和导出读者，减少管理人员的录入工作量。</w:t>
            </w:r>
          </w:p>
          <w:p>
            <w:pPr>
              <w:spacing w:line="340" w:lineRule="exact"/>
              <w:rPr>
                <w:rFonts w:ascii="宋体" w:hAnsi="宋体" w:cs="宋体"/>
                <w:color w:val="auto"/>
                <w:szCs w:val="21"/>
              </w:rPr>
            </w:pPr>
            <w:r>
              <w:rPr>
                <w:rFonts w:hint="eastAsia" w:ascii="宋体" w:hAnsi="宋体" w:cs="宋体"/>
                <w:color w:val="auto"/>
                <w:szCs w:val="21"/>
              </w:rPr>
              <w:t>（三）采编管理</w:t>
            </w:r>
          </w:p>
          <w:p>
            <w:pPr>
              <w:spacing w:line="340" w:lineRule="exact"/>
              <w:rPr>
                <w:rFonts w:ascii="宋体" w:hAnsi="宋体" w:cs="宋体"/>
                <w:color w:val="auto"/>
                <w:szCs w:val="21"/>
              </w:rPr>
            </w:pPr>
            <w:r>
              <w:rPr>
                <w:rFonts w:hint="eastAsia" w:ascii="宋体" w:hAnsi="宋体" w:cs="宋体"/>
                <w:color w:val="auto"/>
                <w:szCs w:val="21"/>
              </w:rPr>
              <w:t>1.系统在采编时提供简单编目和专业编目（CNMARC）对照，方便采编人员判定数据的完整性和标准性，智能分析索书号是否重复。同时生成种次号、著作号、四角号码，满足不同单位的索书号生成规则。</w:t>
            </w:r>
          </w:p>
          <w:p>
            <w:pPr>
              <w:spacing w:line="340" w:lineRule="exact"/>
              <w:rPr>
                <w:rFonts w:ascii="宋体" w:hAnsi="宋体" w:cs="宋体"/>
                <w:color w:val="auto"/>
                <w:szCs w:val="21"/>
              </w:rPr>
            </w:pPr>
            <w:r>
              <w:rPr>
                <w:rFonts w:hint="eastAsia" w:ascii="宋体" w:hAnsi="宋体" w:cs="宋体"/>
                <w:color w:val="auto"/>
                <w:szCs w:val="21"/>
              </w:rPr>
              <w:t>2.系统应提供按国际网络通讯协议Z39.50标准设计的联机编目查询功能，能自定义添加其它Z39.50协议账号。</w:t>
            </w:r>
          </w:p>
          <w:p>
            <w:pPr>
              <w:spacing w:line="340" w:lineRule="exact"/>
              <w:rPr>
                <w:rFonts w:ascii="宋体" w:hAnsi="宋体" w:cs="宋体"/>
                <w:color w:val="auto"/>
                <w:szCs w:val="21"/>
              </w:rPr>
            </w:pPr>
            <w:r>
              <w:rPr>
                <w:rFonts w:hint="eastAsia" w:ascii="宋体" w:hAnsi="宋体" w:cs="宋体"/>
                <w:color w:val="auto"/>
                <w:szCs w:val="21"/>
              </w:rPr>
              <w:t>3.系统应有编目套录数据库，同时能够提供国图和CALIS以及采访的中文和外文图书信息供编目使用，减轻图书管理人员的采编工作量，中文图书套录数据库数据不低于800万条。还应具备分类号自动截取功能，按照用户设置自动对分类号进行处理。条码能够按照指定号段批量删除。</w:t>
            </w:r>
          </w:p>
          <w:p>
            <w:pPr>
              <w:spacing w:line="340" w:lineRule="exact"/>
              <w:rPr>
                <w:rFonts w:ascii="宋体" w:hAnsi="宋体" w:cs="宋体"/>
                <w:color w:val="auto"/>
                <w:szCs w:val="21"/>
              </w:rPr>
            </w:pPr>
            <w:r>
              <w:rPr>
                <w:rFonts w:hint="eastAsia" w:ascii="宋体" w:hAnsi="宋体" w:cs="宋体"/>
                <w:color w:val="auto"/>
                <w:szCs w:val="21"/>
              </w:rPr>
              <w:t>▲4.编目界面直观简便，可快速查看馆藏量及快捷删除和修改馆藏数据，编目时可以实现ISBN号连续输入、自动扫描输入，智能判断13位和10位ISBN号，系统能自动递增或递减图书条码号，提高输入效率及准确率。（需提供图书编目系统</w:t>
            </w:r>
            <w:r>
              <w:rPr>
                <w:rFonts w:hint="eastAsia" w:ascii="宋体" w:hAnsi="宋体" w:cs="宋体"/>
                <w:color w:val="auto"/>
                <w:szCs w:val="21"/>
                <w:lang w:eastAsia="zh-CN"/>
              </w:rPr>
              <w:t>证明材料</w:t>
            </w:r>
            <w:r>
              <w:rPr>
                <w:rFonts w:hint="eastAsia" w:ascii="宋体" w:hAnsi="宋体" w:cs="宋体"/>
                <w:color w:val="auto"/>
                <w:szCs w:val="21"/>
              </w:rPr>
              <w:t>）</w:t>
            </w:r>
          </w:p>
          <w:p>
            <w:pPr>
              <w:spacing w:line="340" w:lineRule="exact"/>
              <w:rPr>
                <w:rFonts w:ascii="宋体" w:hAnsi="宋体" w:cs="宋体"/>
                <w:color w:val="auto"/>
                <w:szCs w:val="21"/>
              </w:rPr>
            </w:pPr>
            <w:r>
              <w:rPr>
                <w:rFonts w:hint="eastAsia" w:ascii="宋体" w:hAnsi="宋体" w:cs="宋体"/>
                <w:color w:val="auto"/>
                <w:szCs w:val="21"/>
              </w:rPr>
              <w:t>5.系统具有图书定位功能，采编人员可以在采编时通过ISBN号定位图书，也可通过条码号(馆藏号)批量定位所有馆藏图书位置,方便图书馆管理员快速、准确的查询馆藏图书所在位置。</w:t>
            </w:r>
          </w:p>
          <w:p>
            <w:pPr>
              <w:spacing w:line="340" w:lineRule="exact"/>
              <w:rPr>
                <w:rFonts w:ascii="宋体" w:hAnsi="宋体" w:cs="宋体"/>
                <w:color w:val="auto"/>
                <w:szCs w:val="21"/>
              </w:rPr>
            </w:pPr>
            <w:r>
              <w:rPr>
                <w:rFonts w:hint="eastAsia" w:ascii="宋体" w:hAnsi="宋体" w:cs="宋体"/>
                <w:color w:val="auto"/>
                <w:szCs w:val="21"/>
              </w:rPr>
              <w:t>6.具有图书书标管理及打印的功能和条形码管理及打印的功能。</w:t>
            </w:r>
          </w:p>
          <w:p>
            <w:pPr>
              <w:spacing w:line="340" w:lineRule="exact"/>
              <w:rPr>
                <w:rFonts w:ascii="宋体" w:hAnsi="宋体" w:cs="宋体"/>
                <w:color w:val="auto"/>
                <w:szCs w:val="21"/>
              </w:rPr>
            </w:pPr>
            <w:r>
              <w:rPr>
                <w:rFonts w:hint="eastAsia" w:ascii="宋体" w:hAnsi="宋体" w:cs="宋体"/>
                <w:color w:val="auto"/>
                <w:szCs w:val="21"/>
              </w:rPr>
              <w:t>7.具有图书的征订、编目、赔偿、转库、注销、删除,跳号检测、统计等功能。</w:t>
            </w:r>
          </w:p>
          <w:p>
            <w:pPr>
              <w:spacing w:line="340" w:lineRule="exact"/>
              <w:rPr>
                <w:rFonts w:ascii="宋体" w:hAnsi="宋体" w:cs="宋体"/>
                <w:color w:val="auto"/>
                <w:szCs w:val="21"/>
              </w:rPr>
            </w:pPr>
            <w:r>
              <w:rPr>
                <w:rFonts w:hint="eastAsia" w:ascii="宋体" w:hAnsi="宋体" w:cs="宋体"/>
                <w:color w:val="auto"/>
                <w:szCs w:val="21"/>
              </w:rPr>
              <w:t>8.具有期刊管理：包含期刊征订、期刊订阅、期刊登到、期刊转库、期刊合订、期刊编目、期刊注销、期刊统计等功能。</w:t>
            </w:r>
          </w:p>
          <w:p>
            <w:pPr>
              <w:spacing w:line="340" w:lineRule="exact"/>
              <w:rPr>
                <w:rFonts w:ascii="宋体" w:hAnsi="宋体" w:cs="宋体"/>
                <w:color w:val="auto"/>
                <w:szCs w:val="21"/>
              </w:rPr>
            </w:pPr>
            <w:r>
              <w:rPr>
                <w:rFonts w:hint="eastAsia" w:ascii="宋体" w:hAnsi="宋体" w:cs="宋体"/>
                <w:color w:val="auto"/>
                <w:szCs w:val="21"/>
              </w:rPr>
              <w:t>9.具有音像资料的编目、赔偿、转库、注销，删除、统计等功能。</w:t>
            </w:r>
          </w:p>
          <w:p>
            <w:pPr>
              <w:spacing w:line="340" w:lineRule="exact"/>
              <w:rPr>
                <w:rFonts w:ascii="宋体" w:hAnsi="宋体" w:cs="宋体"/>
                <w:color w:val="auto"/>
                <w:szCs w:val="21"/>
              </w:rPr>
            </w:pPr>
            <w:r>
              <w:rPr>
                <w:rFonts w:hint="eastAsia" w:ascii="宋体" w:hAnsi="宋体" w:cs="宋体"/>
                <w:color w:val="auto"/>
                <w:szCs w:val="21"/>
              </w:rPr>
              <w:t>10.具有图书条码变更功能，方便后期条码损坏之后不用二次编目，即可快速更换新条码。</w:t>
            </w:r>
          </w:p>
          <w:p>
            <w:pPr>
              <w:spacing w:line="340" w:lineRule="exact"/>
              <w:rPr>
                <w:rFonts w:ascii="宋体" w:hAnsi="宋体" w:cs="宋体"/>
                <w:color w:val="auto"/>
                <w:szCs w:val="21"/>
              </w:rPr>
            </w:pPr>
            <w:r>
              <w:rPr>
                <w:rFonts w:hint="eastAsia" w:ascii="宋体" w:hAnsi="宋体" w:cs="宋体"/>
                <w:color w:val="auto"/>
                <w:szCs w:val="21"/>
              </w:rPr>
              <w:t>(四)流通管理</w:t>
            </w:r>
          </w:p>
          <w:p>
            <w:pPr>
              <w:spacing w:line="340" w:lineRule="exact"/>
              <w:rPr>
                <w:rFonts w:ascii="宋体" w:hAnsi="宋体" w:cs="宋体"/>
                <w:color w:val="auto"/>
                <w:szCs w:val="21"/>
              </w:rPr>
            </w:pPr>
            <w:r>
              <w:rPr>
                <w:rFonts w:hint="eastAsia" w:ascii="宋体" w:hAnsi="宋体" w:cs="宋体"/>
                <w:color w:val="auto"/>
                <w:szCs w:val="21"/>
              </w:rPr>
              <w:t>▲1.图书借还支持一卡通对接(能完整提供API接口)IC卡、ID卡、条码卡、身份证借还，指纹借还、扫码借还等，无需额外对接其它设备。(需提指纹借还</w:t>
            </w:r>
            <w:r>
              <w:rPr>
                <w:rFonts w:hint="eastAsia" w:ascii="宋体" w:hAnsi="宋体" w:cs="宋体"/>
                <w:color w:val="auto"/>
                <w:szCs w:val="21"/>
                <w:lang w:eastAsia="zh-CN"/>
              </w:rPr>
              <w:t>证明材料</w:t>
            </w:r>
            <w:r>
              <w:rPr>
                <w:rFonts w:hint="eastAsia" w:ascii="宋体" w:hAnsi="宋体" w:cs="宋体"/>
                <w:color w:val="auto"/>
                <w:szCs w:val="21"/>
              </w:rPr>
              <w:t>)</w:t>
            </w:r>
          </w:p>
          <w:p>
            <w:pPr>
              <w:spacing w:line="340" w:lineRule="exact"/>
              <w:rPr>
                <w:rFonts w:ascii="宋体" w:hAnsi="宋体" w:cs="宋体"/>
                <w:color w:val="auto"/>
                <w:szCs w:val="21"/>
              </w:rPr>
            </w:pPr>
            <w:r>
              <w:rPr>
                <w:rFonts w:hint="eastAsia" w:ascii="宋体" w:hAnsi="宋体" w:cs="宋体"/>
                <w:color w:val="auto"/>
                <w:szCs w:val="21"/>
              </w:rPr>
              <w:t>▲2、支持主流的智慧图书馆管理，能提供标准的图书馆SIP2协议接口。(需提供SIP2协议接口系统</w:t>
            </w:r>
            <w:r>
              <w:rPr>
                <w:rFonts w:hint="eastAsia" w:ascii="宋体" w:hAnsi="宋体" w:cs="宋体"/>
                <w:color w:val="auto"/>
                <w:szCs w:val="21"/>
                <w:lang w:eastAsia="zh-CN"/>
              </w:rPr>
              <w:t>证明材料</w:t>
            </w:r>
            <w:r>
              <w:rPr>
                <w:rFonts w:hint="eastAsia" w:ascii="宋体" w:hAnsi="宋体" w:cs="宋体"/>
                <w:color w:val="auto"/>
                <w:szCs w:val="21"/>
              </w:rPr>
              <w:t>)</w:t>
            </w:r>
          </w:p>
          <w:p>
            <w:pPr>
              <w:spacing w:line="340" w:lineRule="exact"/>
              <w:rPr>
                <w:rFonts w:ascii="宋体" w:hAnsi="宋体" w:cs="宋体"/>
                <w:color w:val="auto"/>
                <w:szCs w:val="21"/>
              </w:rPr>
            </w:pPr>
            <w:r>
              <w:rPr>
                <w:rFonts w:hint="eastAsia" w:ascii="宋体" w:hAnsi="宋体" w:cs="宋体"/>
                <w:color w:val="auto"/>
                <w:szCs w:val="21"/>
              </w:rPr>
              <w:t>3.系统通过外接摄像头或数码相机，应实现直接采集读者数码相片进入数据库，方便读者认证管理及证件制作。添加照片时能够对照片进行智能分析，自动检测有效脸部信息，防止上传无效照片，同时生成人脸识别信息特征码。</w:t>
            </w:r>
          </w:p>
          <w:p>
            <w:pPr>
              <w:spacing w:line="340" w:lineRule="exact"/>
              <w:rPr>
                <w:rFonts w:ascii="宋体" w:hAnsi="宋体" w:cs="宋体"/>
                <w:color w:val="auto"/>
                <w:szCs w:val="21"/>
              </w:rPr>
            </w:pPr>
            <w:r>
              <w:rPr>
                <w:rFonts w:hint="eastAsia" w:ascii="宋体" w:hAnsi="宋体" w:cs="宋体"/>
                <w:color w:val="auto"/>
                <w:szCs w:val="21"/>
              </w:rPr>
              <w:t>4.读者借阅和归还在一个界面完成操作，无需切换。借阅界面可选择性归还某册图书也可一键归还该读者所借图书。图书流通除了具备传统借书证、一卡通流通方式之外，能够具备现代化的技术进行读者识别，通过普通摄像头的视频流检测读者脸部信息进行读者照片比对，快速识别到读者借阅，识别率应保证在90%以上。</w:t>
            </w:r>
          </w:p>
          <w:p>
            <w:pPr>
              <w:spacing w:line="340" w:lineRule="exact"/>
              <w:rPr>
                <w:rFonts w:ascii="宋体" w:hAnsi="宋体" w:cs="宋体"/>
                <w:color w:val="auto"/>
                <w:szCs w:val="21"/>
              </w:rPr>
            </w:pPr>
            <w:r>
              <w:rPr>
                <w:rFonts w:hint="eastAsia" w:ascii="宋体" w:hAnsi="宋体" w:cs="宋体"/>
                <w:color w:val="auto"/>
                <w:szCs w:val="21"/>
              </w:rPr>
              <w:t>5.具有大数据分析及阅览室管理功能:读者进出馆通过高清摄像头智能分析有效读者，可识别登记读者到馆和出馆时间、登记读者在馆阅读情况，统计到馆次数和到馆率。</w:t>
            </w:r>
          </w:p>
          <w:p>
            <w:pPr>
              <w:spacing w:line="340" w:lineRule="exact"/>
              <w:rPr>
                <w:rFonts w:ascii="宋体" w:hAnsi="宋体" w:cs="宋体"/>
                <w:color w:val="auto"/>
                <w:szCs w:val="21"/>
              </w:rPr>
            </w:pPr>
            <w:r>
              <w:rPr>
                <w:rFonts w:hint="eastAsia" w:ascii="宋体" w:hAnsi="宋体" w:cs="宋体"/>
                <w:color w:val="auto"/>
                <w:szCs w:val="21"/>
              </w:rPr>
              <w:t>6.具有借书证的管理及打印功能，可自义打印标准借书证。</w:t>
            </w:r>
          </w:p>
          <w:p>
            <w:pPr>
              <w:spacing w:line="340" w:lineRule="exact"/>
              <w:rPr>
                <w:rFonts w:ascii="宋体" w:hAnsi="宋体" w:cs="宋体"/>
                <w:color w:val="auto"/>
                <w:szCs w:val="21"/>
              </w:rPr>
            </w:pPr>
            <w:r>
              <w:rPr>
                <w:rFonts w:hint="eastAsia" w:ascii="宋体" w:hAnsi="宋体" w:cs="宋体"/>
                <w:color w:val="auto"/>
                <w:szCs w:val="21"/>
              </w:rPr>
              <w:t>7.支持离线借阅图书，在电脑无网络的情况下系统可以正常的借还图书，待网络恢复正常时可以自动上传离线借还记录。</w:t>
            </w:r>
          </w:p>
          <w:p>
            <w:pPr>
              <w:spacing w:line="340" w:lineRule="exact"/>
              <w:rPr>
                <w:rFonts w:ascii="宋体" w:hAnsi="宋体" w:cs="宋体"/>
                <w:color w:val="auto"/>
                <w:szCs w:val="21"/>
              </w:rPr>
            </w:pPr>
            <w:r>
              <w:rPr>
                <w:rFonts w:hint="eastAsia" w:ascii="宋体" w:hAnsi="宋体" w:cs="宋体"/>
                <w:color w:val="auto"/>
                <w:szCs w:val="21"/>
              </w:rPr>
              <w:t>(五)统计管理</w:t>
            </w:r>
          </w:p>
          <w:p>
            <w:pPr>
              <w:spacing w:line="340" w:lineRule="exact"/>
              <w:rPr>
                <w:rFonts w:ascii="宋体" w:hAnsi="宋体" w:cs="宋体"/>
                <w:color w:val="auto"/>
                <w:szCs w:val="21"/>
              </w:rPr>
            </w:pPr>
            <w:r>
              <w:rPr>
                <w:rFonts w:hint="eastAsia" w:ascii="宋体" w:hAnsi="宋体" w:cs="宋体"/>
                <w:color w:val="auto"/>
                <w:szCs w:val="21"/>
              </w:rPr>
              <w:t>1.系统中的报表可直接转化为其它通用格式（如：Excel）,以方便用户二次编辑、打印。</w:t>
            </w:r>
          </w:p>
          <w:p>
            <w:pPr>
              <w:spacing w:line="340" w:lineRule="exact"/>
              <w:rPr>
                <w:rFonts w:ascii="宋体" w:hAnsi="宋体" w:cs="宋体"/>
                <w:color w:val="auto"/>
                <w:szCs w:val="21"/>
              </w:rPr>
            </w:pPr>
            <w:r>
              <w:rPr>
                <w:rFonts w:hint="eastAsia" w:ascii="宋体" w:hAnsi="宋体" w:cs="宋体"/>
                <w:color w:val="auto"/>
                <w:szCs w:val="21"/>
              </w:rPr>
              <w:t>2.具有与图书、音像、期刊操作相对应完善、详细的查询、统计功能，并能生成可打印的报表。</w:t>
            </w:r>
          </w:p>
          <w:p>
            <w:pPr>
              <w:spacing w:line="340" w:lineRule="exact"/>
              <w:rPr>
                <w:rFonts w:ascii="宋体" w:hAnsi="宋体" w:cs="宋体"/>
                <w:color w:val="auto"/>
                <w:szCs w:val="21"/>
              </w:rPr>
            </w:pPr>
            <w:r>
              <w:rPr>
                <w:rFonts w:hint="eastAsia" w:ascii="宋体" w:hAnsi="宋体" w:cs="宋体"/>
                <w:color w:val="auto"/>
                <w:szCs w:val="21"/>
              </w:rPr>
              <w:t>3.系统可统计读者到馆率、可自定义统计按年和按月图书流通率、馆藏分类统计、热门图书排行榜等，并能通过各种图形展示数据百分比。</w:t>
            </w:r>
          </w:p>
          <w:p>
            <w:pPr>
              <w:spacing w:line="340" w:lineRule="exact"/>
              <w:rPr>
                <w:rFonts w:ascii="宋体" w:hAnsi="宋体" w:cs="宋体"/>
                <w:color w:val="auto"/>
                <w:szCs w:val="21"/>
              </w:rPr>
            </w:pPr>
            <w:r>
              <w:rPr>
                <w:rFonts w:hint="eastAsia" w:ascii="宋体" w:hAnsi="宋体" w:cs="宋体"/>
                <w:color w:val="auto"/>
                <w:szCs w:val="21"/>
              </w:rPr>
              <w:t>（六）其它功能</w:t>
            </w:r>
          </w:p>
          <w:p>
            <w:pPr>
              <w:spacing w:line="340" w:lineRule="exact"/>
              <w:rPr>
                <w:rFonts w:ascii="宋体" w:hAnsi="宋体" w:cs="宋体"/>
                <w:color w:val="auto"/>
                <w:szCs w:val="21"/>
              </w:rPr>
            </w:pPr>
            <w:r>
              <w:rPr>
                <w:rFonts w:hint="eastAsia" w:ascii="宋体" w:hAnsi="宋体" w:cs="宋体"/>
                <w:color w:val="auto"/>
                <w:szCs w:val="21"/>
              </w:rPr>
              <w:t>1.具有完善的数据备份体系，服务器端每天自动备份图书馆数据，以提高数据的安全性。</w:t>
            </w:r>
          </w:p>
          <w:p>
            <w:pPr>
              <w:spacing w:line="340" w:lineRule="exact"/>
              <w:rPr>
                <w:rFonts w:ascii="宋体" w:hAnsi="宋体" w:cs="宋体"/>
                <w:color w:val="auto"/>
                <w:szCs w:val="21"/>
              </w:rPr>
            </w:pPr>
            <w:r>
              <w:rPr>
                <w:rFonts w:hint="eastAsia" w:ascii="宋体" w:hAnsi="宋体" w:cs="宋体"/>
                <w:color w:val="auto"/>
                <w:szCs w:val="21"/>
              </w:rPr>
              <w:t>2.▲系统具有数字资源管理，和现有图书馆管理系统实现无缝连接。(需提供数字图书馆管理系统</w:t>
            </w:r>
            <w:r>
              <w:rPr>
                <w:rFonts w:hint="eastAsia" w:ascii="宋体" w:hAnsi="宋体" w:cs="宋体"/>
                <w:color w:val="auto"/>
                <w:szCs w:val="21"/>
                <w:lang w:eastAsia="zh-CN"/>
              </w:rPr>
              <w:t>证明材料</w:t>
            </w:r>
            <w:r>
              <w:rPr>
                <w:rFonts w:hint="eastAsia" w:ascii="宋体" w:hAnsi="宋体" w:cs="宋体"/>
                <w:color w:val="auto"/>
                <w:szCs w:val="21"/>
              </w:rPr>
              <w:t>)</w:t>
            </w:r>
          </w:p>
          <w:p>
            <w:pPr>
              <w:spacing w:line="340" w:lineRule="exact"/>
              <w:rPr>
                <w:rFonts w:ascii="宋体" w:hAnsi="宋体" w:cs="宋体"/>
                <w:color w:val="auto"/>
                <w:szCs w:val="21"/>
              </w:rPr>
            </w:pPr>
            <w:r>
              <w:rPr>
                <w:rFonts w:hint="eastAsia" w:ascii="宋体" w:hAnsi="宋体" w:cs="宋体"/>
                <w:color w:val="auto"/>
                <w:szCs w:val="21"/>
              </w:rPr>
              <w:t>3.针对系统数据的安全性，有完善可靠的用户管理。</w:t>
            </w:r>
          </w:p>
          <w:p>
            <w:pPr>
              <w:spacing w:line="340" w:lineRule="exact"/>
              <w:rPr>
                <w:rFonts w:ascii="宋体" w:hAnsi="宋体" w:cs="宋体"/>
                <w:color w:val="auto"/>
                <w:szCs w:val="21"/>
              </w:rPr>
            </w:pPr>
            <w:r>
              <w:rPr>
                <w:rFonts w:hint="eastAsia" w:ascii="宋体" w:hAnsi="宋体" w:cs="宋体"/>
                <w:color w:val="auto"/>
                <w:szCs w:val="21"/>
              </w:rPr>
              <w:t>4.具有在WEB页上进行图书、音像、期刊的查询和预约的功能。</w:t>
            </w:r>
          </w:p>
          <w:p>
            <w:pPr>
              <w:spacing w:line="340" w:lineRule="exact"/>
              <w:rPr>
                <w:rFonts w:ascii="宋体" w:hAnsi="宋体" w:cs="宋体"/>
                <w:color w:val="auto"/>
                <w:szCs w:val="21"/>
              </w:rPr>
            </w:pPr>
            <w:r>
              <w:rPr>
                <w:rFonts w:hint="eastAsia" w:ascii="宋体" w:hAnsi="宋体" w:cs="宋体"/>
                <w:color w:val="auto"/>
                <w:szCs w:val="21"/>
              </w:rPr>
              <w:t>5.系统应该具备完整OPAC查询系统，支持触膜屏查询系统、WEB查询预借功能，读者登录WEB端可以通过借书证号和密码对所选图书进行预借，预借后流通部门能够接收预借信息，提前对预借图书进行相关处理。通过书名、作者等模糊关键词等检索图书相关信息。可按中图分类法类别自定义检索图书馆藏量、在馆情况、借出情况、所在位置、馆藏明细等。</w:t>
            </w:r>
          </w:p>
          <w:p>
            <w:pPr>
              <w:spacing w:line="340" w:lineRule="exact"/>
              <w:rPr>
                <w:rFonts w:ascii="宋体" w:hAnsi="宋体" w:cs="宋体"/>
                <w:color w:val="auto"/>
                <w:szCs w:val="21"/>
              </w:rPr>
            </w:pPr>
            <w:r>
              <w:rPr>
                <w:rFonts w:hint="eastAsia" w:ascii="宋体" w:hAnsi="宋体" w:cs="宋体"/>
                <w:color w:val="auto"/>
                <w:szCs w:val="21"/>
              </w:rPr>
              <w:t>6.支持大数据展示系统:通过数据展示屏可以直观了解本馆所有情况，包含读者在馆人数、最新热门图书排行榜、当天出借情况、图书馆藏总量、人流统计情况、图书当日统计、当月统计、当年统计等并能时时同步显示。</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1</w:t>
            </w:r>
          </w:p>
        </w:tc>
      </w:tr>
      <w:tr>
        <w:tblPrEx>
          <w:tblLayout w:type="fixed"/>
          <w:tblCellMar>
            <w:top w:w="0" w:type="dxa"/>
            <w:left w:w="108" w:type="dxa"/>
            <w:bottom w:w="0" w:type="dxa"/>
            <w:right w:w="108" w:type="dxa"/>
          </w:tblCellMar>
        </w:tblPrEx>
        <w:trPr>
          <w:trHeight w:val="714" w:hRule="atLeast"/>
          <w:jc w:val="center"/>
        </w:trPr>
        <w:tc>
          <w:tcPr>
            <w:tcW w:w="620" w:type="dxa"/>
            <w:tcBorders>
              <w:top w:val="single" w:color="404040" w:sz="4" w:space="0"/>
              <w:left w:val="single" w:color="404040" w:sz="4" w:space="0"/>
              <w:bottom w:val="single" w:color="404040" w:sz="4" w:space="0"/>
              <w:right w:val="nil"/>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3</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RFID电子芯片</w:t>
            </w:r>
          </w:p>
        </w:tc>
        <w:tc>
          <w:tcPr>
            <w:tcW w:w="7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1.图书专用RFID标签是一种带有天线、存储器与控制系统的无源低电集成电路产品，可在其中的存储晶片中多次写入及读取图书、媒体资料的基本资料，用于图书和多媒体光盘资料的标签辨识，可以粘贴在一般图书上，用于图书和光盘资料的辨识。</w:t>
            </w:r>
          </w:p>
          <w:p>
            <w:pPr>
              <w:spacing w:line="340" w:lineRule="exact"/>
              <w:rPr>
                <w:rFonts w:ascii="宋体" w:hAnsi="宋体" w:cs="宋体"/>
                <w:color w:val="auto"/>
                <w:szCs w:val="21"/>
              </w:rPr>
            </w:pPr>
            <w:r>
              <w:rPr>
                <w:rFonts w:hint="eastAsia" w:ascii="宋体" w:hAnsi="宋体" w:cs="宋体"/>
                <w:color w:val="auto"/>
                <w:szCs w:val="21"/>
              </w:rPr>
              <w:t>2.工作频率：13.56MHz；</w:t>
            </w:r>
          </w:p>
          <w:p>
            <w:pPr>
              <w:spacing w:line="340" w:lineRule="exact"/>
              <w:rPr>
                <w:rFonts w:ascii="宋体" w:hAnsi="宋体" w:cs="宋体"/>
                <w:color w:val="auto"/>
                <w:szCs w:val="21"/>
              </w:rPr>
            </w:pPr>
            <w:r>
              <w:rPr>
                <w:rFonts w:hint="eastAsia" w:ascii="宋体" w:hAnsi="宋体" w:cs="宋体"/>
                <w:color w:val="auto"/>
                <w:szCs w:val="21"/>
              </w:rPr>
              <w:t>3.支持协议：ISO15693和ISO18000-3标准；</w:t>
            </w:r>
          </w:p>
          <w:p>
            <w:pPr>
              <w:spacing w:line="340" w:lineRule="exact"/>
              <w:rPr>
                <w:rFonts w:ascii="宋体" w:hAnsi="宋体" w:cs="宋体"/>
                <w:color w:val="auto"/>
                <w:szCs w:val="21"/>
              </w:rPr>
            </w:pPr>
            <w:r>
              <w:rPr>
                <w:rFonts w:hint="eastAsia" w:ascii="宋体" w:hAnsi="宋体" w:cs="宋体"/>
                <w:color w:val="auto"/>
                <w:szCs w:val="21"/>
              </w:rPr>
              <w:t>4.产品规格：50mm*50mm；</w:t>
            </w:r>
          </w:p>
          <w:p>
            <w:pPr>
              <w:spacing w:line="340" w:lineRule="exact"/>
              <w:rPr>
                <w:rFonts w:ascii="宋体" w:hAnsi="宋体" w:cs="宋体"/>
                <w:color w:val="auto"/>
                <w:szCs w:val="21"/>
              </w:rPr>
            </w:pPr>
            <w:r>
              <w:rPr>
                <w:rFonts w:hint="eastAsia" w:ascii="宋体" w:hAnsi="宋体" w:cs="宋体"/>
                <w:color w:val="auto"/>
                <w:szCs w:val="21"/>
              </w:rPr>
              <w:t>5.天线规格：45mm*45mm；</w:t>
            </w:r>
          </w:p>
          <w:p>
            <w:pPr>
              <w:spacing w:line="340" w:lineRule="exact"/>
              <w:rPr>
                <w:rFonts w:ascii="宋体" w:hAnsi="宋体" w:cs="宋体"/>
                <w:color w:val="auto"/>
                <w:szCs w:val="21"/>
              </w:rPr>
            </w:pPr>
            <w:r>
              <w:rPr>
                <w:rFonts w:hint="eastAsia" w:ascii="宋体" w:hAnsi="宋体" w:cs="宋体"/>
                <w:color w:val="auto"/>
                <w:szCs w:val="21"/>
              </w:rPr>
              <w:t>6.内存容量：≥1024 bits；</w:t>
            </w:r>
          </w:p>
          <w:p>
            <w:pPr>
              <w:spacing w:line="340" w:lineRule="exact"/>
              <w:rPr>
                <w:rFonts w:ascii="宋体" w:hAnsi="宋体" w:cs="宋体"/>
                <w:color w:val="auto"/>
                <w:szCs w:val="21"/>
              </w:rPr>
            </w:pPr>
            <w:r>
              <w:rPr>
                <w:rFonts w:hint="eastAsia" w:ascii="宋体" w:hAnsi="宋体" w:cs="宋体"/>
                <w:color w:val="auto"/>
                <w:szCs w:val="21"/>
              </w:rPr>
              <w:t>7.有效使用寿命：≥10 年；</w:t>
            </w:r>
          </w:p>
          <w:p>
            <w:pPr>
              <w:spacing w:line="340" w:lineRule="exact"/>
              <w:rPr>
                <w:rFonts w:ascii="宋体" w:hAnsi="宋体" w:cs="宋体"/>
                <w:color w:val="auto"/>
                <w:szCs w:val="21"/>
              </w:rPr>
            </w:pPr>
            <w:r>
              <w:rPr>
                <w:rFonts w:hint="eastAsia" w:ascii="宋体" w:hAnsi="宋体" w:cs="宋体"/>
                <w:color w:val="auto"/>
                <w:szCs w:val="21"/>
              </w:rPr>
              <w:t>8.有效使用次数：≥10万次；</w:t>
            </w:r>
          </w:p>
          <w:p>
            <w:pPr>
              <w:spacing w:line="340" w:lineRule="exact"/>
              <w:rPr>
                <w:rFonts w:ascii="宋体" w:hAnsi="宋体" w:cs="宋体"/>
                <w:color w:val="auto"/>
                <w:szCs w:val="21"/>
              </w:rPr>
            </w:pPr>
            <w:r>
              <w:rPr>
                <w:rFonts w:hint="eastAsia" w:ascii="宋体" w:hAnsi="宋体" w:cs="宋体"/>
                <w:color w:val="auto"/>
                <w:szCs w:val="21"/>
              </w:rPr>
              <w:t>9.标签为无源标签，无需电池；</w:t>
            </w:r>
          </w:p>
          <w:p>
            <w:pPr>
              <w:spacing w:line="340" w:lineRule="exact"/>
              <w:rPr>
                <w:rFonts w:ascii="宋体" w:hAnsi="宋体" w:cs="宋体"/>
                <w:color w:val="auto"/>
                <w:szCs w:val="21"/>
              </w:rPr>
            </w:pPr>
            <w:r>
              <w:rPr>
                <w:rFonts w:hint="eastAsia" w:ascii="宋体" w:hAnsi="宋体" w:cs="宋体"/>
                <w:color w:val="auto"/>
                <w:szCs w:val="21"/>
              </w:rPr>
              <w:t>10.标签中有存储器，存储在其中的资料可重复读、写；</w:t>
            </w:r>
          </w:p>
          <w:p>
            <w:pPr>
              <w:spacing w:line="340" w:lineRule="exact"/>
              <w:rPr>
                <w:rFonts w:ascii="宋体" w:hAnsi="宋体" w:cs="宋体"/>
                <w:color w:val="auto"/>
                <w:szCs w:val="21"/>
              </w:rPr>
            </w:pPr>
            <w:r>
              <w:rPr>
                <w:rFonts w:hint="eastAsia" w:ascii="宋体" w:hAnsi="宋体" w:cs="宋体"/>
                <w:color w:val="auto"/>
                <w:szCs w:val="21"/>
              </w:rPr>
              <w:t>11.标签可以非接触式的读取和写入，加快资源流通的处理手续；</w:t>
            </w:r>
          </w:p>
          <w:p>
            <w:pPr>
              <w:spacing w:line="340" w:lineRule="exact"/>
              <w:rPr>
                <w:rFonts w:ascii="宋体" w:hAnsi="宋体" w:cs="宋体"/>
                <w:color w:val="auto"/>
                <w:szCs w:val="21"/>
              </w:rPr>
            </w:pPr>
            <w:r>
              <w:rPr>
                <w:rFonts w:hint="eastAsia" w:ascii="宋体" w:hAnsi="宋体" w:cs="宋体"/>
                <w:color w:val="auto"/>
                <w:szCs w:val="21"/>
              </w:rPr>
              <w:t>12.标签具有一定的抗冲突性，能保证多个标签的同时可靠识别；</w:t>
            </w:r>
          </w:p>
          <w:p>
            <w:pPr>
              <w:spacing w:line="340" w:lineRule="exact"/>
              <w:rPr>
                <w:rFonts w:ascii="宋体" w:hAnsi="宋体" w:cs="宋体"/>
                <w:color w:val="auto"/>
                <w:szCs w:val="21"/>
              </w:rPr>
            </w:pPr>
            <w:r>
              <w:rPr>
                <w:rFonts w:hint="eastAsia" w:ascii="宋体" w:hAnsi="宋体" w:cs="宋体"/>
                <w:color w:val="auto"/>
                <w:szCs w:val="21"/>
              </w:rPr>
              <w:t>13.标签具有较高的安全性，有不可改写的唯一序列号（UID）供识别和加密，防止存储在其中的信息资料被随意读取或改写；</w:t>
            </w:r>
          </w:p>
          <w:p>
            <w:pPr>
              <w:spacing w:line="340" w:lineRule="exact"/>
              <w:rPr>
                <w:rFonts w:ascii="宋体" w:hAnsi="宋体" w:cs="宋体"/>
                <w:color w:val="auto"/>
                <w:szCs w:val="21"/>
              </w:rPr>
            </w:pPr>
            <w:r>
              <w:rPr>
                <w:rFonts w:hint="eastAsia" w:ascii="宋体" w:hAnsi="宋体" w:cs="宋体"/>
                <w:color w:val="auto"/>
                <w:szCs w:val="21"/>
              </w:rPr>
              <w:t>14.用户可自定义数据格式和内容，具有良好的数据扩展性；</w:t>
            </w:r>
          </w:p>
          <w:p>
            <w:pPr>
              <w:spacing w:line="340" w:lineRule="exact"/>
              <w:rPr>
                <w:rFonts w:ascii="宋体" w:hAnsi="宋体" w:cs="宋体"/>
                <w:color w:val="auto"/>
                <w:szCs w:val="21"/>
              </w:rPr>
            </w:pPr>
            <w:r>
              <w:rPr>
                <w:rFonts w:hint="eastAsia" w:ascii="宋体" w:hAnsi="宋体" w:cs="宋体"/>
                <w:color w:val="auto"/>
                <w:szCs w:val="21"/>
              </w:rPr>
              <w:t>15.标签的天线为铝或铜质天线，采用蚀刻法工艺制造；</w:t>
            </w:r>
          </w:p>
          <w:p>
            <w:pPr>
              <w:spacing w:line="340" w:lineRule="exact"/>
              <w:rPr>
                <w:rFonts w:ascii="宋体" w:hAnsi="宋体" w:cs="宋体"/>
                <w:color w:val="auto"/>
                <w:szCs w:val="21"/>
              </w:rPr>
            </w:pPr>
            <w:r>
              <w:rPr>
                <w:rFonts w:hint="eastAsia" w:ascii="宋体" w:hAnsi="宋体" w:cs="宋体"/>
                <w:color w:val="auto"/>
                <w:szCs w:val="21"/>
              </w:rPr>
              <w:t>16.标签采用EAS 或AFI位作为防盗的安全标志方法；</w:t>
            </w:r>
          </w:p>
          <w:p>
            <w:pPr>
              <w:spacing w:line="340" w:lineRule="exact"/>
              <w:rPr>
                <w:rFonts w:ascii="宋体" w:hAnsi="宋体" w:cs="宋体"/>
                <w:color w:val="auto"/>
                <w:szCs w:val="21"/>
              </w:rPr>
            </w:pPr>
            <w:r>
              <w:rPr>
                <w:rFonts w:hint="eastAsia" w:ascii="宋体" w:hAnsi="宋体" w:cs="宋体"/>
                <w:color w:val="auto"/>
                <w:szCs w:val="21"/>
              </w:rPr>
              <w:t>17.标签固有频率误差率小于或等于±300K Hz范围；</w:t>
            </w:r>
          </w:p>
          <w:p>
            <w:pPr>
              <w:spacing w:line="340" w:lineRule="exact"/>
              <w:rPr>
                <w:rFonts w:ascii="宋体" w:hAnsi="宋体" w:cs="宋体"/>
                <w:color w:val="auto"/>
                <w:szCs w:val="21"/>
              </w:rPr>
            </w:pPr>
            <w:r>
              <w:rPr>
                <w:rFonts w:hint="eastAsia" w:ascii="宋体" w:hAnsi="宋体" w:cs="宋体"/>
                <w:color w:val="auto"/>
                <w:szCs w:val="21"/>
              </w:rPr>
              <w:t>18.可0.1s时间内读取存储在标签中的资料（实际工作环境，若以标签容量1024bits为标准计算，每种工序中标签的读取速度都能达到0.1s之内）；</w:t>
            </w:r>
          </w:p>
          <w:p>
            <w:pPr>
              <w:spacing w:line="340" w:lineRule="exact"/>
              <w:rPr>
                <w:rFonts w:ascii="宋体" w:hAnsi="宋体" w:cs="宋体"/>
                <w:color w:val="auto"/>
                <w:szCs w:val="21"/>
              </w:rPr>
            </w:pPr>
            <w:r>
              <w:rPr>
                <w:rFonts w:hint="eastAsia" w:ascii="宋体" w:hAnsi="宋体" w:cs="宋体"/>
                <w:color w:val="auto"/>
                <w:szCs w:val="21"/>
              </w:rPr>
              <w:t>19.标签自带单面粘性，须采用中性粘胶对图书及其它介质黏贴表面无损害，保证在标签质保期内（10年）不开胶脱落；</w:t>
            </w:r>
          </w:p>
          <w:p>
            <w:pPr>
              <w:spacing w:line="340" w:lineRule="exact"/>
              <w:rPr>
                <w:rFonts w:ascii="宋体" w:hAnsi="宋体" w:cs="宋体"/>
                <w:color w:val="auto"/>
                <w:szCs w:val="21"/>
              </w:rPr>
            </w:pPr>
            <w:r>
              <w:rPr>
                <w:rFonts w:hint="eastAsia" w:ascii="宋体" w:hAnsi="宋体" w:cs="宋体"/>
                <w:color w:val="auto"/>
                <w:szCs w:val="21"/>
              </w:rPr>
              <w:t>20.标签上可印制由图书馆提供的LOGO图案</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枚</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28000</w:t>
            </w:r>
          </w:p>
        </w:tc>
      </w:tr>
      <w:tr>
        <w:tblPrEx>
          <w:tblLayout w:type="fixed"/>
          <w:tblCellMar>
            <w:top w:w="0" w:type="dxa"/>
            <w:left w:w="108" w:type="dxa"/>
            <w:bottom w:w="0" w:type="dxa"/>
            <w:right w:w="108" w:type="dxa"/>
          </w:tblCellMar>
        </w:tblPrEx>
        <w:trPr>
          <w:trHeight w:val="1399" w:hRule="atLeast"/>
          <w:jc w:val="center"/>
        </w:trPr>
        <w:tc>
          <w:tcPr>
            <w:tcW w:w="620" w:type="dxa"/>
            <w:tcBorders>
              <w:top w:val="single" w:color="404040" w:sz="4" w:space="0"/>
              <w:left w:val="single" w:color="404040" w:sz="4" w:space="0"/>
              <w:bottom w:val="single" w:color="404040" w:sz="4" w:space="0"/>
              <w:right w:val="nil"/>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4</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读者证</w:t>
            </w:r>
          </w:p>
        </w:tc>
        <w:tc>
          <w:tcPr>
            <w:tcW w:w="7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多次写入及读取读者的基本信息，用于从事读者的流通借还操作、读者的身份辨识操作等。读者证标签中可存储以下信息：读者证号、读者姓名等信息。</w:t>
            </w:r>
          </w:p>
          <w:p>
            <w:pPr>
              <w:spacing w:line="340" w:lineRule="exact"/>
              <w:rPr>
                <w:rFonts w:ascii="宋体" w:hAnsi="宋体" w:cs="宋体"/>
                <w:color w:val="auto"/>
                <w:szCs w:val="21"/>
              </w:rPr>
            </w:pPr>
            <w:r>
              <w:rPr>
                <w:rFonts w:hint="eastAsia" w:ascii="宋体" w:hAnsi="宋体" w:cs="宋体"/>
                <w:color w:val="auto"/>
                <w:szCs w:val="21"/>
              </w:rPr>
              <w:t>借书证可以非接触式的读取资料和写入资料，加快资源流通的处理手续；</w:t>
            </w:r>
          </w:p>
          <w:p>
            <w:pPr>
              <w:spacing w:line="340" w:lineRule="exact"/>
              <w:rPr>
                <w:rFonts w:ascii="宋体" w:hAnsi="宋体" w:cs="宋体"/>
                <w:color w:val="auto"/>
                <w:szCs w:val="21"/>
              </w:rPr>
            </w:pPr>
            <w:r>
              <w:rPr>
                <w:rFonts w:hint="eastAsia" w:ascii="宋体" w:hAnsi="宋体" w:cs="宋体"/>
                <w:color w:val="auto"/>
                <w:szCs w:val="21"/>
              </w:rPr>
              <w:t>每张卡有唯一序列号，具有防冲突机制。无电源，自带天线和通讯逻辑电路；</w:t>
            </w:r>
          </w:p>
          <w:p>
            <w:pPr>
              <w:spacing w:line="340" w:lineRule="exact"/>
              <w:rPr>
                <w:rFonts w:ascii="宋体" w:hAnsi="宋体" w:cs="宋体"/>
                <w:color w:val="auto"/>
                <w:szCs w:val="21"/>
              </w:rPr>
            </w:pPr>
            <w:r>
              <w:rPr>
                <w:rFonts w:hint="eastAsia" w:ascii="宋体" w:hAnsi="宋体" w:cs="宋体"/>
                <w:color w:val="auto"/>
                <w:szCs w:val="21"/>
              </w:rPr>
              <w:t>借书证具有较高的安全性，防止存储在其中的信息被泄露；</w:t>
            </w:r>
          </w:p>
          <w:p>
            <w:pPr>
              <w:spacing w:line="340" w:lineRule="exact"/>
              <w:rPr>
                <w:rFonts w:ascii="宋体" w:hAnsi="宋体" w:cs="宋体"/>
                <w:color w:val="auto"/>
                <w:szCs w:val="21"/>
              </w:rPr>
            </w:pPr>
            <w:r>
              <w:rPr>
                <w:rFonts w:hint="eastAsia" w:ascii="宋体" w:hAnsi="宋体" w:cs="宋体"/>
                <w:color w:val="auto"/>
                <w:szCs w:val="21"/>
              </w:rPr>
              <w:t>存储在借书证中的信息可在非常短的时间内被相关的阅读产品设备读取；</w:t>
            </w:r>
          </w:p>
          <w:p>
            <w:pPr>
              <w:spacing w:line="340" w:lineRule="exact"/>
              <w:rPr>
                <w:rFonts w:ascii="宋体" w:hAnsi="宋体" w:cs="宋体"/>
                <w:color w:val="auto"/>
                <w:szCs w:val="21"/>
              </w:rPr>
            </w:pPr>
            <w:r>
              <w:rPr>
                <w:rFonts w:hint="eastAsia" w:ascii="宋体" w:hAnsi="宋体" w:cs="宋体"/>
                <w:color w:val="auto"/>
                <w:szCs w:val="21"/>
              </w:rPr>
              <w:t>借书证的标签中有存储器，存储在其中的资料可重复读、写；</w:t>
            </w:r>
          </w:p>
          <w:p>
            <w:pPr>
              <w:spacing w:line="340" w:lineRule="exact"/>
              <w:rPr>
                <w:rFonts w:ascii="宋体" w:hAnsi="宋体" w:cs="宋体"/>
                <w:color w:val="auto"/>
                <w:szCs w:val="21"/>
              </w:rPr>
            </w:pPr>
            <w:r>
              <w:rPr>
                <w:rFonts w:hint="eastAsia" w:ascii="宋体" w:hAnsi="宋体" w:cs="宋体"/>
                <w:color w:val="auto"/>
                <w:szCs w:val="21"/>
              </w:rPr>
              <w:t>借书证符合ISO15963、ISO18000-3标准；</w:t>
            </w:r>
          </w:p>
          <w:p>
            <w:pPr>
              <w:spacing w:line="340" w:lineRule="exact"/>
              <w:rPr>
                <w:rFonts w:ascii="宋体" w:hAnsi="宋体" w:cs="宋体"/>
                <w:color w:val="auto"/>
                <w:szCs w:val="21"/>
              </w:rPr>
            </w:pPr>
            <w:r>
              <w:rPr>
                <w:rFonts w:hint="eastAsia" w:ascii="宋体" w:hAnsi="宋体" w:cs="宋体"/>
                <w:color w:val="auto"/>
                <w:szCs w:val="21"/>
              </w:rPr>
              <w:t>借书证一面印制由图书馆提供的LOGO图案，另一面为注意事项</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张</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2000</w:t>
            </w:r>
          </w:p>
        </w:tc>
      </w:tr>
      <w:tr>
        <w:tblPrEx>
          <w:tblLayout w:type="fixed"/>
          <w:tblCellMar>
            <w:top w:w="0" w:type="dxa"/>
            <w:left w:w="108" w:type="dxa"/>
            <w:bottom w:w="0" w:type="dxa"/>
            <w:right w:w="108" w:type="dxa"/>
          </w:tblCellMar>
        </w:tblPrEx>
        <w:trPr>
          <w:trHeight w:val="362" w:hRule="atLeast"/>
          <w:jc w:val="center"/>
        </w:trPr>
        <w:tc>
          <w:tcPr>
            <w:tcW w:w="620" w:type="dxa"/>
            <w:tcBorders>
              <w:top w:val="single" w:color="404040" w:sz="4" w:space="0"/>
              <w:left w:val="single" w:color="404040" w:sz="4" w:space="0"/>
              <w:bottom w:val="single" w:color="404040" w:sz="4" w:space="0"/>
              <w:right w:val="nil"/>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5</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RFID安全门</w:t>
            </w:r>
          </w:p>
        </w:tc>
        <w:tc>
          <w:tcPr>
            <w:tcW w:w="7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技术参数：</w:t>
            </w:r>
          </w:p>
          <w:p>
            <w:pPr>
              <w:spacing w:line="340" w:lineRule="exact"/>
              <w:rPr>
                <w:rFonts w:ascii="宋体" w:hAnsi="宋体" w:cs="宋体"/>
                <w:color w:val="auto"/>
                <w:szCs w:val="21"/>
              </w:rPr>
            </w:pPr>
            <w:r>
              <w:rPr>
                <w:rFonts w:hint="eastAsia" w:ascii="宋体" w:hAnsi="宋体" w:cs="宋体"/>
                <w:color w:val="auto"/>
                <w:szCs w:val="21"/>
              </w:rPr>
              <w:t>1.产品规格：696mm（长）*140mm（宽）*1679mm（高）</w:t>
            </w:r>
          </w:p>
          <w:p>
            <w:pPr>
              <w:spacing w:line="340" w:lineRule="exact"/>
              <w:rPr>
                <w:rFonts w:ascii="宋体" w:hAnsi="宋体" w:cs="宋体"/>
                <w:color w:val="auto"/>
                <w:szCs w:val="21"/>
              </w:rPr>
            </w:pPr>
            <w:r>
              <w:rPr>
                <w:rFonts w:hint="eastAsia" w:ascii="宋体" w:hAnsi="宋体" w:cs="宋体"/>
                <w:color w:val="auto"/>
                <w:szCs w:val="21"/>
              </w:rPr>
              <w:t>2.工作频率：13.56MHz；</w:t>
            </w:r>
          </w:p>
          <w:p>
            <w:pPr>
              <w:spacing w:line="340" w:lineRule="exact"/>
              <w:rPr>
                <w:rFonts w:ascii="宋体" w:hAnsi="宋体" w:cs="宋体"/>
                <w:color w:val="auto"/>
                <w:szCs w:val="21"/>
              </w:rPr>
            </w:pPr>
            <w:r>
              <w:rPr>
                <w:rFonts w:hint="eastAsia" w:ascii="宋体" w:hAnsi="宋体" w:cs="宋体"/>
                <w:color w:val="auto"/>
                <w:szCs w:val="21"/>
              </w:rPr>
              <w:t>3.符合协议：ISO18000-3/ISO15693；</w:t>
            </w:r>
          </w:p>
          <w:p>
            <w:pPr>
              <w:spacing w:line="340" w:lineRule="exact"/>
              <w:rPr>
                <w:rFonts w:ascii="宋体" w:hAnsi="宋体" w:cs="宋体"/>
                <w:color w:val="auto"/>
                <w:szCs w:val="21"/>
              </w:rPr>
            </w:pPr>
            <w:r>
              <w:rPr>
                <w:rFonts w:hint="eastAsia" w:ascii="宋体" w:hAnsi="宋体" w:cs="宋体"/>
                <w:color w:val="auto"/>
                <w:szCs w:val="21"/>
              </w:rPr>
              <w:t>4.单通道宽度：85CM；</w:t>
            </w:r>
          </w:p>
          <w:p>
            <w:pPr>
              <w:spacing w:line="340" w:lineRule="exact"/>
              <w:rPr>
                <w:rFonts w:ascii="宋体" w:hAnsi="宋体" w:cs="宋体"/>
                <w:color w:val="auto"/>
                <w:szCs w:val="21"/>
              </w:rPr>
            </w:pPr>
            <w:r>
              <w:rPr>
                <w:rFonts w:hint="eastAsia" w:ascii="宋体" w:hAnsi="宋体" w:cs="宋体"/>
                <w:color w:val="auto"/>
                <w:szCs w:val="21"/>
              </w:rPr>
              <w:t>5.通信接口：支持以太网、RS232、RS485；</w:t>
            </w:r>
          </w:p>
          <w:p>
            <w:pPr>
              <w:spacing w:line="340" w:lineRule="exact"/>
              <w:rPr>
                <w:rFonts w:ascii="宋体" w:hAnsi="宋体" w:cs="宋体"/>
                <w:color w:val="auto"/>
                <w:szCs w:val="21"/>
              </w:rPr>
            </w:pPr>
            <w:r>
              <w:rPr>
                <w:rFonts w:hint="eastAsia" w:ascii="宋体" w:hAnsi="宋体" w:cs="宋体"/>
                <w:color w:val="auto"/>
                <w:szCs w:val="21"/>
              </w:rPr>
              <w:t>6.告警方式：通道具有声光报警功能；</w:t>
            </w:r>
          </w:p>
          <w:p>
            <w:pPr>
              <w:spacing w:line="340" w:lineRule="exact"/>
              <w:rPr>
                <w:rFonts w:ascii="宋体" w:hAnsi="宋体" w:cs="宋体"/>
                <w:color w:val="auto"/>
                <w:szCs w:val="21"/>
              </w:rPr>
            </w:pPr>
            <w:r>
              <w:rPr>
                <w:rFonts w:hint="eastAsia" w:ascii="宋体" w:hAnsi="宋体" w:cs="宋体"/>
                <w:color w:val="auto"/>
                <w:szCs w:val="21"/>
              </w:rPr>
              <w:t>7.语音提示：支持自定义语音提示，配置方式简单易操作；</w:t>
            </w:r>
          </w:p>
          <w:p>
            <w:pPr>
              <w:spacing w:line="340" w:lineRule="exact"/>
              <w:rPr>
                <w:rFonts w:ascii="宋体" w:hAnsi="宋体" w:cs="宋体"/>
                <w:color w:val="auto"/>
                <w:szCs w:val="21"/>
              </w:rPr>
            </w:pPr>
            <w:r>
              <w:rPr>
                <w:rFonts w:hint="eastAsia" w:ascii="宋体" w:hAnsi="宋体" w:cs="宋体"/>
                <w:color w:val="auto"/>
                <w:szCs w:val="21"/>
              </w:rPr>
              <w:t>8.固件升级：安全门所有固件均可通过软件升级，无需专用设备；</w:t>
            </w:r>
          </w:p>
          <w:p>
            <w:pPr>
              <w:spacing w:line="340" w:lineRule="exact"/>
              <w:rPr>
                <w:rFonts w:ascii="宋体" w:hAnsi="宋体" w:cs="宋体"/>
                <w:color w:val="auto"/>
                <w:szCs w:val="21"/>
              </w:rPr>
            </w:pPr>
            <w:r>
              <w:rPr>
                <w:rFonts w:hint="eastAsia" w:ascii="宋体" w:hAnsi="宋体" w:cs="宋体"/>
                <w:color w:val="auto"/>
                <w:szCs w:val="21"/>
              </w:rPr>
              <w:t>功能参数：</w:t>
            </w:r>
          </w:p>
          <w:p>
            <w:pPr>
              <w:spacing w:line="340" w:lineRule="exact"/>
              <w:rPr>
                <w:rFonts w:ascii="宋体" w:hAnsi="宋体" w:cs="宋体"/>
                <w:color w:val="auto"/>
                <w:szCs w:val="21"/>
              </w:rPr>
            </w:pPr>
            <w:r>
              <w:rPr>
                <w:rFonts w:hint="eastAsia" w:ascii="宋体" w:hAnsi="宋体" w:cs="宋体"/>
                <w:color w:val="auto"/>
                <w:szCs w:val="21"/>
              </w:rPr>
              <w:t>1.支持多种报警检测模式：EAS、AFI、EAS+AFI、AFI+DSFID；</w:t>
            </w:r>
          </w:p>
          <w:p>
            <w:pPr>
              <w:spacing w:line="340" w:lineRule="exact"/>
              <w:rPr>
                <w:rFonts w:ascii="宋体" w:hAnsi="宋体" w:cs="宋体"/>
                <w:color w:val="auto"/>
                <w:szCs w:val="21"/>
              </w:rPr>
            </w:pPr>
            <w:r>
              <w:rPr>
                <w:rFonts w:hint="eastAsia" w:ascii="宋体" w:hAnsi="宋体" w:cs="宋体"/>
                <w:color w:val="auto"/>
                <w:szCs w:val="21"/>
              </w:rPr>
              <w:t>2.标签识别：非接触式的快速识别粘贴在流通资料上的RFID标签；</w:t>
            </w:r>
          </w:p>
          <w:p>
            <w:pPr>
              <w:spacing w:line="340" w:lineRule="exact"/>
              <w:rPr>
                <w:rFonts w:ascii="宋体" w:hAnsi="宋体" w:cs="宋体"/>
                <w:color w:val="auto"/>
                <w:szCs w:val="21"/>
              </w:rPr>
            </w:pPr>
            <w:r>
              <w:rPr>
                <w:rFonts w:hint="eastAsia" w:ascii="宋体" w:hAnsi="宋体" w:cs="宋体"/>
                <w:color w:val="auto"/>
                <w:szCs w:val="21"/>
              </w:rPr>
              <w:t>3.安全扫描：对图书馆内的印刷品、视听出版物、CD及DVD等流通资料进行安全扫描操作，不损坏粘贴在流通资料中的磁性介质的资料。</w:t>
            </w:r>
          </w:p>
          <w:p>
            <w:pPr>
              <w:spacing w:line="340" w:lineRule="exact"/>
              <w:rPr>
                <w:rFonts w:ascii="宋体" w:hAnsi="宋体" w:cs="宋体"/>
                <w:color w:val="auto"/>
                <w:szCs w:val="21"/>
              </w:rPr>
            </w:pPr>
            <w:r>
              <w:rPr>
                <w:rFonts w:hint="eastAsia" w:ascii="宋体" w:hAnsi="宋体" w:cs="宋体"/>
                <w:color w:val="auto"/>
                <w:szCs w:val="21"/>
              </w:rPr>
              <w:t>4.设备系统：需具有高侦测性能，要求无误报，无漏报；</w:t>
            </w:r>
          </w:p>
          <w:p>
            <w:pPr>
              <w:spacing w:line="340" w:lineRule="exact"/>
              <w:rPr>
                <w:rFonts w:ascii="宋体" w:hAnsi="宋体" w:cs="宋体"/>
                <w:color w:val="auto"/>
                <w:szCs w:val="21"/>
              </w:rPr>
            </w:pPr>
            <w:r>
              <w:rPr>
                <w:rFonts w:hint="eastAsia" w:ascii="宋体" w:hAnsi="宋体" w:cs="宋体"/>
                <w:color w:val="auto"/>
                <w:szCs w:val="21"/>
              </w:rPr>
              <w:t>5.人流量统计：检测人员流动，自动判别进、出方向，自动保存人流量数据，断网、断电数据不丢失；</w:t>
            </w:r>
          </w:p>
          <w:p>
            <w:pPr>
              <w:spacing w:line="340" w:lineRule="exact"/>
              <w:rPr>
                <w:rFonts w:ascii="宋体" w:hAnsi="宋体" w:cs="宋体"/>
                <w:color w:val="auto"/>
                <w:szCs w:val="21"/>
              </w:rPr>
            </w:pPr>
            <w:r>
              <w:rPr>
                <w:rFonts w:hint="eastAsia" w:ascii="宋体" w:hAnsi="宋体" w:cs="宋体"/>
                <w:color w:val="auto"/>
                <w:szCs w:val="21"/>
              </w:rPr>
              <w:t>6.数码显示：每片安全门可轮流显示日期、时间和人流量等信息；</w:t>
            </w:r>
          </w:p>
          <w:p>
            <w:pPr>
              <w:spacing w:line="340" w:lineRule="exact"/>
              <w:rPr>
                <w:rFonts w:ascii="宋体" w:hAnsi="宋体" w:cs="宋体"/>
                <w:color w:val="auto"/>
                <w:szCs w:val="21"/>
              </w:rPr>
            </w:pPr>
            <w:r>
              <w:rPr>
                <w:rFonts w:hint="eastAsia" w:ascii="宋体" w:hAnsi="宋体" w:cs="宋体"/>
                <w:color w:val="auto"/>
                <w:szCs w:val="21"/>
              </w:rPr>
              <w:t>7.状态指示：每片安全门具有独立射频状态指示灯，无需打开设备罩壳就可以观察到天线的工作状态；</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片</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3</w:t>
            </w:r>
          </w:p>
        </w:tc>
      </w:tr>
      <w:tr>
        <w:tblPrEx>
          <w:tblLayout w:type="fixed"/>
          <w:tblCellMar>
            <w:top w:w="0" w:type="dxa"/>
            <w:left w:w="108" w:type="dxa"/>
            <w:bottom w:w="0" w:type="dxa"/>
            <w:right w:w="108" w:type="dxa"/>
          </w:tblCellMar>
        </w:tblPrEx>
        <w:trPr>
          <w:trHeight w:val="1399" w:hRule="atLeast"/>
          <w:jc w:val="center"/>
        </w:trPr>
        <w:tc>
          <w:tcPr>
            <w:tcW w:w="620" w:type="dxa"/>
            <w:tcBorders>
              <w:top w:val="single" w:color="404040" w:sz="4" w:space="0"/>
              <w:left w:val="single" w:color="404040" w:sz="4" w:space="0"/>
              <w:bottom w:val="single" w:color="404040" w:sz="4" w:space="0"/>
              <w:right w:val="nil"/>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6</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桌面式馆员工作站</w:t>
            </w:r>
          </w:p>
        </w:tc>
        <w:tc>
          <w:tcPr>
            <w:tcW w:w="7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功能要求</w:t>
            </w:r>
          </w:p>
          <w:p>
            <w:pPr>
              <w:spacing w:line="340" w:lineRule="exact"/>
              <w:rPr>
                <w:rFonts w:ascii="宋体" w:hAnsi="宋体" w:cs="宋体"/>
                <w:color w:val="auto"/>
                <w:szCs w:val="21"/>
              </w:rPr>
            </w:pPr>
            <w:r>
              <w:rPr>
                <w:rFonts w:hint="eastAsia" w:ascii="宋体" w:hAnsi="宋体" w:cs="宋体"/>
                <w:color w:val="auto"/>
                <w:szCs w:val="21"/>
              </w:rPr>
              <w:t>1.桌面式馆员工作站包含触摸显示屏，条形码阅读器，RFID读写器，IC卡读写器。</w:t>
            </w:r>
          </w:p>
          <w:p>
            <w:pPr>
              <w:spacing w:line="340" w:lineRule="exact"/>
              <w:rPr>
                <w:rFonts w:ascii="宋体" w:hAnsi="宋体" w:cs="宋体"/>
                <w:color w:val="auto"/>
                <w:szCs w:val="21"/>
              </w:rPr>
            </w:pPr>
            <w:r>
              <w:rPr>
                <w:rFonts w:hint="eastAsia" w:ascii="宋体" w:hAnsi="宋体" w:cs="宋体"/>
                <w:color w:val="auto"/>
                <w:szCs w:val="21"/>
              </w:rPr>
              <w:t>2.可对RFID标签非接触式地进行阅读，有读取、写入、改写RFID标签的能力。亦可作为桌面式自助借还机使用，可选配借书、还书、查询等功能。</w:t>
            </w:r>
          </w:p>
          <w:p>
            <w:pPr>
              <w:spacing w:line="340" w:lineRule="exact"/>
              <w:rPr>
                <w:rFonts w:ascii="宋体" w:hAnsi="宋体" w:cs="宋体"/>
                <w:color w:val="auto"/>
                <w:szCs w:val="21"/>
              </w:rPr>
            </w:pPr>
            <w:r>
              <w:rPr>
                <w:rFonts w:hint="eastAsia" w:ascii="宋体" w:hAnsi="宋体" w:cs="宋体"/>
                <w:color w:val="auto"/>
                <w:szCs w:val="21"/>
              </w:rPr>
              <w:t>3.标签加工程序要有准确的操作提示，若条码录入成功，能够显示录入的条码信息及预设信息，若录入失败，界面会显示录入失败提示。</w:t>
            </w:r>
          </w:p>
          <w:p>
            <w:pPr>
              <w:spacing w:line="340" w:lineRule="exact"/>
              <w:rPr>
                <w:rFonts w:ascii="宋体" w:hAnsi="宋体" w:cs="宋体"/>
                <w:color w:val="auto"/>
                <w:szCs w:val="21"/>
              </w:rPr>
            </w:pPr>
            <w:r>
              <w:rPr>
                <w:rFonts w:hint="eastAsia" w:ascii="宋体" w:hAnsi="宋体" w:cs="宋体"/>
                <w:color w:val="auto"/>
                <w:szCs w:val="21"/>
              </w:rPr>
              <w:t>4.RFID天线采用屏蔽式设计，适用于各种现场应用场合，保证只能在天线上方的RFID图书能够读到。</w:t>
            </w:r>
          </w:p>
          <w:p>
            <w:pPr>
              <w:spacing w:line="340" w:lineRule="exact"/>
              <w:rPr>
                <w:rFonts w:ascii="宋体" w:hAnsi="宋体" w:cs="宋体"/>
                <w:color w:val="auto"/>
                <w:szCs w:val="21"/>
              </w:rPr>
            </w:pPr>
            <w:r>
              <w:rPr>
                <w:rFonts w:hint="eastAsia" w:ascii="宋体" w:hAnsi="宋体" w:cs="宋体"/>
                <w:color w:val="auto"/>
                <w:szCs w:val="21"/>
              </w:rPr>
              <w:t>5.图书转换过程中，不需要按动鼠标或键盘操作RFID标签软件即可实现标签快速转速。标签加工支持条码递增、递减模式。</w:t>
            </w:r>
          </w:p>
          <w:p>
            <w:pPr>
              <w:spacing w:line="340" w:lineRule="exact"/>
              <w:rPr>
                <w:rFonts w:ascii="宋体" w:hAnsi="宋体" w:cs="宋体"/>
                <w:color w:val="auto"/>
                <w:szCs w:val="21"/>
              </w:rPr>
            </w:pPr>
            <w:r>
              <w:rPr>
                <w:rFonts w:hint="eastAsia" w:ascii="宋体" w:hAnsi="宋体" w:cs="宋体"/>
                <w:color w:val="auto"/>
                <w:szCs w:val="21"/>
              </w:rPr>
              <w:t>6.可对RFID标签非接触式地进行阅读，可以将流通资料的相关信息快速写入标签。</w:t>
            </w:r>
          </w:p>
          <w:p>
            <w:pPr>
              <w:spacing w:line="340" w:lineRule="exact"/>
              <w:rPr>
                <w:rFonts w:ascii="宋体" w:hAnsi="宋体" w:cs="宋体"/>
                <w:color w:val="auto"/>
                <w:szCs w:val="21"/>
              </w:rPr>
            </w:pPr>
            <w:r>
              <w:rPr>
                <w:rFonts w:hint="eastAsia" w:ascii="宋体" w:hAnsi="宋体" w:cs="宋体"/>
                <w:color w:val="auto"/>
                <w:szCs w:val="21"/>
              </w:rPr>
              <w:t>7.系统应有准确的声音和画面的操作提示，清晰指示条形码扫描是否成功，RFID标签编写是否成功的状态。</w:t>
            </w:r>
          </w:p>
          <w:p>
            <w:pPr>
              <w:spacing w:line="340" w:lineRule="exact"/>
              <w:rPr>
                <w:rFonts w:ascii="宋体" w:hAnsi="宋体" w:cs="宋体"/>
                <w:color w:val="auto"/>
                <w:szCs w:val="21"/>
              </w:rPr>
            </w:pPr>
            <w:r>
              <w:rPr>
                <w:rFonts w:hint="eastAsia" w:ascii="宋体" w:hAnsi="宋体" w:cs="宋体"/>
                <w:color w:val="auto"/>
                <w:szCs w:val="21"/>
              </w:rPr>
              <w:t>8.▲可对条形码进行识别转换后将条码号写入RFID标签，转换效率高。（需提供RIFD转换系统</w:t>
            </w:r>
            <w:r>
              <w:rPr>
                <w:rFonts w:hint="eastAsia" w:ascii="宋体" w:hAnsi="宋体" w:cs="宋体"/>
                <w:color w:val="auto"/>
                <w:szCs w:val="21"/>
                <w:lang w:eastAsia="zh-CN"/>
              </w:rPr>
              <w:t>证明材料</w:t>
            </w:r>
            <w:r>
              <w:rPr>
                <w:rFonts w:hint="eastAsia" w:ascii="宋体" w:hAnsi="宋体" w:cs="宋体"/>
                <w:color w:val="auto"/>
                <w:szCs w:val="21"/>
              </w:rPr>
              <w:t>）</w:t>
            </w:r>
          </w:p>
          <w:p>
            <w:pPr>
              <w:spacing w:line="340" w:lineRule="exact"/>
              <w:rPr>
                <w:rFonts w:ascii="宋体" w:hAnsi="宋体" w:cs="宋体"/>
                <w:color w:val="auto"/>
                <w:szCs w:val="21"/>
              </w:rPr>
            </w:pPr>
            <w:r>
              <w:rPr>
                <w:rFonts w:hint="eastAsia" w:ascii="宋体" w:hAnsi="宋体" w:cs="宋体"/>
                <w:color w:val="auto"/>
                <w:szCs w:val="21"/>
              </w:rPr>
              <w:t>9.可通过标准串口、USB接口或网络接口连接至计算机设备。</w:t>
            </w:r>
          </w:p>
          <w:p>
            <w:pPr>
              <w:spacing w:line="340" w:lineRule="exact"/>
              <w:rPr>
                <w:rFonts w:ascii="宋体" w:hAnsi="宋体" w:cs="宋体"/>
                <w:color w:val="auto"/>
                <w:szCs w:val="21"/>
              </w:rPr>
            </w:pPr>
            <w:r>
              <w:rPr>
                <w:rFonts w:hint="eastAsia" w:ascii="宋体" w:hAnsi="宋体" w:cs="宋体"/>
                <w:color w:val="auto"/>
                <w:szCs w:val="21"/>
              </w:rPr>
              <w:t>10.为保证系统更具兼容性，可根据馆方实际需求，加载不同的应用程序（借书，还书，标签加工）。</w:t>
            </w:r>
          </w:p>
          <w:p>
            <w:pPr>
              <w:spacing w:line="340" w:lineRule="exact"/>
              <w:rPr>
                <w:rFonts w:ascii="宋体" w:hAnsi="宋体" w:cs="宋体"/>
                <w:color w:val="auto"/>
                <w:szCs w:val="21"/>
              </w:rPr>
            </w:pPr>
            <w:r>
              <w:rPr>
                <w:rFonts w:hint="eastAsia" w:ascii="宋体" w:hAnsi="宋体" w:cs="宋体"/>
                <w:color w:val="auto"/>
                <w:szCs w:val="21"/>
              </w:rPr>
              <w:t>11.应在软件界面方便配置写入标签的相关信息。</w:t>
            </w:r>
          </w:p>
          <w:p>
            <w:pPr>
              <w:spacing w:line="340" w:lineRule="exact"/>
              <w:rPr>
                <w:rFonts w:ascii="宋体" w:hAnsi="宋体" w:cs="宋体"/>
                <w:color w:val="auto"/>
                <w:szCs w:val="21"/>
              </w:rPr>
            </w:pPr>
            <w:r>
              <w:rPr>
                <w:rFonts w:hint="eastAsia" w:ascii="宋体" w:hAnsi="宋体" w:cs="宋体"/>
                <w:color w:val="auto"/>
                <w:szCs w:val="21"/>
              </w:rPr>
              <w:t>12.写入标签信息应符合国际、国家相关标准，条码号为必须写入标签的信息。</w:t>
            </w:r>
          </w:p>
          <w:p>
            <w:pPr>
              <w:spacing w:line="340" w:lineRule="exact"/>
              <w:rPr>
                <w:rFonts w:ascii="宋体" w:hAnsi="宋体" w:cs="宋体"/>
                <w:color w:val="auto"/>
                <w:szCs w:val="21"/>
              </w:rPr>
            </w:pPr>
            <w:r>
              <w:rPr>
                <w:rFonts w:hint="eastAsia" w:ascii="宋体" w:hAnsi="宋体" w:cs="宋体"/>
                <w:color w:val="auto"/>
                <w:szCs w:val="21"/>
              </w:rPr>
              <w:t>13.用户应可在软件界面对简单变动参数。</w:t>
            </w:r>
          </w:p>
          <w:p>
            <w:pPr>
              <w:spacing w:line="340" w:lineRule="exact"/>
              <w:rPr>
                <w:rFonts w:ascii="宋体" w:hAnsi="宋体" w:cs="宋体"/>
                <w:color w:val="auto"/>
                <w:szCs w:val="21"/>
              </w:rPr>
            </w:pPr>
            <w:r>
              <w:rPr>
                <w:rFonts w:hint="eastAsia" w:ascii="宋体" w:hAnsi="宋体" w:cs="宋体"/>
                <w:color w:val="auto"/>
                <w:szCs w:val="21"/>
              </w:rPr>
              <w:t>14.可依据时间段统计标签加工工作量。</w:t>
            </w:r>
          </w:p>
          <w:p>
            <w:pPr>
              <w:spacing w:line="340" w:lineRule="exact"/>
              <w:rPr>
                <w:rFonts w:ascii="宋体" w:hAnsi="宋体" w:cs="宋体"/>
                <w:color w:val="auto"/>
                <w:szCs w:val="21"/>
              </w:rPr>
            </w:pPr>
            <w:r>
              <w:rPr>
                <w:rFonts w:hint="eastAsia" w:ascii="宋体" w:hAnsi="宋体" w:cs="宋体"/>
                <w:color w:val="auto"/>
                <w:szCs w:val="21"/>
              </w:rPr>
              <w:t>15.可选择是否更新藏址，并将需要更新藏址的图书进行藏址更新。</w:t>
            </w:r>
          </w:p>
          <w:p>
            <w:pPr>
              <w:spacing w:line="340" w:lineRule="exact"/>
              <w:rPr>
                <w:rFonts w:ascii="宋体" w:hAnsi="宋体" w:cs="宋体"/>
                <w:color w:val="auto"/>
                <w:szCs w:val="21"/>
              </w:rPr>
            </w:pPr>
            <w:r>
              <w:rPr>
                <w:rFonts w:hint="eastAsia" w:ascii="宋体" w:hAnsi="宋体" w:cs="宋体"/>
                <w:color w:val="auto"/>
                <w:szCs w:val="21"/>
              </w:rPr>
              <w:t>16.抗金属处理，不受金属桌面的影响。</w:t>
            </w:r>
          </w:p>
          <w:p>
            <w:pPr>
              <w:spacing w:line="340" w:lineRule="exact"/>
              <w:rPr>
                <w:rFonts w:ascii="宋体" w:hAnsi="宋体" w:cs="宋体"/>
                <w:color w:val="auto"/>
                <w:szCs w:val="21"/>
              </w:rPr>
            </w:pPr>
            <w:r>
              <w:rPr>
                <w:rFonts w:hint="eastAsia" w:ascii="宋体" w:hAnsi="宋体" w:cs="宋体"/>
                <w:color w:val="auto"/>
                <w:szCs w:val="21"/>
              </w:rPr>
              <w:t>17.可通过安装借还软件进行升级，实现借还书功能。</w:t>
            </w:r>
          </w:p>
          <w:p>
            <w:pPr>
              <w:spacing w:line="340" w:lineRule="exact"/>
              <w:rPr>
                <w:rFonts w:ascii="宋体" w:hAnsi="宋体" w:cs="宋体"/>
                <w:color w:val="auto"/>
                <w:szCs w:val="21"/>
              </w:rPr>
            </w:pPr>
            <w:r>
              <w:rPr>
                <w:rFonts w:hint="eastAsia" w:ascii="宋体" w:hAnsi="宋体" w:cs="宋体"/>
                <w:color w:val="auto"/>
                <w:szCs w:val="21"/>
              </w:rPr>
              <w:t>18.安全触控次数≥3500万次，多点触摸，要求采用超灵敏触控屏,提高画面触控精准度，画面触控无任何死角,轻松触摸。</w:t>
            </w:r>
          </w:p>
          <w:p>
            <w:pPr>
              <w:spacing w:line="340" w:lineRule="exact"/>
              <w:rPr>
                <w:rFonts w:ascii="宋体" w:hAnsi="宋体" w:cs="宋体"/>
                <w:color w:val="auto"/>
                <w:szCs w:val="21"/>
              </w:rPr>
            </w:pPr>
            <w:r>
              <w:rPr>
                <w:rFonts w:hint="eastAsia" w:ascii="宋体" w:hAnsi="宋体" w:cs="宋体"/>
                <w:color w:val="auto"/>
                <w:szCs w:val="21"/>
              </w:rPr>
              <w:t>19.画面精细寿命较长，具备24小时全天候长期持续运作的平台功能，整机低功耗设计，提供稳定的作业环境。</w:t>
            </w:r>
          </w:p>
          <w:p>
            <w:pPr>
              <w:spacing w:line="340" w:lineRule="exact"/>
              <w:rPr>
                <w:rFonts w:ascii="宋体" w:hAnsi="宋体" w:cs="宋体"/>
                <w:color w:val="auto"/>
                <w:szCs w:val="21"/>
              </w:rPr>
            </w:pPr>
            <w:r>
              <w:rPr>
                <w:rFonts w:hint="eastAsia" w:ascii="宋体" w:hAnsi="宋体" w:cs="宋体"/>
                <w:color w:val="auto"/>
                <w:szCs w:val="21"/>
              </w:rPr>
              <w:t>20.条码阅读模块工作原理拥有强大的扫描功能，支持一维和二维条码，可扫描纸张、手机和计算机屏幕上的所有条码，具有全自动扫描功能。</w:t>
            </w:r>
          </w:p>
          <w:p>
            <w:pPr>
              <w:spacing w:line="340" w:lineRule="exact"/>
              <w:rPr>
                <w:rFonts w:ascii="宋体" w:hAnsi="宋体" w:cs="宋体"/>
                <w:color w:val="auto"/>
                <w:szCs w:val="21"/>
              </w:rPr>
            </w:pPr>
            <w:r>
              <w:rPr>
                <w:rFonts w:hint="eastAsia" w:ascii="宋体" w:hAnsi="宋体" w:cs="宋体"/>
                <w:color w:val="auto"/>
                <w:szCs w:val="21"/>
              </w:rPr>
              <w:t>21.条码阅读器采用的是窗口式智能感应镜头，只需一次扫描即可准确采集数据；自动为下次扫描做好准备，全面性覆盖式扫描范围，可精准读取任何条码。</w:t>
            </w:r>
          </w:p>
          <w:p>
            <w:pPr>
              <w:spacing w:line="340" w:lineRule="exact"/>
              <w:rPr>
                <w:rFonts w:ascii="宋体" w:hAnsi="宋体" w:cs="宋体"/>
                <w:color w:val="auto"/>
                <w:szCs w:val="21"/>
              </w:rPr>
            </w:pPr>
            <w:r>
              <w:rPr>
                <w:rFonts w:hint="eastAsia" w:ascii="宋体" w:hAnsi="宋体" w:cs="宋体"/>
                <w:color w:val="auto"/>
                <w:szCs w:val="21"/>
              </w:rPr>
              <w:t>22.馆员工作站为桌面式。</w:t>
            </w:r>
          </w:p>
          <w:p>
            <w:pPr>
              <w:spacing w:line="340" w:lineRule="exact"/>
              <w:rPr>
                <w:rFonts w:ascii="宋体" w:hAnsi="宋体" w:cs="宋体"/>
                <w:color w:val="auto"/>
                <w:szCs w:val="21"/>
              </w:rPr>
            </w:pPr>
            <w:r>
              <w:rPr>
                <w:rFonts w:hint="eastAsia" w:ascii="宋体" w:hAnsi="宋体" w:cs="宋体"/>
                <w:color w:val="auto"/>
                <w:szCs w:val="21"/>
              </w:rPr>
              <w:t>23.技术要求：</w:t>
            </w:r>
          </w:p>
          <w:p>
            <w:pPr>
              <w:spacing w:line="340" w:lineRule="exact"/>
              <w:rPr>
                <w:rFonts w:ascii="宋体" w:hAnsi="宋体" w:cs="宋体"/>
                <w:color w:val="auto"/>
                <w:szCs w:val="21"/>
              </w:rPr>
            </w:pPr>
            <w:r>
              <w:rPr>
                <w:rFonts w:hint="eastAsia" w:ascii="宋体" w:hAnsi="宋体" w:cs="宋体"/>
                <w:color w:val="auto"/>
                <w:szCs w:val="21"/>
              </w:rPr>
              <w:t>24.工作频率：13.56MHz；</w:t>
            </w:r>
          </w:p>
          <w:p>
            <w:pPr>
              <w:spacing w:line="340" w:lineRule="exact"/>
              <w:rPr>
                <w:rFonts w:ascii="宋体" w:hAnsi="宋体" w:cs="宋体"/>
                <w:color w:val="auto"/>
                <w:szCs w:val="21"/>
              </w:rPr>
            </w:pPr>
            <w:r>
              <w:rPr>
                <w:rFonts w:hint="eastAsia" w:ascii="宋体" w:hAnsi="宋体" w:cs="宋体"/>
                <w:color w:val="auto"/>
                <w:szCs w:val="21"/>
              </w:rPr>
              <w:t>25.材质：钣金，亚克力；</w:t>
            </w:r>
          </w:p>
          <w:p>
            <w:pPr>
              <w:spacing w:line="340" w:lineRule="exact"/>
              <w:rPr>
                <w:rFonts w:ascii="宋体" w:hAnsi="宋体" w:cs="宋体"/>
                <w:color w:val="auto"/>
                <w:szCs w:val="21"/>
              </w:rPr>
            </w:pPr>
            <w:r>
              <w:rPr>
                <w:rFonts w:hint="eastAsia" w:ascii="宋体" w:hAnsi="宋体" w:cs="宋体"/>
                <w:color w:val="auto"/>
                <w:szCs w:val="21"/>
              </w:rPr>
              <w:t>26.屏幕尺寸：19寸（宽屏16:10)；</w:t>
            </w:r>
          </w:p>
          <w:p>
            <w:pPr>
              <w:spacing w:line="340" w:lineRule="exact"/>
              <w:rPr>
                <w:rFonts w:ascii="宋体" w:hAnsi="宋体" w:cs="宋体"/>
                <w:color w:val="auto"/>
                <w:szCs w:val="21"/>
              </w:rPr>
            </w:pPr>
            <w:r>
              <w:rPr>
                <w:rFonts w:hint="eastAsia" w:ascii="宋体" w:hAnsi="宋体" w:cs="宋体"/>
                <w:color w:val="auto"/>
                <w:szCs w:val="21"/>
              </w:rPr>
              <w:t>27.触摸类型：电容屏；</w:t>
            </w:r>
          </w:p>
          <w:p>
            <w:pPr>
              <w:spacing w:line="340" w:lineRule="exact"/>
              <w:rPr>
                <w:rFonts w:ascii="宋体" w:hAnsi="宋体" w:cs="宋体"/>
                <w:color w:val="auto"/>
                <w:szCs w:val="21"/>
              </w:rPr>
            </w:pPr>
            <w:r>
              <w:rPr>
                <w:rFonts w:hint="eastAsia" w:ascii="宋体" w:hAnsi="宋体" w:cs="宋体"/>
                <w:color w:val="auto"/>
                <w:szCs w:val="21"/>
              </w:rPr>
              <w:t>28.阅读范围：确保250mm及250mm范围以内为有效阅读区域。</w:t>
            </w:r>
          </w:p>
          <w:p>
            <w:pPr>
              <w:spacing w:line="340" w:lineRule="exact"/>
              <w:rPr>
                <w:rFonts w:ascii="宋体" w:hAnsi="宋体" w:cs="宋体"/>
                <w:color w:val="auto"/>
                <w:szCs w:val="21"/>
              </w:rPr>
            </w:pPr>
            <w:r>
              <w:rPr>
                <w:rFonts w:hint="eastAsia" w:ascii="宋体" w:hAnsi="宋体" w:cs="宋体"/>
                <w:color w:val="auto"/>
                <w:szCs w:val="21"/>
              </w:rPr>
              <w:t>29.工作温度：-10℃～50℃；</w:t>
            </w:r>
          </w:p>
          <w:p>
            <w:pPr>
              <w:spacing w:line="340" w:lineRule="exact"/>
              <w:rPr>
                <w:rFonts w:ascii="宋体" w:hAnsi="宋体" w:cs="宋体"/>
                <w:color w:val="auto"/>
                <w:szCs w:val="21"/>
              </w:rPr>
            </w:pPr>
            <w:r>
              <w:rPr>
                <w:rFonts w:hint="eastAsia" w:ascii="宋体" w:hAnsi="宋体" w:cs="宋体"/>
                <w:color w:val="auto"/>
                <w:szCs w:val="21"/>
              </w:rPr>
              <w:t>30.储存温度：-20℃～60℃；</w:t>
            </w:r>
          </w:p>
          <w:p>
            <w:pPr>
              <w:spacing w:line="340" w:lineRule="exact"/>
              <w:rPr>
                <w:rFonts w:ascii="宋体" w:hAnsi="宋体" w:cs="宋体"/>
                <w:color w:val="auto"/>
                <w:szCs w:val="21"/>
              </w:rPr>
            </w:pPr>
            <w:r>
              <w:rPr>
                <w:rFonts w:hint="eastAsia" w:ascii="宋体" w:hAnsi="宋体" w:cs="宋体"/>
                <w:color w:val="auto"/>
                <w:szCs w:val="21"/>
              </w:rPr>
              <w:t>31.相对湿度：5%～80%；</w:t>
            </w:r>
          </w:p>
          <w:p>
            <w:pPr>
              <w:spacing w:line="340" w:lineRule="exact"/>
              <w:rPr>
                <w:rFonts w:ascii="宋体" w:hAnsi="宋体" w:cs="宋体"/>
                <w:color w:val="auto"/>
                <w:szCs w:val="21"/>
              </w:rPr>
            </w:pPr>
            <w:r>
              <w:rPr>
                <w:rFonts w:hint="eastAsia" w:ascii="宋体" w:hAnsi="宋体" w:cs="宋体"/>
                <w:color w:val="auto"/>
                <w:szCs w:val="21"/>
              </w:rPr>
              <w:t>32.符合标准：ISO18000-3，ISO15693；</w:t>
            </w:r>
          </w:p>
          <w:p>
            <w:pPr>
              <w:spacing w:line="340" w:lineRule="exact"/>
              <w:rPr>
                <w:rFonts w:ascii="宋体" w:hAnsi="宋体" w:cs="宋体"/>
                <w:color w:val="auto"/>
                <w:szCs w:val="21"/>
              </w:rPr>
            </w:pPr>
            <w:r>
              <w:rPr>
                <w:rFonts w:hint="eastAsia" w:ascii="宋体" w:hAnsi="宋体" w:cs="宋体"/>
                <w:color w:val="auto"/>
                <w:szCs w:val="21"/>
              </w:rPr>
              <w:t>33.设备网络通信接口：USB、RJ45；</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1</w:t>
            </w:r>
          </w:p>
        </w:tc>
      </w:tr>
      <w:tr>
        <w:tblPrEx>
          <w:tblLayout w:type="fixed"/>
          <w:tblCellMar>
            <w:top w:w="0" w:type="dxa"/>
            <w:left w:w="108" w:type="dxa"/>
            <w:bottom w:w="0" w:type="dxa"/>
            <w:right w:w="108" w:type="dxa"/>
          </w:tblCellMar>
        </w:tblPrEx>
        <w:trPr>
          <w:trHeight w:val="233" w:hRule="atLeast"/>
          <w:jc w:val="center"/>
        </w:trPr>
        <w:tc>
          <w:tcPr>
            <w:tcW w:w="620" w:type="dxa"/>
            <w:tcBorders>
              <w:top w:val="single" w:color="404040" w:sz="4" w:space="0"/>
              <w:left w:val="single" w:color="404040" w:sz="4" w:space="0"/>
              <w:bottom w:val="single" w:color="404040" w:sz="4" w:space="0"/>
              <w:right w:val="nil"/>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7</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简易式馆员工作站</w:t>
            </w:r>
          </w:p>
        </w:tc>
        <w:tc>
          <w:tcPr>
            <w:tcW w:w="7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1.具备标签转换功能，可兼容条形码读取，可对条形码进行识别转换后将条码号写入RFID标签，转换效率高。</w:t>
            </w:r>
          </w:p>
          <w:p>
            <w:pPr>
              <w:spacing w:line="340" w:lineRule="exact"/>
              <w:rPr>
                <w:rFonts w:ascii="宋体" w:hAnsi="宋体" w:cs="宋体"/>
                <w:color w:val="auto"/>
                <w:szCs w:val="21"/>
              </w:rPr>
            </w:pPr>
            <w:r>
              <w:rPr>
                <w:rFonts w:hint="eastAsia" w:ascii="宋体" w:hAnsi="宋体" w:cs="宋体"/>
                <w:color w:val="auto"/>
                <w:szCs w:val="21"/>
              </w:rPr>
              <w:t>2.支持借还流程，借书、还书、续借、借阅情况查询等功能。</w:t>
            </w:r>
          </w:p>
          <w:p>
            <w:pPr>
              <w:spacing w:line="340" w:lineRule="exact"/>
              <w:rPr>
                <w:rFonts w:ascii="宋体" w:hAnsi="宋体" w:cs="宋体"/>
                <w:color w:val="auto"/>
                <w:szCs w:val="21"/>
              </w:rPr>
            </w:pPr>
            <w:r>
              <w:rPr>
                <w:rFonts w:hint="eastAsia" w:ascii="宋体" w:hAnsi="宋体" w:cs="宋体"/>
                <w:color w:val="auto"/>
                <w:szCs w:val="21"/>
              </w:rPr>
              <w:t>3.可根据书名、索书号、条码号、EPC、时间、馆藏地等关键词进行图书检索。</w:t>
            </w:r>
          </w:p>
          <w:p>
            <w:pPr>
              <w:spacing w:line="340" w:lineRule="exact"/>
              <w:rPr>
                <w:rFonts w:ascii="宋体" w:hAnsi="宋体" w:cs="宋体"/>
                <w:color w:val="auto"/>
                <w:szCs w:val="21"/>
              </w:rPr>
            </w:pPr>
            <w:r>
              <w:rPr>
                <w:rFonts w:hint="eastAsia" w:ascii="宋体" w:hAnsi="宋体" w:cs="宋体"/>
                <w:color w:val="auto"/>
                <w:szCs w:val="21"/>
              </w:rPr>
              <w:t>4.支持标签数据录入流程。</w:t>
            </w:r>
          </w:p>
          <w:p>
            <w:pPr>
              <w:spacing w:line="340" w:lineRule="exact"/>
              <w:rPr>
                <w:rFonts w:ascii="宋体" w:hAnsi="宋体" w:cs="宋体"/>
                <w:color w:val="auto"/>
                <w:szCs w:val="21"/>
              </w:rPr>
            </w:pPr>
            <w:r>
              <w:rPr>
                <w:rFonts w:hint="eastAsia" w:ascii="宋体" w:hAnsi="宋体" w:cs="宋体"/>
                <w:color w:val="auto"/>
                <w:szCs w:val="21"/>
              </w:rPr>
              <w:t>5.除了改变配置、错误处理或者重新编程的状况下，整个转换过程，不需要触摸屏幕或者按动鼠标或键盘来触发转换工作。</w:t>
            </w:r>
          </w:p>
          <w:p>
            <w:pPr>
              <w:spacing w:line="340" w:lineRule="exact"/>
              <w:rPr>
                <w:rFonts w:ascii="宋体" w:hAnsi="宋体" w:cs="宋体"/>
                <w:color w:val="auto"/>
                <w:szCs w:val="21"/>
              </w:rPr>
            </w:pPr>
            <w:r>
              <w:rPr>
                <w:rFonts w:hint="eastAsia" w:ascii="宋体" w:hAnsi="宋体" w:cs="宋体"/>
                <w:color w:val="auto"/>
                <w:szCs w:val="21"/>
              </w:rPr>
              <w:t>6.可以非接触式的快速识别粘贴在图书上的RFID标签，可同时读取多本图书。</w:t>
            </w:r>
          </w:p>
          <w:p>
            <w:pPr>
              <w:spacing w:line="340" w:lineRule="exact"/>
              <w:rPr>
                <w:rFonts w:ascii="宋体" w:hAnsi="宋体" w:cs="宋体"/>
                <w:color w:val="auto"/>
                <w:szCs w:val="21"/>
              </w:rPr>
            </w:pPr>
            <w:r>
              <w:rPr>
                <w:rFonts w:hint="eastAsia" w:ascii="宋体" w:hAnsi="宋体" w:cs="宋体"/>
                <w:color w:val="auto"/>
                <w:szCs w:val="21"/>
              </w:rPr>
              <w:t>7.可以对图书标签防盗位进行复位或置位。</w:t>
            </w:r>
          </w:p>
          <w:p>
            <w:pPr>
              <w:spacing w:line="340" w:lineRule="exact"/>
              <w:rPr>
                <w:rFonts w:ascii="宋体" w:hAnsi="宋体" w:cs="宋体"/>
                <w:color w:val="auto"/>
                <w:szCs w:val="21"/>
              </w:rPr>
            </w:pPr>
            <w:r>
              <w:rPr>
                <w:rFonts w:hint="eastAsia" w:ascii="宋体" w:hAnsi="宋体" w:cs="宋体"/>
                <w:color w:val="auto"/>
                <w:szCs w:val="21"/>
              </w:rPr>
              <w:t>8.提供设备配套驱动程序文件、相关图书馆业务应用程序文件。</w:t>
            </w:r>
          </w:p>
          <w:p>
            <w:pPr>
              <w:spacing w:line="340" w:lineRule="exact"/>
              <w:rPr>
                <w:rFonts w:ascii="宋体" w:hAnsi="宋体" w:cs="宋体"/>
                <w:color w:val="auto"/>
                <w:szCs w:val="21"/>
              </w:rPr>
            </w:pPr>
            <w:r>
              <w:rPr>
                <w:rFonts w:hint="eastAsia" w:ascii="宋体" w:hAnsi="宋体" w:cs="宋体"/>
                <w:color w:val="auto"/>
                <w:szCs w:val="21"/>
              </w:rPr>
              <w:t>9.技术要求：</w:t>
            </w:r>
          </w:p>
          <w:p>
            <w:pPr>
              <w:spacing w:line="340" w:lineRule="exact"/>
              <w:rPr>
                <w:rFonts w:ascii="宋体" w:hAnsi="宋体" w:cs="宋体"/>
                <w:color w:val="auto"/>
                <w:szCs w:val="21"/>
              </w:rPr>
            </w:pPr>
            <w:r>
              <w:rPr>
                <w:rFonts w:hint="eastAsia" w:ascii="宋体" w:hAnsi="宋体" w:cs="宋体"/>
                <w:color w:val="auto"/>
                <w:szCs w:val="21"/>
              </w:rPr>
              <w:t>10.工作频率：13.56MHz；</w:t>
            </w:r>
          </w:p>
          <w:p>
            <w:pPr>
              <w:spacing w:line="340" w:lineRule="exact"/>
              <w:rPr>
                <w:rFonts w:ascii="宋体" w:hAnsi="宋体" w:cs="宋体"/>
                <w:color w:val="auto"/>
                <w:szCs w:val="21"/>
              </w:rPr>
            </w:pPr>
            <w:r>
              <w:rPr>
                <w:rFonts w:hint="eastAsia" w:ascii="宋体" w:hAnsi="宋体" w:cs="宋体"/>
                <w:color w:val="auto"/>
                <w:szCs w:val="21"/>
              </w:rPr>
              <w:t>11.材质：钣金，亚克力；</w:t>
            </w:r>
          </w:p>
          <w:p>
            <w:pPr>
              <w:spacing w:line="340" w:lineRule="exact"/>
              <w:rPr>
                <w:rFonts w:ascii="宋体" w:hAnsi="宋体" w:cs="宋体"/>
                <w:color w:val="auto"/>
                <w:szCs w:val="21"/>
              </w:rPr>
            </w:pPr>
            <w:r>
              <w:rPr>
                <w:rFonts w:hint="eastAsia" w:ascii="宋体" w:hAnsi="宋体" w:cs="宋体"/>
                <w:color w:val="auto"/>
                <w:szCs w:val="21"/>
              </w:rPr>
              <w:t>12.尺寸：尺寸大小为410×300×29mm；</w:t>
            </w:r>
          </w:p>
          <w:p>
            <w:pPr>
              <w:spacing w:line="340" w:lineRule="exact"/>
              <w:rPr>
                <w:rFonts w:ascii="宋体" w:hAnsi="宋体" w:cs="宋体"/>
                <w:color w:val="auto"/>
                <w:szCs w:val="21"/>
              </w:rPr>
            </w:pPr>
            <w:r>
              <w:rPr>
                <w:rFonts w:hint="eastAsia" w:ascii="宋体" w:hAnsi="宋体" w:cs="宋体"/>
                <w:color w:val="auto"/>
                <w:szCs w:val="21"/>
              </w:rPr>
              <w:t>13.触摸类型：电容屏；</w:t>
            </w:r>
          </w:p>
          <w:p>
            <w:pPr>
              <w:spacing w:line="340" w:lineRule="exact"/>
              <w:rPr>
                <w:rFonts w:ascii="宋体" w:hAnsi="宋体" w:cs="宋体"/>
                <w:color w:val="auto"/>
                <w:szCs w:val="21"/>
              </w:rPr>
            </w:pPr>
            <w:r>
              <w:rPr>
                <w:rFonts w:hint="eastAsia" w:ascii="宋体" w:hAnsi="宋体" w:cs="宋体"/>
                <w:color w:val="auto"/>
                <w:szCs w:val="21"/>
              </w:rPr>
              <w:t>14.阅读范围：确保250mm及250mm范围以内为有效阅读区域。</w:t>
            </w:r>
          </w:p>
          <w:p>
            <w:pPr>
              <w:spacing w:line="340" w:lineRule="exact"/>
              <w:rPr>
                <w:rFonts w:ascii="宋体" w:hAnsi="宋体" w:cs="宋体"/>
                <w:color w:val="auto"/>
                <w:szCs w:val="21"/>
              </w:rPr>
            </w:pPr>
            <w:r>
              <w:rPr>
                <w:rFonts w:hint="eastAsia" w:ascii="宋体" w:hAnsi="宋体" w:cs="宋体"/>
                <w:color w:val="auto"/>
                <w:szCs w:val="21"/>
              </w:rPr>
              <w:t>15.工作温度：-10℃～50℃；</w:t>
            </w:r>
          </w:p>
          <w:p>
            <w:pPr>
              <w:spacing w:line="340" w:lineRule="exact"/>
              <w:rPr>
                <w:rFonts w:ascii="宋体" w:hAnsi="宋体" w:cs="宋体"/>
                <w:color w:val="auto"/>
                <w:szCs w:val="21"/>
              </w:rPr>
            </w:pPr>
            <w:r>
              <w:rPr>
                <w:rFonts w:hint="eastAsia" w:ascii="宋体" w:hAnsi="宋体" w:cs="宋体"/>
                <w:color w:val="auto"/>
                <w:szCs w:val="21"/>
              </w:rPr>
              <w:t>16.储存温度：-20℃～60℃；</w:t>
            </w:r>
          </w:p>
          <w:p>
            <w:pPr>
              <w:spacing w:line="340" w:lineRule="exact"/>
              <w:rPr>
                <w:rFonts w:ascii="宋体" w:hAnsi="宋体" w:cs="宋体"/>
                <w:color w:val="auto"/>
                <w:szCs w:val="21"/>
              </w:rPr>
            </w:pPr>
            <w:r>
              <w:rPr>
                <w:rFonts w:hint="eastAsia" w:ascii="宋体" w:hAnsi="宋体" w:cs="宋体"/>
                <w:color w:val="auto"/>
                <w:szCs w:val="21"/>
              </w:rPr>
              <w:t>17、相对湿度：5%～80%；</w:t>
            </w:r>
          </w:p>
          <w:p>
            <w:pPr>
              <w:spacing w:line="340" w:lineRule="exact"/>
              <w:rPr>
                <w:rFonts w:ascii="宋体" w:hAnsi="宋体" w:cs="宋体"/>
                <w:color w:val="auto"/>
                <w:szCs w:val="21"/>
              </w:rPr>
            </w:pPr>
            <w:r>
              <w:rPr>
                <w:rFonts w:hint="eastAsia" w:ascii="宋体" w:hAnsi="宋体" w:cs="宋体"/>
                <w:color w:val="auto"/>
                <w:szCs w:val="21"/>
              </w:rPr>
              <w:t>18.符合标准：ISO18000-3，ISO15693；</w:t>
            </w:r>
          </w:p>
          <w:p>
            <w:pPr>
              <w:spacing w:line="340" w:lineRule="exact"/>
              <w:rPr>
                <w:rFonts w:ascii="宋体" w:hAnsi="宋体" w:cs="宋体"/>
                <w:color w:val="auto"/>
                <w:szCs w:val="21"/>
              </w:rPr>
            </w:pPr>
            <w:r>
              <w:rPr>
                <w:rFonts w:hint="eastAsia" w:ascii="宋体" w:hAnsi="宋体" w:cs="宋体"/>
                <w:color w:val="auto"/>
                <w:szCs w:val="21"/>
              </w:rPr>
              <w:t>19、设备网络通信接口：USB、RJ45；</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1</w:t>
            </w:r>
          </w:p>
        </w:tc>
      </w:tr>
      <w:tr>
        <w:tblPrEx>
          <w:tblLayout w:type="fixed"/>
          <w:tblCellMar>
            <w:top w:w="0" w:type="dxa"/>
            <w:left w:w="108" w:type="dxa"/>
            <w:bottom w:w="0" w:type="dxa"/>
            <w:right w:w="108" w:type="dxa"/>
          </w:tblCellMar>
        </w:tblPrEx>
        <w:trPr>
          <w:trHeight w:val="834" w:hRule="atLeast"/>
          <w:jc w:val="center"/>
        </w:trPr>
        <w:tc>
          <w:tcPr>
            <w:tcW w:w="620" w:type="dxa"/>
            <w:tcBorders>
              <w:top w:val="single" w:color="404040" w:sz="4" w:space="0"/>
              <w:left w:val="single" w:color="404040" w:sz="4" w:space="0"/>
              <w:bottom w:val="single" w:color="404040" w:sz="4" w:space="0"/>
              <w:right w:val="nil"/>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8</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自助借还书机</w:t>
            </w:r>
          </w:p>
        </w:tc>
        <w:tc>
          <w:tcPr>
            <w:tcW w:w="7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功能及特点：标配RFID卡、IC证件、人脸识别功能。具备借书、还书、查询/续借、办证功能，可同时识别多本贴有RFID标签的图书。防止借阅过程中偷换、抽换书籍或一书登录多书借出的功能，可根据需求显示读者姓名、借阅资料题名与归还日期等相关信息。人机交互界面简单易懂，硬件设备安全可靠。（需提供RFID自助借还系统及RFID自助办证系统</w:t>
            </w:r>
            <w:r>
              <w:rPr>
                <w:rFonts w:hint="eastAsia" w:ascii="宋体" w:hAnsi="宋体" w:cs="宋体"/>
                <w:color w:val="auto"/>
                <w:szCs w:val="21"/>
                <w:lang w:eastAsia="zh-CN"/>
              </w:rPr>
              <w:t>证明材料</w:t>
            </w:r>
            <w:r>
              <w:rPr>
                <w:rFonts w:hint="eastAsia" w:ascii="宋体" w:hAnsi="宋体" w:cs="宋体"/>
                <w:color w:val="auto"/>
                <w:szCs w:val="21"/>
              </w:rPr>
              <w:t>）</w:t>
            </w:r>
          </w:p>
          <w:p>
            <w:pPr>
              <w:spacing w:line="340" w:lineRule="exact"/>
              <w:rPr>
                <w:rFonts w:ascii="宋体" w:hAnsi="宋体" w:cs="宋体"/>
                <w:color w:val="auto"/>
                <w:szCs w:val="21"/>
              </w:rPr>
            </w:pPr>
            <w:r>
              <w:rPr>
                <w:rFonts w:hint="eastAsia" w:ascii="宋体" w:hAnsi="宋体" w:cs="宋体"/>
                <w:color w:val="auto"/>
                <w:szCs w:val="21"/>
              </w:rPr>
              <w:t>功能要求：</w:t>
            </w:r>
          </w:p>
          <w:p>
            <w:pPr>
              <w:spacing w:line="340" w:lineRule="exact"/>
              <w:rPr>
                <w:rFonts w:ascii="宋体" w:hAnsi="宋体" w:cs="宋体"/>
                <w:color w:val="auto"/>
                <w:szCs w:val="21"/>
              </w:rPr>
            </w:pPr>
            <w:r>
              <w:rPr>
                <w:rFonts w:hint="eastAsia" w:ascii="宋体" w:hAnsi="宋体" w:cs="宋体"/>
                <w:color w:val="auto"/>
                <w:szCs w:val="21"/>
              </w:rPr>
              <w:t>1.系统要求支持图书馆后台管理系统，可以与图书馆的图书管理系统无缝连接。</w:t>
            </w:r>
          </w:p>
          <w:p>
            <w:pPr>
              <w:spacing w:line="340" w:lineRule="exact"/>
              <w:rPr>
                <w:rFonts w:ascii="宋体" w:hAnsi="宋体" w:cs="宋体"/>
                <w:color w:val="auto"/>
                <w:szCs w:val="21"/>
              </w:rPr>
            </w:pPr>
            <w:r>
              <w:rPr>
                <w:rFonts w:hint="eastAsia" w:ascii="宋体" w:hAnsi="宋体" w:cs="宋体"/>
                <w:color w:val="auto"/>
                <w:szCs w:val="21"/>
              </w:rPr>
              <w:t>2.可以非接触式的快速识别粘贴在流通文献上的RFID标签和现有条形码，可进行读者卡密码确认。</w:t>
            </w:r>
          </w:p>
          <w:p>
            <w:pPr>
              <w:spacing w:line="340" w:lineRule="exact"/>
              <w:rPr>
                <w:rFonts w:ascii="宋体" w:hAnsi="宋体" w:cs="宋体"/>
                <w:color w:val="auto"/>
                <w:szCs w:val="21"/>
              </w:rPr>
            </w:pPr>
            <w:r>
              <w:rPr>
                <w:rFonts w:hint="eastAsia" w:ascii="宋体" w:hAnsi="宋体" w:cs="宋体"/>
                <w:color w:val="auto"/>
                <w:szCs w:val="21"/>
              </w:rPr>
              <w:t>3.可以识别图书馆目前使用的有效证件。</w:t>
            </w:r>
          </w:p>
          <w:p>
            <w:pPr>
              <w:spacing w:line="340" w:lineRule="exact"/>
              <w:rPr>
                <w:rFonts w:ascii="宋体" w:hAnsi="宋体" w:cs="宋体"/>
                <w:color w:val="auto"/>
                <w:szCs w:val="21"/>
              </w:rPr>
            </w:pPr>
            <w:r>
              <w:rPr>
                <w:rFonts w:hint="eastAsia" w:ascii="宋体" w:hAnsi="宋体" w:cs="宋体"/>
                <w:color w:val="auto"/>
                <w:szCs w:val="21"/>
              </w:rPr>
              <w:t>4.配备触摸显示屏或简单按键操作，具有图形化的人机交互友好操作界面，提供简体中文语言的视觉交互提示功能。</w:t>
            </w:r>
          </w:p>
          <w:p>
            <w:pPr>
              <w:spacing w:line="340" w:lineRule="exact"/>
              <w:rPr>
                <w:rFonts w:ascii="宋体" w:hAnsi="宋体" w:cs="宋体"/>
                <w:color w:val="auto"/>
                <w:szCs w:val="21"/>
              </w:rPr>
            </w:pPr>
            <w:r>
              <w:rPr>
                <w:rFonts w:hint="eastAsia" w:ascii="宋体" w:hAnsi="宋体" w:cs="宋体"/>
                <w:color w:val="auto"/>
                <w:szCs w:val="21"/>
              </w:rPr>
              <w:t>5.读者自助操作的实时记录日志功能。</w:t>
            </w:r>
          </w:p>
          <w:p>
            <w:pPr>
              <w:spacing w:line="340" w:lineRule="exact"/>
              <w:rPr>
                <w:rFonts w:ascii="宋体" w:hAnsi="宋体" w:cs="宋体"/>
                <w:color w:val="auto"/>
                <w:szCs w:val="21"/>
              </w:rPr>
            </w:pPr>
            <w:r>
              <w:rPr>
                <w:rFonts w:hint="eastAsia" w:ascii="宋体" w:hAnsi="宋体" w:cs="宋体"/>
                <w:color w:val="auto"/>
                <w:szCs w:val="21"/>
              </w:rPr>
              <w:t>6.具备防止借阅过程中偷换、抽换书籍的功能。</w:t>
            </w:r>
          </w:p>
          <w:p>
            <w:pPr>
              <w:spacing w:line="340" w:lineRule="exact"/>
              <w:rPr>
                <w:rFonts w:ascii="宋体" w:hAnsi="宋体" w:cs="宋体"/>
                <w:color w:val="auto"/>
                <w:szCs w:val="21"/>
              </w:rPr>
            </w:pPr>
            <w:r>
              <w:rPr>
                <w:rFonts w:hint="eastAsia" w:ascii="宋体" w:hAnsi="宋体" w:cs="宋体"/>
                <w:color w:val="auto"/>
                <w:szCs w:val="21"/>
              </w:rPr>
              <w:t>7.可根据需求显示读者姓名、归还资料题名、归还日期、超期天数等相关信息。</w:t>
            </w:r>
          </w:p>
          <w:p>
            <w:pPr>
              <w:spacing w:line="340" w:lineRule="exact"/>
              <w:rPr>
                <w:rFonts w:ascii="宋体" w:hAnsi="宋体" w:cs="宋体"/>
                <w:color w:val="auto"/>
                <w:szCs w:val="21"/>
              </w:rPr>
            </w:pPr>
            <w:r>
              <w:rPr>
                <w:rFonts w:hint="eastAsia" w:ascii="宋体" w:hAnsi="宋体" w:cs="宋体"/>
                <w:color w:val="auto"/>
                <w:szCs w:val="21"/>
              </w:rPr>
              <w:t>8.可根据图书馆管理系统要求刷卡时验证读者证密码。</w:t>
            </w:r>
          </w:p>
          <w:p>
            <w:pPr>
              <w:spacing w:line="340" w:lineRule="exact"/>
              <w:rPr>
                <w:rFonts w:ascii="宋体" w:hAnsi="宋体" w:cs="宋体"/>
                <w:color w:val="auto"/>
                <w:szCs w:val="21"/>
              </w:rPr>
            </w:pPr>
            <w:r>
              <w:rPr>
                <w:rFonts w:hint="eastAsia" w:ascii="宋体" w:hAnsi="宋体" w:cs="宋体"/>
                <w:color w:val="auto"/>
                <w:szCs w:val="21"/>
              </w:rPr>
              <w:t>9.系统保证在设备指示区域范围内的图书能够读取，超过范围内的图书不被读取，保证读者操作时不会出错。</w:t>
            </w:r>
          </w:p>
          <w:p>
            <w:pPr>
              <w:spacing w:line="340" w:lineRule="exact"/>
              <w:jc w:val="left"/>
              <w:rPr>
                <w:rFonts w:ascii="宋体" w:hAnsi="宋体" w:cs="宋体"/>
                <w:color w:val="auto"/>
                <w:szCs w:val="21"/>
              </w:rPr>
            </w:pPr>
            <w:r>
              <w:rPr>
                <w:rFonts w:hint="eastAsia" w:ascii="宋体" w:hAnsi="宋体" w:cs="宋体"/>
                <w:color w:val="auto"/>
                <w:szCs w:val="21"/>
              </w:rPr>
              <w:t>10.后台系统提供准确的工作统计，如借还数量、借还类型、成功与否的借还统计等。</w:t>
            </w:r>
          </w:p>
          <w:p>
            <w:pPr>
              <w:spacing w:line="340" w:lineRule="exact"/>
              <w:jc w:val="left"/>
              <w:rPr>
                <w:rFonts w:ascii="宋体" w:hAnsi="宋体" w:cs="宋体"/>
                <w:color w:val="auto"/>
                <w:szCs w:val="21"/>
              </w:rPr>
            </w:pPr>
            <w:r>
              <w:rPr>
                <w:rFonts w:hint="eastAsia" w:ascii="宋体" w:hAnsi="宋体" w:cs="宋体"/>
                <w:color w:val="auto"/>
                <w:szCs w:val="21"/>
              </w:rPr>
              <w:t>11.可通过标准串口、USB接口或网络接口连接至计算机设备。</w:t>
            </w:r>
          </w:p>
          <w:p>
            <w:pPr>
              <w:spacing w:line="340" w:lineRule="exact"/>
              <w:jc w:val="left"/>
              <w:rPr>
                <w:rFonts w:ascii="宋体" w:hAnsi="宋体" w:cs="宋体"/>
                <w:color w:val="auto"/>
                <w:szCs w:val="21"/>
              </w:rPr>
            </w:pPr>
            <w:r>
              <w:rPr>
                <w:rFonts w:hint="eastAsia" w:ascii="宋体" w:hAnsi="宋体" w:cs="宋体"/>
                <w:color w:val="auto"/>
                <w:szCs w:val="21"/>
              </w:rPr>
              <w:t>12.符合国际相关行业标准，如ISO18000-3，ISO15693；GB4943.1-2011;GB17625.1-2012;GB/T9254-2008(A级）。</w:t>
            </w:r>
          </w:p>
          <w:p>
            <w:pPr>
              <w:spacing w:line="340" w:lineRule="exact"/>
              <w:jc w:val="left"/>
              <w:rPr>
                <w:rFonts w:ascii="宋体" w:hAnsi="宋体" w:cs="宋体"/>
                <w:color w:val="auto"/>
                <w:szCs w:val="21"/>
              </w:rPr>
            </w:pPr>
            <w:r>
              <w:rPr>
                <w:rFonts w:hint="eastAsia" w:ascii="宋体" w:hAnsi="宋体" w:cs="宋体"/>
                <w:color w:val="auto"/>
                <w:szCs w:val="21"/>
              </w:rPr>
              <w:t>13.采用模块化设计，各部分设备可单独更换，系统可快速恢复使用。</w:t>
            </w:r>
          </w:p>
          <w:p>
            <w:pPr>
              <w:spacing w:line="340" w:lineRule="exact"/>
              <w:jc w:val="left"/>
              <w:rPr>
                <w:rFonts w:ascii="宋体" w:hAnsi="宋体" w:cs="宋体"/>
                <w:color w:val="auto"/>
                <w:szCs w:val="21"/>
              </w:rPr>
            </w:pPr>
            <w:r>
              <w:rPr>
                <w:rFonts w:hint="eastAsia" w:ascii="宋体" w:hAnsi="宋体" w:cs="宋体"/>
                <w:color w:val="auto"/>
                <w:szCs w:val="21"/>
              </w:rPr>
              <w:t>14.系统需提供自动续连功能,在网络短暂故障恢复后,自动连接流通系统服务器,并恢复自助服务,无需馆员协助连接或重新启动服务。</w:t>
            </w:r>
          </w:p>
          <w:p>
            <w:pPr>
              <w:spacing w:line="340" w:lineRule="exact"/>
              <w:jc w:val="left"/>
              <w:rPr>
                <w:rFonts w:ascii="宋体" w:hAnsi="宋体" w:cs="宋体"/>
                <w:color w:val="auto"/>
                <w:szCs w:val="21"/>
              </w:rPr>
            </w:pPr>
            <w:r>
              <w:rPr>
                <w:rFonts w:hint="eastAsia" w:ascii="宋体" w:hAnsi="宋体" w:cs="宋体"/>
                <w:color w:val="auto"/>
                <w:szCs w:val="21"/>
              </w:rPr>
              <w:t>15.为保证系统软件操作更便捷化，系统软件应用功能（借书、还书）需在软件管理员界面可选配（开启或关闭）。</w:t>
            </w:r>
          </w:p>
          <w:p>
            <w:pPr>
              <w:spacing w:line="340" w:lineRule="exact"/>
              <w:rPr>
                <w:rFonts w:ascii="宋体" w:hAnsi="宋体" w:cs="宋体"/>
                <w:color w:val="auto"/>
                <w:szCs w:val="21"/>
              </w:rPr>
            </w:pPr>
            <w:r>
              <w:rPr>
                <w:rFonts w:hint="eastAsia" w:ascii="宋体" w:hAnsi="宋体" w:cs="宋体"/>
                <w:color w:val="auto"/>
                <w:szCs w:val="21"/>
              </w:rPr>
              <w:t>16.支持的读者卡：IC卡（14443A协议）、身份证(14443B协议)、RFID卡(15693协议)、CPU卡(银行芯片卡)，全面涵盖了目前图书馆行业使用到的读者卡类型，用户可以根据需要选择相应类型的读者卡。</w:t>
            </w:r>
          </w:p>
          <w:p>
            <w:pPr>
              <w:spacing w:line="340" w:lineRule="exact"/>
              <w:rPr>
                <w:rFonts w:ascii="宋体" w:hAnsi="宋体" w:cs="宋体"/>
                <w:color w:val="auto"/>
                <w:szCs w:val="21"/>
              </w:rPr>
            </w:pPr>
            <w:r>
              <w:rPr>
                <w:rFonts w:hint="eastAsia" w:ascii="宋体" w:hAnsi="宋体" w:cs="宋体"/>
                <w:color w:val="auto"/>
                <w:szCs w:val="21"/>
              </w:rPr>
              <w:t>17.采用一体镂空式结构。</w:t>
            </w:r>
          </w:p>
          <w:p>
            <w:pPr>
              <w:spacing w:line="340" w:lineRule="exact"/>
              <w:rPr>
                <w:rFonts w:ascii="宋体" w:hAnsi="宋体" w:cs="宋体"/>
                <w:color w:val="auto"/>
                <w:szCs w:val="21"/>
              </w:rPr>
            </w:pPr>
            <w:r>
              <w:rPr>
                <w:rFonts w:hint="eastAsia" w:ascii="宋体" w:hAnsi="宋体" w:cs="宋体"/>
                <w:color w:val="auto"/>
                <w:szCs w:val="21"/>
              </w:rPr>
              <w:t>18.可拓展支持扫码二维码借还图书。</w:t>
            </w:r>
          </w:p>
          <w:p>
            <w:pPr>
              <w:spacing w:line="340" w:lineRule="exact"/>
              <w:rPr>
                <w:rFonts w:ascii="宋体" w:hAnsi="宋体" w:cs="宋体"/>
                <w:color w:val="auto"/>
                <w:szCs w:val="21"/>
              </w:rPr>
            </w:pPr>
            <w:r>
              <w:rPr>
                <w:rFonts w:hint="eastAsia" w:ascii="宋体" w:hAnsi="宋体" w:cs="宋体"/>
                <w:color w:val="auto"/>
                <w:szCs w:val="21"/>
              </w:rPr>
              <w:t>19.无需读者卡可直接使用账号、密码绑定人脸，以应对无读者卡的图书馆实现借还。</w:t>
            </w:r>
          </w:p>
          <w:p>
            <w:pPr>
              <w:spacing w:line="340" w:lineRule="exact"/>
              <w:rPr>
                <w:rFonts w:ascii="宋体" w:hAnsi="宋体" w:cs="宋体"/>
                <w:color w:val="auto"/>
                <w:szCs w:val="21"/>
              </w:rPr>
            </w:pPr>
            <w:r>
              <w:rPr>
                <w:rFonts w:hint="eastAsia" w:ascii="宋体" w:hAnsi="宋体" w:cs="宋体"/>
                <w:color w:val="auto"/>
                <w:szCs w:val="21"/>
              </w:rPr>
              <w:t>技术要求：</w:t>
            </w:r>
          </w:p>
          <w:p>
            <w:pPr>
              <w:spacing w:line="340" w:lineRule="exact"/>
              <w:rPr>
                <w:rFonts w:ascii="宋体" w:hAnsi="宋体" w:cs="宋体"/>
                <w:color w:val="auto"/>
                <w:szCs w:val="21"/>
              </w:rPr>
            </w:pPr>
            <w:r>
              <w:rPr>
                <w:rFonts w:hint="eastAsia" w:ascii="宋体" w:hAnsi="宋体" w:cs="宋体"/>
                <w:color w:val="auto"/>
                <w:szCs w:val="21"/>
              </w:rPr>
              <w:t>1.材质：钣金，钢化玻璃，亚克力；</w:t>
            </w:r>
          </w:p>
          <w:p>
            <w:pPr>
              <w:spacing w:line="340" w:lineRule="exact"/>
              <w:rPr>
                <w:rFonts w:ascii="宋体" w:hAnsi="宋体" w:cs="宋体"/>
                <w:color w:val="auto"/>
                <w:szCs w:val="21"/>
              </w:rPr>
            </w:pPr>
            <w:r>
              <w:rPr>
                <w:rFonts w:hint="eastAsia" w:ascii="宋体" w:hAnsi="宋体" w:cs="宋体"/>
                <w:color w:val="auto"/>
                <w:szCs w:val="21"/>
              </w:rPr>
              <w:t>2.屏幕尺寸：21.5寸（宽屏16：9）；</w:t>
            </w:r>
          </w:p>
          <w:p>
            <w:pPr>
              <w:spacing w:line="340" w:lineRule="exact"/>
              <w:rPr>
                <w:rFonts w:ascii="宋体" w:hAnsi="宋体" w:cs="宋体"/>
                <w:color w:val="auto"/>
                <w:szCs w:val="21"/>
              </w:rPr>
            </w:pPr>
            <w:r>
              <w:rPr>
                <w:rFonts w:hint="eastAsia" w:ascii="宋体" w:hAnsi="宋体" w:cs="宋体"/>
                <w:color w:val="auto"/>
                <w:szCs w:val="21"/>
              </w:rPr>
              <w:t>3.灯箱：534mm×311mm</w:t>
            </w:r>
          </w:p>
          <w:p>
            <w:pPr>
              <w:spacing w:line="340" w:lineRule="exact"/>
              <w:rPr>
                <w:rFonts w:ascii="宋体" w:hAnsi="宋体" w:cs="宋体"/>
                <w:color w:val="auto"/>
                <w:szCs w:val="21"/>
              </w:rPr>
            </w:pPr>
            <w:r>
              <w:rPr>
                <w:rFonts w:hint="eastAsia" w:ascii="宋体" w:hAnsi="宋体" w:cs="宋体"/>
                <w:color w:val="auto"/>
                <w:szCs w:val="21"/>
              </w:rPr>
              <w:t>4.触摸类型：电容屏；</w:t>
            </w:r>
          </w:p>
          <w:p>
            <w:pPr>
              <w:spacing w:line="340" w:lineRule="exact"/>
              <w:rPr>
                <w:rFonts w:ascii="宋体" w:hAnsi="宋体" w:cs="宋体"/>
                <w:color w:val="auto"/>
                <w:szCs w:val="21"/>
              </w:rPr>
            </w:pPr>
            <w:r>
              <w:rPr>
                <w:rFonts w:hint="eastAsia" w:ascii="宋体" w:hAnsi="宋体" w:cs="宋体"/>
                <w:color w:val="auto"/>
                <w:szCs w:val="21"/>
              </w:rPr>
              <w:t>5.工作温度：-10℃～50℃；</w:t>
            </w:r>
          </w:p>
          <w:p>
            <w:pPr>
              <w:spacing w:line="340" w:lineRule="exact"/>
              <w:rPr>
                <w:rFonts w:ascii="宋体" w:hAnsi="宋体" w:cs="宋体"/>
                <w:color w:val="auto"/>
                <w:szCs w:val="21"/>
              </w:rPr>
            </w:pPr>
            <w:r>
              <w:rPr>
                <w:rFonts w:hint="eastAsia" w:ascii="宋体" w:hAnsi="宋体" w:cs="宋体"/>
                <w:color w:val="auto"/>
                <w:szCs w:val="21"/>
              </w:rPr>
              <w:t>6.储存温度：-20℃～60℃；</w:t>
            </w:r>
          </w:p>
          <w:p>
            <w:pPr>
              <w:spacing w:line="340" w:lineRule="exact"/>
              <w:jc w:val="left"/>
              <w:rPr>
                <w:rFonts w:ascii="宋体" w:hAnsi="宋体" w:cs="宋体"/>
                <w:color w:val="auto"/>
                <w:szCs w:val="21"/>
              </w:rPr>
            </w:pPr>
            <w:r>
              <w:rPr>
                <w:rFonts w:hint="eastAsia" w:ascii="宋体" w:hAnsi="宋体" w:cs="宋体"/>
                <w:color w:val="auto"/>
                <w:szCs w:val="21"/>
              </w:rPr>
              <w:t>7.相对湿度：5%～80%；</w:t>
            </w:r>
          </w:p>
          <w:p>
            <w:pPr>
              <w:spacing w:line="340" w:lineRule="exact"/>
              <w:jc w:val="left"/>
              <w:rPr>
                <w:rFonts w:ascii="宋体" w:hAnsi="宋体" w:cs="宋体"/>
                <w:color w:val="auto"/>
                <w:szCs w:val="21"/>
              </w:rPr>
            </w:pPr>
            <w:r>
              <w:rPr>
                <w:rFonts w:hint="eastAsia" w:ascii="宋体" w:hAnsi="宋体" w:cs="宋体"/>
                <w:color w:val="auto"/>
                <w:szCs w:val="21"/>
              </w:rPr>
              <w:t>8、工作频率：13.56MHz；</w:t>
            </w:r>
          </w:p>
          <w:p>
            <w:pPr>
              <w:spacing w:line="340" w:lineRule="exact"/>
              <w:jc w:val="left"/>
              <w:rPr>
                <w:rFonts w:ascii="宋体" w:hAnsi="宋体" w:cs="宋体"/>
                <w:color w:val="auto"/>
                <w:szCs w:val="21"/>
              </w:rPr>
            </w:pPr>
            <w:r>
              <w:rPr>
                <w:rFonts w:hint="eastAsia" w:ascii="宋体" w:hAnsi="宋体" w:cs="宋体"/>
                <w:color w:val="auto"/>
                <w:szCs w:val="21"/>
              </w:rPr>
              <w:t>9.符合标准：ISO18000-3，ISO15693；GB4943.1-2011;GB17625.1-2012;GB9254-2008(A级）</w:t>
            </w:r>
          </w:p>
          <w:p>
            <w:pPr>
              <w:spacing w:line="340" w:lineRule="exact"/>
              <w:jc w:val="left"/>
              <w:rPr>
                <w:rFonts w:ascii="宋体" w:hAnsi="宋体" w:cs="宋体"/>
                <w:color w:val="auto"/>
                <w:szCs w:val="21"/>
              </w:rPr>
            </w:pPr>
            <w:r>
              <w:rPr>
                <w:rFonts w:hint="eastAsia" w:ascii="宋体" w:hAnsi="宋体" w:cs="宋体"/>
                <w:color w:val="auto"/>
                <w:szCs w:val="21"/>
              </w:rPr>
              <w:t>10.主机配置：集成工控主机；windows 10系统</w:t>
            </w:r>
          </w:p>
          <w:p>
            <w:pPr>
              <w:spacing w:line="340" w:lineRule="exact"/>
              <w:jc w:val="left"/>
              <w:rPr>
                <w:rFonts w:ascii="宋体" w:hAnsi="宋体" w:cs="宋体"/>
                <w:color w:val="auto"/>
                <w:szCs w:val="21"/>
              </w:rPr>
            </w:pPr>
            <w:r>
              <w:rPr>
                <w:rFonts w:hint="eastAsia" w:ascii="宋体" w:hAnsi="宋体" w:cs="宋体"/>
                <w:color w:val="auto"/>
                <w:szCs w:val="21"/>
              </w:rPr>
              <w:t>11.内存：8G；</w:t>
            </w:r>
          </w:p>
          <w:p>
            <w:pPr>
              <w:spacing w:line="340" w:lineRule="exact"/>
              <w:jc w:val="left"/>
              <w:rPr>
                <w:rFonts w:ascii="宋体" w:hAnsi="宋体" w:cs="宋体"/>
                <w:color w:val="auto"/>
                <w:szCs w:val="21"/>
              </w:rPr>
            </w:pPr>
            <w:r>
              <w:rPr>
                <w:rFonts w:hint="eastAsia" w:ascii="宋体" w:hAnsi="宋体" w:cs="宋体"/>
                <w:color w:val="auto"/>
                <w:szCs w:val="21"/>
              </w:rPr>
              <w:t>12.储存空间：240G固态硬盘；</w:t>
            </w:r>
          </w:p>
          <w:p>
            <w:pPr>
              <w:spacing w:line="340" w:lineRule="exact"/>
              <w:rPr>
                <w:rFonts w:ascii="宋体" w:hAnsi="宋体" w:cs="宋体"/>
                <w:color w:val="auto"/>
                <w:szCs w:val="21"/>
              </w:rPr>
            </w:pPr>
            <w:r>
              <w:rPr>
                <w:rFonts w:hint="eastAsia" w:ascii="宋体" w:hAnsi="宋体" w:cs="宋体"/>
                <w:color w:val="auto"/>
                <w:szCs w:val="21"/>
              </w:rPr>
              <w:t>13.识别图书：多本（堆砌高度不大于250mm）；</w:t>
            </w:r>
          </w:p>
          <w:p>
            <w:pPr>
              <w:spacing w:line="340" w:lineRule="exact"/>
              <w:rPr>
                <w:rFonts w:ascii="宋体" w:hAnsi="宋体" w:cs="宋体"/>
                <w:color w:val="auto"/>
                <w:szCs w:val="21"/>
              </w:rPr>
            </w:pPr>
            <w:r>
              <w:rPr>
                <w:rFonts w:hint="eastAsia" w:ascii="宋体" w:hAnsi="宋体" w:cs="宋体"/>
                <w:color w:val="auto"/>
                <w:szCs w:val="21"/>
              </w:rPr>
              <w:t>14.供电要求：AC220V,50Hz；</w:t>
            </w:r>
          </w:p>
          <w:p>
            <w:pPr>
              <w:spacing w:line="340" w:lineRule="exact"/>
              <w:rPr>
                <w:rFonts w:ascii="宋体" w:hAnsi="宋体" w:cs="宋体"/>
                <w:color w:val="auto"/>
                <w:szCs w:val="21"/>
              </w:rPr>
            </w:pPr>
            <w:r>
              <w:rPr>
                <w:rFonts w:hint="eastAsia" w:ascii="宋体" w:hAnsi="宋体" w:cs="宋体"/>
                <w:color w:val="auto"/>
                <w:szCs w:val="21"/>
              </w:rPr>
              <w:t>15.功耗：小于100W;</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1</w:t>
            </w:r>
          </w:p>
        </w:tc>
      </w:tr>
      <w:tr>
        <w:tblPrEx>
          <w:tblLayout w:type="fixed"/>
          <w:tblCellMar>
            <w:top w:w="0" w:type="dxa"/>
            <w:left w:w="108" w:type="dxa"/>
            <w:bottom w:w="0" w:type="dxa"/>
            <w:right w:w="108" w:type="dxa"/>
          </w:tblCellMar>
        </w:tblPrEx>
        <w:trPr>
          <w:trHeight w:val="639" w:hRule="atLeast"/>
          <w:jc w:val="center"/>
        </w:trPr>
        <w:tc>
          <w:tcPr>
            <w:tcW w:w="620" w:type="dxa"/>
            <w:tcBorders>
              <w:top w:val="single" w:color="404040" w:sz="4" w:space="0"/>
              <w:left w:val="single" w:color="404040" w:sz="4" w:space="0"/>
              <w:bottom w:val="single" w:color="404040" w:sz="4" w:space="0"/>
              <w:right w:val="nil"/>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9</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OPAC自助查询机</w:t>
            </w:r>
          </w:p>
        </w:tc>
        <w:tc>
          <w:tcPr>
            <w:tcW w:w="7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软件要求：</w:t>
            </w:r>
          </w:p>
          <w:p>
            <w:pPr>
              <w:spacing w:line="340" w:lineRule="exact"/>
              <w:rPr>
                <w:rFonts w:ascii="宋体" w:hAnsi="宋体" w:cs="宋体"/>
                <w:color w:val="auto"/>
                <w:szCs w:val="21"/>
              </w:rPr>
            </w:pPr>
            <w:r>
              <w:rPr>
                <w:rFonts w:hint="eastAsia" w:ascii="宋体" w:hAnsi="宋体" w:cs="宋体"/>
                <w:color w:val="auto"/>
                <w:szCs w:val="21"/>
              </w:rPr>
              <w:t>1.图书管理人员通过公共检索系统后台可以检索到读者排行榜，图书排行榜，书评排行榜。</w:t>
            </w:r>
          </w:p>
          <w:p>
            <w:pPr>
              <w:spacing w:line="340" w:lineRule="exact"/>
              <w:rPr>
                <w:rFonts w:ascii="宋体" w:hAnsi="宋体" w:cs="宋体"/>
                <w:color w:val="auto"/>
                <w:szCs w:val="21"/>
              </w:rPr>
            </w:pPr>
            <w:r>
              <w:rPr>
                <w:rFonts w:hint="eastAsia" w:ascii="宋体" w:hAnsi="宋体" w:cs="宋体"/>
                <w:color w:val="auto"/>
                <w:szCs w:val="21"/>
              </w:rPr>
              <w:t>2.OPAC查询系统具有新书通报功能，可以让读者了解到图书馆最新入馆图书动态。</w:t>
            </w:r>
          </w:p>
          <w:p>
            <w:pPr>
              <w:spacing w:line="340" w:lineRule="exact"/>
              <w:rPr>
                <w:rFonts w:ascii="宋体" w:hAnsi="宋体" w:cs="宋体"/>
                <w:color w:val="auto"/>
                <w:szCs w:val="21"/>
              </w:rPr>
            </w:pPr>
            <w:r>
              <w:rPr>
                <w:rFonts w:hint="eastAsia" w:ascii="宋体" w:hAnsi="宋体" w:cs="宋体"/>
                <w:color w:val="auto"/>
                <w:szCs w:val="21"/>
              </w:rPr>
              <w:t>3.读者可以就图书馆的图书进行书评功能。</w:t>
            </w:r>
          </w:p>
          <w:p>
            <w:pPr>
              <w:spacing w:line="340" w:lineRule="exact"/>
              <w:rPr>
                <w:rFonts w:ascii="宋体" w:hAnsi="宋体" w:cs="宋体"/>
                <w:color w:val="auto"/>
                <w:szCs w:val="21"/>
              </w:rPr>
            </w:pPr>
            <w:r>
              <w:rPr>
                <w:rFonts w:hint="eastAsia" w:ascii="宋体" w:hAnsi="宋体" w:cs="宋体"/>
                <w:color w:val="auto"/>
                <w:szCs w:val="21"/>
              </w:rPr>
              <w:t>4.OPAC 查询系统具有读者推荐功能，图书管理人员根据读者的推荐后期进行采购图书；</w:t>
            </w:r>
          </w:p>
          <w:p>
            <w:pPr>
              <w:spacing w:line="340" w:lineRule="exact"/>
              <w:rPr>
                <w:rFonts w:ascii="宋体" w:hAnsi="宋体" w:cs="宋体"/>
                <w:color w:val="auto"/>
                <w:szCs w:val="21"/>
              </w:rPr>
            </w:pPr>
            <w:r>
              <w:rPr>
                <w:rFonts w:hint="eastAsia" w:ascii="宋体" w:hAnsi="宋体" w:cs="宋体"/>
                <w:color w:val="auto"/>
                <w:szCs w:val="21"/>
              </w:rPr>
              <w:t xml:space="preserve">5.公共检索系统本身可以进行分类查询，读者可以选择对应的分类名来检索出该类的图书； </w:t>
            </w:r>
          </w:p>
          <w:p>
            <w:pPr>
              <w:spacing w:line="340" w:lineRule="exact"/>
              <w:rPr>
                <w:rFonts w:ascii="宋体" w:hAnsi="宋体" w:cs="宋体"/>
                <w:color w:val="auto"/>
                <w:szCs w:val="21"/>
              </w:rPr>
            </w:pPr>
            <w:r>
              <w:rPr>
                <w:rFonts w:hint="eastAsia" w:ascii="宋体" w:hAnsi="宋体" w:cs="宋体"/>
                <w:color w:val="auto"/>
                <w:szCs w:val="21"/>
              </w:rPr>
              <w:t>6.通过我的图书馆，读者可以查阅自己的借阅记录。</w:t>
            </w:r>
          </w:p>
          <w:p>
            <w:pPr>
              <w:spacing w:line="340" w:lineRule="exact"/>
              <w:rPr>
                <w:rFonts w:ascii="宋体" w:hAnsi="宋体" w:cs="宋体"/>
                <w:color w:val="auto"/>
                <w:szCs w:val="21"/>
              </w:rPr>
            </w:pPr>
            <w:r>
              <w:rPr>
                <w:rFonts w:hint="eastAsia" w:ascii="宋体" w:hAnsi="宋体" w:cs="宋体"/>
                <w:color w:val="auto"/>
                <w:szCs w:val="21"/>
              </w:rPr>
              <w:t>7.▲图书馆后台系统可无缝连接OPAC查询系统使用，无需二次开发。（需提供WEB OPAC图书查询系统</w:t>
            </w:r>
            <w:r>
              <w:rPr>
                <w:rFonts w:hint="eastAsia" w:ascii="宋体" w:hAnsi="宋体" w:cs="宋体"/>
                <w:color w:val="auto"/>
                <w:szCs w:val="21"/>
                <w:lang w:eastAsia="zh-CN"/>
              </w:rPr>
              <w:t>证明材料</w:t>
            </w:r>
            <w:r>
              <w:rPr>
                <w:rFonts w:hint="eastAsia" w:ascii="宋体" w:hAnsi="宋体" w:cs="宋体"/>
                <w:color w:val="auto"/>
                <w:szCs w:val="21"/>
              </w:rPr>
              <w:t>）</w:t>
            </w:r>
          </w:p>
          <w:p>
            <w:pPr>
              <w:spacing w:line="340" w:lineRule="exact"/>
              <w:rPr>
                <w:rFonts w:ascii="宋体" w:hAnsi="宋体" w:cs="宋体"/>
                <w:color w:val="auto"/>
                <w:szCs w:val="21"/>
              </w:rPr>
            </w:pPr>
            <w:r>
              <w:rPr>
                <w:rFonts w:hint="eastAsia" w:ascii="宋体" w:hAnsi="宋体" w:cs="宋体"/>
                <w:color w:val="auto"/>
                <w:szCs w:val="21"/>
              </w:rPr>
              <w:t>硬件要求：</w:t>
            </w:r>
          </w:p>
          <w:p>
            <w:pPr>
              <w:spacing w:line="340" w:lineRule="exact"/>
              <w:rPr>
                <w:rFonts w:ascii="宋体" w:hAnsi="宋体" w:cs="宋体"/>
                <w:color w:val="auto"/>
                <w:szCs w:val="21"/>
              </w:rPr>
            </w:pPr>
            <w:r>
              <w:rPr>
                <w:rFonts w:hint="eastAsia" w:ascii="宋体" w:hAnsi="宋体" w:cs="宋体"/>
                <w:color w:val="auto"/>
                <w:szCs w:val="21"/>
              </w:rPr>
              <w:t>32C寸触摸屏</w:t>
            </w:r>
          </w:p>
          <w:p>
            <w:pPr>
              <w:spacing w:line="340" w:lineRule="exact"/>
              <w:rPr>
                <w:rFonts w:ascii="宋体" w:hAnsi="宋体" w:cs="宋体"/>
                <w:color w:val="auto"/>
                <w:szCs w:val="21"/>
              </w:rPr>
            </w:pPr>
            <w:r>
              <w:rPr>
                <w:rFonts w:hint="eastAsia" w:ascii="宋体" w:hAnsi="宋体" w:cs="宋体"/>
                <w:color w:val="auto"/>
                <w:szCs w:val="21"/>
              </w:rPr>
              <w:t>产品说明：高稳定性，高透光性，可达92%，</w:t>
            </w:r>
          </w:p>
          <w:p>
            <w:pPr>
              <w:spacing w:line="340" w:lineRule="exact"/>
              <w:rPr>
                <w:rFonts w:ascii="宋体" w:hAnsi="宋体" w:cs="宋体"/>
                <w:color w:val="auto"/>
                <w:szCs w:val="21"/>
              </w:rPr>
            </w:pPr>
            <w:r>
              <w:rPr>
                <w:rFonts w:hint="eastAsia" w:ascii="宋体" w:hAnsi="宋体" w:cs="宋体"/>
                <w:color w:val="auto"/>
                <w:szCs w:val="21"/>
              </w:rPr>
              <w:t>寿命长高度耐久，不怕刮伤</w:t>
            </w:r>
          </w:p>
          <w:p>
            <w:pPr>
              <w:spacing w:line="340" w:lineRule="exact"/>
              <w:rPr>
                <w:rFonts w:ascii="宋体" w:hAnsi="宋体" w:cs="宋体"/>
                <w:color w:val="auto"/>
                <w:szCs w:val="21"/>
              </w:rPr>
            </w:pPr>
            <w:r>
              <w:rPr>
                <w:rFonts w:hint="eastAsia" w:ascii="宋体" w:hAnsi="宋体" w:cs="宋体"/>
                <w:color w:val="auto"/>
                <w:szCs w:val="21"/>
              </w:rPr>
              <w:t>单点触摸寿命大于5000万次</w:t>
            </w:r>
          </w:p>
          <w:p>
            <w:pPr>
              <w:spacing w:line="340" w:lineRule="exact"/>
              <w:rPr>
                <w:rFonts w:ascii="宋体" w:hAnsi="宋体" w:cs="宋体"/>
                <w:color w:val="auto"/>
                <w:szCs w:val="21"/>
              </w:rPr>
            </w:pPr>
            <w:r>
              <w:rPr>
                <w:rFonts w:hint="eastAsia" w:ascii="宋体" w:hAnsi="宋体" w:cs="宋体"/>
                <w:color w:val="auto"/>
                <w:szCs w:val="21"/>
              </w:rPr>
              <w:t>分辨率：4096×4096；</w:t>
            </w:r>
          </w:p>
          <w:p>
            <w:pPr>
              <w:spacing w:line="340" w:lineRule="exact"/>
              <w:rPr>
                <w:rFonts w:ascii="宋体" w:hAnsi="宋体" w:cs="宋体"/>
                <w:color w:val="auto"/>
                <w:szCs w:val="21"/>
              </w:rPr>
            </w:pPr>
            <w:r>
              <w:rPr>
                <w:rFonts w:hint="eastAsia" w:ascii="宋体" w:hAnsi="宋体" w:cs="宋体"/>
                <w:color w:val="auto"/>
                <w:szCs w:val="21"/>
              </w:rPr>
              <w:t>透光率：92%</w:t>
            </w:r>
          </w:p>
          <w:p>
            <w:pPr>
              <w:spacing w:line="340" w:lineRule="exact"/>
              <w:rPr>
                <w:rFonts w:ascii="宋体" w:hAnsi="宋体" w:cs="宋体"/>
                <w:color w:val="auto"/>
                <w:szCs w:val="21"/>
              </w:rPr>
            </w:pPr>
            <w:r>
              <w:rPr>
                <w:rFonts w:hint="eastAsia" w:ascii="宋体" w:hAnsi="宋体" w:cs="宋体"/>
                <w:color w:val="auto"/>
                <w:szCs w:val="21"/>
              </w:rPr>
              <w:t>响应时间：&lt;10ms</w:t>
            </w:r>
          </w:p>
          <w:p>
            <w:pPr>
              <w:spacing w:line="340" w:lineRule="exact"/>
              <w:rPr>
                <w:rFonts w:ascii="宋体" w:hAnsi="宋体" w:cs="宋体"/>
                <w:color w:val="auto"/>
                <w:szCs w:val="21"/>
              </w:rPr>
            </w:pPr>
            <w:r>
              <w:rPr>
                <w:rFonts w:hint="eastAsia" w:ascii="宋体" w:hAnsi="宋体" w:cs="宋体"/>
                <w:color w:val="auto"/>
                <w:szCs w:val="21"/>
              </w:rPr>
              <w:t>最小触摸体：&gt;5mm</w:t>
            </w:r>
          </w:p>
          <w:p>
            <w:pPr>
              <w:spacing w:line="340" w:lineRule="exact"/>
              <w:rPr>
                <w:rFonts w:ascii="宋体" w:hAnsi="宋体" w:cs="宋体"/>
                <w:color w:val="auto"/>
                <w:szCs w:val="21"/>
              </w:rPr>
            </w:pPr>
            <w:r>
              <w:rPr>
                <w:rFonts w:hint="eastAsia" w:ascii="宋体" w:hAnsi="宋体" w:cs="宋体"/>
                <w:color w:val="auto"/>
                <w:szCs w:val="21"/>
              </w:rPr>
              <w:t>技术参数：分辨率：1280*1024</w:t>
            </w:r>
          </w:p>
          <w:p>
            <w:pPr>
              <w:spacing w:line="340" w:lineRule="exact"/>
              <w:rPr>
                <w:rFonts w:ascii="宋体" w:hAnsi="宋体" w:cs="宋体"/>
                <w:color w:val="auto"/>
                <w:szCs w:val="21"/>
              </w:rPr>
            </w:pPr>
            <w:r>
              <w:rPr>
                <w:rFonts w:hint="eastAsia" w:ascii="宋体" w:hAnsi="宋体" w:cs="宋体"/>
                <w:color w:val="auto"/>
                <w:szCs w:val="21"/>
              </w:rPr>
              <w:t>对比度：2000:1</w:t>
            </w:r>
          </w:p>
          <w:p>
            <w:pPr>
              <w:spacing w:line="340" w:lineRule="exact"/>
              <w:rPr>
                <w:rFonts w:ascii="宋体" w:hAnsi="宋体" w:cs="宋体"/>
                <w:color w:val="auto"/>
                <w:szCs w:val="21"/>
              </w:rPr>
            </w:pPr>
            <w:r>
              <w:rPr>
                <w:rFonts w:hint="eastAsia" w:ascii="宋体" w:hAnsi="宋体" w:cs="宋体"/>
                <w:color w:val="auto"/>
                <w:szCs w:val="21"/>
              </w:rPr>
              <w:t>亮度：350cd/m2</w:t>
            </w:r>
          </w:p>
          <w:p>
            <w:pPr>
              <w:spacing w:line="340" w:lineRule="exact"/>
              <w:rPr>
                <w:rFonts w:ascii="宋体" w:hAnsi="宋体" w:cs="宋体"/>
                <w:color w:val="auto"/>
                <w:szCs w:val="21"/>
              </w:rPr>
            </w:pPr>
            <w:r>
              <w:rPr>
                <w:rFonts w:hint="eastAsia" w:ascii="宋体" w:hAnsi="宋体" w:cs="宋体"/>
                <w:color w:val="auto"/>
                <w:szCs w:val="21"/>
              </w:rPr>
              <w:t>屏幕比例：4：3</w:t>
            </w:r>
          </w:p>
          <w:p>
            <w:pPr>
              <w:spacing w:line="340" w:lineRule="exact"/>
              <w:rPr>
                <w:rFonts w:ascii="宋体" w:hAnsi="宋体" w:cs="宋体"/>
                <w:color w:val="auto"/>
                <w:szCs w:val="21"/>
              </w:rPr>
            </w:pPr>
            <w:r>
              <w:rPr>
                <w:rFonts w:hint="eastAsia" w:ascii="宋体" w:hAnsi="宋体" w:cs="宋体"/>
                <w:color w:val="auto"/>
                <w:szCs w:val="21"/>
              </w:rPr>
              <w:t>响应速度：6ms；</w:t>
            </w:r>
          </w:p>
          <w:p>
            <w:pPr>
              <w:spacing w:line="340" w:lineRule="exact"/>
              <w:rPr>
                <w:rFonts w:ascii="宋体" w:hAnsi="宋体" w:cs="宋体"/>
                <w:color w:val="auto"/>
                <w:szCs w:val="21"/>
              </w:rPr>
            </w:pPr>
            <w:r>
              <w:rPr>
                <w:rFonts w:hint="eastAsia" w:ascii="宋体" w:hAnsi="宋体" w:cs="宋体"/>
                <w:color w:val="auto"/>
                <w:szCs w:val="21"/>
              </w:rPr>
              <w:t>特点：采用标准冷扎钢板</w:t>
            </w:r>
          </w:p>
          <w:p>
            <w:pPr>
              <w:spacing w:line="340" w:lineRule="exact"/>
              <w:rPr>
                <w:rFonts w:ascii="宋体" w:hAnsi="宋体" w:cs="宋体"/>
                <w:color w:val="auto"/>
                <w:szCs w:val="21"/>
              </w:rPr>
            </w:pPr>
            <w:r>
              <w:rPr>
                <w:rFonts w:hint="eastAsia" w:ascii="宋体" w:hAnsi="宋体" w:cs="宋体"/>
                <w:color w:val="auto"/>
                <w:szCs w:val="21"/>
              </w:rPr>
              <w:t>机柜流线型模具制作，全钢质机体表面采用汽车工艺金属烤漆</w:t>
            </w:r>
          </w:p>
          <w:p>
            <w:pPr>
              <w:spacing w:line="340" w:lineRule="exact"/>
              <w:rPr>
                <w:rFonts w:ascii="宋体" w:hAnsi="宋体" w:cs="宋体"/>
                <w:color w:val="auto"/>
                <w:szCs w:val="21"/>
              </w:rPr>
            </w:pPr>
            <w:r>
              <w:rPr>
                <w:rFonts w:hint="eastAsia" w:ascii="宋体" w:hAnsi="宋体" w:cs="宋体"/>
                <w:color w:val="auto"/>
                <w:szCs w:val="21"/>
              </w:rPr>
              <w:t>可根据用户需求预留进出口，具有防火、防磁、防静电等优点。</w:t>
            </w:r>
          </w:p>
          <w:p>
            <w:pPr>
              <w:spacing w:line="340" w:lineRule="exact"/>
              <w:rPr>
                <w:rFonts w:ascii="宋体" w:hAnsi="宋体" w:cs="宋体"/>
                <w:color w:val="auto"/>
                <w:szCs w:val="21"/>
              </w:rPr>
            </w:pPr>
            <w:r>
              <w:rPr>
                <w:rFonts w:hint="eastAsia" w:ascii="宋体" w:hAnsi="宋体" w:cs="宋体"/>
                <w:color w:val="auto"/>
                <w:szCs w:val="21"/>
              </w:rPr>
              <w:t>可提供RJ45标准网络接口</w:t>
            </w:r>
          </w:p>
          <w:p>
            <w:pPr>
              <w:spacing w:line="340" w:lineRule="exact"/>
              <w:rPr>
                <w:rFonts w:ascii="宋体" w:hAnsi="宋体" w:cs="宋体"/>
                <w:color w:val="auto"/>
                <w:szCs w:val="21"/>
              </w:rPr>
            </w:pPr>
            <w:r>
              <w:rPr>
                <w:rFonts w:hint="eastAsia" w:ascii="宋体" w:hAnsi="宋体" w:cs="宋体"/>
                <w:color w:val="auto"/>
                <w:szCs w:val="21"/>
              </w:rPr>
              <w:t>电压：AC220V ± 10% 50HZ ± 1HZ</w:t>
            </w:r>
          </w:p>
          <w:p>
            <w:pPr>
              <w:spacing w:line="340" w:lineRule="exact"/>
              <w:rPr>
                <w:rFonts w:ascii="宋体" w:hAnsi="宋体" w:cs="宋体"/>
                <w:color w:val="auto"/>
                <w:szCs w:val="21"/>
              </w:rPr>
            </w:pPr>
            <w:r>
              <w:rPr>
                <w:rFonts w:hint="eastAsia" w:ascii="宋体" w:hAnsi="宋体" w:cs="宋体"/>
                <w:color w:val="auto"/>
                <w:szCs w:val="21"/>
              </w:rPr>
              <w:t>功率：230W</w:t>
            </w:r>
          </w:p>
          <w:p>
            <w:pPr>
              <w:spacing w:line="340" w:lineRule="exact"/>
              <w:rPr>
                <w:rFonts w:ascii="宋体" w:hAnsi="宋体" w:cs="宋体"/>
                <w:color w:val="auto"/>
                <w:szCs w:val="21"/>
              </w:rPr>
            </w:pPr>
            <w:r>
              <w:rPr>
                <w:rFonts w:hint="eastAsia" w:ascii="宋体" w:hAnsi="宋体" w:cs="宋体"/>
                <w:color w:val="auto"/>
                <w:szCs w:val="21"/>
              </w:rPr>
              <w:t>频率：50HZ</w:t>
            </w:r>
          </w:p>
          <w:p>
            <w:pPr>
              <w:spacing w:line="340" w:lineRule="exact"/>
              <w:rPr>
                <w:rFonts w:ascii="宋体" w:hAnsi="宋体" w:cs="宋体"/>
                <w:color w:val="auto"/>
                <w:szCs w:val="21"/>
              </w:rPr>
            </w:pPr>
            <w:r>
              <w:rPr>
                <w:rFonts w:hint="eastAsia" w:ascii="宋体" w:hAnsi="宋体" w:cs="宋体"/>
                <w:color w:val="auto"/>
                <w:szCs w:val="21"/>
              </w:rPr>
              <w:t>开机瞬间电流为3A</w:t>
            </w:r>
          </w:p>
          <w:p>
            <w:pPr>
              <w:spacing w:line="340" w:lineRule="exact"/>
              <w:rPr>
                <w:rFonts w:ascii="宋体" w:hAnsi="宋体" w:cs="宋体"/>
                <w:color w:val="auto"/>
                <w:szCs w:val="21"/>
              </w:rPr>
            </w:pPr>
            <w:r>
              <w:rPr>
                <w:rFonts w:hint="eastAsia" w:ascii="宋体" w:hAnsi="宋体" w:cs="宋体"/>
                <w:color w:val="auto"/>
                <w:szCs w:val="21"/>
              </w:rPr>
              <w:t>操作温度 - 20℃-50℃</w:t>
            </w:r>
          </w:p>
          <w:p>
            <w:pPr>
              <w:spacing w:line="340" w:lineRule="exact"/>
              <w:rPr>
                <w:rFonts w:ascii="宋体" w:hAnsi="宋体" w:cs="宋体"/>
                <w:color w:val="auto"/>
                <w:szCs w:val="21"/>
              </w:rPr>
            </w:pPr>
            <w:r>
              <w:rPr>
                <w:rFonts w:hint="eastAsia" w:ascii="宋体" w:hAnsi="宋体" w:cs="宋体"/>
                <w:color w:val="auto"/>
                <w:szCs w:val="21"/>
              </w:rPr>
              <w:t>存储温度 - 35℃-50℃</w:t>
            </w:r>
          </w:p>
          <w:p>
            <w:pPr>
              <w:spacing w:line="340" w:lineRule="exact"/>
              <w:rPr>
                <w:rFonts w:ascii="宋体" w:hAnsi="宋体" w:cs="宋体"/>
                <w:color w:val="auto"/>
                <w:szCs w:val="21"/>
              </w:rPr>
            </w:pPr>
            <w:r>
              <w:rPr>
                <w:rFonts w:hint="eastAsia" w:ascii="宋体" w:hAnsi="宋体" w:cs="宋体"/>
                <w:color w:val="auto"/>
                <w:szCs w:val="21"/>
              </w:rPr>
              <w:t>操作相对湿度 5%-95%.</w:t>
            </w:r>
          </w:p>
          <w:p>
            <w:pPr>
              <w:spacing w:line="340" w:lineRule="exact"/>
              <w:rPr>
                <w:rFonts w:ascii="宋体" w:hAnsi="宋体" w:cs="宋体"/>
                <w:color w:val="auto"/>
                <w:szCs w:val="21"/>
              </w:rPr>
            </w:pPr>
            <w:r>
              <w:rPr>
                <w:rFonts w:hint="eastAsia" w:ascii="宋体" w:hAnsi="宋体" w:cs="宋体"/>
                <w:color w:val="auto"/>
                <w:szCs w:val="21"/>
              </w:rPr>
              <w:t>内置：音响、控制面板、电源、风扇、网络功能</w:t>
            </w:r>
          </w:p>
          <w:p>
            <w:pPr>
              <w:spacing w:line="340" w:lineRule="exact"/>
              <w:rPr>
                <w:rFonts w:ascii="宋体" w:hAnsi="宋体" w:cs="宋体"/>
                <w:color w:val="auto"/>
                <w:szCs w:val="21"/>
              </w:rPr>
            </w:pPr>
            <w:r>
              <w:rPr>
                <w:rFonts w:hint="eastAsia" w:ascii="宋体" w:hAnsi="宋体" w:cs="宋体"/>
                <w:color w:val="auto"/>
                <w:szCs w:val="21"/>
              </w:rPr>
              <w:t>标配配置：I3主板，2GDDR3 内存,32G固态硬盘</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1</w:t>
            </w:r>
          </w:p>
        </w:tc>
      </w:tr>
      <w:tr>
        <w:tblPrEx>
          <w:tblLayout w:type="fixed"/>
          <w:tblCellMar>
            <w:top w:w="0" w:type="dxa"/>
            <w:left w:w="108" w:type="dxa"/>
            <w:bottom w:w="0" w:type="dxa"/>
            <w:right w:w="108" w:type="dxa"/>
          </w:tblCellMar>
        </w:tblPrEx>
        <w:trPr>
          <w:trHeight w:val="2825" w:hRule="atLeast"/>
          <w:jc w:val="center"/>
        </w:trPr>
        <w:tc>
          <w:tcPr>
            <w:tcW w:w="620" w:type="dxa"/>
            <w:tcBorders>
              <w:top w:val="single" w:color="404040" w:sz="4" w:space="0"/>
              <w:left w:val="single" w:color="404040" w:sz="4" w:space="0"/>
              <w:bottom w:val="single" w:color="404040" w:sz="4" w:space="0"/>
              <w:right w:val="nil"/>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馆情大数据分析平台</w:t>
            </w:r>
          </w:p>
        </w:tc>
        <w:tc>
          <w:tcPr>
            <w:tcW w:w="7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 xml:space="preserve">                                                                                          1.系统展示数据可无缝对接图书馆管理系统，无需二次开发。</w:t>
            </w:r>
          </w:p>
          <w:p>
            <w:pPr>
              <w:spacing w:line="340" w:lineRule="exact"/>
              <w:rPr>
                <w:rFonts w:ascii="宋体" w:hAnsi="宋体" w:cs="宋体"/>
                <w:color w:val="auto"/>
                <w:szCs w:val="21"/>
              </w:rPr>
            </w:pPr>
            <w:r>
              <w:rPr>
                <w:rFonts w:hint="eastAsia" w:ascii="宋体" w:hAnsi="宋体" w:cs="宋体"/>
                <w:color w:val="auto"/>
                <w:szCs w:val="21"/>
              </w:rPr>
              <w:t>2.时时同步数据展示屏可以直观了解本馆所有概况。</w:t>
            </w:r>
          </w:p>
          <w:p>
            <w:pPr>
              <w:spacing w:line="340" w:lineRule="exact"/>
              <w:rPr>
                <w:rFonts w:ascii="宋体" w:hAnsi="宋体" w:cs="宋体"/>
                <w:color w:val="auto"/>
                <w:szCs w:val="21"/>
              </w:rPr>
            </w:pPr>
            <w:r>
              <w:rPr>
                <w:rFonts w:hint="eastAsia" w:ascii="宋体" w:hAnsi="宋体" w:cs="宋体"/>
                <w:color w:val="auto"/>
                <w:szCs w:val="21"/>
              </w:rPr>
              <w:t>3.包含读者在馆人数、最新热门图书排行榜，热门读者借阅排行榜、新书推荐榜，馆内公告。</w:t>
            </w:r>
          </w:p>
          <w:p>
            <w:pPr>
              <w:spacing w:line="340" w:lineRule="exact"/>
              <w:rPr>
                <w:rFonts w:ascii="宋体" w:hAnsi="宋体" w:cs="宋体"/>
                <w:color w:val="auto"/>
                <w:szCs w:val="21"/>
              </w:rPr>
            </w:pPr>
            <w:r>
              <w:rPr>
                <w:rFonts w:hint="eastAsia" w:ascii="宋体" w:hAnsi="宋体" w:cs="宋体"/>
                <w:color w:val="auto"/>
                <w:szCs w:val="21"/>
              </w:rPr>
              <w:t>4.▲图书藏总量统计、图书总借阅量统计、读者总人数、部门人数、当日出借统计、当日到馆统计、人流到馆统计。（需提供大数据展示系统</w:t>
            </w:r>
            <w:r>
              <w:rPr>
                <w:rFonts w:hint="eastAsia" w:ascii="宋体" w:hAnsi="宋体" w:cs="宋体"/>
                <w:color w:val="auto"/>
                <w:szCs w:val="21"/>
                <w:lang w:eastAsia="zh-CN"/>
              </w:rPr>
              <w:t>证明材料</w:t>
            </w:r>
            <w:r>
              <w:rPr>
                <w:rFonts w:hint="eastAsia" w:ascii="宋体" w:hAnsi="宋体" w:cs="宋体"/>
                <w:color w:val="auto"/>
                <w:szCs w:val="21"/>
              </w:rPr>
              <w:t>）</w:t>
            </w:r>
          </w:p>
          <w:p>
            <w:pPr>
              <w:spacing w:line="340" w:lineRule="exact"/>
              <w:rPr>
                <w:rFonts w:ascii="宋体" w:hAnsi="宋体" w:cs="宋体"/>
                <w:color w:val="auto"/>
                <w:szCs w:val="21"/>
              </w:rPr>
            </w:pPr>
            <w:r>
              <w:rPr>
                <w:rFonts w:hint="eastAsia" w:ascii="宋体" w:hAnsi="宋体" w:cs="宋体"/>
                <w:color w:val="auto"/>
                <w:szCs w:val="21"/>
              </w:rPr>
              <w:t>5.馆藏分类统计、流量统计、馆藏地址统计等并能用折线图、立柱图、曲线图等展示出来。</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1</w:t>
            </w:r>
          </w:p>
        </w:tc>
      </w:tr>
      <w:tr>
        <w:tblPrEx>
          <w:tblLayout w:type="fixed"/>
          <w:tblCellMar>
            <w:top w:w="0" w:type="dxa"/>
            <w:left w:w="108" w:type="dxa"/>
            <w:bottom w:w="0" w:type="dxa"/>
            <w:right w:w="108" w:type="dxa"/>
          </w:tblCellMar>
        </w:tblPrEx>
        <w:trPr>
          <w:trHeight w:val="293" w:hRule="atLeast"/>
          <w:jc w:val="center"/>
        </w:trPr>
        <w:tc>
          <w:tcPr>
            <w:tcW w:w="620" w:type="dxa"/>
            <w:tcBorders>
              <w:top w:val="single" w:color="404040" w:sz="4" w:space="0"/>
              <w:left w:val="single" w:color="404040" w:sz="4" w:space="0"/>
              <w:bottom w:val="single" w:color="404040" w:sz="4" w:space="0"/>
              <w:right w:val="nil"/>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11</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大数据屏</w:t>
            </w:r>
          </w:p>
        </w:tc>
        <w:tc>
          <w:tcPr>
            <w:tcW w:w="7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1.▲65寸屏，显示比例16:9，分辨率3840*2160，可视角度≥178°，整机外观简洁无任何可见内部功能模块连接线；支持全通道4K高清显示，全通道菜单及整机内置系统均支持4K图像显示。（提供具有CMA或CNAS认证标识的第三方检测机构权威检测报告）</w:t>
            </w:r>
          </w:p>
          <w:p>
            <w:pPr>
              <w:spacing w:line="340" w:lineRule="exact"/>
              <w:rPr>
                <w:rFonts w:ascii="宋体" w:hAnsi="宋体" w:cs="宋体"/>
                <w:color w:val="auto"/>
                <w:szCs w:val="21"/>
              </w:rPr>
            </w:pPr>
            <w:r>
              <w:rPr>
                <w:rFonts w:hint="eastAsia" w:ascii="宋体" w:hAnsi="宋体" w:cs="宋体"/>
                <w:color w:val="auto"/>
                <w:szCs w:val="21"/>
              </w:rPr>
              <w:t>2.▲整机采用红外触控技术，支持Windows系统中进行不低于20点触控，支持在Android系统中进行20点或以上触控。</w:t>
            </w:r>
          </w:p>
          <w:p>
            <w:pPr>
              <w:spacing w:line="340" w:lineRule="exact"/>
              <w:rPr>
                <w:rFonts w:ascii="宋体" w:hAnsi="宋体" w:cs="宋体"/>
                <w:color w:val="auto"/>
                <w:szCs w:val="21"/>
              </w:rPr>
            </w:pPr>
            <w:r>
              <w:rPr>
                <w:rFonts w:hint="eastAsia" w:ascii="宋体" w:hAnsi="宋体" w:cs="宋体"/>
                <w:color w:val="auto"/>
                <w:szCs w:val="21"/>
              </w:rPr>
              <w:t>3.▲整机画面对比度及色彩还原真实，画面细节及Gamma无损失，确保师生观看画面不会因显示损耗导致视觉偏差。（提供国家级相关机构出具的技术证明文件及具有CNAS认证标识的第三方检测机构权威检测报告）</w:t>
            </w:r>
          </w:p>
          <w:p>
            <w:pPr>
              <w:spacing w:line="340" w:lineRule="exact"/>
              <w:rPr>
                <w:rFonts w:ascii="宋体" w:hAnsi="宋体" w:cs="宋体"/>
                <w:color w:val="auto"/>
                <w:szCs w:val="21"/>
              </w:rPr>
            </w:pPr>
            <w:r>
              <w:rPr>
                <w:rFonts w:hint="eastAsia" w:ascii="宋体" w:hAnsi="宋体" w:cs="宋体"/>
                <w:color w:val="auto"/>
                <w:szCs w:val="21"/>
              </w:rPr>
              <w:t>4.▲整机屏幕采用直流背光源，保证显示画面无频闪，有效避免视觉疲劳，呵护师生用眼健康；屏幕结合光感调节，屏幕亮度与环境亮度的匹配曲线更加合理，能有效减轻视疲劳。（提供权威第三方认证机构出具的无频闪认证证书及具有CNAS认证标识的第三方检测机构权威检测报告）</w:t>
            </w:r>
          </w:p>
          <w:p>
            <w:pPr>
              <w:spacing w:line="340" w:lineRule="exact"/>
              <w:rPr>
                <w:rFonts w:ascii="宋体" w:hAnsi="宋体" w:cs="宋体"/>
                <w:color w:val="auto"/>
                <w:szCs w:val="21"/>
              </w:rPr>
            </w:pPr>
            <w:r>
              <w:rPr>
                <w:rFonts w:hint="eastAsia" w:ascii="宋体" w:hAnsi="宋体" w:cs="宋体"/>
                <w:color w:val="auto"/>
                <w:szCs w:val="21"/>
              </w:rPr>
              <w:t>5.整机最大屏幕亮度≥300cd/m²，使用时屏幕亮度不大于400cd/m²，符合国家GB40070-2021《儿童青少年学习用品近视防控卫生要求》。</w:t>
            </w:r>
          </w:p>
          <w:p>
            <w:pPr>
              <w:spacing w:line="340" w:lineRule="exact"/>
              <w:rPr>
                <w:rFonts w:ascii="宋体" w:hAnsi="宋体" w:cs="宋体"/>
                <w:color w:val="auto"/>
                <w:szCs w:val="21"/>
              </w:rPr>
            </w:pPr>
            <w:r>
              <w:rPr>
                <w:rFonts w:hint="eastAsia" w:ascii="宋体" w:hAnsi="宋体" w:cs="宋体"/>
                <w:color w:val="auto"/>
                <w:szCs w:val="21"/>
              </w:rPr>
              <w:t>6.整机采用硬件低蓝光背光技术，在源头减少有害蓝光波段能量，蓝光占比（有害蓝光415～455nm能量综合）/（整体蓝光400～500能量综合）＜50%，低蓝光保护显示不偏色、不泛黄。</w:t>
            </w:r>
          </w:p>
          <w:p>
            <w:pPr>
              <w:spacing w:line="340" w:lineRule="exact"/>
              <w:rPr>
                <w:rFonts w:ascii="宋体" w:hAnsi="宋体" w:cs="宋体"/>
                <w:color w:val="auto"/>
                <w:szCs w:val="21"/>
              </w:rPr>
            </w:pPr>
            <w:r>
              <w:rPr>
                <w:rFonts w:hint="eastAsia" w:ascii="宋体" w:hAnsi="宋体" w:cs="宋体"/>
                <w:color w:val="auto"/>
                <w:szCs w:val="21"/>
              </w:rPr>
              <w:t>7.整机支持多种智能护眼功能，可通过两侧触控按键及前置物理按键进行护眼模式切换，护眼模式下，整机显示画面更加柔和，有效保护视力。（提供具有CMA或CNAS认证标识的第三方检测机构权威检测报告）</w:t>
            </w:r>
          </w:p>
          <w:p>
            <w:pPr>
              <w:spacing w:line="340" w:lineRule="exact"/>
              <w:rPr>
                <w:rFonts w:ascii="宋体" w:hAnsi="宋体" w:cs="宋体"/>
                <w:color w:val="auto"/>
                <w:szCs w:val="21"/>
              </w:rPr>
            </w:pPr>
            <w:r>
              <w:rPr>
                <w:rFonts w:hint="eastAsia" w:ascii="宋体" w:hAnsi="宋体" w:cs="宋体"/>
                <w:color w:val="auto"/>
                <w:szCs w:val="21"/>
              </w:rPr>
              <w:t>8.整机支持纸质护眼模式，可以在任意通道任意画面任意软件所有显示内容下实现画面纹理的实时调整；支持纸质纹理：牛皮纸、素描纸、水彩纸、水纹纸、宣纸；支持透明度调节；支持色温调节。（提供具有CMA或CNAS认证标识的第三方检测机构权威检测报告）</w:t>
            </w:r>
          </w:p>
          <w:p>
            <w:pPr>
              <w:spacing w:line="340" w:lineRule="exact"/>
              <w:rPr>
                <w:rFonts w:ascii="宋体" w:hAnsi="宋体" w:cs="宋体"/>
                <w:color w:val="auto"/>
                <w:szCs w:val="21"/>
              </w:rPr>
            </w:pPr>
            <w:r>
              <w:rPr>
                <w:rFonts w:hint="eastAsia" w:ascii="宋体" w:hAnsi="宋体" w:cs="宋体"/>
                <w:color w:val="auto"/>
                <w:szCs w:val="21"/>
              </w:rPr>
              <w:t>9.整机采用全物理钢化玻璃，钢化玻璃表面硬度≥9H，有效保护屏幕显示画面。（提供具有CMA或CNAS认证标识的第三方检测机构权威检测报告）</w:t>
            </w:r>
          </w:p>
          <w:p>
            <w:pPr>
              <w:spacing w:line="340" w:lineRule="exact"/>
              <w:rPr>
                <w:rFonts w:ascii="宋体" w:hAnsi="宋体" w:cs="宋体"/>
                <w:color w:val="auto"/>
                <w:szCs w:val="21"/>
              </w:rPr>
            </w:pPr>
            <w:r>
              <w:rPr>
                <w:rFonts w:hint="eastAsia" w:ascii="宋体" w:hAnsi="宋体" w:cs="宋体"/>
                <w:color w:val="auto"/>
                <w:szCs w:val="21"/>
              </w:rPr>
              <w:t>10.▲整机表面采用全物理防眩光钢化玻璃，钢化玻璃采用低反射防眩光（AGLR）技术，有效防止眩光的同时还能吸收部分环境光，进一步降低环境光对显示的干扰，保障在明亮教室中暗场画面的清晰显示。（提供具有CMA或CNAS认证标识的第三方检测机构权威检测报告）</w:t>
            </w:r>
          </w:p>
          <w:p>
            <w:pPr>
              <w:spacing w:line="340" w:lineRule="exact"/>
              <w:rPr>
                <w:rFonts w:ascii="宋体" w:hAnsi="宋体" w:cs="宋体"/>
                <w:color w:val="auto"/>
                <w:szCs w:val="21"/>
              </w:rPr>
            </w:pPr>
            <w:r>
              <w:rPr>
                <w:rFonts w:hint="eastAsia" w:ascii="宋体" w:hAnsi="宋体" w:cs="宋体"/>
                <w:color w:val="auto"/>
                <w:szCs w:val="21"/>
              </w:rPr>
              <w:t>11.整机具备至少6个前置物理按键，包括三合一电源按键，设置、音量加、音量减、录屏、护眼，其中含2个可自定义功能按键。（提供具有CMA或CNAS认证标识的第三方检测机构权威检测报告）</w:t>
            </w:r>
          </w:p>
          <w:p>
            <w:pPr>
              <w:spacing w:line="340" w:lineRule="exact"/>
              <w:rPr>
                <w:rFonts w:ascii="宋体" w:hAnsi="宋体" w:cs="宋体"/>
                <w:color w:val="auto"/>
                <w:szCs w:val="21"/>
              </w:rPr>
            </w:pPr>
            <w:r>
              <w:rPr>
                <w:rFonts w:hint="eastAsia" w:ascii="宋体" w:hAnsi="宋体" w:cs="宋体"/>
                <w:color w:val="auto"/>
                <w:szCs w:val="21"/>
              </w:rPr>
              <w:t>12.▲整机支持在节能状态下通过长按电源键进入还原界面，可点击屏幕选择安卓系统还原、OPS还原以及正常启动选项，还原操作时需通过密码验证，有效避免误操作。（提供具有CMA或CNAS认证标识的第三方检测机构权威检测报告）</w:t>
            </w:r>
          </w:p>
          <w:p>
            <w:pPr>
              <w:spacing w:line="340" w:lineRule="exact"/>
              <w:rPr>
                <w:rFonts w:ascii="宋体" w:hAnsi="宋体" w:cs="宋体"/>
                <w:color w:val="auto"/>
                <w:szCs w:val="21"/>
              </w:rPr>
            </w:pPr>
            <w:r>
              <w:rPr>
                <w:rFonts w:hint="eastAsia" w:ascii="宋体" w:hAnsi="宋体" w:cs="宋体"/>
                <w:color w:val="auto"/>
                <w:szCs w:val="21"/>
              </w:rPr>
              <w:t>13.整机前置3路USB输入接口（包含1路Type-C、2路USB），前置USB接口支持Android、Windows双系统读取外接移动存储设备，接口具备明显的丝印标识。（提供具有CMA或CNAS认证标识的第三方检测机构权威检测报告）</w:t>
            </w:r>
          </w:p>
          <w:p>
            <w:pPr>
              <w:spacing w:line="340" w:lineRule="exact"/>
              <w:rPr>
                <w:rFonts w:ascii="宋体" w:hAnsi="宋体" w:cs="宋体"/>
                <w:color w:val="auto"/>
                <w:szCs w:val="21"/>
              </w:rPr>
            </w:pPr>
            <w:r>
              <w:rPr>
                <w:rFonts w:hint="eastAsia" w:ascii="宋体" w:hAnsi="宋体" w:cs="宋体"/>
                <w:color w:val="auto"/>
                <w:szCs w:val="21"/>
              </w:rPr>
              <w:t>14.▲前置Type-C接口支持65W快充，可以给教学平板、教学笔记本、手机等进行快速充电。（提供具有CMA或CNAS认证标识的第三方检测机构权威检测报告）</w:t>
            </w:r>
          </w:p>
          <w:p>
            <w:pPr>
              <w:spacing w:line="340" w:lineRule="exact"/>
              <w:rPr>
                <w:rFonts w:ascii="宋体" w:hAnsi="宋体" w:cs="宋体"/>
                <w:color w:val="auto"/>
                <w:szCs w:val="21"/>
              </w:rPr>
            </w:pPr>
            <w:r>
              <w:rPr>
                <w:rFonts w:hint="eastAsia" w:ascii="宋体" w:hAnsi="宋体" w:cs="宋体"/>
                <w:color w:val="auto"/>
                <w:szCs w:val="21"/>
              </w:rPr>
              <w:t>15.整机内置≥1300万非独立的高清摄像头，对角角度≥135度，可用于远程巡课、二维码扫描等功能。（提供具有CMA或CNAS认证标识的第三方检测机构权威检测报告）</w:t>
            </w:r>
          </w:p>
          <w:p>
            <w:pPr>
              <w:spacing w:line="340" w:lineRule="exact"/>
              <w:rPr>
                <w:rFonts w:ascii="宋体" w:hAnsi="宋体" w:cs="宋体"/>
                <w:color w:val="auto"/>
                <w:szCs w:val="21"/>
              </w:rPr>
            </w:pPr>
            <w:r>
              <w:rPr>
                <w:rFonts w:hint="eastAsia" w:ascii="宋体" w:hAnsi="宋体" w:cs="宋体"/>
                <w:color w:val="auto"/>
                <w:szCs w:val="21"/>
              </w:rPr>
              <w:t>16.整机内置8阵列麦克风，拾音距离≥12米，麦克风采用非独立扩展形式，不占用整机设备端口，可用于对教室环境音频进行采集。</w:t>
            </w:r>
          </w:p>
          <w:p>
            <w:pPr>
              <w:spacing w:line="340" w:lineRule="exact"/>
              <w:rPr>
                <w:rFonts w:ascii="宋体" w:hAnsi="宋体" w:cs="宋体"/>
                <w:color w:val="auto"/>
                <w:szCs w:val="21"/>
              </w:rPr>
            </w:pPr>
            <w:r>
              <w:rPr>
                <w:rFonts w:hint="eastAsia" w:ascii="宋体" w:hAnsi="宋体" w:cs="宋体"/>
                <w:color w:val="auto"/>
                <w:szCs w:val="21"/>
              </w:rPr>
              <w:t>17.整机内置2.2声道音响系统，整机扩声系统总功率不低于60W，有效满足课堂视听需求。（提供具有CMA或CNAS认证标识的第三方检测机构权威检测报告）</w:t>
            </w:r>
          </w:p>
          <w:p>
            <w:pPr>
              <w:spacing w:line="340" w:lineRule="exact"/>
              <w:rPr>
                <w:rFonts w:ascii="宋体" w:hAnsi="宋体" w:cs="宋体"/>
                <w:color w:val="auto"/>
                <w:szCs w:val="21"/>
              </w:rPr>
            </w:pPr>
            <w:r>
              <w:rPr>
                <w:rFonts w:hint="eastAsia" w:ascii="宋体" w:hAnsi="宋体" w:cs="宋体"/>
                <w:color w:val="auto"/>
                <w:szCs w:val="21"/>
              </w:rPr>
              <w:t>18.▲整机内置的蓝牙及Wi-Fi模块支持便捷拆除及恢复，确保特殊应用场景下的信息安全。（提供具有CMA或CNAS认证标识的第三方检测机构权威检测报告）</w:t>
            </w:r>
          </w:p>
          <w:p>
            <w:pPr>
              <w:spacing w:line="340" w:lineRule="exact"/>
              <w:rPr>
                <w:rFonts w:ascii="宋体" w:hAnsi="宋体" w:cs="宋体"/>
                <w:color w:val="auto"/>
                <w:szCs w:val="21"/>
              </w:rPr>
            </w:pPr>
            <w:r>
              <w:rPr>
                <w:rFonts w:hint="eastAsia" w:ascii="宋体" w:hAnsi="宋体" w:cs="宋体"/>
                <w:color w:val="auto"/>
                <w:szCs w:val="21"/>
              </w:rPr>
              <w:t>19.部署单根网线可实现Android、Windows双系统有线网络连通。（提供具有CMA或CNAS认证标识的第三方检测机构权威检测报告）</w:t>
            </w:r>
          </w:p>
          <w:p>
            <w:pPr>
              <w:spacing w:line="340" w:lineRule="exact"/>
              <w:rPr>
                <w:rFonts w:ascii="宋体" w:hAnsi="宋体" w:cs="宋体"/>
                <w:color w:val="auto"/>
                <w:szCs w:val="21"/>
              </w:rPr>
            </w:pPr>
            <w:r>
              <w:rPr>
                <w:rFonts w:hint="eastAsia" w:ascii="宋体" w:hAnsi="宋体" w:cs="宋体"/>
                <w:color w:val="auto"/>
                <w:szCs w:val="21"/>
              </w:rPr>
              <w:t>20.整机具备智能手势识别功能，在任意通道下，可通过五指长按屏幕，实现熄屏和唤醒屏幕的功能；可识别五指上、下、左、右方向手势滑动调用相应功能，支持将各手势滑动方向自定义设置为主页、降半屏、批注、锁屏、经典护眼、纸质护眼、多任务、无操作等。（提供具有CMA或CNAS认证标识的第三方检测机构权威检测报告）</w:t>
            </w:r>
          </w:p>
          <w:p>
            <w:pPr>
              <w:spacing w:line="340" w:lineRule="exact"/>
              <w:rPr>
                <w:rFonts w:ascii="宋体" w:hAnsi="宋体" w:cs="宋体"/>
                <w:color w:val="auto"/>
                <w:szCs w:val="21"/>
              </w:rPr>
            </w:pPr>
            <w:r>
              <w:rPr>
                <w:rFonts w:hint="eastAsia" w:ascii="宋体" w:hAnsi="宋体" w:cs="宋体"/>
                <w:color w:val="auto"/>
                <w:szCs w:val="21"/>
              </w:rPr>
              <w:t>21.▲整机支持通过物理按键、手势及触摸快捷按键等方式快捷调用半屏模式，具备分级降屏（1/3、1/2）功能，用户可以根据使用情况自行选择降1/3或者1/2屏。（提供具有CMA或CNAS认证标识的第三方检测机构权威检测报告）</w:t>
            </w:r>
          </w:p>
          <w:p>
            <w:pPr>
              <w:spacing w:line="340" w:lineRule="exact"/>
              <w:rPr>
                <w:rFonts w:ascii="宋体" w:hAnsi="宋体" w:cs="宋体"/>
                <w:color w:val="auto"/>
                <w:szCs w:val="21"/>
              </w:rPr>
            </w:pPr>
            <w:r>
              <w:rPr>
                <w:rFonts w:hint="eastAsia" w:ascii="宋体" w:hAnsi="宋体" w:cs="宋体"/>
                <w:color w:val="auto"/>
                <w:szCs w:val="21"/>
              </w:rPr>
              <w:t>22.整机设备开机启动后，自动进入教学桌面，支持账号登录、退出，自动获取个人云端教学课件列表。（提供具有CMA或CNAS认证标识的第三方检测机构权威检测报告）</w:t>
            </w:r>
          </w:p>
          <w:p>
            <w:pPr>
              <w:spacing w:line="340" w:lineRule="exact"/>
              <w:rPr>
                <w:rFonts w:ascii="宋体" w:hAnsi="宋体" w:cs="宋体"/>
                <w:color w:val="auto"/>
                <w:szCs w:val="21"/>
              </w:rPr>
            </w:pPr>
            <w:r>
              <w:rPr>
                <w:rFonts w:hint="eastAsia" w:ascii="宋体" w:hAnsi="宋体" w:cs="宋体"/>
                <w:color w:val="auto"/>
                <w:szCs w:val="21"/>
              </w:rPr>
              <w:t>23.教学桌面支持教学常用的教学白板软件、视频展台软件、授课助手软件、WPS、文件管理器等，以便于快捷启动应用进行授课；同时提供进入本机所有应用的入口，满足教师授课需要。桌面软件支持自定义设置，满足老师个性化授课需求。（提供具有CMA或CNAS认证标识的第三方检测机构权威检测报告）</w:t>
            </w:r>
          </w:p>
          <w:p>
            <w:pPr>
              <w:spacing w:line="340" w:lineRule="exact"/>
              <w:rPr>
                <w:rFonts w:ascii="宋体" w:hAnsi="宋体" w:cs="宋体"/>
                <w:color w:val="auto"/>
                <w:szCs w:val="21"/>
              </w:rPr>
            </w:pPr>
            <w:r>
              <w:rPr>
                <w:rFonts w:hint="eastAsia" w:ascii="宋体" w:hAnsi="宋体" w:cs="宋体"/>
                <w:color w:val="auto"/>
                <w:szCs w:val="21"/>
              </w:rPr>
              <w:t>24.▲整机教学桌面支持画报轮播功能，通过主页快捷入口可自定义轮播内容、轮播间隔、播放时间等，助力校园文化建设。（提供具有CMA或CNAS认证标识的第三方检测机构权威检测报告）</w:t>
            </w:r>
          </w:p>
          <w:p>
            <w:pPr>
              <w:spacing w:line="340" w:lineRule="exact"/>
              <w:rPr>
                <w:rFonts w:ascii="宋体" w:hAnsi="宋体" w:cs="宋体"/>
                <w:color w:val="auto"/>
                <w:szCs w:val="21"/>
              </w:rPr>
            </w:pPr>
            <w:r>
              <w:rPr>
                <w:rFonts w:hint="eastAsia" w:ascii="宋体" w:hAnsi="宋体" w:cs="宋体"/>
                <w:color w:val="auto"/>
                <w:szCs w:val="21"/>
              </w:rPr>
              <w:t>25.▲整机嵌入式安卓系统版本不低于Android 11，内存≥3GB，存储空间≥16GB。（提供具有CMA或CNAS认证标识的第三方检测机构权威检测报告）</w:t>
            </w:r>
          </w:p>
          <w:p>
            <w:pPr>
              <w:spacing w:line="340" w:lineRule="exact"/>
              <w:rPr>
                <w:rFonts w:ascii="宋体" w:hAnsi="宋体" w:cs="宋体"/>
                <w:color w:val="auto"/>
                <w:szCs w:val="21"/>
              </w:rPr>
            </w:pPr>
            <w:r>
              <w:rPr>
                <w:rFonts w:hint="eastAsia" w:ascii="宋体" w:hAnsi="宋体" w:cs="宋体"/>
                <w:color w:val="auto"/>
                <w:szCs w:val="21"/>
              </w:rPr>
              <w:t>26.▲整机嵌入式安卓系统下主界面、菜单、图标、文字均为4K超高清显示，显示细腻、清晰度高。（提供具有CMA或CNAS认证标识的第三方检测机构权威检测报告）</w:t>
            </w:r>
          </w:p>
          <w:p>
            <w:pPr>
              <w:spacing w:line="340" w:lineRule="exact"/>
              <w:rPr>
                <w:rFonts w:ascii="宋体" w:hAnsi="宋体" w:cs="宋体"/>
                <w:color w:val="auto"/>
                <w:szCs w:val="21"/>
              </w:rPr>
            </w:pPr>
            <w:r>
              <w:rPr>
                <w:rFonts w:hint="eastAsia" w:ascii="宋体" w:hAnsi="宋体" w:cs="宋体"/>
                <w:color w:val="auto"/>
                <w:szCs w:val="21"/>
              </w:rPr>
              <w:t>27.▲嵌入式Android操作系统下，内置电子视力表软件，支持通过触摸方式进行视力检测，助力校园近视防控工作开展。（提供具有CMA或CNAS认证标识的第三方检测机构权威检测报告）</w:t>
            </w:r>
          </w:p>
          <w:p>
            <w:pPr>
              <w:spacing w:line="340" w:lineRule="exact"/>
              <w:rPr>
                <w:rFonts w:ascii="宋体" w:hAnsi="宋体" w:cs="宋体"/>
                <w:color w:val="auto"/>
                <w:szCs w:val="21"/>
              </w:rPr>
            </w:pPr>
            <w:r>
              <w:rPr>
                <w:rFonts w:hint="eastAsia" w:ascii="宋体" w:hAnsi="宋体" w:cs="宋体"/>
                <w:color w:val="auto"/>
                <w:szCs w:val="21"/>
              </w:rPr>
              <w:t>28、模块采用Intel通用标准80pin接口，即插即用，易于维护，主板搭载I5第十一代Intel 酷睿系列CPU。内存：16 GB DDR4笔记本内存或以上配置。硬盘：256GB或以上SSD固态硬盘，机身采用智能风扇散热设计，确保封闭空间内有效散热，PC模块可抽拉式插入整机，可实现无单独接线的插拔，采用手拧螺丝卡扣，确保PC模块安装固定到位，同时无需工具就可快速拆卸电脑模块，具有独立非外扩展的视频输出接口：≥1路HDMI，≥1路DP，具有独立非外扩展的电脑USB接口：≥4路USB3.0，≥2路USB2.0，具有标准PC防盗锁功能，确保电脑模块安全防盗。</w:t>
            </w:r>
          </w:p>
          <w:p>
            <w:pPr>
              <w:spacing w:line="340" w:lineRule="exact"/>
              <w:rPr>
                <w:rFonts w:ascii="宋体" w:hAnsi="宋体" w:cs="宋体"/>
                <w:color w:val="auto"/>
                <w:szCs w:val="21"/>
              </w:rPr>
            </w:pPr>
            <w:r>
              <w:rPr>
                <w:rFonts w:hint="eastAsia" w:ascii="宋体" w:hAnsi="宋体" w:cs="宋体"/>
                <w:color w:val="auto"/>
                <w:szCs w:val="21"/>
              </w:rPr>
              <w:t>多媒体管理系统</w:t>
            </w:r>
          </w:p>
          <w:p>
            <w:pPr>
              <w:spacing w:line="340" w:lineRule="exact"/>
              <w:rPr>
                <w:rFonts w:ascii="宋体" w:hAnsi="宋体" w:cs="宋体"/>
                <w:color w:val="auto"/>
                <w:szCs w:val="21"/>
              </w:rPr>
            </w:pPr>
            <w:r>
              <w:rPr>
                <w:rFonts w:hint="eastAsia" w:ascii="宋体" w:hAnsi="宋体" w:cs="宋体"/>
                <w:color w:val="auto"/>
                <w:szCs w:val="21"/>
              </w:rPr>
              <w:t>1.系统基于SaaS布局，后台管理系统采用B/S架构设计，无需本地部署服务器即可使用，支持学校管理员在Windows、Android、IOS、银河麒麟等多种不同的操作系统上通过网页浏览器登录进行管理指令操作。</w:t>
            </w:r>
          </w:p>
          <w:p>
            <w:pPr>
              <w:spacing w:line="340" w:lineRule="exact"/>
              <w:rPr>
                <w:rFonts w:ascii="宋体" w:hAnsi="宋体" w:cs="宋体"/>
                <w:color w:val="auto"/>
                <w:szCs w:val="21"/>
              </w:rPr>
            </w:pPr>
            <w:r>
              <w:rPr>
                <w:rFonts w:hint="eastAsia" w:ascii="宋体" w:hAnsi="宋体" w:cs="宋体"/>
                <w:color w:val="auto"/>
                <w:szCs w:val="21"/>
              </w:rPr>
              <w:t>2.系统支持多类型设备接入、集中管理，包含但不限于交互智能平板、智慧黑板、校园屏显设备等，设备关联接入时支持设置关联学校、学段、年级、班级、设备品牌等相关信息；可对学校已关联的所有设备按年级或楼层等进行管理。</w:t>
            </w:r>
          </w:p>
          <w:p>
            <w:pPr>
              <w:spacing w:line="340" w:lineRule="exact"/>
              <w:rPr>
                <w:rFonts w:ascii="宋体" w:hAnsi="宋体" w:cs="宋体"/>
                <w:color w:val="auto"/>
                <w:szCs w:val="21"/>
              </w:rPr>
            </w:pPr>
            <w:r>
              <w:rPr>
                <w:rFonts w:hint="eastAsia" w:ascii="宋体" w:hAnsi="宋体" w:cs="宋体"/>
                <w:color w:val="auto"/>
                <w:szCs w:val="21"/>
              </w:rPr>
              <w:t>3.采用一校一码的认证机制，为学校提供专属识别码，通过学校代码进行设备与管理平台之间的关联，保证管理的私密和安全。</w:t>
            </w:r>
          </w:p>
          <w:p>
            <w:pPr>
              <w:spacing w:line="340" w:lineRule="exact"/>
              <w:rPr>
                <w:rFonts w:ascii="宋体" w:hAnsi="宋体" w:cs="宋体"/>
                <w:color w:val="auto"/>
                <w:szCs w:val="21"/>
              </w:rPr>
            </w:pPr>
            <w:r>
              <w:rPr>
                <w:rFonts w:hint="eastAsia" w:ascii="宋体" w:hAnsi="宋体" w:cs="宋体"/>
                <w:color w:val="auto"/>
                <w:szCs w:val="21"/>
              </w:rPr>
              <w:t>4.后台管理系统支持实时查看管理设备数量，查看设备连接数量和设备在线数量，查看某台设备的软件管家版本、硬件配置和ID信息；可对设备的在线、离线状态、教室名称、内存使用率等基础信息进行查看。</w:t>
            </w:r>
          </w:p>
          <w:p>
            <w:pPr>
              <w:spacing w:line="340" w:lineRule="exact"/>
              <w:rPr>
                <w:rFonts w:ascii="宋体" w:hAnsi="宋体" w:cs="宋体"/>
                <w:color w:val="auto"/>
                <w:szCs w:val="21"/>
              </w:rPr>
            </w:pPr>
            <w:r>
              <w:rPr>
                <w:rFonts w:hint="eastAsia" w:ascii="宋体" w:hAnsi="宋体" w:cs="宋体"/>
                <w:color w:val="auto"/>
                <w:szCs w:val="21"/>
              </w:rPr>
              <w:t>5.系统支持权限管理，学校高级管理员可添加多位管理员协同管理，并支持为普通管理员分配不同权限，权限支持按系统功能菜单分配、按管理设备分配等方式。</w:t>
            </w:r>
          </w:p>
          <w:p>
            <w:pPr>
              <w:spacing w:line="340" w:lineRule="exact"/>
              <w:rPr>
                <w:rFonts w:ascii="宋体" w:hAnsi="宋体" w:cs="宋体"/>
                <w:color w:val="auto"/>
                <w:szCs w:val="21"/>
              </w:rPr>
            </w:pPr>
            <w:r>
              <w:rPr>
                <w:rFonts w:hint="eastAsia" w:ascii="宋体" w:hAnsi="宋体" w:cs="宋体"/>
                <w:color w:val="auto"/>
                <w:szCs w:val="21"/>
              </w:rPr>
              <w:t>6.支持查看设备运维数据，包括活跃设备数量、活跃分布、开机时长、常用软件、设备健康度、弹窗拦截统计等数据。</w:t>
            </w:r>
          </w:p>
          <w:p>
            <w:pPr>
              <w:spacing w:line="340" w:lineRule="exact"/>
              <w:rPr>
                <w:rFonts w:ascii="宋体" w:hAnsi="宋体" w:cs="宋体"/>
                <w:color w:val="auto"/>
                <w:szCs w:val="21"/>
              </w:rPr>
            </w:pPr>
            <w:r>
              <w:rPr>
                <w:rFonts w:hint="eastAsia" w:ascii="宋体" w:hAnsi="宋体" w:cs="宋体"/>
                <w:color w:val="auto"/>
                <w:szCs w:val="21"/>
              </w:rPr>
              <w:t>7.支持查看设备开机时长分布柱状图和设备活跃日期分布线性图，设备开机时长排行列表，同时支持将设备运维数据导出报表，支持数据可视化显示，对设备运维数据进行多种筛选分析。</w:t>
            </w:r>
          </w:p>
          <w:p>
            <w:pPr>
              <w:spacing w:line="340" w:lineRule="exact"/>
              <w:rPr>
                <w:rFonts w:ascii="宋体" w:hAnsi="宋体" w:cs="宋体"/>
                <w:color w:val="auto"/>
                <w:szCs w:val="21"/>
              </w:rPr>
            </w:pPr>
            <w:r>
              <w:rPr>
                <w:rFonts w:hint="eastAsia" w:ascii="宋体" w:hAnsi="宋体" w:cs="宋体"/>
                <w:color w:val="auto"/>
                <w:szCs w:val="21"/>
              </w:rPr>
              <w:t>8.后台管理系统支持对一台或者多台设备进行远程指令发送，包括远程关机、远程屏幕锁、远程打铃、信号源切换等功能。</w:t>
            </w:r>
          </w:p>
          <w:p>
            <w:pPr>
              <w:spacing w:line="340" w:lineRule="exact"/>
              <w:rPr>
                <w:rFonts w:ascii="宋体" w:hAnsi="宋体" w:cs="宋体"/>
                <w:color w:val="auto"/>
                <w:szCs w:val="21"/>
              </w:rPr>
            </w:pPr>
            <w:r>
              <w:rPr>
                <w:rFonts w:hint="eastAsia" w:ascii="宋体" w:hAnsi="宋体" w:cs="宋体"/>
                <w:color w:val="auto"/>
                <w:szCs w:val="21"/>
              </w:rPr>
              <w:t>9.支持对一台或者多台设备进行远程信息传输，包括远程发布消息通知，远程文件传输，远程设置倒计日等。</w:t>
            </w:r>
          </w:p>
          <w:p>
            <w:pPr>
              <w:spacing w:line="340" w:lineRule="exact"/>
              <w:rPr>
                <w:rFonts w:ascii="宋体" w:hAnsi="宋体" w:cs="宋体"/>
                <w:color w:val="auto"/>
                <w:szCs w:val="21"/>
              </w:rPr>
            </w:pPr>
            <w:r>
              <w:rPr>
                <w:rFonts w:hint="eastAsia" w:ascii="宋体" w:hAnsi="宋体" w:cs="宋体"/>
                <w:color w:val="auto"/>
                <w:szCs w:val="21"/>
              </w:rPr>
              <w:t>10.支持一键开启设备的不良弹窗拦截功能，并可设置取消或者开启拦截。当设备上有窗口弹出时，会自动进行判断，判断为不良弹窗时，自动拦截该窗口，以减少教学过程中不良窗口弹出对教学的影响。</w:t>
            </w:r>
          </w:p>
          <w:p>
            <w:pPr>
              <w:spacing w:line="340" w:lineRule="exact"/>
              <w:rPr>
                <w:rFonts w:ascii="宋体" w:hAnsi="宋体" w:cs="宋体"/>
                <w:color w:val="auto"/>
                <w:szCs w:val="21"/>
              </w:rPr>
            </w:pPr>
            <w:r>
              <w:rPr>
                <w:rFonts w:hint="eastAsia" w:ascii="宋体" w:hAnsi="宋体" w:cs="宋体"/>
                <w:color w:val="auto"/>
                <w:szCs w:val="21"/>
              </w:rPr>
              <w:t>11.支持查看教室的实时摄像头画面、设备屏幕画面进行远程巡课管理，并支持在一个显示界面查看单个教室内所有屏幕、所有摄像头的实时画面，以及所有麦克风的声音。单台设备巡视时，发现有违规违纪行为时，可远程发消息、语音进行干预。</w:t>
            </w:r>
          </w:p>
          <w:p>
            <w:pPr>
              <w:spacing w:line="340" w:lineRule="exact"/>
              <w:rPr>
                <w:rFonts w:ascii="宋体" w:hAnsi="宋体" w:cs="宋体"/>
                <w:color w:val="auto"/>
                <w:szCs w:val="21"/>
              </w:rPr>
            </w:pPr>
            <w:r>
              <w:rPr>
                <w:rFonts w:hint="eastAsia" w:ascii="宋体" w:hAnsi="宋体" w:cs="宋体"/>
                <w:color w:val="auto"/>
                <w:szCs w:val="21"/>
              </w:rPr>
              <w:t>12.▲后台管理系统提供在线数字文化内容资源，系统内置不少于8000+艺术资源、党建资源及校园文化宣传资源，并提供在线更新。（提供具有CMA或CNAS认证标识的第三方检测机构权威检测报告）</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1</w:t>
            </w:r>
          </w:p>
        </w:tc>
      </w:tr>
      <w:tr>
        <w:tblPrEx>
          <w:tblLayout w:type="fixed"/>
          <w:tblCellMar>
            <w:top w:w="0" w:type="dxa"/>
            <w:left w:w="108" w:type="dxa"/>
            <w:bottom w:w="0" w:type="dxa"/>
            <w:right w:w="108" w:type="dxa"/>
          </w:tblCellMar>
        </w:tblPrEx>
        <w:trPr>
          <w:trHeight w:val="1399" w:hRule="atLeast"/>
          <w:jc w:val="center"/>
        </w:trPr>
        <w:tc>
          <w:tcPr>
            <w:tcW w:w="620" w:type="dxa"/>
            <w:tcBorders>
              <w:top w:val="single" w:color="404040" w:sz="4" w:space="0"/>
              <w:left w:val="single" w:color="404040" w:sz="4" w:space="0"/>
              <w:bottom w:val="single" w:color="404040" w:sz="4" w:space="0"/>
              <w:right w:val="nil"/>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12</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图书消毒杀菌机</w:t>
            </w:r>
          </w:p>
        </w:tc>
        <w:tc>
          <w:tcPr>
            <w:tcW w:w="7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 xml:space="preserve">产品尺寸：550*500*1635mm </w:t>
            </w:r>
          </w:p>
          <w:p>
            <w:pPr>
              <w:spacing w:line="340" w:lineRule="exact"/>
              <w:rPr>
                <w:rFonts w:ascii="宋体" w:hAnsi="宋体" w:cs="宋体"/>
                <w:color w:val="auto"/>
                <w:szCs w:val="21"/>
              </w:rPr>
            </w:pPr>
            <w:r>
              <w:rPr>
                <w:rFonts w:hint="eastAsia" w:ascii="宋体" w:hAnsi="宋体" w:cs="宋体"/>
                <w:color w:val="auto"/>
                <w:szCs w:val="21"/>
              </w:rPr>
              <w:t xml:space="preserve">颜色：黑白色 、银灰色 </w:t>
            </w:r>
          </w:p>
          <w:p>
            <w:pPr>
              <w:spacing w:line="340" w:lineRule="exact"/>
              <w:rPr>
                <w:rFonts w:ascii="宋体" w:hAnsi="宋体" w:cs="宋体"/>
                <w:color w:val="auto"/>
                <w:szCs w:val="21"/>
              </w:rPr>
            </w:pPr>
            <w:r>
              <w:rPr>
                <w:rFonts w:hint="eastAsia" w:ascii="宋体" w:hAnsi="宋体" w:cs="宋体"/>
                <w:color w:val="auto"/>
                <w:szCs w:val="21"/>
              </w:rPr>
              <w:t>主板芯片LD</w:t>
            </w:r>
          </w:p>
          <w:p>
            <w:pPr>
              <w:spacing w:line="340" w:lineRule="exact"/>
              <w:rPr>
                <w:rFonts w:ascii="宋体" w:hAnsi="宋体" w:cs="宋体"/>
                <w:color w:val="auto"/>
                <w:szCs w:val="21"/>
              </w:rPr>
            </w:pPr>
            <w:r>
              <w:rPr>
                <w:rFonts w:hint="eastAsia" w:ascii="宋体" w:hAnsi="宋体" w:cs="宋体"/>
                <w:color w:val="auto"/>
                <w:szCs w:val="21"/>
              </w:rPr>
              <w:t xml:space="preserve">电源：220V-60HZ </w:t>
            </w:r>
          </w:p>
          <w:p>
            <w:pPr>
              <w:spacing w:line="340" w:lineRule="exact"/>
              <w:rPr>
                <w:rFonts w:ascii="宋体" w:hAnsi="宋体" w:cs="宋体"/>
                <w:color w:val="auto"/>
                <w:szCs w:val="21"/>
              </w:rPr>
            </w:pPr>
            <w:r>
              <w:rPr>
                <w:rFonts w:hint="eastAsia" w:ascii="宋体" w:hAnsi="宋体" w:cs="宋体"/>
                <w:color w:val="auto"/>
                <w:szCs w:val="21"/>
              </w:rPr>
              <w:t xml:space="preserve">功率：140W </w:t>
            </w:r>
          </w:p>
          <w:p>
            <w:pPr>
              <w:spacing w:line="340" w:lineRule="exact"/>
              <w:rPr>
                <w:rFonts w:ascii="宋体" w:hAnsi="宋体" w:cs="宋体"/>
                <w:color w:val="auto"/>
                <w:szCs w:val="21"/>
              </w:rPr>
            </w:pPr>
            <w:r>
              <w:rPr>
                <w:rFonts w:hint="eastAsia" w:ascii="宋体" w:hAnsi="宋体" w:cs="宋体"/>
                <w:color w:val="auto"/>
                <w:szCs w:val="21"/>
              </w:rPr>
              <w:t xml:space="preserve">杀菌物品：书籍、文档  </w:t>
            </w:r>
          </w:p>
          <w:p>
            <w:pPr>
              <w:spacing w:line="340" w:lineRule="exact"/>
              <w:rPr>
                <w:rFonts w:ascii="宋体" w:hAnsi="宋体" w:cs="宋体"/>
                <w:color w:val="auto"/>
                <w:szCs w:val="21"/>
              </w:rPr>
            </w:pPr>
            <w:r>
              <w:rPr>
                <w:rFonts w:hint="eastAsia" w:ascii="宋体" w:hAnsi="宋体" w:cs="宋体"/>
                <w:color w:val="auto"/>
                <w:szCs w:val="21"/>
              </w:rPr>
              <w:t xml:space="preserve">杀菌方式：UV-C紫外线灯 </w:t>
            </w:r>
          </w:p>
          <w:p>
            <w:pPr>
              <w:spacing w:line="340" w:lineRule="exact"/>
              <w:rPr>
                <w:rFonts w:ascii="宋体" w:hAnsi="宋体" w:cs="宋体"/>
                <w:color w:val="auto"/>
                <w:szCs w:val="21"/>
              </w:rPr>
            </w:pPr>
            <w:r>
              <w:rPr>
                <w:rFonts w:hint="eastAsia" w:ascii="宋体" w:hAnsi="宋体" w:cs="宋体"/>
                <w:color w:val="auto"/>
                <w:szCs w:val="21"/>
              </w:rPr>
              <w:t xml:space="preserve">材质：冷轧钢   </w:t>
            </w:r>
          </w:p>
          <w:p>
            <w:pPr>
              <w:spacing w:line="340" w:lineRule="exact"/>
              <w:rPr>
                <w:rFonts w:ascii="宋体" w:hAnsi="宋体" w:cs="宋体"/>
                <w:color w:val="auto"/>
                <w:szCs w:val="21"/>
              </w:rPr>
            </w:pPr>
            <w:r>
              <w:rPr>
                <w:rFonts w:hint="eastAsia" w:ascii="宋体" w:hAnsi="宋体" w:cs="宋体"/>
                <w:color w:val="auto"/>
                <w:szCs w:val="21"/>
              </w:rPr>
              <w:t>工作原理：紫外线杀菌（8组灯）</w:t>
            </w:r>
          </w:p>
          <w:p>
            <w:pPr>
              <w:spacing w:line="340" w:lineRule="exact"/>
              <w:rPr>
                <w:rFonts w:ascii="宋体" w:hAnsi="宋体" w:cs="宋体"/>
                <w:color w:val="auto"/>
                <w:szCs w:val="21"/>
              </w:rPr>
            </w:pPr>
            <w:r>
              <w:rPr>
                <w:rFonts w:hint="eastAsia" w:ascii="宋体" w:hAnsi="宋体" w:cs="宋体"/>
                <w:color w:val="auto"/>
                <w:szCs w:val="21"/>
              </w:rPr>
              <w:t>容量：独有的杀菌机模式、上消毒室可放4本图书（采用悬挂式）中消毒室可放2本（采用立式），一次最多可消6本。（含6本）下层放至芳香剂 具有外观专利证书</w:t>
            </w:r>
          </w:p>
          <w:p>
            <w:pPr>
              <w:spacing w:line="340" w:lineRule="exact"/>
              <w:rPr>
                <w:rFonts w:ascii="宋体" w:hAnsi="宋体" w:cs="宋体"/>
                <w:color w:val="auto"/>
                <w:szCs w:val="21"/>
              </w:rPr>
            </w:pPr>
            <w:r>
              <w:rPr>
                <w:rFonts w:hint="eastAsia" w:ascii="宋体" w:hAnsi="宋体" w:cs="宋体"/>
                <w:color w:val="auto"/>
                <w:szCs w:val="21"/>
              </w:rPr>
              <w:t>灭菌时间：30秒至60秒（时间可自动调节）</w:t>
            </w:r>
          </w:p>
          <w:p>
            <w:pPr>
              <w:spacing w:line="340" w:lineRule="exact"/>
              <w:rPr>
                <w:rFonts w:ascii="宋体" w:hAnsi="宋体" w:cs="宋体"/>
                <w:color w:val="auto"/>
                <w:szCs w:val="21"/>
              </w:rPr>
            </w:pPr>
            <w:r>
              <w:rPr>
                <w:rFonts w:hint="eastAsia" w:ascii="宋体" w:hAnsi="宋体" w:cs="宋体"/>
                <w:color w:val="auto"/>
                <w:szCs w:val="21"/>
              </w:rPr>
              <w:t xml:space="preserve"> 产品重量：98公斤</w:t>
            </w:r>
          </w:p>
          <w:p>
            <w:pPr>
              <w:spacing w:line="340" w:lineRule="exact"/>
              <w:rPr>
                <w:rFonts w:ascii="宋体" w:hAnsi="宋体" w:cs="宋体"/>
                <w:color w:val="auto"/>
                <w:szCs w:val="21"/>
              </w:rPr>
            </w:pPr>
            <w:r>
              <w:rPr>
                <w:rFonts w:hint="eastAsia" w:ascii="宋体" w:hAnsi="宋体" w:cs="宋体"/>
                <w:color w:val="auto"/>
                <w:szCs w:val="21"/>
              </w:rPr>
              <w:t>1.采用紫外线杀菌技术，配备8组(含)以上紫外线灯，并搭配天然香精强化杀菌效果；</w:t>
            </w:r>
          </w:p>
          <w:p>
            <w:pPr>
              <w:spacing w:line="340" w:lineRule="exact"/>
              <w:rPr>
                <w:rFonts w:ascii="宋体" w:hAnsi="宋体" w:cs="宋体"/>
                <w:color w:val="auto"/>
                <w:szCs w:val="21"/>
              </w:rPr>
            </w:pPr>
            <w:r>
              <w:rPr>
                <w:rFonts w:hint="eastAsia" w:ascii="宋体" w:hAnsi="宋体" w:cs="宋体"/>
                <w:color w:val="auto"/>
                <w:szCs w:val="21"/>
              </w:rPr>
              <w:t>2.采用对人体无害植物杀菌素，增强杀菌效果，同时可去除图书中的致癌物质二甲苯，氨等异味。</w:t>
            </w:r>
          </w:p>
          <w:p>
            <w:pPr>
              <w:spacing w:line="340" w:lineRule="exact"/>
              <w:rPr>
                <w:rFonts w:ascii="宋体" w:hAnsi="宋体" w:cs="宋体"/>
                <w:color w:val="auto"/>
                <w:szCs w:val="21"/>
              </w:rPr>
            </w:pPr>
            <w:r>
              <w:rPr>
                <w:rFonts w:hint="eastAsia" w:ascii="宋体" w:hAnsi="宋体" w:cs="宋体"/>
                <w:color w:val="auto"/>
                <w:szCs w:val="21"/>
              </w:rPr>
              <w:t>3.本机器配备有祛除书异味过滤装置，能祛除书中的霉味等异味。</w:t>
            </w:r>
          </w:p>
          <w:p>
            <w:pPr>
              <w:spacing w:line="340" w:lineRule="exact"/>
              <w:rPr>
                <w:rFonts w:ascii="宋体" w:hAnsi="宋体" w:cs="宋体"/>
                <w:color w:val="auto"/>
                <w:szCs w:val="21"/>
              </w:rPr>
            </w:pPr>
            <w:r>
              <w:rPr>
                <w:rFonts w:hint="eastAsia" w:ascii="宋体" w:hAnsi="宋体" w:cs="宋体"/>
                <w:color w:val="auto"/>
                <w:szCs w:val="21"/>
              </w:rPr>
              <w:t>4.提供气旋式逐翻动书页之功能，达到同时提供书封与内页杀菌效果；（*）</w:t>
            </w:r>
          </w:p>
          <w:p>
            <w:pPr>
              <w:spacing w:line="340" w:lineRule="exact"/>
              <w:rPr>
                <w:rFonts w:ascii="宋体" w:hAnsi="宋体" w:cs="宋体"/>
                <w:color w:val="auto"/>
                <w:szCs w:val="21"/>
              </w:rPr>
            </w:pPr>
            <w:r>
              <w:rPr>
                <w:rFonts w:hint="eastAsia" w:ascii="宋体" w:hAnsi="宋体" w:cs="宋体"/>
                <w:color w:val="auto"/>
                <w:szCs w:val="21"/>
              </w:rPr>
              <w:t>5.使用静电薄膜过滤器，能收集细微灰尘、细菌、病毒、环境中过敏元素；</w:t>
            </w:r>
          </w:p>
          <w:p>
            <w:pPr>
              <w:spacing w:line="340" w:lineRule="exact"/>
              <w:rPr>
                <w:rFonts w:ascii="宋体" w:hAnsi="宋体" w:cs="宋体"/>
                <w:color w:val="auto"/>
                <w:szCs w:val="21"/>
              </w:rPr>
            </w:pPr>
            <w:r>
              <w:rPr>
                <w:rFonts w:hint="eastAsia" w:ascii="宋体" w:hAnsi="宋体" w:cs="宋体"/>
                <w:color w:val="auto"/>
                <w:szCs w:val="21"/>
              </w:rPr>
              <w:t xml:space="preserve">6.有高效能集尘过滤器，拦截微小分子，不衍生臭氧或二氧化碳等有害物质；                </w:t>
            </w:r>
          </w:p>
          <w:p>
            <w:pPr>
              <w:spacing w:line="340" w:lineRule="exact"/>
              <w:rPr>
                <w:rFonts w:ascii="宋体" w:hAnsi="宋体" w:cs="宋体"/>
                <w:color w:val="auto"/>
                <w:szCs w:val="21"/>
              </w:rPr>
            </w:pPr>
            <w:r>
              <w:rPr>
                <w:rFonts w:hint="eastAsia" w:ascii="宋体" w:hAnsi="宋体" w:cs="宋体"/>
                <w:color w:val="auto"/>
                <w:szCs w:val="21"/>
              </w:rPr>
              <w:t>7.机台上须设有抗UV材质透视窗，提供读者随时观看杀菌作业进度；</w:t>
            </w:r>
          </w:p>
          <w:p>
            <w:pPr>
              <w:spacing w:line="340" w:lineRule="exact"/>
              <w:rPr>
                <w:rFonts w:ascii="宋体" w:hAnsi="宋体" w:cs="宋体"/>
                <w:color w:val="auto"/>
                <w:szCs w:val="21"/>
              </w:rPr>
            </w:pPr>
            <w:r>
              <w:rPr>
                <w:rFonts w:hint="eastAsia" w:ascii="宋体" w:hAnsi="宋体" w:cs="宋体"/>
                <w:color w:val="auto"/>
                <w:szCs w:val="21"/>
              </w:rPr>
              <w:t>8、人性化操作介面设计，方便使用者操作；</w:t>
            </w:r>
          </w:p>
          <w:p>
            <w:pPr>
              <w:spacing w:line="340" w:lineRule="exact"/>
              <w:rPr>
                <w:rFonts w:ascii="宋体" w:hAnsi="宋体" w:cs="宋体"/>
                <w:color w:val="auto"/>
                <w:szCs w:val="21"/>
              </w:rPr>
            </w:pPr>
            <w:r>
              <w:rPr>
                <w:rFonts w:hint="eastAsia" w:ascii="宋体" w:hAnsi="宋体" w:cs="宋体"/>
                <w:color w:val="auto"/>
                <w:szCs w:val="21"/>
              </w:rPr>
              <w:t>机器具备杀菌作业进度指示灯，可提示杀菌作业的进度；</w:t>
            </w:r>
          </w:p>
          <w:p>
            <w:pPr>
              <w:spacing w:line="340" w:lineRule="exact"/>
              <w:rPr>
                <w:rFonts w:ascii="宋体" w:hAnsi="宋体" w:cs="宋体"/>
                <w:color w:val="auto"/>
                <w:szCs w:val="21"/>
              </w:rPr>
            </w:pPr>
            <w:r>
              <w:rPr>
                <w:rFonts w:hint="eastAsia" w:ascii="宋体" w:hAnsi="宋体" w:cs="宋体"/>
                <w:color w:val="auto"/>
                <w:szCs w:val="21"/>
              </w:rPr>
              <w:t>9.操作界面具备警示器设计，操作完成或发生错误时可自动发出声响提醒使用者；操作时开始与结束有声音提示；</w:t>
            </w:r>
          </w:p>
          <w:p>
            <w:pPr>
              <w:spacing w:line="340" w:lineRule="exact"/>
              <w:rPr>
                <w:rFonts w:ascii="宋体" w:hAnsi="宋体" w:cs="宋体"/>
                <w:color w:val="auto"/>
                <w:szCs w:val="21"/>
              </w:rPr>
            </w:pPr>
            <w:r>
              <w:rPr>
                <w:rFonts w:hint="eastAsia" w:ascii="宋体" w:hAnsi="宋体" w:cs="宋体"/>
                <w:color w:val="auto"/>
                <w:szCs w:val="21"/>
              </w:rPr>
              <w:t>10.每次操作于60秒（10-600秒可调）内完成杀菌作业；</w:t>
            </w:r>
          </w:p>
          <w:p>
            <w:pPr>
              <w:spacing w:line="340" w:lineRule="exact"/>
              <w:rPr>
                <w:rFonts w:ascii="宋体" w:hAnsi="宋体" w:cs="宋体"/>
                <w:color w:val="auto"/>
                <w:szCs w:val="21"/>
              </w:rPr>
            </w:pPr>
            <w:r>
              <w:rPr>
                <w:rFonts w:hint="eastAsia" w:ascii="宋体" w:hAnsi="宋体" w:cs="宋体"/>
                <w:color w:val="auto"/>
                <w:szCs w:val="21"/>
              </w:rPr>
              <w:t>11.可调节杀菌时间，通过显示屏以图像及数字传达杀菌时间及杀菌状态并提示更换耗材等；</w:t>
            </w:r>
          </w:p>
          <w:p>
            <w:pPr>
              <w:spacing w:line="340" w:lineRule="exact"/>
              <w:rPr>
                <w:rFonts w:ascii="宋体" w:hAnsi="宋体" w:cs="宋体"/>
                <w:color w:val="auto"/>
                <w:szCs w:val="21"/>
              </w:rPr>
            </w:pPr>
            <w:r>
              <w:rPr>
                <w:rFonts w:hint="eastAsia" w:ascii="宋体" w:hAnsi="宋体" w:cs="宋体"/>
                <w:color w:val="auto"/>
                <w:szCs w:val="21"/>
              </w:rPr>
              <w:t>12.杀菌作业不会对书籍封面或内页留下刮痕或任何损害痕迹；</w:t>
            </w:r>
          </w:p>
          <w:p>
            <w:pPr>
              <w:spacing w:line="340" w:lineRule="exact"/>
              <w:rPr>
                <w:rFonts w:ascii="宋体" w:hAnsi="宋体" w:cs="宋体"/>
                <w:color w:val="auto"/>
                <w:szCs w:val="21"/>
              </w:rPr>
            </w:pPr>
            <w:r>
              <w:rPr>
                <w:rFonts w:hint="eastAsia" w:ascii="宋体" w:hAnsi="宋体" w:cs="宋体"/>
                <w:color w:val="auto"/>
                <w:szCs w:val="21"/>
              </w:rPr>
              <w:t>13.防止在杀菌过程中使用者打开杀菌室门，必须设有安全保护装置立即暂停运转；</w:t>
            </w:r>
          </w:p>
          <w:p>
            <w:pPr>
              <w:spacing w:line="340" w:lineRule="exact"/>
              <w:rPr>
                <w:rFonts w:ascii="宋体" w:hAnsi="宋体" w:cs="宋体"/>
                <w:color w:val="auto"/>
                <w:szCs w:val="21"/>
              </w:rPr>
            </w:pPr>
            <w:r>
              <w:rPr>
                <w:rFonts w:hint="eastAsia" w:ascii="宋体" w:hAnsi="宋体" w:cs="宋体"/>
                <w:color w:val="auto"/>
                <w:szCs w:val="21"/>
              </w:rPr>
              <w:t>人性化的儿童键设计、并具有负离子发生器，图书更清新、净化消毒室内空气。</w:t>
            </w:r>
          </w:p>
          <w:p>
            <w:pPr>
              <w:numPr>
                <w:ilvl w:val="0"/>
                <w:numId w:val="3"/>
              </w:numPr>
              <w:spacing w:line="340" w:lineRule="exact"/>
              <w:rPr>
                <w:rFonts w:ascii="宋体" w:hAnsi="宋体" w:cs="宋体"/>
                <w:color w:val="auto"/>
                <w:szCs w:val="21"/>
              </w:rPr>
            </w:pPr>
            <w:r>
              <w:rPr>
                <w:rFonts w:hint="eastAsia" w:ascii="宋体" w:hAnsi="宋体" w:cs="宋体"/>
                <w:color w:val="auto"/>
                <w:szCs w:val="21"/>
              </w:rPr>
              <w:t>机器显示屏具备杀菌作业进度红黄蓝绿四种颜色的指示灯及数字倒计时、可提示杀菌作业的进度；具有紫外线灯管更换提示、消毒室门异常、风机损坏、过滤网更换等提示。</w:t>
            </w:r>
          </w:p>
          <w:p>
            <w:pPr>
              <w:numPr>
                <w:ilvl w:val="0"/>
                <w:numId w:val="3"/>
              </w:numPr>
              <w:spacing w:line="340" w:lineRule="exact"/>
              <w:rPr>
                <w:rFonts w:ascii="宋体" w:hAnsi="宋体" w:cs="宋体"/>
                <w:color w:val="auto"/>
                <w:szCs w:val="21"/>
              </w:rPr>
            </w:pPr>
            <w:r>
              <w:rPr>
                <w:rFonts w:hint="eastAsia" w:ascii="宋体" w:hAnsi="宋体" w:cs="宋体"/>
                <w:color w:val="auto"/>
                <w:szCs w:val="21"/>
              </w:rPr>
              <w:t>▲大肠杆菌、金黄色葡萄球菌、白色念珠菌、表皮葡萄球菌、溶血性链球菌、绿脓杆菌、鼠伤寒沙门氏菌、肺炎克雷伯氏菌等灭菌率达到99.%以上（需提供省级微生物分析检测中心出具的相关病毒检测报告）</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1</w:t>
            </w:r>
          </w:p>
        </w:tc>
      </w:tr>
      <w:tr>
        <w:tblPrEx>
          <w:tblLayout w:type="fixed"/>
          <w:tblCellMar>
            <w:top w:w="0" w:type="dxa"/>
            <w:left w:w="108" w:type="dxa"/>
            <w:bottom w:w="0" w:type="dxa"/>
            <w:right w:w="108" w:type="dxa"/>
          </w:tblCellMar>
        </w:tblPrEx>
        <w:trPr>
          <w:trHeight w:val="294" w:hRule="atLeast"/>
          <w:jc w:val="center"/>
        </w:trPr>
        <w:tc>
          <w:tcPr>
            <w:tcW w:w="620" w:type="dxa"/>
            <w:tcBorders>
              <w:top w:val="single" w:color="404040" w:sz="4" w:space="0"/>
              <w:left w:val="single" w:color="404040" w:sz="4" w:space="0"/>
              <w:bottom w:val="single" w:color="404040" w:sz="4" w:space="0"/>
              <w:right w:val="nil"/>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13</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移动盘点车</w:t>
            </w:r>
          </w:p>
        </w:tc>
        <w:tc>
          <w:tcPr>
            <w:tcW w:w="7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b/>
                <w:bCs/>
                <w:color w:val="auto"/>
                <w:szCs w:val="21"/>
              </w:rPr>
            </w:pPr>
            <w:r>
              <w:rPr>
                <w:rFonts w:hint="eastAsia" w:ascii="宋体" w:hAnsi="宋体" w:cs="宋体"/>
                <w:b/>
                <w:bCs/>
                <w:color w:val="auto"/>
                <w:szCs w:val="21"/>
              </w:rPr>
              <w:t>一、功能要求：</w:t>
            </w:r>
          </w:p>
          <w:p>
            <w:pPr>
              <w:spacing w:line="340" w:lineRule="exact"/>
              <w:rPr>
                <w:rFonts w:ascii="宋体" w:hAnsi="宋体" w:cs="宋体"/>
                <w:color w:val="auto"/>
                <w:szCs w:val="21"/>
              </w:rPr>
            </w:pPr>
            <w:r>
              <w:rPr>
                <w:rFonts w:hint="eastAsia" w:ascii="宋体" w:hAnsi="宋体" w:cs="宋体"/>
                <w:color w:val="auto"/>
                <w:szCs w:val="21"/>
              </w:rPr>
              <w:t>1. 须符合相关行业标准。</w:t>
            </w:r>
          </w:p>
          <w:p>
            <w:pPr>
              <w:spacing w:line="340" w:lineRule="exact"/>
              <w:rPr>
                <w:rFonts w:ascii="宋体" w:hAnsi="宋体" w:cs="宋体"/>
                <w:color w:val="auto"/>
                <w:szCs w:val="21"/>
              </w:rPr>
            </w:pPr>
            <w:r>
              <w:rPr>
                <w:rFonts w:hint="eastAsia" w:ascii="宋体" w:hAnsi="宋体" w:cs="宋体"/>
                <w:color w:val="auto"/>
                <w:szCs w:val="21"/>
              </w:rPr>
              <w:t>2. 相关的RFID阅读产品设备，可在非常短的时间内读取存储在标签中的资料（实际工作环境，若以标签容量1024bits为标准计算，每种工序中标签的读取速度都能达到0.1s之内）</w:t>
            </w:r>
          </w:p>
          <w:p>
            <w:pPr>
              <w:spacing w:line="340" w:lineRule="exact"/>
              <w:rPr>
                <w:rFonts w:ascii="宋体" w:hAnsi="宋体" w:cs="宋体"/>
                <w:color w:val="auto"/>
                <w:szCs w:val="21"/>
              </w:rPr>
            </w:pPr>
            <w:r>
              <w:rPr>
                <w:rFonts w:hint="eastAsia" w:ascii="宋体" w:hAnsi="宋体" w:cs="宋体"/>
                <w:color w:val="auto"/>
                <w:szCs w:val="21"/>
              </w:rPr>
              <w:t>3. 根据应用需求，修改读写器配置型号，可以选择高频、超高频以及双频配置读写器</w:t>
            </w:r>
          </w:p>
          <w:p>
            <w:pPr>
              <w:spacing w:line="340" w:lineRule="exact"/>
              <w:rPr>
                <w:rFonts w:ascii="宋体" w:hAnsi="宋体" w:cs="宋体"/>
                <w:color w:val="auto"/>
                <w:szCs w:val="21"/>
              </w:rPr>
            </w:pPr>
            <w:r>
              <w:rPr>
                <w:rFonts w:hint="eastAsia" w:ascii="宋体" w:hAnsi="宋体" w:cs="宋体"/>
                <w:color w:val="auto"/>
                <w:szCs w:val="21"/>
              </w:rPr>
              <w:t>4. 可配置读写器的通讯方式以及详细参数、可以新增、删除、更新、查询RFID读写器信息</w:t>
            </w:r>
          </w:p>
          <w:p>
            <w:pPr>
              <w:spacing w:line="340" w:lineRule="exact"/>
              <w:rPr>
                <w:rFonts w:ascii="宋体" w:hAnsi="宋体" w:cs="宋体"/>
                <w:color w:val="auto"/>
                <w:szCs w:val="21"/>
              </w:rPr>
            </w:pPr>
            <w:r>
              <w:rPr>
                <w:rFonts w:hint="eastAsia" w:ascii="宋体" w:hAnsi="宋体" w:cs="宋体"/>
                <w:color w:val="auto"/>
                <w:szCs w:val="21"/>
              </w:rPr>
              <w:t>5. 设备采用移动推车式设计，集成≥19寸触摸屏、RFID阅读器、RFID手持天线、蓄电池。</w:t>
            </w:r>
          </w:p>
          <w:p>
            <w:pPr>
              <w:spacing w:line="340" w:lineRule="exact"/>
              <w:rPr>
                <w:rFonts w:ascii="宋体" w:hAnsi="宋体" w:cs="宋体"/>
                <w:color w:val="auto"/>
                <w:szCs w:val="21"/>
              </w:rPr>
            </w:pPr>
            <w:r>
              <w:rPr>
                <w:rFonts w:hint="eastAsia" w:ascii="宋体" w:hAnsi="宋体" w:cs="宋体"/>
                <w:color w:val="auto"/>
                <w:szCs w:val="21"/>
              </w:rPr>
              <w:t xml:space="preserve">6. 可以非接触式地快速识别粘贴在流通资料上的RFID标签。 </w:t>
            </w:r>
          </w:p>
          <w:p>
            <w:pPr>
              <w:spacing w:line="340" w:lineRule="exact"/>
              <w:rPr>
                <w:rFonts w:ascii="宋体" w:hAnsi="宋体" w:cs="宋体"/>
                <w:color w:val="auto"/>
                <w:szCs w:val="21"/>
              </w:rPr>
            </w:pPr>
            <w:r>
              <w:rPr>
                <w:rFonts w:hint="eastAsia" w:ascii="宋体" w:hAnsi="宋体" w:cs="宋体"/>
                <w:color w:val="auto"/>
                <w:szCs w:val="21"/>
              </w:rPr>
              <w:t>7. 具备充电组件，有效充电一次可使用时间≥10小时。</w:t>
            </w:r>
          </w:p>
          <w:p>
            <w:pPr>
              <w:spacing w:line="340" w:lineRule="exact"/>
              <w:rPr>
                <w:rFonts w:ascii="宋体" w:hAnsi="宋体" w:cs="宋体"/>
                <w:color w:val="auto"/>
                <w:szCs w:val="21"/>
              </w:rPr>
            </w:pPr>
            <w:r>
              <w:rPr>
                <w:rFonts w:hint="eastAsia" w:ascii="宋体" w:hAnsi="宋体" w:cs="宋体"/>
                <w:color w:val="auto"/>
                <w:szCs w:val="21"/>
              </w:rPr>
              <w:t>8. 内部设备通过标准USB接口与触摸屏连接。</w:t>
            </w:r>
          </w:p>
          <w:p>
            <w:pPr>
              <w:spacing w:line="340" w:lineRule="exact"/>
              <w:rPr>
                <w:rFonts w:ascii="宋体" w:hAnsi="宋体" w:cs="宋体"/>
                <w:color w:val="auto"/>
                <w:szCs w:val="21"/>
              </w:rPr>
            </w:pPr>
            <w:r>
              <w:rPr>
                <w:rFonts w:hint="eastAsia" w:ascii="宋体" w:hAnsi="宋体" w:cs="宋体"/>
                <w:color w:val="auto"/>
                <w:szCs w:val="21"/>
              </w:rPr>
              <w:t>9. 设备具备电量显示装置，通过自带LED板显示现有设备电压状态，并具备预警装置，当供电不足时，设备会自动提醒。</w:t>
            </w:r>
          </w:p>
          <w:p>
            <w:pPr>
              <w:spacing w:line="340" w:lineRule="exact"/>
              <w:rPr>
                <w:rFonts w:ascii="宋体" w:hAnsi="宋体" w:cs="宋体"/>
                <w:color w:val="auto"/>
                <w:szCs w:val="21"/>
              </w:rPr>
            </w:pPr>
            <w:r>
              <w:rPr>
                <w:rFonts w:hint="eastAsia" w:ascii="宋体" w:hAnsi="宋体" w:cs="宋体"/>
                <w:color w:val="auto"/>
                <w:szCs w:val="21"/>
              </w:rPr>
              <w:t>10. 设备供电模块具备欠压保护功能。</w:t>
            </w:r>
          </w:p>
          <w:p>
            <w:pPr>
              <w:spacing w:line="340" w:lineRule="exact"/>
              <w:rPr>
                <w:rFonts w:ascii="宋体" w:hAnsi="宋体" w:cs="宋体"/>
                <w:color w:val="auto"/>
                <w:szCs w:val="21"/>
              </w:rPr>
            </w:pPr>
            <w:r>
              <w:rPr>
                <w:rFonts w:hint="eastAsia" w:ascii="宋体" w:hAnsi="宋体" w:cs="宋体"/>
                <w:color w:val="auto"/>
                <w:szCs w:val="21"/>
              </w:rPr>
              <w:t xml:space="preserve">11. 触摸屏固定于移动清点车台面。 </w:t>
            </w:r>
          </w:p>
          <w:p>
            <w:pPr>
              <w:spacing w:line="340" w:lineRule="exact"/>
              <w:rPr>
                <w:rFonts w:ascii="宋体" w:hAnsi="宋体" w:cs="宋体"/>
                <w:color w:val="auto"/>
                <w:szCs w:val="21"/>
              </w:rPr>
            </w:pPr>
            <w:r>
              <w:rPr>
                <w:rFonts w:hint="eastAsia" w:ascii="宋体" w:hAnsi="宋体" w:cs="宋体"/>
                <w:color w:val="auto"/>
                <w:szCs w:val="21"/>
              </w:rPr>
              <w:t xml:space="preserve">12. 通过钥匙控制整机的电源开关。     </w:t>
            </w:r>
          </w:p>
          <w:p>
            <w:pPr>
              <w:spacing w:line="340" w:lineRule="exact"/>
              <w:rPr>
                <w:rFonts w:ascii="宋体" w:hAnsi="宋体" w:cs="宋体"/>
                <w:color w:val="auto"/>
                <w:szCs w:val="21"/>
              </w:rPr>
            </w:pPr>
            <w:r>
              <w:rPr>
                <w:rFonts w:hint="eastAsia" w:ascii="宋体" w:hAnsi="宋体" w:cs="宋体"/>
                <w:color w:val="auto"/>
                <w:szCs w:val="21"/>
              </w:rPr>
              <w:t>13. ▲设备配套软件包括数据采集、图书清点、数据上传、数据下载、图书查找功能。（需提供RFID盘点系统</w:t>
            </w:r>
            <w:r>
              <w:rPr>
                <w:rFonts w:hint="eastAsia" w:ascii="宋体" w:hAnsi="宋体" w:cs="宋体"/>
                <w:color w:val="auto"/>
                <w:szCs w:val="21"/>
                <w:lang w:eastAsia="zh-CN"/>
              </w:rPr>
              <w:t>证明材料</w:t>
            </w:r>
            <w:r>
              <w:rPr>
                <w:rFonts w:hint="eastAsia" w:ascii="宋体" w:hAnsi="宋体" w:cs="宋体"/>
                <w:color w:val="auto"/>
                <w:szCs w:val="21"/>
              </w:rPr>
              <w:t>）</w:t>
            </w:r>
          </w:p>
          <w:p>
            <w:pPr>
              <w:spacing w:line="340" w:lineRule="exact"/>
              <w:rPr>
                <w:rFonts w:ascii="宋体" w:hAnsi="宋体" w:cs="宋体"/>
                <w:color w:val="auto"/>
                <w:szCs w:val="21"/>
              </w:rPr>
            </w:pPr>
            <w:r>
              <w:rPr>
                <w:rFonts w:hint="eastAsia" w:ascii="宋体" w:hAnsi="宋体" w:cs="宋体"/>
                <w:color w:val="auto"/>
                <w:szCs w:val="21"/>
              </w:rPr>
              <w:t>14. 设备配套软件须实现以下功能:</w:t>
            </w:r>
          </w:p>
          <w:p>
            <w:pPr>
              <w:spacing w:line="340" w:lineRule="exact"/>
              <w:rPr>
                <w:rFonts w:ascii="宋体" w:hAnsi="宋体" w:cs="宋体"/>
                <w:color w:val="auto"/>
                <w:szCs w:val="21"/>
              </w:rPr>
            </w:pPr>
            <w:r>
              <w:rPr>
                <w:rFonts w:hint="eastAsia" w:ascii="宋体" w:hAnsi="宋体" w:cs="宋体"/>
                <w:color w:val="auto"/>
                <w:szCs w:val="21"/>
              </w:rPr>
              <w:t>a) 数据采集：移动清点设备触摸安装数据采集软件，通过手持天线，可采集图书馆在架文献资料的RFID信息，并将信息存储于本地计算机设备。数据采集功能通过离线模式可实现。</w:t>
            </w:r>
          </w:p>
          <w:p>
            <w:pPr>
              <w:spacing w:line="340" w:lineRule="exact"/>
              <w:rPr>
                <w:rFonts w:ascii="宋体" w:hAnsi="宋体" w:cs="宋体"/>
                <w:color w:val="auto"/>
                <w:szCs w:val="21"/>
              </w:rPr>
            </w:pPr>
            <w:r>
              <w:rPr>
                <w:rFonts w:hint="eastAsia" w:ascii="宋体" w:hAnsi="宋体" w:cs="宋体"/>
                <w:color w:val="auto"/>
                <w:szCs w:val="21"/>
              </w:rPr>
              <w:t>b) 数据上传：工作人员把数据采集得到的在架文献资料RFID信息，通过数据上传软件上传到图书馆后台业务系统，实现文献资料架位号定位功能，该项功能必须通过有线网络或者无线网络与图书馆后台系统对接。</w:t>
            </w:r>
          </w:p>
          <w:p>
            <w:pPr>
              <w:spacing w:line="340" w:lineRule="exact"/>
              <w:rPr>
                <w:rFonts w:ascii="宋体" w:hAnsi="宋体" w:cs="宋体"/>
                <w:color w:val="auto"/>
                <w:szCs w:val="21"/>
              </w:rPr>
            </w:pPr>
            <w:r>
              <w:rPr>
                <w:rFonts w:hint="eastAsia" w:ascii="宋体" w:hAnsi="宋体" w:cs="宋体"/>
                <w:color w:val="auto"/>
                <w:szCs w:val="21"/>
              </w:rPr>
              <w:t>c) 数据下载：工作人员通过数据下载软件，与后台业务系统连接，将数据采集得到的在架文献信息下载到本地，形成本地基础数据库，该项功能必须通过有线网络或者无线网络与图书馆后台业务系统连接。</w:t>
            </w:r>
          </w:p>
          <w:p>
            <w:pPr>
              <w:spacing w:line="340" w:lineRule="exact"/>
              <w:rPr>
                <w:rFonts w:ascii="宋体" w:hAnsi="宋体" w:cs="宋体"/>
                <w:color w:val="auto"/>
                <w:szCs w:val="21"/>
              </w:rPr>
            </w:pPr>
            <w:r>
              <w:rPr>
                <w:rFonts w:hint="eastAsia" w:ascii="宋体" w:hAnsi="宋体" w:cs="宋体"/>
                <w:color w:val="auto"/>
                <w:szCs w:val="21"/>
              </w:rPr>
              <w:t>d) 图书错架整理：工作人员将数据下载得到的基础数据库安装于清点设备的触摸一体工控机，工作人员可实现在架文献的错架整理，对错架的图书进行自动提醒。</w:t>
            </w:r>
          </w:p>
          <w:p>
            <w:pPr>
              <w:spacing w:line="340" w:lineRule="exact"/>
              <w:rPr>
                <w:rFonts w:ascii="宋体" w:hAnsi="宋体" w:cs="宋体"/>
                <w:color w:val="auto"/>
                <w:szCs w:val="21"/>
              </w:rPr>
            </w:pPr>
            <w:r>
              <w:rPr>
                <w:rFonts w:hint="eastAsia" w:ascii="宋体" w:hAnsi="宋体" w:cs="宋体"/>
                <w:color w:val="auto"/>
                <w:szCs w:val="21"/>
              </w:rPr>
              <w:t>e) 图书查找：根据工作人提供的条码在配套软件中可实现图书查找功能，当扫描到指定图书，系统软件界面自动提醒。</w:t>
            </w:r>
          </w:p>
          <w:p>
            <w:pPr>
              <w:spacing w:line="340" w:lineRule="exact"/>
              <w:rPr>
                <w:rFonts w:ascii="宋体" w:hAnsi="宋体" w:cs="宋体"/>
                <w:color w:val="auto"/>
                <w:szCs w:val="21"/>
              </w:rPr>
            </w:pPr>
            <w:r>
              <w:rPr>
                <w:rFonts w:hint="eastAsia" w:ascii="宋体" w:hAnsi="宋体" w:cs="宋体"/>
                <w:color w:val="auto"/>
                <w:szCs w:val="21"/>
              </w:rPr>
              <w:t>15. 配套软件与图书馆管理系统交换数据要求界面窗口化，操作简单。</w:t>
            </w:r>
          </w:p>
          <w:p>
            <w:pPr>
              <w:spacing w:line="340" w:lineRule="exact"/>
              <w:rPr>
                <w:rFonts w:ascii="宋体" w:hAnsi="宋体" w:cs="宋体"/>
                <w:color w:val="auto"/>
                <w:szCs w:val="21"/>
              </w:rPr>
            </w:pPr>
            <w:r>
              <w:rPr>
                <w:rFonts w:hint="eastAsia" w:ascii="宋体" w:hAnsi="宋体" w:cs="宋体"/>
                <w:color w:val="auto"/>
                <w:szCs w:val="21"/>
              </w:rPr>
              <w:t>16. 设备配套软件须能实现资料搜索、资料错架检查、顺架、保存典藏结果等功能</w:t>
            </w:r>
          </w:p>
          <w:p>
            <w:pPr>
              <w:spacing w:line="340" w:lineRule="exact"/>
              <w:rPr>
                <w:rFonts w:ascii="宋体" w:hAnsi="宋体" w:cs="宋体"/>
                <w:color w:val="auto"/>
                <w:szCs w:val="21"/>
              </w:rPr>
            </w:pPr>
            <w:r>
              <w:rPr>
                <w:rFonts w:hint="eastAsia" w:ascii="宋体" w:hAnsi="宋体" w:cs="宋体"/>
                <w:color w:val="auto"/>
                <w:szCs w:val="21"/>
              </w:rPr>
              <w:t>17.以3D技术形式详细显示每个单层所在层架位为。</w:t>
            </w:r>
          </w:p>
          <w:p>
            <w:pPr>
              <w:spacing w:line="340" w:lineRule="exact"/>
              <w:rPr>
                <w:rFonts w:ascii="宋体" w:hAnsi="宋体" w:cs="宋体"/>
                <w:color w:val="auto"/>
                <w:szCs w:val="21"/>
              </w:rPr>
            </w:pPr>
            <w:r>
              <w:rPr>
                <w:rFonts w:hint="eastAsia" w:ascii="宋体" w:hAnsi="宋体" w:cs="宋体"/>
                <w:color w:val="auto"/>
                <w:szCs w:val="21"/>
              </w:rPr>
              <w:t>18. 可将图书架位信息与单册信息相关联、更新单册位置信息，并提供系统查询显示</w:t>
            </w:r>
          </w:p>
          <w:p>
            <w:pPr>
              <w:spacing w:line="340" w:lineRule="exact"/>
              <w:rPr>
                <w:rFonts w:ascii="宋体" w:hAnsi="宋体" w:cs="宋体"/>
                <w:b/>
                <w:bCs/>
                <w:color w:val="auto"/>
                <w:szCs w:val="21"/>
              </w:rPr>
            </w:pPr>
            <w:r>
              <w:rPr>
                <w:rFonts w:hint="eastAsia" w:ascii="宋体" w:hAnsi="宋体" w:cs="宋体"/>
                <w:b/>
                <w:bCs/>
                <w:color w:val="auto"/>
                <w:szCs w:val="21"/>
              </w:rPr>
              <w:t>二、技术要求：</w:t>
            </w:r>
          </w:p>
          <w:p>
            <w:pPr>
              <w:spacing w:line="340" w:lineRule="exact"/>
              <w:rPr>
                <w:rFonts w:ascii="宋体" w:hAnsi="宋体" w:cs="宋体"/>
                <w:color w:val="auto"/>
                <w:szCs w:val="21"/>
              </w:rPr>
            </w:pPr>
            <w:r>
              <w:rPr>
                <w:rFonts w:hint="eastAsia" w:ascii="宋体" w:hAnsi="宋体" w:cs="宋体"/>
                <w:color w:val="auto"/>
                <w:szCs w:val="21"/>
              </w:rPr>
              <w:t>1. 外观要求：占地面积≤0.4M²,视觉高度在0.9m-1.1m之间。</w:t>
            </w:r>
          </w:p>
          <w:p>
            <w:pPr>
              <w:spacing w:line="340" w:lineRule="exact"/>
              <w:rPr>
                <w:rFonts w:ascii="宋体" w:hAnsi="宋体" w:cs="宋体"/>
                <w:color w:val="auto"/>
                <w:szCs w:val="21"/>
              </w:rPr>
            </w:pPr>
            <w:r>
              <w:rPr>
                <w:rFonts w:hint="eastAsia" w:ascii="宋体" w:hAnsi="宋体" w:cs="宋体"/>
                <w:color w:val="auto"/>
                <w:szCs w:val="21"/>
              </w:rPr>
              <w:t>2. 整体需求：采用静音万向轮，后置滑轮可锁死，防止无意推动。</w:t>
            </w:r>
          </w:p>
          <w:p>
            <w:pPr>
              <w:spacing w:line="340" w:lineRule="exact"/>
              <w:rPr>
                <w:rFonts w:ascii="宋体" w:hAnsi="宋体" w:cs="宋体"/>
                <w:color w:val="auto"/>
                <w:szCs w:val="21"/>
              </w:rPr>
            </w:pPr>
            <w:r>
              <w:rPr>
                <w:rFonts w:hint="eastAsia" w:ascii="宋体" w:hAnsi="宋体" w:cs="宋体"/>
                <w:color w:val="auto"/>
                <w:szCs w:val="21"/>
              </w:rPr>
              <w:t>3. 设计要求：设备采用三层设计，第一层采用封装设计，内部集成蓄电池、阅读器、电源控制模块，第二层采用镂空设计，工作人员可在上架时将文献放置在该区域，第三层为触摸操作屏放置台，侧面挂接手持天线模块。</w:t>
            </w:r>
          </w:p>
          <w:p>
            <w:pPr>
              <w:spacing w:line="340" w:lineRule="exact"/>
              <w:rPr>
                <w:rFonts w:ascii="宋体" w:hAnsi="宋体" w:cs="宋体"/>
                <w:color w:val="auto"/>
                <w:szCs w:val="21"/>
              </w:rPr>
            </w:pPr>
            <w:r>
              <w:rPr>
                <w:rFonts w:hint="eastAsia" w:ascii="宋体" w:hAnsi="宋体" w:cs="宋体"/>
                <w:color w:val="auto"/>
                <w:szCs w:val="21"/>
              </w:rPr>
              <w:t>4. 安全要求：结构稳固，防脱落设计，外表设计圆滑,无锋利棱角，内部布线系统严密，以免因线路破损短路发生火灾等消防危险。</w:t>
            </w:r>
          </w:p>
          <w:p>
            <w:pPr>
              <w:spacing w:line="340" w:lineRule="exact"/>
              <w:rPr>
                <w:rFonts w:ascii="宋体" w:hAnsi="宋体" w:cs="宋体"/>
                <w:color w:val="auto"/>
                <w:szCs w:val="21"/>
              </w:rPr>
            </w:pPr>
            <w:r>
              <w:rPr>
                <w:rFonts w:hint="eastAsia" w:ascii="宋体" w:hAnsi="宋体" w:cs="宋体"/>
                <w:color w:val="auto"/>
                <w:szCs w:val="21"/>
              </w:rPr>
              <w:t>5. 整体集成需求：设备采用移动推车式设计，集成≥19寸触摸屏、RFID阅读器、RFID手持天线、蓄电池。</w:t>
            </w:r>
          </w:p>
          <w:p>
            <w:pPr>
              <w:spacing w:line="340" w:lineRule="exact"/>
              <w:rPr>
                <w:rFonts w:ascii="宋体" w:hAnsi="宋体" w:cs="宋体"/>
                <w:color w:val="auto"/>
                <w:szCs w:val="21"/>
              </w:rPr>
            </w:pPr>
            <w:r>
              <w:rPr>
                <w:rFonts w:hint="eastAsia" w:ascii="宋体" w:hAnsi="宋体" w:cs="宋体"/>
                <w:color w:val="auto"/>
                <w:szCs w:val="21"/>
              </w:rPr>
              <w:t>6. 具备无线网络功能；</w:t>
            </w:r>
          </w:p>
          <w:p>
            <w:pPr>
              <w:spacing w:line="340" w:lineRule="exact"/>
              <w:rPr>
                <w:rFonts w:ascii="宋体" w:hAnsi="宋体" w:cs="宋体"/>
                <w:color w:val="auto"/>
                <w:szCs w:val="21"/>
              </w:rPr>
            </w:pPr>
            <w:r>
              <w:rPr>
                <w:rFonts w:hint="eastAsia" w:ascii="宋体" w:hAnsi="宋体" w:cs="宋体"/>
                <w:color w:val="auto"/>
                <w:szCs w:val="21"/>
              </w:rPr>
              <w:t>7. 机体材质：优质冷轧钢板，表面喷塑处理。</w:t>
            </w:r>
          </w:p>
          <w:p>
            <w:pPr>
              <w:spacing w:line="340" w:lineRule="exact"/>
              <w:rPr>
                <w:rFonts w:ascii="宋体" w:hAnsi="宋体" w:cs="宋体"/>
                <w:color w:val="auto"/>
                <w:szCs w:val="21"/>
              </w:rPr>
            </w:pPr>
            <w:r>
              <w:rPr>
                <w:rFonts w:hint="eastAsia" w:ascii="宋体" w:hAnsi="宋体" w:cs="宋体"/>
                <w:color w:val="auto"/>
                <w:szCs w:val="21"/>
              </w:rPr>
              <w:t>8. 触摸显示：≥19英寸，红外触摸，中文界面。</w:t>
            </w:r>
          </w:p>
          <w:p>
            <w:pPr>
              <w:spacing w:line="340" w:lineRule="exact"/>
              <w:rPr>
                <w:rFonts w:ascii="宋体" w:hAnsi="宋体" w:cs="宋体"/>
                <w:color w:val="auto"/>
                <w:szCs w:val="21"/>
              </w:rPr>
            </w:pPr>
            <w:r>
              <w:rPr>
                <w:rFonts w:hint="eastAsia" w:ascii="宋体" w:hAnsi="宋体" w:cs="宋体"/>
                <w:color w:val="auto"/>
                <w:szCs w:val="21"/>
              </w:rPr>
              <w:t>9. 工作频率：13.56MHz。</w:t>
            </w:r>
          </w:p>
          <w:p>
            <w:pPr>
              <w:spacing w:line="340" w:lineRule="exact"/>
              <w:rPr>
                <w:rFonts w:ascii="宋体" w:hAnsi="宋体" w:cs="宋体"/>
                <w:color w:val="auto"/>
                <w:szCs w:val="21"/>
              </w:rPr>
            </w:pPr>
            <w:r>
              <w:rPr>
                <w:rFonts w:hint="eastAsia" w:ascii="宋体" w:hAnsi="宋体" w:cs="宋体"/>
                <w:color w:val="auto"/>
                <w:szCs w:val="21"/>
              </w:rPr>
              <w:t>10. 工控主机：：不低于四核 CPU，4G DDR3，500G硬盘，Windows 7 专业版</w:t>
            </w:r>
          </w:p>
          <w:p>
            <w:pPr>
              <w:spacing w:line="340" w:lineRule="exact"/>
              <w:rPr>
                <w:rFonts w:ascii="宋体" w:hAnsi="宋体" w:cs="宋体"/>
                <w:color w:val="auto"/>
                <w:szCs w:val="21"/>
              </w:rPr>
            </w:pPr>
            <w:r>
              <w:rPr>
                <w:rFonts w:hint="eastAsia" w:ascii="宋体" w:hAnsi="宋体" w:cs="宋体"/>
                <w:color w:val="auto"/>
                <w:szCs w:val="21"/>
              </w:rPr>
              <w:t>11. RFID图书识读能力：单次清单成功率可达95%以上。</w:t>
            </w:r>
          </w:p>
          <w:p>
            <w:pPr>
              <w:spacing w:line="340" w:lineRule="exact"/>
              <w:rPr>
                <w:rFonts w:ascii="宋体" w:hAnsi="宋体" w:cs="宋体"/>
                <w:color w:val="auto"/>
                <w:szCs w:val="21"/>
              </w:rPr>
            </w:pPr>
            <w:r>
              <w:rPr>
                <w:rFonts w:hint="eastAsia" w:ascii="宋体" w:hAnsi="宋体" w:cs="宋体"/>
                <w:color w:val="auto"/>
                <w:szCs w:val="21"/>
              </w:rPr>
              <w:t>12. 所投盘点设备（推车式）的手持天线能自动判定图书距离，能有效解决人手对天线的干扰问题、解决同轴电缆对周边标签的误读问题、解决要求天线只能近距离读取标签的问题。</w:t>
            </w:r>
          </w:p>
          <w:p>
            <w:pPr>
              <w:spacing w:line="340" w:lineRule="exact"/>
              <w:rPr>
                <w:rFonts w:ascii="宋体" w:hAnsi="宋体" w:cs="宋体"/>
                <w:color w:val="auto"/>
                <w:szCs w:val="21"/>
              </w:rPr>
            </w:pPr>
            <w:r>
              <w:rPr>
                <w:rFonts w:hint="eastAsia" w:ascii="宋体" w:hAnsi="宋体" w:cs="宋体"/>
                <w:color w:val="auto"/>
                <w:szCs w:val="21"/>
              </w:rPr>
              <w:t>13. 设备的核心模块读写器为设备的关键元器件，为保障系统的兼容性，设备核心模块读写器须与设备为同一品牌，核心模块读写器须符合RED无线电设备指令2014/53/EU。</w:t>
            </w:r>
          </w:p>
          <w:p>
            <w:pPr>
              <w:spacing w:line="340" w:lineRule="exact"/>
              <w:rPr>
                <w:rFonts w:ascii="宋体" w:hAnsi="宋体" w:cs="宋体"/>
                <w:color w:val="auto"/>
                <w:szCs w:val="21"/>
              </w:rPr>
            </w:pPr>
            <w:r>
              <w:rPr>
                <w:rFonts w:hint="eastAsia" w:ascii="宋体" w:hAnsi="宋体" w:cs="宋体"/>
                <w:color w:val="auto"/>
                <w:szCs w:val="21"/>
              </w:rPr>
              <w:t xml:space="preserve">14. 设备的核心模块读写器通过环境适应性试验，在高低温环境下使用后功能正常、能正确接收标签信息，外观无变形损坏，符合《GB/T2423.1-2008》、《GB/T2423.2-2008》、《GB/T2423.10-2008》、《GB/T2423.56-2006》《GB/T2423.5-1995》等相关标准；读写器通过EMC试验，读写器在受静电放电抗扰度干扰时，不影响其读取性能或性能在暂时丧失或降低后，能自行恢复，符合《GB/T17626.9-2011》等国家和行业相关标准。 </w:t>
            </w:r>
          </w:p>
          <w:p>
            <w:pPr>
              <w:spacing w:line="340" w:lineRule="exact"/>
              <w:rPr>
                <w:rFonts w:ascii="宋体" w:hAnsi="宋体" w:cs="宋体"/>
                <w:color w:val="auto"/>
                <w:szCs w:val="21"/>
              </w:rPr>
            </w:pPr>
            <w:r>
              <w:rPr>
                <w:rFonts w:hint="eastAsia" w:ascii="宋体" w:hAnsi="宋体" w:cs="宋体"/>
                <w:color w:val="auto"/>
                <w:szCs w:val="21"/>
              </w:rPr>
              <w:t>15. 读写器通过EMC试验，读写器在受静电放电抗扰度干扰时，不影响其读取性能或性能在暂时丧失或降低后，能自行恢复，符合《GB/T17626.2-2018》、《GB/T17626.3-2016》、《GB/T17626.4-2018》、《GB/T17626.5-2008》、《GB/T17626.6-2017》、《GB/T17626.8-2006》、《GB/T17626.11-2008、等国家和行业相关标准。</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1</w:t>
            </w:r>
          </w:p>
        </w:tc>
      </w:tr>
      <w:tr>
        <w:tblPrEx>
          <w:tblLayout w:type="fixed"/>
          <w:tblCellMar>
            <w:top w:w="0" w:type="dxa"/>
            <w:left w:w="108" w:type="dxa"/>
            <w:bottom w:w="0" w:type="dxa"/>
            <w:right w:w="108" w:type="dxa"/>
          </w:tblCellMar>
        </w:tblPrEx>
        <w:trPr>
          <w:trHeight w:val="1399" w:hRule="atLeast"/>
          <w:jc w:val="center"/>
        </w:trPr>
        <w:tc>
          <w:tcPr>
            <w:tcW w:w="620" w:type="dxa"/>
            <w:tcBorders>
              <w:top w:val="single" w:color="404040" w:sz="4" w:space="0"/>
              <w:left w:val="single" w:color="404040" w:sz="4" w:space="0"/>
              <w:bottom w:val="single" w:color="404040" w:sz="4" w:space="0"/>
              <w:right w:val="nil"/>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14</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层架签</w:t>
            </w:r>
          </w:p>
        </w:tc>
        <w:tc>
          <w:tcPr>
            <w:tcW w:w="7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 xml:space="preserve">RFID图书层架标签，是为智能图书馆系统中的图书RFID标签识别模块，通过图书标签、图书层架及相应的读写器模块，可读取图书标签信息，包括图书名称、图书编号、图书类型及借阅情况等，可作为系统分拣依据，方便书籍管理。图书层架标签一般粘贴在图书货架上，可统一管理同一货架上的图书情况，通过滴胶处理，美观大方，并且加入了吸波材料，可避免金属货架对标签的影响。                                </w:t>
            </w:r>
          </w:p>
          <w:p>
            <w:pPr>
              <w:spacing w:line="340" w:lineRule="exact"/>
              <w:rPr>
                <w:rFonts w:ascii="宋体" w:hAnsi="宋体" w:cs="宋体"/>
                <w:color w:val="auto"/>
                <w:szCs w:val="21"/>
              </w:rPr>
            </w:pPr>
            <w:r>
              <w:rPr>
                <w:rFonts w:hint="eastAsia" w:ascii="宋体" w:hAnsi="宋体" w:cs="宋体"/>
                <w:color w:val="auto"/>
                <w:szCs w:val="21"/>
              </w:rPr>
              <w:t xml:space="preserve">1. 符合标准： 兼容RFID标准ISO18000-3 </w:t>
            </w:r>
          </w:p>
          <w:p>
            <w:pPr>
              <w:spacing w:line="340" w:lineRule="exact"/>
              <w:rPr>
                <w:rFonts w:ascii="宋体" w:hAnsi="宋体" w:cs="宋体"/>
                <w:color w:val="auto"/>
                <w:szCs w:val="21"/>
              </w:rPr>
            </w:pPr>
            <w:r>
              <w:rPr>
                <w:rFonts w:hint="eastAsia" w:ascii="宋体" w:hAnsi="宋体" w:cs="宋体"/>
                <w:color w:val="auto"/>
                <w:szCs w:val="21"/>
              </w:rPr>
              <w:t>2. 工作频率13.56 MHz</w:t>
            </w:r>
          </w:p>
          <w:p>
            <w:pPr>
              <w:spacing w:line="340" w:lineRule="exact"/>
              <w:rPr>
                <w:rFonts w:ascii="宋体" w:hAnsi="宋体" w:cs="宋体"/>
                <w:color w:val="auto"/>
                <w:szCs w:val="21"/>
              </w:rPr>
            </w:pPr>
            <w:r>
              <w:rPr>
                <w:rFonts w:hint="eastAsia" w:ascii="宋体" w:hAnsi="宋体" w:cs="宋体"/>
                <w:color w:val="auto"/>
                <w:szCs w:val="21"/>
              </w:rPr>
              <w:t>3. 有效使用寿命：10年</w:t>
            </w:r>
          </w:p>
          <w:p>
            <w:pPr>
              <w:spacing w:line="340" w:lineRule="exact"/>
              <w:rPr>
                <w:rFonts w:ascii="宋体" w:hAnsi="宋体" w:cs="宋体"/>
                <w:color w:val="auto"/>
                <w:szCs w:val="21"/>
              </w:rPr>
            </w:pPr>
            <w:r>
              <w:rPr>
                <w:rFonts w:hint="eastAsia" w:ascii="宋体" w:hAnsi="宋体" w:cs="宋体"/>
                <w:color w:val="auto"/>
                <w:szCs w:val="21"/>
              </w:rPr>
              <w:t>4. 有效擦写次数：≥10万次</w:t>
            </w:r>
          </w:p>
          <w:p>
            <w:pPr>
              <w:spacing w:line="340" w:lineRule="exact"/>
              <w:rPr>
                <w:rFonts w:ascii="宋体" w:hAnsi="宋体" w:cs="宋体"/>
                <w:color w:val="auto"/>
                <w:szCs w:val="21"/>
              </w:rPr>
            </w:pPr>
            <w:r>
              <w:rPr>
                <w:rFonts w:hint="eastAsia" w:ascii="宋体" w:hAnsi="宋体" w:cs="宋体"/>
                <w:color w:val="auto"/>
                <w:szCs w:val="21"/>
              </w:rPr>
              <w:t>5. 环境温度范围： -20℃-75℃摄氏度</w:t>
            </w:r>
          </w:p>
          <w:p>
            <w:pPr>
              <w:spacing w:line="340" w:lineRule="exact"/>
              <w:rPr>
                <w:rFonts w:ascii="宋体" w:hAnsi="宋体" w:cs="宋体"/>
                <w:color w:val="auto"/>
                <w:szCs w:val="21"/>
              </w:rPr>
            </w:pPr>
            <w:r>
              <w:rPr>
                <w:rFonts w:hint="eastAsia" w:ascii="宋体" w:hAnsi="宋体" w:cs="宋体"/>
                <w:color w:val="auto"/>
                <w:szCs w:val="21"/>
              </w:rPr>
              <w:t>6. 受控读写距离：小于等于6CM,大于等于2CM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张</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480</w:t>
            </w:r>
          </w:p>
        </w:tc>
      </w:tr>
      <w:tr>
        <w:tblPrEx>
          <w:tblLayout w:type="fixed"/>
          <w:tblCellMar>
            <w:top w:w="0" w:type="dxa"/>
            <w:left w:w="108" w:type="dxa"/>
            <w:bottom w:w="0" w:type="dxa"/>
            <w:right w:w="108" w:type="dxa"/>
          </w:tblCellMar>
        </w:tblPrEx>
        <w:trPr>
          <w:trHeight w:val="470" w:hRule="atLeast"/>
          <w:jc w:val="center"/>
        </w:trPr>
        <w:tc>
          <w:tcPr>
            <w:tcW w:w="9240" w:type="dxa"/>
            <w:gridSpan w:val="3"/>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图书馆服务类</w:t>
            </w:r>
          </w:p>
        </w:tc>
        <w:tc>
          <w:tcPr>
            <w:tcW w:w="637"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40" w:lineRule="exact"/>
              <w:rPr>
                <w:rFonts w:ascii="宋体" w:hAnsi="宋体" w:cs="宋体"/>
                <w:color w:val="auto"/>
                <w:szCs w:val="21"/>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rPr>
                <w:rFonts w:ascii="宋体" w:hAnsi="宋体" w:cs="宋体"/>
                <w:color w:val="auto"/>
                <w:szCs w:val="21"/>
              </w:rPr>
            </w:pPr>
          </w:p>
        </w:tc>
      </w:tr>
      <w:tr>
        <w:tblPrEx>
          <w:tblLayout w:type="fixed"/>
          <w:tblCellMar>
            <w:top w:w="0" w:type="dxa"/>
            <w:left w:w="108" w:type="dxa"/>
            <w:bottom w:w="0" w:type="dxa"/>
            <w:right w:w="108" w:type="dxa"/>
          </w:tblCellMar>
        </w:tblPrEx>
        <w:trPr>
          <w:trHeight w:val="1841" w:hRule="atLeast"/>
          <w:jc w:val="center"/>
        </w:trPr>
        <w:tc>
          <w:tcPr>
            <w:tcW w:w="62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15</w:t>
            </w:r>
          </w:p>
        </w:tc>
        <w:tc>
          <w:tcPr>
            <w:tcW w:w="81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数据加工</w:t>
            </w:r>
          </w:p>
          <w:p>
            <w:pPr>
              <w:spacing w:line="340" w:lineRule="exact"/>
              <w:rPr>
                <w:rFonts w:ascii="宋体" w:hAnsi="宋体" w:cs="宋体"/>
                <w:color w:val="auto"/>
                <w:szCs w:val="21"/>
              </w:rPr>
            </w:pPr>
            <w:r>
              <w:rPr>
                <w:rFonts w:hint="eastAsia" w:ascii="宋体" w:hAnsi="宋体" w:cs="宋体"/>
                <w:color w:val="auto"/>
                <w:szCs w:val="21"/>
              </w:rPr>
              <w:t>图书编目</w:t>
            </w:r>
          </w:p>
        </w:tc>
        <w:tc>
          <w:tcPr>
            <w:tcW w:w="78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按照标准进行图书回溯建库，按中图法第五版进行分类，按照CNMARC格式进行计算机录入，贴条码、书标及护膜、文献典藏等系列工作。</w:t>
            </w:r>
          </w:p>
          <w:p>
            <w:pPr>
              <w:spacing w:line="340" w:lineRule="exact"/>
              <w:rPr>
                <w:rFonts w:ascii="宋体" w:hAnsi="宋体" w:cs="宋体"/>
                <w:color w:val="auto"/>
                <w:szCs w:val="21"/>
              </w:rPr>
            </w:pPr>
            <w:r>
              <w:rPr>
                <w:rFonts w:hint="eastAsia" w:ascii="宋体" w:hAnsi="宋体" w:cs="宋体"/>
                <w:color w:val="auto"/>
                <w:szCs w:val="21"/>
              </w:rPr>
              <w:t>依国家标准进行科学排架，按中图法22大类进行标引，并按学校图书馆馆藏地址和图书分库。</w:t>
            </w:r>
          </w:p>
          <w:p>
            <w:pPr>
              <w:spacing w:line="340" w:lineRule="exact"/>
              <w:rPr>
                <w:rFonts w:ascii="宋体" w:hAnsi="宋体" w:cs="宋体"/>
                <w:color w:val="auto"/>
                <w:szCs w:val="21"/>
              </w:rPr>
            </w:pPr>
            <w:r>
              <w:rPr>
                <w:rFonts w:hint="eastAsia" w:ascii="宋体" w:hAnsi="宋体" w:cs="宋体"/>
                <w:color w:val="auto"/>
                <w:szCs w:val="21"/>
              </w:rPr>
              <w:t>根据图书馆馆藏情况进行标签黏贴，将馆标识、层架信息以及条形码等信息转换到智能芯片上</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册</w:t>
            </w:r>
          </w:p>
        </w:tc>
        <w:tc>
          <w:tcPr>
            <w:tcW w:w="803" w:type="dxa"/>
            <w:tcBorders>
              <w:top w:val="single" w:color="404040" w:sz="4" w:space="0"/>
              <w:left w:val="single" w:color="auto" w:sz="4" w:space="0"/>
              <w:bottom w:val="single" w:color="404040" w:sz="4" w:space="0"/>
              <w:right w:val="single" w:color="404040" w:sz="4" w:space="0"/>
            </w:tcBorders>
            <w:shd w:val="clear" w:color="auto" w:fill="FFFFFF"/>
            <w:vAlign w:val="center"/>
          </w:tcPr>
          <w:p>
            <w:pPr>
              <w:spacing w:line="340" w:lineRule="exact"/>
              <w:rPr>
                <w:rFonts w:ascii="宋体" w:hAnsi="宋体" w:cs="宋体"/>
                <w:color w:val="auto"/>
                <w:szCs w:val="21"/>
              </w:rPr>
            </w:pPr>
            <w:r>
              <w:rPr>
                <w:rFonts w:hint="eastAsia" w:ascii="宋体" w:hAnsi="宋体" w:cs="宋体"/>
                <w:color w:val="auto"/>
                <w:szCs w:val="21"/>
              </w:rPr>
              <w:t>28000</w:t>
            </w:r>
          </w:p>
        </w:tc>
      </w:tr>
    </w:tbl>
    <w:p>
      <w:pPr>
        <w:spacing w:line="520" w:lineRule="exact"/>
        <w:ind w:firstLine="482" w:firstLineChars="200"/>
        <w:jc w:val="left"/>
        <w:rPr>
          <w:rFonts w:ascii="宋体" w:hAnsi="宋体"/>
          <w:b/>
          <w:bCs/>
          <w:color w:val="auto"/>
          <w:sz w:val="24"/>
        </w:rPr>
      </w:pPr>
    </w:p>
    <w:p>
      <w:pPr>
        <w:spacing w:line="440" w:lineRule="exact"/>
        <w:ind w:firstLine="482" w:firstLineChars="200"/>
        <w:jc w:val="left"/>
        <w:rPr>
          <w:rFonts w:ascii="宋体" w:hAnsi="宋体"/>
          <w:b/>
          <w:bCs/>
          <w:color w:val="auto"/>
          <w:sz w:val="24"/>
        </w:rPr>
      </w:pPr>
      <w:r>
        <w:rPr>
          <w:rFonts w:hint="eastAsia" w:ascii="宋体" w:hAnsi="宋体"/>
          <w:b/>
          <w:bCs/>
          <w:color w:val="auto"/>
          <w:sz w:val="24"/>
        </w:rPr>
        <w:t>商务要求：</w:t>
      </w:r>
    </w:p>
    <w:p>
      <w:pPr>
        <w:spacing w:line="440" w:lineRule="exact"/>
        <w:ind w:firstLine="482" w:firstLineChars="200"/>
        <w:jc w:val="left"/>
        <w:rPr>
          <w:rFonts w:ascii="宋体" w:hAnsi="宋体"/>
          <w:b/>
          <w:bCs/>
          <w:color w:val="auto"/>
          <w:sz w:val="24"/>
        </w:rPr>
      </w:pPr>
      <w:r>
        <w:rPr>
          <w:rFonts w:hint="eastAsia" w:ascii="宋体" w:hAnsi="宋体"/>
          <w:b/>
          <w:bCs/>
          <w:color w:val="auto"/>
          <w:sz w:val="24"/>
        </w:rPr>
        <w:t xml:space="preserve">1.技术参数要求中标注“ </w:t>
      </w:r>
      <w:r>
        <w:rPr>
          <w:rFonts w:hint="eastAsia"/>
          <w:b/>
          <w:bCs/>
          <w:color w:val="auto"/>
        </w:rPr>
        <w:t>▲</w:t>
      </w:r>
      <w:r>
        <w:rPr>
          <w:rFonts w:hint="eastAsia" w:ascii="宋体" w:hAnsi="宋体"/>
          <w:b/>
          <w:bCs/>
          <w:color w:val="auto"/>
          <w:sz w:val="24"/>
        </w:rPr>
        <w:t xml:space="preserve"> ”项的内容为实质性响应条款，必须满足或优于，否则竞标无效；</w:t>
      </w:r>
    </w:p>
    <w:p>
      <w:pPr>
        <w:spacing w:line="440" w:lineRule="exact"/>
        <w:ind w:firstLine="480" w:firstLineChars="200"/>
        <w:jc w:val="left"/>
        <w:rPr>
          <w:rFonts w:ascii="宋体" w:hAnsi="宋体"/>
          <w:color w:val="auto"/>
          <w:sz w:val="24"/>
        </w:rPr>
      </w:pPr>
      <w:r>
        <w:rPr>
          <w:rFonts w:hint="eastAsia" w:ascii="宋体" w:hAnsi="宋体"/>
          <w:color w:val="auto"/>
          <w:sz w:val="24"/>
        </w:rPr>
        <w:t>2.质保期：除技术参数中特别注明外，其余产品质保期至少为一年（自交货并验收合格之日起计）。质保期内免费上门更换有质量问题的图书。</w:t>
      </w:r>
    </w:p>
    <w:p>
      <w:pPr>
        <w:spacing w:line="440" w:lineRule="exact"/>
        <w:ind w:firstLine="480" w:firstLineChars="200"/>
        <w:jc w:val="left"/>
        <w:rPr>
          <w:rFonts w:ascii="宋体" w:hAnsi="宋体"/>
          <w:color w:val="auto"/>
          <w:sz w:val="24"/>
        </w:rPr>
      </w:pPr>
      <w:r>
        <w:rPr>
          <w:rFonts w:hint="eastAsia" w:ascii="宋体" w:hAnsi="宋体"/>
          <w:color w:val="auto"/>
          <w:sz w:val="24"/>
        </w:rPr>
        <w:t>3.售后技术服务要求：</w:t>
      </w:r>
    </w:p>
    <w:p>
      <w:pPr>
        <w:spacing w:line="440" w:lineRule="exact"/>
        <w:ind w:firstLine="480" w:firstLineChars="200"/>
        <w:jc w:val="left"/>
        <w:rPr>
          <w:rFonts w:ascii="宋体" w:hAnsi="宋体"/>
          <w:color w:val="auto"/>
          <w:sz w:val="24"/>
        </w:rPr>
      </w:pPr>
      <w:r>
        <w:rPr>
          <w:rFonts w:hint="eastAsia" w:ascii="宋体" w:hAnsi="宋体"/>
          <w:color w:val="auto"/>
          <w:sz w:val="24"/>
        </w:rPr>
        <w:t>①中标人应严格依照招标文件的要求配送图书，如出现非法出版物、质量、内容（包括重书）问题应予无条件退换；不符合采购人招标文件的要求的图书应无条件退换，收到更换通知之日起七天内应免费更换有缺陷的图书。严禁中标人提供盗版、盗印书籍。中标人必须保证所供图书为正版图书，若是盗版书或因是版权所引起的纠纷应由中标人负全部责任，并承担由此造成的一切后果及相应的经济和法律责任。投标时必须提供相关承诺书并加盖投标单位公章。</w:t>
      </w:r>
    </w:p>
    <w:p>
      <w:pPr>
        <w:spacing w:line="440" w:lineRule="exact"/>
        <w:ind w:firstLine="480" w:firstLineChars="200"/>
        <w:jc w:val="left"/>
        <w:rPr>
          <w:rFonts w:ascii="宋体" w:hAnsi="宋体"/>
          <w:color w:val="auto"/>
          <w:sz w:val="24"/>
        </w:rPr>
      </w:pPr>
      <w:r>
        <w:rPr>
          <w:rFonts w:hint="eastAsia" w:ascii="宋体" w:hAnsi="宋体"/>
          <w:color w:val="auto"/>
          <w:sz w:val="24"/>
        </w:rPr>
        <w:t>②质保期内，发现图书的质量、规格与合同不符，有漏页、缺页、破页，印刷字迹不清等不符合要求的情况（人为因素除外），中标人应负责免费更换。中标人在接到用户通知后 24 小时内予以答复，7 个工作日内免费更换有缺陷的图书。如果中标人在接到通知后 7 个工作日内没有更换有缺陷的图书，采购人可以追究其违约责任。</w:t>
      </w:r>
    </w:p>
    <w:p>
      <w:pPr>
        <w:spacing w:line="440" w:lineRule="exact"/>
        <w:ind w:firstLine="480" w:firstLineChars="200"/>
        <w:jc w:val="left"/>
        <w:rPr>
          <w:rFonts w:ascii="宋体" w:hAnsi="宋体"/>
          <w:color w:val="auto"/>
          <w:sz w:val="24"/>
        </w:rPr>
      </w:pPr>
      <w:r>
        <w:rPr>
          <w:rFonts w:hint="eastAsia" w:ascii="宋体" w:hAnsi="宋体"/>
          <w:color w:val="auto"/>
          <w:sz w:val="24"/>
        </w:rPr>
        <w:t>4.中标人对所提供的图书必须包装整齐，每件图书必须有装货单，装货单应标明序号、书名、出版社、单价、数量和包号，以便于归类和验收，装货单随货附送。</w:t>
      </w:r>
    </w:p>
    <w:p>
      <w:pPr>
        <w:spacing w:line="440" w:lineRule="exact"/>
        <w:ind w:firstLine="480" w:firstLineChars="200"/>
        <w:jc w:val="left"/>
        <w:rPr>
          <w:rFonts w:ascii="宋体" w:hAnsi="宋体"/>
          <w:color w:val="auto"/>
          <w:sz w:val="24"/>
        </w:rPr>
      </w:pPr>
      <w:r>
        <w:rPr>
          <w:rFonts w:hint="eastAsia" w:ascii="宋体" w:hAnsi="宋体"/>
          <w:color w:val="auto"/>
          <w:sz w:val="24"/>
        </w:rPr>
        <w:t>5.免费培训学校图书管理员，培训主要内容为：利用计算机图书管理系统对图书编目数据进行数据链接的使用和维护知识，并于验收时提供已培训的证明。</w:t>
      </w:r>
    </w:p>
    <w:p>
      <w:pPr>
        <w:spacing w:line="440" w:lineRule="exact"/>
        <w:ind w:firstLine="480" w:firstLineChars="200"/>
        <w:jc w:val="left"/>
        <w:rPr>
          <w:rFonts w:ascii="宋体" w:hAnsi="宋体"/>
          <w:color w:val="auto"/>
          <w:sz w:val="24"/>
        </w:rPr>
      </w:pPr>
      <w:r>
        <w:rPr>
          <w:rFonts w:hint="eastAsia" w:ascii="宋体" w:hAnsi="宋体"/>
          <w:color w:val="auto"/>
          <w:sz w:val="24"/>
        </w:rPr>
        <w:t>6.验收条件及标准：依据中华人民共和国国标 GB/T18359 图书印制质量标准、印刷行业 CYZ-91 标准进行验收。</w:t>
      </w:r>
    </w:p>
    <w:p>
      <w:pPr>
        <w:spacing w:line="440" w:lineRule="exact"/>
        <w:ind w:firstLine="480" w:firstLineChars="200"/>
        <w:jc w:val="left"/>
        <w:rPr>
          <w:rFonts w:ascii="宋体" w:hAnsi="宋体"/>
          <w:color w:val="auto"/>
          <w:sz w:val="24"/>
        </w:rPr>
      </w:pPr>
      <w:r>
        <w:rPr>
          <w:rFonts w:hint="eastAsia" w:ascii="宋体" w:hAnsi="宋体"/>
          <w:color w:val="auto"/>
          <w:sz w:val="24"/>
        </w:rPr>
        <w:t>7.验收方法及方案：</w:t>
      </w:r>
    </w:p>
    <w:p>
      <w:pPr>
        <w:spacing w:line="440" w:lineRule="exact"/>
        <w:ind w:firstLine="480" w:firstLineChars="200"/>
        <w:jc w:val="left"/>
        <w:rPr>
          <w:rFonts w:ascii="宋体" w:hAnsi="宋体"/>
          <w:color w:val="auto"/>
          <w:sz w:val="24"/>
        </w:rPr>
      </w:pPr>
      <w:r>
        <w:rPr>
          <w:rFonts w:hint="eastAsia" w:ascii="宋体" w:hAnsi="宋体"/>
          <w:color w:val="auto"/>
          <w:sz w:val="24"/>
        </w:rPr>
        <w:t>①验收时由采购方人员、市级教育装备部门人员及市教育信息化专家组成员共同组成验收小组，验收过程中所产生的费用由中标方承担。依据中标人提供的图书现场验收，交货验收时以现采图书进行验收。</w:t>
      </w:r>
    </w:p>
    <w:p>
      <w:pPr>
        <w:spacing w:line="440" w:lineRule="exact"/>
        <w:ind w:firstLine="480" w:firstLineChars="200"/>
        <w:jc w:val="left"/>
        <w:rPr>
          <w:rFonts w:ascii="宋体" w:hAnsi="宋体"/>
          <w:color w:val="auto"/>
          <w:sz w:val="24"/>
        </w:rPr>
      </w:pPr>
      <w:r>
        <w:rPr>
          <w:rFonts w:hint="eastAsia" w:ascii="宋体" w:hAnsi="宋体"/>
          <w:color w:val="auto"/>
          <w:sz w:val="24"/>
        </w:rPr>
        <w:t>②采购人认为需要提请相关质监部门介入进行检验鉴定的，因此所产生的费用由合同中的中标方承担。投标人在报价时自行考虑此项费用。</w:t>
      </w:r>
    </w:p>
    <w:p>
      <w:pPr>
        <w:spacing w:line="440" w:lineRule="exact"/>
        <w:ind w:firstLine="480" w:firstLineChars="200"/>
        <w:jc w:val="left"/>
        <w:rPr>
          <w:rFonts w:ascii="宋体" w:hAnsi="宋体"/>
          <w:color w:val="auto"/>
          <w:sz w:val="24"/>
        </w:rPr>
      </w:pPr>
      <w:r>
        <w:rPr>
          <w:rFonts w:hint="eastAsia" w:ascii="宋体" w:hAnsi="宋体"/>
          <w:color w:val="auto"/>
          <w:sz w:val="24"/>
        </w:rPr>
        <w:t>8.中标供应商不得分包和转包，若发现分包、转包，采购人有权终止合同，且中标供应商需向采购人支付合同价的5%违约金。</w:t>
      </w:r>
    </w:p>
    <w:p>
      <w:pPr>
        <w:spacing w:line="440" w:lineRule="exact"/>
        <w:ind w:firstLine="480" w:firstLineChars="200"/>
        <w:jc w:val="left"/>
        <w:rPr>
          <w:rFonts w:ascii="宋体" w:hAnsi="宋体"/>
          <w:color w:val="auto"/>
          <w:sz w:val="24"/>
        </w:rPr>
      </w:pPr>
      <w:r>
        <w:rPr>
          <w:rFonts w:hint="eastAsia" w:ascii="宋体" w:hAnsi="宋体"/>
          <w:color w:val="auto"/>
          <w:sz w:val="24"/>
        </w:rPr>
        <w:t>9.供应商提供的必须是全新、完整、未使用过的产品；中标供应商所投标产品,如有质量监督部门要求对产品进行检测、检验时，必须派出厂方代表协助检查，发现产品如有质量问题，中标供应商应承担全部费用及相应的责任。</w:t>
      </w:r>
    </w:p>
    <w:p>
      <w:pPr>
        <w:spacing w:line="440" w:lineRule="exact"/>
        <w:ind w:firstLine="480" w:firstLineChars="200"/>
        <w:jc w:val="left"/>
        <w:rPr>
          <w:rFonts w:ascii="宋体" w:hAnsi="宋体"/>
          <w:color w:val="auto"/>
          <w:sz w:val="24"/>
        </w:rPr>
      </w:pPr>
      <w:r>
        <w:rPr>
          <w:rFonts w:hint="eastAsia" w:ascii="宋体" w:hAnsi="宋体"/>
          <w:color w:val="auto"/>
          <w:sz w:val="24"/>
        </w:rPr>
        <w:t>10.供应商所投标产品不会发生任何的知识产权或经营权的纠纷。供应商需在投标文件中书面承诺采购方免受第三方提出侵犯其著作权、专利权、商标权或设计权的纠纷。</w:t>
      </w:r>
    </w:p>
    <w:p>
      <w:pPr>
        <w:spacing w:line="440" w:lineRule="exact"/>
        <w:ind w:firstLine="480" w:firstLineChars="200"/>
        <w:jc w:val="left"/>
        <w:rPr>
          <w:rFonts w:ascii="宋体" w:hAnsi="宋体"/>
          <w:color w:val="auto"/>
          <w:sz w:val="24"/>
        </w:rPr>
      </w:pPr>
      <w:r>
        <w:rPr>
          <w:rFonts w:hint="eastAsia" w:ascii="宋体" w:hAnsi="宋体"/>
          <w:color w:val="auto"/>
          <w:sz w:val="24"/>
        </w:rPr>
        <w:t>11.供应商在自2015年1月1日至今参加招标采购和经营活动中有重大违法记录或违约记录的，或有违约、供货产品质量不合格投诉的，或质量纠纷的，评标小组将按无效投标处理。中标供应商在报价活动中提供任何虚假材料，以及报价产品的技术参数不如实说明，其投标无效，并报监管部门查处；中标后，若中标供应商所供产品及售后服务不按采购文件要求履约的，将按照《中华人民共和国政府采购法》及其实施条例等有关规定严肃处理。</w:t>
      </w:r>
    </w:p>
    <w:p>
      <w:pPr>
        <w:spacing w:line="440" w:lineRule="exact"/>
        <w:ind w:firstLine="480" w:firstLineChars="200"/>
        <w:jc w:val="left"/>
        <w:rPr>
          <w:rFonts w:ascii="宋体" w:hAnsi="宋体"/>
          <w:color w:val="auto"/>
          <w:sz w:val="24"/>
        </w:rPr>
      </w:pPr>
      <w:r>
        <w:rPr>
          <w:rFonts w:hint="eastAsia" w:ascii="宋体" w:hAnsi="宋体"/>
          <w:color w:val="auto"/>
          <w:sz w:val="24"/>
        </w:rPr>
        <w:t>12.中标人应严格按招标文件规定的相关要求、标准供货。如中标单位供货未达到招标文件及合同所规定的相关要求、标准，采购人有权拒收货物。由此引起的一切后果由中标方承担。具体实施事宜，按合同要求办理。</w:t>
      </w:r>
    </w:p>
    <w:p>
      <w:pPr>
        <w:spacing w:line="440" w:lineRule="exact"/>
        <w:ind w:firstLine="480" w:firstLineChars="200"/>
        <w:jc w:val="left"/>
        <w:rPr>
          <w:rFonts w:ascii="宋体" w:hAnsi="宋体"/>
          <w:color w:val="auto"/>
          <w:sz w:val="24"/>
        </w:rPr>
      </w:pPr>
      <w:r>
        <w:rPr>
          <w:rFonts w:hint="eastAsia" w:ascii="宋体" w:hAnsi="宋体"/>
          <w:color w:val="auto"/>
          <w:sz w:val="24"/>
        </w:rPr>
        <w:t>13.为确保图书质量，</w:t>
      </w:r>
      <w:r>
        <w:rPr>
          <w:rFonts w:hint="eastAsia" w:ascii="宋体" w:hAnsi="宋体"/>
          <w:color w:val="auto"/>
          <w:sz w:val="24"/>
          <w:lang w:eastAsia="zh-CN"/>
        </w:rPr>
        <w:t>发布中标公告后五个工作日内</w:t>
      </w:r>
      <w:r>
        <w:rPr>
          <w:rFonts w:hint="eastAsia" w:ascii="宋体" w:hAnsi="宋体"/>
          <w:color w:val="auto"/>
          <w:sz w:val="24"/>
        </w:rPr>
        <w:t>，采购人随机要求中标供应商提供约100册目录中的图书作为验收依据，所提供的图书须满足或优于货物一览表中技术参数及内容，如有出现所提供图书不符本项目投标要求或无法提供图书者，视为虚假应标、提供虚假材料等情况，将取消中标资格处理，并追究其相应的法律责任。</w:t>
      </w:r>
    </w:p>
    <w:p>
      <w:pPr>
        <w:spacing w:line="440" w:lineRule="exact"/>
        <w:ind w:firstLine="480" w:firstLineChars="200"/>
        <w:jc w:val="left"/>
        <w:rPr>
          <w:rFonts w:ascii="宋体" w:hAnsi="宋体"/>
          <w:color w:val="auto"/>
          <w:sz w:val="24"/>
        </w:rPr>
      </w:pPr>
      <w:r>
        <w:rPr>
          <w:rFonts w:hint="eastAsia" w:ascii="宋体" w:hAnsi="宋体"/>
          <w:color w:val="auto"/>
          <w:sz w:val="24"/>
        </w:rPr>
        <w:t>14.中标人必须按项目学校现采选定的图书目录供货，不得自行调换品目（免费赠送的除外）。如因出版原因导致不能供货的，中标人需向采购人出具相关出版社证明原件，并经采购人同意后方可更换同类等价图书，但更换图书的品种和册数均不得超出原采购书目的5%，且更换的品种必须取得采购人的认可，否则，视为违约。如验收发现与订单不符，采购人将视为不合格图书予以退货，由此造成的一切损失由中标人承担。</w:t>
      </w:r>
    </w:p>
    <w:p>
      <w:pPr>
        <w:spacing w:line="440" w:lineRule="exact"/>
        <w:ind w:firstLine="480" w:firstLineChars="200"/>
        <w:jc w:val="left"/>
        <w:rPr>
          <w:rFonts w:ascii="宋体" w:hAnsi="宋体"/>
          <w:color w:val="auto"/>
          <w:sz w:val="24"/>
        </w:rPr>
      </w:pPr>
      <w:r>
        <w:rPr>
          <w:rFonts w:hint="eastAsia" w:ascii="宋体" w:hAnsi="宋体"/>
          <w:color w:val="auto"/>
          <w:sz w:val="24"/>
        </w:rPr>
        <w:t>15.签订合同之日：自发出中标通知书之日起10个日历日内签订合同。</w:t>
      </w:r>
    </w:p>
    <w:p>
      <w:pPr>
        <w:spacing w:line="440" w:lineRule="exact"/>
        <w:ind w:firstLine="480" w:firstLineChars="200"/>
        <w:jc w:val="left"/>
        <w:rPr>
          <w:rFonts w:ascii="宋体" w:hAnsi="宋体"/>
          <w:color w:val="auto"/>
          <w:sz w:val="24"/>
        </w:rPr>
      </w:pPr>
      <w:r>
        <w:rPr>
          <w:rFonts w:hint="eastAsia" w:ascii="宋体" w:hAnsi="宋体"/>
          <w:color w:val="auto"/>
          <w:sz w:val="24"/>
        </w:rPr>
        <w:t>16.交货期：自签订合同之日起</w:t>
      </w:r>
      <w:r>
        <w:rPr>
          <w:rFonts w:ascii="宋体" w:hAnsi="宋体"/>
          <w:color w:val="auto"/>
          <w:sz w:val="24"/>
        </w:rPr>
        <w:t>30</w:t>
      </w:r>
      <w:r>
        <w:rPr>
          <w:rFonts w:hint="eastAsia" w:ascii="宋体" w:hAnsi="宋体"/>
          <w:color w:val="auto"/>
          <w:sz w:val="24"/>
        </w:rPr>
        <w:t>个日历日内交货安装完毕并通过验收。</w:t>
      </w:r>
    </w:p>
    <w:p>
      <w:pPr>
        <w:spacing w:line="440" w:lineRule="exact"/>
        <w:ind w:firstLine="480" w:firstLineChars="200"/>
        <w:jc w:val="left"/>
        <w:rPr>
          <w:rFonts w:ascii="宋体" w:hAnsi="宋体"/>
          <w:color w:val="auto"/>
          <w:sz w:val="24"/>
        </w:rPr>
      </w:pPr>
      <w:r>
        <w:rPr>
          <w:rFonts w:hint="eastAsia" w:ascii="宋体" w:hAnsi="宋体"/>
          <w:color w:val="auto"/>
          <w:sz w:val="24"/>
        </w:rPr>
        <w:t>17.交货地点：广西钦州市采购人指定地点。</w:t>
      </w:r>
    </w:p>
    <w:p>
      <w:pPr>
        <w:pStyle w:val="2"/>
        <w:rPr>
          <w:rFonts w:ascii="Times New Roman" w:hAnsi="Times New Roman"/>
          <w:b/>
          <w:color w:val="auto"/>
          <w:sz w:val="22"/>
          <w:szCs w:val="22"/>
        </w:rPr>
      </w:pPr>
    </w:p>
    <w:p>
      <w:pPr>
        <w:pStyle w:val="2"/>
        <w:rPr>
          <w:rFonts w:ascii="Times New Roman" w:hAnsi="Times New Roman"/>
          <w:b/>
          <w:color w:val="auto"/>
          <w:sz w:val="22"/>
          <w:szCs w:val="22"/>
        </w:rPr>
      </w:pPr>
    </w:p>
    <w:p>
      <w:pPr>
        <w:rPr>
          <w:rFonts w:ascii="宋体" w:hAnsi="宋体" w:cs="宋体"/>
          <w:b w:val="0"/>
          <w:bCs w:val="0"/>
          <w:color w:val="auto"/>
          <w:sz w:val="44"/>
        </w:rPr>
      </w:pPr>
      <w:r>
        <w:rPr>
          <w:rFonts w:hint="eastAsia"/>
          <w:b/>
          <w:bCs/>
          <w:color w:val="auto"/>
          <w:sz w:val="22"/>
          <w:szCs w:val="22"/>
        </w:rPr>
        <w:t>注：采购标的对应的中小企业划分标准所属行业：根据《关于印发中小企业划型标准规定的通知》（工信部联企业[ 2011</w:t>
      </w:r>
      <w:r>
        <w:rPr>
          <w:b/>
          <w:bCs/>
          <w:color w:val="auto"/>
          <w:sz w:val="22"/>
          <w:szCs w:val="22"/>
        </w:rPr>
        <w:t>]</w:t>
      </w:r>
      <w:r>
        <w:rPr>
          <w:rFonts w:hint="eastAsia"/>
          <w:b/>
          <w:bCs/>
          <w:color w:val="auto"/>
          <w:sz w:val="22"/>
          <w:szCs w:val="22"/>
        </w:rPr>
        <w:t>300号），本次采购标的属于</w:t>
      </w:r>
      <w:r>
        <w:rPr>
          <w:rFonts w:hint="eastAsia"/>
          <w:b w:val="0"/>
          <w:bCs w:val="0"/>
          <w:color w:val="auto"/>
          <w:sz w:val="22"/>
          <w:szCs w:val="22"/>
        </w:rPr>
        <w:t>：</w:t>
      </w:r>
      <w:r>
        <w:rPr>
          <w:rFonts w:hint="eastAsia"/>
          <w:b/>
          <w:bCs/>
          <w:color w:val="auto"/>
        </w:rPr>
        <w:t>工业</w:t>
      </w:r>
    </w:p>
    <w:p>
      <w:pPr>
        <w:pStyle w:val="89"/>
        <w:rPr>
          <w:rFonts w:ascii="宋体" w:hAnsi="宋体" w:cs="宋体"/>
          <w:b/>
          <w:bCs/>
          <w:color w:val="auto"/>
          <w:sz w:val="24"/>
        </w:rPr>
      </w:pPr>
    </w:p>
    <w:p>
      <w:pPr>
        <w:pStyle w:val="89"/>
        <w:rPr>
          <w:rFonts w:ascii="宋体" w:hAnsi="宋体" w:cs="宋体"/>
          <w:b/>
          <w:bCs/>
          <w:color w:val="auto"/>
          <w:sz w:val="24"/>
        </w:rPr>
      </w:pPr>
    </w:p>
    <w:p>
      <w:pPr>
        <w:pStyle w:val="89"/>
        <w:rPr>
          <w:rFonts w:ascii="宋体" w:hAnsi="宋体" w:cs="宋体"/>
          <w:b/>
          <w:bCs/>
          <w:color w:val="auto"/>
          <w:kern w:val="0"/>
          <w:sz w:val="30"/>
          <w:szCs w:val="30"/>
        </w:rPr>
      </w:pPr>
      <w:r>
        <w:rPr>
          <w:rFonts w:hint="eastAsia" w:ascii="宋体" w:hAnsi="宋体" w:cs="宋体"/>
          <w:b/>
          <w:bCs/>
          <w:color w:val="auto"/>
          <w:sz w:val="24"/>
        </w:rPr>
        <w:t>附表</w:t>
      </w:r>
      <w:bookmarkStart w:id="56" w:name="_Toc28361_WPSOffice_Level2"/>
    </w:p>
    <w:p>
      <w:pPr>
        <w:widowControl/>
        <w:spacing w:before="120" w:beforeLines="50" w:after="120" w:afterLines="50" w:line="280" w:lineRule="exact"/>
        <w:jc w:val="center"/>
        <w:rPr>
          <w:rFonts w:ascii="宋体" w:hAnsi="宋体" w:cs="宋体"/>
          <w:b/>
          <w:bCs/>
          <w:color w:val="auto"/>
          <w:kern w:val="0"/>
          <w:sz w:val="30"/>
          <w:szCs w:val="30"/>
        </w:rPr>
      </w:pPr>
      <w:r>
        <w:rPr>
          <w:rFonts w:hint="eastAsia" w:ascii="宋体" w:hAnsi="宋体" w:cs="宋体"/>
          <w:b/>
          <w:bCs/>
          <w:color w:val="auto"/>
          <w:kern w:val="0"/>
          <w:sz w:val="30"/>
          <w:szCs w:val="30"/>
        </w:rPr>
        <w:t>统计上大中小微型企业划分标准</w:t>
      </w:r>
      <w:bookmarkEnd w:id="56"/>
    </w:p>
    <w:tbl>
      <w:tblPr>
        <w:tblStyle w:val="46"/>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pPr>
              <w:widowControl/>
              <w:spacing w:line="28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FFFFFF"/>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FFFFFF"/>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计量</w:t>
            </w:r>
          </w:p>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shd w:val="clear" w:color="auto" w:fill="FFFFFF"/>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FFFFFF"/>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FFFFFF"/>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FFFFFF"/>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spacing w:val="-12"/>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pPr>
        <w:widowControl/>
        <w:spacing w:line="280" w:lineRule="exact"/>
        <w:rPr>
          <w:rFonts w:ascii="宋体" w:hAnsi="宋体" w:cs="宋体"/>
          <w:color w:val="auto"/>
          <w:spacing w:val="8"/>
          <w:kern w:val="0"/>
          <w:szCs w:val="21"/>
        </w:rPr>
      </w:pPr>
    </w:p>
    <w:p>
      <w:pPr>
        <w:widowControl/>
        <w:spacing w:line="280" w:lineRule="exact"/>
        <w:rPr>
          <w:rFonts w:ascii="宋体" w:hAnsi="宋体" w:cs="宋体"/>
          <w:color w:val="auto"/>
          <w:spacing w:val="8"/>
          <w:kern w:val="0"/>
          <w:szCs w:val="21"/>
        </w:rPr>
      </w:pPr>
      <w:r>
        <w:rPr>
          <w:rFonts w:hint="eastAsia" w:ascii="宋体" w:hAnsi="宋体" w:cs="宋体"/>
          <w:color w:val="auto"/>
          <w:spacing w:val="8"/>
          <w:kern w:val="0"/>
          <w:szCs w:val="21"/>
        </w:rPr>
        <w:t>说明：</w:t>
      </w:r>
    </w:p>
    <w:p>
      <w:pPr>
        <w:pStyle w:val="18"/>
        <w:adjustRightInd w:val="0"/>
        <w:spacing w:line="280" w:lineRule="exact"/>
        <w:ind w:firstLine="452" w:firstLineChars="200"/>
        <w:contextualSpacing/>
        <w:rPr>
          <w:rFonts w:hAnsi="宋体" w:cs="宋体"/>
          <w:color w:val="auto"/>
          <w:spacing w:val="8"/>
          <w:kern w:val="0"/>
          <w:szCs w:val="21"/>
        </w:rPr>
      </w:pPr>
      <w:r>
        <w:rPr>
          <w:rFonts w:hint="eastAsia" w:hAnsi="宋体" w:cs="宋体"/>
          <w:color w:val="auto"/>
          <w:spacing w:val="8"/>
          <w:kern w:val="0"/>
          <w:szCs w:val="21"/>
        </w:rPr>
        <w:t>1.大型、中型和小型企业须同时满足所列指标的下限，否则下划一档；微型企业只须满足所列指标中的一项即可。</w:t>
      </w:r>
    </w:p>
    <w:p>
      <w:pPr>
        <w:pStyle w:val="18"/>
        <w:adjustRightInd w:val="0"/>
        <w:spacing w:line="280" w:lineRule="exact"/>
        <w:ind w:firstLine="452" w:firstLineChars="200"/>
        <w:contextualSpacing/>
        <w:rPr>
          <w:rFonts w:hAnsi="宋体" w:cs="宋体"/>
          <w:color w:val="auto"/>
          <w:spacing w:val="8"/>
          <w:kern w:val="0"/>
          <w:szCs w:val="21"/>
        </w:rPr>
      </w:pPr>
      <w:r>
        <w:rPr>
          <w:rFonts w:hint="eastAsia" w:hAnsi="宋体" w:cs="宋体"/>
          <w:color w:val="auto"/>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8"/>
        <w:adjustRightInd w:val="0"/>
        <w:spacing w:line="280" w:lineRule="exact"/>
        <w:ind w:firstLine="452" w:firstLineChars="200"/>
        <w:contextualSpacing/>
        <w:rPr>
          <w:rFonts w:hAnsi="宋体" w:cs="宋体"/>
          <w:color w:val="auto"/>
          <w:spacing w:val="8"/>
          <w:kern w:val="0"/>
          <w:szCs w:val="21"/>
        </w:rPr>
      </w:pPr>
      <w:r>
        <w:rPr>
          <w:rFonts w:hint="eastAsia" w:hAnsi="宋体" w:cs="宋体"/>
          <w:color w:val="auto"/>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8"/>
        <w:adjustRightInd w:val="0"/>
        <w:spacing w:line="280" w:lineRule="exact"/>
        <w:ind w:firstLine="452" w:firstLineChars="200"/>
        <w:contextualSpacing/>
        <w:rPr>
          <w:rFonts w:hAnsi="宋体" w:cs="宋体"/>
          <w:color w:val="auto"/>
          <w:spacing w:val="8"/>
          <w:kern w:val="0"/>
          <w:szCs w:val="21"/>
        </w:rPr>
      </w:pPr>
    </w:p>
    <w:p>
      <w:pPr>
        <w:pStyle w:val="18"/>
        <w:adjustRightInd w:val="0"/>
        <w:spacing w:line="280" w:lineRule="exact"/>
        <w:ind w:firstLine="452" w:firstLineChars="200"/>
        <w:contextualSpacing/>
        <w:rPr>
          <w:rFonts w:hAnsi="宋体" w:cs="宋体"/>
          <w:color w:val="auto"/>
          <w:spacing w:val="8"/>
          <w:kern w:val="0"/>
          <w:szCs w:val="21"/>
        </w:rPr>
      </w:pPr>
    </w:p>
    <w:p>
      <w:pPr>
        <w:pStyle w:val="18"/>
        <w:adjustRightInd w:val="0"/>
        <w:spacing w:line="280" w:lineRule="exact"/>
        <w:ind w:firstLine="452" w:firstLineChars="200"/>
        <w:contextualSpacing/>
        <w:rPr>
          <w:rFonts w:hAnsi="宋体" w:cs="宋体"/>
          <w:color w:val="auto"/>
          <w:spacing w:val="8"/>
          <w:kern w:val="0"/>
          <w:szCs w:val="21"/>
        </w:rPr>
      </w:pPr>
    </w:p>
    <w:p>
      <w:pPr>
        <w:pStyle w:val="18"/>
        <w:adjustRightInd w:val="0"/>
        <w:spacing w:line="280" w:lineRule="exact"/>
        <w:ind w:firstLine="452" w:firstLineChars="200"/>
        <w:contextualSpacing/>
        <w:rPr>
          <w:rFonts w:hAnsi="宋体" w:cs="宋体"/>
          <w:color w:val="auto"/>
          <w:spacing w:val="8"/>
          <w:kern w:val="0"/>
          <w:szCs w:val="21"/>
        </w:rPr>
      </w:pPr>
    </w:p>
    <w:p>
      <w:pPr>
        <w:pStyle w:val="18"/>
        <w:adjustRightInd w:val="0"/>
        <w:spacing w:line="280" w:lineRule="exact"/>
        <w:ind w:firstLine="452" w:firstLineChars="200"/>
        <w:contextualSpacing/>
        <w:rPr>
          <w:rFonts w:hAnsi="宋体" w:cs="宋体"/>
          <w:color w:val="auto"/>
          <w:spacing w:val="8"/>
          <w:kern w:val="0"/>
          <w:szCs w:val="21"/>
        </w:rPr>
      </w:pPr>
    </w:p>
    <w:p>
      <w:pPr>
        <w:pStyle w:val="18"/>
        <w:adjustRightInd w:val="0"/>
        <w:spacing w:line="280" w:lineRule="exact"/>
        <w:ind w:firstLine="452" w:firstLineChars="200"/>
        <w:contextualSpacing/>
        <w:rPr>
          <w:rFonts w:hAnsi="宋体" w:cs="宋体"/>
          <w:color w:val="auto"/>
          <w:spacing w:val="8"/>
          <w:kern w:val="0"/>
          <w:szCs w:val="21"/>
        </w:rPr>
      </w:pPr>
    </w:p>
    <w:p>
      <w:pPr>
        <w:pStyle w:val="18"/>
        <w:adjustRightInd w:val="0"/>
        <w:spacing w:line="280" w:lineRule="exact"/>
        <w:ind w:firstLine="452" w:firstLineChars="200"/>
        <w:contextualSpacing/>
        <w:rPr>
          <w:rFonts w:hAnsi="宋体" w:cs="宋体"/>
          <w:color w:val="auto"/>
          <w:spacing w:val="8"/>
          <w:kern w:val="0"/>
          <w:szCs w:val="21"/>
        </w:rPr>
      </w:pPr>
    </w:p>
    <w:p>
      <w:pPr>
        <w:pStyle w:val="18"/>
        <w:adjustRightInd w:val="0"/>
        <w:spacing w:line="280" w:lineRule="exact"/>
        <w:ind w:firstLine="452" w:firstLineChars="200"/>
        <w:contextualSpacing/>
        <w:rPr>
          <w:rFonts w:hAnsi="宋体" w:cs="宋体"/>
          <w:color w:val="auto"/>
          <w:spacing w:val="8"/>
          <w:kern w:val="0"/>
          <w:szCs w:val="21"/>
        </w:rPr>
      </w:pPr>
    </w:p>
    <w:p>
      <w:pPr>
        <w:pStyle w:val="18"/>
        <w:adjustRightInd w:val="0"/>
        <w:spacing w:line="280" w:lineRule="exact"/>
        <w:ind w:firstLine="452" w:firstLineChars="200"/>
        <w:contextualSpacing/>
        <w:rPr>
          <w:rFonts w:hAnsi="宋体" w:cs="宋体"/>
          <w:color w:val="auto"/>
          <w:spacing w:val="8"/>
          <w:kern w:val="0"/>
          <w:szCs w:val="21"/>
        </w:rPr>
      </w:pPr>
    </w:p>
    <w:p>
      <w:pPr>
        <w:pStyle w:val="18"/>
        <w:adjustRightInd w:val="0"/>
        <w:spacing w:line="280" w:lineRule="exact"/>
        <w:ind w:firstLine="452" w:firstLineChars="200"/>
        <w:contextualSpacing/>
        <w:rPr>
          <w:rFonts w:hAnsi="宋体" w:cs="宋体"/>
          <w:color w:val="auto"/>
          <w:spacing w:val="8"/>
          <w:kern w:val="0"/>
          <w:szCs w:val="21"/>
        </w:rPr>
      </w:pPr>
    </w:p>
    <w:p>
      <w:pPr>
        <w:pStyle w:val="18"/>
        <w:adjustRightInd w:val="0"/>
        <w:spacing w:line="280" w:lineRule="exact"/>
        <w:ind w:firstLine="452" w:firstLineChars="200"/>
        <w:contextualSpacing/>
        <w:rPr>
          <w:rFonts w:hAnsi="宋体" w:cs="宋体"/>
          <w:color w:val="auto"/>
          <w:spacing w:val="8"/>
          <w:kern w:val="0"/>
          <w:szCs w:val="21"/>
        </w:rPr>
      </w:pPr>
    </w:p>
    <w:p>
      <w:pPr>
        <w:pStyle w:val="18"/>
        <w:adjustRightInd w:val="0"/>
        <w:spacing w:line="280" w:lineRule="exact"/>
        <w:ind w:firstLine="452" w:firstLineChars="200"/>
        <w:contextualSpacing/>
        <w:rPr>
          <w:rFonts w:hAnsi="宋体" w:cs="宋体"/>
          <w:color w:val="auto"/>
          <w:spacing w:val="8"/>
          <w:kern w:val="0"/>
          <w:szCs w:val="21"/>
        </w:rPr>
      </w:pPr>
    </w:p>
    <w:p>
      <w:pPr>
        <w:pStyle w:val="18"/>
        <w:adjustRightInd w:val="0"/>
        <w:spacing w:line="280" w:lineRule="exact"/>
        <w:ind w:firstLine="452" w:firstLineChars="200"/>
        <w:contextualSpacing/>
        <w:rPr>
          <w:rFonts w:hAnsi="宋体" w:cs="宋体"/>
          <w:color w:val="auto"/>
          <w:spacing w:val="8"/>
          <w:kern w:val="0"/>
          <w:szCs w:val="21"/>
        </w:rPr>
      </w:pPr>
    </w:p>
    <w:p>
      <w:pPr>
        <w:pStyle w:val="18"/>
        <w:adjustRightInd w:val="0"/>
        <w:spacing w:line="280" w:lineRule="exact"/>
        <w:ind w:firstLine="452" w:firstLineChars="200"/>
        <w:contextualSpacing/>
        <w:rPr>
          <w:rFonts w:hAnsi="宋体" w:cs="宋体"/>
          <w:color w:val="auto"/>
          <w:spacing w:val="8"/>
          <w:kern w:val="0"/>
          <w:szCs w:val="21"/>
        </w:rPr>
      </w:pPr>
    </w:p>
    <w:p>
      <w:pPr>
        <w:pStyle w:val="18"/>
        <w:adjustRightInd w:val="0"/>
        <w:spacing w:line="280" w:lineRule="exact"/>
        <w:ind w:firstLine="452" w:firstLineChars="200"/>
        <w:contextualSpacing/>
        <w:rPr>
          <w:rFonts w:hAnsi="宋体" w:cs="宋体"/>
          <w:color w:val="auto"/>
          <w:spacing w:val="8"/>
          <w:kern w:val="0"/>
          <w:szCs w:val="21"/>
        </w:rPr>
      </w:pPr>
    </w:p>
    <w:p>
      <w:pPr>
        <w:pStyle w:val="18"/>
        <w:adjustRightInd w:val="0"/>
        <w:spacing w:line="280" w:lineRule="exact"/>
        <w:ind w:firstLine="452" w:firstLineChars="200"/>
        <w:contextualSpacing/>
        <w:rPr>
          <w:rFonts w:hAnsi="宋体" w:cs="宋体"/>
          <w:color w:val="auto"/>
          <w:spacing w:val="8"/>
          <w:kern w:val="0"/>
          <w:szCs w:val="21"/>
        </w:rPr>
      </w:pPr>
    </w:p>
    <w:p>
      <w:pPr>
        <w:pStyle w:val="18"/>
        <w:adjustRightInd w:val="0"/>
        <w:spacing w:line="280" w:lineRule="exact"/>
        <w:ind w:firstLine="452" w:firstLineChars="200"/>
        <w:contextualSpacing/>
        <w:rPr>
          <w:rFonts w:hAnsi="宋体" w:cs="宋体"/>
          <w:color w:val="auto"/>
          <w:spacing w:val="8"/>
          <w:kern w:val="0"/>
          <w:szCs w:val="21"/>
        </w:rPr>
      </w:pPr>
    </w:p>
    <w:p>
      <w:pPr>
        <w:pStyle w:val="18"/>
        <w:adjustRightInd w:val="0"/>
        <w:spacing w:line="280" w:lineRule="exact"/>
        <w:ind w:firstLine="452" w:firstLineChars="200"/>
        <w:contextualSpacing/>
        <w:rPr>
          <w:rFonts w:hAnsi="宋体" w:cs="宋体"/>
          <w:color w:val="auto"/>
          <w:spacing w:val="8"/>
          <w:kern w:val="0"/>
          <w:szCs w:val="21"/>
        </w:rPr>
      </w:pPr>
    </w:p>
    <w:p>
      <w:pPr>
        <w:pStyle w:val="18"/>
        <w:adjustRightInd w:val="0"/>
        <w:spacing w:line="280" w:lineRule="exact"/>
        <w:ind w:firstLine="452" w:firstLineChars="200"/>
        <w:contextualSpacing/>
        <w:rPr>
          <w:rFonts w:hAnsi="宋体" w:cs="宋体"/>
          <w:color w:val="auto"/>
          <w:spacing w:val="8"/>
          <w:kern w:val="0"/>
          <w:szCs w:val="21"/>
        </w:rPr>
      </w:pPr>
    </w:p>
    <w:p>
      <w:pPr>
        <w:pStyle w:val="18"/>
        <w:adjustRightInd w:val="0"/>
        <w:spacing w:line="280" w:lineRule="exact"/>
        <w:ind w:firstLine="452" w:firstLineChars="200"/>
        <w:contextualSpacing/>
        <w:rPr>
          <w:rFonts w:hAnsi="宋体" w:cs="宋体"/>
          <w:color w:val="auto"/>
          <w:spacing w:val="8"/>
          <w:kern w:val="0"/>
          <w:szCs w:val="21"/>
        </w:rPr>
      </w:pPr>
    </w:p>
    <w:p>
      <w:pPr>
        <w:pStyle w:val="18"/>
        <w:adjustRightInd w:val="0"/>
        <w:spacing w:line="280" w:lineRule="exact"/>
        <w:ind w:firstLine="452" w:firstLineChars="200"/>
        <w:contextualSpacing/>
        <w:rPr>
          <w:rFonts w:hAnsi="宋体" w:cs="宋体"/>
          <w:color w:val="auto"/>
          <w:spacing w:val="8"/>
          <w:kern w:val="0"/>
          <w:szCs w:val="21"/>
        </w:rPr>
      </w:pPr>
    </w:p>
    <w:p>
      <w:pPr>
        <w:pStyle w:val="18"/>
        <w:adjustRightInd w:val="0"/>
        <w:spacing w:line="280" w:lineRule="exact"/>
        <w:ind w:firstLine="452" w:firstLineChars="200"/>
        <w:contextualSpacing/>
        <w:rPr>
          <w:rFonts w:hAnsi="宋体" w:cs="宋体"/>
          <w:color w:val="auto"/>
          <w:spacing w:val="8"/>
          <w:kern w:val="0"/>
          <w:szCs w:val="21"/>
        </w:rPr>
      </w:pPr>
    </w:p>
    <w:p>
      <w:pPr>
        <w:pStyle w:val="18"/>
        <w:adjustRightInd w:val="0"/>
        <w:spacing w:line="280" w:lineRule="exact"/>
        <w:contextualSpacing/>
        <w:rPr>
          <w:rFonts w:hAnsi="宋体" w:cs="宋体"/>
          <w:color w:val="auto"/>
          <w:spacing w:val="8"/>
          <w:kern w:val="0"/>
          <w:szCs w:val="21"/>
        </w:rPr>
      </w:pPr>
    </w:p>
    <w:p>
      <w:pPr>
        <w:pStyle w:val="18"/>
        <w:adjustRightInd w:val="0"/>
        <w:spacing w:line="280" w:lineRule="exact"/>
        <w:ind w:firstLine="452" w:firstLineChars="200"/>
        <w:contextualSpacing/>
        <w:rPr>
          <w:rFonts w:hAnsi="宋体" w:cs="宋体"/>
          <w:color w:val="auto"/>
          <w:spacing w:val="8"/>
          <w:kern w:val="0"/>
          <w:szCs w:val="21"/>
        </w:rPr>
      </w:pPr>
    </w:p>
    <w:p>
      <w:pPr>
        <w:snapToGrid w:val="0"/>
        <w:ind w:right="420" w:firstLine="880" w:firstLineChars="200"/>
        <w:rPr>
          <w:rFonts w:ascii="宋体" w:hAnsi="宋体" w:cs="宋体"/>
          <w:color w:val="auto"/>
          <w:sz w:val="44"/>
          <w:szCs w:val="44"/>
        </w:rPr>
      </w:pPr>
      <w:r>
        <w:rPr>
          <w:rFonts w:hint="eastAsia" w:ascii="宋体" w:hAnsi="宋体" w:cs="宋体"/>
          <w:color w:val="auto"/>
          <w:sz w:val="44"/>
          <w:szCs w:val="44"/>
        </w:rPr>
        <w:t>第三章  合同基本条款及合同书（格式）</w:t>
      </w:r>
      <w:bookmarkEnd w:id="55"/>
    </w:p>
    <w:p>
      <w:pPr>
        <w:snapToGrid w:val="0"/>
        <w:spacing w:line="400" w:lineRule="exact"/>
        <w:ind w:right="420" w:firstLine="482" w:firstLineChars="200"/>
        <w:jc w:val="center"/>
        <w:rPr>
          <w:rFonts w:ascii="宋体" w:hAnsi="宋体" w:cs="宋体"/>
          <w:b/>
          <w:bCs/>
          <w:color w:val="auto"/>
          <w:sz w:val="24"/>
        </w:rPr>
      </w:pPr>
      <w:r>
        <w:rPr>
          <w:rFonts w:hint="eastAsia" w:ascii="宋体" w:hAnsi="宋体" w:cs="宋体"/>
          <w:b/>
          <w:bCs/>
          <w:color w:val="auto"/>
          <w:sz w:val="24"/>
        </w:rPr>
        <w:t>《广西壮族自治区政府采购合同》文本</w:t>
      </w:r>
    </w:p>
    <w:p>
      <w:pPr>
        <w:snapToGrid w:val="0"/>
        <w:spacing w:line="400" w:lineRule="exact"/>
        <w:ind w:right="420" w:firstLine="480" w:firstLineChars="200"/>
        <w:rPr>
          <w:rFonts w:ascii="宋体" w:hAnsi="宋体" w:cs="宋体"/>
          <w:color w:val="auto"/>
          <w:sz w:val="24"/>
        </w:rPr>
      </w:pPr>
    </w:p>
    <w:p>
      <w:pPr>
        <w:snapToGrid w:val="0"/>
        <w:spacing w:line="400" w:lineRule="exact"/>
        <w:ind w:right="480" w:firstLine="6000" w:firstLineChars="2500"/>
        <w:rPr>
          <w:rFonts w:ascii="宋体" w:hAnsi="宋体" w:cs="宋体"/>
          <w:bCs/>
          <w:color w:val="auto"/>
          <w:sz w:val="24"/>
          <w:u w:val="single"/>
        </w:rPr>
      </w:pPr>
      <w:r>
        <w:rPr>
          <w:rFonts w:hint="eastAsia" w:ascii="宋体" w:hAnsi="宋体" w:cs="宋体"/>
          <w:bCs/>
          <w:color w:val="auto"/>
          <w:sz w:val="24"/>
        </w:rPr>
        <w:t>合同编号：</w:t>
      </w:r>
    </w:p>
    <w:p>
      <w:pPr>
        <w:snapToGrid w:val="0"/>
        <w:spacing w:line="400" w:lineRule="exact"/>
        <w:rPr>
          <w:rFonts w:ascii="宋体" w:hAnsi="宋体" w:cs="宋体"/>
          <w:color w:val="auto"/>
          <w:sz w:val="24"/>
        </w:rPr>
      </w:pPr>
    </w:p>
    <w:p>
      <w:pPr>
        <w:snapToGrid w:val="0"/>
        <w:spacing w:line="400" w:lineRule="exact"/>
        <w:rPr>
          <w:rFonts w:ascii="宋体" w:hAnsi="宋体" w:cs="宋体"/>
          <w:color w:val="auto"/>
          <w:sz w:val="24"/>
          <w:u w:val="single"/>
        </w:rPr>
      </w:pPr>
      <w:r>
        <w:rPr>
          <w:rFonts w:hint="eastAsia" w:ascii="宋体" w:hAnsi="宋体" w:cs="宋体"/>
          <w:color w:val="auto"/>
          <w:sz w:val="24"/>
        </w:rPr>
        <w:t>采购人（甲方）：                            采购计划号：</w:t>
      </w:r>
      <w:r>
        <w:rPr>
          <w:rFonts w:hint="eastAsia" w:ascii="宋体" w:hAnsi="宋体" w:cs="宋体"/>
          <w:color w:val="auto"/>
          <w:sz w:val="24"/>
          <w:u w:val="single"/>
        </w:rPr>
        <w:t xml:space="preserve">                        </w:t>
      </w:r>
    </w:p>
    <w:p>
      <w:pPr>
        <w:snapToGrid w:val="0"/>
        <w:spacing w:line="400" w:lineRule="exact"/>
        <w:rPr>
          <w:rFonts w:ascii="宋体" w:hAnsi="宋体" w:cs="宋体"/>
          <w:color w:val="auto"/>
          <w:sz w:val="24"/>
        </w:rPr>
      </w:pPr>
      <w:r>
        <w:rPr>
          <w:rFonts w:hint="eastAsia" w:ascii="宋体" w:hAnsi="宋体" w:cs="宋体"/>
          <w:color w:val="auto"/>
          <w:sz w:val="24"/>
        </w:rPr>
        <w:t>供应商（乙方）：</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line="400" w:lineRule="exact"/>
        <w:rPr>
          <w:rFonts w:ascii="宋体" w:hAnsi="宋体" w:cs="宋体"/>
          <w:color w:val="auto"/>
          <w:sz w:val="24"/>
          <w:u w:val="single"/>
        </w:rPr>
      </w:pPr>
      <w:r>
        <w:rPr>
          <w:rFonts w:hint="eastAsia" w:ascii="宋体" w:hAnsi="宋体" w:cs="宋体"/>
          <w:color w:val="auto"/>
          <w:sz w:val="24"/>
        </w:rPr>
        <w:t>项目名称：                                  项目编号：</w:t>
      </w:r>
      <w:r>
        <w:rPr>
          <w:rFonts w:hint="eastAsia" w:ascii="宋体" w:hAnsi="宋体" w:cs="宋体"/>
          <w:color w:val="auto"/>
          <w:sz w:val="24"/>
          <w:u w:val="single"/>
        </w:rPr>
        <w:t xml:space="preserve">                          </w:t>
      </w:r>
    </w:p>
    <w:p>
      <w:pPr>
        <w:snapToGrid w:val="0"/>
        <w:spacing w:line="400" w:lineRule="exact"/>
        <w:rPr>
          <w:rFonts w:ascii="宋体" w:hAnsi="宋体" w:cs="宋体"/>
          <w:color w:val="auto"/>
          <w:sz w:val="24"/>
          <w:u w:val="single"/>
        </w:rPr>
      </w:pPr>
      <w:r>
        <w:rPr>
          <w:rFonts w:hint="eastAsia" w:ascii="宋体" w:hAnsi="宋体" w:cs="宋体"/>
          <w:color w:val="auto"/>
          <w:sz w:val="24"/>
        </w:rPr>
        <w:t>签订地点：                                  签订时间：</w:t>
      </w:r>
      <w:r>
        <w:rPr>
          <w:rFonts w:hint="eastAsia" w:ascii="宋体" w:hAnsi="宋体" w:cs="宋体"/>
          <w:color w:val="auto"/>
          <w:sz w:val="24"/>
          <w:u w:val="single"/>
        </w:rPr>
        <w:t xml:space="preserve">                          </w:t>
      </w:r>
    </w:p>
    <w:p>
      <w:pPr>
        <w:snapToGrid w:val="0"/>
        <w:spacing w:line="400" w:lineRule="exact"/>
        <w:ind w:firstLine="480" w:firstLineChars="200"/>
        <w:rPr>
          <w:rFonts w:ascii="宋体" w:hAnsi="宋体" w:cs="宋体"/>
          <w:color w:val="auto"/>
          <w:sz w:val="24"/>
        </w:rPr>
      </w:pP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根据《中华人民共和国政府采购法》《中华人民共和国民法典》等法律、法规规定，按照竞争性谈判文件规定条款和成交供应商承诺，甲乙双方签订本合同。</w:t>
      </w:r>
    </w:p>
    <w:p>
      <w:pPr>
        <w:snapToGrid w:val="0"/>
        <w:spacing w:line="400" w:lineRule="exact"/>
        <w:ind w:firstLine="482" w:firstLineChars="200"/>
        <w:rPr>
          <w:rFonts w:ascii="宋体" w:hAnsi="宋体" w:cs="宋体"/>
          <w:b/>
          <w:color w:val="auto"/>
          <w:sz w:val="24"/>
        </w:rPr>
      </w:pPr>
      <w:r>
        <w:rPr>
          <w:rFonts w:hint="eastAsia" w:ascii="宋体" w:hAnsi="宋体" w:cs="宋体"/>
          <w:b/>
          <w:color w:val="auto"/>
          <w:sz w:val="24"/>
        </w:rPr>
        <w:t>第一条　合同标的</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1.供货一览表</w:t>
      </w:r>
    </w:p>
    <w:tbl>
      <w:tblPr>
        <w:tblStyle w:val="46"/>
        <w:tblW w:w="971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308"/>
        <w:gridCol w:w="1256"/>
        <w:gridCol w:w="1176"/>
        <w:gridCol w:w="1284"/>
        <w:gridCol w:w="782"/>
        <w:gridCol w:w="780"/>
        <w:gridCol w:w="1162"/>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752" w:type="dxa"/>
            <w:vAlign w:val="center"/>
          </w:tcPr>
          <w:p>
            <w:pPr>
              <w:snapToGrid w:val="0"/>
              <w:spacing w:line="400" w:lineRule="exact"/>
              <w:jc w:val="center"/>
              <w:rPr>
                <w:rFonts w:ascii="宋体" w:hAnsi="宋体" w:cs="宋体"/>
                <w:color w:val="auto"/>
                <w:sz w:val="24"/>
              </w:rPr>
            </w:pPr>
            <w:r>
              <w:rPr>
                <w:rFonts w:hint="eastAsia" w:ascii="宋体" w:hAnsi="宋体" w:cs="宋体"/>
                <w:color w:val="auto"/>
                <w:sz w:val="24"/>
              </w:rPr>
              <w:t>序号</w:t>
            </w:r>
          </w:p>
        </w:tc>
        <w:tc>
          <w:tcPr>
            <w:tcW w:w="1308" w:type="dxa"/>
            <w:vAlign w:val="center"/>
          </w:tcPr>
          <w:p>
            <w:pPr>
              <w:snapToGrid w:val="0"/>
              <w:spacing w:line="400" w:lineRule="exact"/>
              <w:jc w:val="center"/>
              <w:rPr>
                <w:rFonts w:ascii="宋体" w:hAnsi="宋体" w:cs="宋体"/>
                <w:color w:val="auto"/>
                <w:sz w:val="24"/>
              </w:rPr>
            </w:pPr>
            <w:r>
              <w:rPr>
                <w:rFonts w:hint="eastAsia" w:ascii="宋体" w:hAnsi="宋体" w:cs="宋体"/>
                <w:color w:val="auto"/>
                <w:sz w:val="24"/>
              </w:rPr>
              <w:t>产品名称</w:t>
            </w:r>
          </w:p>
        </w:tc>
        <w:tc>
          <w:tcPr>
            <w:tcW w:w="1256" w:type="dxa"/>
            <w:vAlign w:val="center"/>
          </w:tcPr>
          <w:p>
            <w:pPr>
              <w:snapToGrid w:val="0"/>
              <w:spacing w:line="400" w:lineRule="exact"/>
              <w:jc w:val="center"/>
              <w:rPr>
                <w:rFonts w:ascii="宋体" w:hAnsi="宋体" w:cs="宋体"/>
                <w:color w:val="auto"/>
                <w:sz w:val="24"/>
              </w:rPr>
            </w:pPr>
            <w:r>
              <w:rPr>
                <w:rFonts w:hint="eastAsia" w:ascii="宋体" w:hAnsi="宋体" w:cs="宋体"/>
                <w:color w:val="auto"/>
                <w:sz w:val="24"/>
              </w:rPr>
              <w:t>商标品牌</w:t>
            </w:r>
          </w:p>
        </w:tc>
        <w:tc>
          <w:tcPr>
            <w:tcW w:w="1176" w:type="dxa"/>
            <w:vAlign w:val="center"/>
          </w:tcPr>
          <w:p>
            <w:pPr>
              <w:snapToGrid w:val="0"/>
              <w:spacing w:line="400" w:lineRule="exact"/>
              <w:jc w:val="center"/>
              <w:rPr>
                <w:rFonts w:ascii="宋体" w:hAnsi="宋体" w:cs="宋体"/>
                <w:color w:val="auto"/>
                <w:sz w:val="24"/>
              </w:rPr>
            </w:pPr>
            <w:r>
              <w:rPr>
                <w:rFonts w:hint="eastAsia" w:ascii="宋体" w:hAnsi="宋体" w:cs="宋体"/>
                <w:color w:val="auto"/>
                <w:sz w:val="24"/>
              </w:rPr>
              <w:t>规格型号</w:t>
            </w:r>
          </w:p>
        </w:tc>
        <w:tc>
          <w:tcPr>
            <w:tcW w:w="1284" w:type="dxa"/>
            <w:vAlign w:val="center"/>
          </w:tcPr>
          <w:p>
            <w:pPr>
              <w:snapToGrid w:val="0"/>
              <w:spacing w:line="400" w:lineRule="exact"/>
              <w:jc w:val="center"/>
              <w:rPr>
                <w:rFonts w:ascii="宋体" w:hAnsi="宋体" w:cs="宋体"/>
                <w:color w:val="auto"/>
                <w:sz w:val="24"/>
              </w:rPr>
            </w:pPr>
            <w:r>
              <w:rPr>
                <w:rFonts w:hint="eastAsia" w:ascii="宋体" w:hAnsi="宋体" w:cs="宋体"/>
                <w:color w:val="auto"/>
                <w:sz w:val="24"/>
              </w:rPr>
              <w:t>生产厂家</w:t>
            </w:r>
          </w:p>
        </w:tc>
        <w:tc>
          <w:tcPr>
            <w:tcW w:w="782" w:type="dxa"/>
            <w:vAlign w:val="center"/>
          </w:tcPr>
          <w:p>
            <w:pPr>
              <w:snapToGrid w:val="0"/>
              <w:spacing w:line="400" w:lineRule="exact"/>
              <w:jc w:val="center"/>
              <w:rPr>
                <w:rFonts w:ascii="宋体" w:hAnsi="宋体" w:cs="宋体"/>
                <w:color w:val="auto"/>
                <w:sz w:val="24"/>
              </w:rPr>
            </w:pPr>
            <w:r>
              <w:rPr>
                <w:rFonts w:hint="eastAsia" w:ascii="宋体" w:hAnsi="宋体" w:cs="宋体"/>
                <w:color w:val="auto"/>
                <w:sz w:val="24"/>
              </w:rPr>
              <w:t>数量</w:t>
            </w:r>
          </w:p>
        </w:tc>
        <w:tc>
          <w:tcPr>
            <w:tcW w:w="780" w:type="dxa"/>
            <w:vAlign w:val="center"/>
          </w:tcPr>
          <w:p>
            <w:pPr>
              <w:snapToGrid w:val="0"/>
              <w:spacing w:line="400" w:lineRule="exact"/>
              <w:jc w:val="center"/>
              <w:rPr>
                <w:rFonts w:ascii="宋体" w:hAnsi="宋体" w:cs="宋体"/>
                <w:color w:val="auto"/>
                <w:sz w:val="24"/>
              </w:rPr>
            </w:pPr>
            <w:r>
              <w:rPr>
                <w:rFonts w:hint="eastAsia" w:ascii="宋体" w:hAnsi="宋体" w:cs="宋体"/>
                <w:color w:val="auto"/>
                <w:sz w:val="24"/>
              </w:rPr>
              <w:t>单位</w:t>
            </w:r>
          </w:p>
        </w:tc>
        <w:tc>
          <w:tcPr>
            <w:tcW w:w="1162" w:type="dxa"/>
            <w:vAlign w:val="center"/>
          </w:tcPr>
          <w:p>
            <w:pPr>
              <w:snapToGrid w:val="0"/>
              <w:spacing w:line="400" w:lineRule="exact"/>
              <w:jc w:val="center"/>
              <w:rPr>
                <w:rFonts w:ascii="宋体" w:hAnsi="宋体" w:cs="宋体"/>
                <w:color w:val="auto"/>
                <w:sz w:val="24"/>
              </w:rPr>
            </w:pPr>
            <w:r>
              <w:rPr>
                <w:rFonts w:hint="eastAsia" w:ascii="宋体" w:hAnsi="宋体" w:cs="宋体"/>
                <w:color w:val="auto"/>
                <w:sz w:val="24"/>
              </w:rPr>
              <w:t>单价（元）</w:t>
            </w:r>
          </w:p>
        </w:tc>
        <w:tc>
          <w:tcPr>
            <w:tcW w:w="1215" w:type="dxa"/>
            <w:vAlign w:val="center"/>
          </w:tcPr>
          <w:p>
            <w:pPr>
              <w:snapToGrid w:val="0"/>
              <w:spacing w:line="400" w:lineRule="exact"/>
              <w:jc w:val="center"/>
              <w:rPr>
                <w:rFonts w:ascii="宋体" w:hAnsi="宋体" w:cs="宋体"/>
                <w:color w:val="auto"/>
                <w:sz w:val="24"/>
              </w:rPr>
            </w:pPr>
            <w:r>
              <w:rPr>
                <w:rFonts w:hint="eastAsia" w:ascii="宋体" w:hAnsi="宋体" w:cs="宋体"/>
                <w:color w:val="auto"/>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rPr>
        <w:tc>
          <w:tcPr>
            <w:tcW w:w="752" w:type="dxa"/>
            <w:vAlign w:val="center"/>
          </w:tcPr>
          <w:p>
            <w:pPr>
              <w:snapToGrid w:val="0"/>
              <w:spacing w:line="400" w:lineRule="exact"/>
              <w:jc w:val="center"/>
              <w:rPr>
                <w:rFonts w:ascii="宋体" w:hAnsi="宋体" w:cs="宋体"/>
                <w:color w:val="auto"/>
                <w:sz w:val="24"/>
              </w:rPr>
            </w:pPr>
            <w:r>
              <w:rPr>
                <w:rFonts w:hint="eastAsia" w:ascii="宋体" w:hAnsi="宋体" w:cs="宋体"/>
                <w:color w:val="auto"/>
                <w:sz w:val="24"/>
              </w:rPr>
              <w:t>1</w:t>
            </w:r>
          </w:p>
        </w:tc>
        <w:tc>
          <w:tcPr>
            <w:tcW w:w="1308" w:type="dxa"/>
            <w:vAlign w:val="center"/>
          </w:tcPr>
          <w:p>
            <w:pPr>
              <w:snapToGrid w:val="0"/>
              <w:spacing w:line="400" w:lineRule="exact"/>
              <w:jc w:val="center"/>
              <w:rPr>
                <w:rFonts w:ascii="宋体" w:hAnsi="宋体" w:cs="宋体"/>
                <w:color w:val="auto"/>
                <w:sz w:val="24"/>
              </w:rPr>
            </w:pPr>
          </w:p>
        </w:tc>
        <w:tc>
          <w:tcPr>
            <w:tcW w:w="1256" w:type="dxa"/>
            <w:vAlign w:val="center"/>
          </w:tcPr>
          <w:p>
            <w:pPr>
              <w:snapToGrid w:val="0"/>
              <w:spacing w:line="400" w:lineRule="exact"/>
              <w:jc w:val="center"/>
              <w:rPr>
                <w:rFonts w:ascii="宋体" w:hAnsi="宋体" w:cs="宋体"/>
                <w:color w:val="auto"/>
                <w:sz w:val="24"/>
              </w:rPr>
            </w:pPr>
          </w:p>
        </w:tc>
        <w:tc>
          <w:tcPr>
            <w:tcW w:w="1176" w:type="dxa"/>
            <w:vAlign w:val="center"/>
          </w:tcPr>
          <w:p>
            <w:pPr>
              <w:snapToGrid w:val="0"/>
              <w:spacing w:line="400" w:lineRule="exact"/>
              <w:jc w:val="center"/>
              <w:rPr>
                <w:rFonts w:ascii="宋体" w:hAnsi="宋体" w:cs="宋体"/>
                <w:color w:val="auto"/>
                <w:sz w:val="24"/>
              </w:rPr>
            </w:pPr>
          </w:p>
        </w:tc>
        <w:tc>
          <w:tcPr>
            <w:tcW w:w="1284" w:type="dxa"/>
          </w:tcPr>
          <w:p>
            <w:pPr>
              <w:snapToGrid w:val="0"/>
              <w:spacing w:line="400" w:lineRule="exact"/>
              <w:jc w:val="center"/>
              <w:rPr>
                <w:rFonts w:ascii="宋体" w:hAnsi="宋体" w:cs="宋体"/>
                <w:color w:val="auto"/>
                <w:sz w:val="24"/>
              </w:rPr>
            </w:pPr>
          </w:p>
        </w:tc>
        <w:tc>
          <w:tcPr>
            <w:tcW w:w="782" w:type="dxa"/>
          </w:tcPr>
          <w:p>
            <w:pPr>
              <w:snapToGrid w:val="0"/>
              <w:spacing w:line="400" w:lineRule="exact"/>
              <w:jc w:val="center"/>
              <w:rPr>
                <w:rFonts w:ascii="宋体" w:hAnsi="宋体" w:cs="宋体"/>
                <w:color w:val="auto"/>
                <w:sz w:val="24"/>
              </w:rPr>
            </w:pPr>
          </w:p>
        </w:tc>
        <w:tc>
          <w:tcPr>
            <w:tcW w:w="780" w:type="dxa"/>
          </w:tcPr>
          <w:p>
            <w:pPr>
              <w:snapToGrid w:val="0"/>
              <w:spacing w:line="400" w:lineRule="exact"/>
              <w:jc w:val="center"/>
              <w:rPr>
                <w:rFonts w:ascii="宋体" w:hAnsi="宋体" w:cs="宋体"/>
                <w:color w:val="auto"/>
                <w:sz w:val="24"/>
              </w:rPr>
            </w:pPr>
          </w:p>
        </w:tc>
        <w:tc>
          <w:tcPr>
            <w:tcW w:w="1162" w:type="dxa"/>
            <w:vAlign w:val="center"/>
          </w:tcPr>
          <w:p>
            <w:pPr>
              <w:snapToGrid w:val="0"/>
              <w:spacing w:line="400" w:lineRule="exact"/>
              <w:jc w:val="center"/>
              <w:rPr>
                <w:rFonts w:ascii="宋体" w:hAnsi="宋体" w:cs="宋体"/>
                <w:color w:val="auto"/>
                <w:sz w:val="24"/>
              </w:rPr>
            </w:pPr>
          </w:p>
        </w:tc>
        <w:tc>
          <w:tcPr>
            <w:tcW w:w="1215" w:type="dxa"/>
            <w:vAlign w:val="center"/>
          </w:tcPr>
          <w:p>
            <w:pPr>
              <w:snapToGrid w:val="0"/>
              <w:spacing w:line="4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rPr>
        <w:tc>
          <w:tcPr>
            <w:tcW w:w="752" w:type="dxa"/>
            <w:vAlign w:val="center"/>
          </w:tcPr>
          <w:p>
            <w:pPr>
              <w:snapToGrid w:val="0"/>
              <w:spacing w:line="400" w:lineRule="exact"/>
              <w:jc w:val="center"/>
              <w:rPr>
                <w:rFonts w:ascii="宋体" w:hAnsi="宋体" w:cs="宋体"/>
                <w:color w:val="auto"/>
                <w:sz w:val="24"/>
              </w:rPr>
            </w:pPr>
            <w:r>
              <w:rPr>
                <w:rFonts w:hint="eastAsia" w:ascii="宋体" w:hAnsi="宋体" w:cs="宋体"/>
                <w:color w:val="auto"/>
                <w:sz w:val="24"/>
              </w:rPr>
              <w:t>2</w:t>
            </w:r>
          </w:p>
        </w:tc>
        <w:tc>
          <w:tcPr>
            <w:tcW w:w="1308" w:type="dxa"/>
            <w:vAlign w:val="center"/>
          </w:tcPr>
          <w:p>
            <w:pPr>
              <w:snapToGrid w:val="0"/>
              <w:spacing w:line="400" w:lineRule="exact"/>
              <w:jc w:val="center"/>
              <w:rPr>
                <w:rFonts w:ascii="宋体" w:hAnsi="宋体" w:cs="宋体"/>
                <w:color w:val="auto"/>
                <w:sz w:val="24"/>
              </w:rPr>
            </w:pPr>
          </w:p>
        </w:tc>
        <w:tc>
          <w:tcPr>
            <w:tcW w:w="1256" w:type="dxa"/>
            <w:vAlign w:val="center"/>
          </w:tcPr>
          <w:p>
            <w:pPr>
              <w:snapToGrid w:val="0"/>
              <w:spacing w:line="400" w:lineRule="exact"/>
              <w:jc w:val="center"/>
              <w:rPr>
                <w:rFonts w:ascii="宋体" w:hAnsi="宋体" w:cs="宋体"/>
                <w:color w:val="auto"/>
                <w:sz w:val="24"/>
              </w:rPr>
            </w:pPr>
          </w:p>
        </w:tc>
        <w:tc>
          <w:tcPr>
            <w:tcW w:w="1176" w:type="dxa"/>
            <w:vAlign w:val="center"/>
          </w:tcPr>
          <w:p>
            <w:pPr>
              <w:snapToGrid w:val="0"/>
              <w:spacing w:line="400" w:lineRule="exact"/>
              <w:jc w:val="center"/>
              <w:rPr>
                <w:rFonts w:ascii="宋体" w:hAnsi="宋体" w:cs="宋体"/>
                <w:color w:val="auto"/>
                <w:sz w:val="24"/>
              </w:rPr>
            </w:pPr>
          </w:p>
        </w:tc>
        <w:tc>
          <w:tcPr>
            <w:tcW w:w="1284" w:type="dxa"/>
          </w:tcPr>
          <w:p>
            <w:pPr>
              <w:snapToGrid w:val="0"/>
              <w:spacing w:line="400" w:lineRule="exact"/>
              <w:jc w:val="center"/>
              <w:rPr>
                <w:rFonts w:ascii="宋体" w:hAnsi="宋体" w:cs="宋体"/>
                <w:color w:val="auto"/>
                <w:sz w:val="24"/>
              </w:rPr>
            </w:pPr>
          </w:p>
        </w:tc>
        <w:tc>
          <w:tcPr>
            <w:tcW w:w="782" w:type="dxa"/>
          </w:tcPr>
          <w:p>
            <w:pPr>
              <w:snapToGrid w:val="0"/>
              <w:spacing w:line="400" w:lineRule="exact"/>
              <w:jc w:val="center"/>
              <w:rPr>
                <w:rFonts w:ascii="宋体" w:hAnsi="宋体" w:cs="宋体"/>
                <w:color w:val="auto"/>
                <w:sz w:val="24"/>
              </w:rPr>
            </w:pPr>
          </w:p>
        </w:tc>
        <w:tc>
          <w:tcPr>
            <w:tcW w:w="780" w:type="dxa"/>
          </w:tcPr>
          <w:p>
            <w:pPr>
              <w:snapToGrid w:val="0"/>
              <w:spacing w:line="400" w:lineRule="exact"/>
              <w:jc w:val="center"/>
              <w:rPr>
                <w:rFonts w:ascii="宋体" w:hAnsi="宋体" w:cs="宋体"/>
                <w:color w:val="auto"/>
                <w:sz w:val="24"/>
              </w:rPr>
            </w:pPr>
          </w:p>
        </w:tc>
        <w:tc>
          <w:tcPr>
            <w:tcW w:w="1162" w:type="dxa"/>
            <w:vAlign w:val="center"/>
          </w:tcPr>
          <w:p>
            <w:pPr>
              <w:snapToGrid w:val="0"/>
              <w:spacing w:line="400" w:lineRule="exact"/>
              <w:jc w:val="center"/>
              <w:rPr>
                <w:rFonts w:ascii="宋体" w:hAnsi="宋体" w:cs="宋体"/>
                <w:color w:val="auto"/>
                <w:sz w:val="24"/>
              </w:rPr>
            </w:pPr>
          </w:p>
        </w:tc>
        <w:tc>
          <w:tcPr>
            <w:tcW w:w="1215" w:type="dxa"/>
            <w:vAlign w:val="center"/>
          </w:tcPr>
          <w:p>
            <w:pPr>
              <w:snapToGrid w:val="0"/>
              <w:spacing w:line="4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rPr>
        <w:tc>
          <w:tcPr>
            <w:tcW w:w="752" w:type="dxa"/>
            <w:vAlign w:val="center"/>
          </w:tcPr>
          <w:p>
            <w:pPr>
              <w:snapToGrid w:val="0"/>
              <w:spacing w:line="400" w:lineRule="exact"/>
              <w:jc w:val="center"/>
              <w:rPr>
                <w:rFonts w:ascii="宋体" w:hAnsi="宋体" w:cs="宋体"/>
                <w:color w:val="auto"/>
                <w:sz w:val="24"/>
              </w:rPr>
            </w:pPr>
            <w:r>
              <w:rPr>
                <w:rFonts w:hint="eastAsia" w:ascii="宋体" w:hAnsi="宋体" w:cs="宋体"/>
                <w:color w:val="auto"/>
                <w:sz w:val="24"/>
              </w:rPr>
              <w:t>3</w:t>
            </w:r>
          </w:p>
        </w:tc>
        <w:tc>
          <w:tcPr>
            <w:tcW w:w="1308" w:type="dxa"/>
            <w:vAlign w:val="center"/>
          </w:tcPr>
          <w:p>
            <w:pPr>
              <w:snapToGrid w:val="0"/>
              <w:spacing w:line="400" w:lineRule="exact"/>
              <w:jc w:val="center"/>
              <w:rPr>
                <w:rFonts w:ascii="宋体" w:hAnsi="宋体" w:cs="宋体"/>
                <w:color w:val="auto"/>
                <w:sz w:val="24"/>
              </w:rPr>
            </w:pPr>
          </w:p>
        </w:tc>
        <w:tc>
          <w:tcPr>
            <w:tcW w:w="1256" w:type="dxa"/>
            <w:vAlign w:val="center"/>
          </w:tcPr>
          <w:p>
            <w:pPr>
              <w:snapToGrid w:val="0"/>
              <w:spacing w:line="400" w:lineRule="exact"/>
              <w:jc w:val="center"/>
              <w:rPr>
                <w:rFonts w:ascii="宋体" w:hAnsi="宋体" w:cs="宋体"/>
                <w:color w:val="auto"/>
                <w:sz w:val="24"/>
              </w:rPr>
            </w:pPr>
          </w:p>
        </w:tc>
        <w:tc>
          <w:tcPr>
            <w:tcW w:w="1176" w:type="dxa"/>
            <w:vAlign w:val="center"/>
          </w:tcPr>
          <w:p>
            <w:pPr>
              <w:snapToGrid w:val="0"/>
              <w:spacing w:line="400" w:lineRule="exact"/>
              <w:jc w:val="center"/>
              <w:rPr>
                <w:rFonts w:ascii="宋体" w:hAnsi="宋体" w:cs="宋体"/>
                <w:color w:val="auto"/>
                <w:sz w:val="24"/>
              </w:rPr>
            </w:pPr>
          </w:p>
        </w:tc>
        <w:tc>
          <w:tcPr>
            <w:tcW w:w="1284" w:type="dxa"/>
          </w:tcPr>
          <w:p>
            <w:pPr>
              <w:snapToGrid w:val="0"/>
              <w:spacing w:line="400" w:lineRule="exact"/>
              <w:jc w:val="center"/>
              <w:rPr>
                <w:rFonts w:ascii="宋体" w:hAnsi="宋体" w:cs="宋体"/>
                <w:color w:val="auto"/>
                <w:sz w:val="24"/>
              </w:rPr>
            </w:pPr>
          </w:p>
        </w:tc>
        <w:tc>
          <w:tcPr>
            <w:tcW w:w="782" w:type="dxa"/>
          </w:tcPr>
          <w:p>
            <w:pPr>
              <w:snapToGrid w:val="0"/>
              <w:spacing w:line="400" w:lineRule="exact"/>
              <w:jc w:val="center"/>
              <w:rPr>
                <w:rFonts w:ascii="宋体" w:hAnsi="宋体" w:cs="宋体"/>
                <w:color w:val="auto"/>
                <w:sz w:val="24"/>
              </w:rPr>
            </w:pPr>
          </w:p>
        </w:tc>
        <w:tc>
          <w:tcPr>
            <w:tcW w:w="780" w:type="dxa"/>
          </w:tcPr>
          <w:p>
            <w:pPr>
              <w:snapToGrid w:val="0"/>
              <w:spacing w:line="400" w:lineRule="exact"/>
              <w:jc w:val="center"/>
              <w:rPr>
                <w:rFonts w:ascii="宋体" w:hAnsi="宋体" w:cs="宋体"/>
                <w:color w:val="auto"/>
                <w:sz w:val="24"/>
              </w:rPr>
            </w:pPr>
          </w:p>
        </w:tc>
        <w:tc>
          <w:tcPr>
            <w:tcW w:w="1162" w:type="dxa"/>
            <w:vAlign w:val="center"/>
          </w:tcPr>
          <w:p>
            <w:pPr>
              <w:snapToGrid w:val="0"/>
              <w:spacing w:line="400" w:lineRule="exact"/>
              <w:jc w:val="center"/>
              <w:rPr>
                <w:rFonts w:ascii="宋体" w:hAnsi="宋体" w:cs="宋体"/>
                <w:color w:val="auto"/>
                <w:sz w:val="24"/>
              </w:rPr>
            </w:pPr>
          </w:p>
        </w:tc>
        <w:tc>
          <w:tcPr>
            <w:tcW w:w="1215" w:type="dxa"/>
            <w:vAlign w:val="center"/>
          </w:tcPr>
          <w:p>
            <w:pPr>
              <w:snapToGrid w:val="0"/>
              <w:spacing w:line="4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9715" w:type="dxa"/>
            <w:gridSpan w:val="9"/>
            <w:vAlign w:val="center"/>
          </w:tcPr>
          <w:p>
            <w:pPr>
              <w:snapToGrid w:val="0"/>
              <w:spacing w:line="400" w:lineRule="exact"/>
              <w:rPr>
                <w:rFonts w:ascii="宋体" w:hAnsi="宋体" w:cs="宋体"/>
                <w:color w:val="auto"/>
                <w:sz w:val="24"/>
              </w:rPr>
            </w:pPr>
            <w:r>
              <w:rPr>
                <w:rFonts w:hint="eastAsia" w:ascii="宋体" w:hAnsi="宋体" w:cs="宋体"/>
                <w:color w:val="auto"/>
                <w:sz w:val="24"/>
              </w:rPr>
              <w:t xml:space="preserve">合计金额人民币（大写）                          （小写）¥                 </w:t>
            </w:r>
          </w:p>
        </w:tc>
      </w:tr>
    </w:tbl>
    <w:p>
      <w:pPr>
        <w:snapToGrid w:val="0"/>
        <w:spacing w:line="400" w:lineRule="exact"/>
        <w:ind w:right="420" w:firstLine="480" w:firstLineChars="200"/>
        <w:rPr>
          <w:rFonts w:ascii="宋体" w:hAnsi="宋体" w:cs="宋体"/>
          <w:color w:val="auto"/>
          <w:sz w:val="24"/>
        </w:rPr>
      </w:pPr>
      <w:r>
        <w:rPr>
          <w:rFonts w:hint="eastAsia" w:ascii="宋体" w:hAnsi="宋体" w:cs="宋体"/>
          <w:color w:val="auto"/>
          <w:sz w:val="24"/>
        </w:rPr>
        <w:t>2.合同合计金额包括竞标货物（包括备品备件、专用工具等）的价格，竞标货物运输（含保险）、安装（如有）、调试、检验、技术服务、培训和竞争性谈判文件要求提供的所有伴随服务、工程等费用和税费。</w:t>
      </w:r>
    </w:p>
    <w:p>
      <w:pPr>
        <w:snapToGrid w:val="0"/>
        <w:spacing w:line="400" w:lineRule="exact"/>
        <w:ind w:firstLine="482" w:firstLineChars="200"/>
        <w:rPr>
          <w:rFonts w:ascii="宋体" w:hAnsi="宋体" w:cs="宋体"/>
          <w:color w:val="auto"/>
          <w:sz w:val="24"/>
        </w:rPr>
      </w:pPr>
      <w:r>
        <w:rPr>
          <w:rFonts w:hint="eastAsia" w:ascii="宋体" w:hAnsi="宋体" w:cs="宋体"/>
          <w:b/>
          <w:color w:val="auto"/>
          <w:sz w:val="24"/>
        </w:rPr>
        <w:t>第二条　质量要求</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1.乙方所提供的产品名称、商标品牌、生产厂家、规格型号、技术参数等质量必须与竞争性谈判文件规定及响应文件承诺相一致。乙方提供的节能和环保产品必须是列入政府采购品目清单的产品。</w:t>
      </w:r>
    </w:p>
    <w:p>
      <w:pPr>
        <w:snapToGrid w:val="0"/>
        <w:spacing w:line="400" w:lineRule="exact"/>
        <w:ind w:firstLine="480" w:firstLineChars="200"/>
        <w:rPr>
          <w:rFonts w:ascii="宋体" w:hAnsi="宋体" w:cs="宋体"/>
          <w:color w:val="auto"/>
          <w:sz w:val="24"/>
          <w:u w:val="single"/>
        </w:rPr>
      </w:pPr>
      <w:r>
        <w:rPr>
          <w:rFonts w:hint="eastAsia" w:ascii="宋体" w:hAnsi="宋体" w:cs="宋体"/>
          <w:color w:val="auto"/>
          <w:sz w:val="24"/>
        </w:rPr>
        <w:t>2.乙方所提供的货物必须是全新、未使用的原装产品，且在正常安装、使用和保养条件下，其使用寿命期内各项指标均达到竞争性谈判文件规定或响应文件承诺的质量要求。</w:t>
      </w:r>
    </w:p>
    <w:p>
      <w:pPr>
        <w:snapToGrid w:val="0"/>
        <w:spacing w:line="400" w:lineRule="exact"/>
        <w:ind w:firstLine="482" w:firstLineChars="200"/>
        <w:rPr>
          <w:rFonts w:ascii="宋体" w:hAnsi="宋体" w:cs="宋体"/>
          <w:color w:val="auto"/>
          <w:sz w:val="24"/>
        </w:rPr>
      </w:pPr>
      <w:r>
        <w:rPr>
          <w:rFonts w:hint="eastAsia" w:ascii="宋体" w:hAnsi="宋体" w:cs="宋体"/>
          <w:b/>
          <w:color w:val="auto"/>
          <w:sz w:val="24"/>
        </w:rPr>
        <w:t>第三条　权利保证</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1.乙方应保证所提供货物在使用时不会侵犯任何第三方的专利权、商标权、工业设计权或其他权利。</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2.乙方应按竞争性谈判文件规定或响应文件承诺的时间向甲方提供使用货物的有关技术资料。</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4.乙方保证</w:t>
      </w:r>
      <w:r>
        <w:rPr>
          <w:rFonts w:hint="eastAsia" w:ascii="宋体" w:hAnsi="宋体" w:cs="宋体"/>
          <w:strike/>
          <w:color w:val="auto"/>
          <w:sz w:val="24"/>
        </w:rPr>
        <w:t>将要</w:t>
      </w:r>
      <w:r>
        <w:rPr>
          <w:rFonts w:hint="eastAsia" w:ascii="宋体" w:hAnsi="宋体" w:cs="宋体"/>
          <w:color w:val="auto"/>
          <w:sz w:val="24"/>
        </w:rPr>
        <w:t>交付的货物的所有权完全属于乙方且无任何抵押、质押、查封等产权瑕疵。</w:t>
      </w:r>
    </w:p>
    <w:p>
      <w:pPr>
        <w:snapToGrid w:val="0"/>
        <w:spacing w:line="400" w:lineRule="exact"/>
        <w:ind w:firstLine="482" w:firstLineChars="200"/>
        <w:rPr>
          <w:rFonts w:ascii="宋体" w:hAnsi="宋体" w:cs="宋体"/>
          <w:b/>
          <w:color w:val="auto"/>
          <w:sz w:val="24"/>
        </w:rPr>
      </w:pPr>
      <w:r>
        <w:rPr>
          <w:rFonts w:hint="eastAsia" w:ascii="宋体" w:hAnsi="宋体" w:cs="宋体"/>
          <w:b/>
          <w:color w:val="auto"/>
          <w:sz w:val="24"/>
        </w:rPr>
        <w:t>第四条　包装和运输</w:t>
      </w:r>
    </w:p>
    <w:p>
      <w:pPr>
        <w:spacing w:line="460" w:lineRule="exact"/>
        <w:ind w:firstLine="480" w:firstLineChars="200"/>
        <w:rPr>
          <w:rFonts w:ascii="宋体" w:hAnsi="宋体" w:cs="宋体"/>
          <w:color w:val="auto"/>
          <w:sz w:val="24"/>
        </w:rPr>
      </w:pPr>
      <w:r>
        <w:rPr>
          <w:rFonts w:hint="eastAsia" w:ascii="宋体" w:hAnsi="宋体" w:cs="宋体"/>
          <w:color w:val="auto"/>
          <w:sz w:val="24"/>
        </w:rPr>
        <w:t>1. 乙方提供的货物均应按竞争性谈判文件、投标/响应文件要求的包装材料、包装标准、包装方式、运输距离、防潮、防震、防锈和防破损装卸等要求包装，以保证货物安全运达甲方指定地点，每一包装单元内应附详细的装箱单和质量合格证。除合同另有规定外，乙方提供的全部货物应按标准保护措施进行包装，由于包装不善所引起的货物损失均由乙方承担。</w:t>
      </w:r>
    </w:p>
    <w:p>
      <w:pPr>
        <w:spacing w:line="460" w:lineRule="exact"/>
        <w:ind w:firstLine="480" w:firstLineChars="200"/>
        <w:rPr>
          <w:rFonts w:ascii="宋体" w:hAnsi="宋体" w:cs="宋体"/>
          <w:color w:val="auto"/>
          <w:sz w:val="24"/>
        </w:rPr>
      </w:pPr>
      <w:r>
        <w:rPr>
          <w:rFonts w:hint="eastAsia" w:ascii="宋体" w:hAnsi="宋体" w:cs="宋体"/>
          <w:color w:val="auto"/>
          <w:sz w:val="24"/>
        </w:rPr>
        <w:t>2. 乙方应提供设备的随机附件、技术资料，可包括相应的安装配件、图纸、操作手册、维护手册、质量保证文件、服务指南、清单等一并附于货物内。</w:t>
      </w:r>
    </w:p>
    <w:p>
      <w:pPr>
        <w:spacing w:line="460" w:lineRule="exact"/>
        <w:ind w:firstLine="480" w:firstLineChars="200"/>
        <w:rPr>
          <w:rFonts w:ascii="宋体" w:hAnsi="宋体" w:cs="宋体"/>
          <w:color w:val="auto"/>
          <w:sz w:val="24"/>
        </w:rPr>
      </w:pPr>
      <w:r>
        <w:rPr>
          <w:rFonts w:hint="eastAsia" w:ascii="宋体" w:hAnsi="宋体" w:cs="宋体"/>
          <w:color w:val="auto"/>
          <w:sz w:val="24"/>
        </w:rPr>
        <w:t>3. 货物的运输方式（</w:t>
      </w:r>
      <w:r>
        <w:rPr>
          <w:rFonts w:hint="eastAsia" w:ascii="宋体" w:hAnsi="宋体" w:cs="宋体"/>
          <w:color w:val="auto"/>
          <w:sz w:val="24"/>
          <w:u w:val="single"/>
        </w:rPr>
        <w:t xml:space="preserve">由乙方自定）  </w:t>
      </w:r>
      <w:r>
        <w:rPr>
          <w:rFonts w:hint="eastAsia" w:ascii="宋体" w:hAnsi="宋体" w:cs="宋体"/>
          <w:color w:val="auto"/>
          <w:sz w:val="24"/>
        </w:rPr>
        <w:t>，货物运输合理损耗及计算方法：</w:t>
      </w:r>
      <w:r>
        <w:rPr>
          <w:rFonts w:hint="eastAsia" w:ascii="宋体" w:hAnsi="宋体" w:cs="宋体"/>
          <w:color w:val="auto"/>
          <w:sz w:val="24"/>
          <w:u w:val="single"/>
        </w:rPr>
        <w:t xml:space="preserve">  由乙方负责  </w:t>
      </w:r>
      <w:r>
        <w:rPr>
          <w:rFonts w:hint="eastAsia" w:ascii="宋体" w:hAnsi="宋体" w:cs="宋体"/>
          <w:color w:val="auto"/>
          <w:sz w:val="24"/>
        </w:rPr>
        <w:t>。</w:t>
      </w:r>
    </w:p>
    <w:p>
      <w:pPr>
        <w:spacing w:line="460" w:lineRule="exact"/>
        <w:ind w:firstLine="480" w:firstLineChars="200"/>
        <w:rPr>
          <w:rFonts w:ascii="宋体" w:hAnsi="宋体" w:cs="宋体"/>
          <w:color w:val="auto"/>
          <w:sz w:val="24"/>
        </w:rPr>
      </w:pPr>
      <w:r>
        <w:rPr>
          <w:rFonts w:hint="eastAsia" w:ascii="宋体" w:hAnsi="宋体" w:cs="宋体"/>
          <w:color w:val="auto"/>
          <w:sz w:val="24"/>
        </w:rPr>
        <w:t>4.乙方在货物发运手续办理完毕后二十四小时内或货到甲方四十八小时前通知甲方，以准备接货。货物在交付甲方前发生的风险均由乙方负责。</w:t>
      </w:r>
    </w:p>
    <w:p>
      <w:pPr>
        <w:spacing w:line="460" w:lineRule="exact"/>
        <w:ind w:firstLine="480" w:firstLineChars="200"/>
        <w:rPr>
          <w:rFonts w:ascii="宋体" w:hAnsi="宋体" w:cs="宋体"/>
          <w:color w:val="auto"/>
          <w:sz w:val="24"/>
        </w:rPr>
      </w:pPr>
      <w:r>
        <w:rPr>
          <w:rFonts w:hint="eastAsia" w:ascii="宋体" w:hAnsi="宋体" w:cs="宋体"/>
          <w:color w:val="auto"/>
          <w:sz w:val="24"/>
        </w:rPr>
        <w:t xml:space="preserve"> 5. 货物在规定的交付期限内由乙方送达甲方指定的地点视为交付，乙方同时需通知甲方货物已送达。</w:t>
      </w:r>
    </w:p>
    <w:p>
      <w:pPr>
        <w:spacing w:line="460" w:lineRule="exact"/>
        <w:ind w:firstLine="482" w:firstLineChars="200"/>
        <w:rPr>
          <w:rFonts w:ascii="宋体" w:hAnsi="宋体" w:cs="宋体"/>
          <w:b/>
          <w:bCs/>
          <w:color w:val="auto"/>
          <w:sz w:val="24"/>
        </w:rPr>
      </w:pPr>
      <w:r>
        <w:rPr>
          <w:rFonts w:hint="eastAsia" w:ascii="宋体" w:hAnsi="宋体" w:cs="宋体"/>
          <w:b/>
          <w:bCs/>
          <w:color w:val="auto"/>
          <w:sz w:val="24"/>
        </w:rPr>
        <w:t>第五条　交付、安装和调试</w:t>
      </w:r>
    </w:p>
    <w:p>
      <w:pPr>
        <w:spacing w:line="460" w:lineRule="exact"/>
        <w:ind w:firstLine="480" w:firstLineChars="200"/>
        <w:rPr>
          <w:rFonts w:ascii="宋体" w:hAnsi="宋体" w:cs="宋体"/>
          <w:color w:val="auto"/>
          <w:sz w:val="24"/>
        </w:rPr>
      </w:pPr>
      <w:r>
        <w:rPr>
          <w:rFonts w:hint="eastAsia" w:ascii="宋体" w:hAnsi="宋体" w:cs="宋体"/>
          <w:color w:val="auto"/>
          <w:sz w:val="24"/>
        </w:rPr>
        <w:t>1. 交付使用时间：</w:t>
      </w:r>
      <w:r>
        <w:rPr>
          <w:rFonts w:hint="eastAsia" w:ascii="宋体" w:hAnsi="宋体" w:cs="宋体"/>
          <w:color w:val="auto"/>
          <w:sz w:val="24"/>
          <w:u w:val="single"/>
          <w:lang w:val="en-US" w:eastAsia="zh-CN"/>
        </w:rPr>
        <w:t xml:space="preserve">                         </w:t>
      </w:r>
      <w:r>
        <w:rPr>
          <w:rFonts w:hint="eastAsia" w:ascii="宋体" w:hAnsi="宋体" w:cs="宋体"/>
          <w:color w:val="auto"/>
          <w:sz w:val="24"/>
        </w:rPr>
        <w:t>，货物所涉及全部设备交货、安装调试完毕并交付使用、地点：</w:t>
      </w:r>
      <w:r>
        <w:rPr>
          <w:rFonts w:hint="eastAsia" w:ascii="宋体" w:hAnsi="宋体" w:cs="宋体"/>
          <w:color w:val="auto"/>
          <w:sz w:val="24"/>
          <w:u w:val="single"/>
        </w:rPr>
        <w:t xml:space="preserve">  采购人指定地点  </w:t>
      </w:r>
      <w:r>
        <w:rPr>
          <w:rFonts w:hint="eastAsia" w:ascii="宋体" w:hAnsi="宋体" w:cs="宋体"/>
          <w:color w:val="auto"/>
          <w:sz w:val="24"/>
        </w:rPr>
        <w:t>。乙方负责处理安装设备产生的垃圾。</w:t>
      </w:r>
    </w:p>
    <w:p>
      <w:pPr>
        <w:spacing w:line="460" w:lineRule="exact"/>
        <w:ind w:firstLine="480" w:firstLineChars="200"/>
        <w:rPr>
          <w:rFonts w:ascii="宋体" w:hAnsi="宋体" w:cs="宋体"/>
          <w:color w:val="auto"/>
          <w:sz w:val="24"/>
        </w:rPr>
      </w:pPr>
      <w:r>
        <w:rPr>
          <w:rFonts w:hint="eastAsia" w:ascii="宋体" w:hAnsi="宋体" w:cs="宋体"/>
          <w:color w:val="auto"/>
          <w:sz w:val="24"/>
        </w:rPr>
        <w:t>2. 乙方交付的货物应当完全符合本合同或采购文件所规定的货物、数量、规格等要求，外观、说明书符合采购文件技术要求的，给予签收，若乙方提供不符合采购文件、响应文件和本合同规定的货物，甲方有权拒绝接受，由此引起的风险由乙方承担。</w:t>
      </w:r>
    </w:p>
    <w:p>
      <w:pPr>
        <w:spacing w:line="460" w:lineRule="exact"/>
        <w:ind w:firstLine="480" w:firstLineChars="200"/>
        <w:rPr>
          <w:rFonts w:ascii="宋体" w:hAnsi="宋体" w:cs="宋体"/>
          <w:color w:val="auto"/>
          <w:sz w:val="24"/>
        </w:rPr>
      </w:pPr>
      <w:r>
        <w:rPr>
          <w:rFonts w:hint="eastAsia" w:ascii="宋体" w:hAnsi="宋体" w:cs="宋体"/>
          <w:color w:val="auto"/>
          <w:sz w:val="24"/>
        </w:rPr>
        <w:t>3.乙方交货前应将所提供货物的装箱清单、用户手册、原厂保修卡、随机资料、工具和备品、备件等作出全面检查和对验收文件进行整理，并列出清单，作为甲方收货验收和使用的技术条件依据，检验的结果应随货物交甲方。乙方未能提供完整交付货物及本条款规定的证件和工具的，视为未按合同约定交货，乙方应负责及时补齐，因此导致逾期交付的，由乙方承担相关违约责任。</w:t>
      </w:r>
    </w:p>
    <w:p>
      <w:pPr>
        <w:pStyle w:val="10"/>
        <w:ind w:firstLine="480" w:firstLineChars="200"/>
        <w:rPr>
          <w:rFonts w:ascii="宋体" w:hAnsi="宋体" w:cs="宋体"/>
          <w:color w:val="auto"/>
          <w:sz w:val="24"/>
        </w:rPr>
      </w:pPr>
      <w:r>
        <w:rPr>
          <w:rFonts w:hint="eastAsia" w:ascii="宋体" w:hAnsi="宋体" w:cs="宋体"/>
          <w:color w:val="auto"/>
          <w:sz w:val="24"/>
        </w:rPr>
        <w:t>4..乙方负责安装并培训甲方的使用操作人员。甲方对乙方提供的货物在使用前进行调试时，乙方需协助甲方一起调试，直到符合技术要求，甲方才做最终验收。</w:t>
      </w:r>
    </w:p>
    <w:p>
      <w:pPr>
        <w:spacing w:line="460" w:lineRule="exact"/>
        <w:ind w:firstLine="482" w:firstLineChars="200"/>
        <w:rPr>
          <w:rFonts w:ascii="宋体" w:hAnsi="宋体" w:cs="宋体"/>
          <w:b/>
          <w:bCs/>
          <w:color w:val="auto"/>
          <w:sz w:val="24"/>
        </w:rPr>
      </w:pPr>
      <w:r>
        <w:rPr>
          <w:rFonts w:hint="eastAsia" w:ascii="宋体" w:hAnsi="宋体" w:cs="宋体"/>
          <w:b/>
          <w:bCs/>
          <w:color w:val="auto"/>
          <w:sz w:val="24"/>
        </w:rPr>
        <w:t>第六条　培训和验收</w:t>
      </w:r>
    </w:p>
    <w:p>
      <w:pPr>
        <w:spacing w:line="460" w:lineRule="exact"/>
        <w:ind w:firstLine="480" w:firstLineChars="200"/>
        <w:rPr>
          <w:rFonts w:ascii="宋体" w:hAnsi="宋体" w:cs="宋体"/>
          <w:color w:val="auto"/>
          <w:sz w:val="24"/>
        </w:rPr>
      </w:pPr>
      <w:r>
        <w:rPr>
          <w:rFonts w:hint="eastAsia" w:ascii="宋体" w:hAnsi="宋体" w:cs="宋体"/>
          <w:color w:val="auto"/>
          <w:sz w:val="24"/>
        </w:rPr>
        <w:t>1.甲方应提供必要安装、培训条件（如场地、电源、水源等）。培训时间、地点：</w:t>
      </w:r>
      <w:r>
        <w:rPr>
          <w:rFonts w:hint="eastAsia" w:ascii="宋体" w:hAnsi="宋体" w:cs="宋体"/>
          <w:color w:val="auto"/>
          <w:sz w:val="24"/>
          <w:u w:val="single"/>
        </w:rPr>
        <w:t xml:space="preserve"> 由甲方根据情况合理安排 </w:t>
      </w:r>
      <w:r>
        <w:rPr>
          <w:rFonts w:hint="eastAsia" w:ascii="宋体" w:hAnsi="宋体" w:cs="宋体"/>
          <w:color w:val="auto"/>
          <w:sz w:val="24"/>
        </w:rPr>
        <w:t>。</w:t>
      </w:r>
    </w:p>
    <w:p>
      <w:pPr>
        <w:spacing w:line="460" w:lineRule="exact"/>
        <w:ind w:firstLine="480" w:firstLineChars="200"/>
        <w:rPr>
          <w:rFonts w:ascii="宋体" w:hAnsi="宋体" w:cs="宋体"/>
          <w:color w:val="auto"/>
          <w:sz w:val="24"/>
        </w:rPr>
      </w:pPr>
      <w:r>
        <w:rPr>
          <w:rFonts w:hint="eastAsia" w:ascii="宋体" w:hAnsi="宋体" w:cs="宋体"/>
          <w:color w:val="auto"/>
          <w:sz w:val="24"/>
        </w:rPr>
        <w:t>3. 甲方应当在货物安装、调试完成后7个工作日内进行验收，逾期不验收的，乙方可视同验收合格。验收合格后由甲乙双方签署货物验收单并加盖采购人公章，甲乙双方各执一份。</w:t>
      </w:r>
    </w:p>
    <w:p>
      <w:pPr>
        <w:spacing w:line="460" w:lineRule="exact"/>
        <w:ind w:firstLine="480" w:firstLineChars="200"/>
        <w:rPr>
          <w:rFonts w:ascii="宋体" w:hAnsi="宋体" w:cs="宋体"/>
          <w:color w:val="auto"/>
          <w:sz w:val="24"/>
        </w:rPr>
      </w:pPr>
      <w:r>
        <w:rPr>
          <w:rFonts w:hint="eastAsia" w:ascii="宋体" w:hAnsi="宋体" w:cs="宋体"/>
          <w:color w:val="auto"/>
          <w:sz w:val="24"/>
        </w:rPr>
        <w:t>4.对技术复杂的货物，甲方应请国家认可的专业检测机构参与初步验收及最终验收，并由其出具质量检测报告。验收时乙方必须在现场，验收完毕后作出验收结果报告；验收费用由乙方负责。</w:t>
      </w:r>
    </w:p>
    <w:p>
      <w:pPr>
        <w:spacing w:line="460" w:lineRule="exact"/>
        <w:ind w:firstLine="480" w:firstLineChars="200"/>
        <w:rPr>
          <w:rFonts w:ascii="宋体" w:hAnsi="宋体" w:cs="宋体"/>
          <w:color w:val="auto"/>
          <w:sz w:val="24"/>
        </w:rPr>
      </w:pPr>
      <w:r>
        <w:rPr>
          <w:rFonts w:hint="eastAsia" w:ascii="宋体" w:hAnsi="宋体" w:cs="宋体"/>
          <w:color w:val="auto"/>
          <w:sz w:val="24"/>
        </w:rPr>
        <w:t>5. 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pacing w:line="460" w:lineRule="exact"/>
        <w:ind w:firstLine="480" w:firstLineChars="200"/>
        <w:rPr>
          <w:rFonts w:ascii="宋体" w:hAnsi="宋体" w:cs="宋体"/>
          <w:color w:val="auto"/>
          <w:sz w:val="24"/>
        </w:rPr>
      </w:pPr>
      <w:r>
        <w:rPr>
          <w:rFonts w:hint="eastAsia" w:ascii="宋体" w:hAnsi="宋体" w:cs="宋体"/>
          <w:color w:val="auto"/>
          <w:sz w:val="24"/>
        </w:rPr>
        <w:t>6. 甲方对验收有异议的，在验收后5个工作日内以书面形式向乙方提出，乙方应自收到甲方书面异议后7个工作日内及时予以解决。甲方根据乙方提出的解决情况，确认问题已解决并签字确认后7个工作日内进行货物再验收。</w:t>
      </w:r>
    </w:p>
    <w:p>
      <w:pPr>
        <w:pStyle w:val="10"/>
        <w:ind w:firstLine="482" w:firstLineChars="200"/>
        <w:jc w:val="left"/>
        <w:rPr>
          <w:rFonts w:ascii="宋体" w:hAnsi="宋体" w:cs="宋体"/>
          <w:b/>
          <w:bCs/>
          <w:color w:val="auto"/>
          <w:sz w:val="24"/>
        </w:rPr>
      </w:pPr>
      <w:r>
        <w:rPr>
          <w:rFonts w:hint="eastAsia" w:ascii="宋体" w:hAnsi="宋体" w:cs="宋体"/>
          <w:b/>
          <w:bCs/>
          <w:color w:val="auto"/>
          <w:sz w:val="24"/>
        </w:rPr>
        <w:t>第七条　付款方式和质量保证金</w:t>
      </w:r>
    </w:p>
    <w:p>
      <w:pPr>
        <w:spacing w:line="460" w:lineRule="exact"/>
        <w:ind w:firstLine="480" w:firstLineChars="200"/>
        <w:rPr>
          <w:rFonts w:ascii="宋体" w:hAnsi="宋体" w:cs="宋体"/>
          <w:color w:val="auto"/>
          <w:sz w:val="24"/>
        </w:rPr>
      </w:pPr>
      <w:r>
        <w:rPr>
          <w:rFonts w:hint="eastAsia" w:ascii="宋体" w:hAnsi="宋体" w:cs="宋体"/>
          <w:color w:val="auto"/>
          <w:sz w:val="24"/>
        </w:rPr>
        <w:t>1. 当采购数量与实际使用数量不一致时，乙方应根据实际使用量供货，合同的最终结算金额按实际使用量乘以成交单价进行计算。</w:t>
      </w:r>
    </w:p>
    <w:p>
      <w:pPr>
        <w:spacing w:line="460" w:lineRule="exact"/>
        <w:ind w:firstLine="480" w:firstLineChars="200"/>
        <w:rPr>
          <w:rFonts w:ascii="宋体" w:hAnsi="宋体" w:cs="宋体"/>
          <w:color w:val="auto"/>
          <w:sz w:val="24"/>
        </w:rPr>
      </w:pPr>
      <w:r>
        <w:rPr>
          <w:rFonts w:hint="eastAsia" w:ascii="宋体" w:hAnsi="宋体" w:cs="宋体"/>
          <w:color w:val="auto"/>
          <w:sz w:val="24"/>
        </w:rPr>
        <w:t>2. 资金性质：</w:t>
      </w:r>
      <w:r>
        <w:rPr>
          <w:rFonts w:hint="eastAsia" w:ascii="宋体" w:hAnsi="宋体" w:cs="宋体"/>
          <w:color w:val="auto"/>
          <w:sz w:val="24"/>
          <w:u w:val="single"/>
        </w:rPr>
        <w:t xml:space="preserve">            </w:t>
      </w:r>
      <w:r>
        <w:rPr>
          <w:rFonts w:hint="eastAsia" w:ascii="宋体" w:hAnsi="宋体" w:cs="宋体"/>
          <w:color w:val="auto"/>
          <w:sz w:val="24"/>
        </w:rPr>
        <w:t>。</w:t>
      </w:r>
    </w:p>
    <w:p>
      <w:pPr>
        <w:pStyle w:val="18"/>
        <w:snapToGrid w:val="0"/>
        <w:spacing w:line="400" w:lineRule="exact"/>
        <w:ind w:firstLine="480" w:firstLineChars="200"/>
        <w:rPr>
          <w:rFonts w:hAnsi="宋体" w:cs="宋体"/>
          <w:color w:val="auto"/>
          <w:sz w:val="24"/>
          <w:szCs w:val="24"/>
        </w:rPr>
      </w:pPr>
      <w:r>
        <w:rPr>
          <w:rFonts w:hint="eastAsia" w:hAnsi="宋体" w:cs="宋体"/>
          <w:color w:val="auto"/>
          <w:sz w:val="24"/>
          <w:szCs w:val="24"/>
        </w:rPr>
        <w:t>3. 付款方式：</w:t>
      </w:r>
      <w:r>
        <w:rPr>
          <w:rFonts w:hint="eastAsia" w:hAnsi="宋体" w:cs="宋体"/>
          <w:color w:val="auto"/>
          <w:sz w:val="24"/>
          <w:szCs w:val="24"/>
          <w:u w:val="single"/>
        </w:rPr>
        <w:t xml:space="preserve">            </w:t>
      </w:r>
      <w:r>
        <w:rPr>
          <w:rFonts w:hint="eastAsia" w:hAnsi="宋体" w:cs="宋体"/>
          <w:color w:val="auto"/>
          <w:sz w:val="24"/>
          <w:szCs w:val="24"/>
        </w:rPr>
        <w:t>。</w:t>
      </w:r>
    </w:p>
    <w:p>
      <w:pPr>
        <w:snapToGrid w:val="0"/>
        <w:spacing w:line="400" w:lineRule="exact"/>
        <w:ind w:left="-61" w:leftChars="-29" w:firstLine="590" w:firstLineChars="245"/>
        <w:rPr>
          <w:rFonts w:ascii="宋体" w:hAnsi="宋体" w:cs="宋体"/>
          <w:b/>
          <w:color w:val="auto"/>
          <w:sz w:val="24"/>
        </w:rPr>
      </w:pPr>
      <w:r>
        <w:rPr>
          <w:rFonts w:hint="eastAsia" w:ascii="宋体" w:hAnsi="宋体" w:cs="宋体"/>
          <w:b/>
          <w:color w:val="auto"/>
          <w:sz w:val="24"/>
        </w:rPr>
        <w:t>第八条　履约保证金</w:t>
      </w:r>
    </w:p>
    <w:p>
      <w:pPr>
        <w:autoSpaceDE w:val="0"/>
        <w:autoSpaceDN w:val="0"/>
        <w:snapToGrid w:val="0"/>
        <w:spacing w:line="400" w:lineRule="exact"/>
        <w:ind w:firstLine="484" w:firstLineChars="202"/>
        <w:textAlignment w:val="bottom"/>
        <w:rPr>
          <w:rFonts w:ascii="宋体" w:hAnsi="宋体" w:cs="宋体"/>
          <w:color w:val="auto"/>
          <w:sz w:val="24"/>
        </w:rPr>
      </w:pPr>
      <w:r>
        <w:rPr>
          <w:rFonts w:hint="eastAsia" w:ascii="宋体" w:hAnsi="宋体" w:cs="宋体"/>
          <w:color w:val="auto"/>
          <w:sz w:val="24"/>
        </w:rPr>
        <w:t>履约保证金金额：按成交金额的</w:t>
      </w:r>
      <w:r>
        <w:rPr>
          <w:rFonts w:hint="eastAsia" w:ascii="宋体" w:hAnsi="宋体" w:cs="宋体"/>
          <w:color w:val="auto"/>
          <w:sz w:val="24"/>
          <w:u w:val="single"/>
        </w:rPr>
        <w:t xml:space="preserve">   </w:t>
      </w:r>
      <w:r>
        <w:rPr>
          <w:rFonts w:hint="eastAsia" w:ascii="宋体" w:hAnsi="宋体" w:cs="宋体"/>
          <w:color w:val="auto"/>
          <w:sz w:val="24"/>
        </w:rPr>
        <w:t>%（注：履约保证金不超过10%）。</w:t>
      </w:r>
    </w:p>
    <w:p>
      <w:pPr>
        <w:autoSpaceDE w:val="0"/>
        <w:autoSpaceDN w:val="0"/>
        <w:snapToGrid w:val="0"/>
        <w:spacing w:line="400" w:lineRule="exact"/>
        <w:ind w:firstLine="484" w:firstLineChars="202"/>
        <w:textAlignment w:val="bottom"/>
        <w:rPr>
          <w:rFonts w:ascii="宋体" w:hAnsi="宋体" w:cs="宋体"/>
          <w:color w:val="auto"/>
          <w:sz w:val="24"/>
        </w:rPr>
      </w:pPr>
      <w:r>
        <w:rPr>
          <w:rFonts w:hint="eastAsia" w:ascii="宋体" w:hAnsi="宋体" w:cs="宋体"/>
          <w:color w:val="auto"/>
          <w:sz w:val="24"/>
        </w:rPr>
        <w:t>履约保证金递交方式：支票、汇票、本票或者银行、保险机构出具的保函等非现金方式（参照竞标保证金）。</w:t>
      </w:r>
    </w:p>
    <w:p>
      <w:pPr>
        <w:autoSpaceDE w:val="0"/>
        <w:autoSpaceDN w:val="0"/>
        <w:snapToGrid w:val="0"/>
        <w:spacing w:line="400" w:lineRule="exact"/>
        <w:ind w:firstLine="484" w:firstLineChars="202"/>
        <w:textAlignment w:val="bottom"/>
        <w:rPr>
          <w:rFonts w:ascii="宋体" w:hAnsi="宋体" w:cs="宋体"/>
          <w:color w:val="auto"/>
          <w:sz w:val="24"/>
        </w:rPr>
      </w:pPr>
      <w:r>
        <w:rPr>
          <w:rFonts w:hint="eastAsia" w:ascii="宋体" w:hAnsi="宋体" w:cs="宋体"/>
          <w:color w:val="auto"/>
          <w:sz w:val="24"/>
        </w:rPr>
        <w:t>履约保证金退付方式、时间及条件：由成交供应商向履约保证金收取单位提供《广西壮族自治区政府采购项目合同验收书》（详见附件1）及《政府采购项目履约保证金退付意见书》（详见附件2），保证金收取单位在收到合格材料后5个工作日内办理退还手续（不计利息）。</w:t>
      </w:r>
    </w:p>
    <w:p>
      <w:pPr>
        <w:snapToGrid w:val="0"/>
        <w:spacing w:line="400" w:lineRule="exact"/>
        <w:ind w:left="-61" w:firstLine="514"/>
        <w:rPr>
          <w:rFonts w:ascii="宋体" w:hAnsi="宋体" w:cs="宋体"/>
          <w:b/>
          <w:color w:val="auto"/>
          <w:sz w:val="24"/>
        </w:rPr>
      </w:pPr>
      <w:r>
        <w:rPr>
          <w:rFonts w:hint="eastAsia" w:ascii="宋体" w:hAnsi="宋体" w:cs="宋体"/>
          <w:b/>
          <w:color w:val="auto"/>
          <w:sz w:val="24"/>
        </w:rPr>
        <w:t>第九条  税费</w:t>
      </w:r>
    </w:p>
    <w:p>
      <w:pPr>
        <w:snapToGrid w:val="0"/>
        <w:spacing w:line="400" w:lineRule="exact"/>
        <w:ind w:left="-61" w:firstLine="514"/>
        <w:rPr>
          <w:rFonts w:ascii="宋体" w:hAnsi="宋体" w:cs="宋体"/>
          <w:color w:val="auto"/>
          <w:sz w:val="24"/>
        </w:rPr>
      </w:pPr>
      <w:r>
        <w:rPr>
          <w:rFonts w:hint="eastAsia" w:ascii="宋体" w:hAnsi="宋体" w:cs="宋体"/>
          <w:color w:val="auto"/>
          <w:sz w:val="24"/>
        </w:rPr>
        <w:t>本合同执行中相关的一切税费均由乙方负担，合同另有约定的除外。</w:t>
      </w:r>
    </w:p>
    <w:p>
      <w:pPr>
        <w:snapToGrid w:val="0"/>
        <w:spacing w:line="400" w:lineRule="exact"/>
        <w:ind w:left="-61" w:firstLine="514"/>
        <w:rPr>
          <w:rFonts w:ascii="宋体" w:hAnsi="宋体" w:cs="宋体"/>
          <w:color w:val="auto"/>
          <w:sz w:val="24"/>
        </w:rPr>
      </w:pPr>
      <w:r>
        <w:rPr>
          <w:rFonts w:hint="eastAsia" w:ascii="宋体" w:hAnsi="宋体" w:cs="宋体"/>
          <w:b/>
          <w:color w:val="auto"/>
          <w:sz w:val="24"/>
        </w:rPr>
        <w:t>第十条  质量保证及售后服务</w:t>
      </w:r>
    </w:p>
    <w:p>
      <w:pPr>
        <w:pStyle w:val="18"/>
        <w:snapToGrid w:val="0"/>
        <w:spacing w:line="400" w:lineRule="exact"/>
        <w:ind w:firstLine="480" w:firstLineChars="200"/>
        <w:rPr>
          <w:rFonts w:hAnsi="宋体" w:cs="宋体"/>
          <w:color w:val="auto"/>
          <w:sz w:val="24"/>
          <w:szCs w:val="24"/>
        </w:rPr>
      </w:pPr>
      <w:r>
        <w:rPr>
          <w:rFonts w:hint="eastAsia" w:hAnsi="宋体" w:cs="宋体"/>
          <w:bCs/>
          <w:color w:val="auto"/>
          <w:sz w:val="24"/>
          <w:szCs w:val="24"/>
        </w:rPr>
        <w:t>1.</w:t>
      </w:r>
      <w:r>
        <w:rPr>
          <w:rFonts w:hint="eastAsia" w:hAnsi="宋体" w:cs="宋体"/>
          <w:color w:val="auto"/>
          <w:sz w:val="24"/>
          <w:szCs w:val="24"/>
        </w:rPr>
        <w:t>乙方应按竞争性谈判文件规定的产品名称、商标品牌、生产厂家、规格型号、技术参数、质量标准向甲方提供未经使用的全新产品。不符合要求的，根据实际情况，经双方协商，可按以下办法处理：</w:t>
      </w:r>
    </w:p>
    <w:p>
      <w:pPr>
        <w:pStyle w:val="18"/>
        <w:snapToGrid w:val="0"/>
        <w:spacing w:line="400" w:lineRule="exact"/>
        <w:ind w:firstLine="480" w:firstLineChars="200"/>
        <w:rPr>
          <w:rFonts w:hAnsi="宋体" w:cs="宋体"/>
          <w:color w:val="auto"/>
          <w:sz w:val="24"/>
          <w:szCs w:val="24"/>
        </w:rPr>
      </w:pPr>
      <w:r>
        <w:rPr>
          <w:rFonts w:hint="eastAsia" w:hAnsi="宋体" w:cs="宋体"/>
          <w:color w:val="auto"/>
          <w:sz w:val="24"/>
          <w:szCs w:val="24"/>
        </w:rPr>
        <w:t>⑴更换：由乙方承担所发生的全部费用。</w:t>
      </w:r>
    </w:p>
    <w:p>
      <w:pPr>
        <w:pStyle w:val="18"/>
        <w:snapToGrid w:val="0"/>
        <w:spacing w:line="400" w:lineRule="exact"/>
        <w:ind w:firstLine="420"/>
        <w:rPr>
          <w:rFonts w:hAnsi="宋体" w:cs="宋体"/>
          <w:color w:val="auto"/>
          <w:sz w:val="24"/>
          <w:szCs w:val="24"/>
        </w:rPr>
      </w:pPr>
      <w:r>
        <w:rPr>
          <w:rFonts w:hint="eastAsia" w:hAnsi="宋体" w:cs="宋体"/>
          <w:color w:val="auto"/>
          <w:sz w:val="24"/>
          <w:szCs w:val="24"/>
        </w:rPr>
        <w:t>⑵贬值处理：由甲乙双方合议定价。</w:t>
      </w:r>
    </w:p>
    <w:p>
      <w:pPr>
        <w:pStyle w:val="18"/>
        <w:snapToGrid w:val="0"/>
        <w:spacing w:line="400" w:lineRule="exact"/>
        <w:ind w:firstLine="420"/>
        <w:rPr>
          <w:rFonts w:hAnsi="宋体" w:cs="宋体"/>
          <w:color w:val="auto"/>
          <w:sz w:val="24"/>
          <w:szCs w:val="24"/>
        </w:rPr>
      </w:pPr>
      <w:r>
        <w:rPr>
          <w:rFonts w:hint="eastAsia" w:hAnsi="宋体" w:cs="宋体"/>
          <w:color w:val="auto"/>
          <w:sz w:val="24"/>
          <w:szCs w:val="24"/>
        </w:rPr>
        <w:t>⑶退货处理：乙方应退还甲方支付的合同款，同时应承担该货物的直接费用（运输、保险、检验、货款利息及银行手续费等）。</w:t>
      </w:r>
    </w:p>
    <w:p>
      <w:pPr>
        <w:spacing w:line="460" w:lineRule="exact"/>
        <w:ind w:firstLine="480" w:firstLineChars="200"/>
        <w:rPr>
          <w:rFonts w:ascii="宋体" w:hAnsi="宋体" w:cs="宋体"/>
          <w:color w:val="auto"/>
          <w:sz w:val="24"/>
        </w:rPr>
      </w:pPr>
      <w:r>
        <w:rPr>
          <w:rFonts w:hint="eastAsia" w:ascii="宋体" w:hAnsi="宋体" w:cs="宋体"/>
          <w:color w:val="auto"/>
          <w:sz w:val="24"/>
        </w:rPr>
        <w:t xml:space="preserve"> 2.乙方应按照国家有关法律法规和“三包”规定以及竞标文件、响应文件和本合同所附的《售后服务承诺书》，为甲方提供售后服务。</w:t>
      </w:r>
    </w:p>
    <w:p>
      <w:pPr>
        <w:spacing w:line="460" w:lineRule="exact"/>
        <w:ind w:firstLine="480" w:firstLineChars="200"/>
        <w:rPr>
          <w:rFonts w:ascii="宋体" w:hAnsi="宋体" w:cs="宋体"/>
          <w:color w:val="auto"/>
          <w:sz w:val="24"/>
        </w:rPr>
      </w:pPr>
      <w:r>
        <w:rPr>
          <w:rFonts w:hint="eastAsia" w:ascii="宋体" w:hAnsi="宋体" w:cs="宋体"/>
          <w:color w:val="auto"/>
          <w:sz w:val="24"/>
        </w:rPr>
        <w:t>3.产品质量保证期应当包括但不限于：货物验收合格之日起</w:t>
      </w:r>
      <w:r>
        <w:rPr>
          <w:rFonts w:hint="eastAsia" w:ascii="宋体" w:hAnsi="宋体" w:cs="宋体"/>
          <w:color w:val="auto"/>
          <w:sz w:val="24"/>
          <w:u w:val="single"/>
        </w:rPr>
        <w:t xml:space="preserve">    </w:t>
      </w:r>
      <w:r>
        <w:rPr>
          <w:rFonts w:hint="eastAsia" w:ascii="宋体" w:hAnsi="宋体" w:cs="宋体"/>
          <w:color w:val="auto"/>
          <w:sz w:val="24"/>
        </w:rPr>
        <w:t>月。质保期内，乙方对其提供的设备进行上门维修、免费更换零部件，不收取额外费用。质保期后提供终身免费维修及保养，维修时只收部件成本费。</w:t>
      </w:r>
    </w:p>
    <w:p>
      <w:pPr>
        <w:pStyle w:val="18"/>
        <w:snapToGrid w:val="0"/>
        <w:spacing w:line="400" w:lineRule="exact"/>
        <w:ind w:firstLine="420"/>
        <w:rPr>
          <w:rFonts w:hAnsi="宋体" w:cs="宋体"/>
          <w:color w:val="auto"/>
          <w:sz w:val="24"/>
          <w:szCs w:val="24"/>
        </w:rPr>
      </w:pPr>
      <w:r>
        <w:rPr>
          <w:rFonts w:hint="eastAsia" w:hAnsi="宋体" w:cs="宋体"/>
          <w:color w:val="auto"/>
          <w:sz w:val="24"/>
          <w:szCs w:val="24"/>
        </w:rPr>
        <w:t>4.如在使用过程中发生质量问题，乙方在接到甲方通知后</w:t>
      </w:r>
      <w:r>
        <w:rPr>
          <w:rFonts w:hint="eastAsia" w:hAnsi="宋体" w:cs="宋体"/>
          <w:color w:val="auto"/>
          <w:sz w:val="24"/>
          <w:szCs w:val="24"/>
          <w:u w:val="single"/>
        </w:rPr>
        <w:t xml:space="preserve"> 2  </w:t>
      </w:r>
      <w:r>
        <w:rPr>
          <w:rFonts w:hint="eastAsia" w:hAnsi="宋体" w:cs="宋体"/>
          <w:color w:val="auto"/>
          <w:sz w:val="24"/>
          <w:szCs w:val="24"/>
        </w:rPr>
        <w:t>小时内（</w:t>
      </w:r>
      <w:r>
        <w:rPr>
          <w:rFonts w:hint="eastAsia" w:hAnsi="宋体" w:cs="宋体"/>
          <w:color w:val="auto"/>
          <w:sz w:val="24"/>
          <w:szCs w:val="24"/>
          <w:u w:val="single"/>
        </w:rPr>
        <w:t>按响应文件承诺的数据填写</w:t>
      </w:r>
      <w:r>
        <w:rPr>
          <w:rFonts w:hint="eastAsia" w:hAnsi="宋体" w:cs="宋体"/>
          <w:color w:val="auto"/>
          <w:sz w:val="24"/>
          <w:szCs w:val="24"/>
        </w:rPr>
        <w:t>）响应，并在</w:t>
      </w:r>
      <w:r>
        <w:rPr>
          <w:rFonts w:hint="eastAsia" w:hAnsi="宋体" w:cs="宋体"/>
          <w:color w:val="auto"/>
          <w:sz w:val="24"/>
          <w:szCs w:val="24"/>
          <w:u w:val="single"/>
        </w:rPr>
        <w:t>24</w:t>
      </w:r>
      <w:r>
        <w:rPr>
          <w:rFonts w:hint="eastAsia" w:hAnsi="宋体" w:cs="宋体"/>
          <w:color w:val="auto"/>
          <w:sz w:val="24"/>
          <w:szCs w:val="24"/>
        </w:rPr>
        <w:t>小时内到达甲方现场维修，对货物出现的质量及安全问题负责处理解决并承担一切费用。</w:t>
      </w:r>
    </w:p>
    <w:p>
      <w:pPr>
        <w:spacing w:line="460" w:lineRule="exact"/>
        <w:ind w:firstLine="480" w:firstLineChars="200"/>
        <w:rPr>
          <w:rFonts w:ascii="宋体" w:hAnsi="宋体" w:cs="宋体"/>
          <w:color w:val="auto"/>
          <w:sz w:val="24"/>
        </w:rPr>
      </w:pPr>
      <w:r>
        <w:rPr>
          <w:rFonts w:hint="eastAsia" w:ascii="宋体" w:hAnsi="宋体" w:cs="宋体"/>
          <w:color w:val="auto"/>
          <w:sz w:val="24"/>
        </w:rPr>
        <w:t>5.乙方提供的服务承诺和售后服务及保修期责任等其它具体约定事项。（见合同附件）</w:t>
      </w:r>
    </w:p>
    <w:p>
      <w:pPr>
        <w:spacing w:line="460" w:lineRule="exact"/>
        <w:ind w:firstLine="482" w:firstLineChars="200"/>
        <w:rPr>
          <w:rFonts w:ascii="宋体" w:hAnsi="宋体" w:cs="宋体"/>
          <w:b/>
          <w:bCs/>
          <w:color w:val="auto"/>
          <w:sz w:val="24"/>
        </w:rPr>
      </w:pPr>
      <w:r>
        <w:rPr>
          <w:rFonts w:hint="eastAsia" w:ascii="宋体" w:hAnsi="宋体" w:cs="宋体"/>
          <w:b/>
          <w:bCs/>
          <w:color w:val="auto"/>
          <w:sz w:val="24"/>
        </w:rPr>
        <w:t>第十一条　违约责任</w:t>
      </w:r>
    </w:p>
    <w:p>
      <w:pPr>
        <w:spacing w:line="460" w:lineRule="exact"/>
        <w:ind w:firstLine="480" w:firstLineChars="200"/>
        <w:rPr>
          <w:rFonts w:ascii="宋体" w:hAnsi="宋体" w:cs="宋体"/>
          <w:color w:val="auto"/>
          <w:sz w:val="24"/>
        </w:rPr>
      </w:pPr>
      <w:r>
        <w:rPr>
          <w:rFonts w:hint="eastAsia" w:ascii="宋体" w:hAnsi="宋体" w:cs="宋体"/>
          <w:color w:val="auto"/>
          <w:sz w:val="24"/>
        </w:rPr>
        <w:t>1. 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pPr>
        <w:spacing w:line="460" w:lineRule="exact"/>
        <w:ind w:firstLine="480" w:firstLineChars="200"/>
        <w:rPr>
          <w:rFonts w:ascii="宋体" w:hAnsi="宋体" w:cs="宋体"/>
          <w:color w:val="auto"/>
          <w:sz w:val="24"/>
        </w:rPr>
      </w:pPr>
      <w:r>
        <w:rPr>
          <w:rFonts w:hint="eastAsia" w:ascii="宋体" w:hAnsi="宋体" w:cs="宋体"/>
          <w:color w:val="auto"/>
          <w:sz w:val="24"/>
        </w:rPr>
        <w:t>2. 乙方提供的货物如侵犯了第三方合法权益而引发的任何纠纷或诉讼，均由乙方负责交涉并承担全部责任。</w:t>
      </w:r>
    </w:p>
    <w:p>
      <w:pPr>
        <w:spacing w:line="460" w:lineRule="exact"/>
        <w:ind w:firstLine="480" w:firstLineChars="200"/>
        <w:rPr>
          <w:rFonts w:ascii="宋体" w:hAnsi="宋体" w:cs="宋体"/>
          <w:color w:val="auto"/>
          <w:sz w:val="24"/>
        </w:rPr>
      </w:pPr>
      <w:r>
        <w:rPr>
          <w:rFonts w:hint="eastAsia" w:ascii="宋体" w:hAnsi="宋体" w:cs="宋体"/>
          <w:color w:val="auto"/>
          <w:sz w:val="24"/>
        </w:rPr>
        <w:t>3. 因包装、运输引起的货物损坏，按质量不合格处罚。</w:t>
      </w:r>
    </w:p>
    <w:p>
      <w:pPr>
        <w:spacing w:line="460" w:lineRule="exact"/>
        <w:ind w:firstLine="480" w:firstLineChars="200"/>
        <w:rPr>
          <w:rFonts w:ascii="宋体" w:hAnsi="宋体" w:cs="宋体"/>
          <w:color w:val="auto"/>
          <w:sz w:val="24"/>
        </w:rPr>
      </w:pPr>
      <w:r>
        <w:rPr>
          <w:rFonts w:hint="eastAsia" w:ascii="宋体" w:hAnsi="宋体" w:cs="宋体"/>
          <w:color w:val="auto"/>
          <w:sz w:val="24"/>
        </w:rPr>
        <w:t>4. 甲方无故延期接收货物、乙方逾期交货的，每天向对方偿付违约货款额3‰违约金，超过</w:t>
      </w:r>
      <w:r>
        <w:rPr>
          <w:rFonts w:hint="eastAsia" w:ascii="宋体" w:hAnsi="宋体" w:cs="宋体"/>
          <w:color w:val="auto"/>
          <w:sz w:val="24"/>
          <w:u w:val="single"/>
        </w:rPr>
        <w:t xml:space="preserve"> 30 </w:t>
      </w:r>
      <w:r>
        <w:rPr>
          <w:rFonts w:hint="eastAsia" w:ascii="宋体" w:hAnsi="宋体" w:cs="宋体"/>
          <w:color w:val="auto"/>
          <w:sz w:val="24"/>
        </w:rPr>
        <w:t>天对方有权解除合同，违约方承担因此给对方造成经济损失；甲方延期付货款的，每天向乙方偿付延期货款额5‱ 滞纳金。</w:t>
      </w:r>
    </w:p>
    <w:p>
      <w:pPr>
        <w:spacing w:line="460" w:lineRule="exact"/>
        <w:ind w:firstLine="480" w:firstLineChars="200"/>
        <w:rPr>
          <w:rFonts w:ascii="宋体" w:hAnsi="宋体" w:cs="宋体"/>
          <w:color w:val="auto"/>
          <w:sz w:val="24"/>
        </w:rPr>
      </w:pPr>
      <w:r>
        <w:rPr>
          <w:rFonts w:hint="eastAsia" w:ascii="宋体" w:hAnsi="宋体" w:cs="宋体"/>
          <w:color w:val="auto"/>
          <w:sz w:val="24"/>
        </w:rPr>
        <w:t>5. 乙方未按本合同和响应文件中规定的服务承诺提供服务的，乙方应按本合同合计金额10%向甲方支付违约金，甲方有权解除合同。</w:t>
      </w:r>
    </w:p>
    <w:p>
      <w:pPr>
        <w:spacing w:line="460" w:lineRule="exact"/>
        <w:ind w:firstLine="480" w:firstLineChars="200"/>
        <w:rPr>
          <w:rFonts w:ascii="宋体" w:hAnsi="宋体" w:cs="宋体"/>
          <w:color w:val="auto"/>
          <w:sz w:val="24"/>
        </w:rPr>
      </w:pPr>
      <w:r>
        <w:rPr>
          <w:rFonts w:hint="eastAsia" w:ascii="宋体" w:hAnsi="宋体" w:cs="宋体"/>
          <w:color w:val="auto"/>
          <w:sz w:val="24"/>
        </w:rPr>
        <w:t>6. 乙方提供的货物在质量保证期内，因设计、工艺或材料的缺陷和其它质量原因造成的问题，由乙方负责，费用从质量保证金中扣除，不足另补。</w:t>
      </w:r>
    </w:p>
    <w:p>
      <w:pPr>
        <w:spacing w:line="460" w:lineRule="exact"/>
        <w:ind w:firstLine="480" w:firstLineChars="200"/>
        <w:rPr>
          <w:rFonts w:ascii="宋体" w:hAnsi="宋体" w:cs="宋体"/>
          <w:color w:val="auto"/>
          <w:sz w:val="24"/>
        </w:rPr>
      </w:pPr>
      <w:r>
        <w:rPr>
          <w:rFonts w:hint="eastAsia" w:ascii="宋体" w:hAnsi="宋体" w:cs="宋体"/>
          <w:color w:val="auto"/>
          <w:sz w:val="24"/>
        </w:rPr>
        <w:t>7. 其它违约行为按违约货款额10%收取违约金。</w:t>
      </w:r>
    </w:p>
    <w:p>
      <w:pPr>
        <w:spacing w:line="460" w:lineRule="exact"/>
        <w:ind w:firstLine="480" w:firstLineChars="200"/>
        <w:rPr>
          <w:rFonts w:ascii="宋体" w:hAnsi="宋体" w:cs="宋体"/>
          <w:color w:val="auto"/>
          <w:sz w:val="24"/>
        </w:rPr>
      </w:pPr>
      <w:r>
        <w:rPr>
          <w:rFonts w:hint="eastAsia" w:ascii="宋体" w:hAnsi="宋体" w:cs="宋体"/>
          <w:color w:val="auto"/>
          <w:sz w:val="24"/>
        </w:rPr>
        <w:t>8. 乙方支付的违约金不足以弥补甲方损失的，还应承担赔偿责任。</w:t>
      </w:r>
    </w:p>
    <w:p>
      <w:pPr>
        <w:spacing w:line="460" w:lineRule="exact"/>
        <w:ind w:firstLine="482" w:firstLineChars="200"/>
        <w:rPr>
          <w:rFonts w:ascii="宋体" w:hAnsi="宋体" w:cs="宋体"/>
          <w:b/>
          <w:bCs/>
          <w:color w:val="auto"/>
          <w:sz w:val="24"/>
        </w:rPr>
      </w:pPr>
      <w:r>
        <w:rPr>
          <w:rFonts w:hint="eastAsia" w:ascii="宋体" w:hAnsi="宋体" w:cs="宋体"/>
          <w:b/>
          <w:bCs/>
          <w:color w:val="auto"/>
          <w:sz w:val="24"/>
        </w:rPr>
        <w:t>第十二条  不可抗力事件处理</w:t>
      </w:r>
    </w:p>
    <w:p>
      <w:pPr>
        <w:spacing w:line="460" w:lineRule="exact"/>
        <w:ind w:firstLine="480" w:firstLineChars="200"/>
        <w:rPr>
          <w:rFonts w:ascii="宋体" w:hAnsi="宋体" w:cs="宋体"/>
          <w:color w:val="auto"/>
          <w:sz w:val="24"/>
        </w:rPr>
      </w:pPr>
      <w:r>
        <w:rPr>
          <w:rFonts w:hint="eastAsia" w:ascii="宋体" w:hAnsi="宋体" w:cs="宋体"/>
          <w:color w:val="auto"/>
          <w:sz w:val="24"/>
        </w:rPr>
        <w:t>1. 在合同有效期内，任何一方因不可抗力事件导致不能履行合同，则合同履行期可延长，其延长期与不可抗力影响期相同。</w:t>
      </w:r>
    </w:p>
    <w:p>
      <w:pPr>
        <w:spacing w:line="460" w:lineRule="exact"/>
        <w:ind w:firstLine="480" w:firstLineChars="200"/>
        <w:rPr>
          <w:rFonts w:ascii="宋体" w:hAnsi="宋体" w:cs="宋体"/>
          <w:color w:val="auto"/>
          <w:sz w:val="24"/>
        </w:rPr>
      </w:pPr>
      <w:r>
        <w:rPr>
          <w:rFonts w:hint="eastAsia" w:ascii="宋体" w:hAnsi="宋体" w:cs="宋体"/>
          <w:color w:val="auto"/>
          <w:sz w:val="24"/>
        </w:rPr>
        <w:t>2. 不可抗力事件发生后，应立即通知对方，并寄送有关权威机构出具的证明。</w:t>
      </w:r>
    </w:p>
    <w:p>
      <w:pPr>
        <w:spacing w:line="460" w:lineRule="exact"/>
        <w:ind w:firstLine="480" w:firstLineChars="200"/>
        <w:rPr>
          <w:rFonts w:ascii="宋体" w:hAnsi="宋体" w:cs="宋体"/>
          <w:color w:val="auto"/>
          <w:sz w:val="24"/>
        </w:rPr>
      </w:pPr>
      <w:r>
        <w:rPr>
          <w:rFonts w:hint="eastAsia" w:ascii="宋体" w:hAnsi="宋体" w:cs="宋体"/>
          <w:color w:val="auto"/>
          <w:sz w:val="24"/>
        </w:rPr>
        <w:t>3. 不可抗力事件延续一百二十天以上，双方应通过友好协商，确定是否继续履行合同。</w:t>
      </w:r>
    </w:p>
    <w:p>
      <w:pPr>
        <w:spacing w:line="460" w:lineRule="exact"/>
        <w:ind w:firstLine="482" w:firstLineChars="200"/>
        <w:rPr>
          <w:rFonts w:ascii="宋体" w:hAnsi="宋体" w:cs="宋体"/>
          <w:b/>
          <w:bCs/>
          <w:color w:val="auto"/>
          <w:sz w:val="24"/>
        </w:rPr>
      </w:pPr>
      <w:r>
        <w:rPr>
          <w:rFonts w:hint="eastAsia" w:ascii="宋体" w:hAnsi="宋体" w:cs="宋体"/>
          <w:b/>
          <w:bCs/>
          <w:color w:val="auto"/>
          <w:sz w:val="24"/>
        </w:rPr>
        <w:t>第十三条  合同争议解决</w:t>
      </w:r>
    </w:p>
    <w:p>
      <w:pPr>
        <w:spacing w:line="460" w:lineRule="exact"/>
        <w:ind w:firstLine="480" w:firstLineChars="200"/>
        <w:rPr>
          <w:rFonts w:ascii="宋体" w:hAnsi="宋体" w:cs="宋体"/>
          <w:color w:val="auto"/>
          <w:sz w:val="24"/>
        </w:rPr>
      </w:pPr>
      <w:r>
        <w:rPr>
          <w:rFonts w:hint="eastAsia" w:ascii="宋体" w:hAnsi="宋体" w:cs="宋体"/>
          <w:color w:val="auto"/>
          <w:sz w:val="24"/>
        </w:rPr>
        <w:t>1. 因货物质量问题发生争议的，应邀请国家认可的质量检测机构对货物质量进行鉴定。货物符合标准的，鉴定费由甲方承担；货物不符合标准的，鉴定费由乙方承担。</w:t>
      </w:r>
    </w:p>
    <w:p>
      <w:pPr>
        <w:spacing w:line="460" w:lineRule="exact"/>
        <w:ind w:firstLine="480" w:firstLineChars="200"/>
        <w:rPr>
          <w:rFonts w:ascii="宋体" w:hAnsi="宋体" w:cs="宋体"/>
          <w:color w:val="auto"/>
          <w:sz w:val="24"/>
        </w:rPr>
      </w:pPr>
      <w:r>
        <w:rPr>
          <w:rFonts w:hint="eastAsia" w:ascii="宋体" w:hAnsi="宋体" w:cs="宋体"/>
          <w:color w:val="auto"/>
          <w:sz w:val="24"/>
        </w:rPr>
        <w:t>2. 因履行本合同引起的或与本合同有关的争议，双方从下列两种方式中选择第</w:t>
      </w:r>
      <w:r>
        <w:rPr>
          <w:rFonts w:hint="eastAsia" w:ascii="宋体" w:hAnsi="宋体" w:cs="宋体"/>
          <w:color w:val="auto"/>
          <w:sz w:val="24"/>
          <w:u w:val="single"/>
        </w:rPr>
        <w:t xml:space="preserve"> ⑵ </w:t>
      </w:r>
      <w:r>
        <w:rPr>
          <w:rFonts w:hint="eastAsia" w:ascii="宋体" w:hAnsi="宋体" w:cs="宋体"/>
          <w:color w:val="auto"/>
          <w:sz w:val="24"/>
        </w:rPr>
        <w:t>种方式，作为本合同争议的解决方式。</w:t>
      </w:r>
    </w:p>
    <w:p>
      <w:pPr>
        <w:spacing w:line="460" w:lineRule="exact"/>
        <w:ind w:firstLine="480" w:firstLineChars="200"/>
        <w:rPr>
          <w:rFonts w:ascii="宋体" w:hAnsi="宋体" w:cs="宋体"/>
          <w:color w:val="auto"/>
          <w:sz w:val="24"/>
        </w:rPr>
      </w:pPr>
      <w:r>
        <w:rPr>
          <w:rFonts w:hint="eastAsia" w:ascii="宋体" w:hAnsi="宋体" w:cs="宋体"/>
          <w:color w:val="auto"/>
          <w:sz w:val="24"/>
        </w:rPr>
        <w:t>⑴甲乙双方应首先通过友好协商解决，如果协商不能解决，可向甲方所在地钦州仲裁委员会申请仲裁。仲裁期间，本合同继续履行。</w:t>
      </w:r>
    </w:p>
    <w:p>
      <w:pPr>
        <w:spacing w:line="460" w:lineRule="exact"/>
        <w:ind w:firstLine="480" w:firstLineChars="200"/>
        <w:rPr>
          <w:rFonts w:ascii="宋体" w:hAnsi="宋体" w:cs="宋体"/>
          <w:color w:val="auto"/>
          <w:sz w:val="24"/>
        </w:rPr>
      </w:pPr>
      <w:r>
        <w:rPr>
          <w:rFonts w:hint="eastAsia" w:ascii="宋体" w:hAnsi="宋体" w:cs="宋体"/>
          <w:color w:val="auto"/>
          <w:sz w:val="24"/>
        </w:rPr>
        <w:t>⑵甲乙双方应首先通过友好协商解决，如果协商不能解决，双方均可向甲方所在地人民法院提起诉讼。诉讼期间，本合同继续履行。</w:t>
      </w:r>
    </w:p>
    <w:p>
      <w:pPr>
        <w:spacing w:line="460" w:lineRule="exact"/>
        <w:ind w:firstLine="482" w:firstLineChars="200"/>
        <w:rPr>
          <w:rFonts w:ascii="宋体" w:hAnsi="宋体" w:cs="宋体"/>
          <w:b/>
          <w:bCs/>
          <w:color w:val="auto"/>
          <w:sz w:val="24"/>
        </w:rPr>
      </w:pPr>
      <w:r>
        <w:rPr>
          <w:rFonts w:hint="eastAsia" w:ascii="宋体" w:hAnsi="宋体" w:cs="宋体"/>
          <w:b/>
          <w:bCs/>
          <w:color w:val="auto"/>
          <w:sz w:val="24"/>
        </w:rPr>
        <w:t>第十四条  合同生效及其它</w:t>
      </w:r>
    </w:p>
    <w:p>
      <w:pPr>
        <w:spacing w:line="460" w:lineRule="exact"/>
        <w:ind w:firstLine="480" w:firstLineChars="200"/>
        <w:rPr>
          <w:rFonts w:ascii="宋体" w:hAnsi="宋体" w:cs="宋体"/>
          <w:color w:val="auto"/>
          <w:sz w:val="24"/>
        </w:rPr>
      </w:pPr>
      <w:r>
        <w:rPr>
          <w:rFonts w:hint="eastAsia" w:ascii="宋体" w:hAnsi="宋体" w:cs="宋体"/>
          <w:color w:val="auto"/>
          <w:sz w:val="24"/>
        </w:rPr>
        <w:t>1. 合同经双方法定代表人或授权代表（委托代理人）签字并加盖单位公章后生效。</w:t>
      </w:r>
    </w:p>
    <w:p>
      <w:pPr>
        <w:spacing w:line="460" w:lineRule="exact"/>
        <w:ind w:firstLine="480" w:firstLineChars="200"/>
        <w:rPr>
          <w:rFonts w:ascii="宋体" w:hAnsi="宋体" w:cs="宋体"/>
          <w:color w:val="auto"/>
          <w:sz w:val="24"/>
        </w:rPr>
      </w:pPr>
      <w:r>
        <w:rPr>
          <w:rFonts w:hint="eastAsia" w:ascii="宋体" w:hAnsi="宋体" w:cs="宋体"/>
          <w:color w:val="auto"/>
          <w:sz w:val="24"/>
        </w:rPr>
        <w:t>2. 合同执行中涉及采购资金和采购内容修改或补充的，须经同级政府采购监督管理办公室审批，并签书面补充协议报同级政府采购监督管理办公室备案，方可作为主合同不可分割的一部分。</w:t>
      </w:r>
    </w:p>
    <w:p>
      <w:pPr>
        <w:spacing w:line="460" w:lineRule="exact"/>
        <w:ind w:firstLine="480" w:firstLineChars="200"/>
        <w:rPr>
          <w:rFonts w:ascii="宋体" w:hAnsi="宋体" w:cs="宋体"/>
          <w:color w:val="auto"/>
          <w:sz w:val="24"/>
        </w:rPr>
      </w:pPr>
      <w:r>
        <w:rPr>
          <w:rFonts w:hint="eastAsia" w:ascii="宋体" w:hAnsi="宋体" w:cs="宋体"/>
          <w:color w:val="auto"/>
          <w:sz w:val="24"/>
        </w:rPr>
        <w:t>3. 本合同未尽事宜，遵照《民法典》有关条文执行。</w:t>
      </w:r>
    </w:p>
    <w:p>
      <w:pPr>
        <w:spacing w:line="460" w:lineRule="exact"/>
        <w:ind w:firstLine="482" w:firstLineChars="200"/>
        <w:rPr>
          <w:rFonts w:ascii="宋体" w:hAnsi="宋体" w:cs="宋体"/>
          <w:b/>
          <w:bCs/>
          <w:color w:val="auto"/>
          <w:sz w:val="24"/>
        </w:rPr>
      </w:pPr>
      <w:r>
        <w:rPr>
          <w:rFonts w:hint="eastAsia" w:ascii="宋体" w:hAnsi="宋体" w:cs="宋体"/>
          <w:b/>
          <w:bCs/>
          <w:color w:val="auto"/>
          <w:sz w:val="24"/>
        </w:rPr>
        <w:t>第十五条　合同的变更、终止与转让</w:t>
      </w:r>
    </w:p>
    <w:p>
      <w:pPr>
        <w:spacing w:line="460" w:lineRule="exact"/>
        <w:ind w:firstLine="480" w:firstLineChars="200"/>
        <w:rPr>
          <w:rFonts w:ascii="宋体" w:hAnsi="宋体" w:cs="宋体"/>
          <w:color w:val="auto"/>
          <w:sz w:val="24"/>
        </w:rPr>
      </w:pPr>
      <w:r>
        <w:rPr>
          <w:rFonts w:hint="eastAsia" w:ascii="宋体" w:hAnsi="宋体" w:cs="宋体"/>
          <w:color w:val="auto"/>
          <w:sz w:val="24"/>
        </w:rPr>
        <w:t>1. 除《中华人民共和国政府采购法》第五十条规定的情形外，本合同一经签订，甲乙双方不得擅自变更、中止或终止。</w:t>
      </w:r>
    </w:p>
    <w:p>
      <w:pPr>
        <w:spacing w:line="460" w:lineRule="exact"/>
        <w:ind w:firstLine="480" w:firstLineChars="200"/>
        <w:rPr>
          <w:rFonts w:ascii="宋体" w:hAnsi="宋体" w:cs="宋体"/>
          <w:color w:val="auto"/>
          <w:sz w:val="24"/>
        </w:rPr>
      </w:pPr>
      <w:r>
        <w:rPr>
          <w:rFonts w:hint="eastAsia" w:ascii="宋体" w:hAnsi="宋体" w:cs="宋体"/>
          <w:color w:val="auto"/>
          <w:sz w:val="24"/>
        </w:rPr>
        <w:t>2. 乙方不得擅自转让（无进口资格的供应商委托进口货物除外）其应履行的合同义务。</w:t>
      </w:r>
    </w:p>
    <w:p>
      <w:pPr>
        <w:snapToGrid w:val="0"/>
        <w:spacing w:line="400" w:lineRule="exact"/>
        <w:ind w:firstLine="482" w:firstLineChars="200"/>
        <w:rPr>
          <w:rFonts w:ascii="宋体" w:hAnsi="宋体" w:cs="宋体"/>
          <w:b/>
          <w:color w:val="auto"/>
          <w:sz w:val="24"/>
        </w:rPr>
      </w:pPr>
      <w:r>
        <w:rPr>
          <w:rFonts w:hint="eastAsia" w:ascii="宋体" w:hAnsi="宋体" w:cs="宋体"/>
          <w:b/>
          <w:bCs/>
          <w:color w:val="auto"/>
          <w:sz w:val="24"/>
        </w:rPr>
        <w:t>第十六条　</w:t>
      </w:r>
      <w:r>
        <w:rPr>
          <w:rFonts w:hint="eastAsia" w:ascii="宋体" w:hAnsi="宋体" w:cs="宋体"/>
          <w:b/>
          <w:bCs/>
          <w:color w:val="auto"/>
          <w:kern w:val="0"/>
          <w:sz w:val="24"/>
        </w:rPr>
        <w:t>本合同书与下列文件一起构成合同文件</w:t>
      </w:r>
    </w:p>
    <w:p>
      <w:pPr>
        <w:pStyle w:val="18"/>
        <w:snapToGrid w:val="0"/>
        <w:spacing w:line="400" w:lineRule="exact"/>
        <w:ind w:left="420" w:leftChars="200"/>
        <w:rPr>
          <w:rFonts w:hAnsi="宋体" w:cs="宋体"/>
          <w:color w:val="auto"/>
          <w:sz w:val="24"/>
          <w:szCs w:val="24"/>
        </w:rPr>
      </w:pPr>
      <w:r>
        <w:rPr>
          <w:rFonts w:hint="eastAsia" w:hAnsi="宋体" w:cs="宋体"/>
          <w:color w:val="auto"/>
          <w:sz w:val="24"/>
          <w:szCs w:val="24"/>
        </w:rPr>
        <w:t>1.采购需求；</w:t>
      </w:r>
    </w:p>
    <w:p>
      <w:pPr>
        <w:pStyle w:val="18"/>
        <w:snapToGrid w:val="0"/>
        <w:spacing w:line="400" w:lineRule="exact"/>
        <w:ind w:left="420" w:leftChars="200"/>
        <w:rPr>
          <w:rFonts w:hAnsi="宋体" w:cs="宋体"/>
          <w:color w:val="auto"/>
          <w:sz w:val="24"/>
          <w:szCs w:val="24"/>
        </w:rPr>
      </w:pPr>
      <w:r>
        <w:rPr>
          <w:rFonts w:hint="eastAsia" w:hAnsi="宋体" w:cs="宋体"/>
          <w:color w:val="auto"/>
          <w:sz w:val="24"/>
          <w:szCs w:val="24"/>
        </w:rPr>
        <w:t>2.竞标声明书；</w:t>
      </w:r>
    </w:p>
    <w:p>
      <w:pPr>
        <w:pStyle w:val="18"/>
        <w:snapToGrid w:val="0"/>
        <w:spacing w:line="400" w:lineRule="exact"/>
        <w:ind w:left="420" w:leftChars="200"/>
        <w:rPr>
          <w:rFonts w:hAnsi="宋体" w:cs="宋体"/>
          <w:color w:val="auto"/>
          <w:sz w:val="24"/>
          <w:szCs w:val="24"/>
        </w:rPr>
      </w:pPr>
      <w:r>
        <w:rPr>
          <w:rFonts w:hint="eastAsia" w:hAnsi="宋体" w:cs="宋体"/>
          <w:color w:val="auto"/>
          <w:sz w:val="24"/>
          <w:szCs w:val="24"/>
        </w:rPr>
        <w:t>3.竞标报价表；</w:t>
      </w:r>
    </w:p>
    <w:p>
      <w:pPr>
        <w:pStyle w:val="18"/>
        <w:snapToGrid w:val="0"/>
        <w:spacing w:line="400" w:lineRule="exact"/>
        <w:ind w:left="420" w:leftChars="200"/>
        <w:rPr>
          <w:rFonts w:hAnsi="宋体" w:cs="宋体"/>
          <w:color w:val="auto"/>
          <w:sz w:val="24"/>
          <w:szCs w:val="24"/>
        </w:rPr>
      </w:pPr>
      <w:r>
        <w:rPr>
          <w:rFonts w:hint="eastAsia" w:hAnsi="宋体" w:cs="宋体"/>
          <w:color w:val="auto"/>
          <w:sz w:val="24"/>
          <w:szCs w:val="24"/>
        </w:rPr>
        <w:t>4.商务条款偏离表和技术需求偏离表；</w:t>
      </w:r>
    </w:p>
    <w:p>
      <w:pPr>
        <w:pStyle w:val="18"/>
        <w:snapToGrid w:val="0"/>
        <w:spacing w:line="400" w:lineRule="exact"/>
        <w:ind w:left="420" w:leftChars="200"/>
        <w:rPr>
          <w:rFonts w:hAnsi="宋体" w:cs="宋体"/>
          <w:color w:val="auto"/>
          <w:sz w:val="24"/>
          <w:szCs w:val="24"/>
        </w:rPr>
      </w:pPr>
      <w:r>
        <w:rPr>
          <w:rFonts w:hint="eastAsia" w:hAnsi="宋体" w:cs="宋体"/>
          <w:color w:val="auto"/>
          <w:sz w:val="24"/>
          <w:szCs w:val="24"/>
        </w:rPr>
        <w:t>5.成交通知书；</w:t>
      </w:r>
    </w:p>
    <w:p>
      <w:pPr>
        <w:pStyle w:val="18"/>
        <w:snapToGrid w:val="0"/>
        <w:spacing w:line="400" w:lineRule="exact"/>
        <w:ind w:left="420" w:leftChars="200"/>
        <w:rPr>
          <w:rFonts w:hAnsi="宋体" w:cs="宋体"/>
          <w:color w:val="auto"/>
          <w:sz w:val="24"/>
          <w:szCs w:val="24"/>
        </w:rPr>
      </w:pPr>
      <w:r>
        <w:rPr>
          <w:rFonts w:hint="eastAsia" w:hAnsi="宋体" w:cs="宋体"/>
          <w:color w:val="auto"/>
          <w:sz w:val="24"/>
          <w:szCs w:val="24"/>
        </w:rPr>
        <w:t>6.其他合同文件。</w:t>
      </w:r>
    </w:p>
    <w:p>
      <w:pPr>
        <w:pStyle w:val="18"/>
        <w:snapToGrid w:val="0"/>
        <w:spacing w:line="400" w:lineRule="exact"/>
        <w:ind w:firstLine="480" w:firstLineChars="200"/>
        <w:rPr>
          <w:rFonts w:hAnsi="宋体" w:cs="宋体"/>
          <w:b/>
          <w:color w:val="auto"/>
          <w:sz w:val="24"/>
          <w:szCs w:val="24"/>
        </w:rPr>
      </w:pPr>
      <w:r>
        <w:rPr>
          <w:rFonts w:hint="eastAsia" w:hAnsi="宋体" w:cs="宋体"/>
          <w:color w:val="auto"/>
          <w:sz w:val="24"/>
          <w:szCs w:val="24"/>
        </w:rPr>
        <w:t>7.上述合同文件互相补充和解释。如果合同文件之间存在矛盾或不一致之处，以上述文件的排列顺序在先者为准。</w:t>
      </w:r>
    </w:p>
    <w:p>
      <w:pPr>
        <w:spacing w:line="460" w:lineRule="exact"/>
        <w:ind w:firstLine="482" w:firstLineChars="200"/>
        <w:rPr>
          <w:rFonts w:ascii="宋体" w:hAnsi="宋体" w:cs="宋体"/>
          <w:color w:val="auto"/>
          <w:sz w:val="24"/>
        </w:rPr>
      </w:pPr>
      <w:r>
        <w:rPr>
          <w:rFonts w:hint="eastAsia" w:ascii="宋体" w:hAnsi="宋体" w:cs="宋体"/>
          <w:b/>
          <w:bCs/>
          <w:color w:val="auto"/>
          <w:sz w:val="24"/>
        </w:rPr>
        <w:t>第十七条</w:t>
      </w:r>
      <w:r>
        <w:rPr>
          <w:rFonts w:hint="eastAsia" w:ascii="宋体" w:hAnsi="宋体" w:cs="宋体"/>
          <w:color w:val="auto"/>
          <w:sz w:val="24"/>
        </w:rPr>
        <w:t>　其他</w:t>
      </w:r>
    </w:p>
    <w:p>
      <w:pPr>
        <w:spacing w:line="460" w:lineRule="exact"/>
        <w:ind w:firstLine="480" w:firstLineChars="200"/>
        <w:rPr>
          <w:rFonts w:ascii="宋体" w:hAnsi="宋体" w:cs="宋体"/>
          <w:color w:val="auto"/>
          <w:sz w:val="24"/>
        </w:rPr>
      </w:pPr>
      <w:r>
        <w:rPr>
          <w:rFonts w:hint="eastAsia" w:ascii="宋体" w:hAnsi="宋体" w:cs="宋体"/>
          <w:color w:val="auto"/>
          <w:sz w:val="24"/>
        </w:rPr>
        <w:t>本合同一式伍份，采购代理机构壹份，甲方执贰份，乙方执贰份，具有同等法律效力。自签订之日起两个工作日内，采购代理机构应当将合同副本报同级财政部门备案。</w:t>
      </w:r>
    </w:p>
    <w:p>
      <w:pPr>
        <w:spacing w:line="460" w:lineRule="exact"/>
        <w:ind w:firstLine="480" w:firstLineChars="200"/>
        <w:rPr>
          <w:rFonts w:ascii="宋体" w:hAnsi="宋体" w:cs="宋体"/>
          <w:color w:val="auto"/>
          <w:sz w:val="24"/>
        </w:rPr>
      </w:pPr>
    </w:p>
    <w:p>
      <w:pPr>
        <w:snapToGrid w:val="0"/>
        <w:spacing w:line="400" w:lineRule="exact"/>
        <w:rPr>
          <w:rFonts w:ascii="宋体" w:hAnsi="宋体" w:cs="宋体"/>
          <w:color w:val="auto"/>
          <w:sz w:val="24"/>
        </w:rPr>
      </w:pPr>
      <w:r>
        <w:rPr>
          <w:rFonts w:hint="eastAsia" w:ascii="宋体" w:hAnsi="宋体" w:cs="宋体"/>
          <w:color w:val="auto"/>
          <w:sz w:val="24"/>
        </w:rPr>
        <w:t>（以下无正文为签章页）</w:t>
      </w:r>
    </w:p>
    <w:tbl>
      <w:tblPr>
        <w:tblStyle w:val="46"/>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8"/>
        <w:gridCol w:w="4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7" w:hRule="atLeast"/>
        </w:trPr>
        <w:tc>
          <w:tcPr>
            <w:tcW w:w="4798" w:type="dxa"/>
            <w:vAlign w:val="center"/>
          </w:tcPr>
          <w:p>
            <w:pPr>
              <w:snapToGrid w:val="0"/>
              <w:spacing w:line="400" w:lineRule="exact"/>
              <w:rPr>
                <w:rFonts w:ascii="宋体" w:hAnsi="宋体" w:cs="宋体"/>
                <w:color w:val="auto"/>
                <w:sz w:val="24"/>
              </w:rPr>
            </w:pPr>
            <w:r>
              <w:rPr>
                <w:rFonts w:hint="eastAsia" w:ascii="宋体" w:hAnsi="宋体" w:cs="宋体"/>
                <w:color w:val="auto"/>
                <w:sz w:val="24"/>
              </w:rPr>
              <w:t xml:space="preserve">甲方（章）：           </w:t>
            </w:r>
          </w:p>
          <w:p>
            <w:pPr>
              <w:snapToGrid w:val="0"/>
              <w:spacing w:line="400" w:lineRule="exact"/>
              <w:rPr>
                <w:rFonts w:ascii="宋体" w:hAnsi="宋体" w:cs="宋体"/>
                <w:color w:val="auto"/>
                <w:sz w:val="24"/>
              </w:rPr>
            </w:pPr>
            <w:r>
              <w:rPr>
                <w:rFonts w:hint="eastAsia" w:ascii="宋体" w:hAnsi="宋体" w:cs="宋体"/>
                <w:color w:val="auto"/>
                <w:sz w:val="24"/>
              </w:rPr>
              <w:t xml:space="preserve">  </w:t>
            </w:r>
          </w:p>
          <w:p>
            <w:pPr>
              <w:snapToGrid w:val="0"/>
              <w:spacing w:line="400" w:lineRule="exact"/>
              <w:rPr>
                <w:rFonts w:ascii="宋体" w:hAnsi="宋体" w:cs="宋体"/>
                <w:color w:val="auto"/>
                <w:sz w:val="24"/>
              </w:rPr>
            </w:pPr>
          </w:p>
          <w:p>
            <w:pPr>
              <w:snapToGrid w:val="0"/>
              <w:spacing w:line="400" w:lineRule="exact"/>
              <w:ind w:firstLine="1080" w:firstLineChars="450"/>
              <w:jc w:val="right"/>
              <w:rPr>
                <w:rFonts w:ascii="宋体" w:hAnsi="宋体" w:cs="宋体"/>
                <w:color w:val="auto"/>
                <w:sz w:val="24"/>
              </w:rPr>
            </w:pPr>
            <w:r>
              <w:rPr>
                <w:rFonts w:hint="eastAsia" w:ascii="宋体" w:hAnsi="宋体" w:cs="宋体"/>
                <w:color w:val="auto"/>
                <w:sz w:val="24"/>
              </w:rPr>
              <w:t>年   月   日</w:t>
            </w:r>
          </w:p>
        </w:tc>
        <w:tc>
          <w:tcPr>
            <w:tcW w:w="4681" w:type="dxa"/>
            <w:vAlign w:val="center"/>
          </w:tcPr>
          <w:p>
            <w:pPr>
              <w:snapToGrid w:val="0"/>
              <w:spacing w:line="400" w:lineRule="exact"/>
              <w:rPr>
                <w:rFonts w:ascii="宋体" w:hAnsi="宋体" w:cs="宋体"/>
                <w:color w:val="auto"/>
                <w:sz w:val="24"/>
              </w:rPr>
            </w:pPr>
            <w:r>
              <w:rPr>
                <w:rFonts w:hint="eastAsia" w:ascii="宋体" w:hAnsi="宋体" w:cs="宋体"/>
                <w:color w:val="auto"/>
                <w:sz w:val="24"/>
              </w:rPr>
              <w:t xml:space="preserve">乙方（章）：              </w:t>
            </w:r>
          </w:p>
          <w:p>
            <w:pPr>
              <w:snapToGrid w:val="0"/>
              <w:spacing w:line="400" w:lineRule="exact"/>
              <w:rPr>
                <w:rFonts w:ascii="宋体" w:hAnsi="宋体" w:cs="宋体"/>
                <w:color w:val="auto"/>
                <w:sz w:val="24"/>
              </w:rPr>
            </w:pPr>
          </w:p>
          <w:p>
            <w:pPr>
              <w:snapToGrid w:val="0"/>
              <w:spacing w:line="400" w:lineRule="exact"/>
              <w:rPr>
                <w:rFonts w:ascii="宋体" w:hAnsi="宋体" w:cs="宋体"/>
                <w:color w:val="auto"/>
                <w:sz w:val="24"/>
              </w:rPr>
            </w:pPr>
          </w:p>
          <w:p>
            <w:pPr>
              <w:snapToGrid w:val="0"/>
              <w:spacing w:line="400" w:lineRule="exact"/>
              <w:jc w:val="right"/>
              <w:rPr>
                <w:rFonts w:ascii="宋体" w:hAnsi="宋体" w:cs="宋体"/>
                <w:color w:val="auto"/>
                <w:sz w:val="24"/>
              </w:rPr>
            </w:pPr>
            <w:r>
              <w:rPr>
                <w:rFonts w:hint="eastAsia" w:ascii="宋体" w:hAnsi="宋体" w:cs="宋体"/>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3" w:hRule="atLeast"/>
        </w:trPr>
        <w:tc>
          <w:tcPr>
            <w:tcW w:w="4798" w:type="dxa"/>
            <w:vAlign w:val="center"/>
          </w:tcPr>
          <w:p>
            <w:pPr>
              <w:snapToGrid w:val="0"/>
              <w:spacing w:line="400" w:lineRule="exact"/>
              <w:rPr>
                <w:rFonts w:ascii="宋体" w:hAnsi="宋体" w:cs="宋体"/>
                <w:color w:val="auto"/>
                <w:sz w:val="24"/>
              </w:rPr>
            </w:pPr>
            <w:r>
              <w:rPr>
                <w:rFonts w:hint="eastAsia" w:ascii="宋体" w:hAnsi="宋体" w:cs="宋体"/>
                <w:color w:val="auto"/>
                <w:sz w:val="24"/>
              </w:rPr>
              <w:t xml:space="preserve">单位地址： </w:t>
            </w:r>
          </w:p>
        </w:tc>
        <w:tc>
          <w:tcPr>
            <w:tcW w:w="4681" w:type="dxa"/>
            <w:vAlign w:val="center"/>
          </w:tcPr>
          <w:p>
            <w:pPr>
              <w:snapToGrid w:val="0"/>
              <w:spacing w:line="400" w:lineRule="exact"/>
              <w:rPr>
                <w:rFonts w:ascii="宋体" w:hAnsi="宋体" w:cs="宋体"/>
                <w:color w:val="auto"/>
                <w:sz w:val="24"/>
              </w:rPr>
            </w:pPr>
            <w:r>
              <w:rPr>
                <w:rFonts w:hint="eastAsia" w:ascii="宋体" w:hAnsi="宋体" w:cs="宋体"/>
                <w:color w:val="auto"/>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3" w:hRule="atLeast"/>
        </w:trPr>
        <w:tc>
          <w:tcPr>
            <w:tcW w:w="4798" w:type="dxa"/>
          </w:tcPr>
          <w:p>
            <w:pPr>
              <w:snapToGrid w:val="0"/>
              <w:spacing w:line="400" w:lineRule="exact"/>
              <w:rPr>
                <w:rFonts w:ascii="宋体" w:hAnsi="宋体" w:cs="宋体"/>
                <w:color w:val="auto"/>
                <w:sz w:val="24"/>
              </w:rPr>
            </w:pPr>
            <w:r>
              <w:rPr>
                <w:rFonts w:hint="eastAsia" w:ascii="宋体" w:hAnsi="宋体" w:cs="宋体"/>
                <w:color w:val="auto"/>
                <w:sz w:val="24"/>
              </w:rPr>
              <w:t>法定代表人</w:t>
            </w:r>
          </w:p>
          <w:p>
            <w:pPr>
              <w:snapToGrid w:val="0"/>
              <w:spacing w:line="400" w:lineRule="exact"/>
              <w:rPr>
                <w:rFonts w:ascii="宋体" w:hAnsi="宋体" w:cs="宋体"/>
                <w:color w:val="auto"/>
                <w:sz w:val="24"/>
              </w:rPr>
            </w:pPr>
            <w:r>
              <w:rPr>
                <w:rFonts w:hint="eastAsia" w:ascii="宋体" w:hAnsi="宋体" w:cs="宋体"/>
                <w:color w:val="auto"/>
                <w:sz w:val="24"/>
              </w:rPr>
              <w:t>或委托代理人：</w:t>
            </w:r>
          </w:p>
        </w:tc>
        <w:tc>
          <w:tcPr>
            <w:tcW w:w="4681" w:type="dxa"/>
          </w:tcPr>
          <w:p>
            <w:pPr>
              <w:snapToGrid w:val="0"/>
              <w:spacing w:line="400" w:lineRule="exact"/>
              <w:rPr>
                <w:rFonts w:ascii="宋体" w:hAnsi="宋体" w:cs="宋体"/>
                <w:color w:val="auto"/>
                <w:sz w:val="24"/>
              </w:rPr>
            </w:pPr>
            <w:r>
              <w:rPr>
                <w:rFonts w:hint="eastAsia" w:ascii="宋体" w:hAnsi="宋体" w:cs="宋体"/>
                <w:color w:val="auto"/>
                <w:sz w:val="24"/>
              </w:rPr>
              <w:t>法定代表人（负责人或自然人）</w:t>
            </w:r>
          </w:p>
          <w:p>
            <w:pPr>
              <w:snapToGrid w:val="0"/>
              <w:spacing w:line="400" w:lineRule="exact"/>
              <w:rPr>
                <w:rFonts w:ascii="宋体" w:hAnsi="宋体" w:cs="宋体"/>
                <w:color w:val="auto"/>
                <w:sz w:val="24"/>
              </w:rPr>
            </w:pPr>
            <w:r>
              <w:rPr>
                <w:rFonts w:hint="eastAsia" w:ascii="宋体" w:hAnsi="宋体" w:cs="宋体"/>
                <w:color w:val="auto"/>
                <w:sz w:val="24"/>
              </w:rPr>
              <w:t>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trPr>
        <w:tc>
          <w:tcPr>
            <w:tcW w:w="4798" w:type="dxa"/>
            <w:vAlign w:val="center"/>
          </w:tcPr>
          <w:p>
            <w:pPr>
              <w:snapToGrid w:val="0"/>
              <w:spacing w:line="400" w:lineRule="exact"/>
              <w:rPr>
                <w:rFonts w:ascii="宋体" w:hAnsi="宋体" w:cs="宋体"/>
                <w:color w:val="auto"/>
                <w:sz w:val="24"/>
              </w:rPr>
            </w:pPr>
            <w:r>
              <w:rPr>
                <w:rFonts w:hint="eastAsia" w:ascii="宋体" w:hAnsi="宋体" w:cs="宋体"/>
                <w:color w:val="auto"/>
                <w:sz w:val="24"/>
              </w:rPr>
              <w:t>电话：</w:t>
            </w:r>
          </w:p>
        </w:tc>
        <w:tc>
          <w:tcPr>
            <w:tcW w:w="4681" w:type="dxa"/>
            <w:vAlign w:val="center"/>
          </w:tcPr>
          <w:p>
            <w:pPr>
              <w:snapToGrid w:val="0"/>
              <w:spacing w:line="400" w:lineRule="exact"/>
              <w:rPr>
                <w:rFonts w:ascii="宋体" w:hAnsi="宋体" w:cs="宋体"/>
                <w:color w:val="auto"/>
                <w:sz w:val="24"/>
              </w:rPr>
            </w:pPr>
            <w:r>
              <w:rPr>
                <w:rFonts w:hint="eastAsia" w:ascii="宋体" w:hAnsi="宋体" w:cs="宋体"/>
                <w:color w:val="auto"/>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trPr>
        <w:tc>
          <w:tcPr>
            <w:tcW w:w="4798" w:type="dxa"/>
            <w:vAlign w:val="center"/>
          </w:tcPr>
          <w:p>
            <w:pPr>
              <w:snapToGrid w:val="0"/>
              <w:spacing w:line="400" w:lineRule="exact"/>
              <w:rPr>
                <w:rFonts w:ascii="宋体" w:hAnsi="宋体" w:cs="宋体"/>
                <w:color w:val="auto"/>
                <w:sz w:val="24"/>
              </w:rPr>
            </w:pPr>
            <w:r>
              <w:rPr>
                <w:rFonts w:hint="eastAsia" w:ascii="宋体" w:hAnsi="宋体" w:cs="宋体"/>
                <w:color w:val="auto"/>
                <w:sz w:val="24"/>
              </w:rPr>
              <w:t xml:space="preserve">开户银行： </w:t>
            </w:r>
          </w:p>
        </w:tc>
        <w:tc>
          <w:tcPr>
            <w:tcW w:w="4681" w:type="dxa"/>
            <w:vAlign w:val="center"/>
          </w:tcPr>
          <w:p>
            <w:pPr>
              <w:snapToGrid w:val="0"/>
              <w:spacing w:line="400" w:lineRule="exact"/>
              <w:rPr>
                <w:rFonts w:ascii="宋体" w:hAnsi="宋体" w:cs="宋体"/>
                <w:color w:val="auto"/>
                <w:sz w:val="24"/>
              </w:rPr>
            </w:pPr>
            <w:r>
              <w:rPr>
                <w:rFonts w:hint="eastAsia" w:ascii="宋体" w:hAnsi="宋体" w:cs="宋体"/>
                <w:color w:val="auto"/>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trPr>
        <w:tc>
          <w:tcPr>
            <w:tcW w:w="4798" w:type="dxa"/>
            <w:vAlign w:val="center"/>
          </w:tcPr>
          <w:p>
            <w:pPr>
              <w:snapToGrid w:val="0"/>
              <w:spacing w:line="400" w:lineRule="exact"/>
              <w:rPr>
                <w:rFonts w:ascii="宋体" w:hAnsi="宋体" w:cs="宋体"/>
                <w:color w:val="auto"/>
                <w:sz w:val="24"/>
              </w:rPr>
            </w:pPr>
            <w:r>
              <w:rPr>
                <w:rFonts w:hint="eastAsia" w:ascii="宋体" w:hAnsi="宋体" w:cs="宋体"/>
                <w:color w:val="auto"/>
                <w:sz w:val="24"/>
              </w:rPr>
              <w:t xml:space="preserve">账号： </w:t>
            </w:r>
          </w:p>
        </w:tc>
        <w:tc>
          <w:tcPr>
            <w:tcW w:w="4681" w:type="dxa"/>
            <w:vAlign w:val="center"/>
          </w:tcPr>
          <w:p>
            <w:pPr>
              <w:snapToGrid w:val="0"/>
              <w:spacing w:line="400" w:lineRule="exact"/>
              <w:rPr>
                <w:rFonts w:ascii="宋体" w:hAnsi="宋体" w:cs="宋体"/>
                <w:color w:val="auto"/>
                <w:sz w:val="24"/>
              </w:rPr>
            </w:pPr>
            <w:r>
              <w:rPr>
                <w:rFonts w:hint="eastAsia" w:ascii="宋体" w:hAnsi="宋体" w:cs="宋体"/>
                <w:color w:val="auto"/>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trPr>
        <w:tc>
          <w:tcPr>
            <w:tcW w:w="4798" w:type="dxa"/>
            <w:vAlign w:val="center"/>
          </w:tcPr>
          <w:p>
            <w:pPr>
              <w:snapToGrid w:val="0"/>
              <w:spacing w:line="400" w:lineRule="exact"/>
              <w:rPr>
                <w:rFonts w:ascii="宋体" w:hAnsi="宋体" w:cs="宋体"/>
                <w:color w:val="auto"/>
                <w:sz w:val="24"/>
              </w:rPr>
            </w:pPr>
            <w:r>
              <w:rPr>
                <w:rFonts w:hint="eastAsia" w:ascii="宋体" w:hAnsi="宋体" w:cs="宋体"/>
                <w:color w:val="auto"/>
                <w:sz w:val="24"/>
              </w:rPr>
              <w:t xml:space="preserve">邮政编码： </w:t>
            </w:r>
          </w:p>
        </w:tc>
        <w:tc>
          <w:tcPr>
            <w:tcW w:w="4681" w:type="dxa"/>
            <w:vAlign w:val="center"/>
          </w:tcPr>
          <w:p>
            <w:pPr>
              <w:snapToGrid w:val="0"/>
              <w:spacing w:line="400" w:lineRule="exact"/>
              <w:rPr>
                <w:rFonts w:ascii="宋体" w:hAnsi="宋体" w:cs="宋体"/>
                <w:color w:val="auto"/>
                <w:sz w:val="24"/>
              </w:rPr>
            </w:pPr>
            <w:r>
              <w:rPr>
                <w:rFonts w:hint="eastAsia" w:ascii="宋体" w:hAnsi="宋体" w:cs="宋体"/>
                <w:color w:val="auto"/>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0" w:hRule="atLeast"/>
        </w:trPr>
        <w:tc>
          <w:tcPr>
            <w:tcW w:w="9479" w:type="dxa"/>
            <w:gridSpan w:val="2"/>
          </w:tcPr>
          <w:p>
            <w:pPr>
              <w:snapToGrid w:val="0"/>
              <w:spacing w:line="400" w:lineRule="exact"/>
              <w:rPr>
                <w:rFonts w:ascii="宋体" w:hAnsi="宋体" w:cs="宋体"/>
                <w:color w:val="auto"/>
                <w:sz w:val="24"/>
              </w:rPr>
            </w:pPr>
            <w:r>
              <w:rPr>
                <w:rFonts w:hint="eastAsia" w:ascii="宋体" w:hAnsi="宋体" w:cs="宋体"/>
                <w:color w:val="auto"/>
                <w:sz w:val="24"/>
              </w:rPr>
              <w:t>经办人：</w:t>
            </w:r>
          </w:p>
          <w:p>
            <w:pPr>
              <w:snapToGrid w:val="0"/>
              <w:spacing w:line="400" w:lineRule="exact"/>
              <w:rPr>
                <w:rFonts w:ascii="宋体" w:hAnsi="宋体" w:cs="宋体"/>
                <w:color w:val="auto"/>
                <w:sz w:val="24"/>
              </w:rPr>
            </w:pPr>
          </w:p>
          <w:p>
            <w:pPr>
              <w:snapToGrid w:val="0"/>
              <w:spacing w:line="400" w:lineRule="exact"/>
              <w:ind w:firstLine="720" w:firstLineChars="300"/>
              <w:jc w:val="right"/>
              <w:rPr>
                <w:rFonts w:ascii="宋体" w:hAnsi="宋体" w:cs="宋体"/>
                <w:color w:val="auto"/>
                <w:sz w:val="24"/>
              </w:rPr>
            </w:pPr>
            <w:r>
              <w:rPr>
                <w:rFonts w:hint="eastAsia" w:ascii="宋体" w:hAnsi="宋体" w:cs="宋体"/>
                <w:color w:val="auto"/>
                <w:sz w:val="24"/>
              </w:rPr>
              <w:t>年    月    日</w:t>
            </w:r>
          </w:p>
        </w:tc>
      </w:tr>
    </w:tbl>
    <w:p>
      <w:pPr>
        <w:snapToGrid w:val="0"/>
        <w:ind w:left="480" w:hanging="480" w:hangingChars="200"/>
        <w:rPr>
          <w:rFonts w:ascii="宋体" w:hAnsi="宋体" w:cs="宋体"/>
          <w:color w:val="auto"/>
          <w:sz w:val="24"/>
        </w:rPr>
      </w:pPr>
    </w:p>
    <w:p>
      <w:pPr>
        <w:snapToGrid w:val="0"/>
        <w:spacing w:line="360" w:lineRule="auto"/>
        <w:jc w:val="center"/>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合 同 附 件</w:t>
      </w:r>
    </w:p>
    <w:p>
      <w:pPr>
        <w:snapToGrid w:val="0"/>
        <w:rPr>
          <w:rFonts w:ascii="宋体" w:hAnsi="宋体" w:cs="宋体"/>
          <w:color w:val="auto"/>
          <w:sz w:val="24"/>
        </w:rPr>
      </w:pPr>
      <w:r>
        <w:rPr>
          <w:rFonts w:hint="eastAsia" w:ascii="宋体" w:hAnsi="宋体" w:cs="宋体"/>
          <w:color w:val="auto"/>
          <w:sz w:val="24"/>
        </w:rPr>
        <w:t>一般货物类</w:t>
      </w:r>
    </w:p>
    <w:tbl>
      <w:tblPr>
        <w:tblStyle w:val="46"/>
        <w:tblW w:w="8522" w:type="dxa"/>
        <w:jc w:val="center"/>
        <w:tblInd w:w="0" w:type="dxa"/>
        <w:tblLayout w:type="fixed"/>
        <w:tblCellMar>
          <w:top w:w="0" w:type="dxa"/>
          <w:left w:w="108" w:type="dxa"/>
          <w:bottom w:w="0" w:type="dxa"/>
          <w:right w:w="108" w:type="dxa"/>
        </w:tblCellMar>
      </w:tblPr>
      <w:tblGrid>
        <w:gridCol w:w="4263"/>
        <w:gridCol w:w="4259"/>
      </w:tblGrid>
      <w:tr>
        <w:tblPrEx>
          <w:tblLayout w:type="fixed"/>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tcPr>
          <w:p>
            <w:pPr>
              <w:numPr>
                <w:ilvl w:val="0"/>
                <w:numId w:val="4"/>
              </w:numPr>
              <w:snapToGrid w:val="0"/>
              <w:spacing w:line="400" w:lineRule="exact"/>
              <w:rPr>
                <w:rFonts w:ascii="宋体" w:hAnsi="宋体" w:cs="宋体"/>
                <w:color w:val="auto"/>
                <w:sz w:val="24"/>
              </w:rPr>
            </w:pPr>
            <w:r>
              <w:rPr>
                <w:rFonts w:hint="eastAsia" w:ascii="宋体" w:hAnsi="宋体" w:cs="宋体"/>
                <w:color w:val="auto"/>
                <w:sz w:val="24"/>
              </w:rPr>
              <w:t>供应商承诺具体事项：</w:t>
            </w:r>
          </w:p>
          <w:p>
            <w:pPr>
              <w:pStyle w:val="10"/>
              <w:spacing w:line="380" w:lineRule="exact"/>
              <w:jc w:val="both"/>
              <w:rPr>
                <w:rFonts w:ascii="宋体" w:hAnsi="宋体" w:cs="宋体"/>
                <w:color w:val="auto"/>
                <w:sz w:val="24"/>
              </w:rPr>
            </w:pPr>
          </w:p>
          <w:p>
            <w:pPr>
              <w:pStyle w:val="10"/>
              <w:spacing w:line="380" w:lineRule="exact"/>
              <w:jc w:val="both"/>
              <w:rPr>
                <w:rFonts w:ascii="宋体" w:hAnsi="宋体" w:cs="宋体"/>
                <w:color w:val="auto"/>
                <w:sz w:val="24"/>
              </w:rPr>
            </w:pPr>
          </w:p>
          <w:p>
            <w:pPr>
              <w:pStyle w:val="10"/>
              <w:spacing w:line="380" w:lineRule="exact"/>
              <w:jc w:val="both"/>
              <w:rPr>
                <w:rFonts w:ascii="宋体" w:hAnsi="宋体" w:cs="宋体"/>
                <w:color w:val="auto"/>
                <w:sz w:val="24"/>
              </w:rPr>
            </w:pPr>
          </w:p>
          <w:p>
            <w:pPr>
              <w:pStyle w:val="10"/>
              <w:spacing w:line="380" w:lineRule="exact"/>
              <w:jc w:val="both"/>
              <w:rPr>
                <w:rFonts w:ascii="宋体" w:hAnsi="宋体" w:cs="宋体"/>
                <w:color w:val="auto"/>
                <w:sz w:val="24"/>
              </w:rPr>
            </w:pPr>
          </w:p>
        </w:tc>
      </w:tr>
      <w:tr>
        <w:tblPrEx>
          <w:tblLayout w:type="fixed"/>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tcPr>
          <w:p>
            <w:pPr>
              <w:numPr>
                <w:ilvl w:val="0"/>
                <w:numId w:val="4"/>
              </w:numPr>
              <w:snapToGrid w:val="0"/>
              <w:spacing w:line="400" w:lineRule="exact"/>
              <w:rPr>
                <w:rFonts w:ascii="宋体" w:hAnsi="宋体" w:cs="宋体"/>
                <w:color w:val="auto"/>
                <w:sz w:val="24"/>
              </w:rPr>
            </w:pPr>
            <w:r>
              <w:rPr>
                <w:rFonts w:hint="eastAsia" w:ascii="宋体" w:hAnsi="宋体" w:cs="宋体"/>
                <w:color w:val="auto"/>
                <w:sz w:val="24"/>
              </w:rPr>
              <w:t>售后服务具体事项：</w:t>
            </w:r>
          </w:p>
          <w:p>
            <w:pPr>
              <w:pStyle w:val="10"/>
              <w:spacing w:line="380" w:lineRule="exact"/>
              <w:jc w:val="both"/>
              <w:rPr>
                <w:rFonts w:ascii="宋体" w:hAnsi="宋体" w:cs="宋体"/>
                <w:color w:val="auto"/>
                <w:sz w:val="24"/>
              </w:rPr>
            </w:pPr>
          </w:p>
          <w:p>
            <w:pPr>
              <w:pStyle w:val="10"/>
              <w:spacing w:line="380" w:lineRule="exact"/>
              <w:jc w:val="both"/>
              <w:rPr>
                <w:rFonts w:ascii="宋体" w:hAnsi="宋体" w:cs="宋体"/>
                <w:color w:val="auto"/>
                <w:sz w:val="24"/>
              </w:rPr>
            </w:pPr>
          </w:p>
          <w:p>
            <w:pPr>
              <w:pStyle w:val="10"/>
              <w:spacing w:line="380" w:lineRule="exact"/>
              <w:jc w:val="both"/>
              <w:rPr>
                <w:rFonts w:ascii="宋体" w:hAnsi="宋体" w:cs="宋体"/>
                <w:color w:val="auto"/>
                <w:sz w:val="24"/>
              </w:rPr>
            </w:pPr>
          </w:p>
        </w:tc>
      </w:tr>
      <w:tr>
        <w:tblPrEx>
          <w:tblLayout w:type="fixed"/>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tcPr>
          <w:p>
            <w:pPr>
              <w:numPr>
                <w:ilvl w:val="0"/>
                <w:numId w:val="4"/>
              </w:numPr>
              <w:snapToGrid w:val="0"/>
              <w:spacing w:line="400" w:lineRule="exact"/>
              <w:rPr>
                <w:rFonts w:ascii="宋体" w:hAnsi="宋体" w:cs="宋体"/>
                <w:color w:val="auto"/>
                <w:sz w:val="24"/>
              </w:rPr>
            </w:pPr>
            <w:r>
              <w:rPr>
                <w:rFonts w:hint="eastAsia" w:ascii="宋体" w:hAnsi="宋体" w:cs="宋体"/>
                <w:color w:val="auto"/>
                <w:sz w:val="24"/>
              </w:rPr>
              <w:t>保修期责任：</w:t>
            </w:r>
          </w:p>
          <w:p>
            <w:pPr>
              <w:pStyle w:val="10"/>
              <w:spacing w:line="380" w:lineRule="exact"/>
              <w:jc w:val="both"/>
              <w:rPr>
                <w:rFonts w:ascii="宋体" w:hAnsi="宋体" w:cs="宋体"/>
                <w:color w:val="auto"/>
                <w:sz w:val="24"/>
              </w:rPr>
            </w:pPr>
          </w:p>
          <w:p>
            <w:pPr>
              <w:pStyle w:val="10"/>
              <w:spacing w:line="380" w:lineRule="exact"/>
              <w:jc w:val="both"/>
              <w:rPr>
                <w:rFonts w:ascii="宋体" w:hAnsi="宋体" w:cs="宋体"/>
                <w:color w:val="auto"/>
                <w:sz w:val="24"/>
              </w:rPr>
            </w:pPr>
          </w:p>
          <w:p>
            <w:pPr>
              <w:pStyle w:val="10"/>
              <w:spacing w:line="380" w:lineRule="exact"/>
              <w:jc w:val="both"/>
              <w:rPr>
                <w:rFonts w:ascii="宋体" w:hAnsi="宋体" w:cs="宋体"/>
                <w:color w:val="auto"/>
                <w:sz w:val="24"/>
              </w:rPr>
            </w:pPr>
          </w:p>
        </w:tc>
      </w:tr>
      <w:tr>
        <w:tblPrEx>
          <w:tblLayout w:type="fixed"/>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tcPr>
          <w:p>
            <w:pPr>
              <w:numPr>
                <w:ilvl w:val="0"/>
                <w:numId w:val="4"/>
              </w:numPr>
              <w:snapToGrid w:val="0"/>
              <w:spacing w:line="400" w:lineRule="exact"/>
              <w:rPr>
                <w:rFonts w:ascii="宋体" w:hAnsi="宋体" w:cs="宋体"/>
                <w:color w:val="auto"/>
                <w:sz w:val="24"/>
              </w:rPr>
            </w:pPr>
            <w:r>
              <w:rPr>
                <w:rFonts w:hint="eastAsia" w:ascii="宋体" w:hAnsi="宋体" w:cs="宋体"/>
                <w:color w:val="auto"/>
                <w:sz w:val="24"/>
              </w:rPr>
              <w:t>其他具体事项：</w:t>
            </w:r>
          </w:p>
          <w:p>
            <w:pPr>
              <w:pStyle w:val="10"/>
              <w:spacing w:line="380" w:lineRule="exact"/>
              <w:jc w:val="both"/>
              <w:rPr>
                <w:rFonts w:ascii="宋体" w:hAnsi="宋体" w:cs="宋体"/>
                <w:color w:val="auto"/>
                <w:sz w:val="24"/>
              </w:rPr>
            </w:pPr>
          </w:p>
          <w:p>
            <w:pPr>
              <w:pStyle w:val="10"/>
              <w:spacing w:line="380" w:lineRule="exact"/>
              <w:jc w:val="both"/>
              <w:rPr>
                <w:rFonts w:ascii="宋体" w:hAnsi="宋体" w:cs="宋体"/>
                <w:color w:val="auto"/>
                <w:sz w:val="24"/>
              </w:rPr>
            </w:pPr>
          </w:p>
        </w:tc>
      </w:tr>
      <w:tr>
        <w:tblPrEx>
          <w:tblLayout w:type="fixed"/>
          <w:tblCellMar>
            <w:top w:w="0" w:type="dxa"/>
            <w:left w:w="108" w:type="dxa"/>
            <w:bottom w:w="0" w:type="dxa"/>
            <w:right w:w="108" w:type="dxa"/>
          </w:tblCellMar>
        </w:tblPrEx>
        <w:trPr>
          <w:trHeight w:val="5858" w:hRule="atLeast"/>
          <w:jc w:val="center"/>
        </w:trPr>
        <w:tc>
          <w:tcPr>
            <w:tcW w:w="42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b/>
                <w:color w:val="auto"/>
                <w:sz w:val="24"/>
              </w:rPr>
            </w:pPr>
            <w:r>
              <w:rPr>
                <w:rFonts w:hint="eastAsia" w:ascii="宋体" w:hAnsi="宋体" w:cs="宋体"/>
                <w:b/>
                <w:color w:val="auto"/>
                <w:sz w:val="24"/>
              </w:rPr>
              <w:t>甲方（章）</w:t>
            </w:r>
          </w:p>
          <w:p>
            <w:pPr>
              <w:snapToGrid w:val="0"/>
              <w:spacing w:line="400" w:lineRule="exact"/>
              <w:ind w:firstLine="482" w:firstLineChars="200"/>
              <w:rPr>
                <w:rFonts w:ascii="宋体" w:hAnsi="宋体" w:cs="宋体"/>
                <w:b/>
                <w:color w:val="auto"/>
                <w:sz w:val="24"/>
              </w:rPr>
            </w:pPr>
          </w:p>
          <w:p>
            <w:pPr>
              <w:snapToGrid w:val="0"/>
              <w:spacing w:line="400" w:lineRule="exact"/>
              <w:rPr>
                <w:rFonts w:ascii="宋体" w:hAnsi="宋体" w:cs="宋体"/>
                <w:b/>
                <w:color w:val="auto"/>
                <w:sz w:val="24"/>
              </w:rPr>
            </w:pPr>
          </w:p>
          <w:p>
            <w:pPr>
              <w:snapToGrid w:val="0"/>
              <w:spacing w:line="400" w:lineRule="exact"/>
              <w:ind w:firstLine="482" w:firstLineChars="200"/>
              <w:rPr>
                <w:rFonts w:ascii="宋体" w:hAnsi="宋体" w:cs="宋体"/>
                <w:b/>
                <w:color w:val="auto"/>
                <w:sz w:val="24"/>
              </w:rPr>
            </w:pPr>
            <w:r>
              <w:rPr>
                <w:rFonts w:hint="eastAsia" w:ascii="宋体" w:hAnsi="宋体" w:cs="宋体"/>
                <w:b/>
                <w:color w:val="auto"/>
                <w:sz w:val="24"/>
              </w:rPr>
              <w:t xml:space="preserve">                 年   月   日 </w:t>
            </w:r>
          </w:p>
        </w:tc>
        <w:tc>
          <w:tcPr>
            <w:tcW w:w="42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b/>
                <w:color w:val="auto"/>
                <w:sz w:val="24"/>
              </w:rPr>
            </w:pPr>
            <w:r>
              <w:rPr>
                <w:rFonts w:hint="eastAsia" w:ascii="宋体" w:hAnsi="宋体" w:cs="宋体"/>
                <w:b/>
                <w:color w:val="auto"/>
                <w:sz w:val="24"/>
              </w:rPr>
              <w:t>乙方（章）</w:t>
            </w:r>
          </w:p>
          <w:p>
            <w:pPr>
              <w:snapToGrid w:val="0"/>
              <w:spacing w:line="400" w:lineRule="exact"/>
              <w:ind w:firstLine="482" w:firstLineChars="200"/>
              <w:rPr>
                <w:rFonts w:ascii="宋体" w:hAnsi="宋体" w:cs="宋体"/>
                <w:b/>
                <w:color w:val="auto"/>
                <w:sz w:val="24"/>
              </w:rPr>
            </w:pPr>
          </w:p>
          <w:p>
            <w:pPr>
              <w:snapToGrid w:val="0"/>
              <w:spacing w:line="400" w:lineRule="exact"/>
              <w:rPr>
                <w:rFonts w:ascii="宋体" w:hAnsi="宋体" w:cs="宋体"/>
                <w:b/>
                <w:color w:val="auto"/>
                <w:sz w:val="24"/>
              </w:rPr>
            </w:pPr>
          </w:p>
          <w:p>
            <w:pPr>
              <w:snapToGrid w:val="0"/>
              <w:spacing w:line="400" w:lineRule="exact"/>
              <w:ind w:firstLine="482" w:firstLineChars="200"/>
              <w:rPr>
                <w:rFonts w:ascii="宋体" w:hAnsi="宋体" w:cs="宋体"/>
                <w:b/>
                <w:color w:val="auto"/>
                <w:sz w:val="24"/>
              </w:rPr>
            </w:pPr>
            <w:r>
              <w:rPr>
                <w:rFonts w:hint="eastAsia" w:ascii="宋体" w:hAnsi="宋体" w:cs="宋体"/>
                <w:b/>
                <w:color w:val="auto"/>
                <w:sz w:val="24"/>
              </w:rPr>
              <w:t xml:space="preserve">                年   月   日</w:t>
            </w:r>
          </w:p>
        </w:tc>
      </w:tr>
    </w:tbl>
    <w:p>
      <w:pPr>
        <w:snapToGrid w:val="0"/>
        <w:jc w:val="left"/>
        <w:rPr>
          <w:rFonts w:ascii="宋体" w:hAnsi="宋体" w:cs="宋体"/>
          <w:color w:val="auto"/>
          <w:sz w:val="24"/>
        </w:rPr>
      </w:pPr>
      <w:r>
        <w:rPr>
          <w:rFonts w:hint="eastAsia" w:ascii="宋体" w:hAnsi="宋体" w:cs="宋体"/>
          <w:color w:val="auto"/>
          <w:sz w:val="24"/>
        </w:rPr>
        <w:t xml:space="preserve">   注：售后服务事项填不下时可另加附页</w:t>
      </w:r>
    </w:p>
    <w:p>
      <w:pPr>
        <w:pStyle w:val="10"/>
        <w:rPr>
          <w:rFonts w:ascii="宋体" w:hAnsi="宋体" w:cs="宋体"/>
          <w:color w:val="auto"/>
          <w:sz w:val="24"/>
        </w:rPr>
      </w:pPr>
    </w:p>
    <w:p>
      <w:pPr>
        <w:rPr>
          <w:rFonts w:ascii="宋体" w:hAnsi="宋体" w:cs="宋体"/>
          <w:color w:val="auto"/>
          <w:sz w:val="24"/>
        </w:rPr>
      </w:pPr>
    </w:p>
    <w:p>
      <w:pPr>
        <w:pStyle w:val="2"/>
        <w:rPr>
          <w:rFonts w:hAnsi="宋体" w:cs="宋体"/>
          <w:color w:val="auto"/>
        </w:rPr>
      </w:pPr>
    </w:p>
    <w:p>
      <w:pPr>
        <w:widowControl/>
        <w:shd w:val="clear" w:color="auto" w:fill="FFFFFF"/>
        <w:spacing w:line="480" w:lineRule="atLeast"/>
        <w:jc w:val="left"/>
        <w:rPr>
          <w:rFonts w:ascii="宋体" w:hAnsi="宋体" w:cs="宋体"/>
          <w:b/>
          <w:bCs/>
          <w:color w:val="auto"/>
          <w:kern w:val="0"/>
          <w:sz w:val="24"/>
        </w:rPr>
      </w:pPr>
      <w:r>
        <w:rPr>
          <w:rFonts w:hint="eastAsia" w:ascii="宋体" w:hAnsi="宋体" w:cs="宋体"/>
          <w:b/>
          <w:bCs/>
          <w:color w:val="auto"/>
          <w:kern w:val="0"/>
          <w:sz w:val="24"/>
        </w:rPr>
        <w:t>附件1：</w:t>
      </w:r>
    </w:p>
    <w:p>
      <w:pPr>
        <w:widowControl/>
        <w:shd w:val="clear" w:color="auto" w:fill="FFFFFF"/>
        <w:spacing w:line="480" w:lineRule="atLeast"/>
        <w:jc w:val="center"/>
        <w:rPr>
          <w:rFonts w:ascii="宋体" w:hAnsi="宋体" w:cs="宋体"/>
          <w:color w:val="auto"/>
          <w:kern w:val="0"/>
          <w:sz w:val="24"/>
        </w:rPr>
      </w:pPr>
      <w:r>
        <w:rPr>
          <w:rFonts w:hint="eastAsia" w:ascii="宋体" w:hAnsi="宋体" w:cs="宋体"/>
          <w:b/>
          <w:bCs/>
          <w:color w:val="auto"/>
          <w:kern w:val="0"/>
          <w:sz w:val="24"/>
        </w:rPr>
        <w:t>《广西壮族自治区政府采购项目合同验收书》</w:t>
      </w:r>
    </w:p>
    <w:p>
      <w:pPr>
        <w:widowControl/>
        <w:shd w:val="clear" w:color="auto" w:fill="FFFFFF"/>
        <w:snapToGrid w:val="0"/>
        <w:spacing w:line="320" w:lineRule="atLeast"/>
        <w:jc w:val="left"/>
        <w:rPr>
          <w:rFonts w:ascii="宋体" w:hAnsi="宋体" w:cs="宋体"/>
          <w:color w:val="auto"/>
          <w:kern w:val="0"/>
          <w:sz w:val="24"/>
        </w:rPr>
      </w:pPr>
    </w:p>
    <w:tbl>
      <w:tblPr>
        <w:tblStyle w:val="46"/>
        <w:tblW w:w="8445" w:type="dxa"/>
        <w:jc w:val="center"/>
        <w:tblInd w:w="0" w:type="dxa"/>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Layout w:type="fixed"/>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auto"/>
                <w:kern w:val="0"/>
                <w:sz w:val="24"/>
              </w:rPr>
            </w:pPr>
            <w:r>
              <w:rPr>
                <w:rFonts w:hint="eastAsia" w:ascii="宋体" w:hAnsi="宋体" w:cs="宋体"/>
                <w:color w:val="auto"/>
                <w:kern w:val="0"/>
                <w:sz w:val="24"/>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 w:val="24"/>
              </w:rPr>
            </w:pPr>
            <w:r>
              <w:rPr>
                <w:rFonts w:hint="eastAsia" w:ascii="宋体" w:hAnsi="宋体" w:cs="宋体"/>
                <w:color w:val="auto"/>
                <w:kern w:val="0"/>
                <w:sz w:val="24"/>
              </w:rPr>
              <w:sym w:font="Times New Roman" w:char="0000"/>
            </w:r>
            <w:r>
              <w:rPr>
                <w:rFonts w:hint="eastAsia" w:ascii="宋体" w:hAnsi="宋体" w:cs="宋体"/>
                <w:color w:val="auto"/>
                <w:kern w:val="0"/>
                <w:sz w:val="24"/>
              </w:rPr>
              <w:t xml:space="preserve">自行验收 </w:t>
            </w:r>
            <w:r>
              <w:rPr>
                <w:rFonts w:hint="eastAsia" w:ascii="宋体" w:hAnsi="宋体" w:cs="宋体"/>
                <w:color w:val="auto"/>
                <w:kern w:val="0"/>
                <w:sz w:val="24"/>
              </w:rPr>
              <w:sym w:font="Times New Roman" w:char="0000"/>
            </w:r>
            <w:r>
              <w:rPr>
                <w:rFonts w:hint="eastAsia" w:ascii="宋体" w:hAnsi="宋体" w:cs="宋体"/>
                <w:color w:val="auto"/>
                <w:kern w:val="0"/>
                <w:sz w:val="24"/>
              </w:rPr>
              <w:t>委托验收</w:t>
            </w:r>
          </w:p>
        </w:tc>
      </w:tr>
      <w:tr>
        <w:tblPrEx>
          <w:tblLayout w:type="fixed"/>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 w:val="24"/>
              </w:rPr>
            </w:pPr>
            <w:r>
              <w:rPr>
                <w:rFonts w:hint="eastAsia" w:ascii="宋体" w:hAnsi="宋体" w:cs="宋体"/>
                <w:color w:val="auto"/>
                <w:kern w:val="0"/>
                <w:sz w:val="24"/>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 w:val="24"/>
              </w:rPr>
            </w:pPr>
            <w:r>
              <w:rPr>
                <w:rFonts w:hint="eastAsia" w:ascii="宋体" w:hAnsi="宋体" w:cs="宋体"/>
                <w:color w:val="auto"/>
                <w:kern w:val="0"/>
                <w:sz w:val="24"/>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 w:val="24"/>
              </w:rPr>
            </w:pPr>
            <w:r>
              <w:rPr>
                <w:rFonts w:hint="eastAsia" w:ascii="宋体" w:hAnsi="宋体" w:cs="宋体"/>
                <w:color w:val="auto"/>
                <w:kern w:val="0"/>
                <w:sz w:val="24"/>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 w:val="24"/>
              </w:rPr>
            </w:pPr>
            <w:r>
              <w:rPr>
                <w:rFonts w:hint="eastAsia" w:ascii="宋体" w:hAnsi="宋体" w:cs="宋体"/>
                <w:color w:val="auto"/>
                <w:kern w:val="0"/>
                <w:sz w:val="24"/>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 w:val="24"/>
              </w:rPr>
            </w:pPr>
            <w:r>
              <w:rPr>
                <w:rFonts w:hint="eastAsia" w:ascii="宋体" w:hAnsi="宋体" w:cs="宋体"/>
                <w:color w:val="auto"/>
                <w:kern w:val="0"/>
                <w:sz w:val="24"/>
              </w:rPr>
              <w:t>金额</w:t>
            </w:r>
          </w:p>
        </w:tc>
      </w:tr>
      <w:tr>
        <w:tblPrEx>
          <w:tblLayout w:type="fixed"/>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rPr>
            </w:pPr>
          </w:p>
        </w:tc>
      </w:tr>
      <w:tr>
        <w:tblPrEx>
          <w:tblLayout w:type="fixed"/>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rPr>
            </w:pPr>
          </w:p>
        </w:tc>
      </w:tr>
      <w:tr>
        <w:tblPrEx>
          <w:tblLayout w:type="fixed"/>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rPr>
            </w:pPr>
          </w:p>
        </w:tc>
      </w:tr>
      <w:tr>
        <w:tblPrEx>
          <w:tblLayout w:type="fixed"/>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auto"/>
                <w:kern w:val="0"/>
                <w:sz w:val="24"/>
              </w:rPr>
            </w:pPr>
            <w:r>
              <w:rPr>
                <w:rFonts w:hint="eastAsia" w:ascii="宋体" w:hAnsi="宋体" w:cs="宋体"/>
                <w:color w:val="auto"/>
                <w:kern w:val="0"/>
                <w:sz w:val="24"/>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rPr>
            </w:pPr>
          </w:p>
        </w:tc>
      </w:tr>
      <w:tr>
        <w:tblPrEx>
          <w:tblLayout w:type="fixed"/>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40" w:firstLineChars="100"/>
              <w:jc w:val="left"/>
              <w:rPr>
                <w:rFonts w:ascii="宋体" w:hAnsi="宋体" w:cs="宋体"/>
                <w:color w:val="auto"/>
                <w:kern w:val="0"/>
                <w:sz w:val="24"/>
              </w:rPr>
            </w:pPr>
            <w:r>
              <w:rPr>
                <w:rFonts w:hint="eastAsia" w:ascii="宋体" w:hAnsi="宋体" w:cs="宋体"/>
                <w:color w:val="auto"/>
                <w:kern w:val="0"/>
                <w:sz w:val="24"/>
              </w:rPr>
              <w:t>合计大写金额：  仟  佰  拾  万  仟  佰  拾  元</w:t>
            </w:r>
          </w:p>
        </w:tc>
      </w:tr>
      <w:tr>
        <w:tblPrEx>
          <w:tblLayout w:type="fixed"/>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 w:val="24"/>
              </w:rPr>
            </w:pPr>
            <w:r>
              <w:rPr>
                <w:rFonts w:hint="eastAsia" w:ascii="宋体" w:hAnsi="宋体" w:cs="宋体"/>
                <w:color w:val="auto"/>
                <w:kern w:val="0"/>
                <w:sz w:val="24"/>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宋体" w:hAnsi="宋体" w:cs="宋体"/>
                <w:color w:val="auto"/>
                <w:kern w:val="0"/>
                <w:sz w:val="24"/>
              </w:rPr>
            </w:pPr>
            <w:r>
              <w:rPr>
                <w:rFonts w:hint="eastAsia" w:ascii="宋体" w:hAnsi="宋体" w:cs="宋体"/>
                <w:color w:val="auto"/>
                <w:kern w:val="0"/>
                <w:sz w:val="24"/>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rPr>
            </w:pPr>
          </w:p>
        </w:tc>
      </w:tr>
      <w:tr>
        <w:tblPrEx>
          <w:tblLayout w:type="fixed"/>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auto"/>
                <w:kern w:val="0"/>
                <w:sz w:val="24"/>
              </w:rPr>
            </w:pPr>
            <w:r>
              <w:rPr>
                <w:rFonts w:hint="eastAsia" w:ascii="宋体" w:hAnsi="宋体" w:cs="宋体"/>
                <w:color w:val="auto"/>
                <w:kern w:val="0"/>
                <w:sz w:val="24"/>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auto"/>
                <w:kern w:val="0"/>
                <w:sz w:val="24"/>
              </w:rPr>
            </w:pPr>
            <w:r>
              <w:rPr>
                <w:rFonts w:hint="eastAsia" w:ascii="宋体" w:hAnsi="宋体" w:cs="宋体"/>
                <w:color w:val="auto"/>
                <w:kern w:val="0"/>
                <w:sz w:val="24"/>
              </w:rPr>
              <w:t>（应按采购合同、竞争性磋商文件、竞标响应文件及验收方案等进行验收；并核对成交供应商在安装调试等方面是否违反合同约定或服务规范要求、提供的质量保证证明材料是否齐全、应有的配件及附件是否达到合同约定等。可附件)</w:t>
            </w:r>
          </w:p>
        </w:tc>
      </w:tr>
      <w:tr>
        <w:tblPrEx>
          <w:tblLayout w:type="fixed"/>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 w:val="24"/>
              </w:rPr>
            </w:pPr>
            <w:r>
              <w:rPr>
                <w:rFonts w:hint="eastAsia" w:ascii="宋体" w:hAnsi="宋体" w:cs="宋体"/>
                <w:color w:val="auto"/>
                <w:kern w:val="0"/>
                <w:sz w:val="24"/>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40" w:firstLineChars="100"/>
              <w:jc w:val="left"/>
              <w:rPr>
                <w:rFonts w:ascii="宋体" w:hAnsi="宋体" w:cs="宋体"/>
                <w:color w:val="auto"/>
                <w:kern w:val="0"/>
                <w:sz w:val="24"/>
              </w:rPr>
            </w:pPr>
            <w:r>
              <w:rPr>
                <w:rFonts w:hint="eastAsia" w:ascii="宋体" w:hAnsi="宋体" w:cs="宋体"/>
                <w:color w:val="auto"/>
                <w:kern w:val="0"/>
                <w:sz w:val="24"/>
              </w:rPr>
              <w:t>验收结论性意见：</w:t>
            </w:r>
          </w:p>
        </w:tc>
      </w:tr>
      <w:tr>
        <w:tblPrEx>
          <w:tblLayout w:type="fixed"/>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4"/>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40" w:firstLineChars="100"/>
              <w:jc w:val="left"/>
              <w:rPr>
                <w:rFonts w:ascii="宋体" w:hAnsi="宋体" w:cs="宋体"/>
                <w:color w:val="auto"/>
                <w:kern w:val="0"/>
                <w:sz w:val="24"/>
              </w:rPr>
            </w:pPr>
            <w:r>
              <w:rPr>
                <w:rFonts w:hint="eastAsia" w:ascii="宋体" w:hAnsi="宋体" w:cs="宋体"/>
                <w:color w:val="auto"/>
                <w:kern w:val="0"/>
                <w:sz w:val="24"/>
              </w:rPr>
              <w:t>有异议的意见和说明理由：</w:t>
            </w:r>
          </w:p>
          <w:p>
            <w:pPr>
              <w:widowControl/>
              <w:spacing w:before="100" w:beforeAutospacing="1" w:after="100" w:afterAutospacing="1" w:line="320" w:lineRule="atLeast"/>
              <w:ind w:firstLine="240" w:firstLineChars="100"/>
              <w:jc w:val="left"/>
              <w:rPr>
                <w:rFonts w:ascii="宋体" w:hAnsi="宋体" w:cs="宋体"/>
                <w:color w:val="auto"/>
                <w:kern w:val="0"/>
                <w:sz w:val="24"/>
              </w:rPr>
            </w:pPr>
            <w:r>
              <w:rPr>
                <w:rFonts w:hint="eastAsia" w:ascii="宋体" w:hAnsi="宋体" w:cs="宋体"/>
                <w:color w:val="auto"/>
                <w:kern w:val="0"/>
                <w:sz w:val="24"/>
              </w:rPr>
              <w:t>签字：</w:t>
            </w:r>
          </w:p>
        </w:tc>
      </w:tr>
      <w:tr>
        <w:tblPrEx>
          <w:tblLayout w:type="fixed"/>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 w:val="24"/>
              </w:rPr>
            </w:pPr>
            <w:r>
              <w:rPr>
                <w:rFonts w:hint="eastAsia" w:ascii="宋体" w:hAnsi="宋体" w:cs="宋体"/>
                <w:color w:val="auto"/>
                <w:kern w:val="0"/>
                <w:sz w:val="24"/>
              </w:rPr>
              <w:t>验收小组成员签字：</w:t>
            </w:r>
          </w:p>
        </w:tc>
      </w:tr>
      <w:tr>
        <w:tblPrEx>
          <w:tblLayout w:type="fixed"/>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 w:val="24"/>
              </w:rPr>
            </w:pPr>
            <w:r>
              <w:rPr>
                <w:rFonts w:hint="eastAsia" w:ascii="宋体" w:hAnsi="宋体" w:cs="宋体"/>
                <w:color w:val="auto"/>
                <w:kern w:val="0"/>
                <w:sz w:val="24"/>
              </w:rPr>
              <w:t>监督人员或其他相关人员签字：</w:t>
            </w:r>
          </w:p>
          <w:p>
            <w:pPr>
              <w:widowControl/>
              <w:spacing w:before="100" w:beforeAutospacing="1" w:after="100" w:afterAutospacing="1" w:line="320" w:lineRule="atLeast"/>
              <w:ind w:firstLine="74"/>
              <w:jc w:val="left"/>
              <w:rPr>
                <w:rFonts w:ascii="宋体" w:hAnsi="宋体" w:cs="宋体"/>
                <w:color w:val="auto"/>
                <w:kern w:val="0"/>
                <w:sz w:val="24"/>
              </w:rPr>
            </w:pPr>
            <w:r>
              <w:rPr>
                <w:rFonts w:hint="eastAsia" w:ascii="宋体" w:hAnsi="宋体" w:cs="宋体"/>
                <w:color w:val="auto"/>
                <w:kern w:val="0"/>
                <w:sz w:val="24"/>
              </w:rPr>
              <w:t>或受邀机构的意见（盖章）：</w:t>
            </w:r>
          </w:p>
        </w:tc>
      </w:tr>
      <w:tr>
        <w:tblPrEx>
          <w:tblLayout w:type="fixed"/>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 w:val="24"/>
              </w:rPr>
            </w:pPr>
            <w:r>
              <w:rPr>
                <w:rFonts w:hint="eastAsia" w:ascii="宋体" w:hAnsi="宋体" w:cs="宋体"/>
                <w:color w:val="auto"/>
                <w:kern w:val="0"/>
                <w:sz w:val="24"/>
              </w:rPr>
              <w:t>成交供应商负责人签字或盖章：</w:t>
            </w:r>
          </w:p>
          <w:p>
            <w:pPr>
              <w:widowControl/>
              <w:spacing w:before="100" w:beforeAutospacing="1" w:after="100" w:afterAutospacing="1" w:line="320" w:lineRule="atLeast"/>
              <w:jc w:val="left"/>
              <w:rPr>
                <w:rFonts w:ascii="宋体" w:hAnsi="宋体" w:cs="宋体"/>
                <w:color w:val="auto"/>
                <w:kern w:val="0"/>
                <w:sz w:val="24"/>
              </w:rPr>
            </w:pPr>
          </w:p>
          <w:p>
            <w:pPr>
              <w:widowControl/>
              <w:spacing w:before="100" w:beforeAutospacing="1" w:after="100" w:afterAutospacing="1" w:line="320" w:lineRule="atLeast"/>
              <w:jc w:val="left"/>
              <w:rPr>
                <w:rFonts w:ascii="宋体" w:hAnsi="宋体" w:cs="宋体"/>
                <w:color w:val="auto"/>
                <w:kern w:val="0"/>
                <w:sz w:val="24"/>
              </w:rPr>
            </w:pPr>
            <w:r>
              <w:rPr>
                <w:rFonts w:hint="eastAsia" w:ascii="宋体" w:hAnsi="宋体" w:cs="宋体"/>
                <w:color w:val="auto"/>
                <w:kern w:val="0"/>
                <w:sz w:val="24"/>
              </w:rPr>
              <w:t>联系电话：             年  月  日</w:t>
            </w:r>
          </w:p>
        </w:tc>
        <w:tc>
          <w:tcPr>
            <w:tcW w:w="4293"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40" w:firstLineChars="100"/>
              <w:jc w:val="left"/>
              <w:rPr>
                <w:rFonts w:ascii="宋体" w:hAnsi="宋体" w:cs="宋体"/>
                <w:color w:val="auto"/>
                <w:kern w:val="0"/>
                <w:sz w:val="24"/>
              </w:rPr>
            </w:pPr>
            <w:r>
              <w:rPr>
                <w:rFonts w:hint="eastAsia" w:ascii="宋体" w:hAnsi="宋体" w:cs="宋体"/>
                <w:color w:val="auto"/>
                <w:kern w:val="0"/>
                <w:sz w:val="24"/>
              </w:rPr>
              <w:t>采购人或受托机构的意见（盖章）：</w:t>
            </w:r>
          </w:p>
          <w:p>
            <w:pPr>
              <w:widowControl/>
              <w:spacing w:before="100" w:beforeAutospacing="1" w:after="100" w:afterAutospacing="1" w:line="320" w:lineRule="atLeast"/>
              <w:ind w:firstLine="240" w:firstLineChars="100"/>
              <w:jc w:val="left"/>
              <w:rPr>
                <w:rFonts w:ascii="宋体" w:hAnsi="宋体" w:cs="宋体"/>
                <w:color w:val="auto"/>
                <w:kern w:val="0"/>
                <w:sz w:val="24"/>
              </w:rPr>
            </w:pPr>
          </w:p>
          <w:p>
            <w:pPr>
              <w:widowControl/>
              <w:spacing w:before="100" w:beforeAutospacing="1" w:after="100" w:afterAutospacing="1" w:line="320" w:lineRule="atLeast"/>
              <w:ind w:firstLine="240" w:firstLineChars="100"/>
              <w:jc w:val="left"/>
              <w:rPr>
                <w:rFonts w:ascii="宋体" w:hAnsi="宋体" w:cs="宋体"/>
                <w:color w:val="auto"/>
                <w:kern w:val="0"/>
                <w:sz w:val="24"/>
              </w:rPr>
            </w:pPr>
            <w:r>
              <w:rPr>
                <w:rFonts w:hint="eastAsia" w:ascii="宋体" w:hAnsi="宋体" w:cs="宋体"/>
                <w:color w:val="auto"/>
                <w:kern w:val="0"/>
                <w:sz w:val="24"/>
              </w:rPr>
              <w:t>联系电话：              年  月  日</w:t>
            </w:r>
          </w:p>
        </w:tc>
      </w:tr>
    </w:tbl>
    <w:p>
      <w:pPr>
        <w:pStyle w:val="18"/>
        <w:snapToGrid w:val="0"/>
        <w:jc w:val="left"/>
        <w:rPr>
          <w:rFonts w:hAnsi="宋体" w:cs="宋体"/>
          <w:b/>
          <w:bCs/>
          <w:color w:val="auto"/>
          <w:sz w:val="24"/>
          <w:szCs w:val="24"/>
        </w:rPr>
      </w:pPr>
      <w:r>
        <w:rPr>
          <w:rFonts w:hint="eastAsia" w:hAnsi="宋体" w:cs="宋体"/>
          <w:color w:val="auto"/>
          <w:sz w:val="24"/>
          <w:szCs w:val="24"/>
        </w:rPr>
        <w:br w:type="page"/>
      </w:r>
      <w:r>
        <w:rPr>
          <w:rFonts w:hint="eastAsia" w:hAnsi="宋体" w:cs="宋体"/>
          <w:b/>
          <w:bCs/>
          <w:color w:val="auto"/>
          <w:sz w:val="24"/>
          <w:szCs w:val="24"/>
        </w:rPr>
        <w:t>附件2：</w:t>
      </w:r>
    </w:p>
    <w:p>
      <w:pPr>
        <w:pStyle w:val="18"/>
        <w:snapToGrid w:val="0"/>
        <w:jc w:val="center"/>
        <w:rPr>
          <w:rFonts w:hAnsi="宋体" w:cs="宋体"/>
          <w:b/>
          <w:bCs/>
          <w:color w:val="auto"/>
          <w:sz w:val="24"/>
          <w:szCs w:val="24"/>
        </w:rPr>
      </w:pPr>
      <w:r>
        <w:rPr>
          <w:rFonts w:hint="eastAsia" w:hAnsi="宋体" w:cs="宋体"/>
          <w:b/>
          <w:bCs/>
          <w:color w:val="auto"/>
          <w:sz w:val="24"/>
          <w:szCs w:val="24"/>
        </w:rPr>
        <w:t>《政府采购项目履约保证金退付意见书》</w:t>
      </w:r>
    </w:p>
    <w:p>
      <w:pPr>
        <w:jc w:val="center"/>
        <w:rPr>
          <w:rFonts w:ascii="宋体" w:hAnsi="宋体" w:cs="宋体"/>
          <w:color w:val="auto"/>
          <w:sz w:val="24"/>
        </w:rPr>
      </w:pPr>
    </w:p>
    <w:tbl>
      <w:tblPr>
        <w:tblStyle w:val="46"/>
        <w:tblW w:w="8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rFonts w:ascii="宋体" w:hAnsi="宋体" w:cs="宋体"/>
                <w:color w:val="auto"/>
                <w:sz w:val="24"/>
              </w:rPr>
            </w:pPr>
            <w:r>
              <w:rPr>
                <w:rFonts w:hint="eastAsia" w:ascii="宋体" w:hAnsi="宋体" w:cs="宋体"/>
                <w:color w:val="auto"/>
                <w:sz w:val="24"/>
              </w:rPr>
              <w:t>供</w:t>
            </w:r>
          </w:p>
          <w:p>
            <w:pPr>
              <w:jc w:val="center"/>
              <w:rPr>
                <w:rFonts w:ascii="宋体" w:hAnsi="宋体" w:cs="宋体"/>
                <w:color w:val="auto"/>
                <w:sz w:val="24"/>
              </w:rPr>
            </w:pPr>
            <w:r>
              <w:rPr>
                <w:rFonts w:hint="eastAsia" w:ascii="宋体" w:hAnsi="宋体" w:cs="宋体"/>
                <w:color w:val="auto"/>
                <w:sz w:val="24"/>
              </w:rPr>
              <w:t>应</w:t>
            </w:r>
          </w:p>
          <w:p>
            <w:pPr>
              <w:jc w:val="center"/>
              <w:rPr>
                <w:rFonts w:ascii="宋体" w:hAnsi="宋体" w:cs="宋体"/>
                <w:color w:val="auto"/>
                <w:sz w:val="24"/>
              </w:rPr>
            </w:pPr>
            <w:r>
              <w:rPr>
                <w:rFonts w:hint="eastAsia" w:ascii="宋体" w:hAnsi="宋体" w:cs="宋体"/>
                <w:color w:val="auto"/>
                <w:sz w:val="24"/>
              </w:rPr>
              <w:t>商</w:t>
            </w:r>
          </w:p>
          <w:p>
            <w:pPr>
              <w:jc w:val="center"/>
              <w:rPr>
                <w:rFonts w:ascii="宋体" w:hAnsi="宋体" w:cs="宋体"/>
                <w:color w:val="auto"/>
                <w:sz w:val="24"/>
              </w:rPr>
            </w:pPr>
            <w:r>
              <w:rPr>
                <w:rFonts w:hint="eastAsia" w:ascii="宋体" w:hAnsi="宋体" w:cs="宋体"/>
                <w:color w:val="auto"/>
                <w:sz w:val="24"/>
              </w:rPr>
              <w:t>申</w:t>
            </w:r>
          </w:p>
          <w:p>
            <w:pPr>
              <w:jc w:val="center"/>
              <w:rPr>
                <w:rFonts w:ascii="宋体" w:hAnsi="宋体" w:cs="宋体"/>
                <w:color w:val="auto"/>
                <w:sz w:val="24"/>
              </w:rPr>
            </w:pPr>
            <w:r>
              <w:rPr>
                <w:rFonts w:hint="eastAsia" w:ascii="宋体" w:hAnsi="宋体" w:cs="宋体"/>
                <w:color w:val="auto"/>
                <w:sz w:val="24"/>
              </w:rPr>
              <w:t>请</w:t>
            </w:r>
          </w:p>
        </w:tc>
        <w:tc>
          <w:tcPr>
            <w:tcW w:w="8009" w:type="dxa"/>
            <w:vAlign w:val="center"/>
          </w:tcPr>
          <w:p>
            <w:pPr>
              <w:rPr>
                <w:rFonts w:ascii="宋体" w:hAnsi="宋体" w:cs="宋体"/>
                <w:color w:val="auto"/>
                <w:sz w:val="24"/>
              </w:rPr>
            </w:pPr>
            <w:r>
              <w:rPr>
                <w:rFonts w:hint="eastAsia" w:ascii="宋体" w:hAnsi="宋体" w:cs="宋体"/>
                <w:color w:val="auto"/>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817" w:type="dxa"/>
            <w:vMerge w:val="continue"/>
            <w:vAlign w:val="center"/>
          </w:tcPr>
          <w:p>
            <w:pPr>
              <w:rPr>
                <w:rFonts w:ascii="宋体" w:hAnsi="宋体" w:cs="宋体"/>
                <w:color w:val="auto"/>
                <w:sz w:val="24"/>
              </w:rPr>
            </w:pPr>
          </w:p>
        </w:tc>
        <w:tc>
          <w:tcPr>
            <w:tcW w:w="8009" w:type="dxa"/>
            <w:vAlign w:val="center"/>
          </w:tcPr>
          <w:p>
            <w:pPr>
              <w:rPr>
                <w:rFonts w:ascii="宋体" w:hAnsi="宋体" w:cs="宋体"/>
                <w:color w:val="auto"/>
                <w:sz w:val="24"/>
              </w:rPr>
            </w:pPr>
            <w:r>
              <w:rPr>
                <w:rFonts w:hint="eastAsia" w:ascii="宋体" w:hAnsi="宋体" w:cs="宋体"/>
                <w:color w:val="auto"/>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17" w:type="dxa"/>
            <w:vMerge w:val="continue"/>
          </w:tcPr>
          <w:p>
            <w:pPr>
              <w:rPr>
                <w:rFonts w:ascii="宋体" w:hAnsi="宋体" w:cs="宋体"/>
                <w:color w:val="auto"/>
                <w:sz w:val="24"/>
              </w:rPr>
            </w:pPr>
          </w:p>
        </w:tc>
        <w:tc>
          <w:tcPr>
            <w:tcW w:w="8009" w:type="dxa"/>
          </w:tcPr>
          <w:p>
            <w:pPr>
              <w:rPr>
                <w:rFonts w:ascii="宋体" w:hAnsi="宋体" w:cs="宋体"/>
                <w:color w:val="auto"/>
                <w:sz w:val="24"/>
              </w:rPr>
            </w:pPr>
            <w:r>
              <w:rPr>
                <w:rFonts w:hint="eastAsia" w:ascii="宋体" w:hAnsi="宋体" w:cs="宋体"/>
                <w:color w:val="auto"/>
                <w:sz w:val="24"/>
              </w:rPr>
              <w:t xml:space="preserve">  </w:t>
            </w:r>
          </w:p>
          <w:p>
            <w:pPr>
              <w:ind w:firstLine="480" w:firstLineChars="200"/>
              <w:rPr>
                <w:rFonts w:ascii="宋体" w:hAnsi="宋体" w:cs="宋体"/>
                <w:color w:val="auto"/>
                <w:sz w:val="24"/>
              </w:rPr>
            </w:pPr>
            <w:r>
              <w:rPr>
                <w:rFonts w:hint="eastAsia" w:ascii="宋体" w:hAnsi="宋体" w:cs="宋体"/>
                <w:color w:val="auto"/>
                <w:sz w:val="24"/>
              </w:rPr>
              <w:t>该项目已于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日验收并交付使用。根据合同规定，该项目的履约保证金期限于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日已满，请将履约保证金</w:t>
            </w:r>
          </w:p>
          <w:p>
            <w:pPr>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（大写）¥</w:t>
            </w:r>
            <w:r>
              <w:rPr>
                <w:rFonts w:hint="eastAsia" w:ascii="宋体" w:hAnsi="宋体" w:cs="宋体"/>
                <w:color w:val="auto"/>
                <w:sz w:val="24"/>
                <w:u w:val="single"/>
              </w:rPr>
              <w:t xml:space="preserve">          </w:t>
            </w:r>
            <w:r>
              <w:rPr>
                <w:rFonts w:hint="eastAsia" w:ascii="宋体" w:hAnsi="宋体" w:cs="宋体"/>
                <w:color w:val="auto"/>
                <w:sz w:val="24"/>
              </w:rPr>
              <w:t>（小写）退付到达以下帐户。</w:t>
            </w:r>
          </w:p>
          <w:p>
            <w:pPr>
              <w:rPr>
                <w:rFonts w:ascii="宋体" w:hAnsi="宋体" w:cs="宋体"/>
                <w:color w:val="auto"/>
                <w:sz w:val="24"/>
              </w:rPr>
            </w:pPr>
            <w:r>
              <w:rPr>
                <w:rFonts w:hint="eastAsia" w:ascii="宋体" w:hAnsi="宋体" w:cs="宋体"/>
                <w:color w:val="auto"/>
                <w:sz w:val="24"/>
              </w:rPr>
              <w:t>单位名称：</w:t>
            </w:r>
          </w:p>
          <w:p>
            <w:pPr>
              <w:rPr>
                <w:rFonts w:ascii="宋体" w:hAnsi="宋体" w:cs="宋体"/>
                <w:color w:val="auto"/>
                <w:sz w:val="24"/>
              </w:rPr>
            </w:pPr>
            <w:r>
              <w:rPr>
                <w:rFonts w:hint="eastAsia" w:ascii="宋体" w:hAnsi="宋体" w:cs="宋体"/>
                <w:color w:val="auto"/>
                <w:sz w:val="24"/>
              </w:rPr>
              <w:t>开户银行：</w:t>
            </w:r>
          </w:p>
          <w:p>
            <w:pPr>
              <w:rPr>
                <w:rFonts w:ascii="宋体" w:hAnsi="宋体" w:cs="宋体"/>
                <w:color w:val="auto"/>
                <w:sz w:val="24"/>
              </w:rPr>
            </w:pPr>
            <w:r>
              <w:rPr>
                <w:rFonts w:hint="eastAsia" w:ascii="宋体" w:hAnsi="宋体" w:cs="宋体"/>
                <w:color w:val="auto"/>
                <w:sz w:val="24"/>
              </w:rPr>
              <w:t>帐    号：</w:t>
            </w:r>
          </w:p>
          <w:p>
            <w:pPr>
              <w:rPr>
                <w:rFonts w:ascii="宋体" w:hAnsi="宋体" w:cs="宋体"/>
                <w:color w:val="auto"/>
                <w:sz w:val="24"/>
              </w:rPr>
            </w:pPr>
            <w:r>
              <w:rPr>
                <w:rFonts w:hint="eastAsia" w:ascii="宋体" w:hAnsi="宋体" w:cs="宋体"/>
                <w:color w:val="auto"/>
                <w:sz w:val="24"/>
              </w:rPr>
              <w:t>联系人及电话：</w:t>
            </w:r>
          </w:p>
          <w:p>
            <w:pPr>
              <w:rPr>
                <w:rFonts w:ascii="宋体" w:hAnsi="宋体" w:cs="宋体"/>
                <w:color w:val="auto"/>
                <w:sz w:val="24"/>
              </w:rPr>
            </w:pPr>
          </w:p>
          <w:p>
            <w:pPr>
              <w:jc w:val="center"/>
              <w:rPr>
                <w:rFonts w:ascii="宋体" w:hAnsi="宋体" w:cs="宋体"/>
                <w:color w:val="auto"/>
                <w:sz w:val="24"/>
              </w:rPr>
            </w:pPr>
            <w:r>
              <w:rPr>
                <w:rFonts w:hint="eastAsia" w:ascii="宋体" w:hAnsi="宋体" w:cs="宋体"/>
                <w:color w:val="auto"/>
                <w:sz w:val="24"/>
              </w:rPr>
              <w:t xml:space="preserve">                           供应商签章：</w:t>
            </w:r>
          </w:p>
          <w:p>
            <w:pPr>
              <w:jc w:val="center"/>
              <w:rPr>
                <w:rFonts w:ascii="宋体" w:hAnsi="宋体" w:cs="宋体"/>
                <w:color w:val="auto"/>
                <w:sz w:val="24"/>
              </w:rPr>
            </w:pPr>
            <w:r>
              <w:rPr>
                <w:rFonts w:hint="eastAsia" w:ascii="宋体" w:hAnsi="宋体" w:cs="宋体"/>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5" w:hRule="atLeast"/>
          <w:jc w:val="center"/>
        </w:trPr>
        <w:tc>
          <w:tcPr>
            <w:tcW w:w="817" w:type="dxa"/>
            <w:vAlign w:val="center"/>
          </w:tcPr>
          <w:p>
            <w:pPr>
              <w:jc w:val="center"/>
              <w:rPr>
                <w:rFonts w:ascii="宋体" w:hAnsi="宋体" w:cs="宋体"/>
                <w:color w:val="auto"/>
                <w:sz w:val="24"/>
              </w:rPr>
            </w:pPr>
            <w:r>
              <w:rPr>
                <w:rFonts w:hint="eastAsia" w:ascii="宋体" w:hAnsi="宋体" w:cs="宋体"/>
                <w:color w:val="auto"/>
                <w:sz w:val="24"/>
              </w:rPr>
              <w:t>采</w:t>
            </w:r>
          </w:p>
          <w:p>
            <w:pPr>
              <w:jc w:val="center"/>
              <w:rPr>
                <w:rFonts w:ascii="宋体" w:hAnsi="宋体" w:cs="宋体"/>
                <w:color w:val="auto"/>
                <w:sz w:val="24"/>
              </w:rPr>
            </w:pPr>
            <w:r>
              <w:rPr>
                <w:rFonts w:hint="eastAsia" w:ascii="宋体" w:hAnsi="宋体" w:cs="宋体"/>
                <w:color w:val="auto"/>
                <w:sz w:val="24"/>
              </w:rPr>
              <w:t>购</w:t>
            </w:r>
          </w:p>
          <w:p>
            <w:pPr>
              <w:jc w:val="center"/>
              <w:rPr>
                <w:rFonts w:ascii="宋体" w:hAnsi="宋体" w:cs="宋体"/>
                <w:color w:val="auto"/>
                <w:sz w:val="24"/>
              </w:rPr>
            </w:pPr>
            <w:r>
              <w:rPr>
                <w:rFonts w:hint="eastAsia" w:ascii="宋体" w:hAnsi="宋体" w:cs="宋体"/>
                <w:color w:val="auto"/>
                <w:sz w:val="24"/>
              </w:rPr>
              <w:t>单</w:t>
            </w:r>
          </w:p>
          <w:p>
            <w:pPr>
              <w:jc w:val="center"/>
              <w:rPr>
                <w:rFonts w:ascii="宋体" w:hAnsi="宋体" w:cs="宋体"/>
                <w:color w:val="auto"/>
                <w:sz w:val="24"/>
              </w:rPr>
            </w:pPr>
            <w:r>
              <w:rPr>
                <w:rFonts w:hint="eastAsia" w:ascii="宋体" w:hAnsi="宋体" w:cs="宋体"/>
                <w:color w:val="auto"/>
                <w:sz w:val="24"/>
              </w:rPr>
              <w:t>位</w:t>
            </w:r>
          </w:p>
          <w:p>
            <w:pPr>
              <w:jc w:val="center"/>
              <w:rPr>
                <w:rFonts w:ascii="宋体" w:hAnsi="宋体" w:cs="宋体"/>
                <w:color w:val="auto"/>
                <w:sz w:val="24"/>
              </w:rPr>
            </w:pPr>
            <w:r>
              <w:rPr>
                <w:rFonts w:hint="eastAsia" w:ascii="宋体" w:hAnsi="宋体" w:cs="宋体"/>
                <w:color w:val="auto"/>
                <w:sz w:val="24"/>
              </w:rPr>
              <w:t>意</w:t>
            </w:r>
          </w:p>
          <w:p>
            <w:pPr>
              <w:jc w:val="center"/>
              <w:rPr>
                <w:rFonts w:ascii="宋体" w:hAnsi="宋体" w:cs="宋体"/>
                <w:color w:val="auto"/>
                <w:sz w:val="24"/>
              </w:rPr>
            </w:pPr>
            <w:r>
              <w:rPr>
                <w:rFonts w:hint="eastAsia" w:ascii="宋体" w:hAnsi="宋体" w:cs="宋体"/>
                <w:color w:val="auto"/>
                <w:sz w:val="24"/>
              </w:rPr>
              <w:t>见</w:t>
            </w:r>
          </w:p>
        </w:tc>
        <w:tc>
          <w:tcPr>
            <w:tcW w:w="8009"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退付意见：是否同意退付履约保证金及退付金额：</w:t>
            </w: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 xml:space="preserve">联系人及电话：                                </w:t>
            </w:r>
          </w:p>
          <w:p>
            <w:pPr>
              <w:rPr>
                <w:rFonts w:ascii="宋体" w:hAnsi="宋体" w:cs="宋体"/>
                <w:color w:val="auto"/>
                <w:sz w:val="24"/>
              </w:rPr>
            </w:pPr>
          </w:p>
          <w:p>
            <w:pPr>
              <w:ind w:firstLine="4560" w:firstLineChars="1900"/>
              <w:rPr>
                <w:rFonts w:ascii="宋体" w:hAnsi="宋体" w:cs="宋体"/>
                <w:color w:val="auto"/>
                <w:sz w:val="24"/>
              </w:rPr>
            </w:pPr>
            <w:r>
              <w:rPr>
                <w:rFonts w:hint="eastAsia" w:ascii="宋体" w:hAnsi="宋体" w:cs="宋体"/>
                <w:color w:val="auto"/>
                <w:sz w:val="24"/>
              </w:rPr>
              <w:t xml:space="preserve"> 采购人签章：</w:t>
            </w:r>
          </w:p>
          <w:p>
            <w:pPr>
              <w:jc w:val="center"/>
              <w:rPr>
                <w:rFonts w:ascii="宋体" w:hAnsi="宋体" w:cs="宋体"/>
                <w:color w:val="auto"/>
                <w:sz w:val="24"/>
              </w:rPr>
            </w:pPr>
            <w:r>
              <w:rPr>
                <w:rFonts w:hint="eastAsia" w:ascii="宋体" w:hAnsi="宋体" w:cs="宋体"/>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3" w:hRule="atLeast"/>
          <w:jc w:val="center"/>
        </w:trPr>
        <w:tc>
          <w:tcPr>
            <w:tcW w:w="817" w:type="dxa"/>
            <w:vAlign w:val="center"/>
          </w:tcPr>
          <w:p>
            <w:pPr>
              <w:jc w:val="center"/>
              <w:rPr>
                <w:rFonts w:ascii="宋体" w:hAnsi="宋体" w:cs="宋体"/>
                <w:color w:val="auto"/>
                <w:sz w:val="24"/>
              </w:rPr>
            </w:pPr>
            <w:r>
              <w:rPr>
                <w:rFonts w:hint="eastAsia" w:ascii="宋体" w:hAnsi="宋体" w:cs="宋体"/>
                <w:color w:val="auto"/>
                <w:sz w:val="24"/>
              </w:rPr>
              <w:t>备注</w:t>
            </w:r>
          </w:p>
        </w:tc>
        <w:tc>
          <w:tcPr>
            <w:tcW w:w="8009" w:type="dxa"/>
          </w:tcPr>
          <w:p>
            <w:pPr>
              <w:rPr>
                <w:rFonts w:ascii="宋体" w:hAnsi="宋体" w:cs="宋体"/>
                <w:color w:val="auto"/>
                <w:sz w:val="24"/>
              </w:rPr>
            </w:pPr>
          </w:p>
        </w:tc>
      </w:tr>
    </w:tbl>
    <w:p>
      <w:pPr>
        <w:spacing w:line="360" w:lineRule="auto"/>
        <w:ind w:firstLine="482" w:firstLineChars="200"/>
        <w:rPr>
          <w:rFonts w:ascii="宋体" w:hAnsi="宋体" w:cs="宋体"/>
          <w:b/>
          <w:color w:val="auto"/>
          <w:sz w:val="24"/>
        </w:rPr>
      </w:pPr>
    </w:p>
    <w:p>
      <w:pPr>
        <w:spacing w:line="500" w:lineRule="exact"/>
        <w:ind w:firstLine="560" w:firstLineChars="200"/>
        <w:rPr>
          <w:rFonts w:ascii="宋体" w:hAnsi="宋体" w:cs="宋体"/>
          <w:bCs/>
          <w:color w:val="auto"/>
          <w:sz w:val="28"/>
          <w:szCs w:val="28"/>
        </w:rPr>
      </w:pPr>
    </w:p>
    <w:p>
      <w:pPr>
        <w:pStyle w:val="18"/>
        <w:spacing w:line="440" w:lineRule="exact"/>
        <w:rPr>
          <w:rFonts w:hAnsi="宋体" w:cs="宋体"/>
          <w:color w:val="auto"/>
          <w:sz w:val="44"/>
        </w:rPr>
      </w:pPr>
    </w:p>
    <w:p>
      <w:pPr>
        <w:pStyle w:val="18"/>
        <w:spacing w:line="440" w:lineRule="exact"/>
        <w:jc w:val="center"/>
        <w:rPr>
          <w:rFonts w:hAnsi="宋体" w:cs="宋体"/>
          <w:color w:val="auto"/>
          <w:sz w:val="44"/>
        </w:rPr>
      </w:pPr>
    </w:p>
    <w:p>
      <w:pPr>
        <w:pStyle w:val="18"/>
        <w:spacing w:line="440" w:lineRule="exact"/>
        <w:jc w:val="center"/>
        <w:rPr>
          <w:rFonts w:hAnsi="宋体" w:cs="宋体"/>
          <w:color w:val="auto"/>
          <w:sz w:val="44"/>
        </w:rPr>
      </w:pPr>
    </w:p>
    <w:p>
      <w:pPr>
        <w:pStyle w:val="18"/>
        <w:spacing w:line="440" w:lineRule="exact"/>
        <w:jc w:val="center"/>
        <w:rPr>
          <w:rFonts w:hAnsi="宋体" w:cs="宋体"/>
          <w:color w:val="auto"/>
          <w:sz w:val="44"/>
        </w:rPr>
      </w:pPr>
    </w:p>
    <w:p>
      <w:pPr>
        <w:pStyle w:val="18"/>
        <w:spacing w:line="440" w:lineRule="exact"/>
        <w:rPr>
          <w:rFonts w:hAnsi="宋体" w:cs="宋体"/>
          <w:color w:val="auto"/>
          <w:sz w:val="44"/>
        </w:rPr>
      </w:pPr>
    </w:p>
    <w:p>
      <w:pPr>
        <w:pStyle w:val="5"/>
        <w:jc w:val="center"/>
        <w:rPr>
          <w:rFonts w:ascii="宋体" w:hAnsi="宋体" w:cs="宋体"/>
          <w:b w:val="0"/>
          <w:color w:val="auto"/>
          <w:kern w:val="44"/>
          <w:sz w:val="44"/>
        </w:rPr>
      </w:pPr>
      <w:bookmarkStart w:id="57" w:name="_Toc285437476"/>
      <w:r>
        <w:rPr>
          <w:rFonts w:hint="eastAsia" w:ascii="宋体" w:hAnsi="宋体" w:cs="宋体"/>
          <w:b w:val="0"/>
          <w:color w:val="auto"/>
          <w:kern w:val="44"/>
          <w:sz w:val="44"/>
        </w:rPr>
        <w:t>第四章  评定成交的标准</w:t>
      </w:r>
      <w:bookmarkEnd w:id="57"/>
    </w:p>
    <w:p>
      <w:pPr>
        <w:pStyle w:val="18"/>
        <w:rPr>
          <w:rFonts w:hAnsi="宋体" w:cs="宋体"/>
          <w:color w:val="auto"/>
        </w:rPr>
      </w:pPr>
    </w:p>
    <w:p>
      <w:pPr>
        <w:pStyle w:val="5"/>
        <w:ind w:firstLine="3855" w:firstLineChars="1200"/>
        <w:rPr>
          <w:rFonts w:ascii="宋体" w:hAnsi="宋体" w:cs="宋体"/>
          <w:color w:val="auto"/>
        </w:rPr>
      </w:pPr>
      <w:r>
        <w:rPr>
          <w:rFonts w:hint="eastAsia" w:ascii="宋体" w:hAnsi="宋体" w:cs="宋体"/>
          <w:bCs/>
          <w:color w:val="auto"/>
          <w:sz w:val="32"/>
          <w:szCs w:val="32"/>
        </w:rPr>
        <w:t>评定成</w:t>
      </w:r>
      <w:bookmarkStart w:id="58" w:name="_Hlt261534415"/>
      <w:bookmarkStart w:id="59" w:name="_Hlt261534440"/>
      <w:r>
        <w:rPr>
          <w:rFonts w:hint="eastAsia" w:ascii="宋体" w:hAnsi="宋体" w:cs="宋体"/>
          <w:bCs/>
          <w:color w:val="auto"/>
          <w:sz w:val="32"/>
          <w:szCs w:val="32"/>
        </w:rPr>
        <w:t>交</w:t>
      </w:r>
      <w:bookmarkEnd w:id="58"/>
      <w:bookmarkEnd w:id="59"/>
      <w:bookmarkStart w:id="60" w:name="_Hlt261534399"/>
      <w:r>
        <w:rPr>
          <w:rFonts w:hint="eastAsia" w:ascii="宋体" w:hAnsi="宋体" w:cs="宋体"/>
          <w:bCs/>
          <w:color w:val="auto"/>
          <w:sz w:val="32"/>
          <w:szCs w:val="32"/>
        </w:rPr>
        <w:t>的</w:t>
      </w:r>
      <w:bookmarkEnd w:id="60"/>
      <w:r>
        <w:rPr>
          <w:rFonts w:hint="eastAsia" w:ascii="宋体" w:hAnsi="宋体" w:cs="宋体"/>
          <w:bCs/>
          <w:color w:val="auto"/>
          <w:sz w:val="32"/>
          <w:szCs w:val="32"/>
        </w:rPr>
        <w:t>标准</w:t>
      </w:r>
    </w:p>
    <w:p>
      <w:pPr>
        <w:pStyle w:val="18"/>
        <w:spacing w:line="360" w:lineRule="exact"/>
        <w:ind w:firstLine="517" w:firstLineChars="245"/>
        <w:rPr>
          <w:rFonts w:hAnsi="宋体" w:cs="宋体"/>
          <w:b/>
          <w:bCs/>
          <w:color w:val="auto"/>
        </w:rPr>
      </w:pPr>
      <w:r>
        <w:rPr>
          <w:rFonts w:hint="eastAsia" w:hAnsi="宋体" w:cs="宋体"/>
          <w:b/>
          <w:bCs/>
          <w:color w:val="auto"/>
        </w:rPr>
        <w:t>一、评标原则</w:t>
      </w:r>
    </w:p>
    <w:p>
      <w:pPr>
        <w:pStyle w:val="18"/>
        <w:spacing w:line="360" w:lineRule="auto"/>
        <w:ind w:firstLine="420" w:firstLineChars="200"/>
        <w:rPr>
          <w:rFonts w:hAnsi="宋体" w:cs="宋体"/>
          <w:bCs/>
          <w:color w:val="auto"/>
        </w:rPr>
      </w:pPr>
      <w:r>
        <w:rPr>
          <w:rFonts w:hint="eastAsia" w:hAnsi="宋体" w:cs="宋体"/>
          <w:bCs/>
          <w:color w:val="auto"/>
        </w:rPr>
        <w:t>(一) 谈判小组构成：本采购项目的谈判小组分别由依法组成的评审专家、采购人代表等三人以上单数组成，其中专家人数不少于成员总数的三分之二。</w:t>
      </w:r>
    </w:p>
    <w:p>
      <w:pPr>
        <w:pStyle w:val="18"/>
        <w:spacing w:line="360" w:lineRule="auto"/>
        <w:ind w:firstLine="420" w:firstLineChars="200"/>
        <w:rPr>
          <w:rFonts w:hAnsi="宋体" w:cs="宋体"/>
          <w:bCs/>
          <w:color w:val="auto"/>
        </w:rPr>
      </w:pPr>
      <w:r>
        <w:rPr>
          <w:rFonts w:hint="eastAsia" w:hAnsi="宋体" w:cs="宋体"/>
          <w:bCs/>
          <w:color w:val="auto"/>
        </w:rPr>
        <w:t>(二) 评标依据：以竞争性谈判采购文件和响应文件为评定依据。</w:t>
      </w:r>
    </w:p>
    <w:p>
      <w:pPr>
        <w:pStyle w:val="18"/>
        <w:spacing w:line="360" w:lineRule="auto"/>
        <w:ind w:firstLine="315" w:firstLineChars="150"/>
        <w:rPr>
          <w:rFonts w:hAnsi="宋体" w:cs="宋体"/>
          <w:bCs/>
          <w:color w:val="auto"/>
        </w:rPr>
      </w:pPr>
      <w:r>
        <w:rPr>
          <w:rFonts w:hint="eastAsia" w:hAnsi="宋体" w:cs="宋体"/>
          <w:bCs/>
          <w:color w:val="auto"/>
        </w:rPr>
        <w:t>（三）评标办法：最低评标价法。</w:t>
      </w:r>
    </w:p>
    <w:p>
      <w:pPr>
        <w:pStyle w:val="18"/>
        <w:spacing w:line="360" w:lineRule="auto"/>
        <w:ind w:firstLine="413" w:firstLineChars="196"/>
        <w:rPr>
          <w:rFonts w:hAnsi="宋体" w:cs="宋体"/>
          <w:b/>
          <w:bCs/>
          <w:color w:val="auto"/>
        </w:rPr>
      </w:pPr>
      <w:r>
        <w:rPr>
          <w:rFonts w:hint="eastAsia" w:hAnsi="宋体" w:cs="宋体"/>
          <w:b/>
          <w:bCs/>
          <w:color w:val="auto"/>
        </w:rPr>
        <w:t>二、评定方法</w:t>
      </w:r>
    </w:p>
    <w:p>
      <w:pPr>
        <w:pStyle w:val="18"/>
        <w:spacing w:line="360" w:lineRule="auto"/>
        <w:ind w:firstLine="411" w:firstLineChars="196"/>
        <w:rPr>
          <w:rFonts w:hAnsi="宋体" w:cs="宋体"/>
          <w:bCs/>
          <w:color w:val="auto"/>
        </w:rPr>
      </w:pPr>
      <w:r>
        <w:rPr>
          <w:rFonts w:hint="eastAsia" w:hAnsi="宋体" w:cs="宋体"/>
          <w:bCs/>
          <w:color w:val="auto"/>
        </w:rPr>
        <w:t>对通过资格性和符合性评审合格的响应文件，采用最低评标价法进行评审。</w:t>
      </w:r>
    </w:p>
    <w:p>
      <w:pPr>
        <w:pStyle w:val="18"/>
        <w:spacing w:line="360" w:lineRule="auto"/>
        <w:ind w:firstLine="420" w:firstLineChars="200"/>
        <w:rPr>
          <w:rFonts w:hAnsi="宋体" w:cs="宋体"/>
          <w:color w:val="auto"/>
        </w:rPr>
      </w:pPr>
      <w:r>
        <w:rPr>
          <w:rFonts w:hint="eastAsia" w:hAnsi="宋体" w:cs="宋体"/>
          <w:color w:val="auto"/>
        </w:rPr>
        <w:t>谈判小组将以竞争性谈判采购文件和</w:t>
      </w:r>
      <w:r>
        <w:rPr>
          <w:rFonts w:hint="eastAsia" w:hAnsi="宋体" w:cs="宋体"/>
          <w:bCs/>
          <w:color w:val="auto"/>
        </w:rPr>
        <w:t>响应文件</w:t>
      </w:r>
      <w:r>
        <w:rPr>
          <w:rFonts w:hint="eastAsia" w:hAnsi="宋体" w:cs="宋体"/>
          <w:color w:val="auto"/>
        </w:rPr>
        <w:t>为评定依据，在质量和服务均能满足采购文件实质性响应要求的前提下，以提出最后报价且评审价最低的供应商作为成交供应商。</w:t>
      </w:r>
    </w:p>
    <w:p>
      <w:pPr>
        <w:pStyle w:val="18"/>
        <w:spacing w:line="360" w:lineRule="auto"/>
        <w:ind w:firstLine="411" w:firstLineChars="196"/>
        <w:rPr>
          <w:rFonts w:hAnsi="宋体" w:cs="宋体"/>
          <w:bCs/>
          <w:color w:val="auto"/>
        </w:rPr>
      </w:pPr>
      <w:r>
        <w:rPr>
          <w:rFonts w:hint="eastAsia" w:hAnsi="宋体" w:cs="宋体"/>
          <w:bCs/>
          <w:color w:val="auto"/>
        </w:rPr>
        <w:t>按照</w:t>
      </w:r>
      <w:r>
        <w:rPr>
          <w:rFonts w:hint="eastAsia" w:hAnsi="宋体" w:cs="宋体"/>
          <w:color w:val="auto"/>
          <w:kern w:val="0"/>
          <w:szCs w:val="21"/>
        </w:rPr>
        <w:t>《政府采购促进中小企业发展管理办法》（财库[2020]46号）</w:t>
      </w:r>
      <w:r>
        <w:rPr>
          <w:rFonts w:hint="eastAsia" w:hAnsi="宋体" w:cs="宋体"/>
          <w:bCs/>
          <w:color w:val="auto"/>
        </w:rPr>
        <w:t>，投标单位认定为小型和微型企业的（以响应文件提供的符合规定的有关证明材料为准），并提供本企业制造的货物，由本企业承担工程、提供服务，或者提供其他小型、微型企业制造的货物的（不包括使用大型企业注册商标的货物），对投标价给予20%的扣除，扣除后的价格为评标报价，即评标报价=投标价×（1-20%）；大中型企业与小型、微型企业组成联合体投标，其中小型、微型企业的协议合同金额占到联合体协议合同总金额30%以上的，联合体投标价给予6%的扣除，扣除后的价格为评标价，即评标报价=投标价×（1-6%）；除上述情况外，评标报价=投标价。</w:t>
      </w:r>
    </w:p>
    <w:p>
      <w:pPr>
        <w:pStyle w:val="18"/>
        <w:spacing w:line="360" w:lineRule="auto"/>
        <w:ind w:firstLine="411" w:firstLineChars="196"/>
        <w:rPr>
          <w:rFonts w:hAnsi="宋体" w:cs="宋体"/>
          <w:bCs/>
          <w:color w:val="auto"/>
        </w:rPr>
      </w:pPr>
      <w:r>
        <w:rPr>
          <w:rFonts w:hint="eastAsia" w:hAnsi="宋体" w:cs="宋体"/>
          <w:bCs/>
          <w:color w:val="auto"/>
        </w:rPr>
        <w:t>投标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18"/>
        <w:spacing w:line="360" w:lineRule="auto"/>
        <w:ind w:firstLine="517" w:firstLineChars="245"/>
        <w:rPr>
          <w:rFonts w:hAnsi="宋体" w:cs="宋体"/>
          <w:b/>
          <w:bCs/>
          <w:color w:val="auto"/>
        </w:rPr>
      </w:pPr>
      <w:r>
        <w:rPr>
          <w:rFonts w:hint="eastAsia" w:hAnsi="宋体" w:cs="宋体"/>
          <w:b/>
          <w:bCs/>
          <w:color w:val="auto"/>
        </w:rPr>
        <w:t>三、成交候选人推荐原则</w:t>
      </w:r>
    </w:p>
    <w:p>
      <w:pPr>
        <w:pStyle w:val="18"/>
        <w:spacing w:line="360" w:lineRule="auto"/>
        <w:ind w:firstLine="420"/>
        <w:rPr>
          <w:rFonts w:hAnsi="宋体" w:cs="宋体"/>
          <w:bCs/>
          <w:color w:val="auto"/>
        </w:rPr>
      </w:pPr>
      <w:r>
        <w:rPr>
          <w:rFonts w:hint="eastAsia" w:hAnsi="宋体" w:cs="宋体"/>
          <w:color w:val="auto"/>
        </w:rPr>
        <w:t>（一）响应文件在</w:t>
      </w:r>
      <w:r>
        <w:rPr>
          <w:rFonts w:hint="eastAsia" w:hAnsi="宋体" w:cs="宋体"/>
          <w:bCs/>
          <w:color w:val="auto"/>
        </w:rPr>
        <w:t>质量和服务</w:t>
      </w:r>
      <w:r>
        <w:rPr>
          <w:rFonts w:hint="eastAsia" w:hAnsi="宋体" w:cs="宋体"/>
          <w:color w:val="auto"/>
        </w:rPr>
        <w:t>均能满足竞争性谈判采购文件实质性响应要求</w:t>
      </w:r>
      <w:r>
        <w:rPr>
          <w:rFonts w:hint="eastAsia" w:hAnsi="宋体" w:cs="宋体"/>
          <w:bCs/>
          <w:color w:val="auto"/>
        </w:rPr>
        <w:t>时，谈判小组将按评审价由低到高顺序推荐3名以上（含3名）成交候选供应商（</w:t>
      </w:r>
      <w:r>
        <w:rPr>
          <w:rFonts w:hint="eastAsia" w:hAnsi="宋体" w:cs="宋体"/>
          <w:color w:val="auto"/>
          <w:szCs w:val="21"/>
        </w:rPr>
        <w:t>报价相同的，按技术指标优劣顺序排列；报价相同、技术指标优劣也相同，则由谈判小组集体决定推荐顺序）</w:t>
      </w:r>
      <w:r>
        <w:rPr>
          <w:rFonts w:hint="eastAsia" w:hAnsi="宋体" w:cs="宋体"/>
          <w:bCs/>
          <w:color w:val="auto"/>
        </w:rPr>
        <w:t>。采购单位应当确定谈判小组推荐排名第一的成交候选人为成交人。排名第一的成交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w:t>
      </w:r>
    </w:p>
    <w:p>
      <w:pPr>
        <w:pStyle w:val="18"/>
        <w:spacing w:line="360" w:lineRule="auto"/>
        <w:ind w:firstLine="420" w:firstLineChars="200"/>
        <w:rPr>
          <w:rFonts w:hAnsi="宋体" w:cs="宋体"/>
          <w:bCs/>
          <w:color w:val="auto"/>
        </w:rPr>
      </w:pPr>
      <w:r>
        <w:rPr>
          <w:rFonts w:hint="eastAsia" w:hAnsi="宋体" w:cs="宋体"/>
          <w:bCs/>
          <w:color w:val="auto"/>
        </w:rPr>
        <w:t xml:space="preserve"> (二) 谈判小组认为，某竞标人的有效竞标报价或者某些分项报价明显不合理或者低于成本，有可能影响商品质量和不能诚信履约的，应要求其在规定的期限内提供书面文件予以解释说明，并提交相关证明材料，否则，谈判小组可以取消该竞标人的成交候选资格，按顺序由排在后面的成交候选人递补，以此类推。</w:t>
      </w:r>
    </w:p>
    <w:p>
      <w:pPr>
        <w:pStyle w:val="19"/>
        <w:ind w:left="5250"/>
        <w:rPr>
          <w:color w:val="auto"/>
        </w:rPr>
      </w:pPr>
    </w:p>
    <w:p>
      <w:pPr>
        <w:pStyle w:val="5"/>
        <w:jc w:val="center"/>
        <w:rPr>
          <w:rFonts w:ascii="宋体" w:hAnsi="宋体" w:cs="宋体"/>
          <w:b w:val="0"/>
          <w:color w:val="auto"/>
          <w:sz w:val="44"/>
        </w:rPr>
      </w:pPr>
      <w:bookmarkStart w:id="61" w:name="_Toc285437477"/>
      <w:r>
        <w:rPr>
          <w:rFonts w:hint="eastAsia" w:ascii="宋体" w:hAnsi="宋体" w:cs="宋体"/>
          <w:b w:val="0"/>
          <w:color w:val="auto"/>
          <w:kern w:val="44"/>
          <w:sz w:val="44"/>
        </w:rPr>
        <w:t xml:space="preserve">第五章  </w:t>
      </w:r>
      <w:r>
        <w:rPr>
          <w:rFonts w:hint="eastAsia" w:ascii="宋体" w:hAnsi="宋体" w:cs="宋体"/>
          <w:b w:val="0"/>
          <w:color w:val="auto"/>
          <w:sz w:val="44"/>
        </w:rPr>
        <w:t>响应文件（格式）</w:t>
      </w:r>
      <w:bookmarkEnd w:id="61"/>
    </w:p>
    <w:p>
      <w:pPr>
        <w:pStyle w:val="18"/>
        <w:spacing w:line="440" w:lineRule="exact"/>
        <w:jc w:val="center"/>
        <w:rPr>
          <w:rFonts w:hAnsi="宋体" w:cs="宋体"/>
          <w:b/>
          <w:bCs/>
          <w:color w:val="auto"/>
          <w:sz w:val="36"/>
        </w:rPr>
      </w:pPr>
    </w:p>
    <w:p>
      <w:pPr>
        <w:pStyle w:val="18"/>
        <w:spacing w:line="440" w:lineRule="exact"/>
        <w:jc w:val="center"/>
        <w:rPr>
          <w:rFonts w:hAnsi="宋体" w:cs="宋体"/>
          <w:b/>
          <w:bCs/>
          <w:color w:val="auto"/>
          <w:sz w:val="36"/>
        </w:rPr>
      </w:pPr>
    </w:p>
    <w:p>
      <w:pPr>
        <w:pStyle w:val="18"/>
        <w:spacing w:line="440" w:lineRule="exact"/>
        <w:rPr>
          <w:rFonts w:hAnsi="宋体" w:cs="宋体"/>
          <w:b/>
          <w:bCs/>
          <w:color w:val="auto"/>
          <w:sz w:val="24"/>
          <w:szCs w:val="15"/>
        </w:rPr>
      </w:pPr>
      <w:r>
        <w:rPr>
          <w:rFonts w:hint="eastAsia" w:hAnsi="宋体" w:cs="宋体"/>
          <w:b/>
          <w:bCs/>
          <w:color w:val="auto"/>
          <w:sz w:val="24"/>
          <w:szCs w:val="15"/>
        </w:rPr>
        <w:t>（一）电子备份响应文件外包封格式：</w:t>
      </w:r>
    </w:p>
    <w:p>
      <w:pPr>
        <w:rPr>
          <w:rFonts w:ascii="宋体" w:hAnsi="宋体" w:cs="宋体"/>
          <w:b/>
          <w:bCs/>
          <w:color w:val="auto"/>
          <w:sz w:val="24"/>
          <w:szCs w:val="15"/>
        </w:rPr>
      </w:pPr>
    </w:p>
    <w:p>
      <w:pPr>
        <w:pStyle w:val="74"/>
        <w:rPr>
          <w:rFonts w:ascii="宋体" w:hAnsi="宋体" w:eastAsia="宋体"/>
          <w:b/>
          <w:bCs/>
          <w:color w:val="auto"/>
          <w:sz w:val="24"/>
          <w:szCs w:val="15"/>
          <w:lang w:eastAsia="zh-CN"/>
        </w:rPr>
      </w:pPr>
    </w:p>
    <w:p>
      <w:pPr>
        <w:pStyle w:val="74"/>
        <w:jc w:val="center"/>
        <w:rPr>
          <w:rFonts w:ascii="宋体" w:hAnsi="宋体" w:eastAsia="宋体"/>
          <w:b/>
          <w:bCs/>
          <w:color w:val="auto"/>
          <w:sz w:val="24"/>
          <w:szCs w:val="15"/>
          <w:lang w:eastAsia="zh-CN"/>
        </w:rPr>
      </w:pPr>
      <w:r>
        <w:rPr>
          <w:rFonts w:hint="eastAsia" w:ascii="宋体" w:hAnsi="宋体" w:eastAsia="宋体"/>
          <w:b/>
          <w:bCs/>
          <w:color w:val="auto"/>
          <w:sz w:val="32"/>
          <w:szCs w:val="18"/>
          <w:lang w:eastAsia="zh-CN"/>
        </w:rPr>
        <w:t>电子备份响应文件</w:t>
      </w:r>
    </w:p>
    <w:p>
      <w:pPr>
        <w:pStyle w:val="74"/>
        <w:rPr>
          <w:rFonts w:ascii="宋体" w:hAnsi="宋体" w:eastAsia="宋体"/>
          <w:b/>
          <w:bCs/>
          <w:color w:val="auto"/>
          <w:sz w:val="24"/>
          <w:szCs w:val="15"/>
          <w:lang w:eastAsia="zh-CN"/>
        </w:rPr>
      </w:pPr>
    </w:p>
    <w:p>
      <w:pPr>
        <w:pStyle w:val="18"/>
        <w:spacing w:line="380" w:lineRule="atLeast"/>
        <w:ind w:firstLine="420" w:firstLineChars="200"/>
        <w:rPr>
          <w:rFonts w:hAnsi="宋体" w:cs="宋体"/>
          <w:color w:val="auto"/>
          <w:u w:val="single"/>
        </w:rPr>
      </w:pPr>
      <w:r>
        <w:rPr>
          <w:rFonts w:hint="eastAsia" w:hAnsi="宋体" w:cs="宋体"/>
          <w:color w:val="auto"/>
        </w:rPr>
        <w:t>(1)代理单位：</w:t>
      </w:r>
      <w:r>
        <w:rPr>
          <w:rFonts w:hint="eastAsia" w:hAnsi="宋体" w:cs="宋体"/>
          <w:i/>
          <w:iCs/>
          <w:color w:val="auto"/>
        </w:rPr>
        <w:t xml:space="preserve">                  </w:t>
      </w:r>
      <w:r>
        <w:rPr>
          <w:rFonts w:hint="eastAsia" w:hAnsi="宋体" w:cs="宋体"/>
          <w:color w:val="auto"/>
          <w:u w:val="single"/>
        </w:rPr>
        <w:t xml:space="preserve">    </w:t>
      </w:r>
    </w:p>
    <w:p>
      <w:pPr>
        <w:pStyle w:val="18"/>
        <w:spacing w:line="380" w:lineRule="atLeast"/>
        <w:ind w:firstLine="420" w:firstLineChars="200"/>
        <w:rPr>
          <w:rFonts w:hAnsi="宋体" w:cs="宋体"/>
          <w:color w:val="auto"/>
          <w:u w:val="single"/>
        </w:rPr>
      </w:pPr>
      <w:r>
        <w:rPr>
          <w:rFonts w:hint="eastAsia" w:hAnsi="宋体" w:cs="宋体"/>
          <w:color w:val="auto"/>
        </w:rPr>
        <w:t>(2)项目名称：</w:t>
      </w:r>
      <w:r>
        <w:rPr>
          <w:rFonts w:hint="eastAsia" w:hAnsi="宋体" w:cs="宋体"/>
          <w:color w:val="auto"/>
          <w:u w:val="single"/>
        </w:rPr>
        <w:t xml:space="preserve">  </w:t>
      </w:r>
    </w:p>
    <w:p>
      <w:pPr>
        <w:pStyle w:val="18"/>
        <w:spacing w:line="380" w:lineRule="atLeast"/>
        <w:ind w:firstLine="420" w:firstLineChars="200"/>
        <w:rPr>
          <w:rFonts w:hAnsi="宋体" w:cs="宋体"/>
          <w:color w:val="auto"/>
        </w:rPr>
      </w:pPr>
      <w:r>
        <w:rPr>
          <w:rFonts w:hint="eastAsia" w:hAnsi="宋体" w:cs="宋体"/>
          <w:color w:val="auto"/>
        </w:rPr>
        <w:t xml:space="preserve">(3)项目编号：   </w:t>
      </w:r>
      <w:r>
        <w:rPr>
          <w:rFonts w:hint="eastAsia" w:hAnsi="宋体" w:cs="宋体"/>
          <w:color w:val="auto"/>
          <w:u w:val="single"/>
        </w:rPr>
        <w:t xml:space="preserve">              </w:t>
      </w:r>
      <w:r>
        <w:rPr>
          <w:rFonts w:hint="eastAsia" w:hAnsi="宋体" w:cs="宋体"/>
          <w:color w:val="auto"/>
        </w:rPr>
        <w:t xml:space="preserve">   </w:t>
      </w:r>
    </w:p>
    <w:p>
      <w:pPr>
        <w:pStyle w:val="18"/>
        <w:spacing w:line="380" w:lineRule="atLeast"/>
        <w:ind w:firstLine="420" w:firstLineChars="200"/>
        <w:rPr>
          <w:rFonts w:hAnsi="宋体" w:cs="宋体"/>
          <w:color w:val="auto"/>
          <w:u w:val="single"/>
        </w:rPr>
      </w:pPr>
      <w:r>
        <w:rPr>
          <w:rFonts w:hint="eastAsia" w:hAnsi="宋体" w:cs="宋体"/>
          <w:color w:val="auto"/>
        </w:rPr>
        <w:t>(4)竞标人名称（加盖公章）：</w:t>
      </w:r>
      <w:r>
        <w:rPr>
          <w:rFonts w:hint="eastAsia" w:hAnsi="宋体" w:cs="宋体"/>
          <w:color w:val="auto"/>
          <w:u w:val="single"/>
        </w:rPr>
        <w:t xml:space="preserve">                     </w:t>
      </w:r>
      <w:r>
        <w:rPr>
          <w:rFonts w:hint="eastAsia" w:hAnsi="宋体" w:cs="宋体"/>
          <w:color w:val="auto"/>
        </w:rPr>
        <w:t xml:space="preserve">   </w:t>
      </w:r>
    </w:p>
    <w:p>
      <w:pPr>
        <w:pStyle w:val="18"/>
        <w:spacing w:line="380" w:lineRule="atLeast"/>
        <w:ind w:firstLine="420" w:firstLineChars="200"/>
        <w:rPr>
          <w:rFonts w:hAnsi="宋体" w:cs="宋体"/>
          <w:color w:val="auto"/>
          <w:u w:val="single"/>
        </w:rPr>
      </w:pPr>
      <w:r>
        <w:rPr>
          <w:rFonts w:hint="eastAsia" w:hAnsi="宋体" w:cs="宋体"/>
          <w:color w:val="auto"/>
        </w:rPr>
        <w:t>(5)竞标人地址：</w:t>
      </w:r>
      <w:r>
        <w:rPr>
          <w:rFonts w:hint="eastAsia" w:hAnsi="宋体" w:cs="宋体"/>
          <w:color w:val="auto"/>
          <w:u w:val="single"/>
        </w:rPr>
        <w:t xml:space="preserve">                     </w:t>
      </w:r>
      <w:r>
        <w:rPr>
          <w:rFonts w:hint="eastAsia" w:hAnsi="宋体" w:cs="宋体"/>
          <w:color w:val="auto"/>
        </w:rPr>
        <w:t xml:space="preserve">                  </w:t>
      </w:r>
    </w:p>
    <w:p>
      <w:pPr>
        <w:pStyle w:val="18"/>
        <w:spacing w:line="380" w:lineRule="atLeast"/>
        <w:ind w:firstLine="420" w:firstLineChars="200"/>
        <w:rPr>
          <w:rFonts w:hAnsi="宋体" w:cs="宋体"/>
          <w:color w:val="auto"/>
        </w:rPr>
      </w:pPr>
      <w:r>
        <w:rPr>
          <w:rFonts w:hint="eastAsia" w:hAnsi="宋体" w:cs="宋体"/>
          <w:color w:val="auto"/>
        </w:rPr>
        <w:t>(6)注明“截标前不得启封”</w:t>
      </w:r>
    </w:p>
    <w:p>
      <w:pPr>
        <w:pStyle w:val="74"/>
        <w:rPr>
          <w:rFonts w:ascii="宋体" w:hAnsi="宋体" w:eastAsia="宋体"/>
          <w:b/>
          <w:bCs/>
          <w:color w:val="auto"/>
          <w:sz w:val="24"/>
          <w:szCs w:val="15"/>
          <w:lang w:eastAsia="zh-CN"/>
        </w:rPr>
      </w:pPr>
    </w:p>
    <w:p>
      <w:pPr>
        <w:pStyle w:val="74"/>
        <w:rPr>
          <w:rFonts w:ascii="宋体" w:hAnsi="宋体" w:eastAsia="宋体"/>
          <w:b/>
          <w:bCs/>
          <w:color w:val="auto"/>
          <w:sz w:val="24"/>
          <w:szCs w:val="15"/>
          <w:lang w:eastAsia="zh-CN"/>
        </w:rPr>
      </w:pPr>
    </w:p>
    <w:p>
      <w:pPr>
        <w:pStyle w:val="74"/>
        <w:rPr>
          <w:rFonts w:ascii="宋体" w:hAnsi="宋体" w:eastAsia="宋体"/>
          <w:b/>
          <w:bCs/>
          <w:color w:val="auto"/>
          <w:sz w:val="24"/>
          <w:szCs w:val="15"/>
          <w:lang w:eastAsia="zh-CN"/>
        </w:rPr>
      </w:pPr>
      <w:r>
        <w:rPr>
          <w:rFonts w:hint="eastAsia" w:ascii="宋体" w:hAnsi="宋体" w:eastAsia="宋体"/>
          <w:b/>
          <w:bCs/>
          <w:color w:val="auto"/>
          <w:sz w:val="24"/>
          <w:szCs w:val="15"/>
          <w:lang w:eastAsia="zh-CN"/>
        </w:rPr>
        <w:t>（二）响应文件格式：</w:t>
      </w:r>
    </w:p>
    <w:p>
      <w:pPr>
        <w:pStyle w:val="74"/>
        <w:ind w:firstLine="482" w:firstLineChars="200"/>
        <w:rPr>
          <w:rFonts w:ascii="宋体" w:hAnsi="宋体" w:eastAsia="宋体"/>
          <w:b/>
          <w:bCs/>
          <w:color w:val="auto"/>
          <w:sz w:val="24"/>
          <w:szCs w:val="15"/>
          <w:lang w:eastAsia="zh-CN"/>
        </w:rPr>
      </w:pPr>
      <w:r>
        <w:rPr>
          <w:rFonts w:hint="eastAsia" w:ascii="宋体" w:hAnsi="宋体" w:eastAsia="宋体"/>
          <w:b/>
          <w:bCs/>
          <w:color w:val="auto"/>
          <w:sz w:val="24"/>
          <w:szCs w:val="15"/>
          <w:lang w:eastAsia="zh-CN"/>
        </w:rPr>
        <w:t>1、资格文件格式：</w:t>
      </w:r>
    </w:p>
    <w:p>
      <w:pPr>
        <w:pStyle w:val="74"/>
        <w:rPr>
          <w:rFonts w:ascii="宋体" w:hAnsi="宋体" w:eastAsia="宋体"/>
          <w:b/>
          <w:bCs/>
          <w:color w:val="auto"/>
          <w:sz w:val="24"/>
          <w:szCs w:val="15"/>
          <w:lang w:eastAsia="zh-CN"/>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jc w:val="center"/>
        <w:rPr>
          <w:rFonts w:hAnsi="宋体" w:cs="宋体"/>
          <w:color w:val="auto"/>
          <w:sz w:val="72"/>
        </w:rPr>
      </w:pPr>
      <w:r>
        <w:rPr>
          <w:rFonts w:hint="eastAsia" w:hAnsi="宋体" w:cs="宋体"/>
          <w:color w:val="auto"/>
          <w:sz w:val="72"/>
        </w:rPr>
        <w:t>响   应  文  件</w:t>
      </w:r>
    </w:p>
    <w:p>
      <w:pPr>
        <w:pStyle w:val="18"/>
        <w:jc w:val="center"/>
        <w:rPr>
          <w:rFonts w:hAnsi="宋体" w:cs="宋体"/>
          <w:b/>
          <w:bCs/>
          <w:color w:val="auto"/>
          <w:sz w:val="24"/>
          <w:szCs w:val="22"/>
        </w:rPr>
      </w:pPr>
    </w:p>
    <w:p>
      <w:pPr>
        <w:pStyle w:val="18"/>
        <w:jc w:val="center"/>
        <w:rPr>
          <w:rFonts w:hAnsi="宋体" w:cs="宋体"/>
          <w:b/>
          <w:bCs/>
          <w:color w:val="auto"/>
          <w:sz w:val="24"/>
          <w:szCs w:val="22"/>
        </w:rPr>
      </w:pPr>
      <w:r>
        <w:rPr>
          <w:rFonts w:hint="eastAsia" w:hAnsi="宋体" w:cs="宋体"/>
          <w:b/>
          <w:bCs/>
          <w:color w:val="auto"/>
          <w:sz w:val="24"/>
          <w:szCs w:val="22"/>
        </w:rPr>
        <w:t>（资格文件）</w:t>
      </w:r>
    </w:p>
    <w:p>
      <w:pPr>
        <w:pStyle w:val="18"/>
        <w:jc w:val="center"/>
        <w:rPr>
          <w:rFonts w:hAnsi="宋体" w:cs="宋体"/>
          <w:color w:val="auto"/>
        </w:rPr>
      </w:pPr>
    </w:p>
    <w:p>
      <w:pPr>
        <w:pStyle w:val="18"/>
        <w:rPr>
          <w:rFonts w:hAnsi="宋体" w:cs="宋体"/>
          <w:color w:val="auto"/>
        </w:rPr>
      </w:pPr>
      <w:r>
        <w:rPr>
          <w:rFonts w:hint="eastAsia" w:hAnsi="宋体" w:cs="宋体"/>
          <w:color w:val="auto"/>
        </w:rPr>
        <w:t xml:space="preserve">                                         </w:t>
      </w:r>
      <w:bookmarkStart w:id="62" w:name="OLE_LINK10"/>
      <w:r>
        <w:rPr>
          <w:rFonts w:hint="eastAsia" w:hAnsi="宋体" w:cs="宋体"/>
          <w:color w:val="auto"/>
        </w:rPr>
        <w:t xml:space="preserve"> </w:t>
      </w:r>
      <w:bookmarkEnd w:id="62"/>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ind w:firstLine="1124" w:firstLineChars="400"/>
        <w:rPr>
          <w:rFonts w:hAnsi="宋体" w:cs="宋体"/>
          <w:b/>
          <w:color w:val="auto"/>
          <w:sz w:val="28"/>
          <w:szCs w:val="28"/>
        </w:rPr>
      </w:pPr>
      <w:r>
        <w:rPr>
          <w:rFonts w:hint="eastAsia" w:hAnsi="宋体" w:cs="宋体"/>
          <w:b/>
          <w:color w:val="auto"/>
          <w:sz w:val="28"/>
          <w:szCs w:val="28"/>
        </w:rPr>
        <w:t>项目名称：</w:t>
      </w:r>
    </w:p>
    <w:p>
      <w:pPr>
        <w:pStyle w:val="18"/>
        <w:ind w:firstLine="1124" w:firstLineChars="400"/>
        <w:rPr>
          <w:rFonts w:hAnsi="宋体" w:cs="宋体"/>
          <w:b/>
          <w:color w:val="auto"/>
          <w:sz w:val="28"/>
          <w:szCs w:val="28"/>
        </w:rPr>
      </w:pPr>
      <w:r>
        <w:rPr>
          <w:rFonts w:hint="eastAsia" w:hAnsi="宋体" w:cs="宋体"/>
          <w:b/>
          <w:color w:val="auto"/>
          <w:sz w:val="28"/>
          <w:szCs w:val="28"/>
        </w:rPr>
        <w:t>项目编号：</w:t>
      </w:r>
    </w:p>
    <w:p>
      <w:pPr>
        <w:pStyle w:val="18"/>
        <w:ind w:firstLine="1124" w:firstLineChars="400"/>
        <w:rPr>
          <w:rFonts w:hAnsi="宋体" w:cs="宋体"/>
          <w:b/>
          <w:color w:val="auto"/>
          <w:sz w:val="28"/>
          <w:szCs w:val="28"/>
        </w:rPr>
      </w:pPr>
      <w:r>
        <w:rPr>
          <w:rFonts w:hint="eastAsia" w:hAnsi="宋体" w:cs="宋体"/>
          <w:b/>
          <w:color w:val="auto"/>
          <w:sz w:val="28"/>
          <w:szCs w:val="28"/>
        </w:rPr>
        <w:t xml:space="preserve">竞标人名称（电子签章）：                               </w:t>
      </w:r>
    </w:p>
    <w:p>
      <w:pPr>
        <w:pStyle w:val="18"/>
        <w:ind w:firstLine="1124" w:firstLineChars="400"/>
        <w:rPr>
          <w:rFonts w:hAnsi="宋体" w:cs="宋体"/>
          <w:b/>
          <w:bCs/>
          <w:color w:val="auto"/>
          <w:sz w:val="28"/>
          <w:u w:val="single"/>
        </w:rPr>
      </w:pPr>
      <w:r>
        <w:rPr>
          <w:rFonts w:hint="eastAsia" w:hAnsi="宋体" w:cs="宋体"/>
          <w:b/>
          <w:color w:val="auto"/>
          <w:sz w:val="28"/>
          <w:szCs w:val="28"/>
        </w:rPr>
        <w:t xml:space="preserve">竞标人地址：         </w:t>
      </w:r>
      <w:r>
        <w:rPr>
          <w:rFonts w:hint="eastAsia" w:hAnsi="宋体" w:cs="宋体"/>
          <w:b/>
          <w:bCs/>
          <w:color w:val="auto"/>
          <w:sz w:val="28"/>
          <w:u w:val="single"/>
        </w:rPr>
        <w:t xml:space="preserve">                      </w:t>
      </w:r>
    </w:p>
    <w:p>
      <w:pPr>
        <w:pStyle w:val="18"/>
        <w:ind w:firstLine="1124" w:firstLineChars="400"/>
        <w:rPr>
          <w:rFonts w:hAnsi="宋体" w:cs="宋体"/>
          <w:b/>
          <w:bCs/>
          <w:color w:val="auto"/>
          <w:sz w:val="28"/>
        </w:rPr>
      </w:pPr>
      <w:r>
        <w:rPr>
          <w:rFonts w:hint="eastAsia" w:hAnsi="宋体" w:cs="宋体"/>
          <w:b/>
          <w:bCs/>
          <w:color w:val="auto"/>
          <w:sz w:val="28"/>
          <w:u w:val="single"/>
        </w:rPr>
        <w:t xml:space="preserve">      </w:t>
      </w:r>
    </w:p>
    <w:p>
      <w:pPr>
        <w:pStyle w:val="18"/>
        <w:spacing w:line="500" w:lineRule="exact"/>
        <w:ind w:firstLine="6746" w:firstLineChars="2400"/>
        <w:rPr>
          <w:rFonts w:hAnsi="宋体" w:cs="宋体"/>
          <w:b/>
          <w:bCs/>
          <w:color w:val="auto"/>
          <w:sz w:val="28"/>
        </w:rPr>
      </w:pPr>
      <w:r>
        <w:rPr>
          <w:rFonts w:hint="eastAsia" w:hAnsi="宋体" w:cs="宋体"/>
          <w:b/>
          <w:bCs/>
          <w:color w:val="auto"/>
          <w:sz w:val="28"/>
        </w:rPr>
        <w:t>年  月  日</w:t>
      </w:r>
    </w:p>
    <w:p>
      <w:pPr>
        <w:pStyle w:val="18"/>
        <w:rPr>
          <w:rFonts w:hAnsi="宋体" w:cs="宋体"/>
          <w:b/>
          <w:bCs/>
          <w:color w:val="auto"/>
          <w:sz w:val="28"/>
        </w:rPr>
      </w:pPr>
    </w:p>
    <w:p>
      <w:pPr>
        <w:pStyle w:val="18"/>
        <w:jc w:val="center"/>
        <w:rPr>
          <w:rFonts w:hAnsi="宋体" w:cs="宋体"/>
          <w:b/>
          <w:bCs/>
          <w:color w:val="auto"/>
          <w:sz w:val="28"/>
        </w:rPr>
      </w:pPr>
    </w:p>
    <w:p>
      <w:pPr>
        <w:pStyle w:val="18"/>
        <w:rPr>
          <w:rFonts w:hAnsi="宋体" w:cs="宋体"/>
          <w:b/>
          <w:bCs/>
          <w:color w:val="auto"/>
          <w:sz w:val="24"/>
          <w:szCs w:val="11"/>
        </w:rPr>
      </w:pPr>
    </w:p>
    <w:p>
      <w:pPr>
        <w:pStyle w:val="18"/>
        <w:rPr>
          <w:rFonts w:hAnsi="宋体" w:cs="宋体"/>
          <w:b/>
          <w:bCs/>
          <w:color w:val="auto"/>
          <w:sz w:val="24"/>
          <w:szCs w:val="11"/>
        </w:rPr>
      </w:pPr>
    </w:p>
    <w:p>
      <w:pPr>
        <w:pStyle w:val="18"/>
        <w:rPr>
          <w:rFonts w:hAnsi="宋体" w:cs="宋体"/>
          <w:b/>
          <w:bCs/>
          <w:color w:val="auto"/>
          <w:sz w:val="24"/>
          <w:szCs w:val="11"/>
        </w:rPr>
      </w:pPr>
      <w:r>
        <w:rPr>
          <w:rFonts w:hint="eastAsia" w:hAnsi="宋体" w:cs="宋体"/>
          <w:b/>
          <w:bCs/>
          <w:color w:val="auto"/>
          <w:sz w:val="24"/>
          <w:szCs w:val="11"/>
        </w:rPr>
        <w:t>资格文件目录</w:t>
      </w:r>
    </w:p>
    <w:p>
      <w:pPr>
        <w:jc w:val="center"/>
        <w:rPr>
          <w:rFonts w:ascii="宋体" w:hAnsi="宋体" w:cs="宋体"/>
          <w:color w:val="auto"/>
        </w:rPr>
      </w:pPr>
      <w:r>
        <w:rPr>
          <w:rFonts w:hint="eastAsia" w:ascii="宋体" w:hAnsi="宋体" w:cs="宋体"/>
          <w:color w:val="auto"/>
          <w:sz w:val="24"/>
          <w:szCs w:val="11"/>
        </w:rPr>
        <w:t>（</w:t>
      </w:r>
      <w:r>
        <w:rPr>
          <w:rFonts w:hint="eastAsia" w:ascii="宋体" w:hAnsi="宋体" w:cs="宋体"/>
          <w:color w:val="auto"/>
        </w:rPr>
        <w:t>竞标人应按下列顺序自编目录及页码</w:t>
      </w:r>
      <w:r>
        <w:rPr>
          <w:rFonts w:hint="eastAsia" w:ascii="宋体" w:hAnsi="宋体" w:cs="宋体"/>
          <w:color w:val="auto"/>
          <w:sz w:val="24"/>
          <w:szCs w:val="11"/>
        </w:rPr>
        <w:t>）</w:t>
      </w:r>
    </w:p>
    <w:p>
      <w:pPr>
        <w:pStyle w:val="18"/>
        <w:spacing w:line="380" w:lineRule="atLeast"/>
        <w:ind w:firstLine="420"/>
        <w:rPr>
          <w:rFonts w:hAnsi="宋体" w:cs="宋体"/>
          <w:b/>
          <w:bCs/>
          <w:color w:val="auto"/>
        </w:rPr>
      </w:pPr>
      <w:r>
        <w:rPr>
          <w:rFonts w:hint="eastAsia" w:hAnsi="宋体" w:cs="宋体"/>
          <w:color w:val="auto"/>
          <w:sz w:val="22"/>
          <w:szCs w:val="22"/>
        </w:rPr>
        <w:t>▲</w:t>
      </w:r>
      <w:r>
        <w:rPr>
          <w:rFonts w:hint="eastAsia" w:hAnsi="宋体" w:cs="宋体"/>
          <w:bCs/>
          <w:color w:val="auto"/>
        </w:rPr>
        <w:t>(</w:t>
      </w:r>
      <w:r>
        <w:rPr>
          <w:rFonts w:hint="eastAsia" w:hAnsi="宋体" w:cs="宋体"/>
          <w:color w:val="auto"/>
        </w:rPr>
        <w:t>1)竞标人有效的“营业执照”等证明文件复印件</w:t>
      </w:r>
      <w:r>
        <w:rPr>
          <w:rFonts w:hint="eastAsia" w:hAnsi="宋体" w:cs="宋体"/>
          <w:b/>
          <w:bCs/>
          <w:color w:val="auto"/>
        </w:rPr>
        <w:t xml:space="preserve"> </w:t>
      </w:r>
      <w:r>
        <w:rPr>
          <w:rFonts w:hint="eastAsia" w:hAnsi="宋体" w:cs="宋体"/>
          <w:bCs/>
          <w:color w:val="auto"/>
        </w:rPr>
        <w:t xml:space="preserve"> </w:t>
      </w:r>
    </w:p>
    <w:p>
      <w:pPr>
        <w:pStyle w:val="18"/>
        <w:spacing w:line="380" w:lineRule="atLeast"/>
        <w:ind w:firstLine="429" w:firstLineChars="195"/>
        <w:rPr>
          <w:rFonts w:hAnsi="宋体" w:cs="宋体"/>
          <w:color w:val="auto"/>
        </w:rPr>
      </w:pPr>
      <w:r>
        <w:rPr>
          <w:rFonts w:hint="eastAsia" w:hAnsi="宋体" w:cs="宋体"/>
          <w:color w:val="auto"/>
          <w:sz w:val="22"/>
          <w:szCs w:val="22"/>
        </w:rPr>
        <w:t>▲</w:t>
      </w:r>
      <w:r>
        <w:rPr>
          <w:rFonts w:hint="eastAsia" w:hAnsi="宋体" w:cs="宋体"/>
          <w:bCs/>
          <w:color w:val="auto"/>
        </w:rPr>
        <w:t>(2)</w:t>
      </w:r>
      <w:r>
        <w:rPr>
          <w:rFonts w:hint="eastAsia" w:hAnsi="宋体" w:cs="宋体"/>
          <w:color w:val="auto"/>
        </w:rPr>
        <w:t>供应商</w:t>
      </w:r>
      <w:r>
        <w:rPr>
          <w:rFonts w:hint="eastAsia" w:hAnsi="宋体" w:cs="宋体"/>
          <w:color w:val="auto"/>
          <w:szCs w:val="21"/>
        </w:rPr>
        <w:t>具备有效的《中华人民共和国出版物经营许可证》</w:t>
      </w:r>
      <w:r>
        <w:rPr>
          <w:rFonts w:hint="eastAsia" w:hAnsi="宋体" w:cs="宋体"/>
          <w:color w:val="auto"/>
        </w:rPr>
        <w:t xml:space="preserve">。            </w:t>
      </w:r>
    </w:p>
    <w:p>
      <w:pPr>
        <w:pStyle w:val="18"/>
        <w:spacing w:line="380" w:lineRule="atLeast"/>
        <w:ind w:firstLine="429" w:firstLineChars="195"/>
        <w:rPr>
          <w:rFonts w:hAnsi="宋体" w:cs="宋体"/>
          <w:b/>
          <w:bCs/>
          <w:color w:val="auto"/>
        </w:rPr>
      </w:pPr>
      <w:r>
        <w:rPr>
          <w:rFonts w:hint="eastAsia" w:hAnsi="宋体" w:cs="宋体"/>
          <w:color w:val="auto"/>
          <w:sz w:val="22"/>
          <w:szCs w:val="22"/>
        </w:rPr>
        <w:t>▲</w:t>
      </w:r>
      <w:r>
        <w:rPr>
          <w:rFonts w:hint="eastAsia" w:hAnsi="宋体" w:cs="宋体"/>
          <w:bCs/>
          <w:color w:val="auto"/>
        </w:rPr>
        <w:t>(3)法定代表人（负责人）身份证明及有效身份证复印件</w:t>
      </w:r>
    </w:p>
    <w:p>
      <w:pPr>
        <w:pStyle w:val="18"/>
        <w:spacing w:line="380" w:lineRule="atLeast"/>
        <w:ind w:firstLine="420" w:firstLineChars="200"/>
        <w:rPr>
          <w:color w:val="auto"/>
        </w:rPr>
      </w:pPr>
      <w:r>
        <w:rPr>
          <w:rFonts w:hint="eastAsia" w:hAnsi="宋体" w:cs="宋体"/>
          <w:color w:val="auto"/>
        </w:rPr>
        <w:t>▲(4))</w:t>
      </w:r>
      <w:r>
        <w:rPr>
          <w:rFonts w:hint="eastAsia" w:hAnsi="宋体" w:cs="宋体"/>
          <w:bCs/>
          <w:color w:val="auto"/>
        </w:rPr>
        <w:t>法定代表人（负责人）授权委托书原件和委托代理人身份证复印件</w:t>
      </w:r>
      <w:r>
        <w:rPr>
          <w:rFonts w:hint="eastAsia" w:hAnsi="宋体" w:cs="宋体"/>
          <w:b/>
          <w:bCs/>
          <w:color w:val="auto"/>
        </w:rPr>
        <w:t>（委托代理时必须提供）</w:t>
      </w:r>
    </w:p>
    <w:p>
      <w:pPr>
        <w:pStyle w:val="18"/>
        <w:spacing w:line="380" w:lineRule="atLeast"/>
        <w:ind w:firstLine="420"/>
        <w:rPr>
          <w:rFonts w:hAnsi="宋体" w:cs="宋体"/>
          <w:color w:val="auto"/>
        </w:rPr>
      </w:pPr>
      <w:r>
        <w:rPr>
          <w:rFonts w:hint="eastAsia" w:hAnsi="宋体" w:cs="宋体"/>
          <w:color w:val="auto"/>
        </w:rPr>
        <w:t>▲(5)竞标人参加政府采购活动前三年内在经营活动中没有重大违法记录或不良信用记录的书面声明</w:t>
      </w:r>
    </w:p>
    <w:p>
      <w:pPr>
        <w:pStyle w:val="18"/>
        <w:spacing w:line="380" w:lineRule="atLeast"/>
        <w:ind w:firstLine="420"/>
        <w:rPr>
          <w:rFonts w:hAnsi="宋体" w:cs="宋体"/>
          <w:color w:val="auto"/>
        </w:rPr>
      </w:pPr>
      <w:r>
        <w:rPr>
          <w:rFonts w:hint="eastAsia" w:hAnsi="宋体" w:cs="宋体"/>
          <w:color w:val="auto"/>
        </w:rPr>
        <w:t>▲(6)供应商直接控股股东信息、直接管理关系信息表</w:t>
      </w:r>
    </w:p>
    <w:p>
      <w:pPr>
        <w:pStyle w:val="18"/>
        <w:spacing w:line="380" w:lineRule="atLeast"/>
        <w:ind w:firstLine="420"/>
        <w:rPr>
          <w:rFonts w:hAnsi="宋体" w:cs="宋体"/>
          <w:b/>
          <w:bCs/>
          <w:color w:val="auto"/>
        </w:rPr>
      </w:pPr>
      <w:r>
        <w:rPr>
          <w:rFonts w:hint="eastAsia" w:hAnsi="宋体" w:cs="宋体"/>
          <w:color w:val="auto"/>
        </w:rPr>
        <w:t>▲(7)截标前半年内竞标人连续三个月依法缴纳税收（国税或地税）的凭证复印件（如属新成立的公司不足三个月的递交工商注册之月起的纳税证明）；无纳税记录的，应提供竞标人所在地的税务部门出具的《依法纳税或依法免税证明》复印件</w:t>
      </w:r>
    </w:p>
    <w:p>
      <w:pPr>
        <w:pStyle w:val="18"/>
        <w:spacing w:line="380" w:lineRule="atLeast"/>
        <w:ind w:firstLine="420"/>
        <w:rPr>
          <w:rFonts w:hAnsi="宋体" w:cs="宋体"/>
          <w:b/>
          <w:bCs/>
          <w:color w:val="auto"/>
        </w:rPr>
      </w:pPr>
      <w:r>
        <w:rPr>
          <w:rFonts w:hint="eastAsia" w:hAnsi="宋体" w:cs="宋体"/>
          <w:color w:val="auto"/>
          <w:sz w:val="22"/>
          <w:szCs w:val="22"/>
        </w:rPr>
        <w:t>▲</w:t>
      </w:r>
      <w:r>
        <w:rPr>
          <w:rFonts w:hint="eastAsia" w:hAnsi="宋体" w:cs="宋体"/>
          <w:color w:val="auto"/>
        </w:rPr>
        <w:t>(8)截标前半年内竞标人连续三个月依法缴纳社保费的缴费凭证复印件（如属新成立的公司不足三个月的递交工商注册之月起的社保缴纳凭证）；无缴费记录的，应提供由竞标人所在地社保部门出具的《依法缴纳或依法免缴社保费证明》复印件</w:t>
      </w:r>
    </w:p>
    <w:p>
      <w:pPr>
        <w:pStyle w:val="18"/>
        <w:spacing w:line="380" w:lineRule="atLeast"/>
        <w:ind w:firstLine="420"/>
        <w:rPr>
          <w:rFonts w:hAnsi="宋体" w:cs="宋体"/>
          <w:color w:val="auto"/>
        </w:rPr>
      </w:pPr>
      <w:r>
        <w:rPr>
          <w:rFonts w:hint="eastAsia" w:hAnsi="宋体" w:cs="宋体"/>
          <w:color w:val="auto"/>
          <w:sz w:val="22"/>
          <w:szCs w:val="22"/>
        </w:rPr>
        <w:t>▲</w:t>
      </w:r>
      <w:r>
        <w:rPr>
          <w:rFonts w:hint="eastAsia" w:hAnsi="宋体" w:cs="宋体"/>
          <w:color w:val="auto"/>
        </w:rPr>
        <w:t>(8)竞标人2023年度财务报表（新成立的公司递交工商注册后最近竞标截止期一个月度的月度财务报表）或者其基本开户银行出具的资信证明（注明有效期的，应在有效期内；未注明有效期的，出具时间至竞标截止时间不超过一年）</w:t>
      </w:r>
    </w:p>
    <w:p>
      <w:pPr>
        <w:ind w:firstLine="440" w:firstLineChars="200"/>
        <w:rPr>
          <w:rFonts w:ascii="宋体" w:hAnsi="宋体" w:cs="宋体"/>
          <w:color w:val="auto"/>
        </w:rPr>
      </w:pPr>
      <w:r>
        <w:rPr>
          <w:rFonts w:hint="eastAsia" w:ascii="宋体" w:hAnsi="宋体" w:cs="宋体"/>
          <w:color w:val="auto"/>
          <w:sz w:val="22"/>
          <w:szCs w:val="22"/>
        </w:rPr>
        <w:t>▲</w:t>
      </w:r>
      <w:r>
        <w:rPr>
          <w:rFonts w:hint="eastAsia" w:ascii="宋体" w:hAnsi="宋体" w:cs="宋体"/>
          <w:color w:val="auto"/>
        </w:rPr>
        <w:t>(10)竞标保证金缴纳证明</w:t>
      </w:r>
    </w:p>
    <w:p>
      <w:pPr>
        <w:pStyle w:val="18"/>
        <w:spacing w:line="380" w:lineRule="atLeast"/>
        <w:ind w:firstLine="630" w:firstLineChars="300"/>
        <w:rPr>
          <w:rFonts w:hAnsi="宋体" w:cs="宋体"/>
          <w:color w:val="auto"/>
        </w:rPr>
      </w:pPr>
      <w:r>
        <w:rPr>
          <w:rFonts w:hint="eastAsia" w:hAnsi="宋体" w:cs="宋体"/>
          <w:color w:val="auto"/>
        </w:rPr>
        <w:t>(11)竞标人认为必要提供的声明及文件资料（如有请提供）</w:t>
      </w:r>
    </w:p>
    <w:p>
      <w:pPr>
        <w:rPr>
          <w:rFonts w:ascii="宋体" w:hAnsi="宋体" w:cs="宋体"/>
          <w:color w:val="auto"/>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18"/>
        <w:spacing w:line="380" w:lineRule="atLeast"/>
        <w:rPr>
          <w:rFonts w:hAnsi="宋体" w:cs="宋体"/>
          <w:color w:val="auto"/>
        </w:rPr>
      </w:pPr>
      <w:r>
        <w:rPr>
          <w:rFonts w:hint="eastAsia" w:hAnsi="宋体" w:cs="宋体"/>
          <w:color w:val="auto"/>
        </w:rPr>
        <w:t>注：供应商在广西壮族自治区全流程电子招投标项目管理系统--供应商客户端编制资格文件时，可在营业执照处同时上传资格文件封面及目录。</w:t>
      </w:r>
    </w:p>
    <w:p>
      <w:pPr>
        <w:pStyle w:val="74"/>
        <w:rPr>
          <w:rFonts w:ascii="宋体" w:hAnsi="宋体" w:eastAsia="宋体"/>
          <w:color w:val="auto"/>
          <w:lang w:eastAsia="zh-CN"/>
        </w:rPr>
      </w:pPr>
    </w:p>
    <w:p>
      <w:pPr>
        <w:pStyle w:val="74"/>
        <w:rPr>
          <w:rFonts w:ascii="宋体" w:hAnsi="宋体" w:eastAsia="宋体"/>
          <w:color w:val="auto"/>
          <w:lang w:eastAsia="zh-CN"/>
        </w:rPr>
      </w:pPr>
    </w:p>
    <w:p>
      <w:pPr>
        <w:pStyle w:val="18"/>
        <w:spacing w:line="380" w:lineRule="atLeast"/>
        <w:rPr>
          <w:rFonts w:hAnsi="宋体" w:cs="宋体"/>
          <w:bCs/>
          <w:color w:val="auto"/>
        </w:rPr>
      </w:pPr>
    </w:p>
    <w:p>
      <w:pPr>
        <w:pStyle w:val="18"/>
        <w:spacing w:line="380" w:lineRule="atLeast"/>
        <w:ind w:firstLine="420"/>
        <w:rPr>
          <w:rFonts w:hAnsi="宋体" w:cs="宋体"/>
          <w:bCs/>
          <w:color w:val="auto"/>
        </w:rPr>
      </w:pPr>
    </w:p>
    <w:p>
      <w:pPr>
        <w:pStyle w:val="19"/>
        <w:ind w:left="5250"/>
        <w:rPr>
          <w:color w:val="auto"/>
        </w:rPr>
      </w:pPr>
    </w:p>
    <w:p>
      <w:pPr>
        <w:pStyle w:val="18"/>
        <w:spacing w:line="380" w:lineRule="atLeast"/>
        <w:ind w:firstLine="420"/>
        <w:rPr>
          <w:rFonts w:hAnsi="宋体" w:cs="宋体"/>
          <w:bCs/>
          <w:color w:val="auto"/>
        </w:rPr>
      </w:pPr>
    </w:p>
    <w:p>
      <w:pPr>
        <w:rPr>
          <w:rFonts w:ascii="宋体" w:hAnsi="宋体" w:cs="宋体"/>
          <w:color w:val="auto"/>
        </w:rPr>
      </w:pPr>
    </w:p>
    <w:p>
      <w:pPr>
        <w:adjustRightInd w:val="0"/>
        <w:snapToGrid w:val="0"/>
        <w:spacing w:line="276" w:lineRule="auto"/>
        <w:jc w:val="center"/>
        <w:rPr>
          <w:rFonts w:ascii="宋体" w:hAnsi="宋体" w:cs="宋体"/>
          <w:b/>
          <w:color w:val="auto"/>
          <w:sz w:val="28"/>
          <w:szCs w:val="28"/>
        </w:rPr>
      </w:pPr>
      <w:r>
        <w:rPr>
          <w:rFonts w:hint="eastAsia" w:ascii="宋体" w:hAnsi="宋体" w:cs="宋体"/>
          <w:b/>
          <w:color w:val="auto"/>
          <w:sz w:val="28"/>
          <w:szCs w:val="28"/>
        </w:rPr>
        <w:t>法定代表人（负责人）身份证明书（格式）</w:t>
      </w:r>
    </w:p>
    <w:p>
      <w:pPr>
        <w:adjustRightInd w:val="0"/>
        <w:snapToGrid w:val="0"/>
        <w:spacing w:line="276" w:lineRule="auto"/>
        <w:ind w:firstLine="880" w:firstLineChars="400"/>
        <w:rPr>
          <w:rFonts w:ascii="宋体" w:hAnsi="宋体" w:cs="宋体"/>
          <w:color w:val="auto"/>
          <w:sz w:val="22"/>
          <w:szCs w:val="22"/>
          <w:u w:val="single"/>
        </w:rPr>
      </w:pPr>
    </w:p>
    <w:p>
      <w:pPr>
        <w:adjustRightInd w:val="0"/>
        <w:snapToGrid w:val="0"/>
        <w:spacing w:line="720" w:lineRule="exact"/>
        <w:ind w:firstLine="960" w:firstLineChars="4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 xml:space="preserve"> 在我</w:t>
      </w:r>
      <w:r>
        <w:rPr>
          <w:rFonts w:hint="eastAsia" w:ascii="宋体" w:hAnsi="宋体" w:cs="宋体"/>
          <w:color w:val="auto"/>
          <w:sz w:val="24"/>
          <w:u w:val="single"/>
        </w:rPr>
        <w:t xml:space="preserve">       </w:t>
      </w:r>
      <w:r>
        <w:rPr>
          <w:rFonts w:hint="eastAsia" w:ascii="宋体" w:hAnsi="宋体" w:cs="宋体"/>
          <w:color w:val="auto"/>
          <w:sz w:val="24"/>
        </w:rPr>
        <w:t>任</w:t>
      </w:r>
      <w:r>
        <w:rPr>
          <w:rFonts w:hint="eastAsia" w:ascii="宋体" w:hAnsi="宋体" w:cs="宋体"/>
          <w:color w:val="auto"/>
          <w:sz w:val="24"/>
          <w:u w:val="single"/>
        </w:rPr>
        <w:t xml:space="preserve">          </w:t>
      </w:r>
      <w:r>
        <w:rPr>
          <w:rFonts w:hint="eastAsia" w:ascii="宋体" w:hAnsi="宋体" w:cs="宋体"/>
          <w:color w:val="auto"/>
          <w:sz w:val="24"/>
        </w:rPr>
        <w:t>职务，是我</w:t>
      </w:r>
      <w:r>
        <w:rPr>
          <w:rFonts w:hint="eastAsia" w:ascii="宋体" w:hAnsi="宋体" w:cs="宋体"/>
          <w:color w:val="auto"/>
          <w:sz w:val="24"/>
          <w:u w:val="single"/>
        </w:rPr>
        <w:t xml:space="preserve">                 </w:t>
      </w:r>
      <w:r>
        <w:rPr>
          <w:rFonts w:hint="eastAsia" w:ascii="宋体" w:hAnsi="宋体" w:cs="宋体"/>
          <w:color w:val="auto"/>
          <w:sz w:val="24"/>
        </w:rPr>
        <w:t>的法定代表人（负责人）。</w:t>
      </w:r>
    </w:p>
    <w:p>
      <w:pPr>
        <w:adjustRightInd w:val="0"/>
        <w:snapToGrid w:val="0"/>
        <w:spacing w:line="720" w:lineRule="exact"/>
        <w:ind w:firstLine="840" w:firstLineChars="350"/>
        <w:rPr>
          <w:rFonts w:ascii="宋体" w:hAnsi="宋体" w:cs="宋体"/>
          <w:color w:val="auto"/>
          <w:sz w:val="24"/>
        </w:rPr>
      </w:pPr>
      <w:r>
        <w:rPr>
          <w:rFonts w:hint="eastAsia" w:ascii="宋体" w:hAnsi="宋体" w:cs="宋体"/>
          <w:color w:val="auto"/>
          <w:sz w:val="24"/>
        </w:rPr>
        <w:t>特此证明。</w:t>
      </w:r>
    </w:p>
    <w:p>
      <w:pPr>
        <w:adjustRightInd w:val="0"/>
        <w:snapToGrid w:val="0"/>
        <w:spacing w:line="276" w:lineRule="auto"/>
        <w:rPr>
          <w:rFonts w:ascii="宋体" w:hAnsi="宋体" w:cs="宋体"/>
          <w:color w:val="auto"/>
          <w:sz w:val="24"/>
        </w:rPr>
      </w:pPr>
    </w:p>
    <w:p>
      <w:pPr>
        <w:adjustRightInd w:val="0"/>
        <w:snapToGrid w:val="0"/>
        <w:spacing w:line="276" w:lineRule="auto"/>
        <w:rPr>
          <w:rFonts w:ascii="宋体" w:hAnsi="宋体" w:cs="宋体"/>
          <w:color w:val="auto"/>
          <w:sz w:val="24"/>
        </w:rPr>
      </w:pPr>
      <w:r>
        <w:rPr>
          <w:rFonts w:hint="eastAsia" w:ascii="宋体" w:hAnsi="宋体" w:cs="宋体"/>
          <w:color w:val="auto"/>
          <w:sz w:val="24"/>
        </w:rPr>
        <w:t xml:space="preserve">                        </w:t>
      </w:r>
    </w:p>
    <w:p>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kern w:val="0"/>
          <w:sz w:val="24"/>
        </w:rPr>
        <w:t>供应商名称（电子签章）：</w:t>
      </w:r>
    </w:p>
    <w:p>
      <w:pPr>
        <w:autoSpaceDE w:val="0"/>
        <w:autoSpaceDN w:val="0"/>
        <w:spacing w:line="360" w:lineRule="auto"/>
        <w:ind w:firstLine="6120" w:firstLineChars="2550"/>
        <w:rPr>
          <w:rFonts w:ascii="宋体" w:hAnsi="宋体" w:cs="宋体"/>
          <w:color w:val="auto"/>
          <w:sz w:val="24"/>
        </w:rPr>
      </w:pPr>
      <w:r>
        <w:rPr>
          <w:rFonts w:hint="eastAsia" w:ascii="宋体" w:hAnsi="宋体" w:cs="宋体"/>
          <w:color w:val="auto"/>
          <w:kern w:val="0"/>
          <w:sz w:val="24"/>
          <w:lang w:val="zh-CN"/>
        </w:rPr>
        <w:t>日期：  年  月   日</w:t>
      </w:r>
      <w:r>
        <w:rPr>
          <w:rFonts w:hint="eastAsia" w:ascii="宋体" w:hAnsi="宋体" w:cs="宋体"/>
          <w:color w:val="auto"/>
          <w:sz w:val="24"/>
        </w:rPr>
        <w:t xml:space="preserve">     </w:t>
      </w:r>
    </w:p>
    <w:p>
      <w:pPr>
        <w:adjustRightInd w:val="0"/>
        <w:snapToGrid w:val="0"/>
        <w:spacing w:line="276" w:lineRule="auto"/>
        <w:rPr>
          <w:rFonts w:ascii="宋体" w:hAnsi="宋体" w:cs="宋体"/>
          <w:color w:val="auto"/>
          <w:sz w:val="24"/>
        </w:rPr>
      </w:pPr>
    </w:p>
    <w:p>
      <w:pPr>
        <w:adjustRightInd w:val="0"/>
        <w:snapToGrid w:val="0"/>
        <w:spacing w:line="276" w:lineRule="auto"/>
        <w:ind w:firstLine="360" w:firstLineChars="150"/>
        <w:rPr>
          <w:rFonts w:ascii="宋体" w:hAnsi="宋体" w:cs="宋体"/>
          <w:color w:val="auto"/>
          <w:sz w:val="24"/>
        </w:rPr>
      </w:pPr>
    </w:p>
    <w:p>
      <w:pPr>
        <w:adjustRightInd w:val="0"/>
        <w:snapToGrid w:val="0"/>
        <w:spacing w:line="276" w:lineRule="auto"/>
        <w:ind w:firstLine="360" w:firstLineChars="150"/>
        <w:rPr>
          <w:rFonts w:ascii="宋体" w:hAnsi="宋体" w:cs="宋体"/>
          <w:color w:val="auto"/>
          <w:sz w:val="24"/>
        </w:rPr>
      </w:pPr>
      <w:r>
        <w:rPr>
          <w:rFonts w:hint="eastAsia" w:ascii="宋体" w:hAnsi="宋体" w:cs="宋体"/>
          <w:color w:val="auto"/>
          <w:sz w:val="24"/>
        </w:rPr>
        <w:t>住    址：</w:t>
      </w:r>
    </w:p>
    <w:p>
      <w:pPr>
        <w:adjustRightInd w:val="0"/>
        <w:snapToGrid w:val="0"/>
        <w:spacing w:line="276" w:lineRule="auto"/>
        <w:ind w:firstLine="360" w:firstLineChars="150"/>
        <w:rPr>
          <w:rFonts w:ascii="宋体" w:hAnsi="宋体" w:cs="宋体"/>
          <w:color w:val="auto"/>
          <w:sz w:val="24"/>
        </w:rPr>
      </w:pPr>
    </w:p>
    <w:p>
      <w:pPr>
        <w:pStyle w:val="18"/>
        <w:adjustRightInd w:val="0"/>
        <w:snapToGrid w:val="0"/>
        <w:spacing w:line="276" w:lineRule="auto"/>
        <w:ind w:firstLine="360" w:firstLineChars="150"/>
        <w:rPr>
          <w:rFonts w:hAnsi="宋体" w:cs="宋体"/>
          <w:color w:val="auto"/>
          <w:sz w:val="24"/>
          <w:szCs w:val="24"/>
        </w:rPr>
      </w:pPr>
      <w:r>
        <w:rPr>
          <w:rFonts w:hint="eastAsia" w:hAnsi="宋体" w:cs="宋体"/>
          <w:color w:val="auto"/>
          <w:sz w:val="24"/>
          <w:szCs w:val="24"/>
        </w:rPr>
        <w:t>联系电话：</w:t>
      </w:r>
    </w:p>
    <w:p>
      <w:pPr>
        <w:pStyle w:val="18"/>
        <w:adjustRightInd w:val="0"/>
        <w:snapToGrid w:val="0"/>
        <w:spacing w:line="276" w:lineRule="auto"/>
        <w:ind w:firstLine="420" w:firstLineChars="150"/>
        <w:rPr>
          <w:rFonts w:hAnsi="宋体" w:cs="宋体"/>
          <w:color w:val="auto"/>
          <w:sz w:val="28"/>
          <w:szCs w:val="28"/>
        </w:rPr>
      </w:pPr>
    </w:p>
    <w:tbl>
      <w:tblPr>
        <w:tblStyle w:val="46"/>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24" w:type="dxa"/>
          </w:tcPr>
          <w:p>
            <w:pPr>
              <w:snapToGrid w:val="0"/>
              <w:spacing w:line="360" w:lineRule="exact"/>
              <w:rPr>
                <w:rFonts w:ascii="宋体" w:hAnsi="宋体" w:cs="宋体"/>
                <w:color w:val="auto"/>
                <w:szCs w:val="21"/>
              </w:rPr>
            </w:pPr>
            <w:r>
              <w:rPr>
                <w:rFonts w:hint="eastAsia" w:ascii="宋体" w:hAnsi="宋体" w:cs="宋体"/>
                <w:color w:val="auto"/>
                <w:szCs w:val="21"/>
              </w:rPr>
              <w:t>贴</w:t>
            </w:r>
            <w:r>
              <w:rPr>
                <w:rFonts w:hint="eastAsia" w:ascii="宋体" w:hAnsi="宋体" w:cs="宋体"/>
                <w:color w:val="auto"/>
              </w:rPr>
              <w:t>附法定代表人（负责人）身份证复印件（第二代身份证正反两面）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6" w:hRule="atLeast"/>
        </w:trPr>
        <w:tc>
          <w:tcPr>
            <w:tcW w:w="9124" w:type="dxa"/>
          </w:tcPr>
          <w:p>
            <w:pPr>
              <w:snapToGrid w:val="0"/>
              <w:spacing w:line="360" w:lineRule="exact"/>
              <w:rPr>
                <w:rFonts w:ascii="宋体" w:hAnsi="宋体" w:cs="宋体"/>
                <w:color w:val="auto"/>
                <w:szCs w:val="21"/>
              </w:rPr>
            </w:pPr>
          </w:p>
        </w:tc>
      </w:tr>
    </w:tbl>
    <w:p>
      <w:pPr>
        <w:rPr>
          <w:rFonts w:ascii="宋体" w:hAnsi="宋体" w:cs="宋体"/>
          <w:color w:val="auto"/>
        </w:rPr>
      </w:pPr>
    </w:p>
    <w:p>
      <w:pPr>
        <w:pStyle w:val="18"/>
        <w:spacing w:line="380" w:lineRule="atLeast"/>
        <w:ind w:firstLine="429" w:firstLineChars="195"/>
        <w:rPr>
          <w:rFonts w:hAnsi="宋体" w:cs="宋体"/>
          <w:color w:val="auto"/>
          <w:sz w:val="22"/>
          <w:szCs w:val="22"/>
        </w:rPr>
      </w:pPr>
    </w:p>
    <w:p>
      <w:pPr>
        <w:pStyle w:val="18"/>
        <w:spacing w:line="380" w:lineRule="atLeast"/>
        <w:ind w:firstLine="429" w:firstLineChars="195"/>
        <w:rPr>
          <w:rFonts w:hAnsi="宋体" w:cs="宋体"/>
          <w:color w:val="auto"/>
          <w:sz w:val="22"/>
          <w:szCs w:val="22"/>
        </w:rPr>
      </w:pPr>
    </w:p>
    <w:p>
      <w:pPr>
        <w:pStyle w:val="18"/>
        <w:spacing w:line="380" w:lineRule="atLeast"/>
        <w:rPr>
          <w:rFonts w:hAnsi="宋体" w:cs="宋体"/>
          <w:color w:val="auto"/>
          <w:sz w:val="22"/>
          <w:szCs w:val="22"/>
        </w:rPr>
      </w:pPr>
    </w:p>
    <w:p>
      <w:pPr>
        <w:pStyle w:val="18"/>
        <w:spacing w:line="380" w:lineRule="atLeast"/>
        <w:ind w:firstLine="409" w:firstLineChars="195"/>
        <w:rPr>
          <w:rFonts w:hAnsi="宋体" w:cs="宋体"/>
          <w:bCs/>
          <w:color w:val="auto"/>
        </w:rPr>
      </w:pPr>
    </w:p>
    <w:p>
      <w:pPr>
        <w:pStyle w:val="19"/>
        <w:ind w:left="5250"/>
        <w:rPr>
          <w:color w:val="auto"/>
        </w:rPr>
      </w:pPr>
    </w:p>
    <w:p>
      <w:pPr>
        <w:rPr>
          <w:color w:val="auto"/>
        </w:rPr>
      </w:pPr>
    </w:p>
    <w:p>
      <w:pPr>
        <w:pStyle w:val="2"/>
        <w:rPr>
          <w:rFonts w:hint="eastAsia"/>
          <w:color w:val="auto"/>
        </w:rPr>
      </w:pPr>
    </w:p>
    <w:p>
      <w:pPr>
        <w:pStyle w:val="18"/>
        <w:spacing w:line="380" w:lineRule="atLeast"/>
        <w:ind w:firstLine="409" w:firstLineChars="195"/>
        <w:rPr>
          <w:rFonts w:hAnsi="宋体" w:cs="宋体"/>
          <w:bCs/>
          <w:color w:val="auto"/>
        </w:rPr>
      </w:pPr>
    </w:p>
    <w:p>
      <w:pPr>
        <w:pStyle w:val="18"/>
        <w:spacing w:line="380" w:lineRule="atLeast"/>
        <w:ind w:firstLine="409" w:firstLineChars="195"/>
        <w:rPr>
          <w:rFonts w:hAnsi="宋体" w:cs="宋体"/>
          <w:bCs/>
          <w:color w:val="auto"/>
        </w:rPr>
      </w:pPr>
    </w:p>
    <w:p>
      <w:pPr>
        <w:pStyle w:val="18"/>
        <w:spacing w:line="380" w:lineRule="atLeast"/>
        <w:rPr>
          <w:rFonts w:hAnsi="宋体" w:cs="宋体"/>
          <w:b/>
          <w:bCs/>
          <w:color w:val="auto"/>
        </w:rPr>
      </w:pPr>
      <w:r>
        <w:rPr>
          <w:rFonts w:hint="eastAsia" w:hAnsi="宋体" w:cs="宋体"/>
          <w:bCs/>
          <w:color w:val="auto"/>
        </w:rPr>
        <w:t>(4)法定代表人（负责人）授权委托书原件和委托代理人身份证复印件</w:t>
      </w:r>
      <w:r>
        <w:rPr>
          <w:rFonts w:hint="eastAsia" w:hAnsi="宋体" w:cs="宋体"/>
          <w:b/>
          <w:bCs/>
          <w:color w:val="auto"/>
        </w:rPr>
        <w:t>（委托代理时必须提供）</w:t>
      </w:r>
    </w:p>
    <w:p>
      <w:pPr>
        <w:adjustRightInd w:val="0"/>
        <w:snapToGrid w:val="0"/>
        <w:spacing w:line="300" w:lineRule="auto"/>
        <w:rPr>
          <w:rFonts w:ascii="宋体" w:hAnsi="宋体" w:cs="宋体"/>
          <w:b/>
          <w:color w:val="auto"/>
          <w:sz w:val="32"/>
          <w:szCs w:val="32"/>
        </w:rPr>
      </w:pPr>
    </w:p>
    <w:p>
      <w:pPr>
        <w:adjustRightInd w:val="0"/>
        <w:snapToGrid w:val="0"/>
        <w:spacing w:line="300" w:lineRule="auto"/>
        <w:jc w:val="center"/>
        <w:rPr>
          <w:rFonts w:ascii="宋体" w:hAnsi="宋体" w:cs="宋体"/>
          <w:b/>
          <w:color w:val="auto"/>
          <w:sz w:val="32"/>
          <w:szCs w:val="32"/>
        </w:rPr>
      </w:pPr>
      <w:r>
        <w:rPr>
          <w:rFonts w:hint="eastAsia" w:ascii="宋体" w:hAnsi="宋体" w:cs="宋体"/>
          <w:b/>
          <w:color w:val="auto"/>
          <w:sz w:val="32"/>
          <w:szCs w:val="32"/>
        </w:rPr>
        <w:t>法定代表人（负责人）授权委托书（格式）</w:t>
      </w:r>
    </w:p>
    <w:p>
      <w:pPr>
        <w:spacing w:line="520" w:lineRule="exact"/>
        <w:rPr>
          <w:rFonts w:ascii="宋体" w:hAnsi="宋体" w:cs="宋体"/>
          <w:color w:val="auto"/>
          <w:szCs w:val="21"/>
        </w:rPr>
      </w:pPr>
      <w:r>
        <w:rPr>
          <w:rFonts w:hint="eastAsia" w:ascii="宋体" w:hAnsi="宋体" w:cs="宋体"/>
          <w:color w:val="auto"/>
          <w:szCs w:val="21"/>
          <w:u w:val="single"/>
        </w:rPr>
        <w:t>广西龙建工程管理有限公司</w:t>
      </w:r>
      <w:r>
        <w:rPr>
          <w:rFonts w:hint="eastAsia" w:ascii="宋体" w:hAnsi="宋体" w:cs="宋体"/>
          <w:color w:val="auto"/>
          <w:szCs w:val="21"/>
        </w:rPr>
        <w:t>：</w:t>
      </w:r>
    </w:p>
    <w:p>
      <w:pPr>
        <w:spacing w:line="520" w:lineRule="exact"/>
        <w:ind w:firstLine="420" w:firstLineChars="200"/>
        <w:rPr>
          <w:rFonts w:ascii="宋体" w:hAnsi="宋体" w:cs="宋体"/>
          <w:color w:val="auto"/>
          <w:szCs w:val="21"/>
        </w:rPr>
      </w:pPr>
      <w:r>
        <w:rPr>
          <w:rFonts w:hint="eastAsia" w:ascii="宋体" w:hAnsi="宋体" w:cs="宋体"/>
          <w:color w:val="auto"/>
          <w:szCs w:val="21"/>
        </w:rPr>
        <w:t>兹授权</w:t>
      </w:r>
      <w:r>
        <w:rPr>
          <w:rFonts w:hint="eastAsia" w:ascii="宋体" w:hAnsi="宋体" w:cs="宋体"/>
          <w:color w:val="auto"/>
          <w:szCs w:val="21"/>
          <w:u w:val="single"/>
        </w:rPr>
        <w:t xml:space="preserve">      </w:t>
      </w:r>
      <w:r>
        <w:rPr>
          <w:rFonts w:hint="eastAsia" w:ascii="宋体" w:hAnsi="宋体" w:cs="宋体"/>
          <w:color w:val="auto"/>
          <w:szCs w:val="21"/>
        </w:rPr>
        <w:t>同志为我公司参加贵单位组织的</w:t>
      </w:r>
      <w:r>
        <w:rPr>
          <w:rFonts w:hint="eastAsia" w:ascii="宋体" w:hAnsi="宋体" w:cs="宋体"/>
          <w:color w:val="auto"/>
          <w:u w:val="single"/>
        </w:rPr>
        <w:t xml:space="preserve">                     </w:t>
      </w:r>
      <w:r>
        <w:rPr>
          <w:rFonts w:hint="eastAsia" w:ascii="宋体" w:hAnsi="宋体" w:cs="宋体"/>
          <w:color w:val="auto"/>
        </w:rPr>
        <w:t>项目（项目编号：</w:t>
      </w:r>
      <w:r>
        <w:rPr>
          <w:rFonts w:hint="eastAsia" w:ascii="宋体" w:hAnsi="宋体" w:cs="宋体"/>
          <w:color w:val="auto"/>
          <w:u w:val="single"/>
        </w:rPr>
        <w:t xml:space="preserve">               </w:t>
      </w:r>
      <w:r>
        <w:rPr>
          <w:rFonts w:hint="eastAsia" w:ascii="宋体" w:hAnsi="宋体" w:cs="宋体"/>
          <w:color w:val="auto"/>
        </w:rPr>
        <w:t>）</w:t>
      </w:r>
      <w:r>
        <w:rPr>
          <w:rFonts w:hint="eastAsia" w:ascii="宋体" w:hAnsi="宋体" w:cs="宋体"/>
          <w:color w:val="auto"/>
          <w:szCs w:val="21"/>
        </w:rPr>
        <w:t>竞争性谈判采购活动的委托代理人，全权代表我公司处理在该项目活动中的一切事宜。代理期限从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日起至</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日止。 </w:t>
      </w:r>
    </w:p>
    <w:p>
      <w:pPr>
        <w:spacing w:line="520" w:lineRule="exact"/>
        <w:rPr>
          <w:rFonts w:ascii="宋体" w:hAnsi="宋体" w:cs="宋体"/>
          <w:color w:val="auto"/>
          <w:szCs w:val="21"/>
        </w:rPr>
      </w:pPr>
    </w:p>
    <w:p>
      <w:pPr>
        <w:spacing w:line="520" w:lineRule="exact"/>
        <w:rPr>
          <w:rFonts w:ascii="宋体" w:hAnsi="宋体" w:cs="宋体"/>
          <w:color w:val="auto"/>
          <w:szCs w:val="21"/>
        </w:rPr>
      </w:pPr>
      <w:r>
        <w:rPr>
          <w:rFonts w:hint="eastAsia" w:ascii="宋体" w:hAnsi="宋体" w:cs="宋体"/>
          <w:color w:val="auto"/>
          <w:szCs w:val="21"/>
        </w:rPr>
        <w:t xml:space="preserve">供应商名称（电子签章）：  </w:t>
      </w:r>
      <w:r>
        <w:rPr>
          <w:rFonts w:hint="eastAsia" w:ascii="宋体" w:hAnsi="宋体" w:cs="宋体"/>
          <w:color w:val="auto"/>
          <w:szCs w:val="21"/>
          <w:u w:val="single"/>
        </w:rPr>
        <w:t xml:space="preserve">             </w:t>
      </w:r>
    </w:p>
    <w:p>
      <w:pPr>
        <w:spacing w:line="520" w:lineRule="exact"/>
        <w:rPr>
          <w:rFonts w:ascii="宋体" w:hAnsi="宋体" w:cs="宋体"/>
          <w:color w:val="auto"/>
          <w:szCs w:val="21"/>
        </w:rPr>
      </w:pPr>
      <w:r>
        <w:rPr>
          <w:rFonts w:hint="eastAsia" w:ascii="宋体" w:hAnsi="宋体" w:cs="宋体"/>
          <w:color w:val="auto"/>
          <w:szCs w:val="21"/>
        </w:rPr>
        <w:t>法定代表人（负责人）（签字</w:t>
      </w:r>
      <w:r>
        <w:rPr>
          <w:rFonts w:hint="eastAsia" w:ascii="宋体" w:hAnsi="宋体" w:cs="宋体"/>
          <w:color w:val="auto"/>
        </w:rPr>
        <w:t>或盖章</w:t>
      </w:r>
      <w:r>
        <w:rPr>
          <w:rFonts w:hint="eastAsia" w:ascii="宋体" w:hAnsi="宋体" w:cs="宋体"/>
          <w:color w:val="auto"/>
          <w:szCs w:val="21"/>
        </w:rPr>
        <w:t>）：</w:t>
      </w:r>
      <w:r>
        <w:rPr>
          <w:rFonts w:hint="eastAsia" w:ascii="宋体" w:hAnsi="宋体" w:cs="宋体"/>
          <w:color w:val="auto"/>
          <w:szCs w:val="21"/>
          <w:u w:val="single"/>
        </w:rPr>
        <w:t xml:space="preserve">       </w:t>
      </w:r>
    </w:p>
    <w:p>
      <w:pPr>
        <w:spacing w:line="520" w:lineRule="exact"/>
        <w:rPr>
          <w:rFonts w:ascii="宋体" w:hAnsi="宋体" w:cs="宋体"/>
          <w:color w:val="auto"/>
          <w:szCs w:val="21"/>
        </w:rPr>
      </w:pPr>
      <w:r>
        <w:rPr>
          <w:rFonts w:hint="eastAsia" w:ascii="宋体" w:hAnsi="宋体" w:cs="宋体"/>
          <w:color w:val="auto"/>
          <w:szCs w:val="21"/>
        </w:rPr>
        <w:t>签发日期：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520" w:lineRule="exact"/>
        <w:rPr>
          <w:rFonts w:ascii="宋体" w:hAnsi="宋体" w:cs="宋体"/>
          <w:color w:val="auto"/>
          <w:szCs w:val="21"/>
        </w:rPr>
      </w:pPr>
    </w:p>
    <w:p>
      <w:pPr>
        <w:spacing w:line="520" w:lineRule="exact"/>
        <w:rPr>
          <w:rFonts w:ascii="宋体" w:hAnsi="宋体" w:cs="宋体"/>
          <w:color w:val="auto"/>
          <w:szCs w:val="21"/>
        </w:rPr>
      </w:pPr>
      <w:r>
        <w:rPr>
          <w:rFonts w:hint="eastAsia" w:ascii="宋体" w:hAnsi="宋体" w:cs="宋体"/>
          <w:color w:val="auto"/>
          <w:szCs w:val="21"/>
        </w:rPr>
        <w:t>附：委托代理人工作单位：</w:t>
      </w:r>
      <w:r>
        <w:rPr>
          <w:rFonts w:hint="eastAsia" w:ascii="宋体" w:hAnsi="宋体" w:cs="宋体"/>
          <w:color w:val="auto"/>
          <w:szCs w:val="21"/>
          <w:u w:val="single"/>
        </w:rPr>
        <w:t xml:space="preserve">               </w:t>
      </w:r>
    </w:p>
    <w:p>
      <w:pPr>
        <w:spacing w:line="520" w:lineRule="exact"/>
        <w:ind w:firstLine="420" w:firstLineChars="200"/>
        <w:rPr>
          <w:rFonts w:ascii="宋体" w:hAnsi="宋体" w:cs="宋体"/>
          <w:color w:val="auto"/>
          <w:szCs w:val="21"/>
        </w:rPr>
      </w:pP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 xml:space="preserve">      性别：</w:t>
      </w:r>
      <w:r>
        <w:rPr>
          <w:rFonts w:hint="eastAsia" w:ascii="宋体" w:hAnsi="宋体" w:cs="宋体"/>
          <w:color w:val="auto"/>
          <w:szCs w:val="21"/>
          <w:u w:val="single"/>
        </w:rPr>
        <w:t xml:space="preserve">    </w:t>
      </w:r>
    </w:p>
    <w:p>
      <w:pPr>
        <w:adjustRightInd w:val="0"/>
        <w:snapToGrid w:val="0"/>
        <w:spacing w:line="520" w:lineRule="exact"/>
        <w:ind w:firstLine="420" w:firstLineChars="200"/>
        <w:rPr>
          <w:rFonts w:ascii="宋体" w:hAnsi="宋体" w:cs="宋体"/>
          <w:color w:val="auto"/>
          <w:szCs w:val="21"/>
          <w:u w:val="single"/>
        </w:rPr>
      </w:pPr>
      <w:r>
        <w:rPr>
          <w:rFonts w:hint="eastAsia" w:ascii="宋体" w:hAnsi="宋体" w:cs="宋体"/>
          <w:color w:val="auto"/>
          <w:szCs w:val="21"/>
        </w:rPr>
        <w:t>身份证号码：</w:t>
      </w:r>
      <w:r>
        <w:rPr>
          <w:rFonts w:hint="eastAsia" w:ascii="宋体" w:hAnsi="宋体" w:cs="宋体"/>
          <w:color w:val="auto"/>
          <w:szCs w:val="21"/>
          <w:u w:val="single"/>
        </w:rPr>
        <w:t xml:space="preserve">                                  </w:t>
      </w:r>
    </w:p>
    <w:p>
      <w:pPr>
        <w:adjustRightInd w:val="0"/>
        <w:snapToGrid w:val="0"/>
        <w:spacing w:line="520" w:lineRule="exact"/>
        <w:ind w:firstLine="420" w:firstLineChars="200"/>
        <w:rPr>
          <w:rFonts w:ascii="宋体" w:hAnsi="宋体" w:cs="宋体"/>
          <w:color w:val="auto"/>
          <w:szCs w:val="21"/>
          <w:u w:val="single"/>
        </w:rPr>
      </w:pPr>
    </w:p>
    <w:tbl>
      <w:tblPr>
        <w:tblStyle w:val="46"/>
        <w:tblW w:w="8657"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4" w:hRule="atLeast"/>
        </w:trPr>
        <w:tc>
          <w:tcPr>
            <w:tcW w:w="8657" w:type="dxa"/>
          </w:tcPr>
          <w:p>
            <w:pPr>
              <w:spacing w:line="300" w:lineRule="auto"/>
              <w:rPr>
                <w:rFonts w:ascii="宋体" w:hAnsi="宋体" w:cs="宋体"/>
                <w:color w:val="auto"/>
                <w:szCs w:val="21"/>
              </w:rPr>
            </w:pPr>
            <w:r>
              <w:rPr>
                <w:rFonts w:hint="eastAsia" w:ascii="宋体" w:hAnsi="宋体" w:cs="宋体"/>
                <w:color w:val="auto"/>
                <w:szCs w:val="21"/>
              </w:rPr>
              <w:t>粘贴委托代理人第二代身份证的正面及反面复印件</w:t>
            </w:r>
          </w:p>
        </w:tc>
      </w:tr>
    </w:tbl>
    <w:p>
      <w:pPr>
        <w:pStyle w:val="18"/>
        <w:spacing w:line="380" w:lineRule="atLeast"/>
        <w:rPr>
          <w:rFonts w:hAnsi="宋体" w:cs="宋体"/>
          <w:color w:val="auto"/>
          <w:sz w:val="22"/>
          <w:szCs w:val="22"/>
        </w:rPr>
      </w:pPr>
    </w:p>
    <w:p>
      <w:pPr>
        <w:pStyle w:val="18"/>
        <w:spacing w:line="380" w:lineRule="atLeast"/>
        <w:ind w:firstLine="440" w:firstLineChars="200"/>
        <w:rPr>
          <w:rFonts w:hAnsi="宋体" w:cs="宋体"/>
          <w:color w:val="auto"/>
          <w:sz w:val="22"/>
          <w:szCs w:val="22"/>
        </w:rPr>
      </w:pPr>
    </w:p>
    <w:p>
      <w:pPr>
        <w:rPr>
          <w:color w:val="auto"/>
        </w:rPr>
      </w:pPr>
    </w:p>
    <w:p>
      <w:pPr>
        <w:pStyle w:val="18"/>
        <w:spacing w:line="380" w:lineRule="atLeast"/>
        <w:rPr>
          <w:rFonts w:hAnsi="宋体" w:cs="宋体"/>
          <w:color w:val="auto"/>
        </w:rPr>
      </w:pPr>
    </w:p>
    <w:p>
      <w:pPr>
        <w:pStyle w:val="19"/>
        <w:ind w:left="5250"/>
        <w:rPr>
          <w:color w:val="auto"/>
        </w:rPr>
      </w:pPr>
    </w:p>
    <w:p>
      <w:pPr>
        <w:rPr>
          <w:color w:val="auto"/>
        </w:rPr>
      </w:pPr>
    </w:p>
    <w:p>
      <w:pPr>
        <w:pStyle w:val="2"/>
        <w:rPr>
          <w:color w:val="auto"/>
        </w:rPr>
      </w:pPr>
    </w:p>
    <w:p>
      <w:pPr>
        <w:pStyle w:val="2"/>
        <w:rPr>
          <w:rFonts w:hint="eastAsia"/>
          <w:color w:val="auto"/>
        </w:rPr>
      </w:pPr>
    </w:p>
    <w:p>
      <w:pPr>
        <w:pStyle w:val="18"/>
        <w:spacing w:line="380" w:lineRule="atLeast"/>
        <w:rPr>
          <w:rFonts w:hAnsi="宋体" w:cs="宋体"/>
          <w:b/>
          <w:bCs/>
          <w:color w:val="auto"/>
          <w:sz w:val="30"/>
          <w:szCs w:val="30"/>
        </w:rPr>
      </w:pPr>
      <w:r>
        <w:rPr>
          <w:rFonts w:hint="eastAsia" w:hAnsi="宋体" w:cs="宋体"/>
          <w:color w:val="auto"/>
        </w:rPr>
        <w:t>(5) 竞标人参加政府采购活动前三年内在经营活动中没有重大违法记录或不良信用记录的书面声明</w:t>
      </w:r>
    </w:p>
    <w:p>
      <w:pPr>
        <w:pStyle w:val="11"/>
        <w:overflowPunct w:val="0"/>
        <w:spacing w:line="560" w:lineRule="exact"/>
        <w:ind w:firstLine="602"/>
        <w:jc w:val="center"/>
        <w:rPr>
          <w:rFonts w:ascii="宋体" w:hAnsi="宋体" w:cs="宋体"/>
          <w:b/>
          <w:bCs/>
          <w:color w:val="auto"/>
          <w:szCs w:val="21"/>
        </w:rPr>
      </w:pPr>
      <w:r>
        <w:rPr>
          <w:rFonts w:hint="eastAsia" w:ascii="宋体" w:hAnsi="宋体" w:cs="宋体"/>
          <w:b/>
          <w:bCs/>
          <w:color w:val="auto"/>
          <w:sz w:val="30"/>
          <w:szCs w:val="30"/>
        </w:rPr>
        <w:t>书面声明（格式）</w:t>
      </w:r>
    </w:p>
    <w:p>
      <w:pPr>
        <w:snapToGrid w:val="0"/>
        <w:spacing w:before="120" w:beforeLines="50" w:after="50" w:line="500" w:lineRule="exact"/>
        <w:rPr>
          <w:rFonts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 xml:space="preserve"> （采购单位）</w:t>
      </w:r>
      <w:r>
        <w:rPr>
          <w:rFonts w:hint="eastAsia" w:ascii="宋体" w:hAnsi="宋体" w:cs="宋体"/>
          <w:color w:val="auto"/>
          <w:szCs w:val="21"/>
        </w:rPr>
        <w:t xml:space="preserve">       </w:t>
      </w:r>
    </w:p>
    <w:p>
      <w:pPr>
        <w:snapToGrid w:val="0"/>
        <w:spacing w:before="120" w:beforeLines="50" w:after="50" w:line="500" w:lineRule="exact"/>
        <w:ind w:firstLine="645"/>
        <w:rPr>
          <w:rFonts w:ascii="宋体" w:hAnsi="宋体" w:cs="宋体"/>
          <w:color w:val="auto"/>
          <w:szCs w:val="21"/>
        </w:rPr>
      </w:pPr>
      <w:r>
        <w:rPr>
          <w:rFonts w:hint="eastAsia" w:ascii="宋体" w:hAnsi="宋体" w:cs="宋体"/>
          <w:color w:val="auto"/>
          <w:szCs w:val="21"/>
          <w:u w:val="single"/>
        </w:rPr>
        <w:t xml:space="preserve">  （竞标单位名称）   </w:t>
      </w:r>
      <w:r>
        <w:rPr>
          <w:rFonts w:hint="eastAsia" w:ascii="宋体" w:hAnsi="宋体" w:cs="宋体"/>
          <w:color w:val="auto"/>
          <w:szCs w:val="21"/>
        </w:rPr>
        <w:t>参加贵方组织的</w:t>
      </w:r>
      <w:r>
        <w:rPr>
          <w:rFonts w:hint="eastAsia" w:ascii="宋体" w:hAnsi="宋体" w:cs="宋体"/>
          <w:color w:val="auto"/>
          <w:szCs w:val="21"/>
          <w:u w:val="single"/>
        </w:rPr>
        <w:t xml:space="preserve">    （项目名称）      </w:t>
      </w:r>
      <w:r>
        <w:rPr>
          <w:rFonts w:hint="eastAsia" w:ascii="宋体" w:hAnsi="宋体" w:cs="宋体"/>
          <w:color w:val="auto"/>
          <w:szCs w:val="21"/>
        </w:rPr>
        <w:t>项目（项目编号：</w:t>
      </w:r>
      <w:r>
        <w:rPr>
          <w:rFonts w:hint="eastAsia" w:ascii="宋体" w:hAnsi="宋体" w:cs="宋体"/>
          <w:color w:val="auto"/>
          <w:szCs w:val="21"/>
          <w:u w:val="single"/>
        </w:rPr>
        <w:t xml:space="preserve">   （项目编号）     </w:t>
      </w:r>
      <w:r>
        <w:rPr>
          <w:rFonts w:hint="eastAsia" w:ascii="宋体" w:hAnsi="宋体" w:cs="宋体"/>
          <w:color w:val="auto"/>
          <w:szCs w:val="21"/>
        </w:rPr>
        <w:t xml:space="preserve"> ）的投标，我公司就参加本次竞标有关事项郑重承诺如下：</w:t>
      </w:r>
    </w:p>
    <w:p>
      <w:pPr>
        <w:numPr>
          <w:ilvl w:val="0"/>
          <w:numId w:val="5"/>
        </w:num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参加政府采购活动前三年内，我公司在经营活动中没有重大违法记录和不良信用记录；</w:t>
      </w:r>
    </w:p>
    <w:p>
      <w:pPr>
        <w:numPr>
          <w:ilvl w:val="0"/>
          <w:numId w:val="5"/>
        </w:num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我公司及法定代表人没有任何行贿犯罪记录；</w:t>
      </w:r>
    </w:p>
    <w:p>
      <w:pPr>
        <w:numPr>
          <w:ilvl w:val="0"/>
          <w:numId w:val="5"/>
        </w:numPr>
        <w:snapToGrid w:val="0"/>
        <w:spacing w:line="500" w:lineRule="exact"/>
        <w:ind w:firstLine="420" w:firstLineChars="200"/>
        <w:rPr>
          <w:rFonts w:ascii="宋体" w:hAnsi="宋体" w:cs="宋体"/>
          <w:color w:val="auto"/>
        </w:rPr>
      </w:pPr>
      <w:r>
        <w:rPr>
          <w:rFonts w:hint="eastAsia" w:ascii="宋体" w:hAnsi="宋体" w:cs="宋体"/>
          <w:color w:val="auto"/>
          <w:szCs w:val="21"/>
        </w:rPr>
        <w:t>我公司符合《中华人民共和国政府采购法》第二十二条规定。</w:t>
      </w:r>
    </w:p>
    <w:p>
      <w:pPr>
        <w:snapToGrid w:val="0"/>
        <w:spacing w:before="120" w:beforeLines="50" w:after="50" w:line="500" w:lineRule="exact"/>
        <w:ind w:firstLine="420" w:firstLineChars="200"/>
        <w:rPr>
          <w:rFonts w:ascii="宋体" w:hAnsi="宋体" w:cs="宋体"/>
          <w:color w:val="auto"/>
          <w:szCs w:val="21"/>
        </w:rPr>
      </w:pPr>
      <w:r>
        <w:rPr>
          <w:rFonts w:hint="eastAsia" w:ascii="宋体" w:hAnsi="宋体" w:cs="宋体"/>
          <w:color w:val="auto"/>
          <w:szCs w:val="21"/>
        </w:rPr>
        <w:t>以上事项如有虚假或隐瞒，我方愿意承担一切后果，特此声明。</w:t>
      </w:r>
    </w:p>
    <w:p>
      <w:pPr>
        <w:adjustRightInd w:val="0"/>
        <w:snapToGrid w:val="0"/>
        <w:spacing w:line="360" w:lineRule="exact"/>
        <w:ind w:firstLine="315" w:firstLineChars="150"/>
        <w:jc w:val="left"/>
        <w:rPr>
          <w:rFonts w:ascii="宋体" w:hAnsi="宋体" w:cs="宋体"/>
          <w:color w:val="auto"/>
          <w:szCs w:val="21"/>
        </w:rPr>
      </w:pPr>
    </w:p>
    <w:p>
      <w:pPr>
        <w:adjustRightInd w:val="0"/>
        <w:snapToGrid w:val="0"/>
        <w:spacing w:line="360" w:lineRule="exact"/>
        <w:jc w:val="left"/>
        <w:rPr>
          <w:rFonts w:ascii="宋体" w:hAnsi="宋体" w:cs="宋体"/>
          <w:color w:val="auto"/>
          <w:szCs w:val="21"/>
        </w:rPr>
      </w:pPr>
    </w:p>
    <w:p>
      <w:pPr>
        <w:autoSpaceDE w:val="0"/>
        <w:autoSpaceDN w:val="0"/>
        <w:spacing w:line="360" w:lineRule="auto"/>
        <w:ind w:left="4305" w:leftChars="1850" w:hanging="420" w:hangingChars="200"/>
        <w:rPr>
          <w:rFonts w:ascii="宋体" w:hAnsi="宋体" w:cs="宋体"/>
          <w:color w:val="auto"/>
          <w:kern w:val="0"/>
          <w:szCs w:val="21"/>
        </w:rPr>
      </w:pPr>
      <w:r>
        <w:rPr>
          <w:rFonts w:hint="eastAsia" w:ascii="宋体" w:hAnsi="宋体" w:cs="宋体"/>
          <w:color w:val="auto"/>
          <w:kern w:val="0"/>
          <w:szCs w:val="21"/>
        </w:rPr>
        <w:t>供应商名称（电子签章）：</w:t>
      </w:r>
    </w:p>
    <w:p>
      <w:pPr>
        <w:autoSpaceDE w:val="0"/>
        <w:autoSpaceDN w:val="0"/>
        <w:spacing w:line="360" w:lineRule="auto"/>
        <w:ind w:firstLine="5355" w:firstLineChars="2550"/>
        <w:rPr>
          <w:rFonts w:ascii="宋体" w:hAnsi="宋体" w:cs="宋体"/>
          <w:color w:val="auto"/>
          <w:szCs w:val="21"/>
        </w:rPr>
      </w:pPr>
      <w:r>
        <w:rPr>
          <w:rFonts w:hint="eastAsia" w:ascii="宋体" w:hAnsi="宋体" w:cs="宋体"/>
          <w:color w:val="auto"/>
          <w:kern w:val="0"/>
          <w:szCs w:val="21"/>
          <w:lang w:val="zh-CN"/>
        </w:rPr>
        <w:t>日期：  年  月   日</w:t>
      </w:r>
      <w:r>
        <w:rPr>
          <w:rFonts w:hint="eastAsia" w:ascii="宋体" w:hAnsi="宋体" w:cs="宋体"/>
          <w:color w:val="auto"/>
          <w:szCs w:val="21"/>
        </w:rPr>
        <w:t xml:space="preserve">     </w:t>
      </w:r>
    </w:p>
    <w:p>
      <w:pPr>
        <w:pStyle w:val="2"/>
        <w:spacing w:line="0" w:lineRule="atLeast"/>
        <w:ind w:firstLine="0"/>
        <w:jc w:val="center"/>
        <w:rPr>
          <w:rFonts w:hAnsi="宋体" w:cs="宋体"/>
          <w:color w:val="auto"/>
        </w:rPr>
      </w:pPr>
    </w:p>
    <w:p>
      <w:pPr>
        <w:pStyle w:val="2"/>
        <w:spacing w:line="0" w:lineRule="atLeast"/>
        <w:ind w:firstLine="0"/>
        <w:jc w:val="center"/>
        <w:rPr>
          <w:rFonts w:hAnsi="宋体" w:cs="宋体"/>
          <w:color w:val="auto"/>
        </w:rPr>
      </w:pPr>
    </w:p>
    <w:p>
      <w:pPr>
        <w:pStyle w:val="2"/>
        <w:spacing w:line="0" w:lineRule="atLeast"/>
        <w:ind w:firstLine="0"/>
        <w:jc w:val="center"/>
        <w:rPr>
          <w:rFonts w:hAnsi="宋体" w:cs="宋体"/>
          <w:color w:val="auto"/>
        </w:rPr>
      </w:pPr>
    </w:p>
    <w:p>
      <w:pPr>
        <w:pStyle w:val="2"/>
        <w:spacing w:line="0" w:lineRule="atLeast"/>
        <w:ind w:firstLine="0"/>
        <w:jc w:val="center"/>
        <w:rPr>
          <w:rFonts w:hAnsi="宋体" w:cs="宋体"/>
          <w:color w:val="auto"/>
        </w:rPr>
      </w:pPr>
    </w:p>
    <w:p>
      <w:pPr>
        <w:pStyle w:val="2"/>
        <w:spacing w:line="0" w:lineRule="atLeast"/>
        <w:ind w:firstLine="0"/>
        <w:jc w:val="center"/>
        <w:rPr>
          <w:rFonts w:hAnsi="宋体" w:cs="宋体"/>
          <w:color w:val="auto"/>
        </w:rPr>
      </w:pPr>
    </w:p>
    <w:p>
      <w:pPr>
        <w:pStyle w:val="2"/>
        <w:spacing w:line="0" w:lineRule="atLeast"/>
        <w:ind w:firstLine="0"/>
        <w:jc w:val="center"/>
        <w:rPr>
          <w:rFonts w:hAnsi="宋体" w:cs="宋体"/>
          <w:color w:val="auto"/>
        </w:rPr>
      </w:pPr>
    </w:p>
    <w:p>
      <w:pPr>
        <w:pStyle w:val="2"/>
        <w:spacing w:line="0" w:lineRule="atLeast"/>
        <w:ind w:firstLine="0"/>
        <w:jc w:val="center"/>
        <w:rPr>
          <w:rFonts w:hAnsi="宋体" w:cs="宋体"/>
          <w:color w:val="auto"/>
        </w:rPr>
      </w:pPr>
    </w:p>
    <w:p>
      <w:pPr>
        <w:pStyle w:val="2"/>
        <w:spacing w:line="0" w:lineRule="atLeast"/>
        <w:ind w:firstLine="0"/>
        <w:jc w:val="center"/>
        <w:rPr>
          <w:rFonts w:hAnsi="宋体" w:cs="宋体"/>
          <w:color w:val="auto"/>
        </w:rPr>
      </w:pPr>
    </w:p>
    <w:p>
      <w:pPr>
        <w:pStyle w:val="2"/>
        <w:spacing w:line="0" w:lineRule="atLeast"/>
        <w:ind w:firstLine="0"/>
        <w:jc w:val="center"/>
        <w:rPr>
          <w:rFonts w:hAnsi="宋体" w:cs="宋体"/>
          <w:color w:val="auto"/>
        </w:rPr>
      </w:pPr>
    </w:p>
    <w:p>
      <w:pPr>
        <w:pStyle w:val="2"/>
        <w:spacing w:line="0" w:lineRule="atLeast"/>
        <w:ind w:firstLine="0"/>
        <w:jc w:val="center"/>
        <w:rPr>
          <w:rFonts w:hAnsi="宋体" w:cs="宋体"/>
          <w:color w:val="auto"/>
        </w:rPr>
      </w:pPr>
    </w:p>
    <w:p>
      <w:pPr>
        <w:pStyle w:val="2"/>
        <w:spacing w:line="0" w:lineRule="atLeast"/>
        <w:ind w:firstLine="0"/>
        <w:jc w:val="center"/>
        <w:rPr>
          <w:rFonts w:hAnsi="宋体" w:cs="宋体"/>
          <w:color w:val="auto"/>
        </w:rPr>
      </w:pPr>
    </w:p>
    <w:p>
      <w:pPr>
        <w:pStyle w:val="2"/>
        <w:spacing w:line="0" w:lineRule="atLeast"/>
        <w:ind w:firstLine="0"/>
        <w:jc w:val="center"/>
        <w:rPr>
          <w:rFonts w:hAnsi="宋体" w:cs="宋体"/>
          <w:color w:val="auto"/>
        </w:rPr>
      </w:pPr>
    </w:p>
    <w:p>
      <w:pPr>
        <w:pStyle w:val="2"/>
        <w:spacing w:line="0" w:lineRule="atLeast"/>
        <w:ind w:firstLine="0"/>
        <w:jc w:val="center"/>
        <w:rPr>
          <w:rFonts w:hAnsi="宋体" w:cs="宋体"/>
          <w:color w:val="auto"/>
        </w:rPr>
      </w:pPr>
    </w:p>
    <w:p>
      <w:pPr>
        <w:pStyle w:val="2"/>
        <w:spacing w:line="0" w:lineRule="atLeast"/>
        <w:ind w:firstLine="0"/>
        <w:jc w:val="center"/>
        <w:rPr>
          <w:rFonts w:hAnsi="宋体" w:cs="宋体"/>
          <w:color w:val="auto"/>
        </w:rPr>
      </w:pPr>
    </w:p>
    <w:p>
      <w:pPr>
        <w:pStyle w:val="2"/>
        <w:spacing w:line="0" w:lineRule="atLeast"/>
        <w:ind w:firstLine="0"/>
        <w:jc w:val="center"/>
        <w:rPr>
          <w:rFonts w:hAnsi="宋体" w:cs="宋体"/>
          <w:color w:val="auto"/>
        </w:rPr>
      </w:pPr>
    </w:p>
    <w:p>
      <w:pPr>
        <w:pStyle w:val="2"/>
        <w:spacing w:line="0" w:lineRule="atLeast"/>
        <w:ind w:firstLine="0"/>
        <w:jc w:val="both"/>
        <w:rPr>
          <w:rFonts w:hAnsi="宋体" w:cs="宋体"/>
          <w:color w:val="auto"/>
        </w:rPr>
      </w:pPr>
    </w:p>
    <w:p>
      <w:pPr>
        <w:pStyle w:val="2"/>
        <w:spacing w:line="0" w:lineRule="atLeast"/>
        <w:ind w:firstLine="0"/>
        <w:jc w:val="center"/>
        <w:rPr>
          <w:rFonts w:hAnsi="宋体" w:cs="宋体"/>
          <w:color w:val="auto"/>
        </w:rPr>
      </w:pPr>
    </w:p>
    <w:p>
      <w:pPr>
        <w:pStyle w:val="2"/>
        <w:spacing w:line="0" w:lineRule="atLeast"/>
        <w:ind w:firstLine="0"/>
        <w:jc w:val="center"/>
        <w:rPr>
          <w:rFonts w:hAnsi="宋体" w:cs="宋体"/>
          <w:color w:val="auto"/>
        </w:rPr>
      </w:pPr>
    </w:p>
    <w:p>
      <w:pPr>
        <w:ind w:firstLine="420" w:firstLineChars="200"/>
        <w:rPr>
          <w:rFonts w:ascii="宋体" w:hAnsi="宋体" w:cs="宋体"/>
          <w:color w:val="auto"/>
        </w:rPr>
      </w:pPr>
      <w:r>
        <w:rPr>
          <w:rFonts w:hint="eastAsia" w:ascii="宋体" w:hAnsi="宋体" w:cs="宋体"/>
          <w:color w:val="auto"/>
          <w:szCs w:val="21"/>
        </w:rPr>
        <w:t>注：由谈判小组资格评审时通过“</w:t>
      </w:r>
      <w:r>
        <w:rPr>
          <w:rStyle w:val="40"/>
          <w:rFonts w:ascii="Arial" w:hAnsi="Arial" w:eastAsia="Arial" w:cs="Arial"/>
          <w:color w:val="auto"/>
          <w:sz w:val="21"/>
          <w:szCs w:val="21"/>
          <w:shd w:val="clear" w:color="auto" w:fill="FFFFFF"/>
        </w:rPr>
        <w:t>广西政府采购云平台</w:t>
      </w:r>
      <w:r>
        <w:rPr>
          <w:rFonts w:hint="eastAsia" w:ascii="宋体" w:hAnsi="宋体" w:cs="宋体"/>
          <w:color w:val="auto"/>
          <w:szCs w:val="21"/>
        </w:rPr>
        <w:t>”连接”信用中国”网站和中国政府采购网查询相关供应商主体信用记录。</w:t>
      </w:r>
    </w:p>
    <w:p>
      <w:pPr>
        <w:rPr>
          <w:rFonts w:ascii="宋体" w:hAnsi="宋体" w:cs="宋体"/>
          <w:color w:val="auto"/>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r>
        <w:rPr>
          <w:rFonts w:hint="eastAsia" w:ascii="宋体" w:hAnsi="宋体" w:eastAsia="宋体"/>
          <w:color w:val="auto"/>
          <w:lang w:eastAsia="zh-CN"/>
        </w:rPr>
        <w:t>(6)供应商直接控股股东信息、直接管理关系信息表</w:t>
      </w:r>
    </w:p>
    <w:p>
      <w:pPr>
        <w:pStyle w:val="74"/>
        <w:rPr>
          <w:rFonts w:ascii="宋体" w:hAnsi="宋体" w:eastAsia="宋体"/>
          <w:color w:val="auto"/>
          <w:lang w:eastAsia="zh-CN"/>
        </w:rPr>
      </w:pPr>
    </w:p>
    <w:p>
      <w:pPr>
        <w:pStyle w:val="74"/>
        <w:jc w:val="center"/>
        <w:rPr>
          <w:rFonts w:ascii="宋体" w:hAnsi="宋体" w:eastAsia="宋体"/>
          <w:b/>
          <w:bCs/>
          <w:color w:val="auto"/>
          <w:sz w:val="24"/>
          <w:szCs w:val="22"/>
          <w:lang w:eastAsia="zh-CN"/>
        </w:rPr>
      </w:pPr>
      <w:r>
        <w:rPr>
          <w:rFonts w:hint="eastAsia" w:ascii="宋体" w:hAnsi="宋体" w:eastAsia="宋体"/>
          <w:b/>
          <w:bCs/>
          <w:color w:val="auto"/>
          <w:sz w:val="24"/>
          <w:szCs w:val="22"/>
          <w:lang w:eastAsia="zh-CN"/>
        </w:rPr>
        <w:t>A.供应商直接控股股东信息表</w:t>
      </w:r>
    </w:p>
    <w:tbl>
      <w:tblPr>
        <w:tblStyle w:val="46"/>
        <w:tblpPr w:leftFromText="180" w:rightFromText="180" w:vertAnchor="text" w:horzAnchor="page" w:tblpX="1090" w:tblpY="440"/>
        <w:tblOverlap w:val="never"/>
        <w:tblW w:w="10147" w:type="dxa"/>
        <w:tblInd w:w="0" w:type="dxa"/>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Layout w:type="fixed"/>
          <w:tblCellMar>
            <w:top w:w="0" w:type="dxa"/>
            <w:left w:w="0" w:type="dxa"/>
            <w:bottom w:w="0" w:type="dxa"/>
            <w:right w:w="0" w:type="dxa"/>
          </w:tblCellMar>
        </w:tblPrEx>
        <w:trPr>
          <w:tblHead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备注</w:t>
            </w:r>
          </w:p>
        </w:tc>
      </w:tr>
      <w:tr>
        <w:tblPrEx>
          <w:tblLayout w:type="fixed"/>
          <w:tblCellMar>
            <w:top w:w="0" w:type="dxa"/>
            <w:left w:w="0" w:type="dxa"/>
            <w:bottom w:w="0" w:type="dxa"/>
            <w:right w:w="0"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Layout w:type="fixed"/>
          <w:tblCellMar>
            <w:top w:w="0" w:type="dxa"/>
            <w:left w:w="0" w:type="dxa"/>
            <w:bottom w:w="0" w:type="dxa"/>
            <w:right w:w="0"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Layout w:type="fixed"/>
          <w:tblCellMar>
            <w:top w:w="0" w:type="dxa"/>
            <w:left w:w="0" w:type="dxa"/>
            <w:bottom w:w="0" w:type="dxa"/>
            <w:right w:w="0"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Layout w:type="fixed"/>
          <w:tblCellMar>
            <w:top w:w="0" w:type="dxa"/>
            <w:left w:w="0" w:type="dxa"/>
            <w:bottom w:w="0" w:type="dxa"/>
            <w:right w:w="0"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bl>
    <w:p>
      <w:pPr>
        <w:pStyle w:val="74"/>
        <w:rPr>
          <w:rFonts w:ascii="宋体" w:hAnsi="宋体" w:eastAsia="宋体"/>
          <w:b/>
          <w:bCs/>
          <w:color w:val="auto"/>
          <w:sz w:val="24"/>
          <w:szCs w:val="22"/>
        </w:rPr>
      </w:pPr>
    </w:p>
    <w:p>
      <w:pPr>
        <w:pStyle w:val="74"/>
        <w:rPr>
          <w:rFonts w:ascii="宋体" w:hAnsi="宋体" w:eastAsia="宋体"/>
          <w:color w:val="auto"/>
        </w:rPr>
      </w:pPr>
    </w:p>
    <w:p>
      <w:pPr>
        <w:spacing w:line="360" w:lineRule="auto"/>
        <w:contextualSpacing/>
        <w:jc w:val="left"/>
        <w:rPr>
          <w:rFonts w:ascii="宋体" w:hAnsi="宋体" w:cs="宋体"/>
          <w:color w:val="auto"/>
          <w:kern w:val="0"/>
          <w:sz w:val="24"/>
        </w:rPr>
      </w:pPr>
      <w:r>
        <w:rPr>
          <w:rFonts w:hint="eastAsia" w:ascii="宋体" w:hAnsi="宋体" w:cs="宋体"/>
          <w:color w:val="auto"/>
          <w:kern w:val="0"/>
          <w:sz w:val="24"/>
        </w:rPr>
        <w:t>注：</w:t>
      </w:r>
    </w:p>
    <w:p>
      <w:pPr>
        <w:spacing w:line="360" w:lineRule="auto"/>
        <w:ind w:firstLine="480" w:firstLineChars="200"/>
        <w:contextualSpacing/>
        <w:jc w:val="left"/>
        <w:rPr>
          <w:rFonts w:ascii="宋体" w:hAnsi="宋体" w:cs="宋体"/>
          <w:color w:val="auto"/>
          <w:kern w:val="0"/>
          <w:sz w:val="24"/>
        </w:rPr>
      </w:pPr>
      <w:r>
        <w:rPr>
          <w:rFonts w:hint="eastAsia" w:ascii="宋体" w:hAnsi="宋体" w:cs="宋体"/>
          <w:color w:val="auto"/>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cs="宋体"/>
          <w:color w:val="auto"/>
          <w:kern w:val="0"/>
          <w:sz w:val="24"/>
        </w:rPr>
      </w:pPr>
      <w:r>
        <w:rPr>
          <w:rFonts w:hint="eastAsia" w:ascii="宋体" w:hAnsi="宋体" w:cs="宋体"/>
          <w:color w:val="auto"/>
          <w:kern w:val="0"/>
          <w:sz w:val="24"/>
        </w:rPr>
        <w:t>2.本表所指的控股关系仅限于直接控股关系，不包括间接的控股关系。公司实际控制人与公司之间的关系不属于本表所指的直接控股关系。</w:t>
      </w:r>
    </w:p>
    <w:p>
      <w:pPr>
        <w:pStyle w:val="74"/>
        <w:ind w:firstLine="480" w:firstLineChars="200"/>
        <w:rPr>
          <w:rFonts w:ascii="宋体" w:hAnsi="宋体" w:eastAsia="宋体"/>
          <w:color w:val="auto"/>
          <w:sz w:val="24"/>
          <w:lang w:eastAsia="zh-CN"/>
        </w:rPr>
      </w:pPr>
      <w:r>
        <w:rPr>
          <w:rFonts w:hint="eastAsia" w:ascii="宋体" w:hAnsi="宋体" w:eastAsia="宋体"/>
          <w:color w:val="auto"/>
          <w:sz w:val="24"/>
          <w:lang w:eastAsia="zh-CN"/>
        </w:rPr>
        <w:t>3.供应商不存在直接控股股东的，则填“无”。</w:t>
      </w: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kern w:val="0"/>
          <w:sz w:val="24"/>
        </w:rPr>
        <w:t>供应商名称（电子签章）：</w:t>
      </w:r>
    </w:p>
    <w:p>
      <w:pPr>
        <w:autoSpaceDE w:val="0"/>
        <w:autoSpaceDN w:val="0"/>
        <w:spacing w:line="360" w:lineRule="auto"/>
        <w:ind w:firstLine="6120" w:firstLineChars="2550"/>
        <w:rPr>
          <w:rFonts w:ascii="宋体" w:hAnsi="宋体" w:cs="宋体"/>
          <w:color w:val="auto"/>
          <w:sz w:val="24"/>
        </w:rPr>
      </w:pPr>
      <w:r>
        <w:rPr>
          <w:rFonts w:hint="eastAsia" w:ascii="宋体" w:hAnsi="宋体" w:cs="宋体"/>
          <w:color w:val="auto"/>
          <w:kern w:val="0"/>
          <w:sz w:val="24"/>
          <w:lang w:val="zh-CN"/>
        </w:rPr>
        <w:t>日期：  年  月   日</w:t>
      </w:r>
      <w:r>
        <w:rPr>
          <w:rFonts w:hint="eastAsia" w:ascii="宋体" w:hAnsi="宋体" w:cs="宋体"/>
          <w:color w:val="auto"/>
          <w:sz w:val="24"/>
        </w:rPr>
        <w:t xml:space="preserve">     </w:t>
      </w: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jc w:val="center"/>
        <w:rPr>
          <w:rFonts w:ascii="宋体" w:hAnsi="宋体" w:eastAsia="宋体"/>
          <w:b/>
          <w:bCs/>
          <w:color w:val="auto"/>
          <w:sz w:val="24"/>
          <w:szCs w:val="22"/>
          <w:lang w:eastAsia="zh-CN"/>
        </w:rPr>
      </w:pPr>
      <w:r>
        <w:rPr>
          <w:rFonts w:hint="eastAsia" w:ascii="宋体" w:hAnsi="宋体" w:eastAsia="宋体"/>
          <w:b/>
          <w:bCs/>
          <w:color w:val="auto"/>
          <w:sz w:val="24"/>
          <w:szCs w:val="22"/>
          <w:lang w:eastAsia="zh-CN"/>
        </w:rPr>
        <w:t>B.供应商直接管理关系信息表</w:t>
      </w:r>
    </w:p>
    <w:tbl>
      <w:tblPr>
        <w:tblStyle w:val="46"/>
        <w:tblW w:w="9652" w:type="dxa"/>
        <w:jc w:val="center"/>
        <w:tblInd w:w="0" w:type="dxa"/>
        <w:shd w:val="clear" w:color="auto" w:fill="FBFBFB"/>
        <w:tblLayout w:type="fixed"/>
        <w:tblCellMar>
          <w:top w:w="0" w:type="dxa"/>
          <w:left w:w="0" w:type="dxa"/>
          <w:bottom w:w="0" w:type="dxa"/>
          <w:right w:w="0" w:type="dxa"/>
        </w:tblCellMar>
      </w:tblPr>
      <w:tblGrid>
        <w:gridCol w:w="808"/>
        <w:gridCol w:w="3600"/>
        <w:gridCol w:w="3555"/>
        <w:gridCol w:w="1689"/>
      </w:tblGrid>
      <w:tr>
        <w:tblPrEx>
          <w:tblLayout w:type="fixed"/>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备注</w:t>
            </w: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bl>
    <w:p>
      <w:pPr>
        <w:spacing w:line="360" w:lineRule="auto"/>
        <w:ind w:firstLine="480" w:firstLineChars="200"/>
        <w:contextualSpacing/>
        <w:jc w:val="left"/>
        <w:rPr>
          <w:rFonts w:ascii="宋体" w:hAnsi="宋体" w:cs="宋体"/>
          <w:color w:val="auto"/>
          <w:kern w:val="0"/>
          <w:sz w:val="24"/>
        </w:rPr>
      </w:pPr>
    </w:p>
    <w:p>
      <w:pPr>
        <w:spacing w:line="360" w:lineRule="auto"/>
        <w:ind w:firstLine="480" w:firstLineChars="200"/>
        <w:contextualSpacing/>
        <w:jc w:val="left"/>
        <w:rPr>
          <w:rFonts w:ascii="宋体" w:hAnsi="宋体" w:cs="宋体"/>
          <w:color w:val="auto"/>
          <w:kern w:val="0"/>
          <w:sz w:val="24"/>
        </w:rPr>
      </w:pPr>
      <w:r>
        <w:rPr>
          <w:rFonts w:hint="eastAsia" w:ascii="宋体" w:hAnsi="宋体" w:cs="宋体"/>
          <w:color w:val="auto"/>
          <w:kern w:val="0"/>
          <w:sz w:val="24"/>
        </w:rPr>
        <w:t>注：</w:t>
      </w:r>
    </w:p>
    <w:p>
      <w:pPr>
        <w:spacing w:line="360" w:lineRule="auto"/>
        <w:ind w:firstLine="480" w:firstLineChars="200"/>
        <w:contextualSpacing/>
        <w:jc w:val="left"/>
        <w:rPr>
          <w:rFonts w:ascii="宋体" w:hAnsi="宋体" w:cs="宋体"/>
          <w:color w:val="auto"/>
          <w:kern w:val="0"/>
          <w:sz w:val="24"/>
        </w:rPr>
      </w:pPr>
      <w:r>
        <w:rPr>
          <w:rFonts w:hint="eastAsia" w:ascii="宋体" w:hAnsi="宋体" w:cs="宋体"/>
          <w:color w:val="auto"/>
          <w:kern w:val="0"/>
          <w:sz w:val="24"/>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cs="宋体"/>
          <w:color w:val="auto"/>
          <w:kern w:val="0"/>
          <w:sz w:val="24"/>
        </w:rPr>
      </w:pPr>
      <w:r>
        <w:rPr>
          <w:rFonts w:hint="eastAsia" w:ascii="宋体" w:hAnsi="宋体" w:cs="宋体"/>
          <w:color w:val="auto"/>
          <w:kern w:val="0"/>
          <w:sz w:val="24"/>
        </w:rPr>
        <w:t>2.本表所指的管理关系仅限于直接管理关系，不包括间接的管理关系。</w:t>
      </w:r>
    </w:p>
    <w:p>
      <w:pPr>
        <w:pStyle w:val="74"/>
        <w:ind w:firstLine="480" w:firstLineChars="200"/>
        <w:rPr>
          <w:rFonts w:ascii="宋体" w:hAnsi="宋体" w:eastAsia="宋体"/>
          <w:b/>
          <w:bCs/>
          <w:color w:val="auto"/>
          <w:sz w:val="24"/>
          <w:szCs w:val="22"/>
          <w:lang w:eastAsia="zh-CN"/>
        </w:rPr>
      </w:pPr>
      <w:r>
        <w:rPr>
          <w:rFonts w:hint="eastAsia" w:ascii="宋体" w:hAnsi="宋体" w:eastAsia="宋体"/>
          <w:color w:val="auto"/>
          <w:sz w:val="24"/>
          <w:lang w:eastAsia="zh-CN"/>
        </w:rPr>
        <w:t>3.供应商不存在直接管理关系的，则填“无”。</w:t>
      </w:r>
    </w:p>
    <w:p>
      <w:pPr>
        <w:pStyle w:val="74"/>
        <w:rPr>
          <w:rFonts w:ascii="宋体" w:hAnsi="宋体" w:eastAsia="宋体"/>
          <w:color w:val="auto"/>
          <w:sz w:val="24"/>
          <w:lang w:eastAsia="zh-CN"/>
        </w:rPr>
      </w:pPr>
    </w:p>
    <w:p>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kern w:val="0"/>
          <w:sz w:val="24"/>
        </w:rPr>
        <w:t>供应商名称（电子签章）：</w:t>
      </w:r>
    </w:p>
    <w:p>
      <w:pPr>
        <w:autoSpaceDE w:val="0"/>
        <w:autoSpaceDN w:val="0"/>
        <w:spacing w:line="360" w:lineRule="auto"/>
        <w:ind w:firstLine="6120" w:firstLineChars="2550"/>
        <w:rPr>
          <w:rFonts w:ascii="宋体" w:hAnsi="宋体" w:cs="宋体"/>
          <w:color w:val="auto"/>
          <w:sz w:val="24"/>
        </w:rPr>
      </w:pPr>
      <w:r>
        <w:rPr>
          <w:rFonts w:hint="eastAsia" w:ascii="宋体" w:hAnsi="宋体" w:cs="宋体"/>
          <w:color w:val="auto"/>
          <w:kern w:val="0"/>
          <w:sz w:val="24"/>
          <w:lang w:val="zh-CN"/>
        </w:rPr>
        <w:t>日期：  年  月   日</w:t>
      </w:r>
      <w:r>
        <w:rPr>
          <w:rFonts w:hint="eastAsia" w:ascii="宋体" w:hAnsi="宋体" w:cs="宋体"/>
          <w:color w:val="auto"/>
          <w:sz w:val="24"/>
        </w:rPr>
        <w:t xml:space="preserve">     </w:t>
      </w: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74"/>
        <w:rPr>
          <w:rFonts w:ascii="宋体" w:hAnsi="宋体" w:eastAsia="宋体"/>
          <w:color w:val="auto"/>
          <w:sz w:val="24"/>
          <w:lang w:eastAsia="zh-CN"/>
        </w:rPr>
      </w:pPr>
    </w:p>
    <w:p>
      <w:pPr>
        <w:pStyle w:val="18"/>
        <w:spacing w:line="380" w:lineRule="atLeast"/>
        <w:ind w:firstLine="411" w:firstLineChars="196"/>
        <w:rPr>
          <w:rFonts w:hAnsi="宋体" w:cs="宋体"/>
          <w:b/>
          <w:bCs/>
          <w:color w:val="auto"/>
        </w:rPr>
      </w:pPr>
      <w:r>
        <w:rPr>
          <w:rFonts w:hint="eastAsia" w:hAnsi="宋体" w:cs="宋体"/>
          <w:color w:val="auto"/>
        </w:rPr>
        <w:t>(7)截标前半年内竞标人连续三个月依法缴纳税收（国税或地税）的凭证复印件（如属新成立的公司不足三个月的递交工商注册之月起的纳税证明）；无纳税记录的，应提供竞标人所在地的税务部门出具的《依法纳税或依法免税证明》复印件</w:t>
      </w:r>
    </w:p>
    <w:p>
      <w:pPr>
        <w:pStyle w:val="18"/>
        <w:spacing w:line="380" w:lineRule="atLeast"/>
        <w:ind w:firstLine="411" w:firstLineChars="196"/>
        <w:rPr>
          <w:rFonts w:hAnsi="宋体" w:cs="宋体"/>
          <w:color w:val="auto"/>
        </w:rPr>
      </w:pPr>
      <w:r>
        <w:rPr>
          <w:rFonts w:hint="eastAsia" w:hAnsi="宋体" w:cs="宋体"/>
          <w:color w:val="auto"/>
        </w:rPr>
        <w:t>(8)截标前半年内竞标人连续三个月依法缴纳社保费的缴费凭证复印件（如属新成立的公司不足三个月的递交工商注册之月起的社保缴纳凭证）；无缴费记录的，应提供由竞标人所在地社保部门出具的《依法缴纳或依法免缴社保费证明》复印件</w:t>
      </w:r>
    </w:p>
    <w:p>
      <w:pPr>
        <w:pStyle w:val="18"/>
        <w:spacing w:line="380" w:lineRule="atLeast"/>
        <w:ind w:firstLine="411" w:firstLineChars="196"/>
        <w:rPr>
          <w:rFonts w:hAnsi="宋体" w:cs="宋体"/>
          <w:color w:val="auto"/>
        </w:rPr>
      </w:pPr>
      <w:r>
        <w:rPr>
          <w:rFonts w:hint="eastAsia" w:hAnsi="宋体" w:cs="宋体"/>
          <w:color w:val="auto"/>
        </w:rPr>
        <w:t>(9)竞标人2023年度财务报表（新成立的公司递交工商注册后最近竞标截止期一个月度的月度财务报表）或者其基本开户银行出具的资信证明（注明有效期的，应在有效期内；未注明有效期的，出具时间至竞标截止时间不超过一年）</w:t>
      </w:r>
    </w:p>
    <w:p>
      <w:pPr>
        <w:pStyle w:val="18"/>
        <w:spacing w:line="380" w:lineRule="atLeast"/>
        <w:ind w:firstLine="411" w:firstLineChars="196"/>
        <w:rPr>
          <w:rFonts w:hAnsi="宋体" w:cs="宋体"/>
          <w:color w:val="auto"/>
        </w:rPr>
      </w:pPr>
      <w:r>
        <w:rPr>
          <w:rFonts w:hint="eastAsia" w:hAnsi="宋体" w:cs="宋体"/>
          <w:color w:val="auto"/>
        </w:rPr>
        <w:t>(10)竞标保证金缴纳证明</w:t>
      </w:r>
    </w:p>
    <w:p>
      <w:pPr>
        <w:pStyle w:val="18"/>
        <w:spacing w:line="380" w:lineRule="atLeast"/>
        <w:ind w:firstLine="420" w:firstLineChars="200"/>
        <w:rPr>
          <w:rFonts w:hAnsi="宋体" w:cs="宋体"/>
          <w:color w:val="auto"/>
        </w:rPr>
      </w:pPr>
      <w:r>
        <w:rPr>
          <w:rFonts w:hint="eastAsia" w:hAnsi="宋体" w:cs="宋体"/>
          <w:color w:val="auto"/>
        </w:rPr>
        <w:t>(11)竞标人认为必要提供的声明及文件资料（如有请提供）。</w:t>
      </w:r>
    </w:p>
    <w:p>
      <w:pPr>
        <w:pStyle w:val="18"/>
        <w:spacing w:line="380" w:lineRule="atLeast"/>
        <w:ind w:firstLine="411" w:firstLineChars="196"/>
        <w:rPr>
          <w:rFonts w:hAnsi="宋体" w:cs="宋体"/>
          <w:color w:val="auto"/>
        </w:rPr>
      </w:pPr>
    </w:p>
    <w:p>
      <w:pPr>
        <w:rPr>
          <w:rFonts w:ascii="宋体" w:hAnsi="宋体" w:cs="宋体"/>
          <w:b/>
          <w:color w:val="auto"/>
          <w:sz w:val="32"/>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bCs/>
          <w:color w:val="auto"/>
          <w:sz w:val="24"/>
          <w:szCs w:val="15"/>
          <w:lang w:eastAsia="zh-CN"/>
        </w:rPr>
      </w:pPr>
    </w:p>
    <w:p>
      <w:pPr>
        <w:pStyle w:val="74"/>
        <w:rPr>
          <w:rFonts w:ascii="宋体" w:hAnsi="宋体" w:eastAsia="宋体"/>
          <w:b/>
          <w:bCs/>
          <w:color w:val="auto"/>
          <w:sz w:val="24"/>
          <w:szCs w:val="15"/>
          <w:lang w:eastAsia="zh-CN"/>
        </w:rPr>
      </w:pPr>
      <w:r>
        <w:rPr>
          <w:rFonts w:hint="eastAsia" w:ascii="宋体" w:hAnsi="宋体" w:eastAsia="宋体"/>
          <w:b/>
          <w:bCs/>
          <w:color w:val="auto"/>
          <w:sz w:val="24"/>
          <w:szCs w:val="15"/>
          <w:lang w:eastAsia="zh-CN"/>
        </w:rPr>
        <w:t>1、报价文件格式：</w:t>
      </w:r>
    </w:p>
    <w:p>
      <w:pPr>
        <w:pStyle w:val="74"/>
        <w:rPr>
          <w:rFonts w:ascii="宋体" w:hAnsi="宋体" w:eastAsia="宋体"/>
          <w:b/>
          <w:bCs/>
          <w:color w:val="auto"/>
          <w:sz w:val="24"/>
          <w:szCs w:val="15"/>
          <w:lang w:eastAsia="zh-CN"/>
        </w:rPr>
      </w:pPr>
    </w:p>
    <w:p>
      <w:pPr>
        <w:pStyle w:val="18"/>
        <w:rPr>
          <w:rFonts w:hAnsi="宋体" w:cs="宋体"/>
          <w:color w:val="auto"/>
        </w:rPr>
      </w:pPr>
    </w:p>
    <w:p>
      <w:pPr>
        <w:rPr>
          <w:rFonts w:ascii="宋体" w:hAnsi="宋体" w:cs="宋体"/>
          <w:color w:val="auto"/>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18"/>
        <w:rPr>
          <w:rFonts w:hAnsi="宋体" w:cs="宋体"/>
          <w:color w:val="auto"/>
        </w:rPr>
      </w:pPr>
    </w:p>
    <w:p>
      <w:pPr>
        <w:pStyle w:val="18"/>
        <w:rPr>
          <w:rFonts w:hAnsi="宋体" w:cs="宋体"/>
          <w:color w:val="auto"/>
        </w:rPr>
      </w:pPr>
    </w:p>
    <w:p>
      <w:pPr>
        <w:pStyle w:val="18"/>
        <w:jc w:val="center"/>
        <w:rPr>
          <w:rFonts w:hAnsi="宋体" w:cs="宋体"/>
          <w:color w:val="auto"/>
          <w:sz w:val="72"/>
        </w:rPr>
      </w:pPr>
      <w:r>
        <w:rPr>
          <w:rFonts w:hint="eastAsia" w:hAnsi="宋体" w:cs="宋体"/>
          <w:color w:val="auto"/>
          <w:sz w:val="72"/>
        </w:rPr>
        <w:t>响   应  文  件</w:t>
      </w:r>
    </w:p>
    <w:p>
      <w:pPr>
        <w:pStyle w:val="18"/>
        <w:jc w:val="center"/>
        <w:rPr>
          <w:rFonts w:hAnsi="宋体" w:cs="宋体"/>
          <w:b/>
          <w:bCs/>
          <w:color w:val="auto"/>
          <w:sz w:val="24"/>
          <w:szCs w:val="22"/>
        </w:rPr>
      </w:pPr>
    </w:p>
    <w:p>
      <w:pPr>
        <w:pStyle w:val="18"/>
        <w:jc w:val="center"/>
        <w:rPr>
          <w:rFonts w:hAnsi="宋体" w:cs="宋体"/>
          <w:b/>
          <w:bCs/>
          <w:color w:val="auto"/>
          <w:sz w:val="24"/>
          <w:szCs w:val="22"/>
        </w:rPr>
      </w:pPr>
      <w:r>
        <w:rPr>
          <w:rFonts w:hint="eastAsia" w:hAnsi="宋体" w:cs="宋体"/>
          <w:b/>
          <w:bCs/>
          <w:color w:val="auto"/>
          <w:sz w:val="24"/>
          <w:szCs w:val="22"/>
        </w:rPr>
        <w:t>（报价文件）</w:t>
      </w:r>
    </w:p>
    <w:p>
      <w:pPr>
        <w:pStyle w:val="18"/>
        <w:jc w:val="center"/>
        <w:rPr>
          <w:rFonts w:hAnsi="宋体" w:cs="宋体"/>
          <w:color w:val="auto"/>
        </w:rPr>
      </w:pPr>
    </w:p>
    <w:p>
      <w:pPr>
        <w:pStyle w:val="18"/>
        <w:rPr>
          <w:rFonts w:hAnsi="宋体" w:cs="宋体"/>
          <w:color w:val="auto"/>
        </w:rPr>
      </w:pPr>
      <w:r>
        <w:rPr>
          <w:rFonts w:hint="eastAsia" w:hAnsi="宋体" w:cs="宋体"/>
          <w:color w:val="auto"/>
        </w:rPr>
        <w:t xml:space="preserve">                                          </w:t>
      </w:r>
    </w:p>
    <w:p>
      <w:pPr>
        <w:pStyle w:val="18"/>
        <w:rPr>
          <w:rFonts w:hAnsi="宋体" w:cs="宋体"/>
          <w:color w:val="auto"/>
        </w:rPr>
      </w:pPr>
    </w:p>
    <w:p>
      <w:pPr>
        <w:pStyle w:val="18"/>
        <w:rPr>
          <w:rFonts w:hAnsi="宋体" w:cs="宋体"/>
          <w:color w:val="auto"/>
        </w:rPr>
      </w:pPr>
    </w:p>
    <w:p>
      <w:pPr>
        <w:rPr>
          <w:rFonts w:ascii="宋体" w:hAnsi="宋体" w:cs="宋体"/>
          <w:color w:val="auto"/>
        </w:rPr>
      </w:pPr>
    </w:p>
    <w:p>
      <w:pPr>
        <w:pStyle w:val="74"/>
        <w:rPr>
          <w:rFonts w:ascii="宋体" w:hAnsi="宋体" w:eastAsia="宋体"/>
          <w:color w:val="auto"/>
          <w:lang w:eastAsia="zh-CN"/>
        </w:rPr>
      </w:pPr>
    </w:p>
    <w:p>
      <w:pPr>
        <w:pStyle w:val="18"/>
        <w:rPr>
          <w:rFonts w:hAnsi="宋体" w:cs="宋体"/>
          <w:color w:val="auto"/>
        </w:rPr>
      </w:pPr>
    </w:p>
    <w:p>
      <w:pPr>
        <w:pStyle w:val="18"/>
        <w:ind w:firstLine="1124" w:firstLineChars="400"/>
        <w:rPr>
          <w:rFonts w:hAnsi="宋体" w:cs="宋体"/>
          <w:b/>
          <w:color w:val="auto"/>
          <w:sz w:val="28"/>
          <w:szCs w:val="28"/>
        </w:rPr>
      </w:pPr>
      <w:r>
        <w:rPr>
          <w:rFonts w:hint="eastAsia" w:hAnsi="宋体" w:cs="宋体"/>
          <w:b/>
          <w:color w:val="auto"/>
          <w:sz w:val="28"/>
          <w:szCs w:val="28"/>
        </w:rPr>
        <w:t>项目名称：</w:t>
      </w:r>
    </w:p>
    <w:p>
      <w:pPr>
        <w:pStyle w:val="18"/>
        <w:ind w:firstLine="1124" w:firstLineChars="400"/>
        <w:rPr>
          <w:rFonts w:hAnsi="宋体" w:cs="宋体"/>
          <w:b/>
          <w:color w:val="auto"/>
          <w:sz w:val="28"/>
          <w:szCs w:val="28"/>
        </w:rPr>
      </w:pPr>
      <w:r>
        <w:rPr>
          <w:rFonts w:hint="eastAsia" w:hAnsi="宋体" w:cs="宋体"/>
          <w:b/>
          <w:color w:val="auto"/>
          <w:sz w:val="28"/>
          <w:szCs w:val="28"/>
        </w:rPr>
        <w:t>项目编号：</w:t>
      </w:r>
    </w:p>
    <w:p>
      <w:pPr>
        <w:pStyle w:val="18"/>
        <w:ind w:firstLine="1124" w:firstLineChars="400"/>
        <w:rPr>
          <w:rFonts w:hAnsi="宋体" w:cs="宋体"/>
          <w:b/>
          <w:color w:val="auto"/>
          <w:sz w:val="28"/>
          <w:szCs w:val="28"/>
        </w:rPr>
      </w:pPr>
      <w:r>
        <w:rPr>
          <w:rFonts w:hint="eastAsia" w:hAnsi="宋体" w:cs="宋体"/>
          <w:b/>
          <w:color w:val="auto"/>
          <w:sz w:val="28"/>
          <w:szCs w:val="28"/>
        </w:rPr>
        <w:t xml:space="preserve">竞标人名称（电子签章）：                               </w:t>
      </w:r>
    </w:p>
    <w:p>
      <w:pPr>
        <w:pStyle w:val="18"/>
        <w:ind w:firstLine="1124" w:firstLineChars="400"/>
        <w:rPr>
          <w:rFonts w:hAnsi="宋体" w:cs="宋体"/>
          <w:b/>
          <w:bCs/>
          <w:color w:val="auto"/>
          <w:sz w:val="28"/>
          <w:u w:val="single"/>
        </w:rPr>
      </w:pPr>
      <w:r>
        <w:rPr>
          <w:rFonts w:hint="eastAsia" w:hAnsi="宋体" w:cs="宋体"/>
          <w:b/>
          <w:color w:val="auto"/>
          <w:sz w:val="28"/>
          <w:szCs w:val="28"/>
        </w:rPr>
        <w:t xml:space="preserve">竞标人地址：         </w:t>
      </w:r>
      <w:r>
        <w:rPr>
          <w:rFonts w:hint="eastAsia" w:hAnsi="宋体" w:cs="宋体"/>
          <w:b/>
          <w:bCs/>
          <w:color w:val="auto"/>
          <w:sz w:val="28"/>
          <w:u w:val="single"/>
        </w:rPr>
        <w:t xml:space="preserve">                      </w:t>
      </w:r>
    </w:p>
    <w:p>
      <w:pPr>
        <w:pStyle w:val="18"/>
        <w:ind w:firstLine="1124" w:firstLineChars="400"/>
        <w:rPr>
          <w:rFonts w:hAnsi="宋体" w:cs="宋体"/>
          <w:b/>
          <w:bCs/>
          <w:color w:val="auto"/>
          <w:sz w:val="28"/>
        </w:rPr>
      </w:pPr>
      <w:r>
        <w:rPr>
          <w:rFonts w:hint="eastAsia" w:hAnsi="宋体" w:cs="宋体"/>
          <w:b/>
          <w:bCs/>
          <w:color w:val="auto"/>
          <w:sz w:val="28"/>
          <w:u w:val="single"/>
        </w:rPr>
        <w:t xml:space="preserve">      </w:t>
      </w:r>
    </w:p>
    <w:p>
      <w:pPr>
        <w:pStyle w:val="74"/>
        <w:ind w:firstLine="7027" w:firstLineChars="2500"/>
        <w:rPr>
          <w:rFonts w:ascii="宋体" w:hAnsi="宋体" w:eastAsia="宋体"/>
          <w:b/>
          <w:color w:val="auto"/>
          <w:sz w:val="32"/>
          <w:lang w:eastAsia="zh-CN"/>
        </w:rPr>
      </w:pPr>
      <w:r>
        <w:rPr>
          <w:rFonts w:hint="eastAsia" w:ascii="宋体" w:hAnsi="宋体" w:eastAsia="宋体"/>
          <w:b/>
          <w:bCs/>
          <w:color w:val="auto"/>
          <w:sz w:val="28"/>
          <w:lang w:eastAsia="zh-CN"/>
        </w:rPr>
        <w:t>年  月  日</w:t>
      </w: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18"/>
        <w:spacing w:line="380" w:lineRule="atLeast"/>
        <w:jc w:val="center"/>
        <w:rPr>
          <w:rFonts w:hAnsi="宋体" w:cs="宋体"/>
          <w:b/>
          <w:bCs/>
          <w:color w:val="auto"/>
        </w:rPr>
      </w:pPr>
    </w:p>
    <w:p>
      <w:pPr>
        <w:pStyle w:val="18"/>
        <w:spacing w:line="380" w:lineRule="atLeast"/>
        <w:jc w:val="center"/>
        <w:rPr>
          <w:rFonts w:hAnsi="宋体" w:cs="宋体"/>
          <w:b/>
          <w:color w:val="auto"/>
          <w:sz w:val="32"/>
          <w:szCs w:val="32"/>
        </w:rPr>
      </w:pPr>
      <w:r>
        <w:rPr>
          <w:rFonts w:hint="eastAsia" w:hAnsi="宋体" w:cs="宋体"/>
          <w:b/>
          <w:color w:val="auto"/>
          <w:sz w:val="32"/>
          <w:szCs w:val="32"/>
        </w:rPr>
        <w:t>报价文件目录</w:t>
      </w:r>
    </w:p>
    <w:p>
      <w:pPr>
        <w:jc w:val="center"/>
        <w:rPr>
          <w:rFonts w:ascii="宋体" w:hAnsi="宋体" w:cs="宋体"/>
          <w:color w:val="auto"/>
        </w:rPr>
      </w:pPr>
      <w:r>
        <w:rPr>
          <w:rFonts w:hint="eastAsia" w:ascii="宋体" w:hAnsi="宋体" w:cs="宋体"/>
          <w:color w:val="auto"/>
          <w:sz w:val="24"/>
          <w:szCs w:val="11"/>
        </w:rPr>
        <w:t>（</w:t>
      </w:r>
      <w:r>
        <w:rPr>
          <w:rFonts w:hint="eastAsia" w:ascii="宋体" w:hAnsi="宋体" w:cs="宋体"/>
          <w:color w:val="auto"/>
        </w:rPr>
        <w:t>竞标人应按下列顺序自编目录及页码</w:t>
      </w:r>
      <w:r>
        <w:rPr>
          <w:rFonts w:hint="eastAsia" w:ascii="宋体" w:hAnsi="宋体" w:cs="宋体"/>
          <w:color w:val="auto"/>
          <w:sz w:val="24"/>
          <w:szCs w:val="11"/>
        </w:rPr>
        <w:t>）</w:t>
      </w:r>
    </w:p>
    <w:p>
      <w:pPr>
        <w:pStyle w:val="18"/>
        <w:spacing w:line="380" w:lineRule="atLeast"/>
        <w:ind w:firstLine="420"/>
        <w:rPr>
          <w:rFonts w:hAnsi="宋体" w:cs="宋体"/>
          <w:color w:val="auto"/>
        </w:rPr>
      </w:pPr>
      <w:r>
        <w:rPr>
          <w:rFonts w:hint="eastAsia" w:hAnsi="宋体" w:cs="宋体"/>
          <w:color w:val="auto"/>
          <w:sz w:val="22"/>
          <w:szCs w:val="22"/>
        </w:rPr>
        <w:t>▲</w:t>
      </w:r>
      <w:r>
        <w:rPr>
          <w:rFonts w:hint="eastAsia" w:hAnsi="宋体" w:cs="宋体"/>
          <w:color w:val="auto"/>
        </w:rPr>
        <w:t>(1)竞标函</w:t>
      </w:r>
    </w:p>
    <w:p>
      <w:pPr>
        <w:pStyle w:val="18"/>
        <w:spacing w:line="380" w:lineRule="atLeast"/>
        <w:ind w:firstLine="420"/>
        <w:rPr>
          <w:rFonts w:hAnsi="宋体" w:cs="宋体"/>
          <w:color w:val="auto"/>
        </w:rPr>
      </w:pPr>
      <w:r>
        <w:rPr>
          <w:rFonts w:hint="eastAsia" w:hAnsi="宋体" w:cs="宋体"/>
          <w:color w:val="auto"/>
          <w:sz w:val="22"/>
          <w:szCs w:val="22"/>
        </w:rPr>
        <w:t>▲</w:t>
      </w:r>
      <w:r>
        <w:rPr>
          <w:rFonts w:hint="eastAsia" w:hAnsi="宋体" w:cs="宋体"/>
          <w:color w:val="auto"/>
        </w:rPr>
        <w:t>(2)竞标报价表</w:t>
      </w:r>
    </w:p>
    <w:p>
      <w:pPr>
        <w:pStyle w:val="18"/>
        <w:spacing w:line="380" w:lineRule="atLeast"/>
        <w:ind w:firstLine="630" w:firstLineChars="300"/>
        <w:rPr>
          <w:rFonts w:hAnsi="宋体" w:cs="宋体"/>
          <w:color w:val="auto"/>
        </w:rPr>
      </w:pPr>
      <w:r>
        <w:rPr>
          <w:rFonts w:hint="eastAsia" w:hAnsi="宋体" w:cs="宋体"/>
          <w:color w:val="auto"/>
        </w:rPr>
        <w:t>(3)竞标人认为有必要提供的与报价有关材料（如有请提供）</w:t>
      </w: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jc w:val="center"/>
        <w:rPr>
          <w:rFonts w:ascii="宋体" w:hAnsi="宋体" w:cs="宋体"/>
          <w:b/>
          <w:color w:val="auto"/>
          <w:sz w:val="32"/>
          <w:szCs w:val="32"/>
        </w:rPr>
      </w:pPr>
      <w:bookmarkStart w:id="63" w:name="_Toc137551183"/>
      <w:r>
        <w:rPr>
          <w:rFonts w:hint="eastAsia" w:ascii="宋体" w:hAnsi="宋体" w:cs="宋体"/>
          <w:b/>
          <w:color w:val="auto"/>
          <w:sz w:val="32"/>
          <w:szCs w:val="32"/>
        </w:rPr>
        <w:t>（1）竞 标 函</w:t>
      </w:r>
      <w:bookmarkEnd w:id="63"/>
      <w:r>
        <w:rPr>
          <w:rFonts w:hint="eastAsia" w:ascii="宋体" w:hAnsi="宋体" w:cs="宋体"/>
          <w:b/>
          <w:color w:val="auto"/>
          <w:sz w:val="32"/>
          <w:szCs w:val="32"/>
        </w:rPr>
        <w:t>（格式）</w:t>
      </w:r>
    </w:p>
    <w:p>
      <w:pPr>
        <w:pStyle w:val="18"/>
        <w:spacing w:line="420" w:lineRule="exact"/>
        <w:ind w:firstLine="103"/>
        <w:rPr>
          <w:rFonts w:hAnsi="宋体" w:cs="宋体"/>
          <w:color w:val="auto"/>
        </w:rPr>
      </w:pPr>
      <w:r>
        <w:rPr>
          <w:rFonts w:hint="eastAsia" w:hAnsi="宋体" w:cs="宋体"/>
          <w:color w:val="auto"/>
        </w:rPr>
        <w:t>致：</w:t>
      </w:r>
      <w:r>
        <w:rPr>
          <w:rFonts w:hint="eastAsia" w:hAnsi="宋体" w:cs="宋体"/>
          <w:color w:val="auto"/>
          <w:u w:val="single"/>
        </w:rPr>
        <w:t xml:space="preserve">广西龙建工程管理有限公司  </w:t>
      </w:r>
    </w:p>
    <w:p>
      <w:pPr>
        <w:spacing w:line="380" w:lineRule="exact"/>
        <w:ind w:left="103" w:leftChars="49" w:firstLine="411" w:firstLineChars="196"/>
        <w:jc w:val="left"/>
        <w:rPr>
          <w:rFonts w:ascii="宋体" w:hAnsi="宋体" w:cs="宋体"/>
          <w:color w:val="auto"/>
        </w:rPr>
      </w:pPr>
      <w:r>
        <w:rPr>
          <w:rFonts w:hint="eastAsia" w:ascii="宋体" w:hAnsi="宋体" w:cs="宋体"/>
          <w:color w:val="auto"/>
        </w:rPr>
        <w:t>根据贵方</w:t>
      </w:r>
      <w:r>
        <w:rPr>
          <w:rFonts w:hint="eastAsia" w:ascii="宋体" w:hAnsi="宋体" w:cs="宋体"/>
          <w:color w:val="auto"/>
          <w:u w:val="single"/>
        </w:rPr>
        <w:t xml:space="preserve">  （项目名称）  </w:t>
      </w:r>
      <w:r>
        <w:rPr>
          <w:rFonts w:hint="eastAsia" w:ascii="宋体" w:hAnsi="宋体" w:cs="宋体"/>
          <w:color w:val="auto"/>
        </w:rPr>
        <w:t>竞争性谈判采购文件（</w:t>
      </w:r>
      <w:r>
        <w:rPr>
          <w:rFonts w:hint="eastAsia" w:ascii="宋体" w:hAnsi="宋体" w:cs="宋体"/>
          <w:color w:val="auto"/>
          <w:u w:val="single"/>
        </w:rPr>
        <w:t xml:space="preserve">  项目编号  </w:t>
      </w:r>
      <w:r>
        <w:rPr>
          <w:rFonts w:hint="eastAsia" w:ascii="宋体" w:hAnsi="宋体" w:cs="宋体"/>
          <w:color w:val="auto"/>
        </w:rPr>
        <w:t>），正式授权下述签字人</w:t>
      </w:r>
      <w:r>
        <w:rPr>
          <w:rFonts w:hint="eastAsia" w:ascii="宋体" w:hAnsi="宋体" w:cs="宋体"/>
          <w:color w:val="auto"/>
          <w:u w:val="single"/>
        </w:rPr>
        <w:t xml:space="preserve">               </w:t>
      </w:r>
      <w:r>
        <w:rPr>
          <w:rFonts w:hint="eastAsia" w:ascii="宋体" w:hAnsi="宋体" w:cs="宋体"/>
          <w:color w:val="auto"/>
        </w:rPr>
        <w:t>（姓名和职务）代表竞标人</w:t>
      </w:r>
      <w:r>
        <w:rPr>
          <w:rFonts w:hint="eastAsia" w:ascii="宋体" w:hAnsi="宋体" w:cs="宋体"/>
          <w:color w:val="auto"/>
          <w:u w:val="single"/>
        </w:rPr>
        <w:t xml:space="preserve">                             </w:t>
      </w:r>
      <w:r>
        <w:rPr>
          <w:rFonts w:hint="eastAsia" w:ascii="宋体" w:hAnsi="宋体" w:cs="宋体"/>
          <w:color w:val="auto"/>
        </w:rPr>
        <w:t>（竞标单位名称），提交下述文件：</w:t>
      </w:r>
    </w:p>
    <w:p>
      <w:pPr>
        <w:pStyle w:val="18"/>
        <w:spacing w:line="480" w:lineRule="exact"/>
        <w:ind w:firstLine="420"/>
        <w:rPr>
          <w:rFonts w:hAnsi="宋体" w:cs="宋体"/>
          <w:color w:val="auto"/>
        </w:rPr>
      </w:pPr>
      <w:r>
        <w:rPr>
          <w:rFonts w:hint="eastAsia" w:hAnsi="宋体" w:cs="宋体"/>
          <w:color w:val="auto"/>
        </w:rPr>
        <w:t>一、响应文件(按竞争性谈判采购文件第五章要求的格式及顺序自行填写提交)：</w:t>
      </w:r>
    </w:p>
    <w:p>
      <w:pPr>
        <w:pStyle w:val="18"/>
        <w:spacing w:line="420" w:lineRule="exact"/>
        <w:ind w:firstLine="420"/>
        <w:rPr>
          <w:rFonts w:hAnsi="宋体" w:cs="宋体"/>
          <w:color w:val="auto"/>
        </w:rPr>
      </w:pPr>
      <w:r>
        <w:rPr>
          <w:rFonts w:hint="eastAsia" w:hAnsi="宋体" w:cs="宋体"/>
          <w:color w:val="auto"/>
        </w:rPr>
        <w:t>⑴资格文件；</w:t>
      </w:r>
    </w:p>
    <w:p>
      <w:pPr>
        <w:pStyle w:val="18"/>
        <w:spacing w:line="420" w:lineRule="exact"/>
        <w:ind w:firstLine="420"/>
        <w:rPr>
          <w:rFonts w:hAnsi="宋体" w:cs="宋体"/>
          <w:color w:val="auto"/>
        </w:rPr>
      </w:pPr>
      <w:r>
        <w:rPr>
          <w:rFonts w:hint="eastAsia" w:hAnsi="宋体" w:cs="宋体"/>
          <w:color w:val="auto"/>
        </w:rPr>
        <w:t>⑵报价文件；</w:t>
      </w:r>
    </w:p>
    <w:p>
      <w:pPr>
        <w:pStyle w:val="18"/>
        <w:spacing w:line="420" w:lineRule="exact"/>
        <w:ind w:firstLine="420"/>
        <w:rPr>
          <w:rFonts w:hAnsi="宋体" w:cs="宋体"/>
          <w:color w:val="auto"/>
        </w:rPr>
      </w:pPr>
      <w:r>
        <w:rPr>
          <w:rFonts w:hint="eastAsia" w:hAnsi="宋体" w:cs="宋体"/>
          <w:color w:val="auto"/>
        </w:rPr>
        <w:t>⑶商务技术文件。</w:t>
      </w:r>
    </w:p>
    <w:p>
      <w:pPr>
        <w:pStyle w:val="18"/>
        <w:spacing w:line="420" w:lineRule="exact"/>
        <w:ind w:left="100" w:firstLine="420"/>
        <w:rPr>
          <w:rFonts w:hAnsi="宋体" w:cs="宋体"/>
          <w:color w:val="auto"/>
        </w:rPr>
      </w:pPr>
      <w:r>
        <w:rPr>
          <w:rFonts w:hint="eastAsia" w:hAnsi="宋体" w:cs="宋体"/>
          <w:color w:val="auto"/>
        </w:rPr>
        <w:t>二、据此函，签字人兹宣布同意如下：</w:t>
      </w:r>
    </w:p>
    <w:p>
      <w:pPr>
        <w:pStyle w:val="18"/>
        <w:spacing w:line="420" w:lineRule="exact"/>
        <w:ind w:left="100" w:firstLine="312"/>
        <w:rPr>
          <w:rFonts w:hAnsi="宋体" w:cs="宋体"/>
          <w:color w:val="auto"/>
        </w:rPr>
      </w:pPr>
      <w:r>
        <w:rPr>
          <w:rFonts w:hint="eastAsia" w:hAnsi="宋体" w:cs="宋体"/>
          <w:color w:val="auto"/>
        </w:rPr>
        <w:t>1、按竞争性谈判采购文件货物需求一览表和竞标报价表，竞标总报价人民币（大写）</w:t>
      </w:r>
      <w:r>
        <w:rPr>
          <w:rFonts w:hint="eastAsia" w:hAnsi="宋体" w:cs="宋体"/>
          <w:color w:val="auto"/>
          <w:u w:val="single"/>
        </w:rPr>
        <w:t xml:space="preserve">       </w:t>
      </w:r>
      <w:r>
        <w:rPr>
          <w:rFonts w:hint="eastAsia" w:hAnsi="宋体" w:cs="宋体"/>
          <w:color w:val="auto"/>
        </w:rPr>
        <w:t>元 (￥</w:t>
      </w:r>
      <w:r>
        <w:rPr>
          <w:rFonts w:hint="eastAsia" w:hAnsi="宋体" w:cs="宋体"/>
          <w:color w:val="auto"/>
          <w:u w:val="single"/>
        </w:rPr>
        <w:t xml:space="preserve">                </w:t>
      </w:r>
      <w:r>
        <w:rPr>
          <w:rFonts w:hint="eastAsia" w:hAnsi="宋体" w:cs="宋体"/>
          <w:color w:val="auto"/>
        </w:rPr>
        <w:t xml:space="preserve"> )，交货期：</w:t>
      </w:r>
      <w:r>
        <w:rPr>
          <w:rFonts w:hint="eastAsia" w:hAnsi="宋体" w:cs="宋体"/>
          <w:color w:val="auto"/>
          <w:u w:val="single"/>
        </w:rPr>
        <w:t xml:space="preserve">                   </w:t>
      </w:r>
      <w:r>
        <w:rPr>
          <w:rFonts w:hint="eastAsia" w:hAnsi="宋体" w:cs="宋体"/>
          <w:color w:val="auto"/>
        </w:rPr>
        <w:t>。</w:t>
      </w:r>
    </w:p>
    <w:p>
      <w:pPr>
        <w:pStyle w:val="18"/>
        <w:spacing w:line="360" w:lineRule="exact"/>
        <w:ind w:firstLine="420" w:firstLineChars="200"/>
        <w:rPr>
          <w:rFonts w:hAnsi="宋体" w:cs="宋体"/>
          <w:color w:val="auto"/>
        </w:rPr>
      </w:pPr>
      <w:r>
        <w:rPr>
          <w:rFonts w:hint="eastAsia" w:hAnsi="宋体" w:cs="宋体"/>
          <w:color w:val="auto"/>
        </w:rPr>
        <w:t>2、我方已详细审阅竞争性谈判采购文件，同意在竞标人须知规定的截标日期起遵循本竞争性谈判采购文件，在竞标人须知第14条规定的竞标有效期满之前均具有约束力，并按时通过</w:t>
      </w:r>
      <w:r>
        <w:rPr>
          <w:rStyle w:val="40"/>
          <w:rFonts w:ascii="Arial" w:hAnsi="Arial" w:eastAsia="Arial" w:cs="Arial"/>
          <w:color w:val="auto"/>
          <w:sz w:val="21"/>
          <w:szCs w:val="21"/>
          <w:shd w:val="clear" w:color="auto" w:fill="FFFFFF"/>
        </w:rPr>
        <w:t>广西政府采购云平台</w:t>
      </w:r>
      <w:r>
        <w:rPr>
          <w:rFonts w:hint="eastAsia" w:hAnsi="宋体" w:cs="宋体"/>
          <w:color w:val="auto"/>
        </w:rPr>
        <w:t>线上参加谈判。</w:t>
      </w:r>
    </w:p>
    <w:p>
      <w:pPr>
        <w:pStyle w:val="18"/>
        <w:spacing w:line="360" w:lineRule="exact"/>
        <w:ind w:firstLine="420"/>
        <w:rPr>
          <w:rFonts w:hAnsi="宋体" w:cs="宋体"/>
          <w:color w:val="auto"/>
        </w:rPr>
      </w:pPr>
      <w:r>
        <w:rPr>
          <w:rFonts w:hint="eastAsia" w:hAnsi="宋体" w:cs="宋体"/>
          <w:color w:val="auto"/>
        </w:rPr>
        <w:t>3、我方承诺已经具备《中华人民共和国政府采购法》中规定的参加政府采购活动的供应商应当具备的条件：</w:t>
      </w:r>
    </w:p>
    <w:p>
      <w:pPr>
        <w:pStyle w:val="18"/>
        <w:spacing w:line="360" w:lineRule="exact"/>
        <w:ind w:left="420"/>
        <w:rPr>
          <w:rFonts w:hAnsi="宋体" w:cs="宋体"/>
          <w:color w:val="auto"/>
        </w:rPr>
      </w:pPr>
      <w:r>
        <w:rPr>
          <w:rFonts w:hint="eastAsia" w:hAnsi="宋体" w:cs="宋体"/>
          <w:color w:val="auto"/>
        </w:rPr>
        <w:t>⑴具有独立承担民事责任的能力；</w:t>
      </w:r>
    </w:p>
    <w:p>
      <w:pPr>
        <w:pStyle w:val="18"/>
        <w:spacing w:line="360" w:lineRule="exact"/>
        <w:ind w:left="420"/>
        <w:rPr>
          <w:rFonts w:hAnsi="宋体" w:cs="宋体"/>
          <w:color w:val="auto"/>
        </w:rPr>
      </w:pPr>
      <w:r>
        <w:rPr>
          <w:rFonts w:hint="eastAsia" w:hAnsi="宋体" w:cs="宋体"/>
          <w:color w:val="auto"/>
        </w:rPr>
        <w:t>⑵具有良好的商业信誉和健全的财务会计制度；</w:t>
      </w:r>
    </w:p>
    <w:p>
      <w:pPr>
        <w:pStyle w:val="18"/>
        <w:spacing w:line="360" w:lineRule="exact"/>
        <w:ind w:left="420"/>
        <w:rPr>
          <w:rFonts w:hAnsi="宋体" w:cs="宋体"/>
          <w:color w:val="auto"/>
        </w:rPr>
      </w:pPr>
      <w:r>
        <w:rPr>
          <w:rFonts w:hint="eastAsia" w:hAnsi="宋体" w:cs="宋体"/>
          <w:color w:val="auto"/>
        </w:rPr>
        <w:t>⑶具有履行合同所必需的设备和专业技术能力；</w:t>
      </w:r>
    </w:p>
    <w:p>
      <w:pPr>
        <w:pStyle w:val="18"/>
        <w:spacing w:line="360" w:lineRule="exact"/>
        <w:ind w:left="420"/>
        <w:rPr>
          <w:rFonts w:hAnsi="宋体" w:cs="宋体"/>
          <w:color w:val="auto"/>
        </w:rPr>
      </w:pPr>
      <w:r>
        <w:rPr>
          <w:rFonts w:hint="eastAsia" w:hAnsi="宋体" w:cs="宋体"/>
          <w:color w:val="auto"/>
        </w:rPr>
        <w:t>⑷有依法缴纳税收和社会保障资金的良好记录；</w:t>
      </w:r>
    </w:p>
    <w:p>
      <w:pPr>
        <w:pStyle w:val="18"/>
        <w:spacing w:line="360" w:lineRule="exact"/>
        <w:ind w:left="420"/>
        <w:rPr>
          <w:rFonts w:hAnsi="宋体" w:cs="宋体"/>
          <w:color w:val="auto"/>
        </w:rPr>
      </w:pPr>
      <w:r>
        <w:rPr>
          <w:rFonts w:hint="eastAsia" w:hAnsi="宋体" w:cs="宋体"/>
          <w:color w:val="auto"/>
        </w:rPr>
        <w:t>⑸参加此项采购活动前三年内，在经营活动中没有重大违法记录。</w:t>
      </w:r>
    </w:p>
    <w:p>
      <w:pPr>
        <w:pStyle w:val="18"/>
        <w:spacing w:line="420" w:lineRule="exact"/>
        <w:ind w:left="100" w:firstLine="312"/>
        <w:rPr>
          <w:rFonts w:hAnsi="宋体" w:cs="宋体"/>
          <w:color w:val="auto"/>
        </w:rPr>
      </w:pPr>
      <w:r>
        <w:rPr>
          <w:rFonts w:hint="eastAsia" w:hAnsi="宋体" w:cs="宋体"/>
          <w:color w:val="auto"/>
        </w:rPr>
        <w:t>4、我方根据竞争性谈判采购文件的规定，承担完成合同的责任和义务。</w:t>
      </w:r>
    </w:p>
    <w:p>
      <w:pPr>
        <w:pStyle w:val="18"/>
        <w:spacing w:line="420" w:lineRule="exact"/>
        <w:ind w:firstLine="420" w:firstLineChars="200"/>
        <w:rPr>
          <w:rFonts w:hAnsi="宋体" w:cs="宋体"/>
          <w:color w:val="auto"/>
        </w:rPr>
      </w:pPr>
      <w:r>
        <w:rPr>
          <w:rFonts w:hint="eastAsia" w:hAnsi="宋体" w:cs="宋体"/>
          <w:color w:val="auto"/>
        </w:rPr>
        <w:t>5、我方已详细审核竞争性谈判采购文件，包括修改文件（如有的话）和有关附件，将自行承担因对全部采购文件理解不正确或误解而产生的相应后果。</w:t>
      </w:r>
    </w:p>
    <w:p>
      <w:pPr>
        <w:pStyle w:val="18"/>
        <w:spacing w:line="420" w:lineRule="exact"/>
        <w:ind w:firstLine="420" w:firstLineChars="200"/>
        <w:rPr>
          <w:rFonts w:hAnsi="宋体" w:cs="宋体"/>
          <w:color w:val="auto"/>
        </w:rPr>
      </w:pPr>
      <w:r>
        <w:rPr>
          <w:rFonts w:hint="eastAsia" w:hAnsi="宋体" w:cs="宋体"/>
          <w:color w:val="auto"/>
        </w:rPr>
        <w:t>6、我方声明在竞标有效期内撤回竞标或者有其他违约行为，我方同意被没收全部竞标保证金。</w:t>
      </w:r>
    </w:p>
    <w:p>
      <w:pPr>
        <w:pStyle w:val="18"/>
        <w:spacing w:line="420" w:lineRule="exact"/>
        <w:ind w:left="100" w:firstLine="312"/>
        <w:rPr>
          <w:rFonts w:hAnsi="宋体" w:cs="宋体"/>
          <w:color w:val="auto"/>
        </w:rPr>
      </w:pPr>
      <w:r>
        <w:rPr>
          <w:rFonts w:hint="eastAsia" w:hAnsi="宋体" w:cs="宋体"/>
          <w:color w:val="auto"/>
        </w:rPr>
        <w:t>7、同意向贵方提供贵方可能要求的与本竞标有关的任何数据或资料。</w:t>
      </w:r>
    </w:p>
    <w:p>
      <w:pPr>
        <w:pStyle w:val="18"/>
        <w:spacing w:line="360" w:lineRule="exact"/>
        <w:ind w:firstLine="420" w:firstLineChars="200"/>
        <w:rPr>
          <w:rFonts w:hAnsi="宋体" w:cs="宋体"/>
          <w:color w:val="auto"/>
        </w:rPr>
      </w:pPr>
      <w:r>
        <w:rPr>
          <w:rFonts w:hint="eastAsia" w:hAnsi="宋体" w:cs="宋体"/>
          <w:color w:val="auto"/>
        </w:rPr>
        <w:t>8、我方完全理解贵方不一定要接受最低价的竞标人为成交供应商。</w:t>
      </w:r>
    </w:p>
    <w:p>
      <w:pPr>
        <w:pStyle w:val="18"/>
        <w:spacing w:line="360" w:lineRule="exact"/>
        <w:ind w:firstLine="420" w:firstLineChars="200"/>
        <w:rPr>
          <w:rFonts w:hAnsi="宋体" w:cs="宋体"/>
          <w:color w:val="auto"/>
        </w:rPr>
      </w:pPr>
      <w:r>
        <w:rPr>
          <w:rFonts w:hint="eastAsia" w:hAnsi="宋体" w:cs="宋体"/>
          <w:color w:val="auto"/>
        </w:rPr>
        <w:t>9、若贵方需要，我方愿意提供我方作出的一切承诺的证明材料。</w:t>
      </w:r>
    </w:p>
    <w:p>
      <w:pPr>
        <w:pStyle w:val="18"/>
        <w:spacing w:line="360" w:lineRule="exact"/>
        <w:ind w:firstLine="420" w:firstLineChars="200"/>
        <w:rPr>
          <w:rFonts w:hAnsi="宋体" w:cs="宋体"/>
          <w:color w:val="auto"/>
        </w:rPr>
      </w:pPr>
      <w:r>
        <w:rPr>
          <w:rFonts w:hint="eastAsia" w:hAnsi="宋体" w:cs="宋体"/>
          <w:color w:val="auto"/>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8"/>
        <w:spacing w:line="360" w:lineRule="exact"/>
        <w:ind w:left="420"/>
        <w:rPr>
          <w:rFonts w:hAnsi="宋体" w:cs="宋体"/>
          <w:color w:val="auto"/>
        </w:rPr>
      </w:pPr>
      <w:r>
        <w:rPr>
          <w:rFonts w:hint="eastAsia" w:hAnsi="宋体" w:cs="宋体"/>
          <w:color w:val="auto"/>
        </w:rPr>
        <w:t>⑴提供虚假材料谋取成交、成交的；</w:t>
      </w:r>
    </w:p>
    <w:p>
      <w:pPr>
        <w:pStyle w:val="18"/>
        <w:spacing w:line="360" w:lineRule="exact"/>
        <w:ind w:left="420"/>
        <w:rPr>
          <w:rFonts w:hAnsi="宋体" w:cs="宋体"/>
          <w:color w:val="auto"/>
        </w:rPr>
      </w:pPr>
      <w:r>
        <w:rPr>
          <w:rFonts w:hint="eastAsia" w:hAnsi="宋体" w:cs="宋体"/>
          <w:color w:val="auto"/>
        </w:rPr>
        <w:t>⑵采取不正当手段诋毁、排挤其他供应商的；</w:t>
      </w:r>
    </w:p>
    <w:p>
      <w:pPr>
        <w:pStyle w:val="18"/>
        <w:spacing w:line="360" w:lineRule="exact"/>
        <w:ind w:left="420"/>
        <w:rPr>
          <w:rFonts w:hAnsi="宋体" w:cs="宋体"/>
          <w:color w:val="auto"/>
        </w:rPr>
      </w:pPr>
      <w:r>
        <w:rPr>
          <w:rFonts w:hint="eastAsia" w:hAnsi="宋体" w:cs="宋体"/>
          <w:color w:val="auto"/>
        </w:rPr>
        <w:t>⑶与采购人、其他供应商或者采购代理机构恶意串通的；</w:t>
      </w:r>
    </w:p>
    <w:p>
      <w:pPr>
        <w:pStyle w:val="18"/>
        <w:spacing w:line="360" w:lineRule="exact"/>
        <w:ind w:left="420"/>
        <w:rPr>
          <w:rFonts w:hAnsi="宋体" w:cs="宋体"/>
          <w:color w:val="auto"/>
        </w:rPr>
      </w:pPr>
      <w:r>
        <w:rPr>
          <w:rFonts w:hint="eastAsia" w:hAnsi="宋体" w:cs="宋体"/>
          <w:color w:val="auto"/>
        </w:rPr>
        <w:t>⑷向采购人、采购代理机构行贿或者提供其他不正当利益的；</w:t>
      </w:r>
    </w:p>
    <w:p>
      <w:pPr>
        <w:pStyle w:val="18"/>
        <w:spacing w:line="360" w:lineRule="exact"/>
        <w:ind w:left="420"/>
        <w:rPr>
          <w:rFonts w:hAnsi="宋体" w:cs="宋体"/>
          <w:color w:val="auto"/>
        </w:rPr>
      </w:pPr>
      <w:r>
        <w:rPr>
          <w:rFonts w:hint="eastAsia" w:hAnsi="宋体" w:cs="宋体"/>
          <w:color w:val="auto"/>
        </w:rPr>
        <w:t>⑸拒绝有关部门监督检查或提供虚假情况的。</w:t>
      </w:r>
    </w:p>
    <w:p>
      <w:pPr>
        <w:pStyle w:val="18"/>
        <w:spacing w:line="420" w:lineRule="exact"/>
        <w:ind w:left="100" w:firstLine="420"/>
        <w:rPr>
          <w:rFonts w:hAnsi="宋体" w:cs="宋体"/>
          <w:color w:val="auto"/>
        </w:rPr>
      </w:pPr>
      <w:r>
        <w:rPr>
          <w:rFonts w:hint="eastAsia" w:hAnsi="宋体" w:cs="宋体"/>
          <w:color w:val="auto"/>
        </w:rPr>
        <w:t>三、与本竞标有关的正式通讯地址为：</w:t>
      </w:r>
    </w:p>
    <w:p>
      <w:pPr>
        <w:pStyle w:val="18"/>
        <w:spacing w:line="420" w:lineRule="exact"/>
        <w:ind w:left="100" w:firstLine="420"/>
        <w:rPr>
          <w:rFonts w:hAnsi="宋体" w:cs="宋体"/>
          <w:color w:val="auto"/>
        </w:rPr>
      </w:pPr>
      <w:r>
        <w:rPr>
          <w:rFonts w:hint="eastAsia" w:hAnsi="宋体" w:cs="宋体"/>
          <w:color w:val="auto"/>
        </w:rPr>
        <w:t xml:space="preserve">地址：                          邮政编码： </w:t>
      </w:r>
      <w:r>
        <w:rPr>
          <w:rFonts w:hint="eastAsia" w:hAnsi="宋体" w:cs="宋体"/>
          <w:color w:val="auto"/>
          <w:u w:val="single"/>
        </w:rPr>
        <w:t xml:space="preserve">            </w:t>
      </w:r>
    </w:p>
    <w:p>
      <w:pPr>
        <w:pStyle w:val="18"/>
        <w:spacing w:line="420" w:lineRule="exact"/>
        <w:ind w:left="100" w:firstLine="420"/>
        <w:rPr>
          <w:rFonts w:hAnsi="宋体" w:cs="宋体"/>
          <w:color w:val="auto"/>
        </w:rPr>
      </w:pPr>
      <w:r>
        <w:rPr>
          <w:rFonts w:hint="eastAsia" w:hAnsi="宋体" w:cs="宋体"/>
          <w:color w:val="auto"/>
        </w:rPr>
        <w:t>电话、电报、传真或电传：</w:t>
      </w:r>
      <w:r>
        <w:rPr>
          <w:rFonts w:hint="eastAsia" w:hAnsi="宋体" w:cs="宋体"/>
          <w:color w:val="auto"/>
          <w:u w:val="single"/>
        </w:rPr>
        <w:t xml:space="preserve">                                      </w:t>
      </w:r>
    </w:p>
    <w:p>
      <w:pPr>
        <w:pStyle w:val="18"/>
        <w:spacing w:line="420" w:lineRule="exact"/>
        <w:ind w:left="100" w:firstLine="420"/>
        <w:rPr>
          <w:rFonts w:hAnsi="宋体" w:cs="宋体"/>
          <w:color w:val="auto"/>
        </w:rPr>
      </w:pPr>
      <w:r>
        <w:rPr>
          <w:rFonts w:hint="eastAsia" w:hAnsi="宋体" w:cs="宋体"/>
          <w:color w:val="auto"/>
        </w:rPr>
        <w:t>开户名称：</w:t>
      </w:r>
      <w:r>
        <w:rPr>
          <w:rFonts w:hint="eastAsia" w:hAnsi="宋体" w:cs="宋体"/>
          <w:color w:val="auto"/>
          <w:u w:val="single"/>
        </w:rPr>
        <w:t xml:space="preserve">                                                    </w:t>
      </w:r>
    </w:p>
    <w:p>
      <w:pPr>
        <w:pStyle w:val="18"/>
        <w:spacing w:line="420" w:lineRule="exact"/>
        <w:ind w:left="100" w:firstLine="420"/>
        <w:rPr>
          <w:rFonts w:hAnsi="宋体" w:cs="宋体"/>
          <w:color w:val="auto"/>
        </w:rPr>
      </w:pPr>
      <w:r>
        <w:rPr>
          <w:rFonts w:hint="eastAsia" w:hAnsi="宋体" w:cs="宋体"/>
          <w:color w:val="auto"/>
        </w:rPr>
        <w:t>开户银行：</w:t>
      </w:r>
      <w:r>
        <w:rPr>
          <w:rFonts w:hint="eastAsia" w:hAnsi="宋体" w:cs="宋体"/>
          <w:color w:val="auto"/>
          <w:u w:val="single"/>
        </w:rPr>
        <w:t xml:space="preserve">                                                    </w:t>
      </w:r>
    </w:p>
    <w:p>
      <w:pPr>
        <w:pStyle w:val="18"/>
        <w:spacing w:line="420" w:lineRule="exact"/>
        <w:ind w:left="100" w:firstLine="420"/>
        <w:rPr>
          <w:rFonts w:hAnsi="宋体" w:cs="宋体"/>
          <w:color w:val="auto"/>
        </w:rPr>
      </w:pPr>
      <w:r>
        <w:rPr>
          <w:rFonts w:hint="eastAsia" w:hAnsi="宋体" w:cs="宋体"/>
          <w:color w:val="auto"/>
        </w:rPr>
        <w:t>账号：</w:t>
      </w:r>
      <w:r>
        <w:rPr>
          <w:rFonts w:hint="eastAsia" w:hAnsi="宋体" w:cs="宋体"/>
          <w:color w:val="auto"/>
          <w:u w:val="single"/>
        </w:rPr>
        <w:t xml:space="preserve">                                                        </w:t>
      </w:r>
    </w:p>
    <w:p>
      <w:pPr>
        <w:autoSpaceDE w:val="0"/>
        <w:autoSpaceDN w:val="0"/>
        <w:spacing w:line="360" w:lineRule="auto"/>
        <w:ind w:left="4305" w:leftChars="1850" w:hanging="420" w:hangingChars="200"/>
        <w:rPr>
          <w:rFonts w:ascii="宋体" w:hAnsi="宋体" w:cs="宋体"/>
          <w:color w:val="auto"/>
          <w:kern w:val="0"/>
          <w:szCs w:val="21"/>
        </w:rPr>
      </w:pPr>
      <w:r>
        <w:rPr>
          <w:rFonts w:hint="eastAsia" w:ascii="宋体" w:hAnsi="宋体" w:cs="宋体"/>
          <w:color w:val="auto"/>
          <w:kern w:val="0"/>
          <w:szCs w:val="21"/>
        </w:rPr>
        <w:t>供应商名称（电子签章）：</w:t>
      </w:r>
    </w:p>
    <w:p>
      <w:pPr>
        <w:autoSpaceDE w:val="0"/>
        <w:autoSpaceDN w:val="0"/>
        <w:spacing w:line="360" w:lineRule="auto"/>
        <w:ind w:firstLine="5355" w:firstLineChars="2550"/>
        <w:rPr>
          <w:rFonts w:ascii="宋体" w:hAnsi="宋体" w:cs="宋体"/>
          <w:color w:val="auto"/>
          <w:sz w:val="24"/>
        </w:rPr>
      </w:pPr>
      <w:r>
        <w:rPr>
          <w:rFonts w:hint="eastAsia" w:ascii="宋体" w:hAnsi="宋体" w:cs="宋体"/>
          <w:color w:val="auto"/>
          <w:kern w:val="0"/>
          <w:szCs w:val="21"/>
          <w:lang w:val="zh-CN"/>
        </w:rPr>
        <w:t>日期：  年  月   日</w:t>
      </w:r>
      <w:r>
        <w:rPr>
          <w:rFonts w:hint="eastAsia" w:ascii="宋体" w:hAnsi="宋体" w:cs="宋体"/>
          <w:color w:val="auto"/>
          <w:szCs w:val="21"/>
        </w:rPr>
        <w:t xml:space="preserve">  </w:t>
      </w:r>
      <w:r>
        <w:rPr>
          <w:rFonts w:hint="eastAsia" w:ascii="宋体" w:hAnsi="宋体" w:cs="宋体"/>
          <w:color w:val="auto"/>
          <w:sz w:val="24"/>
        </w:rPr>
        <w:t xml:space="preserve">   </w:t>
      </w:r>
    </w:p>
    <w:p>
      <w:pPr>
        <w:pStyle w:val="18"/>
        <w:spacing w:line="420" w:lineRule="exact"/>
        <w:ind w:left="100"/>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r>
        <w:rPr>
          <w:rFonts w:hint="eastAsia" w:hAnsi="宋体" w:cs="宋体"/>
          <w:color w:val="auto"/>
        </w:rPr>
        <w:br w:type="page"/>
      </w:r>
    </w:p>
    <w:p>
      <w:pPr>
        <w:jc w:val="center"/>
        <w:rPr>
          <w:rFonts w:ascii="宋体" w:hAnsi="宋体" w:cs="宋体"/>
          <w:b/>
          <w:color w:val="auto"/>
          <w:sz w:val="32"/>
          <w:szCs w:val="32"/>
        </w:rPr>
      </w:pPr>
      <w:bookmarkStart w:id="64" w:name="_Toc137551185"/>
      <w:r>
        <w:rPr>
          <w:rFonts w:hint="eastAsia" w:ascii="宋体" w:hAnsi="宋体" w:cs="宋体"/>
          <w:b/>
          <w:color w:val="auto"/>
          <w:sz w:val="32"/>
          <w:szCs w:val="32"/>
        </w:rPr>
        <w:t>（2）竞标报价表</w:t>
      </w:r>
      <w:bookmarkEnd w:id="64"/>
      <w:r>
        <w:rPr>
          <w:rFonts w:hint="eastAsia" w:ascii="宋体" w:hAnsi="宋体" w:cs="宋体"/>
          <w:b/>
          <w:color w:val="auto"/>
          <w:sz w:val="32"/>
          <w:szCs w:val="32"/>
        </w:rPr>
        <w:t>（格式）</w:t>
      </w:r>
    </w:p>
    <w:p>
      <w:pPr>
        <w:jc w:val="left"/>
        <w:rPr>
          <w:rFonts w:ascii="宋体" w:hAnsi="宋体" w:cs="宋体"/>
          <w:color w:val="auto"/>
        </w:rPr>
      </w:pPr>
    </w:p>
    <w:p>
      <w:pPr>
        <w:pStyle w:val="18"/>
        <w:rPr>
          <w:rFonts w:hAnsi="宋体" w:cs="宋体"/>
          <w:color w:val="auto"/>
          <w:kern w:val="0"/>
          <w:sz w:val="20"/>
          <w:szCs w:val="24"/>
        </w:rPr>
      </w:pPr>
      <w:r>
        <w:rPr>
          <w:rFonts w:hint="eastAsia" w:hAnsi="宋体" w:cs="宋体"/>
          <w:color w:val="auto"/>
          <w:kern w:val="0"/>
          <w:sz w:val="20"/>
          <w:szCs w:val="24"/>
        </w:rPr>
        <w:t>项目名称：</w:t>
      </w:r>
    </w:p>
    <w:p>
      <w:pPr>
        <w:pStyle w:val="19"/>
        <w:ind w:left="5250"/>
        <w:rPr>
          <w:color w:val="auto"/>
        </w:rPr>
      </w:pPr>
    </w:p>
    <w:p>
      <w:pPr>
        <w:pStyle w:val="18"/>
        <w:rPr>
          <w:rFonts w:hAnsi="宋体" w:cs="宋体"/>
          <w:color w:val="auto"/>
          <w:kern w:val="0"/>
          <w:sz w:val="20"/>
          <w:szCs w:val="24"/>
        </w:rPr>
      </w:pPr>
      <w:r>
        <w:rPr>
          <w:rFonts w:hint="eastAsia" w:hAnsi="宋体" w:cs="宋体"/>
          <w:color w:val="auto"/>
          <w:kern w:val="0"/>
          <w:sz w:val="20"/>
          <w:szCs w:val="24"/>
        </w:rPr>
        <w:t>项目编号：</w:t>
      </w:r>
    </w:p>
    <w:p>
      <w:pPr>
        <w:pStyle w:val="19"/>
        <w:ind w:left="5250"/>
        <w:rPr>
          <w:color w:val="auto"/>
        </w:rPr>
      </w:pPr>
    </w:p>
    <w:tbl>
      <w:tblPr>
        <w:tblStyle w:val="46"/>
        <w:tblW w:w="976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189"/>
        <w:gridCol w:w="564"/>
        <w:gridCol w:w="1035"/>
        <w:gridCol w:w="945"/>
        <w:gridCol w:w="1170"/>
        <w:gridCol w:w="1888"/>
        <w:gridCol w:w="1224"/>
        <w:gridCol w:w="2"/>
        <w:gridCol w:w="1210"/>
        <w:gridCol w:w="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65"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pacing w:val="-20"/>
                <w:kern w:val="0"/>
                <w:sz w:val="20"/>
              </w:rPr>
            </w:pPr>
            <w:r>
              <w:rPr>
                <w:rFonts w:hint="eastAsia" w:ascii="宋体" w:hAnsi="宋体" w:cs="宋体"/>
                <w:color w:val="auto"/>
                <w:kern w:val="0"/>
                <w:sz w:val="22"/>
                <w:szCs w:val="22"/>
                <w:lang w:bidi="ar"/>
              </w:rPr>
              <w:t>序号</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pacing w:val="-20"/>
                <w:kern w:val="0"/>
                <w:sz w:val="20"/>
              </w:rPr>
            </w:pPr>
            <w:r>
              <w:rPr>
                <w:rFonts w:hint="eastAsia" w:ascii="宋体" w:hAnsi="宋体" w:cs="宋体"/>
                <w:color w:val="auto"/>
                <w:kern w:val="0"/>
                <w:sz w:val="22"/>
                <w:szCs w:val="22"/>
                <w:lang w:bidi="ar"/>
              </w:rPr>
              <w:t>名称</w:t>
            </w:r>
          </w:p>
        </w:tc>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pacing w:val="-20"/>
                <w:kern w:val="0"/>
                <w:sz w:val="20"/>
              </w:rPr>
            </w:pPr>
            <w:r>
              <w:rPr>
                <w:rFonts w:hint="eastAsia" w:ascii="宋体" w:hAnsi="宋体" w:cs="宋体"/>
                <w:color w:val="auto"/>
                <w:kern w:val="0"/>
                <w:sz w:val="22"/>
                <w:szCs w:val="22"/>
                <w:lang w:bidi="ar"/>
              </w:rPr>
              <w:t>数量</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①</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0"/>
              </w:rPr>
            </w:pPr>
            <w:r>
              <w:rPr>
                <w:rFonts w:hint="eastAsia" w:ascii="宋体" w:hAnsi="宋体" w:cs="宋体"/>
                <w:color w:val="auto"/>
                <w:kern w:val="0"/>
                <w:sz w:val="22"/>
                <w:szCs w:val="22"/>
                <w:lang w:bidi="ar"/>
              </w:rPr>
              <w:t>单位</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0"/>
              </w:rPr>
            </w:pPr>
            <w:r>
              <w:rPr>
                <w:rFonts w:hint="eastAsia" w:ascii="宋体" w:hAnsi="宋体" w:cs="宋体"/>
                <w:color w:val="auto"/>
                <w:kern w:val="0"/>
                <w:sz w:val="22"/>
                <w:szCs w:val="22"/>
                <w:lang w:bidi="ar"/>
              </w:rPr>
              <w:t>规格型号</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0"/>
              </w:rPr>
            </w:pPr>
            <w:r>
              <w:rPr>
                <w:rFonts w:hint="eastAsia" w:ascii="宋体" w:hAnsi="宋体" w:cs="宋体"/>
                <w:color w:val="auto"/>
                <w:kern w:val="0"/>
                <w:sz w:val="22"/>
                <w:szCs w:val="22"/>
                <w:lang w:bidi="ar"/>
              </w:rPr>
              <w:t>品牌及产地</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0"/>
              </w:rPr>
            </w:pPr>
            <w:r>
              <w:rPr>
                <w:rFonts w:hint="eastAsia" w:ascii="宋体" w:hAnsi="宋体" w:cs="宋体"/>
                <w:color w:val="auto"/>
                <w:kern w:val="0"/>
                <w:sz w:val="20"/>
              </w:rPr>
              <w:t>技术参数及性能、配置</w:t>
            </w:r>
          </w:p>
        </w:tc>
        <w:tc>
          <w:tcPr>
            <w:tcW w:w="122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0"/>
              </w:rPr>
            </w:pPr>
            <w:r>
              <w:rPr>
                <w:rFonts w:hint="eastAsia" w:ascii="宋体" w:hAnsi="宋体" w:cs="宋体"/>
                <w:color w:val="auto"/>
                <w:kern w:val="0"/>
                <w:sz w:val="22"/>
                <w:szCs w:val="22"/>
                <w:lang w:bidi="ar"/>
              </w:rPr>
              <w:t>单价</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②</w:t>
            </w:r>
          </w:p>
        </w:tc>
        <w:tc>
          <w:tcPr>
            <w:tcW w:w="121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单项合价</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4"/>
                <w:szCs w:val="20"/>
              </w:rPr>
            </w:pPr>
            <w:r>
              <w:rPr>
                <w:rFonts w:hint="eastAsia" w:ascii="宋体" w:hAnsi="宋体" w:cs="宋体"/>
                <w:color w:val="auto"/>
                <w:kern w:val="0"/>
                <w:sz w:val="22"/>
                <w:szCs w:val="22"/>
                <w:lang w:bidi="ar"/>
              </w:rPr>
              <w:t>1</w:t>
            </w:r>
          </w:p>
        </w:tc>
        <w:tc>
          <w:tcPr>
            <w:tcW w:w="11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0"/>
              </w:rPr>
            </w:pPr>
          </w:p>
        </w:tc>
        <w:tc>
          <w:tcPr>
            <w:tcW w:w="5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0"/>
              </w:rPr>
            </w:pPr>
          </w:p>
        </w:tc>
        <w:tc>
          <w:tcPr>
            <w:tcW w:w="10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0"/>
              </w:rPr>
            </w:pPr>
          </w:p>
        </w:tc>
        <w:tc>
          <w:tcPr>
            <w:tcW w:w="9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0"/>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0"/>
              </w:rPr>
            </w:pPr>
          </w:p>
        </w:tc>
        <w:tc>
          <w:tcPr>
            <w:tcW w:w="18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0"/>
              </w:rPr>
            </w:pPr>
          </w:p>
        </w:tc>
        <w:tc>
          <w:tcPr>
            <w:tcW w:w="122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pacing w:val="-6"/>
                <w:kern w:val="0"/>
                <w:sz w:val="20"/>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pacing w:val="-6"/>
                <w:kern w:val="0"/>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4"/>
                <w:szCs w:val="20"/>
              </w:rPr>
            </w:pPr>
            <w:r>
              <w:rPr>
                <w:rFonts w:hint="eastAsia" w:ascii="宋体" w:hAnsi="宋体" w:cs="宋体"/>
                <w:color w:val="auto"/>
                <w:kern w:val="0"/>
                <w:sz w:val="22"/>
                <w:szCs w:val="22"/>
                <w:lang w:bidi="ar"/>
              </w:rPr>
              <w:t>2</w:t>
            </w:r>
          </w:p>
        </w:tc>
        <w:tc>
          <w:tcPr>
            <w:tcW w:w="11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0"/>
              </w:rPr>
            </w:pPr>
          </w:p>
        </w:tc>
        <w:tc>
          <w:tcPr>
            <w:tcW w:w="5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0"/>
              </w:rPr>
            </w:pPr>
          </w:p>
        </w:tc>
        <w:tc>
          <w:tcPr>
            <w:tcW w:w="10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0"/>
              </w:rPr>
            </w:pPr>
          </w:p>
        </w:tc>
        <w:tc>
          <w:tcPr>
            <w:tcW w:w="9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0"/>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0"/>
              </w:rPr>
            </w:pPr>
          </w:p>
        </w:tc>
        <w:tc>
          <w:tcPr>
            <w:tcW w:w="18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0"/>
              </w:rPr>
            </w:pPr>
          </w:p>
        </w:tc>
        <w:tc>
          <w:tcPr>
            <w:tcW w:w="122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pacing w:val="-6"/>
                <w:kern w:val="0"/>
                <w:sz w:val="20"/>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pacing w:val="-6"/>
                <w:kern w:val="0"/>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4"/>
                <w:szCs w:val="20"/>
              </w:rPr>
            </w:pPr>
            <w:r>
              <w:rPr>
                <w:rFonts w:hint="eastAsia" w:ascii="宋体" w:hAnsi="宋体" w:cs="宋体"/>
                <w:color w:val="auto"/>
                <w:kern w:val="0"/>
                <w:sz w:val="22"/>
                <w:szCs w:val="22"/>
                <w:lang w:bidi="ar"/>
              </w:rPr>
              <w:t>3</w:t>
            </w:r>
          </w:p>
        </w:tc>
        <w:tc>
          <w:tcPr>
            <w:tcW w:w="11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0"/>
              </w:rPr>
            </w:pPr>
          </w:p>
        </w:tc>
        <w:tc>
          <w:tcPr>
            <w:tcW w:w="5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0"/>
              </w:rPr>
            </w:pPr>
          </w:p>
        </w:tc>
        <w:tc>
          <w:tcPr>
            <w:tcW w:w="10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0"/>
              </w:rPr>
            </w:pPr>
          </w:p>
        </w:tc>
        <w:tc>
          <w:tcPr>
            <w:tcW w:w="9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0"/>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0"/>
              </w:rPr>
            </w:pPr>
          </w:p>
        </w:tc>
        <w:tc>
          <w:tcPr>
            <w:tcW w:w="18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0"/>
              </w:rPr>
            </w:pPr>
          </w:p>
        </w:tc>
        <w:tc>
          <w:tcPr>
            <w:tcW w:w="122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pacing w:val="-6"/>
                <w:kern w:val="0"/>
                <w:sz w:val="20"/>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pacing w:val="-6"/>
                <w:kern w:val="0"/>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pacing w:val="-6"/>
                <w:kern w:val="0"/>
                <w:sz w:val="20"/>
              </w:rPr>
            </w:pPr>
            <w:r>
              <w:rPr>
                <w:rFonts w:hint="eastAsia" w:ascii="宋体" w:hAnsi="宋体" w:cs="宋体"/>
                <w:color w:val="auto"/>
                <w:kern w:val="0"/>
                <w:sz w:val="22"/>
                <w:szCs w:val="22"/>
                <w:lang w:bidi="ar"/>
              </w:rPr>
              <w:t>4</w:t>
            </w:r>
          </w:p>
        </w:tc>
        <w:tc>
          <w:tcPr>
            <w:tcW w:w="1189"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564"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035"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945"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170"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888"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226" w:type="dxa"/>
            <w:gridSpan w:val="2"/>
            <w:tcBorders>
              <w:top w:val="single" w:color="auto" w:sz="4" w:space="0"/>
              <w:left w:val="single" w:color="auto" w:sz="4" w:space="0"/>
              <w:bottom w:val="single" w:color="auto" w:sz="4" w:space="0"/>
              <w:right w:val="single" w:color="auto" w:sz="4" w:space="0"/>
            </w:tcBorders>
            <w:vAlign w:val="center"/>
          </w:tcPr>
          <w:p>
            <w:pPr>
              <w:rPr>
                <w:color w:val="auto"/>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pacing w:val="-6"/>
                <w:kern w:val="0"/>
                <w:sz w:val="20"/>
              </w:rPr>
            </w:pPr>
            <w:r>
              <w:rPr>
                <w:rFonts w:hint="eastAsia" w:ascii="宋体" w:hAnsi="宋体" w:cs="宋体"/>
                <w:color w:val="auto"/>
                <w:kern w:val="0"/>
                <w:sz w:val="22"/>
                <w:szCs w:val="22"/>
                <w:lang w:bidi="ar"/>
              </w:rPr>
              <w:t>5</w:t>
            </w:r>
          </w:p>
        </w:tc>
        <w:tc>
          <w:tcPr>
            <w:tcW w:w="1189"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564"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035"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945"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170"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888"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226" w:type="dxa"/>
            <w:gridSpan w:val="2"/>
            <w:tcBorders>
              <w:top w:val="single" w:color="auto" w:sz="4" w:space="0"/>
              <w:left w:val="single" w:color="auto" w:sz="4" w:space="0"/>
              <w:bottom w:val="single" w:color="auto" w:sz="4" w:space="0"/>
              <w:right w:val="single" w:color="auto" w:sz="4" w:space="0"/>
            </w:tcBorders>
            <w:vAlign w:val="center"/>
          </w:tcPr>
          <w:p>
            <w:pPr>
              <w:rPr>
                <w:color w:val="auto"/>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pacing w:val="-6"/>
                <w:kern w:val="0"/>
                <w:sz w:val="20"/>
              </w:rPr>
            </w:pPr>
            <w:r>
              <w:rPr>
                <w:rFonts w:hint="eastAsia" w:ascii="宋体" w:hAnsi="宋体" w:cs="宋体"/>
                <w:color w:val="auto"/>
                <w:kern w:val="0"/>
                <w:sz w:val="22"/>
                <w:szCs w:val="22"/>
                <w:lang w:bidi="ar"/>
              </w:rPr>
              <w:t>6</w:t>
            </w:r>
          </w:p>
        </w:tc>
        <w:tc>
          <w:tcPr>
            <w:tcW w:w="1189"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564"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035"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945"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170"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888"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226" w:type="dxa"/>
            <w:gridSpan w:val="2"/>
            <w:tcBorders>
              <w:top w:val="single" w:color="auto" w:sz="4" w:space="0"/>
              <w:left w:val="single" w:color="auto" w:sz="4" w:space="0"/>
              <w:bottom w:val="single" w:color="auto" w:sz="4" w:space="0"/>
              <w:right w:val="single" w:color="auto" w:sz="4" w:space="0"/>
            </w:tcBorders>
            <w:vAlign w:val="center"/>
          </w:tcPr>
          <w:p>
            <w:pPr>
              <w:rPr>
                <w:color w:val="auto"/>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w:t>
            </w:r>
          </w:p>
        </w:tc>
        <w:tc>
          <w:tcPr>
            <w:tcW w:w="1189"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564"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035"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945"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170"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888"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226" w:type="dxa"/>
            <w:gridSpan w:val="2"/>
            <w:tcBorders>
              <w:top w:val="single" w:color="auto" w:sz="4" w:space="0"/>
              <w:left w:val="single" w:color="auto" w:sz="4" w:space="0"/>
              <w:bottom w:val="single" w:color="auto" w:sz="4" w:space="0"/>
              <w:right w:val="single" w:color="auto" w:sz="4" w:space="0"/>
            </w:tcBorders>
            <w:vAlign w:val="center"/>
          </w:tcPr>
          <w:p>
            <w:pPr>
              <w:rPr>
                <w:color w:val="auto"/>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 w:type="dxa"/>
          <w:trHeight w:val="624" w:hRule="atLeast"/>
          <w:jc w:val="center"/>
        </w:trPr>
        <w:tc>
          <w:tcPr>
            <w:tcW w:w="8555" w:type="dxa"/>
            <w:gridSpan w:val="8"/>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总报价（人民币）</w:t>
            </w:r>
            <w:r>
              <w:rPr>
                <w:rFonts w:hint="eastAsia"/>
                <w:color w:val="auto"/>
                <w:u w:val="single"/>
              </w:rPr>
              <w:t xml:space="preserve">                               </w:t>
            </w:r>
            <w:r>
              <w:rPr>
                <w:rFonts w:hint="eastAsia"/>
                <w:color w:val="auto"/>
              </w:rPr>
              <w:t>（¥</w:t>
            </w:r>
            <w:r>
              <w:rPr>
                <w:rFonts w:hint="eastAsia"/>
                <w:color w:val="auto"/>
                <w:u w:val="single"/>
              </w:rPr>
              <w:t xml:space="preserve">              </w:t>
            </w:r>
            <w:r>
              <w:rPr>
                <w:rFonts w:hint="eastAsia"/>
                <w:color w:val="auto"/>
              </w:rPr>
              <w:t>元）</w:t>
            </w:r>
          </w:p>
        </w:tc>
        <w:tc>
          <w:tcPr>
            <w:tcW w:w="1212" w:type="dxa"/>
            <w:gridSpan w:val="2"/>
            <w:tcBorders>
              <w:top w:val="single" w:color="auto" w:sz="4" w:space="0"/>
              <w:left w:val="single" w:color="auto" w:sz="4" w:space="0"/>
              <w:bottom w:val="single" w:color="auto" w:sz="4" w:space="0"/>
              <w:right w:val="single" w:color="auto" w:sz="4" w:space="0"/>
            </w:tcBorders>
            <w:vAlign w:val="center"/>
          </w:tcPr>
          <w:p>
            <w:pPr>
              <w:rPr>
                <w:rFonts w:hint="eastAsia"/>
                <w:color w:val="auto"/>
              </w:rPr>
            </w:pPr>
          </w:p>
        </w:tc>
      </w:tr>
    </w:tbl>
    <w:p>
      <w:pPr>
        <w:pStyle w:val="18"/>
        <w:rPr>
          <w:rFonts w:hAnsi="宋体" w:cs="宋体"/>
          <w:color w:val="auto"/>
        </w:rPr>
      </w:pPr>
    </w:p>
    <w:p>
      <w:pPr>
        <w:pStyle w:val="18"/>
        <w:rPr>
          <w:rFonts w:hAnsi="宋体" w:cs="宋体"/>
          <w:color w:val="auto"/>
        </w:rPr>
      </w:pPr>
    </w:p>
    <w:p>
      <w:pPr>
        <w:pStyle w:val="19"/>
        <w:ind w:left="5250"/>
        <w:rPr>
          <w:rFonts w:hAnsi="宋体" w:cs="宋体"/>
          <w:color w:val="auto"/>
        </w:rPr>
      </w:pPr>
    </w:p>
    <w:p>
      <w:pPr>
        <w:rPr>
          <w:color w:val="auto"/>
        </w:rPr>
      </w:pPr>
    </w:p>
    <w:p>
      <w:pPr>
        <w:pStyle w:val="18"/>
        <w:rPr>
          <w:rFonts w:hAnsi="宋体" w:cs="宋体"/>
          <w:color w:val="auto"/>
        </w:rPr>
      </w:pPr>
    </w:p>
    <w:p>
      <w:pPr>
        <w:autoSpaceDE w:val="0"/>
        <w:autoSpaceDN w:val="0"/>
        <w:spacing w:line="360" w:lineRule="auto"/>
        <w:ind w:left="4305" w:leftChars="1850" w:hanging="420" w:hangingChars="200"/>
        <w:rPr>
          <w:rFonts w:ascii="宋体" w:hAnsi="宋体" w:cs="宋体"/>
          <w:color w:val="auto"/>
          <w:kern w:val="0"/>
          <w:szCs w:val="21"/>
        </w:rPr>
      </w:pPr>
      <w:r>
        <w:rPr>
          <w:rFonts w:hint="eastAsia" w:ascii="宋体" w:hAnsi="宋体" w:cs="宋体"/>
          <w:color w:val="auto"/>
          <w:kern w:val="0"/>
          <w:szCs w:val="21"/>
        </w:rPr>
        <w:t>供应商名称（电子签章）：</w:t>
      </w:r>
    </w:p>
    <w:p>
      <w:pPr>
        <w:autoSpaceDE w:val="0"/>
        <w:autoSpaceDN w:val="0"/>
        <w:spacing w:line="360" w:lineRule="auto"/>
        <w:ind w:firstLine="5355" w:firstLineChars="2550"/>
        <w:rPr>
          <w:rFonts w:ascii="宋体" w:hAnsi="宋体" w:cs="宋体"/>
          <w:color w:val="auto"/>
          <w:szCs w:val="21"/>
        </w:rPr>
      </w:pPr>
      <w:r>
        <w:rPr>
          <w:rFonts w:hint="eastAsia" w:ascii="宋体" w:hAnsi="宋体" w:cs="宋体"/>
          <w:color w:val="auto"/>
          <w:kern w:val="0"/>
          <w:szCs w:val="21"/>
          <w:lang w:val="zh-CN"/>
        </w:rPr>
        <w:t>日期：  年  月   日</w:t>
      </w:r>
      <w:r>
        <w:rPr>
          <w:rFonts w:hint="eastAsia" w:ascii="宋体" w:hAnsi="宋体" w:cs="宋体"/>
          <w:color w:val="auto"/>
          <w:szCs w:val="21"/>
        </w:rPr>
        <w:t xml:space="preserve">     </w:t>
      </w:r>
    </w:p>
    <w:p>
      <w:pPr>
        <w:pStyle w:val="18"/>
        <w:spacing w:line="240" w:lineRule="exact"/>
        <w:rPr>
          <w:rFonts w:hAnsi="宋体" w:cs="宋体"/>
          <w:b/>
          <w:color w:val="auto"/>
          <w:sz w:val="44"/>
        </w:rPr>
      </w:pPr>
    </w:p>
    <w:p>
      <w:pPr>
        <w:pStyle w:val="18"/>
        <w:spacing w:line="240" w:lineRule="exact"/>
        <w:rPr>
          <w:rFonts w:hAnsi="宋体" w:cs="宋体"/>
          <w:b/>
          <w:color w:val="auto"/>
          <w:sz w:val="44"/>
        </w:rPr>
      </w:pPr>
    </w:p>
    <w:p>
      <w:pPr>
        <w:pStyle w:val="18"/>
        <w:spacing w:line="400" w:lineRule="exact"/>
        <w:rPr>
          <w:rFonts w:hAnsi="宋体" w:cs="宋体"/>
          <w:color w:val="auto"/>
        </w:rPr>
      </w:pPr>
      <w:r>
        <w:rPr>
          <w:rFonts w:hint="eastAsia" w:hAnsi="宋体" w:cs="宋体"/>
          <w:color w:val="auto"/>
        </w:rPr>
        <w:t>竞标说明：</w:t>
      </w:r>
    </w:p>
    <w:p>
      <w:pPr>
        <w:pStyle w:val="18"/>
        <w:spacing w:line="380" w:lineRule="exact"/>
        <w:ind w:firstLine="420"/>
        <w:rPr>
          <w:rFonts w:hAnsi="宋体" w:cs="宋体"/>
          <w:color w:val="auto"/>
        </w:rPr>
      </w:pPr>
      <w:r>
        <w:rPr>
          <w:rFonts w:hint="eastAsia" w:hAnsi="宋体" w:cs="宋体"/>
          <w:color w:val="auto"/>
        </w:rPr>
        <w:t>1、凡在“技术参数及性能（配置）要求”中表述为“标配”或“标准配置”的设备，竞标人应在竞</w:t>
      </w:r>
    </w:p>
    <w:p>
      <w:pPr>
        <w:pStyle w:val="18"/>
        <w:spacing w:line="380" w:lineRule="exact"/>
        <w:ind w:firstLine="743" w:firstLineChars="354"/>
        <w:rPr>
          <w:rFonts w:hAnsi="宋体" w:cs="宋体"/>
          <w:color w:val="auto"/>
        </w:rPr>
      </w:pPr>
      <w:r>
        <w:rPr>
          <w:rFonts w:hint="eastAsia" w:hAnsi="宋体" w:cs="宋体"/>
          <w:color w:val="auto"/>
        </w:rPr>
        <w:t>标报价表中将其标配参数详细列明，否则该竞标无效。</w:t>
      </w:r>
    </w:p>
    <w:p>
      <w:pPr>
        <w:pStyle w:val="18"/>
        <w:ind w:firstLine="210" w:firstLineChars="100"/>
        <w:rPr>
          <w:rFonts w:hAnsi="宋体" w:cs="宋体"/>
          <w:bCs/>
          <w:color w:val="auto"/>
        </w:rPr>
      </w:pPr>
    </w:p>
    <w:p>
      <w:pPr>
        <w:pStyle w:val="18"/>
        <w:ind w:left="420" w:leftChars="100" w:hanging="210" w:hangingChars="100"/>
        <w:jc w:val="center"/>
        <w:rPr>
          <w:rFonts w:hAnsi="宋体" w:cs="宋体"/>
          <w:color w:val="auto"/>
        </w:rPr>
      </w:pPr>
    </w:p>
    <w:p>
      <w:pPr>
        <w:pStyle w:val="18"/>
        <w:ind w:left="420" w:leftChars="100" w:hanging="210" w:hangingChars="100"/>
        <w:jc w:val="center"/>
        <w:rPr>
          <w:rFonts w:hAnsi="宋体" w:cs="宋体"/>
          <w:color w:val="auto"/>
        </w:rPr>
      </w:pPr>
    </w:p>
    <w:p>
      <w:pPr>
        <w:pStyle w:val="18"/>
        <w:ind w:left="420" w:leftChars="100" w:hanging="210" w:hangingChars="100"/>
        <w:jc w:val="center"/>
        <w:rPr>
          <w:rFonts w:hAnsi="宋体" w:cs="宋体"/>
          <w:color w:val="auto"/>
        </w:rPr>
      </w:pPr>
    </w:p>
    <w:p>
      <w:pPr>
        <w:pStyle w:val="18"/>
        <w:ind w:left="420" w:leftChars="100" w:hanging="210" w:hangingChars="100"/>
        <w:jc w:val="center"/>
        <w:rPr>
          <w:rFonts w:hAnsi="宋体" w:cs="宋体"/>
          <w:color w:val="auto"/>
        </w:rPr>
      </w:pPr>
    </w:p>
    <w:p>
      <w:pPr>
        <w:pStyle w:val="18"/>
        <w:ind w:left="420" w:leftChars="100" w:hanging="210" w:hangingChars="100"/>
        <w:jc w:val="center"/>
        <w:rPr>
          <w:rFonts w:hAnsi="宋体" w:cs="宋体"/>
          <w:color w:val="auto"/>
        </w:rPr>
      </w:pPr>
    </w:p>
    <w:p>
      <w:pPr>
        <w:pStyle w:val="18"/>
        <w:ind w:left="420" w:leftChars="100" w:hanging="210" w:hangingChars="100"/>
        <w:jc w:val="center"/>
        <w:rPr>
          <w:rFonts w:hAnsi="宋体" w:cs="宋体"/>
          <w:color w:val="auto"/>
        </w:rPr>
      </w:pPr>
    </w:p>
    <w:p>
      <w:pPr>
        <w:pStyle w:val="18"/>
        <w:ind w:left="420" w:leftChars="100" w:hanging="210" w:hangingChars="100"/>
        <w:jc w:val="center"/>
        <w:rPr>
          <w:rFonts w:hAnsi="宋体" w:cs="宋体"/>
          <w:color w:val="auto"/>
        </w:rPr>
      </w:pPr>
    </w:p>
    <w:p>
      <w:pPr>
        <w:pStyle w:val="18"/>
        <w:ind w:left="420" w:leftChars="100" w:hanging="210" w:hangingChars="100"/>
        <w:jc w:val="center"/>
        <w:rPr>
          <w:rFonts w:hAnsi="宋体" w:cs="宋体"/>
          <w:color w:val="auto"/>
        </w:rPr>
      </w:pPr>
    </w:p>
    <w:p>
      <w:pPr>
        <w:pStyle w:val="18"/>
        <w:ind w:left="420" w:leftChars="100" w:hanging="210" w:hangingChars="100"/>
        <w:jc w:val="center"/>
        <w:rPr>
          <w:rFonts w:hAnsi="宋体" w:cs="宋体"/>
          <w:color w:val="auto"/>
        </w:rPr>
      </w:pPr>
    </w:p>
    <w:p>
      <w:pPr>
        <w:pStyle w:val="18"/>
        <w:ind w:left="420" w:leftChars="100" w:hanging="210" w:hangingChars="100"/>
        <w:jc w:val="center"/>
        <w:rPr>
          <w:rFonts w:hAnsi="宋体" w:cs="宋体"/>
          <w:color w:val="auto"/>
        </w:rPr>
      </w:pPr>
    </w:p>
    <w:p>
      <w:pPr>
        <w:pStyle w:val="10"/>
        <w:spacing w:before="56" w:line="220" w:lineRule="auto"/>
        <w:ind w:left="4067"/>
        <w:jc w:val="both"/>
        <w:outlineLvl w:val="0"/>
        <w:rPr>
          <w:color w:val="auto"/>
          <w:sz w:val="28"/>
          <w:szCs w:val="28"/>
        </w:rPr>
      </w:pPr>
      <w:r>
        <w:rPr>
          <w:b/>
          <w:bCs/>
          <w:color w:val="auto"/>
          <w:spacing w:val="-9"/>
          <w:sz w:val="28"/>
          <w:szCs w:val="28"/>
        </w:rPr>
        <w:t>图书采购</w:t>
      </w:r>
      <w:r>
        <w:rPr>
          <w:rFonts w:hint="eastAsia"/>
          <w:b/>
          <w:bCs/>
          <w:color w:val="auto"/>
          <w:spacing w:val="-9"/>
          <w:sz w:val="28"/>
          <w:szCs w:val="28"/>
        </w:rPr>
        <w:t>目录</w:t>
      </w:r>
    </w:p>
    <w:p>
      <w:pPr>
        <w:spacing w:before="72"/>
        <w:rPr>
          <w:color w:val="auto"/>
        </w:rPr>
      </w:pPr>
    </w:p>
    <w:p>
      <w:pPr>
        <w:spacing w:line="354" w:lineRule="auto"/>
        <w:rPr>
          <w:rFonts w:ascii="Arial"/>
          <w:color w:val="auto"/>
        </w:rPr>
      </w:pPr>
    </w:p>
    <w:tbl>
      <w:tblPr>
        <w:tblStyle w:val="46"/>
        <w:tblW w:w="85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998"/>
        <w:gridCol w:w="1211"/>
        <w:gridCol w:w="1169"/>
        <w:gridCol w:w="668"/>
        <w:gridCol w:w="998"/>
        <w:gridCol w:w="736"/>
        <w:gridCol w:w="930"/>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748" w:type="dxa"/>
            <w:vAlign w:val="center"/>
          </w:tcPr>
          <w:p>
            <w:pPr>
              <w:spacing w:line="340" w:lineRule="exact"/>
              <w:rPr>
                <w:rFonts w:ascii="宋体" w:hAnsi="宋体" w:cs="宋体"/>
                <w:color w:val="auto"/>
                <w:szCs w:val="21"/>
              </w:rPr>
            </w:pPr>
            <w:r>
              <w:rPr>
                <w:rFonts w:hint="eastAsia" w:ascii="宋体" w:hAnsi="宋体" w:cs="宋体"/>
                <w:color w:val="auto"/>
                <w:szCs w:val="21"/>
              </w:rPr>
              <w:t>序号</w:t>
            </w:r>
          </w:p>
        </w:tc>
        <w:tc>
          <w:tcPr>
            <w:tcW w:w="998"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书号</w:t>
            </w:r>
          </w:p>
        </w:tc>
        <w:tc>
          <w:tcPr>
            <w:tcW w:w="121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书名</w:t>
            </w:r>
          </w:p>
        </w:tc>
        <w:tc>
          <w:tcPr>
            <w:tcW w:w="1169"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出版社</w:t>
            </w:r>
          </w:p>
        </w:tc>
        <w:tc>
          <w:tcPr>
            <w:tcW w:w="668"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定价</w:t>
            </w:r>
          </w:p>
        </w:tc>
        <w:tc>
          <w:tcPr>
            <w:tcW w:w="998"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出版日期</w:t>
            </w:r>
          </w:p>
        </w:tc>
        <w:tc>
          <w:tcPr>
            <w:tcW w:w="736"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数量</w:t>
            </w:r>
          </w:p>
        </w:tc>
        <w:tc>
          <w:tcPr>
            <w:tcW w:w="930"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单价</w:t>
            </w:r>
          </w:p>
        </w:tc>
        <w:tc>
          <w:tcPr>
            <w:tcW w:w="1139" w:type="dxa"/>
            <w:vAlign w:val="center"/>
          </w:tcPr>
          <w:p>
            <w:pPr>
              <w:spacing w:line="340" w:lineRule="exact"/>
              <w:jc w:val="center"/>
              <w:rPr>
                <w:rFonts w:ascii="宋体" w:hAnsi="宋体" w:cs="宋体"/>
                <w:color w:val="auto"/>
                <w:szCs w:val="21"/>
              </w:rPr>
            </w:pPr>
            <w:r>
              <w:rPr>
                <w:rFonts w:hint="eastAsia" w:ascii="宋体" w:hAnsi="宋体" w:cs="宋体"/>
                <w:color w:val="auto"/>
                <w:szCs w:val="21"/>
                <w:lang w:eastAsia="zh-CN"/>
              </w:rPr>
              <w:t>单项合</w:t>
            </w:r>
            <w:r>
              <w:rPr>
                <w:rFonts w:hint="eastAsia" w:ascii="宋体" w:hAnsi="宋体" w:cs="宋体"/>
                <w:color w:val="auto"/>
                <w:szCs w:val="21"/>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748" w:type="dxa"/>
          </w:tcPr>
          <w:p>
            <w:pPr>
              <w:spacing w:line="340" w:lineRule="exact"/>
              <w:rPr>
                <w:rFonts w:ascii="宋体" w:hAnsi="宋体" w:cs="宋体"/>
                <w:color w:val="auto"/>
                <w:szCs w:val="21"/>
              </w:rPr>
            </w:pPr>
            <w:r>
              <w:rPr>
                <w:rFonts w:hint="eastAsia" w:ascii="宋体" w:hAnsi="宋体" w:cs="宋体"/>
                <w:color w:val="auto"/>
                <w:szCs w:val="21"/>
              </w:rPr>
              <w:t>1</w:t>
            </w:r>
          </w:p>
        </w:tc>
        <w:tc>
          <w:tcPr>
            <w:tcW w:w="998" w:type="dxa"/>
          </w:tcPr>
          <w:p>
            <w:pPr>
              <w:spacing w:line="340" w:lineRule="exact"/>
              <w:rPr>
                <w:rFonts w:ascii="宋体" w:hAnsi="宋体" w:cs="宋体"/>
                <w:color w:val="auto"/>
                <w:szCs w:val="21"/>
              </w:rPr>
            </w:pPr>
          </w:p>
        </w:tc>
        <w:tc>
          <w:tcPr>
            <w:tcW w:w="1211" w:type="dxa"/>
          </w:tcPr>
          <w:p>
            <w:pPr>
              <w:spacing w:line="340" w:lineRule="exact"/>
              <w:rPr>
                <w:rFonts w:ascii="宋体" w:hAnsi="宋体" w:cs="宋体"/>
                <w:color w:val="auto"/>
                <w:szCs w:val="21"/>
              </w:rPr>
            </w:pPr>
          </w:p>
        </w:tc>
        <w:tc>
          <w:tcPr>
            <w:tcW w:w="1169" w:type="dxa"/>
          </w:tcPr>
          <w:p>
            <w:pPr>
              <w:spacing w:line="340" w:lineRule="exact"/>
              <w:rPr>
                <w:rFonts w:ascii="宋体" w:hAnsi="宋体" w:cs="宋体"/>
                <w:color w:val="auto"/>
                <w:szCs w:val="21"/>
              </w:rPr>
            </w:pPr>
          </w:p>
        </w:tc>
        <w:tc>
          <w:tcPr>
            <w:tcW w:w="668" w:type="dxa"/>
          </w:tcPr>
          <w:p>
            <w:pPr>
              <w:spacing w:line="340" w:lineRule="exact"/>
              <w:rPr>
                <w:rFonts w:ascii="宋体" w:hAnsi="宋体" w:cs="宋体"/>
                <w:color w:val="auto"/>
                <w:szCs w:val="21"/>
              </w:rPr>
            </w:pPr>
          </w:p>
        </w:tc>
        <w:tc>
          <w:tcPr>
            <w:tcW w:w="998" w:type="dxa"/>
          </w:tcPr>
          <w:p>
            <w:pPr>
              <w:spacing w:line="340" w:lineRule="exact"/>
              <w:rPr>
                <w:rFonts w:ascii="宋体" w:hAnsi="宋体" w:cs="宋体"/>
                <w:color w:val="auto"/>
                <w:szCs w:val="21"/>
              </w:rPr>
            </w:pPr>
          </w:p>
        </w:tc>
        <w:tc>
          <w:tcPr>
            <w:tcW w:w="736" w:type="dxa"/>
          </w:tcPr>
          <w:p>
            <w:pPr>
              <w:spacing w:line="340" w:lineRule="exact"/>
              <w:rPr>
                <w:rFonts w:ascii="宋体" w:hAnsi="宋体" w:cs="宋体"/>
                <w:color w:val="auto"/>
                <w:szCs w:val="21"/>
              </w:rPr>
            </w:pPr>
          </w:p>
        </w:tc>
        <w:tc>
          <w:tcPr>
            <w:tcW w:w="930" w:type="dxa"/>
          </w:tcPr>
          <w:p>
            <w:pPr>
              <w:spacing w:line="340" w:lineRule="exact"/>
              <w:rPr>
                <w:rFonts w:ascii="宋体" w:hAnsi="宋体" w:cs="宋体"/>
                <w:color w:val="auto"/>
                <w:szCs w:val="21"/>
              </w:rPr>
            </w:pPr>
          </w:p>
        </w:tc>
        <w:tc>
          <w:tcPr>
            <w:tcW w:w="1139" w:type="dxa"/>
          </w:tcPr>
          <w:p>
            <w:pPr>
              <w:spacing w:line="34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748" w:type="dxa"/>
          </w:tcPr>
          <w:p>
            <w:pPr>
              <w:spacing w:line="340" w:lineRule="exact"/>
              <w:rPr>
                <w:rFonts w:ascii="宋体" w:hAnsi="宋体" w:cs="宋体"/>
                <w:color w:val="auto"/>
                <w:szCs w:val="21"/>
              </w:rPr>
            </w:pPr>
            <w:r>
              <w:rPr>
                <w:rFonts w:hint="eastAsia" w:ascii="宋体" w:hAnsi="宋体" w:cs="宋体"/>
                <w:color w:val="auto"/>
                <w:szCs w:val="21"/>
              </w:rPr>
              <w:t>2</w:t>
            </w:r>
          </w:p>
        </w:tc>
        <w:tc>
          <w:tcPr>
            <w:tcW w:w="998" w:type="dxa"/>
          </w:tcPr>
          <w:p>
            <w:pPr>
              <w:spacing w:line="340" w:lineRule="exact"/>
              <w:rPr>
                <w:rFonts w:ascii="宋体" w:hAnsi="宋体" w:cs="宋体"/>
                <w:color w:val="auto"/>
                <w:szCs w:val="21"/>
              </w:rPr>
            </w:pPr>
          </w:p>
        </w:tc>
        <w:tc>
          <w:tcPr>
            <w:tcW w:w="1211" w:type="dxa"/>
          </w:tcPr>
          <w:p>
            <w:pPr>
              <w:spacing w:line="340" w:lineRule="exact"/>
              <w:rPr>
                <w:rFonts w:ascii="宋体" w:hAnsi="宋体" w:cs="宋体"/>
                <w:color w:val="auto"/>
                <w:szCs w:val="21"/>
              </w:rPr>
            </w:pPr>
          </w:p>
        </w:tc>
        <w:tc>
          <w:tcPr>
            <w:tcW w:w="1169" w:type="dxa"/>
          </w:tcPr>
          <w:p>
            <w:pPr>
              <w:spacing w:line="340" w:lineRule="exact"/>
              <w:rPr>
                <w:rFonts w:ascii="宋体" w:hAnsi="宋体" w:cs="宋体"/>
                <w:color w:val="auto"/>
                <w:szCs w:val="21"/>
              </w:rPr>
            </w:pPr>
          </w:p>
        </w:tc>
        <w:tc>
          <w:tcPr>
            <w:tcW w:w="668" w:type="dxa"/>
          </w:tcPr>
          <w:p>
            <w:pPr>
              <w:spacing w:line="340" w:lineRule="exact"/>
              <w:rPr>
                <w:rFonts w:ascii="宋体" w:hAnsi="宋体" w:cs="宋体"/>
                <w:color w:val="auto"/>
                <w:szCs w:val="21"/>
              </w:rPr>
            </w:pPr>
          </w:p>
        </w:tc>
        <w:tc>
          <w:tcPr>
            <w:tcW w:w="998" w:type="dxa"/>
          </w:tcPr>
          <w:p>
            <w:pPr>
              <w:spacing w:line="340" w:lineRule="exact"/>
              <w:rPr>
                <w:rFonts w:ascii="宋体" w:hAnsi="宋体" w:cs="宋体"/>
                <w:color w:val="auto"/>
                <w:szCs w:val="21"/>
              </w:rPr>
            </w:pPr>
          </w:p>
        </w:tc>
        <w:tc>
          <w:tcPr>
            <w:tcW w:w="736" w:type="dxa"/>
          </w:tcPr>
          <w:p>
            <w:pPr>
              <w:spacing w:line="340" w:lineRule="exact"/>
              <w:rPr>
                <w:rFonts w:ascii="宋体" w:hAnsi="宋体" w:cs="宋体"/>
                <w:color w:val="auto"/>
                <w:szCs w:val="21"/>
              </w:rPr>
            </w:pPr>
          </w:p>
        </w:tc>
        <w:tc>
          <w:tcPr>
            <w:tcW w:w="930" w:type="dxa"/>
          </w:tcPr>
          <w:p>
            <w:pPr>
              <w:spacing w:line="340" w:lineRule="exact"/>
              <w:rPr>
                <w:rFonts w:ascii="宋体" w:hAnsi="宋体" w:cs="宋体"/>
                <w:color w:val="auto"/>
                <w:szCs w:val="21"/>
              </w:rPr>
            </w:pPr>
          </w:p>
        </w:tc>
        <w:tc>
          <w:tcPr>
            <w:tcW w:w="1139" w:type="dxa"/>
          </w:tcPr>
          <w:p>
            <w:pPr>
              <w:spacing w:line="34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748" w:type="dxa"/>
          </w:tcPr>
          <w:p>
            <w:pPr>
              <w:spacing w:line="340" w:lineRule="exact"/>
              <w:rPr>
                <w:rFonts w:ascii="宋体" w:hAnsi="宋体" w:cs="宋体"/>
                <w:color w:val="auto"/>
                <w:szCs w:val="21"/>
              </w:rPr>
            </w:pPr>
            <w:r>
              <w:rPr>
                <w:rFonts w:hint="eastAsia" w:ascii="宋体" w:hAnsi="宋体" w:cs="宋体"/>
                <w:color w:val="auto"/>
                <w:szCs w:val="21"/>
              </w:rPr>
              <w:t>...</w:t>
            </w:r>
          </w:p>
        </w:tc>
        <w:tc>
          <w:tcPr>
            <w:tcW w:w="998" w:type="dxa"/>
          </w:tcPr>
          <w:p>
            <w:pPr>
              <w:spacing w:line="340" w:lineRule="exact"/>
              <w:rPr>
                <w:rFonts w:ascii="宋体" w:hAnsi="宋体" w:cs="宋体"/>
                <w:color w:val="auto"/>
                <w:szCs w:val="21"/>
              </w:rPr>
            </w:pPr>
          </w:p>
        </w:tc>
        <w:tc>
          <w:tcPr>
            <w:tcW w:w="1211" w:type="dxa"/>
          </w:tcPr>
          <w:p>
            <w:pPr>
              <w:spacing w:line="340" w:lineRule="exact"/>
              <w:rPr>
                <w:rFonts w:ascii="宋体" w:hAnsi="宋体" w:cs="宋体"/>
                <w:color w:val="auto"/>
                <w:szCs w:val="21"/>
              </w:rPr>
            </w:pPr>
          </w:p>
        </w:tc>
        <w:tc>
          <w:tcPr>
            <w:tcW w:w="1169" w:type="dxa"/>
          </w:tcPr>
          <w:p>
            <w:pPr>
              <w:spacing w:line="340" w:lineRule="exact"/>
              <w:rPr>
                <w:rFonts w:ascii="宋体" w:hAnsi="宋体" w:cs="宋体"/>
                <w:color w:val="auto"/>
                <w:szCs w:val="21"/>
              </w:rPr>
            </w:pPr>
          </w:p>
        </w:tc>
        <w:tc>
          <w:tcPr>
            <w:tcW w:w="668" w:type="dxa"/>
          </w:tcPr>
          <w:p>
            <w:pPr>
              <w:spacing w:line="340" w:lineRule="exact"/>
              <w:rPr>
                <w:rFonts w:ascii="宋体" w:hAnsi="宋体" w:cs="宋体"/>
                <w:color w:val="auto"/>
                <w:szCs w:val="21"/>
              </w:rPr>
            </w:pPr>
          </w:p>
        </w:tc>
        <w:tc>
          <w:tcPr>
            <w:tcW w:w="998" w:type="dxa"/>
          </w:tcPr>
          <w:p>
            <w:pPr>
              <w:spacing w:line="340" w:lineRule="exact"/>
              <w:rPr>
                <w:rFonts w:ascii="宋体" w:hAnsi="宋体" w:cs="宋体"/>
                <w:color w:val="auto"/>
                <w:szCs w:val="21"/>
              </w:rPr>
            </w:pPr>
          </w:p>
        </w:tc>
        <w:tc>
          <w:tcPr>
            <w:tcW w:w="736" w:type="dxa"/>
          </w:tcPr>
          <w:p>
            <w:pPr>
              <w:spacing w:line="340" w:lineRule="exact"/>
              <w:rPr>
                <w:rFonts w:ascii="宋体" w:hAnsi="宋体" w:cs="宋体"/>
                <w:color w:val="auto"/>
                <w:szCs w:val="21"/>
              </w:rPr>
            </w:pPr>
          </w:p>
        </w:tc>
        <w:tc>
          <w:tcPr>
            <w:tcW w:w="930" w:type="dxa"/>
          </w:tcPr>
          <w:p>
            <w:pPr>
              <w:spacing w:line="340" w:lineRule="exact"/>
              <w:rPr>
                <w:rFonts w:ascii="宋体" w:hAnsi="宋体" w:cs="宋体"/>
                <w:color w:val="auto"/>
                <w:szCs w:val="21"/>
              </w:rPr>
            </w:pPr>
          </w:p>
        </w:tc>
        <w:tc>
          <w:tcPr>
            <w:tcW w:w="1139" w:type="dxa"/>
          </w:tcPr>
          <w:p>
            <w:pPr>
              <w:spacing w:line="34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748" w:type="dxa"/>
          </w:tcPr>
          <w:p>
            <w:pPr>
              <w:spacing w:line="340" w:lineRule="exact"/>
              <w:rPr>
                <w:rFonts w:hint="eastAsia" w:ascii="宋体" w:hAnsi="宋体" w:cs="宋体"/>
                <w:color w:val="auto"/>
                <w:szCs w:val="21"/>
              </w:rPr>
            </w:pPr>
            <w:r>
              <w:rPr>
                <w:color w:val="auto"/>
                <w:spacing w:val="2"/>
              </w:rPr>
              <w:t>N</w:t>
            </w:r>
          </w:p>
        </w:tc>
        <w:tc>
          <w:tcPr>
            <w:tcW w:w="998" w:type="dxa"/>
          </w:tcPr>
          <w:p>
            <w:pPr>
              <w:spacing w:line="340" w:lineRule="exact"/>
              <w:rPr>
                <w:rFonts w:ascii="宋体" w:hAnsi="宋体" w:cs="宋体"/>
                <w:color w:val="auto"/>
                <w:szCs w:val="21"/>
              </w:rPr>
            </w:pPr>
          </w:p>
        </w:tc>
        <w:tc>
          <w:tcPr>
            <w:tcW w:w="1211" w:type="dxa"/>
          </w:tcPr>
          <w:p>
            <w:pPr>
              <w:spacing w:line="340" w:lineRule="exact"/>
              <w:rPr>
                <w:rFonts w:ascii="宋体" w:hAnsi="宋体" w:cs="宋体"/>
                <w:color w:val="auto"/>
                <w:szCs w:val="21"/>
              </w:rPr>
            </w:pPr>
          </w:p>
        </w:tc>
        <w:tc>
          <w:tcPr>
            <w:tcW w:w="1169" w:type="dxa"/>
          </w:tcPr>
          <w:p>
            <w:pPr>
              <w:spacing w:line="340" w:lineRule="exact"/>
              <w:rPr>
                <w:rFonts w:ascii="宋体" w:hAnsi="宋体" w:cs="宋体"/>
                <w:color w:val="auto"/>
                <w:szCs w:val="21"/>
              </w:rPr>
            </w:pPr>
          </w:p>
        </w:tc>
        <w:tc>
          <w:tcPr>
            <w:tcW w:w="668" w:type="dxa"/>
          </w:tcPr>
          <w:p>
            <w:pPr>
              <w:spacing w:line="340" w:lineRule="exact"/>
              <w:rPr>
                <w:rFonts w:ascii="宋体" w:hAnsi="宋体" w:cs="宋体"/>
                <w:color w:val="auto"/>
                <w:szCs w:val="21"/>
              </w:rPr>
            </w:pPr>
          </w:p>
        </w:tc>
        <w:tc>
          <w:tcPr>
            <w:tcW w:w="998" w:type="dxa"/>
          </w:tcPr>
          <w:p>
            <w:pPr>
              <w:spacing w:line="340" w:lineRule="exact"/>
              <w:rPr>
                <w:rFonts w:ascii="宋体" w:hAnsi="宋体" w:cs="宋体"/>
                <w:color w:val="auto"/>
                <w:szCs w:val="21"/>
              </w:rPr>
            </w:pPr>
          </w:p>
        </w:tc>
        <w:tc>
          <w:tcPr>
            <w:tcW w:w="736" w:type="dxa"/>
          </w:tcPr>
          <w:p>
            <w:pPr>
              <w:spacing w:line="340" w:lineRule="exact"/>
              <w:rPr>
                <w:rFonts w:ascii="宋体" w:hAnsi="宋体" w:cs="宋体"/>
                <w:color w:val="auto"/>
                <w:szCs w:val="21"/>
              </w:rPr>
            </w:pPr>
          </w:p>
        </w:tc>
        <w:tc>
          <w:tcPr>
            <w:tcW w:w="930" w:type="dxa"/>
          </w:tcPr>
          <w:p>
            <w:pPr>
              <w:spacing w:line="340" w:lineRule="exact"/>
              <w:rPr>
                <w:rFonts w:ascii="宋体" w:hAnsi="宋体" w:cs="宋体"/>
                <w:color w:val="auto"/>
                <w:szCs w:val="21"/>
              </w:rPr>
            </w:pPr>
          </w:p>
        </w:tc>
        <w:tc>
          <w:tcPr>
            <w:tcW w:w="1139" w:type="dxa"/>
          </w:tcPr>
          <w:p>
            <w:pPr>
              <w:spacing w:line="340" w:lineRule="exact"/>
              <w:rPr>
                <w:rFonts w:ascii="宋体" w:hAnsi="宋体" w:cs="宋体"/>
                <w:color w:val="auto"/>
                <w:szCs w:val="21"/>
              </w:rPr>
            </w:pPr>
          </w:p>
        </w:tc>
      </w:tr>
    </w:tbl>
    <w:p>
      <w:pPr>
        <w:pStyle w:val="10"/>
        <w:spacing w:before="65" w:line="228" w:lineRule="auto"/>
        <w:jc w:val="left"/>
        <w:rPr>
          <w:b/>
          <w:bCs/>
          <w:color w:val="auto"/>
          <w:spacing w:val="6"/>
          <w:szCs w:val="21"/>
        </w:rPr>
      </w:pPr>
    </w:p>
    <w:p>
      <w:pPr>
        <w:pStyle w:val="10"/>
        <w:spacing w:before="65" w:line="228" w:lineRule="auto"/>
        <w:jc w:val="left"/>
        <w:rPr>
          <w:b/>
          <w:bCs/>
          <w:color w:val="auto"/>
          <w:spacing w:val="6"/>
          <w:szCs w:val="21"/>
        </w:rPr>
      </w:pPr>
    </w:p>
    <w:p>
      <w:pPr>
        <w:pStyle w:val="10"/>
        <w:spacing w:before="65" w:line="228" w:lineRule="auto"/>
        <w:jc w:val="left"/>
        <w:rPr>
          <w:color w:val="auto"/>
          <w:szCs w:val="21"/>
        </w:rPr>
      </w:pPr>
      <w:r>
        <w:rPr>
          <w:b/>
          <w:bCs/>
          <w:color w:val="auto"/>
          <w:spacing w:val="6"/>
          <w:szCs w:val="21"/>
        </w:rPr>
        <w:t>注：供应商必须按照“采购需求</w:t>
      </w:r>
      <w:r>
        <w:rPr>
          <w:color w:val="auto"/>
          <w:spacing w:val="-73"/>
          <w:szCs w:val="21"/>
        </w:rPr>
        <w:t xml:space="preserve"> </w:t>
      </w:r>
      <w:r>
        <w:rPr>
          <w:b/>
          <w:bCs/>
          <w:color w:val="auto"/>
          <w:spacing w:val="6"/>
          <w:szCs w:val="21"/>
        </w:rPr>
        <w:t>”中明确的“</w:t>
      </w:r>
      <w:r>
        <w:rPr>
          <w:color w:val="auto"/>
          <w:spacing w:val="-69"/>
          <w:szCs w:val="21"/>
        </w:rPr>
        <w:t xml:space="preserve"> </w:t>
      </w:r>
      <w:r>
        <w:rPr>
          <w:b/>
          <w:bCs/>
          <w:color w:val="auto"/>
          <w:spacing w:val="6"/>
          <w:szCs w:val="21"/>
        </w:rPr>
        <w:t>图书采购</w:t>
      </w:r>
      <w:r>
        <w:rPr>
          <w:rFonts w:hint="eastAsia"/>
          <w:b/>
          <w:bCs/>
          <w:color w:val="auto"/>
          <w:spacing w:val="6"/>
          <w:szCs w:val="21"/>
        </w:rPr>
        <w:t>目录</w:t>
      </w:r>
      <w:r>
        <w:rPr>
          <w:color w:val="auto"/>
          <w:spacing w:val="-70"/>
          <w:szCs w:val="21"/>
        </w:rPr>
        <w:t xml:space="preserve"> </w:t>
      </w:r>
      <w:r>
        <w:rPr>
          <w:b/>
          <w:bCs/>
          <w:color w:val="auto"/>
          <w:spacing w:val="6"/>
          <w:szCs w:val="21"/>
        </w:rPr>
        <w:t>”进行响应，否则其竞标文件作无效</w:t>
      </w:r>
      <w:r>
        <w:rPr>
          <w:b/>
          <w:bCs/>
          <w:color w:val="auto"/>
          <w:spacing w:val="5"/>
          <w:szCs w:val="21"/>
        </w:rPr>
        <w:t>竞标处理。</w:t>
      </w:r>
    </w:p>
    <w:p>
      <w:pPr>
        <w:spacing w:line="271" w:lineRule="auto"/>
        <w:rPr>
          <w:rFonts w:ascii="Arial"/>
          <w:color w:val="auto"/>
        </w:rPr>
      </w:pPr>
    </w:p>
    <w:p>
      <w:pPr>
        <w:spacing w:line="272" w:lineRule="auto"/>
        <w:rPr>
          <w:rFonts w:ascii="Arial"/>
          <w:color w:val="auto"/>
        </w:rPr>
      </w:pPr>
    </w:p>
    <w:p>
      <w:pPr>
        <w:pStyle w:val="10"/>
        <w:spacing w:before="31" w:line="230" w:lineRule="auto"/>
        <w:ind w:left="488"/>
        <w:jc w:val="left"/>
        <w:rPr>
          <w:color w:val="auto"/>
        </w:rPr>
      </w:pPr>
      <w:r>
        <w:rPr>
          <w:color w:val="auto"/>
          <w:spacing w:val="-4"/>
          <w:u w:val="single"/>
        </w:rPr>
        <w:t xml:space="preserve">                                               </w:t>
      </w:r>
    </w:p>
    <w:p>
      <w:pPr>
        <w:spacing w:line="362" w:lineRule="auto"/>
        <w:jc w:val="left"/>
        <w:rPr>
          <w:rFonts w:ascii="Arial"/>
          <w:color w:val="auto"/>
        </w:rPr>
      </w:pPr>
    </w:p>
    <w:p>
      <w:pPr>
        <w:autoSpaceDE w:val="0"/>
        <w:autoSpaceDN w:val="0"/>
        <w:spacing w:line="360" w:lineRule="auto"/>
        <w:ind w:firstLine="4620" w:firstLineChars="2200"/>
        <w:rPr>
          <w:rFonts w:ascii="宋体" w:hAnsi="宋体" w:cs="宋体"/>
          <w:color w:val="auto"/>
          <w:kern w:val="0"/>
          <w:szCs w:val="21"/>
        </w:rPr>
      </w:pPr>
      <w:r>
        <w:rPr>
          <w:rFonts w:hint="eastAsia" w:ascii="宋体" w:hAnsi="宋体" w:cs="宋体"/>
          <w:color w:val="auto"/>
          <w:kern w:val="0"/>
          <w:szCs w:val="21"/>
        </w:rPr>
        <w:t>供应商名称（电子签章）：</w:t>
      </w:r>
    </w:p>
    <w:p>
      <w:pPr>
        <w:pStyle w:val="10"/>
        <w:spacing w:before="94" w:line="298" w:lineRule="auto"/>
        <w:ind w:left="695" w:leftChars="331" w:right="801" w:firstLine="3945" w:firstLineChars="1879"/>
        <w:jc w:val="left"/>
        <w:rPr>
          <w:color w:val="auto"/>
        </w:rPr>
      </w:pPr>
      <w:r>
        <w:rPr>
          <w:rFonts w:hint="eastAsia" w:ascii="宋体" w:hAnsi="宋体" w:cs="宋体"/>
          <w:color w:val="auto"/>
          <w:kern w:val="0"/>
          <w:szCs w:val="21"/>
          <w:lang w:val="zh-CN"/>
        </w:rPr>
        <w:t>日期：  年  月   日</w:t>
      </w:r>
      <w:r>
        <w:rPr>
          <w:rFonts w:hint="eastAsia" w:ascii="宋体" w:hAnsi="宋体" w:cs="宋体"/>
          <w:color w:val="auto"/>
          <w:szCs w:val="21"/>
        </w:rPr>
        <w:t xml:space="preserve">   </w:t>
      </w:r>
      <w:r>
        <w:rPr>
          <w:color w:val="auto"/>
          <w:u w:val="single"/>
        </w:rPr>
        <w:t xml:space="preserve">                             </w:t>
      </w:r>
    </w:p>
    <w:p>
      <w:pPr>
        <w:pStyle w:val="18"/>
        <w:ind w:left="420" w:leftChars="100" w:hanging="210" w:hangingChars="100"/>
        <w:jc w:val="center"/>
        <w:rPr>
          <w:rFonts w:hAnsi="宋体" w:cs="宋体"/>
          <w:color w:val="auto"/>
        </w:rPr>
      </w:pPr>
      <w:r>
        <w:rPr>
          <w:rFonts w:hint="eastAsia" w:hAnsi="宋体" w:cs="宋体"/>
          <w:color w:val="auto"/>
        </w:rPr>
        <w:br w:type="page"/>
      </w:r>
      <w:bookmarkStart w:id="65" w:name="_Toc137551186"/>
      <w:r>
        <w:rPr>
          <w:rFonts w:hint="eastAsia" w:hAnsi="宋体" w:cs="宋体"/>
          <w:b/>
          <w:color w:val="auto"/>
          <w:sz w:val="32"/>
          <w:szCs w:val="32"/>
        </w:rPr>
        <w:t>(3)竞标人认为有必要提供的与报价有关材料（如有请提供）</w:t>
      </w:r>
    </w:p>
    <w:p>
      <w:pPr>
        <w:widowControl/>
        <w:spacing w:after="262" w:line="380" w:lineRule="exact"/>
        <w:ind w:firstLine="562" w:firstLineChars="200"/>
        <w:jc w:val="center"/>
        <w:rPr>
          <w:rFonts w:ascii="宋体" w:hAnsi="宋体" w:cs="宋体"/>
          <w:b/>
          <w:color w:val="auto"/>
          <w:sz w:val="28"/>
          <w:szCs w:val="28"/>
        </w:rPr>
      </w:pPr>
    </w:p>
    <w:p>
      <w:pPr>
        <w:rPr>
          <w:rFonts w:ascii="宋体"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widowControl/>
        <w:spacing w:after="262" w:line="380" w:lineRule="exact"/>
        <w:rPr>
          <w:rFonts w:ascii="宋体" w:hAnsi="宋体" w:cs="宋体"/>
          <w:b/>
          <w:color w:val="auto"/>
          <w:sz w:val="28"/>
          <w:szCs w:val="28"/>
        </w:rPr>
      </w:pPr>
    </w:p>
    <w:p>
      <w:pPr>
        <w:widowControl/>
        <w:spacing w:after="262" w:line="380" w:lineRule="exact"/>
        <w:ind w:firstLine="562" w:firstLineChars="200"/>
        <w:jc w:val="center"/>
        <w:rPr>
          <w:rFonts w:ascii="宋体" w:hAnsi="宋体" w:cs="宋体"/>
          <w:b/>
          <w:color w:val="auto"/>
          <w:sz w:val="28"/>
          <w:szCs w:val="28"/>
        </w:rPr>
      </w:pPr>
      <w:r>
        <w:rPr>
          <w:rFonts w:hint="eastAsia" w:ascii="宋体" w:hAnsi="宋体" w:cs="宋体"/>
          <w:b/>
          <w:color w:val="auto"/>
          <w:sz w:val="28"/>
          <w:szCs w:val="28"/>
        </w:rPr>
        <w:t>中小企业声明函（格式）</w:t>
      </w:r>
    </w:p>
    <w:p>
      <w:pPr>
        <w:widowControl/>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本公司（联合体）郑重声明，根据《政府采购促进中小企业发展管理办法》（财库﹝2020﹞46 号）的规定，本公司（联合体）参加</w:t>
      </w:r>
      <w:r>
        <w:rPr>
          <w:rFonts w:hint="eastAsia" w:ascii="宋体" w:hAnsi="宋体" w:cs="宋体"/>
          <w:color w:val="auto"/>
          <w:kern w:val="0"/>
          <w:sz w:val="24"/>
          <w:u w:val="single"/>
        </w:rPr>
        <w:t>     （单位名称）</w:t>
      </w:r>
      <w:r>
        <w:rPr>
          <w:rFonts w:hint="eastAsia" w:ascii="宋体" w:hAnsi="宋体" w:cs="宋体"/>
          <w:color w:val="auto"/>
          <w:kern w:val="0"/>
          <w:sz w:val="24"/>
        </w:rPr>
        <w:t>的</w:t>
      </w:r>
      <w:r>
        <w:rPr>
          <w:rFonts w:hint="eastAsia" w:ascii="宋体" w:hAnsi="宋体" w:cs="宋体"/>
          <w:color w:val="auto"/>
          <w:kern w:val="0"/>
          <w:sz w:val="24"/>
          <w:u w:val="single"/>
        </w:rPr>
        <w:t>    （项目名称）</w:t>
      </w:r>
      <w:r>
        <w:rPr>
          <w:rFonts w:hint="eastAsia" w:ascii="宋体" w:hAnsi="宋体" w:cs="宋体"/>
          <w:color w:val="auto"/>
          <w:kern w:val="0"/>
          <w:sz w:val="24"/>
        </w:rPr>
        <w:t>采购活动，提供的货物全部由符合政策要求的中小企业制造。相关企业（含联合体中的中小企业、签订分包意向协议的中小企业）的具体情况如下：</w:t>
      </w:r>
    </w:p>
    <w:p>
      <w:pPr>
        <w:widowControl/>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u w:val="single"/>
        </w:rPr>
        <w:t>     （标的名称）</w:t>
      </w:r>
      <w:r>
        <w:rPr>
          <w:rFonts w:hint="eastAsia" w:ascii="宋体" w:hAnsi="宋体" w:cs="宋体"/>
          <w:color w:val="auto"/>
          <w:kern w:val="0"/>
          <w:sz w:val="24"/>
        </w:rPr>
        <w:t>，属于</w:t>
      </w:r>
      <w:r>
        <w:rPr>
          <w:rFonts w:hint="eastAsia" w:ascii="宋体" w:hAnsi="宋体" w:cs="宋体"/>
          <w:color w:val="auto"/>
          <w:kern w:val="0"/>
          <w:sz w:val="24"/>
          <w:u w:val="single"/>
        </w:rPr>
        <w:t> （采购文件中明确的所属行业）</w:t>
      </w:r>
      <w:r>
        <w:rPr>
          <w:rFonts w:hint="eastAsia" w:ascii="宋体" w:hAnsi="宋体" w:cs="宋体"/>
          <w:color w:val="auto"/>
          <w:kern w:val="0"/>
          <w:sz w:val="24"/>
        </w:rPr>
        <w:t>行业；制造商为</w:t>
      </w:r>
      <w:r>
        <w:rPr>
          <w:rFonts w:hint="eastAsia" w:ascii="宋体" w:hAnsi="宋体" w:cs="宋体"/>
          <w:color w:val="auto"/>
          <w:kern w:val="0"/>
          <w:sz w:val="24"/>
          <w:u w:val="single"/>
        </w:rPr>
        <w:t>       （企业名称）</w:t>
      </w:r>
      <w:r>
        <w:rPr>
          <w:rFonts w:hint="eastAsia" w:ascii="宋体" w:hAnsi="宋体" w:cs="宋体"/>
          <w:color w:val="auto"/>
          <w:kern w:val="0"/>
          <w:sz w:val="24"/>
        </w:rPr>
        <w:t>，从业人员</w:t>
      </w:r>
      <w:r>
        <w:rPr>
          <w:rFonts w:hint="eastAsia" w:ascii="宋体" w:hAnsi="宋体" w:cs="宋体"/>
          <w:color w:val="auto"/>
          <w:kern w:val="0"/>
          <w:sz w:val="24"/>
          <w:u w:val="single"/>
        </w:rPr>
        <w:t>    </w:t>
      </w:r>
      <w:r>
        <w:rPr>
          <w:rFonts w:hint="eastAsia" w:ascii="宋体" w:hAnsi="宋体" w:cs="宋体"/>
          <w:color w:val="auto"/>
          <w:kern w:val="0"/>
          <w:sz w:val="24"/>
        </w:rPr>
        <w:t>人，营业收入为</w:t>
      </w:r>
      <w:r>
        <w:rPr>
          <w:rFonts w:hint="eastAsia" w:ascii="宋体" w:hAnsi="宋体" w:cs="宋体"/>
          <w:color w:val="auto"/>
          <w:kern w:val="0"/>
          <w:sz w:val="24"/>
          <w:u w:val="single"/>
        </w:rPr>
        <w:t>    </w:t>
      </w:r>
      <w:r>
        <w:rPr>
          <w:rFonts w:hint="eastAsia" w:ascii="宋体" w:hAnsi="宋体" w:cs="宋体"/>
          <w:color w:val="auto"/>
          <w:kern w:val="0"/>
          <w:sz w:val="24"/>
        </w:rPr>
        <w:t>万元，资产总额为</w:t>
      </w:r>
      <w:r>
        <w:rPr>
          <w:rFonts w:hint="eastAsia" w:ascii="宋体" w:hAnsi="宋体" w:cs="宋体"/>
          <w:color w:val="auto"/>
          <w:kern w:val="0"/>
          <w:sz w:val="24"/>
          <w:u w:val="single"/>
        </w:rPr>
        <w:t>   </w:t>
      </w:r>
      <w:r>
        <w:rPr>
          <w:rFonts w:hint="eastAsia" w:ascii="宋体" w:hAnsi="宋体" w:cs="宋体"/>
          <w:color w:val="auto"/>
          <w:kern w:val="0"/>
          <w:sz w:val="24"/>
        </w:rPr>
        <w:t>万元，属于</w:t>
      </w:r>
      <w:r>
        <w:rPr>
          <w:rFonts w:hint="eastAsia" w:ascii="宋体" w:hAnsi="宋体" w:cs="宋体"/>
          <w:color w:val="auto"/>
          <w:kern w:val="0"/>
          <w:sz w:val="24"/>
          <w:u w:val="single"/>
        </w:rPr>
        <w:t>     （中型企业、小型企业、微型企业）</w:t>
      </w:r>
      <w:r>
        <w:rPr>
          <w:rFonts w:hint="eastAsia" w:ascii="宋体" w:hAnsi="宋体" w:cs="宋体"/>
          <w:color w:val="auto"/>
          <w:kern w:val="0"/>
          <w:sz w:val="24"/>
        </w:rPr>
        <w:t>；</w:t>
      </w:r>
    </w:p>
    <w:p>
      <w:pPr>
        <w:widowControl/>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u w:val="single"/>
        </w:rPr>
        <w:t>     （标的名称）</w:t>
      </w:r>
      <w:r>
        <w:rPr>
          <w:rFonts w:hint="eastAsia" w:ascii="宋体" w:hAnsi="宋体" w:cs="宋体"/>
          <w:color w:val="auto"/>
          <w:kern w:val="0"/>
          <w:sz w:val="24"/>
        </w:rPr>
        <w:t>，属于</w:t>
      </w:r>
      <w:r>
        <w:rPr>
          <w:rFonts w:hint="eastAsia" w:ascii="宋体" w:hAnsi="宋体" w:cs="宋体"/>
          <w:color w:val="auto"/>
          <w:kern w:val="0"/>
          <w:sz w:val="24"/>
          <w:u w:val="single"/>
        </w:rPr>
        <w:t>     （采购文件中明确的所属行业）</w:t>
      </w:r>
      <w:r>
        <w:rPr>
          <w:rFonts w:hint="eastAsia" w:ascii="宋体" w:hAnsi="宋体" w:cs="宋体"/>
          <w:color w:val="auto"/>
          <w:kern w:val="0"/>
          <w:sz w:val="24"/>
        </w:rPr>
        <w:t>行业；制造商为</w:t>
      </w:r>
      <w:r>
        <w:rPr>
          <w:rFonts w:hint="eastAsia" w:ascii="宋体" w:hAnsi="宋体" w:cs="宋体"/>
          <w:color w:val="auto"/>
          <w:kern w:val="0"/>
          <w:sz w:val="24"/>
          <w:u w:val="single"/>
        </w:rPr>
        <w:t>       （企业名称）</w:t>
      </w:r>
      <w:r>
        <w:rPr>
          <w:rFonts w:hint="eastAsia" w:ascii="宋体" w:hAnsi="宋体" w:cs="宋体"/>
          <w:color w:val="auto"/>
          <w:kern w:val="0"/>
          <w:sz w:val="24"/>
        </w:rPr>
        <w:t>，从业人员</w:t>
      </w:r>
      <w:r>
        <w:rPr>
          <w:rFonts w:hint="eastAsia" w:ascii="宋体" w:hAnsi="宋体" w:cs="宋体"/>
          <w:color w:val="auto"/>
          <w:kern w:val="0"/>
          <w:sz w:val="24"/>
          <w:u w:val="single"/>
        </w:rPr>
        <w:t>    </w:t>
      </w:r>
      <w:r>
        <w:rPr>
          <w:rFonts w:hint="eastAsia" w:ascii="宋体" w:hAnsi="宋体" w:cs="宋体"/>
          <w:color w:val="auto"/>
          <w:kern w:val="0"/>
          <w:sz w:val="24"/>
        </w:rPr>
        <w:t>人，营业收入为</w:t>
      </w:r>
      <w:r>
        <w:rPr>
          <w:rFonts w:hint="eastAsia" w:ascii="宋体" w:hAnsi="宋体" w:cs="宋体"/>
          <w:color w:val="auto"/>
          <w:kern w:val="0"/>
          <w:sz w:val="24"/>
          <w:u w:val="single"/>
        </w:rPr>
        <w:t>    </w:t>
      </w:r>
      <w:r>
        <w:rPr>
          <w:rFonts w:hint="eastAsia" w:ascii="宋体" w:hAnsi="宋体" w:cs="宋体"/>
          <w:color w:val="auto"/>
          <w:kern w:val="0"/>
          <w:sz w:val="24"/>
        </w:rPr>
        <w:t>万元，资产总额为</w:t>
      </w:r>
      <w:r>
        <w:rPr>
          <w:rFonts w:hint="eastAsia" w:ascii="宋体" w:hAnsi="宋体" w:cs="宋体"/>
          <w:color w:val="auto"/>
          <w:kern w:val="0"/>
          <w:sz w:val="24"/>
          <w:u w:val="single"/>
        </w:rPr>
        <w:t>   </w:t>
      </w:r>
      <w:r>
        <w:rPr>
          <w:rFonts w:hint="eastAsia" w:ascii="宋体" w:hAnsi="宋体" w:cs="宋体"/>
          <w:color w:val="auto"/>
          <w:kern w:val="0"/>
          <w:sz w:val="24"/>
        </w:rPr>
        <w:t>万元，属于</w:t>
      </w:r>
      <w:r>
        <w:rPr>
          <w:rFonts w:hint="eastAsia" w:ascii="宋体" w:hAnsi="宋体" w:cs="宋体"/>
          <w:color w:val="auto"/>
          <w:kern w:val="0"/>
          <w:sz w:val="24"/>
          <w:u w:val="single"/>
        </w:rPr>
        <w:t>     （中型企业、小型企业、微型企业）</w:t>
      </w:r>
      <w:r>
        <w:rPr>
          <w:rFonts w:hint="eastAsia" w:ascii="宋体" w:hAnsi="宋体" w:cs="宋体"/>
          <w:color w:val="auto"/>
          <w:kern w:val="0"/>
          <w:sz w:val="24"/>
        </w:rPr>
        <w:t>；</w:t>
      </w:r>
    </w:p>
    <w:p>
      <w:pPr>
        <w:widowControl/>
        <w:tabs>
          <w:tab w:val="left" w:pos="3354"/>
        </w:tabs>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rPr>
        <w:tab/>
      </w:r>
    </w:p>
    <w:p>
      <w:pPr>
        <w:widowControl/>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以上企业，不属于大企业的分支机构，不存在控股股东为大企业的情形，也不存在与大企业的负责人为同一人的情形。</w:t>
      </w:r>
    </w:p>
    <w:p>
      <w:pPr>
        <w:widowControl/>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本企业对上述声明内容的真实性负责。如有虚假，将依法承担相应责任。</w:t>
      </w:r>
    </w:p>
    <w:p>
      <w:pPr>
        <w:pStyle w:val="79"/>
        <w:rPr>
          <w:rFonts w:ascii="宋体" w:hAnsi="宋体" w:eastAsia="宋体" w:cs="宋体"/>
          <w:color w:val="auto"/>
        </w:rPr>
      </w:pPr>
    </w:p>
    <w:p>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kern w:val="0"/>
          <w:sz w:val="24"/>
        </w:rPr>
        <w:t>供应商名称（电子签章）：</w:t>
      </w:r>
    </w:p>
    <w:p>
      <w:pPr>
        <w:autoSpaceDE w:val="0"/>
        <w:autoSpaceDN w:val="0"/>
        <w:spacing w:line="360" w:lineRule="auto"/>
        <w:ind w:firstLine="6120" w:firstLineChars="2550"/>
        <w:rPr>
          <w:rFonts w:ascii="宋体" w:hAnsi="宋体" w:cs="宋体"/>
          <w:color w:val="auto"/>
          <w:sz w:val="24"/>
        </w:rPr>
      </w:pPr>
      <w:r>
        <w:rPr>
          <w:rFonts w:hint="eastAsia" w:ascii="宋体" w:hAnsi="宋体" w:cs="宋体"/>
          <w:color w:val="auto"/>
          <w:kern w:val="0"/>
          <w:sz w:val="24"/>
          <w:lang w:val="zh-CN"/>
        </w:rPr>
        <w:t>日期：  年  月   日</w:t>
      </w:r>
      <w:r>
        <w:rPr>
          <w:rFonts w:hint="eastAsia" w:ascii="宋体" w:hAnsi="宋体" w:cs="宋体"/>
          <w:color w:val="auto"/>
          <w:sz w:val="24"/>
        </w:rPr>
        <w:t xml:space="preserve">     </w:t>
      </w:r>
    </w:p>
    <w:p>
      <w:pPr>
        <w:rPr>
          <w:rFonts w:ascii="宋体" w:hAnsi="宋体" w:cs="宋体"/>
          <w:color w:val="auto"/>
          <w:sz w:val="22"/>
          <w:szCs w:val="22"/>
        </w:rPr>
      </w:pPr>
    </w:p>
    <w:p>
      <w:pPr>
        <w:pStyle w:val="79"/>
        <w:rPr>
          <w:rFonts w:ascii="宋体" w:hAnsi="宋体" w:eastAsia="宋体" w:cs="宋体"/>
          <w:color w:val="auto"/>
        </w:rPr>
      </w:pPr>
    </w:p>
    <w:p>
      <w:pPr>
        <w:spacing w:line="460" w:lineRule="exact"/>
        <w:rPr>
          <w:rFonts w:ascii="宋体" w:hAnsi="宋体" w:cs="宋体"/>
          <w:b/>
          <w:color w:val="auto"/>
          <w:spacing w:val="6"/>
          <w:sz w:val="22"/>
          <w:szCs w:val="22"/>
        </w:rPr>
      </w:pPr>
      <w:r>
        <w:rPr>
          <w:rFonts w:hint="eastAsia" w:ascii="宋体" w:hAnsi="宋体" w:cs="宋体"/>
          <w:b/>
          <w:color w:val="auto"/>
          <w:spacing w:val="6"/>
          <w:sz w:val="22"/>
          <w:szCs w:val="22"/>
        </w:rPr>
        <w:t>注：1、中小企业在政府采购活动过程中，请根据自己的真实情况出具本声明函。依法享受中小企业优惠政策的，采购人或采购代理机构在公告成交结果时，同时公告其《中小企业声明函》，接受社会监督。</w:t>
      </w:r>
    </w:p>
    <w:p>
      <w:pPr>
        <w:widowControl/>
        <w:spacing w:line="360" w:lineRule="auto"/>
        <w:ind w:firstLine="466" w:firstLineChars="200"/>
        <w:rPr>
          <w:rFonts w:ascii="宋体" w:hAnsi="宋体" w:cs="宋体"/>
          <w:color w:val="auto"/>
          <w:sz w:val="22"/>
          <w:szCs w:val="22"/>
          <w:shd w:val="clear" w:color="auto" w:fill="FFFFFF"/>
        </w:rPr>
      </w:pPr>
      <w:r>
        <w:rPr>
          <w:rFonts w:hint="eastAsia" w:ascii="宋体" w:hAnsi="宋体" w:cs="宋体"/>
          <w:b/>
          <w:color w:val="auto"/>
          <w:spacing w:val="6"/>
          <w:sz w:val="22"/>
          <w:szCs w:val="22"/>
        </w:rPr>
        <w:t>2、从业人员、营业收入、资产总额填报上一年度数据，无上一年度数据的新成立企业可不填报。</w:t>
      </w:r>
    </w:p>
    <w:p>
      <w:pPr>
        <w:spacing w:line="360" w:lineRule="exact"/>
        <w:ind w:firstLine="6720" w:firstLineChars="3200"/>
        <w:rPr>
          <w:rFonts w:ascii="宋体" w:hAnsi="宋体" w:cs="宋体"/>
          <w:color w:val="auto"/>
          <w:szCs w:val="21"/>
        </w:rPr>
      </w:pPr>
    </w:p>
    <w:p>
      <w:pPr>
        <w:spacing w:line="360" w:lineRule="exact"/>
        <w:ind w:firstLine="6720" w:firstLineChars="3200"/>
        <w:rPr>
          <w:rFonts w:ascii="宋体" w:hAnsi="宋体" w:cs="宋体"/>
          <w:color w:val="auto"/>
          <w:szCs w:val="21"/>
        </w:rPr>
      </w:pPr>
    </w:p>
    <w:p>
      <w:pPr>
        <w:pStyle w:val="2"/>
        <w:rPr>
          <w:rFonts w:hAnsi="宋体" w:cs="宋体"/>
          <w:color w:val="auto"/>
          <w:szCs w:val="21"/>
        </w:rPr>
      </w:pPr>
    </w:p>
    <w:p>
      <w:pPr>
        <w:pStyle w:val="2"/>
        <w:rPr>
          <w:rFonts w:hAnsi="宋体" w:cs="宋体"/>
          <w:color w:val="auto"/>
          <w:szCs w:val="21"/>
        </w:rPr>
      </w:pPr>
    </w:p>
    <w:p>
      <w:pPr>
        <w:pStyle w:val="2"/>
        <w:rPr>
          <w:rFonts w:hAnsi="宋体" w:cs="宋体"/>
          <w:color w:val="auto"/>
          <w:szCs w:val="21"/>
        </w:rPr>
      </w:pPr>
    </w:p>
    <w:p>
      <w:pPr>
        <w:pStyle w:val="2"/>
        <w:rPr>
          <w:rFonts w:hAnsi="宋体" w:cs="宋体"/>
          <w:color w:val="auto"/>
          <w:szCs w:val="21"/>
        </w:rPr>
      </w:pPr>
    </w:p>
    <w:p>
      <w:pPr>
        <w:pStyle w:val="2"/>
        <w:rPr>
          <w:rFonts w:hAnsi="宋体" w:cs="宋体"/>
          <w:color w:val="auto"/>
          <w:szCs w:val="21"/>
        </w:rPr>
      </w:pPr>
    </w:p>
    <w:p>
      <w:pPr>
        <w:pStyle w:val="2"/>
        <w:rPr>
          <w:rFonts w:hAnsi="宋体" w:cs="宋体"/>
          <w:color w:val="auto"/>
          <w:szCs w:val="21"/>
        </w:rPr>
      </w:pPr>
    </w:p>
    <w:p>
      <w:pPr>
        <w:spacing w:line="360" w:lineRule="exact"/>
        <w:ind w:firstLine="6720" w:firstLineChars="3200"/>
        <w:rPr>
          <w:rFonts w:ascii="宋体" w:hAnsi="宋体" w:cs="宋体"/>
          <w:color w:val="auto"/>
          <w:szCs w:val="21"/>
        </w:rPr>
      </w:pPr>
    </w:p>
    <w:p>
      <w:pPr>
        <w:spacing w:line="360" w:lineRule="exact"/>
        <w:ind w:firstLine="6720" w:firstLineChars="3200"/>
        <w:rPr>
          <w:rFonts w:ascii="宋体" w:hAnsi="宋体" w:cs="宋体"/>
          <w:color w:val="auto"/>
          <w:szCs w:val="21"/>
        </w:rPr>
      </w:pPr>
    </w:p>
    <w:p>
      <w:pPr>
        <w:pStyle w:val="29"/>
        <w:widowControl w:val="0"/>
        <w:adjustRightInd w:val="0"/>
        <w:snapToGrid w:val="0"/>
        <w:spacing w:before="0" w:beforeAutospacing="0" w:after="0" w:afterAutospacing="0"/>
        <w:jc w:val="both"/>
        <w:rPr>
          <w:rFonts w:cs="宋体"/>
          <w:b/>
          <w:color w:val="auto"/>
          <w:kern w:val="2"/>
          <w:sz w:val="36"/>
          <w:szCs w:val="36"/>
        </w:rPr>
      </w:pPr>
    </w:p>
    <w:p>
      <w:pPr>
        <w:pStyle w:val="29"/>
        <w:widowControl w:val="0"/>
        <w:adjustRightInd w:val="0"/>
        <w:snapToGrid w:val="0"/>
        <w:spacing w:before="0" w:beforeAutospacing="0" w:after="0" w:afterAutospacing="0"/>
        <w:jc w:val="center"/>
        <w:rPr>
          <w:rFonts w:cs="宋体"/>
          <w:b/>
          <w:color w:val="auto"/>
          <w:kern w:val="2"/>
          <w:sz w:val="36"/>
          <w:szCs w:val="36"/>
        </w:rPr>
      </w:pPr>
      <w:r>
        <w:rPr>
          <w:rFonts w:hint="eastAsia" w:cs="宋体"/>
          <w:b/>
          <w:color w:val="auto"/>
          <w:kern w:val="2"/>
          <w:sz w:val="36"/>
          <w:szCs w:val="36"/>
        </w:rPr>
        <w:t>残疾人福利性单位声明函（格式）</w:t>
      </w:r>
    </w:p>
    <w:p>
      <w:pPr>
        <w:spacing w:line="588" w:lineRule="exact"/>
        <w:rPr>
          <w:rFonts w:ascii="宋体" w:hAnsi="宋体" w:cs="宋体"/>
          <w:color w:val="auto"/>
          <w:szCs w:val="21"/>
        </w:rPr>
      </w:pPr>
    </w:p>
    <w:p>
      <w:pPr>
        <w:spacing w:line="588" w:lineRule="exact"/>
        <w:ind w:firstLine="420" w:firstLineChars="200"/>
        <w:rPr>
          <w:rFonts w:ascii="宋体" w:hAnsi="宋体" w:cs="宋体"/>
          <w:color w:val="auto"/>
          <w:szCs w:val="21"/>
        </w:rPr>
      </w:pPr>
      <w:r>
        <w:rPr>
          <w:rFonts w:hint="eastAsia" w:ascii="宋体" w:hAnsi="宋体" w:cs="宋体"/>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宋体" w:hAnsi="宋体" w:cs="宋体"/>
          <w:color w:val="auto"/>
          <w:szCs w:val="21"/>
        </w:rPr>
      </w:pPr>
      <w:r>
        <w:rPr>
          <w:rFonts w:hint="eastAsia" w:ascii="宋体" w:hAnsi="宋体" w:cs="宋体"/>
          <w:color w:val="auto"/>
          <w:szCs w:val="21"/>
        </w:rPr>
        <w:t>本单位对上述声明的真实性负责。如有虚假，将依法承担相应责任。</w:t>
      </w:r>
    </w:p>
    <w:p>
      <w:pPr>
        <w:spacing w:line="588" w:lineRule="exact"/>
        <w:ind w:firstLine="420" w:firstLineChars="200"/>
        <w:rPr>
          <w:rFonts w:ascii="宋体" w:hAnsi="宋体" w:cs="宋体"/>
          <w:color w:val="auto"/>
          <w:szCs w:val="21"/>
        </w:rPr>
      </w:pPr>
    </w:p>
    <w:p>
      <w:pPr>
        <w:spacing w:line="588" w:lineRule="exact"/>
        <w:ind w:firstLine="420" w:firstLineChars="200"/>
        <w:rPr>
          <w:rFonts w:ascii="宋体" w:hAnsi="宋体" w:cs="宋体"/>
          <w:color w:val="auto"/>
          <w:szCs w:val="21"/>
        </w:rPr>
      </w:pPr>
    </w:p>
    <w:p>
      <w:pPr>
        <w:autoSpaceDE w:val="0"/>
        <w:autoSpaceDN w:val="0"/>
        <w:spacing w:line="360" w:lineRule="auto"/>
        <w:ind w:left="4305" w:leftChars="1850" w:hanging="420" w:hangingChars="200"/>
        <w:rPr>
          <w:rFonts w:ascii="宋体" w:hAnsi="宋体" w:cs="宋体"/>
          <w:color w:val="auto"/>
          <w:kern w:val="0"/>
          <w:szCs w:val="21"/>
        </w:rPr>
      </w:pPr>
      <w:r>
        <w:rPr>
          <w:rFonts w:hint="eastAsia" w:ascii="宋体" w:hAnsi="宋体" w:cs="宋体"/>
          <w:color w:val="auto"/>
          <w:kern w:val="0"/>
          <w:szCs w:val="21"/>
        </w:rPr>
        <w:t>供应商名称（电子签章）：</w:t>
      </w:r>
    </w:p>
    <w:p>
      <w:pPr>
        <w:autoSpaceDE w:val="0"/>
        <w:autoSpaceDN w:val="0"/>
        <w:spacing w:line="360" w:lineRule="auto"/>
        <w:ind w:firstLine="5355" w:firstLineChars="2550"/>
        <w:rPr>
          <w:rFonts w:ascii="宋体" w:hAnsi="宋体" w:cs="宋体"/>
          <w:color w:val="auto"/>
          <w:szCs w:val="21"/>
        </w:rPr>
      </w:pPr>
      <w:r>
        <w:rPr>
          <w:rFonts w:hint="eastAsia" w:ascii="宋体" w:hAnsi="宋体" w:cs="宋体"/>
          <w:color w:val="auto"/>
          <w:kern w:val="0"/>
          <w:szCs w:val="21"/>
          <w:lang w:val="zh-CN"/>
        </w:rPr>
        <w:t>日期：  年  月   日</w:t>
      </w:r>
      <w:r>
        <w:rPr>
          <w:rFonts w:hint="eastAsia" w:ascii="宋体" w:hAnsi="宋体" w:cs="宋体"/>
          <w:color w:val="auto"/>
          <w:szCs w:val="21"/>
        </w:rPr>
        <w:t xml:space="preserve">     </w:t>
      </w:r>
    </w:p>
    <w:p>
      <w:pPr>
        <w:snapToGrid w:val="0"/>
        <w:spacing w:line="500" w:lineRule="exact"/>
        <w:ind w:firstLine="316" w:firstLineChars="150"/>
        <w:jc w:val="left"/>
        <w:rPr>
          <w:rFonts w:ascii="宋体" w:hAnsi="宋体" w:cs="宋体"/>
          <w:b/>
          <w:color w:val="auto"/>
          <w:kern w:val="0"/>
          <w:szCs w:val="21"/>
        </w:rPr>
      </w:pPr>
      <w:r>
        <w:rPr>
          <w:rFonts w:hint="eastAsia" w:ascii="宋体" w:hAnsi="宋体" w:cs="宋体"/>
          <w:b/>
          <w:color w:val="auto"/>
          <w:kern w:val="0"/>
          <w:szCs w:val="21"/>
        </w:rPr>
        <w:t>说明：</w:t>
      </w:r>
    </w:p>
    <w:p>
      <w:pPr>
        <w:snapToGrid w:val="0"/>
        <w:spacing w:line="500" w:lineRule="exact"/>
        <w:ind w:firstLine="316" w:firstLineChars="150"/>
        <w:jc w:val="left"/>
        <w:rPr>
          <w:rFonts w:ascii="宋体" w:hAnsi="宋体" w:cs="宋体"/>
          <w:b/>
          <w:color w:val="auto"/>
          <w:kern w:val="0"/>
          <w:szCs w:val="21"/>
        </w:rPr>
      </w:pPr>
      <w:r>
        <w:rPr>
          <w:rFonts w:hint="eastAsia" w:ascii="宋体" w:hAnsi="宋体" w:cs="宋体"/>
          <w:b/>
          <w:color w:val="auto"/>
          <w:kern w:val="0"/>
          <w:szCs w:val="21"/>
        </w:rPr>
        <w:t>1、符合条件的残疾人福利性单位在参加政府采购活动时，应当提供本通知规定的《残疾人福利性单位声明函》，并对声明的真实性负责。</w:t>
      </w:r>
    </w:p>
    <w:p>
      <w:pPr>
        <w:snapToGrid w:val="0"/>
        <w:spacing w:line="500" w:lineRule="exact"/>
        <w:ind w:firstLine="316" w:firstLineChars="150"/>
        <w:jc w:val="left"/>
        <w:rPr>
          <w:rFonts w:ascii="宋体" w:hAnsi="宋体" w:cs="宋体"/>
          <w:b/>
          <w:color w:val="auto"/>
          <w:kern w:val="0"/>
          <w:szCs w:val="21"/>
        </w:rPr>
      </w:pPr>
      <w:r>
        <w:rPr>
          <w:rFonts w:hint="eastAsia" w:ascii="宋体" w:hAnsi="宋体" w:cs="宋体"/>
          <w:b/>
          <w:color w:val="auto"/>
          <w:kern w:val="0"/>
          <w:szCs w:val="21"/>
        </w:rPr>
        <w:t>2、中标、成交供应商为残疾人福利性单位的，采购人或者其委托的采购代理机构应当随中标、成交结果同时公告其《残疾人福利性单位声明函》，接受社会监督。</w:t>
      </w:r>
    </w:p>
    <w:p>
      <w:pPr>
        <w:snapToGrid w:val="0"/>
        <w:spacing w:line="500" w:lineRule="exact"/>
        <w:ind w:firstLine="316" w:firstLineChars="150"/>
        <w:jc w:val="left"/>
        <w:rPr>
          <w:rFonts w:ascii="宋体" w:hAnsi="宋体" w:cs="宋体"/>
          <w:b/>
          <w:color w:val="auto"/>
          <w:kern w:val="0"/>
          <w:szCs w:val="21"/>
        </w:rPr>
      </w:pPr>
      <w:r>
        <w:rPr>
          <w:rFonts w:hint="eastAsia" w:ascii="宋体" w:hAnsi="宋体" w:cs="宋体"/>
          <w:b/>
          <w:color w:val="auto"/>
          <w:kern w:val="0"/>
          <w:szCs w:val="21"/>
        </w:rPr>
        <w:t>3、供应商提供的《残疾人福利性单位声明函》与事实不符的，依照《政府采购法》第七十七条第一款的规定追究法律责任。</w:t>
      </w: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bookmarkStart w:id="70" w:name="_GoBack"/>
      <w:bookmarkEnd w:id="70"/>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ind w:firstLine="482" w:firstLineChars="200"/>
        <w:rPr>
          <w:rFonts w:ascii="宋体" w:hAnsi="宋体" w:eastAsia="宋体"/>
          <w:b/>
          <w:bCs/>
          <w:color w:val="auto"/>
          <w:sz w:val="24"/>
          <w:szCs w:val="15"/>
          <w:lang w:eastAsia="zh-CN"/>
        </w:rPr>
      </w:pPr>
    </w:p>
    <w:p>
      <w:pPr>
        <w:pStyle w:val="74"/>
        <w:rPr>
          <w:rFonts w:ascii="宋体" w:hAnsi="宋体" w:eastAsia="宋体"/>
          <w:b/>
          <w:bCs/>
          <w:color w:val="auto"/>
          <w:sz w:val="24"/>
          <w:szCs w:val="15"/>
          <w:lang w:eastAsia="zh-CN"/>
        </w:rPr>
      </w:pPr>
      <w:r>
        <w:rPr>
          <w:rFonts w:hint="eastAsia" w:ascii="宋体" w:hAnsi="宋体" w:eastAsia="宋体"/>
          <w:b/>
          <w:bCs/>
          <w:color w:val="auto"/>
          <w:sz w:val="24"/>
          <w:szCs w:val="15"/>
          <w:lang w:eastAsia="zh-CN"/>
        </w:rPr>
        <w:t>2、商务技术文件格式：</w:t>
      </w:r>
    </w:p>
    <w:p>
      <w:pPr>
        <w:pStyle w:val="74"/>
        <w:rPr>
          <w:rFonts w:ascii="宋体" w:hAnsi="宋体" w:eastAsia="宋体"/>
          <w:b/>
          <w:bCs/>
          <w:color w:val="auto"/>
          <w:sz w:val="24"/>
          <w:szCs w:val="15"/>
          <w:lang w:eastAsia="zh-CN"/>
        </w:rPr>
      </w:pPr>
    </w:p>
    <w:p>
      <w:pPr>
        <w:pStyle w:val="18"/>
        <w:rPr>
          <w:rFonts w:hAnsi="宋体" w:cs="宋体"/>
          <w:color w:val="auto"/>
        </w:rPr>
      </w:pPr>
    </w:p>
    <w:p>
      <w:pPr>
        <w:rPr>
          <w:rFonts w:ascii="宋体" w:hAnsi="宋体" w:cs="宋体"/>
          <w:color w:val="auto"/>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74"/>
        <w:rPr>
          <w:rFonts w:ascii="宋体" w:hAnsi="宋体" w:eastAsia="宋体"/>
          <w:color w:val="auto"/>
          <w:lang w:eastAsia="zh-CN"/>
        </w:rPr>
      </w:pPr>
    </w:p>
    <w:p>
      <w:pPr>
        <w:pStyle w:val="18"/>
        <w:rPr>
          <w:rFonts w:hAnsi="宋体" w:cs="宋体"/>
          <w:color w:val="auto"/>
        </w:rPr>
      </w:pPr>
    </w:p>
    <w:p>
      <w:pPr>
        <w:pStyle w:val="18"/>
        <w:rPr>
          <w:rFonts w:hAnsi="宋体" w:cs="宋体"/>
          <w:color w:val="auto"/>
        </w:rPr>
      </w:pPr>
    </w:p>
    <w:p>
      <w:pPr>
        <w:pStyle w:val="18"/>
        <w:jc w:val="center"/>
        <w:rPr>
          <w:rFonts w:hAnsi="宋体" w:cs="宋体"/>
          <w:color w:val="auto"/>
          <w:sz w:val="72"/>
        </w:rPr>
      </w:pPr>
      <w:r>
        <w:rPr>
          <w:rFonts w:hint="eastAsia" w:hAnsi="宋体" w:cs="宋体"/>
          <w:color w:val="auto"/>
          <w:sz w:val="72"/>
        </w:rPr>
        <w:t>响   应  文  件</w:t>
      </w:r>
    </w:p>
    <w:p>
      <w:pPr>
        <w:pStyle w:val="18"/>
        <w:jc w:val="center"/>
        <w:rPr>
          <w:rFonts w:hAnsi="宋体" w:cs="宋体"/>
          <w:b/>
          <w:bCs/>
          <w:color w:val="auto"/>
          <w:sz w:val="24"/>
          <w:szCs w:val="22"/>
        </w:rPr>
      </w:pPr>
    </w:p>
    <w:p>
      <w:pPr>
        <w:pStyle w:val="18"/>
        <w:jc w:val="center"/>
        <w:rPr>
          <w:rFonts w:hAnsi="宋体" w:cs="宋体"/>
          <w:b/>
          <w:bCs/>
          <w:color w:val="auto"/>
          <w:sz w:val="24"/>
          <w:szCs w:val="22"/>
        </w:rPr>
      </w:pPr>
      <w:r>
        <w:rPr>
          <w:rFonts w:hint="eastAsia" w:hAnsi="宋体" w:cs="宋体"/>
          <w:b/>
          <w:bCs/>
          <w:color w:val="auto"/>
          <w:sz w:val="24"/>
          <w:szCs w:val="22"/>
        </w:rPr>
        <w:t>（商务技术文件）</w:t>
      </w:r>
    </w:p>
    <w:p>
      <w:pPr>
        <w:pStyle w:val="18"/>
        <w:jc w:val="center"/>
        <w:rPr>
          <w:rFonts w:hAnsi="宋体" w:cs="宋体"/>
          <w:color w:val="auto"/>
        </w:rPr>
      </w:pPr>
    </w:p>
    <w:p>
      <w:pPr>
        <w:pStyle w:val="18"/>
        <w:rPr>
          <w:rFonts w:hAnsi="宋体" w:cs="宋体"/>
          <w:color w:val="auto"/>
        </w:rPr>
      </w:pPr>
      <w:r>
        <w:rPr>
          <w:rFonts w:hint="eastAsia" w:hAnsi="宋体" w:cs="宋体"/>
          <w:color w:val="auto"/>
        </w:rPr>
        <w:t xml:space="preserve">                                          </w:t>
      </w:r>
    </w:p>
    <w:p>
      <w:pPr>
        <w:pStyle w:val="18"/>
        <w:rPr>
          <w:rFonts w:hAnsi="宋体" w:cs="宋体"/>
          <w:color w:val="auto"/>
        </w:rPr>
      </w:pPr>
    </w:p>
    <w:p>
      <w:pPr>
        <w:pStyle w:val="18"/>
        <w:rPr>
          <w:rFonts w:hAnsi="宋体" w:cs="宋体"/>
          <w:color w:val="auto"/>
        </w:rPr>
      </w:pPr>
    </w:p>
    <w:p>
      <w:pPr>
        <w:rPr>
          <w:rFonts w:ascii="宋体" w:hAnsi="宋体" w:cs="宋体"/>
          <w:color w:val="auto"/>
        </w:rPr>
      </w:pPr>
    </w:p>
    <w:p>
      <w:pPr>
        <w:pStyle w:val="74"/>
        <w:rPr>
          <w:rFonts w:ascii="宋体" w:hAnsi="宋体" w:eastAsia="宋体"/>
          <w:color w:val="auto"/>
          <w:lang w:eastAsia="zh-CN"/>
        </w:rPr>
      </w:pPr>
    </w:p>
    <w:p>
      <w:pPr>
        <w:pStyle w:val="18"/>
        <w:rPr>
          <w:rFonts w:hAnsi="宋体" w:cs="宋体"/>
          <w:color w:val="auto"/>
        </w:rPr>
      </w:pPr>
    </w:p>
    <w:p>
      <w:pPr>
        <w:pStyle w:val="18"/>
        <w:ind w:firstLine="1124" w:firstLineChars="400"/>
        <w:rPr>
          <w:rFonts w:hAnsi="宋体" w:cs="宋体"/>
          <w:b/>
          <w:color w:val="auto"/>
          <w:sz w:val="28"/>
          <w:szCs w:val="28"/>
        </w:rPr>
      </w:pPr>
      <w:r>
        <w:rPr>
          <w:rFonts w:hint="eastAsia" w:hAnsi="宋体" w:cs="宋体"/>
          <w:b/>
          <w:color w:val="auto"/>
          <w:sz w:val="28"/>
          <w:szCs w:val="28"/>
        </w:rPr>
        <w:t>项目名称：</w:t>
      </w:r>
    </w:p>
    <w:p>
      <w:pPr>
        <w:pStyle w:val="18"/>
        <w:ind w:firstLine="1124" w:firstLineChars="400"/>
        <w:rPr>
          <w:rFonts w:hAnsi="宋体" w:cs="宋体"/>
          <w:b/>
          <w:color w:val="auto"/>
          <w:sz w:val="28"/>
          <w:szCs w:val="28"/>
        </w:rPr>
      </w:pPr>
      <w:r>
        <w:rPr>
          <w:rFonts w:hint="eastAsia" w:hAnsi="宋体" w:cs="宋体"/>
          <w:b/>
          <w:color w:val="auto"/>
          <w:sz w:val="28"/>
          <w:szCs w:val="28"/>
        </w:rPr>
        <w:t>项目编号：</w:t>
      </w:r>
    </w:p>
    <w:p>
      <w:pPr>
        <w:pStyle w:val="18"/>
        <w:ind w:firstLine="1124" w:firstLineChars="400"/>
        <w:rPr>
          <w:rFonts w:hAnsi="宋体" w:cs="宋体"/>
          <w:b/>
          <w:color w:val="auto"/>
          <w:sz w:val="28"/>
          <w:szCs w:val="28"/>
        </w:rPr>
      </w:pPr>
      <w:r>
        <w:rPr>
          <w:rFonts w:hint="eastAsia" w:hAnsi="宋体" w:cs="宋体"/>
          <w:b/>
          <w:color w:val="auto"/>
          <w:sz w:val="28"/>
          <w:szCs w:val="28"/>
        </w:rPr>
        <w:t xml:space="preserve">竞标人名称（电子签章）：                               </w:t>
      </w:r>
    </w:p>
    <w:p>
      <w:pPr>
        <w:pStyle w:val="18"/>
        <w:ind w:firstLine="1124" w:firstLineChars="400"/>
        <w:rPr>
          <w:rFonts w:hAnsi="宋体" w:cs="宋体"/>
          <w:b/>
          <w:bCs/>
          <w:color w:val="auto"/>
          <w:sz w:val="28"/>
          <w:u w:val="single"/>
        </w:rPr>
      </w:pPr>
      <w:r>
        <w:rPr>
          <w:rFonts w:hint="eastAsia" w:hAnsi="宋体" w:cs="宋体"/>
          <w:b/>
          <w:color w:val="auto"/>
          <w:sz w:val="28"/>
          <w:szCs w:val="28"/>
        </w:rPr>
        <w:t xml:space="preserve">竞标人地址：         </w:t>
      </w:r>
      <w:r>
        <w:rPr>
          <w:rFonts w:hint="eastAsia" w:hAnsi="宋体" w:cs="宋体"/>
          <w:b/>
          <w:bCs/>
          <w:color w:val="auto"/>
          <w:sz w:val="28"/>
          <w:u w:val="single"/>
        </w:rPr>
        <w:t xml:space="preserve">                      </w:t>
      </w:r>
    </w:p>
    <w:p>
      <w:pPr>
        <w:pStyle w:val="18"/>
        <w:ind w:firstLine="1124" w:firstLineChars="400"/>
        <w:rPr>
          <w:rFonts w:hAnsi="宋体" w:cs="宋体"/>
          <w:b/>
          <w:bCs/>
          <w:color w:val="auto"/>
          <w:sz w:val="28"/>
        </w:rPr>
      </w:pPr>
      <w:r>
        <w:rPr>
          <w:rFonts w:hint="eastAsia" w:hAnsi="宋体" w:cs="宋体"/>
          <w:b/>
          <w:bCs/>
          <w:color w:val="auto"/>
          <w:sz w:val="28"/>
          <w:u w:val="single"/>
        </w:rPr>
        <w:t xml:space="preserve">      </w:t>
      </w:r>
    </w:p>
    <w:p>
      <w:pPr>
        <w:pStyle w:val="74"/>
        <w:ind w:firstLine="7027" w:firstLineChars="2500"/>
        <w:rPr>
          <w:rFonts w:ascii="宋体" w:hAnsi="宋体" w:eastAsia="宋体"/>
          <w:b/>
          <w:color w:val="auto"/>
          <w:sz w:val="32"/>
          <w:lang w:eastAsia="zh-CN"/>
        </w:rPr>
      </w:pPr>
      <w:r>
        <w:rPr>
          <w:rFonts w:hint="eastAsia" w:ascii="宋体" w:hAnsi="宋体" w:eastAsia="宋体"/>
          <w:b/>
          <w:bCs/>
          <w:color w:val="auto"/>
          <w:sz w:val="28"/>
          <w:lang w:eastAsia="zh-CN"/>
        </w:rPr>
        <w:t>年  月  日</w:t>
      </w: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74"/>
        <w:rPr>
          <w:rFonts w:ascii="宋体" w:hAnsi="宋体" w:eastAsia="宋体"/>
          <w:b/>
          <w:color w:val="auto"/>
          <w:sz w:val="32"/>
          <w:lang w:eastAsia="zh-CN"/>
        </w:rPr>
      </w:pPr>
    </w:p>
    <w:p>
      <w:pPr>
        <w:pStyle w:val="18"/>
        <w:spacing w:line="380" w:lineRule="atLeast"/>
        <w:jc w:val="center"/>
        <w:rPr>
          <w:rFonts w:hAnsi="宋体" w:cs="宋体"/>
          <w:b/>
          <w:bCs/>
          <w:color w:val="auto"/>
        </w:rPr>
      </w:pPr>
    </w:p>
    <w:p>
      <w:pPr>
        <w:pStyle w:val="18"/>
        <w:ind w:left="531" w:leftChars="100" w:hanging="321" w:hangingChars="100"/>
        <w:jc w:val="center"/>
        <w:rPr>
          <w:rFonts w:hAnsi="宋体" w:cs="宋体"/>
          <w:b/>
          <w:color w:val="auto"/>
          <w:sz w:val="32"/>
          <w:szCs w:val="32"/>
        </w:rPr>
      </w:pPr>
      <w:r>
        <w:rPr>
          <w:rFonts w:hint="eastAsia" w:hAnsi="宋体" w:cs="宋体"/>
          <w:b/>
          <w:color w:val="auto"/>
          <w:sz w:val="32"/>
          <w:szCs w:val="32"/>
        </w:rPr>
        <w:t>商务技术文件目录</w:t>
      </w:r>
    </w:p>
    <w:p>
      <w:pPr>
        <w:jc w:val="center"/>
        <w:rPr>
          <w:rFonts w:ascii="宋体" w:hAnsi="宋体" w:cs="宋体"/>
          <w:color w:val="auto"/>
        </w:rPr>
      </w:pPr>
      <w:r>
        <w:rPr>
          <w:rFonts w:hint="eastAsia" w:ascii="宋体" w:hAnsi="宋体" w:cs="宋体"/>
          <w:color w:val="auto"/>
          <w:sz w:val="24"/>
          <w:szCs w:val="11"/>
        </w:rPr>
        <w:t>（</w:t>
      </w:r>
      <w:r>
        <w:rPr>
          <w:rFonts w:hint="eastAsia" w:ascii="宋体" w:hAnsi="宋体" w:cs="宋体"/>
          <w:color w:val="auto"/>
        </w:rPr>
        <w:t>竞标人应按下列顺序自编目录及页码</w:t>
      </w:r>
      <w:r>
        <w:rPr>
          <w:rFonts w:hint="eastAsia" w:ascii="宋体" w:hAnsi="宋体" w:cs="宋体"/>
          <w:color w:val="auto"/>
          <w:sz w:val="24"/>
          <w:szCs w:val="11"/>
        </w:rPr>
        <w:t>）</w:t>
      </w:r>
    </w:p>
    <w:p>
      <w:pPr>
        <w:pStyle w:val="18"/>
        <w:spacing w:line="380" w:lineRule="atLeast"/>
        <w:ind w:firstLine="412"/>
        <w:rPr>
          <w:rFonts w:hAnsi="宋体" w:cs="宋体"/>
          <w:color w:val="auto"/>
          <w:sz w:val="22"/>
          <w:szCs w:val="22"/>
        </w:rPr>
      </w:pPr>
      <w:r>
        <w:rPr>
          <w:rFonts w:hint="eastAsia" w:hAnsi="宋体" w:cs="宋体"/>
          <w:color w:val="auto"/>
          <w:sz w:val="22"/>
          <w:szCs w:val="22"/>
        </w:rPr>
        <w:t>▲</w:t>
      </w:r>
      <w:r>
        <w:rPr>
          <w:rFonts w:hint="eastAsia" w:hAnsi="宋体" w:cs="宋体"/>
          <w:bCs/>
          <w:color w:val="auto"/>
        </w:rPr>
        <w:t>(1)</w:t>
      </w:r>
      <w:r>
        <w:rPr>
          <w:rFonts w:hint="eastAsia" w:hAnsi="宋体" w:cs="宋体"/>
          <w:color w:val="auto"/>
          <w:sz w:val="22"/>
          <w:szCs w:val="22"/>
        </w:rPr>
        <w:t xml:space="preserve">无串通竞标行为的承诺函 </w:t>
      </w:r>
    </w:p>
    <w:p>
      <w:pPr>
        <w:pStyle w:val="18"/>
        <w:spacing w:line="380" w:lineRule="atLeast"/>
        <w:ind w:firstLine="412"/>
        <w:rPr>
          <w:rFonts w:hAnsi="宋体" w:cs="宋体"/>
          <w:color w:val="auto"/>
        </w:rPr>
      </w:pPr>
      <w:r>
        <w:rPr>
          <w:rFonts w:hint="eastAsia" w:hAnsi="宋体" w:cs="宋体"/>
          <w:color w:val="auto"/>
          <w:sz w:val="22"/>
          <w:szCs w:val="22"/>
        </w:rPr>
        <w:t>▲</w:t>
      </w:r>
      <w:r>
        <w:rPr>
          <w:rFonts w:hint="eastAsia" w:hAnsi="宋体" w:cs="宋体"/>
          <w:bCs/>
          <w:color w:val="auto"/>
        </w:rPr>
        <w:t>(2)</w:t>
      </w:r>
      <w:r>
        <w:rPr>
          <w:rFonts w:hint="eastAsia" w:hAnsi="宋体" w:cs="宋体"/>
          <w:color w:val="auto"/>
        </w:rPr>
        <w:t>技术、商务偏离表</w:t>
      </w:r>
    </w:p>
    <w:p>
      <w:pPr>
        <w:pStyle w:val="18"/>
        <w:spacing w:line="380" w:lineRule="atLeast"/>
        <w:ind w:firstLine="412"/>
        <w:rPr>
          <w:rFonts w:hAnsi="宋体" w:cs="宋体"/>
          <w:color w:val="auto"/>
        </w:rPr>
      </w:pPr>
      <w:r>
        <w:rPr>
          <w:rFonts w:hint="eastAsia" w:hAnsi="宋体" w:cs="宋体"/>
          <w:color w:val="auto"/>
          <w:sz w:val="22"/>
          <w:szCs w:val="22"/>
        </w:rPr>
        <w:t>▲</w:t>
      </w:r>
      <w:r>
        <w:rPr>
          <w:rFonts w:hint="eastAsia" w:hAnsi="宋体" w:cs="宋体"/>
          <w:bCs/>
          <w:color w:val="auto"/>
        </w:rPr>
        <w:t>(3)</w:t>
      </w:r>
      <w:r>
        <w:rPr>
          <w:rFonts w:hint="eastAsia" w:hAnsi="宋体" w:cs="宋体"/>
          <w:color w:val="auto"/>
        </w:rPr>
        <w:t>售后服务承诺书</w:t>
      </w:r>
    </w:p>
    <w:p>
      <w:pPr>
        <w:pStyle w:val="18"/>
        <w:spacing w:line="380" w:lineRule="atLeast"/>
        <w:ind w:firstLine="630" w:firstLineChars="300"/>
        <w:rPr>
          <w:rFonts w:hAnsi="宋体" w:cs="宋体"/>
          <w:color w:val="auto"/>
        </w:rPr>
      </w:pPr>
      <w:r>
        <w:rPr>
          <w:rFonts w:hint="eastAsia" w:hAnsi="宋体" w:cs="宋体"/>
          <w:color w:val="auto"/>
        </w:rPr>
        <w:t>(4)货物合格证明文件（如有请提供）</w:t>
      </w:r>
    </w:p>
    <w:p>
      <w:pPr>
        <w:pStyle w:val="18"/>
        <w:spacing w:line="380" w:lineRule="atLeast"/>
        <w:ind w:firstLine="621" w:firstLineChars="296"/>
        <w:rPr>
          <w:rFonts w:hAnsi="宋体" w:cs="宋体"/>
          <w:color w:val="auto"/>
        </w:rPr>
      </w:pPr>
      <w:r>
        <w:rPr>
          <w:rFonts w:hint="eastAsia" w:hAnsi="宋体" w:cs="宋体"/>
          <w:color w:val="auto"/>
        </w:rPr>
        <w:t>(5)竞标人认为有必要提供的其他有关材料（如有请提供）</w:t>
      </w: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spacing w:line="360" w:lineRule="auto"/>
        <w:ind w:firstLine="562" w:firstLineChars="200"/>
        <w:contextualSpacing/>
        <w:jc w:val="center"/>
        <w:rPr>
          <w:rFonts w:ascii="宋体" w:hAnsi="宋体" w:cs="宋体"/>
          <w:b/>
          <w:bCs/>
          <w:color w:val="auto"/>
          <w:sz w:val="28"/>
          <w:szCs w:val="28"/>
        </w:rPr>
      </w:pPr>
    </w:p>
    <w:p>
      <w:pPr>
        <w:spacing w:line="360" w:lineRule="auto"/>
        <w:ind w:firstLine="562" w:firstLineChars="200"/>
        <w:contextualSpacing/>
        <w:jc w:val="center"/>
        <w:rPr>
          <w:rFonts w:ascii="宋体" w:hAnsi="宋体" w:cs="仿宋_GB2312"/>
          <w:b/>
          <w:bCs/>
          <w:color w:val="auto"/>
          <w:sz w:val="24"/>
        </w:rPr>
      </w:pPr>
      <w:r>
        <w:rPr>
          <w:rFonts w:hint="eastAsia" w:ascii="宋体" w:hAnsi="宋体" w:cs="宋体"/>
          <w:b/>
          <w:bCs/>
          <w:color w:val="auto"/>
          <w:sz w:val="28"/>
          <w:szCs w:val="28"/>
        </w:rPr>
        <w:t>（1）无串通竞标行为的承诺函</w:t>
      </w:r>
    </w:p>
    <w:p>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一、我方承诺无下列相互串通竞标的情形：</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 xml:space="preserve">1.不同供应商的响应文件由同一单位或者个人编制； </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2.不同供应商委托同一单位或者个人办理竞标事宜；</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3.不同供应商的响应文件载明的项目管理员为同一个人；</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4.不</w:t>
      </w:r>
      <w:r>
        <w:rPr>
          <w:rFonts w:hint="eastAsia" w:ascii="宋体" w:hAnsi="宋体" w:cs="仿宋_GB2312"/>
          <w:color w:val="auto"/>
          <w:spacing w:val="-6"/>
          <w:sz w:val="24"/>
        </w:rPr>
        <w:t>同供应商的响应文件异常一致或者竞标报价呈规律性差异；</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5.不同供应商的响应文件相互混装；</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6.不同供应商的磋商保证金从同一单位或者个人账户转出。</w:t>
      </w:r>
    </w:p>
    <w:p>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二、我方承诺无下列恶意串通的情形：</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2.供应商按照采购人或者采购代理机构的授意撤换、修改响应文件；</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3.供</w:t>
      </w:r>
      <w:r>
        <w:rPr>
          <w:rFonts w:hint="eastAsia" w:ascii="宋体" w:hAnsi="宋体" w:cs="仿宋_GB2312"/>
          <w:color w:val="auto"/>
          <w:spacing w:val="-6"/>
          <w:sz w:val="24"/>
        </w:rPr>
        <w:t>应商之间协商报价、技术方案等响应文件的实质性内容；</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4.属于同一集团、协会、商会等组织成员的供应商按照该组织要求协同参加政府采购活动；</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6.供应商之间商定部分供应商放弃参加政府采购活动或者放弃成交；</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7.供应商与采购人或者采购代理机构之间、供应商相互之间，为</w:t>
      </w:r>
      <w:r>
        <w:rPr>
          <w:rFonts w:hint="eastAsia" w:ascii="宋体" w:hAnsi="宋体" w:cs="仿宋_GB2312"/>
          <w:color w:val="auto"/>
          <w:spacing w:val="-6"/>
          <w:sz w:val="24"/>
        </w:rPr>
        <w:t>谋求特定供应商成交或者排斥其他供应商的其他串通行为。</w:t>
      </w:r>
    </w:p>
    <w:p>
      <w:pPr>
        <w:spacing w:line="360" w:lineRule="auto"/>
        <w:ind w:firstLine="480" w:firstLineChars="200"/>
        <w:contextualSpacing/>
        <w:rPr>
          <w:rFonts w:ascii="宋体" w:hAnsi="宋体" w:cs="仿宋_GB2312"/>
          <w:color w:val="auto"/>
          <w:sz w:val="24"/>
        </w:rPr>
      </w:pPr>
    </w:p>
    <w:p>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以上情形一经核查属实，我方愿意承担一切后果，并不再寻求任何旨在减轻或者免除法律责任的辩解。</w:t>
      </w:r>
    </w:p>
    <w:p>
      <w:pPr>
        <w:spacing w:line="360" w:lineRule="auto"/>
        <w:contextualSpacing/>
        <w:rPr>
          <w:rFonts w:ascii="宋体" w:hAnsi="宋体" w:cs="仿宋_GB2312"/>
          <w:color w:val="auto"/>
          <w:sz w:val="24"/>
        </w:rPr>
      </w:pPr>
    </w:p>
    <w:p>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kern w:val="0"/>
          <w:sz w:val="24"/>
        </w:rPr>
        <w:t>供应商名称（电子签章）：</w:t>
      </w:r>
    </w:p>
    <w:p>
      <w:pPr>
        <w:pStyle w:val="2"/>
        <w:spacing w:before="0" w:after="0" w:line="360" w:lineRule="auto"/>
        <w:ind w:firstLine="4269" w:firstLineChars="1642"/>
        <w:rPr>
          <w:rFonts w:hAnsi="宋体" w:cs="宋体"/>
          <w:color w:val="auto"/>
          <w:szCs w:val="24"/>
        </w:rPr>
      </w:pPr>
      <w:r>
        <w:rPr>
          <w:rFonts w:hint="eastAsia" w:hAnsi="宋体" w:cs="宋体"/>
          <w:color w:val="auto"/>
          <w:szCs w:val="24"/>
          <w:lang w:val="zh-CN"/>
        </w:rPr>
        <w:t>日期：  年  月   日</w:t>
      </w:r>
      <w:r>
        <w:rPr>
          <w:rFonts w:hint="eastAsia" w:hAnsi="宋体" w:cs="宋体"/>
          <w:color w:val="auto"/>
          <w:szCs w:val="24"/>
        </w:rPr>
        <w:t xml:space="preserve">  </w:t>
      </w:r>
    </w:p>
    <w:p>
      <w:pPr>
        <w:pStyle w:val="2"/>
        <w:rPr>
          <w:rFonts w:hAnsi="宋体" w:cs="宋体"/>
          <w:color w:val="auto"/>
          <w:szCs w:val="24"/>
        </w:rPr>
      </w:pPr>
    </w:p>
    <w:p>
      <w:pPr>
        <w:pStyle w:val="2"/>
        <w:rPr>
          <w:rFonts w:hAnsi="宋体" w:cs="宋体"/>
          <w:color w:val="auto"/>
          <w:szCs w:val="24"/>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p>
      <w:pPr>
        <w:pStyle w:val="2"/>
        <w:rPr>
          <w:rFonts w:hAnsi="宋体" w:cs="宋体"/>
          <w:b/>
          <w:color w:val="auto"/>
          <w:sz w:val="32"/>
          <w:szCs w:val="32"/>
        </w:rPr>
      </w:pPr>
    </w:p>
    <w:bookmarkEnd w:id="65"/>
    <w:p>
      <w:pPr>
        <w:pStyle w:val="18"/>
        <w:ind w:left="531" w:leftChars="100" w:hanging="321" w:hangingChars="100"/>
        <w:jc w:val="center"/>
        <w:rPr>
          <w:rFonts w:hAnsi="宋体" w:cs="宋体"/>
          <w:b/>
          <w:color w:val="auto"/>
          <w:sz w:val="32"/>
          <w:szCs w:val="32"/>
        </w:rPr>
      </w:pPr>
      <w:r>
        <w:rPr>
          <w:rFonts w:hint="eastAsia" w:hAnsi="宋体" w:cs="宋体"/>
          <w:b/>
          <w:color w:val="auto"/>
          <w:sz w:val="32"/>
          <w:szCs w:val="32"/>
        </w:rPr>
        <w:t>（2）技术、商务偏离表（格式）</w:t>
      </w:r>
    </w:p>
    <w:p>
      <w:pPr>
        <w:pStyle w:val="18"/>
        <w:ind w:firstLine="210" w:firstLineChars="100"/>
        <w:rPr>
          <w:rFonts w:hAnsi="宋体" w:cs="宋体"/>
          <w:color w:val="auto"/>
        </w:rPr>
      </w:pPr>
    </w:p>
    <w:p>
      <w:pPr>
        <w:pStyle w:val="18"/>
        <w:spacing w:line="380" w:lineRule="atLeast"/>
        <w:ind w:firstLine="420" w:firstLineChars="200"/>
        <w:rPr>
          <w:rFonts w:hAnsi="宋体" w:cs="宋体"/>
          <w:color w:val="auto"/>
        </w:rPr>
      </w:pPr>
      <w:r>
        <w:rPr>
          <w:rFonts w:hint="eastAsia" w:hAnsi="宋体" w:cs="宋体"/>
          <w:color w:val="auto"/>
        </w:rPr>
        <w:t>项目名称：</w:t>
      </w:r>
    </w:p>
    <w:p>
      <w:pPr>
        <w:pStyle w:val="18"/>
        <w:spacing w:line="380" w:lineRule="atLeast"/>
        <w:ind w:firstLine="420" w:firstLineChars="200"/>
        <w:rPr>
          <w:rFonts w:hAnsi="宋体" w:cs="宋体"/>
          <w:color w:val="auto"/>
        </w:rPr>
      </w:pPr>
      <w:r>
        <w:rPr>
          <w:rFonts w:hint="eastAsia" w:hAnsi="宋体" w:cs="宋体"/>
          <w:color w:val="auto"/>
        </w:rPr>
        <w:t>项目编号：</w:t>
      </w:r>
    </w:p>
    <w:tbl>
      <w:tblPr>
        <w:tblStyle w:val="46"/>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2"/>
        <w:gridCol w:w="2338"/>
        <w:gridCol w:w="2637"/>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840" w:type="dxa"/>
            <w:vAlign w:val="center"/>
          </w:tcPr>
          <w:p>
            <w:pPr>
              <w:pStyle w:val="18"/>
              <w:spacing w:line="400" w:lineRule="exact"/>
              <w:jc w:val="center"/>
              <w:rPr>
                <w:rFonts w:hAnsi="宋体" w:cs="宋体"/>
                <w:color w:val="auto"/>
                <w:kern w:val="0"/>
                <w:sz w:val="20"/>
                <w:szCs w:val="24"/>
              </w:rPr>
            </w:pPr>
            <w:r>
              <w:rPr>
                <w:rFonts w:hint="eastAsia" w:hAnsi="宋体" w:cs="宋体"/>
                <w:color w:val="auto"/>
                <w:kern w:val="0"/>
                <w:sz w:val="20"/>
                <w:szCs w:val="24"/>
              </w:rPr>
              <w:t>项号</w:t>
            </w:r>
          </w:p>
        </w:tc>
        <w:tc>
          <w:tcPr>
            <w:tcW w:w="1892" w:type="dxa"/>
            <w:vAlign w:val="center"/>
          </w:tcPr>
          <w:p>
            <w:pPr>
              <w:pStyle w:val="18"/>
              <w:spacing w:line="400" w:lineRule="exact"/>
              <w:jc w:val="center"/>
              <w:rPr>
                <w:rFonts w:hAnsi="宋体" w:cs="宋体"/>
                <w:color w:val="auto"/>
                <w:kern w:val="0"/>
                <w:sz w:val="20"/>
                <w:szCs w:val="24"/>
              </w:rPr>
            </w:pPr>
            <w:r>
              <w:rPr>
                <w:rFonts w:hint="eastAsia" w:hAnsi="宋体" w:cs="宋体"/>
                <w:color w:val="auto"/>
                <w:kern w:val="0"/>
                <w:sz w:val="20"/>
                <w:szCs w:val="24"/>
              </w:rPr>
              <w:t>货物名称或</w:t>
            </w:r>
          </w:p>
          <w:p>
            <w:pPr>
              <w:pStyle w:val="18"/>
              <w:spacing w:line="400" w:lineRule="exact"/>
              <w:jc w:val="center"/>
              <w:rPr>
                <w:rFonts w:hAnsi="宋体" w:cs="宋体"/>
                <w:color w:val="auto"/>
                <w:kern w:val="0"/>
                <w:sz w:val="20"/>
                <w:szCs w:val="24"/>
              </w:rPr>
            </w:pPr>
            <w:r>
              <w:rPr>
                <w:rFonts w:hint="eastAsia" w:hAnsi="宋体" w:cs="宋体"/>
                <w:color w:val="auto"/>
                <w:kern w:val="0"/>
                <w:sz w:val="20"/>
                <w:szCs w:val="24"/>
              </w:rPr>
              <w:t>技术（商务）条款</w:t>
            </w:r>
          </w:p>
        </w:tc>
        <w:tc>
          <w:tcPr>
            <w:tcW w:w="2338" w:type="dxa"/>
            <w:vAlign w:val="center"/>
          </w:tcPr>
          <w:p>
            <w:pPr>
              <w:pStyle w:val="18"/>
              <w:spacing w:line="400" w:lineRule="exact"/>
              <w:jc w:val="center"/>
              <w:rPr>
                <w:rFonts w:hAnsi="宋体" w:cs="宋体"/>
                <w:color w:val="auto"/>
                <w:kern w:val="0"/>
                <w:sz w:val="20"/>
                <w:szCs w:val="24"/>
              </w:rPr>
            </w:pPr>
            <w:r>
              <w:rPr>
                <w:rFonts w:hint="eastAsia" w:hAnsi="宋体" w:cs="宋体"/>
                <w:color w:val="auto"/>
                <w:kern w:val="0"/>
                <w:sz w:val="20"/>
                <w:szCs w:val="24"/>
              </w:rPr>
              <w:t>采购文件要求</w:t>
            </w:r>
          </w:p>
        </w:tc>
        <w:tc>
          <w:tcPr>
            <w:tcW w:w="2637" w:type="dxa"/>
            <w:vAlign w:val="center"/>
          </w:tcPr>
          <w:p>
            <w:pPr>
              <w:pStyle w:val="18"/>
              <w:spacing w:line="400" w:lineRule="exact"/>
              <w:jc w:val="center"/>
              <w:rPr>
                <w:rFonts w:hAnsi="宋体" w:cs="宋体"/>
                <w:color w:val="auto"/>
                <w:kern w:val="0"/>
                <w:sz w:val="20"/>
                <w:szCs w:val="24"/>
              </w:rPr>
            </w:pPr>
            <w:r>
              <w:rPr>
                <w:rFonts w:hint="eastAsia" w:hAnsi="宋体" w:cs="宋体"/>
                <w:color w:val="auto"/>
                <w:kern w:val="0"/>
                <w:sz w:val="20"/>
                <w:szCs w:val="24"/>
              </w:rPr>
              <w:t>竞标承诺</w:t>
            </w:r>
          </w:p>
        </w:tc>
        <w:tc>
          <w:tcPr>
            <w:tcW w:w="1233" w:type="dxa"/>
            <w:vAlign w:val="center"/>
          </w:tcPr>
          <w:p>
            <w:pPr>
              <w:pStyle w:val="18"/>
              <w:spacing w:line="400" w:lineRule="exact"/>
              <w:jc w:val="center"/>
              <w:rPr>
                <w:rFonts w:hAnsi="宋体" w:cs="宋体"/>
                <w:color w:val="auto"/>
                <w:kern w:val="0"/>
                <w:sz w:val="20"/>
                <w:szCs w:val="24"/>
              </w:rPr>
            </w:pPr>
            <w:r>
              <w:rPr>
                <w:rFonts w:hint="eastAsia" w:hAnsi="宋体" w:cs="宋体"/>
                <w:color w:val="auto"/>
                <w:kern w:val="0"/>
                <w:sz w:val="2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tcPr>
          <w:p>
            <w:pPr>
              <w:pStyle w:val="18"/>
              <w:spacing w:line="600" w:lineRule="exact"/>
              <w:jc w:val="center"/>
              <w:rPr>
                <w:rFonts w:hAnsi="宋体" w:cs="宋体"/>
                <w:color w:val="auto"/>
                <w:kern w:val="0"/>
                <w:sz w:val="20"/>
                <w:szCs w:val="24"/>
              </w:rPr>
            </w:pPr>
          </w:p>
        </w:tc>
        <w:tc>
          <w:tcPr>
            <w:tcW w:w="1892" w:type="dxa"/>
            <w:vAlign w:val="center"/>
          </w:tcPr>
          <w:p>
            <w:pPr>
              <w:pStyle w:val="18"/>
              <w:spacing w:line="600" w:lineRule="exact"/>
              <w:jc w:val="center"/>
              <w:rPr>
                <w:rFonts w:hAnsi="宋体" w:cs="宋体"/>
                <w:color w:val="auto"/>
                <w:kern w:val="0"/>
                <w:sz w:val="20"/>
                <w:szCs w:val="24"/>
              </w:rPr>
            </w:pPr>
          </w:p>
        </w:tc>
        <w:tc>
          <w:tcPr>
            <w:tcW w:w="2338" w:type="dxa"/>
            <w:vAlign w:val="center"/>
          </w:tcPr>
          <w:p>
            <w:pPr>
              <w:pStyle w:val="18"/>
              <w:spacing w:line="600" w:lineRule="exact"/>
              <w:jc w:val="center"/>
              <w:rPr>
                <w:rFonts w:hAnsi="宋体" w:cs="宋体"/>
                <w:color w:val="auto"/>
                <w:kern w:val="0"/>
                <w:sz w:val="20"/>
                <w:szCs w:val="24"/>
              </w:rPr>
            </w:pPr>
          </w:p>
        </w:tc>
        <w:tc>
          <w:tcPr>
            <w:tcW w:w="2637" w:type="dxa"/>
            <w:vAlign w:val="center"/>
          </w:tcPr>
          <w:p>
            <w:pPr>
              <w:pStyle w:val="18"/>
              <w:spacing w:line="600" w:lineRule="exact"/>
              <w:jc w:val="center"/>
              <w:rPr>
                <w:rFonts w:hAnsi="宋体" w:cs="宋体"/>
                <w:color w:val="auto"/>
                <w:kern w:val="0"/>
                <w:sz w:val="20"/>
                <w:szCs w:val="24"/>
              </w:rPr>
            </w:pPr>
          </w:p>
        </w:tc>
        <w:tc>
          <w:tcPr>
            <w:tcW w:w="1233" w:type="dxa"/>
            <w:vAlign w:val="center"/>
          </w:tcPr>
          <w:p>
            <w:pPr>
              <w:pStyle w:val="18"/>
              <w:spacing w:line="600" w:lineRule="exact"/>
              <w:jc w:val="center"/>
              <w:rPr>
                <w:rFonts w:hAnsi="宋体" w:cs="宋体"/>
                <w:color w:val="auto"/>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tcPr>
          <w:p>
            <w:pPr>
              <w:pStyle w:val="18"/>
              <w:spacing w:line="600" w:lineRule="exact"/>
              <w:rPr>
                <w:rFonts w:hAnsi="宋体" w:cs="宋体"/>
                <w:color w:val="auto"/>
                <w:kern w:val="0"/>
                <w:sz w:val="20"/>
                <w:szCs w:val="24"/>
              </w:rPr>
            </w:pPr>
          </w:p>
        </w:tc>
        <w:tc>
          <w:tcPr>
            <w:tcW w:w="1892" w:type="dxa"/>
          </w:tcPr>
          <w:p>
            <w:pPr>
              <w:pStyle w:val="18"/>
              <w:spacing w:line="600" w:lineRule="exact"/>
              <w:rPr>
                <w:rFonts w:hAnsi="宋体" w:cs="宋体"/>
                <w:color w:val="auto"/>
                <w:kern w:val="0"/>
                <w:sz w:val="20"/>
                <w:szCs w:val="24"/>
              </w:rPr>
            </w:pPr>
          </w:p>
        </w:tc>
        <w:tc>
          <w:tcPr>
            <w:tcW w:w="2338" w:type="dxa"/>
          </w:tcPr>
          <w:p>
            <w:pPr>
              <w:pStyle w:val="18"/>
              <w:spacing w:line="600" w:lineRule="exact"/>
              <w:rPr>
                <w:rFonts w:hAnsi="宋体" w:cs="宋体"/>
                <w:color w:val="auto"/>
                <w:kern w:val="0"/>
                <w:sz w:val="20"/>
                <w:szCs w:val="24"/>
              </w:rPr>
            </w:pPr>
          </w:p>
        </w:tc>
        <w:tc>
          <w:tcPr>
            <w:tcW w:w="2637" w:type="dxa"/>
          </w:tcPr>
          <w:p>
            <w:pPr>
              <w:pStyle w:val="18"/>
              <w:spacing w:line="600" w:lineRule="exact"/>
              <w:rPr>
                <w:rFonts w:hAnsi="宋体" w:cs="宋体"/>
                <w:color w:val="auto"/>
                <w:kern w:val="0"/>
                <w:sz w:val="20"/>
                <w:szCs w:val="24"/>
              </w:rPr>
            </w:pPr>
          </w:p>
        </w:tc>
        <w:tc>
          <w:tcPr>
            <w:tcW w:w="1233" w:type="dxa"/>
          </w:tcPr>
          <w:p>
            <w:pPr>
              <w:pStyle w:val="18"/>
              <w:spacing w:line="600" w:lineRule="exact"/>
              <w:rPr>
                <w:rFonts w:hAnsi="宋体" w:cs="宋体"/>
                <w:color w:val="auto"/>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tcPr>
          <w:p>
            <w:pPr>
              <w:pStyle w:val="18"/>
              <w:spacing w:line="600" w:lineRule="exact"/>
              <w:rPr>
                <w:rFonts w:hAnsi="宋体" w:cs="宋体"/>
                <w:color w:val="auto"/>
                <w:kern w:val="0"/>
                <w:sz w:val="20"/>
                <w:szCs w:val="24"/>
              </w:rPr>
            </w:pPr>
          </w:p>
        </w:tc>
        <w:tc>
          <w:tcPr>
            <w:tcW w:w="1892" w:type="dxa"/>
          </w:tcPr>
          <w:p>
            <w:pPr>
              <w:pStyle w:val="18"/>
              <w:spacing w:line="600" w:lineRule="exact"/>
              <w:rPr>
                <w:rFonts w:hAnsi="宋体" w:cs="宋体"/>
                <w:color w:val="auto"/>
                <w:kern w:val="0"/>
                <w:sz w:val="20"/>
                <w:szCs w:val="24"/>
              </w:rPr>
            </w:pPr>
          </w:p>
        </w:tc>
        <w:tc>
          <w:tcPr>
            <w:tcW w:w="2338" w:type="dxa"/>
          </w:tcPr>
          <w:p>
            <w:pPr>
              <w:pStyle w:val="18"/>
              <w:spacing w:line="600" w:lineRule="exact"/>
              <w:rPr>
                <w:rFonts w:hAnsi="宋体" w:cs="宋体"/>
                <w:color w:val="auto"/>
                <w:kern w:val="0"/>
                <w:sz w:val="20"/>
                <w:szCs w:val="24"/>
              </w:rPr>
            </w:pPr>
          </w:p>
        </w:tc>
        <w:tc>
          <w:tcPr>
            <w:tcW w:w="2637" w:type="dxa"/>
          </w:tcPr>
          <w:p>
            <w:pPr>
              <w:pStyle w:val="18"/>
              <w:spacing w:line="600" w:lineRule="exact"/>
              <w:rPr>
                <w:rFonts w:hAnsi="宋体" w:cs="宋体"/>
                <w:color w:val="auto"/>
                <w:kern w:val="0"/>
                <w:sz w:val="20"/>
                <w:szCs w:val="24"/>
              </w:rPr>
            </w:pPr>
          </w:p>
        </w:tc>
        <w:tc>
          <w:tcPr>
            <w:tcW w:w="1233" w:type="dxa"/>
          </w:tcPr>
          <w:p>
            <w:pPr>
              <w:pStyle w:val="18"/>
              <w:spacing w:line="600" w:lineRule="exact"/>
              <w:rPr>
                <w:rFonts w:hAnsi="宋体" w:cs="宋体"/>
                <w:color w:val="auto"/>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tcPr>
          <w:p>
            <w:pPr>
              <w:pStyle w:val="18"/>
              <w:spacing w:line="600" w:lineRule="exact"/>
              <w:rPr>
                <w:rFonts w:hAnsi="宋体" w:cs="宋体"/>
                <w:color w:val="auto"/>
                <w:kern w:val="0"/>
                <w:sz w:val="20"/>
                <w:szCs w:val="24"/>
              </w:rPr>
            </w:pPr>
          </w:p>
        </w:tc>
        <w:tc>
          <w:tcPr>
            <w:tcW w:w="1892" w:type="dxa"/>
          </w:tcPr>
          <w:p>
            <w:pPr>
              <w:pStyle w:val="18"/>
              <w:spacing w:line="600" w:lineRule="exact"/>
              <w:rPr>
                <w:rFonts w:hAnsi="宋体" w:cs="宋体"/>
                <w:color w:val="auto"/>
                <w:kern w:val="0"/>
                <w:sz w:val="20"/>
                <w:szCs w:val="24"/>
              </w:rPr>
            </w:pPr>
          </w:p>
        </w:tc>
        <w:tc>
          <w:tcPr>
            <w:tcW w:w="2338" w:type="dxa"/>
          </w:tcPr>
          <w:p>
            <w:pPr>
              <w:pStyle w:val="18"/>
              <w:spacing w:line="600" w:lineRule="exact"/>
              <w:rPr>
                <w:rFonts w:hAnsi="宋体" w:cs="宋体"/>
                <w:color w:val="auto"/>
                <w:kern w:val="0"/>
                <w:sz w:val="20"/>
                <w:szCs w:val="24"/>
              </w:rPr>
            </w:pPr>
          </w:p>
        </w:tc>
        <w:tc>
          <w:tcPr>
            <w:tcW w:w="2637" w:type="dxa"/>
          </w:tcPr>
          <w:p>
            <w:pPr>
              <w:pStyle w:val="18"/>
              <w:spacing w:line="600" w:lineRule="exact"/>
              <w:rPr>
                <w:rFonts w:hAnsi="宋体" w:cs="宋体"/>
                <w:color w:val="auto"/>
                <w:kern w:val="0"/>
                <w:sz w:val="20"/>
                <w:szCs w:val="24"/>
              </w:rPr>
            </w:pPr>
          </w:p>
        </w:tc>
        <w:tc>
          <w:tcPr>
            <w:tcW w:w="1233" w:type="dxa"/>
          </w:tcPr>
          <w:p>
            <w:pPr>
              <w:pStyle w:val="18"/>
              <w:spacing w:line="600" w:lineRule="exact"/>
              <w:rPr>
                <w:rFonts w:hAnsi="宋体" w:cs="宋体"/>
                <w:color w:val="auto"/>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tcPr>
          <w:p>
            <w:pPr>
              <w:pStyle w:val="18"/>
              <w:spacing w:line="600" w:lineRule="exact"/>
              <w:rPr>
                <w:rFonts w:hAnsi="宋体" w:cs="宋体"/>
                <w:color w:val="auto"/>
                <w:kern w:val="0"/>
                <w:sz w:val="20"/>
                <w:szCs w:val="24"/>
              </w:rPr>
            </w:pPr>
          </w:p>
        </w:tc>
        <w:tc>
          <w:tcPr>
            <w:tcW w:w="1892" w:type="dxa"/>
          </w:tcPr>
          <w:p>
            <w:pPr>
              <w:pStyle w:val="18"/>
              <w:spacing w:line="600" w:lineRule="exact"/>
              <w:rPr>
                <w:rFonts w:hAnsi="宋体" w:cs="宋体"/>
                <w:color w:val="auto"/>
                <w:kern w:val="0"/>
                <w:sz w:val="20"/>
                <w:szCs w:val="24"/>
              </w:rPr>
            </w:pPr>
          </w:p>
        </w:tc>
        <w:tc>
          <w:tcPr>
            <w:tcW w:w="2338" w:type="dxa"/>
          </w:tcPr>
          <w:p>
            <w:pPr>
              <w:pStyle w:val="18"/>
              <w:spacing w:line="600" w:lineRule="exact"/>
              <w:rPr>
                <w:rFonts w:hAnsi="宋体" w:cs="宋体"/>
                <w:color w:val="auto"/>
                <w:kern w:val="0"/>
                <w:sz w:val="20"/>
                <w:szCs w:val="24"/>
              </w:rPr>
            </w:pPr>
          </w:p>
        </w:tc>
        <w:tc>
          <w:tcPr>
            <w:tcW w:w="2637" w:type="dxa"/>
          </w:tcPr>
          <w:p>
            <w:pPr>
              <w:pStyle w:val="18"/>
              <w:spacing w:line="600" w:lineRule="exact"/>
              <w:rPr>
                <w:rFonts w:hAnsi="宋体" w:cs="宋体"/>
                <w:color w:val="auto"/>
                <w:kern w:val="0"/>
                <w:sz w:val="20"/>
                <w:szCs w:val="24"/>
              </w:rPr>
            </w:pPr>
          </w:p>
        </w:tc>
        <w:tc>
          <w:tcPr>
            <w:tcW w:w="1233" w:type="dxa"/>
          </w:tcPr>
          <w:p>
            <w:pPr>
              <w:pStyle w:val="18"/>
              <w:spacing w:line="600" w:lineRule="exact"/>
              <w:rPr>
                <w:rFonts w:hAnsi="宋体" w:cs="宋体"/>
                <w:color w:val="auto"/>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tcPr>
          <w:p>
            <w:pPr>
              <w:pStyle w:val="18"/>
              <w:spacing w:line="600" w:lineRule="exact"/>
              <w:rPr>
                <w:rFonts w:hAnsi="宋体" w:cs="宋体"/>
                <w:color w:val="auto"/>
                <w:kern w:val="0"/>
                <w:sz w:val="20"/>
                <w:szCs w:val="24"/>
              </w:rPr>
            </w:pPr>
          </w:p>
        </w:tc>
        <w:tc>
          <w:tcPr>
            <w:tcW w:w="1892" w:type="dxa"/>
          </w:tcPr>
          <w:p>
            <w:pPr>
              <w:pStyle w:val="18"/>
              <w:spacing w:line="600" w:lineRule="exact"/>
              <w:rPr>
                <w:rFonts w:hAnsi="宋体" w:cs="宋体"/>
                <w:color w:val="auto"/>
                <w:kern w:val="0"/>
                <w:sz w:val="20"/>
                <w:szCs w:val="24"/>
              </w:rPr>
            </w:pPr>
          </w:p>
        </w:tc>
        <w:tc>
          <w:tcPr>
            <w:tcW w:w="2338" w:type="dxa"/>
          </w:tcPr>
          <w:p>
            <w:pPr>
              <w:pStyle w:val="18"/>
              <w:spacing w:line="600" w:lineRule="exact"/>
              <w:rPr>
                <w:rFonts w:hAnsi="宋体" w:cs="宋体"/>
                <w:color w:val="auto"/>
                <w:kern w:val="0"/>
                <w:sz w:val="20"/>
                <w:szCs w:val="24"/>
              </w:rPr>
            </w:pPr>
          </w:p>
        </w:tc>
        <w:tc>
          <w:tcPr>
            <w:tcW w:w="2637" w:type="dxa"/>
          </w:tcPr>
          <w:p>
            <w:pPr>
              <w:pStyle w:val="18"/>
              <w:spacing w:line="600" w:lineRule="exact"/>
              <w:rPr>
                <w:rFonts w:hAnsi="宋体" w:cs="宋体"/>
                <w:color w:val="auto"/>
                <w:kern w:val="0"/>
                <w:sz w:val="20"/>
                <w:szCs w:val="24"/>
              </w:rPr>
            </w:pPr>
          </w:p>
        </w:tc>
        <w:tc>
          <w:tcPr>
            <w:tcW w:w="1233" w:type="dxa"/>
          </w:tcPr>
          <w:p>
            <w:pPr>
              <w:pStyle w:val="18"/>
              <w:spacing w:line="600" w:lineRule="exact"/>
              <w:rPr>
                <w:rFonts w:hAnsi="宋体" w:cs="宋体"/>
                <w:color w:val="auto"/>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tcPr>
          <w:p>
            <w:pPr>
              <w:pStyle w:val="18"/>
              <w:spacing w:line="600" w:lineRule="exact"/>
              <w:rPr>
                <w:rFonts w:hAnsi="宋体" w:cs="宋体"/>
                <w:color w:val="auto"/>
                <w:kern w:val="0"/>
                <w:sz w:val="20"/>
                <w:szCs w:val="24"/>
              </w:rPr>
            </w:pPr>
          </w:p>
        </w:tc>
        <w:tc>
          <w:tcPr>
            <w:tcW w:w="1892" w:type="dxa"/>
          </w:tcPr>
          <w:p>
            <w:pPr>
              <w:pStyle w:val="18"/>
              <w:spacing w:line="600" w:lineRule="exact"/>
              <w:rPr>
                <w:rFonts w:hAnsi="宋体" w:cs="宋体"/>
                <w:color w:val="auto"/>
                <w:kern w:val="0"/>
                <w:sz w:val="20"/>
                <w:szCs w:val="24"/>
              </w:rPr>
            </w:pPr>
          </w:p>
        </w:tc>
        <w:tc>
          <w:tcPr>
            <w:tcW w:w="2338" w:type="dxa"/>
          </w:tcPr>
          <w:p>
            <w:pPr>
              <w:pStyle w:val="18"/>
              <w:spacing w:line="600" w:lineRule="exact"/>
              <w:rPr>
                <w:rFonts w:hAnsi="宋体" w:cs="宋体"/>
                <w:color w:val="auto"/>
                <w:kern w:val="0"/>
                <w:sz w:val="20"/>
                <w:szCs w:val="24"/>
              </w:rPr>
            </w:pPr>
          </w:p>
        </w:tc>
        <w:tc>
          <w:tcPr>
            <w:tcW w:w="2637" w:type="dxa"/>
          </w:tcPr>
          <w:p>
            <w:pPr>
              <w:pStyle w:val="18"/>
              <w:spacing w:line="600" w:lineRule="exact"/>
              <w:rPr>
                <w:rFonts w:hAnsi="宋体" w:cs="宋体"/>
                <w:color w:val="auto"/>
                <w:kern w:val="0"/>
                <w:sz w:val="20"/>
                <w:szCs w:val="24"/>
              </w:rPr>
            </w:pPr>
          </w:p>
        </w:tc>
        <w:tc>
          <w:tcPr>
            <w:tcW w:w="1233" w:type="dxa"/>
          </w:tcPr>
          <w:p>
            <w:pPr>
              <w:pStyle w:val="18"/>
              <w:spacing w:line="600" w:lineRule="exact"/>
              <w:rPr>
                <w:rFonts w:hAnsi="宋体" w:cs="宋体"/>
                <w:color w:val="auto"/>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tcPr>
          <w:p>
            <w:pPr>
              <w:pStyle w:val="18"/>
              <w:spacing w:line="600" w:lineRule="exact"/>
              <w:rPr>
                <w:rFonts w:hAnsi="宋体" w:cs="宋体"/>
                <w:color w:val="auto"/>
                <w:kern w:val="0"/>
                <w:sz w:val="20"/>
                <w:szCs w:val="24"/>
              </w:rPr>
            </w:pPr>
          </w:p>
        </w:tc>
        <w:tc>
          <w:tcPr>
            <w:tcW w:w="1892" w:type="dxa"/>
          </w:tcPr>
          <w:p>
            <w:pPr>
              <w:pStyle w:val="18"/>
              <w:spacing w:line="600" w:lineRule="exact"/>
              <w:rPr>
                <w:rFonts w:hAnsi="宋体" w:cs="宋体"/>
                <w:color w:val="auto"/>
                <w:kern w:val="0"/>
                <w:sz w:val="20"/>
                <w:szCs w:val="24"/>
              </w:rPr>
            </w:pPr>
          </w:p>
        </w:tc>
        <w:tc>
          <w:tcPr>
            <w:tcW w:w="2338" w:type="dxa"/>
          </w:tcPr>
          <w:p>
            <w:pPr>
              <w:pStyle w:val="18"/>
              <w:spacing w:line="600" w:lineRule="exact"/>
              <w:rPr>
                <w:rFonts w:hAnsi="宋体" w:cs="宋体"/>
                <w:color w:val="auto"/>
                <w:kern w:val="0"/>
                <w:sz w:val="20"/>
                <w:szCs w:val="24"/>
              </w:rPr>
            </w:pPr>
          </w:p>
        </w:tc>
        <w:tc>
          <w:tcPr>
            <w:tcW w:w="2637" w:type="dxa"/>
          </w:tcPr>
          <w:p>
            <w:pPr>
              <w:pStyle w:val="18"/>
              <w:spacing w:line="600" w:lineRule="exact"/>
              <w:rPr>
                <w:rFonts w:hAnsi="宋体" w:cs="宋体"/>
                <w:color w:val="auto"/>
                <w:kern w:val="0"/>
                <w:sz w:val="20"/>
                <w:szCs w:val="24"/>
              </w:rPr>
            </w:pPr>
          </w:p>
        </w:tc>
        <w:tc>
          <w:tcPr>
            <w:tcW w:w="1233" w:type="dxa"/>
          </w:tcPr>
          <w:p>
            <w:pPr>
              <w:pStyle w:val="18"/>
              <w:spacing w:line="600" w:lineRule="exact"/>
              <w:rPr>
                <w:rFonts w:hAnsi="宋体" w:cs="宋体"/>
                <w:color w:val="auto"/>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tcPr>
          <w:p>
            <w:pPr>
              <w:pStyle w:val="18"/>
              <w:spacing w:line="600" w:lineRule="exact"/>
              <w:rPr>
                <w:rFonts w:hAnsi="宋体" w:cs="宋体"/>
                <w:color w:val="auto"/>
                <w:kern w:val="0"/>
                <w:sz w:val="20"/>
                <w:szCs w:val="24"/>
              </w:rPr>
            </w:pPr>
          </w:p>
        </w:tc>
        <w:tc>
          <w:tcPr>
            <w:tcW w:w="1892" w:type="dxa"/>
          </w:tcPr>
          <w:p>
            <w:pPr>
              <w:pStyle w:val="18"/>
              <w:spacing w:line="600" w:lineRule="exact"/>
              <w:rPr>
                <w:rFonts w:hAnsi="宋体" w:cs="宋体"/>
                <w:color w:val="auto"/>
                <w:kern w:val="0"/>
                <w:sz w:val="20"/>
                <w:szCs w:val="24"/>
              </w:rPr>
            </w:pPr>
          </w:p>
        </w:tc>
        <w:tc>
          <w:tcPr>
            <w:tcW w:w="2338" w:type="dxa"/>
          </w:tcPr>
          <w:p>
            <w:pPr>
              <w:pStyle w:val="18"/>
              <w:spacing w:line="600" w:lineRule="exact"/>
              <w:rPr>
                <w:rFonts w:hAnsi="宋体" w:cs="宋体"/>
                <w:color w:val="auto"/>
                <w:kern w:val="0"/>
                <w:sz w:val="20"/>
                <w:szCs w:val="24"/>
              </w:rPr>
            </w:pPr>
          </w:p>
        </w:tc>
        <w:tc>
          <w:tcPr>
            <w:tcW w:w="2637" w:type="dxa"/>
          </w:tcPr>
          <w:p>
            <w:pPr>
              <w:pStyle w:val="18"/>
              <w:spacing w:line="600" w:lineRule="exact"/>
              <w:rPr>
                <w:rFonts w:hAnsi="宋体" w:cs="宋体"/>
                <w:color w:val="auto"/>
                <w:kern w:val="0"/>
                <w:sz w:val="20"/>
                <w:szCs w:val="24"/>
              </w:rPr>
            </w:pPr>
          </w:p>
        </w:tc>
        <w:tc>
          <w:tcPr>
            <w:tcW w:w="1233" w:type="dxa"/>
          </w:tcPr>
          <w:p>
            <w:pPr>
              <w:pStyle w:val="18"/>
              <w:spacing w:line="600" w:lineRule="exact"/>
              <w:rPr>
                <w:rFonts w:hAnsi="宋体" w:cs="宋体"/>
                <w:color w:val="auto"/>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tcPr>
          <w:p>
            <w:pPr>
              <w:pStyle w:val="18"/>
              <w:spacing w:line="600" w:lineRule="exact"/>
              <w:rPr>
                <w:rFonts w:hAnsi="宋体" w:cs="宋体"/>
                <w:color w:val="auto"/>
                <w:kern w:val="0"/>
                <w:sz w:val="20"/>
                <w:szCs w:val="24"/>
              </w:rPr>
            </w:pPr>
          </w:p>
        </w:tc>
        <w:tc>
          <w:tcPr>
            <w:tcW w:w="1892" w:type="dxa"/>
          </w:tcPr>
          <w:p>
            <w:pPr>
              <w:pStyle w:val="18"/>
              <w:spacing w:line="600" w:lineRule="exact"/>
              <w:rPr>
                <w:rFonts w:hAnsi="宋体" w:cs="宋体"/>
                <w:color w:val="auto"/>
                <w:kern w:val="0"/>
                <w:sz w:val="20"/>
                <w:szCs w:val="24"/>
              </w:rPr>
            </w:pPr>
          </w:p>
        </w:tc>
        <w:tc>
          <w:tcPr>
            <w:tcW w:w="2338" w:type="dxa"/>
          </w:tcPr>
          <w:p>
            <w:pPr>
              <w:pStyle w:val="18"/>
              <w:spacing w:line="600" w:lineRule="exact"/>
              <w:rPr>
                <w:rFonts w:hAnsi="宋体" w:cs="宋体"/>
                <w:color w:val="auto"/>
                <w:kern w:val="0"/>
                <w:sz w:val="20"/>
                <w:szCs w:val="24"/>
              </w:rPr>
            </w:pPr>
          </w:p>
        </w:tc>
        <w:tc>
          <w:tcPr>
            <w:tcW w:w="2637" w:type="dxa"/>
          </w:tcPr>
          <w:p>
            <w:pPr>
              <w:pStyle w:val="18"/>
              <w:spacing w:line="600" w:lineRule="exact"/>
              <w:rPr>
                <w:rFonts w:hAnsi="宋体" w:cs="宋体"/>
                <w:color w:val="auto"/>
                <w:kern w:val="0"/>
                <w:sz w:val="20"/>
                <w:szCs w:val="24"/>
              </w:rPr>
            </w:pPr>
          </w:p>
        </w:tc>
        <w:tc>
          <w:tcPr>
            <w:tcW w:w="1233" w:type="dxa"/>
          </w:tcPr>
          <w:p>
            <w:pPr>
              <w:pStyle w:val="18"/>
              <w:spacing w:line="600" w:lineRule="exact"/>
              <w:rPr>
                <w:rFonts w:hAnsi="宋体" w:cs="宋体"/>
                <w:color w:val="auto"/>
                <w:kern w:val="0"/>
                <w:sz w:val="20"/>
                <w:szCs w:val="24"/>
              </w:rPr>
            </w:pPr>
          </w:p>
        </w:tc>
      </w:tr>
    </w:tbl>
    <w:p>
      <w:pPr>
        <w:pStyle w:val="18"/>
        <w:rPr>
          <w:rFonts w:hAnsi="宋体" w:cs="宋体"/>
          <w:color w:val="auto"/>
        </w:rPr>
      </w:pPr>
    </w:p>
    <w:p>
      <w:pPr>
        <w:pStyle w:val="18"/>
        <w:rPr>
          <w:rFonts w:hAnsi="宋体" w:cs="宋体"/>
          <w:b/>
          <w:color w:val="auto"/>
        </w:rPr>
      </w:pPr>
      <w:r>
        <w:rPr>
          <w:rFonts w:hint="eastAsia" w:hAnsi="宋体" w:cs="宋体"/>
          <w:b/>
          <w:color w:val="auto"/>
        </w:rPr>
        <w:t>注：请按所竞标产品的技术参数性能（配置）及商务条款，逐条对应竞争性谈判采购文件《货物需求一览表》中的要求认真填写本表。对照采购文件要求在“偏离说明”栏注明“正偏离”、“负偏离”或“无偏离”。</w:t>
      </w:r>
    </w:p>
    <w:p>
      <w:pPr>
        <w:pStyle w:val="18"/>
        <w:rPr>
          <w:rFonts w:hAnsi="宋体" w:cs="宋体"/>
          <w:b/>
          <w:color w:val="auto"/>
        </w:rPr>
      </w:pPr>
    </w:p>
    <w:p>
      <w:pPr>
        <w:pStyle w:val="18"/>
        <w:rPr>
          <w:rFonts w:hAnsi="宋体" w:cs="宋体"/>
          <w:color w:val="auto"/>
          <w:sz w:val="20"/>
          <w:szCs w:val="18"/>
        </w:rPr>
      </w:pPr>
    </w:p>
    <w:p>
      <w:pPr>
        <w:autoSpaceDE w:val="0"/>
        <w:autoSpaceDN w:val="0"/>
        <w:spacing w:line="360" w:lineRule="auto"/>
        <w:ind w:left="4325" w:leftChars="1850" w:hanging="440" w:hangingChars="200"/>
        <w:rPr>
          <w:rFonts w:ascii="宋体" w:hAnsi="宋体" w:cs="宋体"/>
          <w:color w:val="auto"/>
          <w:kern w:val="0"/>
          <w:sz w:val="22"/>
          <w:szCs w:val="22"/>
        </w:rPr>
      </w:pPr>
      <w:r>
        <w:rPr>
          <w:rFonts w:hint="eastAsia" w:ascii="宋体" w:hAnsi="宋体" w:cs="宋体"/>
          <w:color w:val="auto"/>
          <w:kern w:val="0"/>
          <w:sz w:val="22"/>
          <w:szCs w:val="22"/>
        </w:rPr>
        <w:t>供应商名称（电子签章）：</w:t>
      </w:r>
    </w:p>
    <w:p>
      <w:pPr>
        <w:autoSpaceDE w:val="0"/>
        <w:autoSpaceDN w:val="0"/>
        <w:spacing w:line="360" w:lineRule="auto"/>
        <w:ind w:firstLine="5610" w:firstLineChars="2550"/>
        <w:rPr>
          <w:rFonts w:ascii="宋体" w:hAnsi="宋体" w:cs="宋体"/>
          <w:color w:val="auto"/>
          <w:sz w:val="22"/>
          <w:szCs w:val="22"/>
        </w:rPr>
      </w:pPr>
      <w:r>
        <w:rPr>
          <w:rFonts w:hint="eastAsia" w:ascii="宋体" w:hAnsi="宋体" w:cs="宋体"/>
          <w:color w:val="auto"/>
          <w:kern w:val="0"/>
          <w:sz w:val="22"/>
          <w:szCs w:val="22"/>
          <w:lang w:val="zh-CN"/>
        </w:rPr>
        <w:t>日期：  年  月   日</w:t>
      </w:r>
      <w:r>
        <w:rPr>
          <w:rFonts w:hint="eastAsia" w:ascii="宋体" w:hAnsi="宋体" w:cs="宋体"/>
          <w:color w:val="auto"/>
          <w:sz w:val="22"/>
          <w:szCs w:val="22"/>
        </w:rPr>
        <w:t xml:space="preserve">     </w:t>
      </w:r>
    </w:p>
    <w:p>
      <w:pPr>
        <w:rPr>
          <w:rFonts w:ascii="宋体" w:hAnsi="宋体" w:cs="宋体"/>
          <w:color w:val="auto"/>
        </w:rPr>
      </w:pPr>
    </w:p>
    <w:p>
      <w:pPr>
        <w:pStyle w:val="2"/>
        <w:rPr>
          <w:rFonts w:hAnsi="宋体" w:cs="宋体"/>
          <w:color w:val="auto"/>
        </w:rPr>
      </w:pPr>
    </w:p>
    <w:p>
      <w:pPr>
        <w:pStyle w:val="2"/>
        <w:rPr>
          <w:rFonts w:hAnsi="宋体" w:cs="宋体"/>
          <w:color w:val="auto"/>
        </w:rPr>
      </w:pPr>
    </w:p>
    <w:p>
      <w:pPr>
        <w:pStyle w:val="2"/>
        <w:rPr>
          <w:rFonts w:hAnsi="宋体" w:cs="宋体"/>
          <w:color w:val="auto"/>
        </w:rPr>
      </w:pPr>
    </w:p>
    <w:p>
      <w:pPr>
        <w:pStyle w:val="2"/>
        <w:rPr>
          <w:rFonts w:hAnsi="宋体" w:cs="宋体"/>
          <w:color w:val="auto"/>
        </w:rPr>
      </w:pPr>
    </w:p>
    <w:p>
      <w:pPr>
        <w:pStyle w:val="2"/>
        <w:rPr>
          <w:rFonts w:hAnsi="宋体" w:cs="宋体"/>
          <w:color w:val="auto"/>
        </w:rPr>
      </w:pPr>
    </w:p>
    <w:p>
      <w:pPr>
        <w:pStyle w:val="2"/>
        <w:rPr>
          <w:rFonts w:hAnsi="宋体" w:cs="宋体"/>
          <w:color w:val="auto"/>
        </w:rPr>
      </w:pPr>
    </w:p>
    <w:p>
      <w:pPr>
        <w:pStyle w:val="2"/>
        <w:rPr>
          <w:rFonts w:hAnsi="宋体" w:cs="宋体"/>
          <w:color w:val="auto"/>
        </w:rPr>
      </w:pPr>
    </w:p>
    <w:p>
      <w:pPr>
        <w:pStyle w:val="2"/>
        <w:rPr>
          <w:rFonts w:hAnsi="宋体" w:cs="宋体"/>
          <w:color w:val="auto"/>
        </w:rPr>
      </w:pPr>
    </w:p>
    <w:p>
      <w:pPr>
        <w:pStyle w:val="2"/>
        <w:rPr>
          <w:rFonts w:hAnsi="宋体" w:cs="宋体"/>
          <w:color w:val="auto"/>
        </w:rPr>
      </w:pPr>
    </w:p>
    <w:p>
      <w:pPr>
        <w:pStyle w:val="2"/>
        <w:rPr>
          <w:rFonts w:hAnsi="宋体" w:cs="宋体"/>
          <w:color w:val="auto"/>
        </w:rPr>
      </w:pPr>
    </w:p>
    <w:p>
      <w:pPr>
        <w:pStyle w:val="2"/>
        <w:rPr>
          <w:rFonts w:hAnsi="宋体" w:cs="宋体"/>
          <w:color w:val="auto"/>
        </w:rPr>
      </w:pPr>
    </w:p>
    <w:p>
      <w:pPr>
        <w:pStyle w:val="2"/>
        <w:rPr>
          <w:rFonts w:hAnsi="宋体" w:cs="宋体"/>
          <w:color w:val="auto"/>
        </w:rPr>
      </w:pPr>
    </w:p>
    <w:p>
      <w:pPr>
        <w:pStyle w:val="2"/>
        <w:rPr>
          <w:rFonts w:hAnsi="宋体" w:cs="宋体"/>
          <w:color w:val="auto"/>
        </w:rPr>
      </w:pPr>
    </w:p>
    <w:p>
      <w:pPr>
        <w:pStyle w:val="2"/>
        <w:rPr>
          <w:rFonts w:hAnsi="宋体" w:cs="宋体"/>
          <w:color w:val="auto"/>
        </w:rPr>
      </w:pPr>
    </w:p>
    <w:p>
      <w:pPr>
        <w:jc w:val="center"/>
        <w:rPr>
          <w:rFonts w:ascii="宋体" w:hAnsi="宋体" w:cs="宋体"/>
          <w:b/>
          <w:color w:val="auto"/>
          <w:sz w:val="32"/>
          <w:szCs w:val="32"/>
        </w:rPr>
      </w:pPr>
      <w:bookmarkStart w:id="66" w:name="_Toc137551187"/>
      <w:r>
        <w:rPr>
          <w:rFonts w:hint="eastAsia" w:ascii="宋体" w:hAnsi="宋体" w:cs="宋体"/>
          <w:b/>
          <w:color w:val="auto"/>
          <w:sz w:val="32"/>
          <w:szCs w:val="32"/>
        </w:rPr>
        <w:t>（3）售后服务承诺书</w:t>
      </w:r>
      <w:bookmarkEnd w:id="66"/>
      <w:r>
        <w:rPr>
          <w:rFonts w:hint="eastAsia" w:ascii="宋体" w:hAnsi="宋体" w:cs="宋体"/>
          <w:b/>
          <w:color w:val="auto"/>
          <w:sz w:val="32"/>
          <w:szCs w:val="32"/>
        </w:rPr>
        <w:t>（格式）</w:t>
      </w:r>
    </w:p>
    <w:p>
      <w:pPr>
        <w:pStyle w:val="18"/>
        <w:jc w:val="center"/>
        <w:rPr>
          <w:rFonts w:hAnsi="宋体" w:cs="宋体"/>
          <w:color w:val="auto"/>
        </w:rPr>
      </w:pPr>
    </w:p>
    <w:p>
      <w:pPr>
        <w:pStyle w:val="18"/>
        <w:jc w:val="center"/>
        <w:rPr>
          <w:rFonts w:hAnsi="宋体" w:cs="宋体"/>
          <w:color w:val="auto"/>
        </w:rPr>
      </w:pPr>
      <w:r>
        <w:rPr>
          <w:rFonts w:hint="eastAsia" w:hAnsi="宋体" w:cs="宋体"/>
          <w:color w:val="auto"/>
        </w:rPr>
        <w:t>(由竞标人就《货物需求一览表》售后服务及要求自行填写)</w:t>
      </w: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autoSpaceDE w:val="0"/>
        <w:autoSpaceDN w:val="0"/>
        <w:spacing w:line="360" w:lineRule="auto"/>
        <w:ind w:left="4325" w:leftChars="1850" w:hanging="440" w:hangingChars="200"/>
        <w:rPr>
          <w:rFonts w:ascii="宋体" w:hAnsi="宋体" w:cs="宋体"/>
          <w:color w:val="auto"/>
          <w:kern w:val="0"/>
          <w:sz w:val="22"/>
          <w:szCs w:val="22"/>
        </w:rPr>
      </w:pPr>
      <w:r>
        <w:rPr>
          <w:rFonts w:hint="eastAsia" w:ascii="宋体" w:hAnsi="宋体" w:cs="宋体"/>
          <w:color w:val="auto"/>
          <w:kern w:val="0"/>
          <w:sz w:val="22"/>
          <w:szCs w:val="22"/>
        </w:rPr>
        <w:t>供应商名称（电子签章）：</w:t>
      </w:r>
    </w:p>
    <w:p>
      <w:pPr>
        <w:autoSpaceDE w:val="0"/>
        <w:autoSpaceDN w:val="0"/>
        <w:spacing w:line="360" w:lineRule="auto"/>
        <w:ind w:firstLine="5610" w:firstLineChars="2550"/>
        <w:rPr>
          <w:rFonts w:ascii="宋体" w:hAnsi="宋体" w:cs="宋体"/>
          <w:color w:val="auto"/>
          <w:sz w:val="22"/>
          <w:szCs w:val="22"/>
        </w:rPr>
      </w:pPr>
      <w:r>
        <w:rPr>
          <w:rFonts w:hint="eastAsia" w:ascii="宋体" w:hAnsi="宋体" w:cs="宋体"/>
          <w:color w:val="auto"/>
          <w:kern w:val="0"/>
          <w:sz w:val="22"/>
          <w:szCs w:val="22"/>
          <w:lang w:val="zh-CN"/>
        </w:rPr>
        <w:t>日期：  年  月   日</w:t>
      </w:r>
      <w:r>
        <w:rPr>
          <w:rFonts w:hint="eastAsia" w:ascii="宋体" w:hAnsi="宋体" w:cs="宋体"/>
          <w:color w:val="auto"/>
          <w:sz w:val="22"/>
          <w:szCs w:val="22"/>
        </w:rPr>
        <w:t xml:space="preserve">     </w:t>
      </w:r>
    </w:p>
    <w:p>
      <w:pPr>
        <w:pStyle w:val="18"/>
        <w:rPr>
          <w:rFonts w:hAnsi="宋体" w:cs="宋体"/>
          <w:color w:val="auto"/>
          <w:sz w:val="20"/>
          <w:szCs w:val="18"/>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rPr>
          <w:rFonts w:ascii="宋体"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pStyle w:val="18"/>
        <w:rPr>
          <w:rFonts w:hAnsi="宋体" w:cs="宋体"/>
          <w:color w:val="auto"/>
        </w:rPr>
      </w:pPr>
    </w:p>
    <w:p>
      <w:pPr>
        <w:rPr>
          <w:rFonts w:ascii="宋体" w:hAnsi="宋体" w:cs="宋体"/>
          <w:color w:val="auto"/>
        </w:rPr>
      </w:pPr>
    </w:p>
    <w:p>
      <w:pPr>
        <w:pStyle w:val="18"/>
        <w:rPr>
          <w:rFonts w:hAnsi="宋体" w:cs="宋体"/>
          <w:color w:val="auto"/>
        </w:rPr>
      </w:pPr>
    </w:p>
    <w:p>
      <w:pPr>
        <w:pStyle w:val="18"/>
        <w:rPr>
          <w:rFonts w:hAnsi="宋体" w:cs="宋体"/>
          <w:color w:val="auto"/>
        </w:rPr>
      </w:pPr>
    </w:p>
    <w:p>
      <w:pPr>
        <w:rPr>
          <w:rFonts w:ascii="宋体" w:hAnsi="宋体" w:cs="宋体"/>
          <w:b/>
          <w:color w:val="auto"/>
          <w:sz w:val="32"/>
          <w:szCs w:val="32"/>
        </w:rPr>
      </w:pPr>
      <w:bookmarkStart w:id="67" w:name="_Toc137551188"/>
    </w:p>
    <w:p>
      <w:pPr>
        <w:jc w:val="center"/>
        <w:rPr>
          <w:rFonts w:ascii="宋体" w:hAnsi="宋体" w:cs="宋体"/>
          <w:b/>
          <w:color w:val="auto"/>
          <w:sz w:val="32"/>
          <w:szCs w:val="32"/>
        </w:rPr>
      </w:pPr>
      <w:r>
        <w:rPr>
          <w:rFonts w:hint="eastAsia" w:ascii="宋体" w:hAnsi="宋体" w:cs="宋体"/>
          <w:b/>
          <w:color w:val="auto"/>
          <w:sz w:val="32"/>
          <w:szCs w:val="32"/>
        </w:rPr>
        <w:t>（4）货物合格证明文件</w:t>
      </w:r>
      <w:bookmarkEnd w:id="67"/>
    </w:p>
    <w:p>
      <w:pPr>
        <w:pStyle w:val="18"/>
        <w:spacing w:line="440" w:lineRule="exact"/>
        <w:jc w:val="center"/>
        <w:rPr>
          <w:rFonts w:hAnsi="宋体" w:cs="宋体"/>
          <w:color w:val="auto"/>
        </w:rPr>
      </w:pPr>
      <w:r>
        <w:rPr>
          <w:rFonts w:hint="eastAsia" w:hAnsi="宋体" w:cs="宋体"/>
          <w:color w:val="auto"/>
        </w:rPr>
        <w:t>（按照第一章“竞标人须知”第13条要求，如有请提供）</w:t>
      </w: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p>
    <w:p>
      <w:pPr>
        <w:pStyle w:val="18"/>
        <w:jc w:val="center"/>
        <w:rPr>
          <w:rFonts w:hAnsi="宋体" w:cs="宋体"/>
          <w:color w:val="auto"/>
        </w:rPr>
      </w:pPr>
      <w:r>
        <w:rPr>
          <w:rFonts w:hint="eastAsia" w:hAnsi="宋体" w:cs="宋体"/>
          <w:color w:val="auto"/>
        </w:rPr>
        <w:br w:type="page"/>
      </w:r>
      <w:bookmarkStart w:id="68" w:name="_Toc137551189"/>
    </w:p>
    <w:bookmarkEnd w:id="68"/>
    <w:p>
      <w:pPr>
        <w:jc w:val="center"/>
        <w:rPr>
          <w:rFonts w:ascii="宋体" w:hAnsi="宋体" w:cs="宋体"/>
          <w:b/>
          <w:color w:val="auto"/>
          <w:sz w:val="32"/>
          <w:szCs w:val="32"/>
        </w:rPr>
      </w:pPr>
      <w:bookmarkStart w:id="69" w:name="_Toc137551191"/>
      <w:r>
        <w:rPr>
          <w:rFonts w:hint="eastAsia" w:ascii="宋体" w:hAnsi="宋体" w:cs="宋体"/>
          <w:b/>
          <w:color w:val="auto"/>
          <w:sz w:val="32"/>
          <w:szCs w:val="32"/>
        </w:rPr>
        <w:t>（5）竞标人认为有必要提供的其他有关材料</w:t>
      </w:r>
      <w:bookmarkEnd w:id="69"/>
    </w:p>
    <w:p>
      <w:pPr>
        <w:pStyle w:val="18"/>
        <w:spacing w:line="440" w:lineRule="exact"/>
        <w:ind w:firstLine="210" w:firstLineChars="100"/>
        <w:jc w:val="center"/>
        <w:rPr>
          <w:rFonts w:hAnsi="宋体" w:cs="宋体"/>
          <w:color w:val="auto"/>
        </w:rPr>
      </w:pPr>
      <w:r>
        <w:rPr>
          <w:rFonts w:hint="eastAsia" w:hAnsi="宋体" w:cs="宋体"/>
          <w:color w:val="auto"/>
        </w:rPr>
        <w:t>（由竞标人根据自己实际情况如实提供）</w:t>
      </w:r>
    </w:p>
    <w:p>
      <w:pPr>
        <w:pStyle w:val="18"/>
        <w:spacing w:line="440" w:lineRule="exact"/>
        <w:ind w:firstLine="210" w:firstLineChars="100"/>
        <w:jc w:val="center"/>
        <w:rPr>
          <w:rFonts w:hAnsi="宋体" w:cs="宋体"/>
          <w:color w:val="auto"/>
        </w:rPr>
      </w:pPr>
    </w:p>
    <w:p>
      <w:pPr>
        <w:pStyle w:val="18"/>
        <w:spacing w:line="440" w:lineRule="exact"/>
        <w:ind w:firstLine="210" w:firstLineChars="100"/>
        <w:jc w:val="center"/>
        <w:rPr>
          <w:rFonts w:hAnsi="宋体" w:cs="宋体"/>
          <w:color w:val="auto"/>
        </w:rPr>
      </w:pPr>
    </w:p>
    <w:p>
      <w:pPr>
        <w:pStyle w:val="18"/>
        <w:spacing w:line="440" w:lineRule="exact"/>
        <w:ind w:firstLine="210" w:firstLineChars="100"/>
        <w:jc w:val="center"/>
        <w:rPr>
          <w:rFonts w:hAnsi="宋体" w:cs="宋体"/>
          <w:color w:val="auto"/>
        </w:rPr>
      </w:pPr>
    </w:p>
    <w:p>
      <w:pPr>
        <w:pStyle w:val="18"/>
        <w:spacing w:line="440" w:lineRule="exact"/>
        <w:ind w:firstLine="210" w:firstLineChars="100"/>
        <w:jc w:val="center"/>
        <w:rPr>
          <w:rFonts w:hAnsi="宋体" w:cs="宋体"/>
          <w:color w:val="auto"/>
        </w:rPr>
      </w:pPr>
    </w:p>
    <w:p>
      <w:pPr>
        <w:pStyle w:val="18"/>
        <w:spacing w:line="440" w:lineRule="exact"/>
        <w:ind w:firstLine="210" w:firstLineChars="100"/>
        <w:jc w:val="center"/>
        <w:rPr>
          <w:rFonts w:hAnsi="宋体" w:cs="宋体"/>
          <w:color w:val="auto"/>
        </w:rPr>
      </w:pPr>
    </w:p>
    <w:p>
      <w:pPr>
        <w:pStyle w:val="18"/>
        <w:spacing w:line="440" w:lineRule="exact"/>
        <w:ind w:firstLine="210" w:firstLineChars="100"/>
        <w:jc w:val="center"/>
        <w:rPr>
          <w:rFonts w:hAnsi="宋体" w:cs="宋体"/>
          <w:color w:val="auto"/>
        </w:rPr>
      </w:pPr>
    </w:p>
    <w:p>
      <w:pPr>
        <w:pStyle w:val="18"/>
        <w:spacing w:line="440" w:lineRule="exact"/>
        <w:ind w:firstLine="210" w:firstLineChars="100"/>
        <w:jc w:val="center"/>
        <w:rPr>
          <w:rFonts w:hAnsi="宋体" w:cs="宋体"/>
          <w:color w:val="auto"/>
        </w:rPr>
      </w:pPr>
    </w:p>
    <w:p>
      <w:pPr>
        <w:pStyle w:val="18"/>
        <w:spacing w:line="440" w:lineRule="exact"/>
        <w:ind w:firstLine="210" w:firstLineChars="100"/>
        <w:jc w:val="center"/>
        <w:rPr>
          <w:rFonts w:hAnsi="宋体" w:cs="宋体"/>
          <w:color w:val="auto"/>
        </w:rPr>
      </w:pPr>
    </w:p>
    <w:p>
      <w:pPr>
        <w:pStyle w:val="18"/>
        <w:spacing w:line="440" w:lineRule="exact"/>
        <w:ind w:firstLine="210" w:firstLineChars="100"/>
        <w:jc w:val="center"/>
        <w:rPr>
          <w:rFonts w:hAnsi="宋体" w:cs="宋体"/>
          <w:color w:val="auto"/>
        </w:rPr>
      </w:pPr>
    </w:p>
    <w:p>
      <w:pPr>
        <w:pStyle w:val="18"/>
        <w:spacing w:line="440" w:lineRule="exact"/>
        <w:ind w:firstLine="210" w:firstLineChars="100"/>
        <w:jc w:val="center"/>
        <w:rPr>
          <w:rFonts w:hAnsi="宋体" w:cs="宋体"/>
          <w:color w:val="auto"/>
        </w:rPr>
      </w:pPr>
    </w:p>
    <w:p>
      <w:pPr>
        <w:pStyle w:val="18"/>
        <w:spacing w:line="440" w:lineRule="exact"/>
        <w:ind w:firstLine="210" w:firstLineChars="100"/>
        <w:jc w:val="center"/>
        <w:rPr>
          <w:rFonts w:hAnsi="宋体" w:cs="宋体"/>
          <w:color w:val="auto"/>
        </w:rPr>
      </w:pPr>
    </w:p>
    <w:p>
      <w:pPr>
        <w:pStyle w:val="18"/>
        <w:spacing w:line="440" w:lineRule="exact"/>
        <w:ind w:firstLine="210" w:firstLineChars="100"/>
        <w:jc w:val="center"/>
        <w:rPr>
          <w:rFonts w:hAnsi="宋体" w:cs="宋体"/>
          <w:color w:val="auto"/>
        </w:rPr>
      </w:pPr>
    </w:p>
    <w:p>
      <w:pPr>
        <w:pStyle w:val="18"/>
        <w:spacing w:line="440" w:lineRule="exact"/>
        <w:ind w:firstLine="210" w:firstLineChars="100"/>
        <w:jc w:val="center"/>
        <w:rPr>
          <w:rFonts w:hAnsi="宋体" w:cs="宋体"/>
          <w:color w:val="auto"/>
        </w:rPr>
      </w:pPr>
    </w:p>
    <w:p>
      <w:pPr>
        <w:pStyle w:val="18"/>
        <w:spacing w:line="440" w:lineRule="exact"/>
        <w:ind w:firstLine="210" w:firstLineChars="100"/>
        <w:jc w:val="center"/>
        <w:rPr>
          <w:rFonts w:hAnsi="宋体" w:cs="宋体"/>
          <w:color w:val="auto"/>
        </w:rPr>
      </w:pPr>
    </w:p>
    <w:p>
      <w:pPr>
        <w:pStyle w:val="18"/>
        <w:spacing w:line="440" w:lineRule="exact"/>
        <w:ind w:firstLine="210" w:firstLineChars="100"/>
        <w:jc w:val="center"/>
        <w:rPr>
          <w:rFonts w:hAnsi="宋体" w:cs="宋体"/>
          <w:color w:val="auto"/>
        </w:rPr>
      </w:pPr>
    </w:p>
    <w:p>
      <w:pPr>
        <w:pStyle w:val="18"/>
        <w:spacing w:line="440" w:lineRule="exact"/>
        <w:ind w:firstLine="210" w:firstLineChars="100"/>
        <w:jc w:val="center"/>
        <w:rPr>
          <w:rFonts w:hAnsi="宋体" w:cs="宋体"/>
          <w:color w:val="auto"/>
        </w:rPr>
      </w:pPr>
    </w:p>
    <w:p>
      <w:pPr>
        <w:pStyle w:val="18"/>
        <w:spacing w:line="440" w:lineRule="exact"/>
        <w:ind w:firstLine="210" w:firstLineChars="100"/>
        <w:jc w:val="center"/>
        <w:rPr>
          <w:rFonts w:hAnsi="宋体" w:cs="宋体"/>
          <w:color w:val="auto"/>
        </w:rPr>
      </w:pPr>
    </w:p>
    <w:p>
      <w:pPr>
        <w:pStyle w:val="18"/>
        <w:spacing w:line="440" w:lineRule="exact"/>
        <w:ind w:firstLine="210" w:firstLineChars="100"/>
        <w:jc w:val="center"/>
        <w:rPr>
          <w:rFonts w:hAnsi="宋体" w:cs="宋体"/>
          <w:color w:val="auto"/>
        </w:rPr>
      </w:pPr>
    </w:p>
    <w:p>
      <w:pPr>
        <w:pStyle w:val="18"/>
        <w:spacing w:line="440" w:lineRule="exact"/>
        <w:ind w:firstLine="210" w:firstLineChars="100"/>
        <w:jc w:val="center"/>
        <w:rPr>
          <w:rFonts w:hAnsi="宋体" w:cs="宋体"/>
          <w:color w:val="auto"/>
        </w:rPr>
      </w:pPr>
    </w:p>
    <w:p>
      <w:pPr>
        <w:pStyle w:val="18"/>
        <w:spacing w:line="440" w:lineRule="exact"/>
        <w:ind w:firstLine="210" w:firstLineChars="100"/>
        <w:jc w:val="center"/>
        <w:rPr>
          <w:rFonts w:hAnsi="宋体" w:cs="宋体"/>
          <w:color w:val="auto"/>
        </w:rPr>
      </w:pPr>
    </w:p>
    <w:p>
      <w:pPr>
        <w:pStyle w:val="18"/>
        <w:spacing w:line="440" w:lineRule="exact"/>
        <w:ind w:firstLine="210" w:firstLineChars="100"/>
        <w:jc w:val="center"/>
        <w:rPr>
          <w:rFonts w:hAnsi="宋体" w:cs="宋体"/>
          <w:color w:val="auto"/>
        </w:rPr>
      </w:pPr>
    </w:p>
    <w:p>
      <w:pPr>
        <w:pStyle w:val="18"/>
        <w:spacing w:line="440" w:lineRule="exact"/>
        <w:ind w:firstLine="210" w:firstLineChars="100"/>
        <w:jc w:val="center"/>
        <w:rPr>
          <w:rFonts w:hAnsi="宋体" w:cs="宋体"/>
          <w:color w:val="auto"/>
        </w:rPr>
      </w:pPr>
    </w:p>
    <w:p>
      <w:pPr>
        <w:pStyle w:val="18"/>
        <w:spacing w:line="440" w:lineRule="exact"/>
        <w:ind w:firstLine="210" w:firstLineChars="100"/>
        <w:jc w:val="center"/>
        <w:rPr>
          <w:rFonts w:hAnsi="宋体" w:cs="宋体"/>
          <w:color w:val="auto"/>
        </w:rPr>
      </w:pPr>
    </w:p>
    <w:p>
      <w:pPr>
        <w:pStyle w:val="18"/>
        <w:spacing w:line="440" w:lineRule="exact"/>
        <w:ind w:firstLine="210" w:firstLineChars="100"/>
        <w:jc w:val="center"/>
        <w:rPr>
          <w:rFonts w:hAnsi="宋体" w:cs="宋体"/>
          <w:color w:val="auto"/>
        </w:rPr>
      </w:pPr>
    </w:p>
    <w:p>
      <w:pPr>
        <w:pStyle w:val="18"/>
        <w:spacing w:line="440" w:lineRule="exact"/>
        <w:ind w:firstLine="210" w:firstLineChars="100"/>
        <w:rPr>
          <w:rFonts w:hAnsi="宋体" w:cs="宋体"/>
          <w:color w:val="auto"/>
        </w:rPr>
      </w:pPr>
    </w:p>
    <w:p>
      <w:pPr>
        <w:pStyle w:val="18"/>
        <w:spacing w:line="440" w:lineRule="exact"/>
        <w:ind w:firstLine="210" w:firstLineChars="100"/>
        <w:rPr>
          <w:rFonts w:hAnsi="宋体" w:cs="宋体"/>
          <w:color w:val="auto"/>
        </w:rPr>
      </w:pPr>
    </w:p>
    <w:p>
      <w:pPr>
        <w:pStyle w:val="18"/>
        <w:spacing w:line="440" w:lineRule="exact"/>
        <w:rPr>
          <w:rFonts w:hAnsi="宋体" w:cs="宋体"/>
          <w:color w:val="auto"/>
        </w:rPr>
      </w:pPr>
    </w:p>
    <w:p>
      <w:pPr>
        <w:pStyle w:val="18"/>
        <w:rPr>
          <w:rFonts w:hAnsi="宋体" w:cs="宋体"/>
          <w:color w:val="auto"/>
        </w:rPr>
      </w:pPr>
    </w:p>
    <w:p>
      <w:pPr>
        <w:pStyle w:val="18"/>
        <w:rPr>
          <w:rFonts w:hAnsi="宋体" w:cs="宋体"/>
          <w:color w:val="auto"/>
        </w:rPr>
      </w:pPr>
    </w:p>
    <w:p>
      <w:pPr>
        <w:pStyle w:val="103"/>
        <w:spacing w:line="360" w:lineRule="auto"/>
        <w:ind w:firstLine="0" w:firstLineChars="0"/>
        <w:rPr>
          <w:rFonts w:ascii="宋体" w:hAnsi="宋体" w:cs="宋体"/>
          <w:color w:val="auto"/>
          <w:sz w:val="32"/>
          <w:szCs w:val="32"/>
        </w:rPr>
      </w:pPr>
    </w:p>
    <w:sectPr>
      <w:footerReference r:id="rId15" w:type="first"/>
      <w:footerReference r:id="rId14" w:type="default"/>
      <w:headerReference r:id="rId13" w:type="even"/>
      <w:pgSz w:w="11906" w:h="16838"/>
      <w:pgMar w:top="1134" w:right="1134" w:bottom="1134" w:left="1134" w:header="680" w:footer="680" w:gutter="0"/>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宋体-18030">
    <w:altName w:val="宋体"/>
    <w:panose1 w:val="00000000000000000000"/>
    <w:charset w:val="86"/>
    <w:family w:val="modern"/>
    <w:pitch w:val="default"/>
    <w:sig w:usb0="00000000" w:usb1="00000000" w:usb2="000A005E"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PingFang SC">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ql5uc8AAAAFAQAADwAAAAAA&#10;AAABACAAAAAiAAAAZHJzL2Rvd25yZXYueG1sUEsBAhQAFAAAAAgAh07iQNd4+n2qAQAAQgMAAA4A&#10;AAAAAAAAAQAgAAAAHgEAAGRycy9lMm9Eb2MueG1sUEsFBgAAAAAGAAYAWQEAADoFAAAAAA==&#10;">
              <v:fill on="f" focussize="0,0"/>
              <v:stroke on="f"/>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ql5uc8AAAAFAQAADwAAAAAA&#10;AAABACAAAAAiAAAAZHJzL2Rvd25yZXYueG1sUEsBAhQAFAAAAAgAh07iQAn0IxSqAQAAQgMAAA4A&#10;AAAAAAAAAQAgAAAAHgEAAGRycy9lMm9Eb2MueG1sUEsFBgAAAAAGAAYAWQEAADoFAAAAAA==&#10;">
              <v:fill on="f" focussize="0,0"/>
              <v:stroke on="f"/>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ql5uc8AAAAFAQAADwAAAAAA&#10;AAABACAAAAAiAAAAZHJzL2Rvd25yZXYueG1sUEsBAhQAFAAAAAgAh07iQCtm3p2qAQAAQgMAAA4A&#10;AAAAAAAAAQAgAAAAHgEAAGRycy9lMm9Eb2MueG1sUEsFBgAAAAAGAAYAWQEAADoFAAAAAA==&#10;">
              <v:fill on="f" focussize="0,0"/>
              <v:stroke on="f"/>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eA9ZBqkBAABCAwAADgAA&#10;AAAAAAABACAAAAAeAQAAZHJzL2Uyb0RvYy54bWxQSwUGAAAAAAYABgBZAQAAOQUAAAAA&#10;">
              <v:fill on="f" focussize="0,0"/>
              <v:stroke on="f"/>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xV6zVKkBAABCAwAADgAA&#10;AAAAAAABACAAAAAeAQAAZHJzL2Uyb0RvYy54bWxQSwUGAAAAAAYABgBZAQAAOQUAAAAA&#10;">
              <v:fill on="f" focussize="0,0"/>
              <v:stroke on="f"/>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Fonts w:hint="eastAsia"/>
      </w:rPr>
      <w:t>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rPr>
        <w:color w:val="000000"/>
      </w:rPr>
    </w:pPr>
    <w:r>
      <w:rPr>
        <w:rFonts w:hint="eastAsia"/>
        <w:color w:val="000000"/>
      </w:rPr>
      <w:t>医疗设备采购及安装（QZZC2022-J1-60095-GXLJ）</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rPr>
        <w:color w:val="000000"/>
      </w:rPr>
    </w:pPr>
    <w:r>
      <w:rPr>
        <w:rFonts w:hint="eastAsia"/>
        <w:color w:val="000000"/>
      </w:rPr>
      <w:t>医疗设备采购及安装（QZZC2022-J1-60095-GXLJ）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F1242E"/>
    <w:multiLevelType w:val="singleLevel"/>
    <w:tmpl w:val="87F1242E"/>
    <w:lvl w:ilvl="0" w:tentative="0">
      <w:start w:val="14"/>
      <w:numFmt w:val="decimal"/>
      <w:lvlText w:val="%1."/>
      <w:lvlJc w:val="left"/>
      <w:pPr>
        <w:tabs>
          <w:tab w:val="left" w:pos="312"/>
        </w:tabs>
      </w:pPr>
    </w:lvl>
  </w:abstractNum>
  <w:abstractNum w:abstractNumId="1">
    <w:nsid w:val="00000002"/>
    <w:multiLevelType w:val="singleLevel"/>
    <w:tmpl w:val="00000002"/>
    <w:lvl w:ilvl="0" w:tentative="0">
      <w:start w:val="1"/>
      <w:numFmt w:val="decimal"/>
      <w:lvlText w:val="%1."/>
      <w:lvlJc w:val="left"/>
      <w:pPr>
        <w:tabs>
          <w:tab w:val="left" w:pos="312"/>
        </w:tabs>
      </w:pPr>
    </w:lvl>
  </w:abstractNum>
  <w:abstractNum w:abstractNumId="2">
    <w:nsid w:val="00000003"/>
    <w:multiLevelType w:val="singleLevel"/>
    <w:tmpl w:val="00000003"/>
    <w:lvl w:ilvl="0" w:tentative="0">
      <w:start w:val="1"/>
      <w:numFmt w:val="bullet"/>
      <w:pStyle w:val="12"/>
      <w:lvlText w:val=""/>
      <w:lvlJc w:val="left"/>
      <w:pPr>
        <w:tabs>
          <w:tab w:val="left" w:pos="360"/>
        </w:tabs>
        <w:ind w:left="360" w:hanging="360"/>
      </w:pPr>
      <w:rPr>
        <w:rFonts w:hint="default" w:ascii="Wingdings" w:hAnsi="Wingdings"/>
      </w:rPr>
    </w:lvl>
  </w:abstractNum>
  <w:abstractNum w:abstractNumId="3">
    <w:nsid w:val="0000000E"/>
    <w:multiLevelType w:val="multilevel"/>
    <w:tmpl w:val="0000000E"/>
    <w:lvl w:ilvl="0" w:tentative="0">
      <w:start w:val="1"/>
      <w:numFmt w:val="decimal"/>
      <w:pStyle w:val="85"/>
      <w:lvlText w:val="%1. "/>
      <w:lvlJc w:val="left"/>
      <w:pPr>
        <w:tabs>
          <w:tab w:val="left" w:pos="839"/>
        </w:tabs>
        <w:ind w:left="839" w:hanging="419"/>
      </w:pPr>
      <w:rPr>
        <w:rFonts w:hint="eastAsia"/>
      </w:rPr>
    </w:lvl>
    <w:lvl w:ilvl="1" w:tentative="0">
      <w:start w:val="1"/>
      <w:numFmt w:val="upperLetter"/>
      <w:pStyle w:val="86"/>
      <w:lvlText w:val="%2. "/>
      <w:lvlJc w:val="left"/>
      <w:pPr>
        <w:tabs>
          <w:tab w:val="left" w:pos="1049"/>
        </w:tabs>
        <w:ind w:left="1049" w:hanging="420"/>
      </w:pPr>
      <w:rPr>
        <w:rFonts w:hint="eastAsia"/>
      </w:rPr>
    </w:lvl>
    <w:lvl w:ilvl="2" w:tentative="0">
      <w:start w:val="1"/>
      <w:numFmt w:val="lowerLetter"/>
      <w:pStyle w:val="99"/>
      <w:lvlText w:val="%3. "/>
      <w:lvlJc w:val="left"/>
      <w:pPr>
        <w:tabs>
          <w:tab w:val="left" w:pos="1259"/>
        </w:tabs>
        <w:ind w:left="1259" w:hanging="420"/>
      </w:pPr>
      <w:rPr>
        <w:rFonts w:hint="eastAsia"/>
      </w:rPr>
    </w:lvl>
    <w:lvl w:ilvl="3" w:tentative="0">
      <w:start w:val="1"/>
      <w:numFmt w:val="lowerLetter"/>
      <w:pStyle w:val="101"/>
      <w:lvlText w:val="%4) "/>
      <w:lvlJc w:val="left"/>
      <w:pPr>
        <w:tabs>
          <w:tab w:val="left" w:pos="1469"/>
        </w:tabs>
        <w:ind w:left="1469" w:hanging="420"/>
      </w:pPr>
      <w:rPr>
        <w:rFonts w:hint="eastAsia"/>
      </w:rPr>
    </w:lvl>
    <w:lvl w:ilvl="4" w:tentative="0">
      <w:start w:val="1"/>
      <w:numFmt w:val="none"/>
      <w:suff w:val="nothing"/>
      <w:lvlText w:val=""/>
      <w:lvlJc w:val="left"/>
      <w:pPr>
        <w:ind w:left="1259" w:firstLine="0"/>
      </w:pPr>
      <w:rPr>
        <w:rFonts w:hint="eastAsia"/>
      </w:rPr>
    </w:lvl>
    <w:lvl w:ilvl="5" w:tentative="0">
      <w:start w:val="1"/>
      <w:numFmt w:val="none"/>
      <w:suff w:val="nothing"/>
      <w:lvlText w:val=""/>
      <w:lvlJc w:val="left"/>
      <w:pPr>
        <w:ind w:left="1259" w:firstLine="0"/>
      </w:pPr>
      <w:rPr>
        <w:rFonts w:hint="eastAsia"/>
      </w:rPr>
    </w:lvl>
    <w:lvl w:ilvl="6" w:tentative="0">
      <w:start w:val="1"/>
      <w:numFmt w:val="none"/>
      <w:suff w:val="nothing"/>
      <w:lvlText w:val=""/>
      <w:lvlJc w:val="left"/>
      <w:pPr>
        <w:ind w:left="1259" w:firstLine="0"/>
      </w:pPr>
      <w:rPr>
        <w:rFonts w:hint="eastAsia"/>
      </w:rPr>
    </w:lvl>
    <w:lvl w:ilvl="7" w:tentative="0">
      <w:start w:val="1"/>
      <w:numFmt w:val="none"/>
      <w:suff w:val="nothing"/>
      <w:lvlText w:val=""/>
      <w:lvlJc w:val="left"/>
      <w:pPr>
        <w:ind w:left="1259" w:firstLine="0"/>
      </w:pPr>
      <w:rPr>
        <w:rFonts w:hint="eastAsia"/>
      </w:rPr>
    </w:lvl>
    <w:lvl w:ilvl="8" w:tentative="0">
      <w:start w:val="1"/>
      <w:numFmt w:val="none"/>
      <w:suff w:val="nothing"/>
      <w:lvlText w:val=""/>
      <w:lvlJc w:val="left"/>
      <w:pPr>
        <w:ind w:left="1259" w:firstLine="0"/>
      </w:pPr>
      <w:rPr>
        <w:rFonts w:hint="eastAsia"/>
      </w:rPr>
    </w:lvl>
  </w:abstractNum>
  <w:abstractNum w:abstractNumId="4">
    <w:nsid w:val="78117526"/>
    <w:multiLevelType w:val="singleLevel"/>
    <w:tmpl w:val="78117526"/>
    <w:lvl w:ilvl="0" w:tentative="0">
      <w:start w:val="1"/>
      <w:numFmt w:val="decimal"/>
      <w:suff w:val="space"/>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mYjYwNDcxOTNjYzY2NzU5ZTFkNzcwZDAwNDdiZTgifQ=="/>
  </w:docVars>
  <w:rsids>
    <w:rsidRoot w:val="00172A27"/>
    <w:rsid w:val="000057B6"/>
    <w:rsid w:val="0001403B"/>
    <w:rsid w:val="000142D9"/>
    <w:rsid w:val="00054512"/>
    <w:rsid w:val="00065859"/>
    <w:rsid w:val="00083724"/>
    <w:rsid w:val="0009180F"/>
    <w:rsid w:val="000944D1"/>
    <w:rsid w:val="00094D4E"/>
    <w:rsid w:val="000963A3"/>
    <w:rsid w:val="000A508B"/>
    <w:rsid w:val="000A6EFD"/>
    <w:rsid w:val="000B1D77"/>
    <w:rsid w:val="000B3658"/>
    <w:rsid w:val="000C07E5"/>
    <w:rsid w:val="000C2C9E"/>
    <w:rsid w:val="001073F6"/>
    <w:rsid w:val="00111EA9"/>
    <w:rsid w:val="00122637"/>
    <w:rsid w:val="00143122"/>
    <w:rsid w:val="0014678B"/>
    <w:rsid w:val="001503F4"/>
    <w:rsid w:val="00150AC5"/>
    <w:rsid w:val="001517E8"/>
    <w:rsid w:val="0015600B"/>
    <w:rsid w:val="001576D3"/>
    <w:rsid w:val="00166A0E"/>
    <w:rsid w:val="00172A27"/>
    <w:rsid w:val="00185C9E"/>
    <w:rsid w:val="00190665"/>
    <w:rsid w:val="00190770"/>
    <w:rsid w:val="0019470E"/>
    <w:rsid w:val="00194747"/>
    <w:rsid w:val="001A0F3E"/>
    <w:rsid w:val="001B0C14"/>
    <w:rsid w:val="001B227D"/>
    <w:rsid w:val="001B621A"/>
    <w:rsid w:val="001C32F0"/>
    <w:rsid w:val="001C5977"/>
    <w:rsid w:val="001C7744"/>
    <w:rsid w:val="001D0F6C"/>
    <w:rsid w:val="001D1192"/>
    <w:rsid w:val="001D4098"/>
    <w:rsid w:val="001D4A26"/>
    <w:rsid w:val="001F5B71"/>
    <w:rsid w:val="00206414"/>
    <w:rsid w:val="00212AF5"/>
    <w:rsid w:val="00214F33"/>
    <w:rsid w:val="00223C51"/>
    <w:rsid w:val="002323B5"/>
    <w:rsid w:val="0023743D"/>
    <w:rsid w:val="00240CFE"/>
    <w:rsid w:val="00243404"/>
    <w:rsid w:val="00244FA9"/>
    <w:rsid w:val="002619BD"/>
    <w:rsid w:val="00262517"/>
    <w:rsid w:val="002932F2"/>
    <w:rsid w:val="002A12D2"/>
    <w:rsid w:val="002A513B"/>
    <w:rsid w:val="002A7D83"/>
    <w:rsid w:val="002B076F"/>
    <w:rsid w:val="002B4FBE"/>
    <w:rsid w:val="002B6E52"/>
    <w:rsid w:val="002D443C"/>
    <w:rsid w:val="002E14F4"/>
    <w:rsid w:val="002F50E9"/>
    <w:rsid w:val="003208E1"/>
    <w:rsid w:val="003220E2"/>
    <w:rsid w:val="003337BB"/>
    <w:rsid w:val="00336663"/>
    <w:rsid w:val="003455A6"/>
    <w:rsid w:val="003675D3"/>
    <w:rsid w:val="00374FED"/>
    <w:rsid w:val="00375329"/>
    <w:rsid w:val="00385451"/>
    <w:rsid w:val="003A28B1"/>
    <w:rsid w:val="003C1117"/>
    <w:rsid w:val="003C5578"/>
    <w:rsid w:val="003D295E"/>
    <w:rsid w:val="003E06A9"/>
    <w:rsid w:val="003E7692"/>
    <w:rsid w:val="003F3723"/>
    <w:rsid w:val="0040637F"/>
    <w:rsid w:val="00407E36"/>
    <w:rsid w:val="00416CFD"/>
    <w:rsid w:val="004232C7"/>
    <w:rsid w:val="00436A99"/>
    <w:rsid w:val="00442AD3"/>
    <w:rsid w:val="00444D93"/>
    <w:rsid w:val="00450C40"/>
    <w:rsid w:val="00451568"/>
    <w:rsid w:val="00463016"/>
    <w:rsid w:val="00471136"/>
    <w:rsid w:val="0049326C"/>
    <w:rsid w:val="004953B3"/>
    <w:rsid w:val="004B0A1B"/>
    <w:rsid w:val="004B7EAB"/>
    <w:rsid w:val="004C0B18"/>
    <w:rsid w:val="004C1E55"/>
    <w:rsid w:val="004C380C"/>
    <w:rsid w:val="004C5116"/>
    <w:rsid w:val="004C5E3F"/>
    <w:rsid w:val="004D7924"/>
    <w:rsid w:val="004E1994"/>
    <w:rsid w:val="004E7C7D"/>
    <w:rsid w:val="004F2157"/>
    <w:rsid w:val="004F7727"/>
    <w:rsid w:val="00504A09"/>
    <w:rsid w:val="00513EBA"/>
    <w:rsid w:val="00521501"/>
    <w:rsid w:val="00521B40"/>
    <w:rsid w:val="00522FF4"/>
    <w:rsid w:val="00523F72"/>
    <w:rsid w:val="0052758D"/>
    <w:rsid w:val="005303FD"/>
    <w:rsid w:val="00530779"/>
    <w:rsid w:val="005415BF"/>
    <w:rsid w:val="00561075"/>
    <w:rsid w:val="00577F25"/>
    <w:rsid w:val="00581651"/>
    <w:rsid w:val="00583900"/>
    <w:rsid w:val="00587BCD"/>
    <w:rsid w:val="005928B7"/>
    <w:rsid w:val="005A0261"/>
    <w:rsid w:val="005A0B9B"/>
    <w:rsid w:val="005A366D"/>
    <w:rsid w:val="005A4092"/>
    <w:rsid w:val="005C194D"/>
    <w:rsid w:val="005C2A25"/>
    <w:rsid w:val="005D26BD"/>
    <w:rsid w:val="005D4238"/>
    <w:rsid w:val="005D539C"/>
    <w:rsid w:val="005E258B"/>
    <w:rsid w:val="005F1914"/>
    <w:rsid w:val="005F5456"/>
    <w:rsid w:val="00600CB6"/>
    <w:rsid w:val="00600D39"/>
    <w:rsid w:val="00601474"/>
    <w:rsid w:val="006251E2"/>
    <w:rsid w:val="006256EF"/>
    <w:rsid w:val="00625C67"/>
    <w:rsid w:val="0064371D"/>
    <w:rsid w:val="006459B4"/>
    <w:rsid w:val="00662D90"/>
    <w:rsid w:val="00665931"/>
    <w:rsid w:val="00681CCE"/>
    <w:rsid w:val="00692EE1"/>
    <w:rsid w:val="006A319B"/>
    <w:rsid w:val="006A424E"/>
    <w:rsid w:val="006B134A"/>
    <w:rsid w:val="006B484D"/>
    <w:rsid w:val="006C4AF6"/>
    <w:rsid w:val="006D11B5"/>
    <w:rsid w:val="006D55FB"/>
    <w:rsid w:val="006E4595"/>
    <w:rsid w:val="006E5168"/>
    <w:rsid w:val="006E565E"/>
    <w:rsid w:val="006F452B"/>
    <w:rsid w:val="006F7E48"/>
    <w:rsid w:val="00716709"/>
    <w:rsid w:val="00733593"/>
    <w:rsid w:val="007470CC"/>
    <w:rsid w:val="00747142"/>
    <w:rsid w:val="00761CE5"/>
    <w:rsid w:val="0077651A"/>
    <w:rsid w:val="00777076"/>
    <w:rsid w:val="0078254E"/>
    <w:rsid w:val="00784416"/>
    <w:rsid w:val="007A573C"/>
    <w:rsid w:val="007C6838"/>
    <w:rsid w:val="007C6CD7"/>
    <w:rsid w:val="007D0593"/>
    <w:rsid w:val="007E1568"/>
    <w:rsid w:val="007F5855"/>
    <w:rsid w:val="007F783B"/>
    <w:rsid w:val="00803571"/>
    <w:rsid w:val="0080418F"/>
    <w:rsid w:val="00804C72"/>
    <w:rsid w:val="00807602"/>
    <w:rsid w:val="008134C8"/>
    <w:rsid w:val="00815FB1"/>
    <w:rsid w:val="00817F3B"/>
    <w:rsid w:val="00824BB0"/>
    <w:rsid w:val="00831D45"/>
    <w:rsid w:val="00832984"/>
    <w:rsid w:val="00841E22"/>
    <w:rsid w:val="0084638B"/>
    <w:rsid w:val="008475B4"/>
    <w:rsid w:val="00850BB8"/>
    <w:rsid w:val="0085431E"/>
    <w:rsid w:val="00855828"/>
    <w:rsid w:val="00856C2F"/>
    <w:rsid w:val="00857CE9"/>
    <w:rsid w:val="00867BCB"/>
    <w:rsid w:val="00870752"/>
    <w:rsid w:val="008813EC"/>
    <w:rsid w:val="008829E5"/>
    <w:rsid w:val="008A12D9"/>
    <w:rsid w:val="008A430C"/>
    <w:rsid w:val="008A500B"/>
    <w:rsid w:val="008B5C17"/>
    <w:rsid w:val="008B5F63"/>
    <w:rsid w:val="008C0702"/>
    <w:rsid w:val="008C2453"/>
    <w:rsid w:val="008C4AD9"/>
    <w:rsid w:val="008D1637"/>
    <w:rsid w:val="008E1B3F"/>
    <w:rsid w:val="008E3A27"/>
    <w:rsid w:val="008E4FC7"/>
    <w:rsid w:val="008F1CF3"/>
    <w:rsid w:val="00903697"/>
    <w:rsid w:val="00907B90"/>
    <w:rsid w:val="00931AE7"/>
    <w:rsid w:val="00933ACC"/>
    <w:rsid w:val="00934E65"/>
    <w:rsid w:val="00937B50"/>
    <w:rsid w:val="00953565"/>
    <w:rsid w:val="009924BC"/>
    <w:rsid w:val="00995E5B"/>
    <w:rsid w:val="009A350D"/>
    <w:rsid w:val="009B5A93"/>
    <w:rsid w:val="009C0BAC"/>
    <w:rsid w:val="009C2605"/>
    <w:rsid w:val="009E7C2E"/>
    <w:rsid w:val="00A01D27"/>
    <w:rsid w:val="00A03414"/>
    <w:rsid w:val="00A05428"/>
    <w:rsid w:val="00A13906"/>
    <w:rsid w:val="00A1419C"/>
    <w:rsid w:val="00A24590"/>
    <w:rsid w:val="00A25CC2"/>
    <w:rsid w:val="00A34D6C"/>
    <w:rsid w:val="00A428CA"/>
    <w:rsid w:val="00A453E4"/>
    <w:rsid w:val="00A70320"/>
    <w:rsid w:val="00A90709"/>
    <w:rsid w:val="00AC2F46"/>
    <w:rsid w:val="00AE44D6"/>
    <w:rsid w:val="00AE6DBC"/>
    <w:rsid w:val="00AF5509"/>
    <w:rsid w:val="00B13881"/>
    <w:rsid w:val="00B2356A"/>
    <w:rsid w:val="00B24E20"/>
    <w:rsid w:val="00B45526"/>
    <w:rsid w:val="00B50DE8"/>
    <w:rsid w:val="00B558F0"/>
    <w:rsid w:val="00B6173E"/>
    <w:rsid w:val="00B61F9A"/>
    <w:rsid w:val="00B660AD"/>
    <w:rsid w:val="00B675B1"/>
    <w:rsid w:val="00B73730"/>
    <w:rsid w:val="00B7477C"/>
    <w:rsid w:val="00B82068"/>
    <w:rsid w:val="00B83152"/>
    <w:rsid w:val="00B87EF6"/>
    <w:rsid w:val="00B95ABF"/>
    <w:rsid w:val="00BA0D4E"/>
    <w:rsid w:val="00BA2FE1"/>
    <w:rsid w:val="00BA7E1D"/>
    <w:rsid w:val="00BD1682"/>
    <w:rsid w:val="00BD37FF"/>
    <w:rsid w:val="00BD4838"/>
    <w:rsid w:val="00BF541A"/>
    <w:rsid w:val="00C03B35"/>
    <w:rsid w:val="00C13BD0"/>
    <w:rsid w:val="00C173DA"/>
    <w:rsid w:val="00C26D50"/>
    <w:rsid w:val="00C51758"/>
    <w:rsid w:val="00C62490"/>
    <w:rsid w:val="00C6415D"/>
    <w:rsid w:val="00C72603"/>
    <w:rsid w:val="00C96C94"/>
    <w:rsid w:val="00CA081D"/>
    <w:rsid w:val="00CA642B"/>
    <w:rsid w:val="00CB1427"/>
    <w:rsid w:val="00CD4276"/>
    <w:rsid w:val="00CD6F3E"/>
    <w:rsid w:val="00CD7C02"/>
    <w:rsid w:val="00CF2D73"/>
    <w:rsid w:val="00D05FE5"/>
    <w:rsid w:val="00D4255B"/>
    <w:rsid w:val="00D43E49"/>
    <w:rsid w:val="00D55F98"/>
    <w:rsid w:val="00D5621C"/>
    <w:rsid w:val="00D60A2B"/>
    <w:rsid w:val="00D61F92"/>
    <w:rsid w:val="00D641AF"/>
    <w:rsid w:val="00D64955"/>
    <w:rsid w:val="00D75384"/>
    <w:rsid w:val="00DA1E13"/>
    <w:rsid w:val="00DA4BC8"/>
    <w:rsid w:val="00DA7FD4"/>
    <w:rsid w:val="00DC2696"/>
    <w:rsid w:val="00DC4538"/>
    <w:rsid w:val="00DD1A04"/>
    <w:rsid w:val="00DD2E01"/>
    <w:rsid w:val="00DD7137"/>
    <w:rsid w:val="00DD7ABA"/>
    <w:rsid w:val="00DF1A0B"/>
    <w:rsid w:val="00DF70B1"/>
    <w:rsid w:val="00E03F33"/>
    <w:rsid w:val="00E05783"/>
    <w:rsid w:val="00E10470"/>
    <w:rsid w:val="00E20BEE"/>
    <w:rsid w:val="00E21A71"/>
    <w:rsid w:val="00E367F4"/>
    <w:rsid w:val="00E401E1"/>
    <w:rsid w:val="00E46D6C"/>
    <w:rsid w:val="00E514B3"/>
    <w:rsid w:val="00E63062"/>
    <w:rsid w:val="00E66555"/>
    <w:rsid w:val="00E70C5E"/>
    <w:rsid w:val="00E7425B"/>
    <w:rsid w:val="00E74690"/>
    <w:rsid w:val="00E76E08"/>
    <w:rsid w:val="00E827D8"/>
    <w:rsid w:val="00E83247"/>
    <w:rsid w:val="00E93A4D"/>
    <w:rsid w:val="00E94833"/>
    <w:rsid w:val="00E97B8B"/>
    <w:rsid w:val="00EA6883"/>
    <w:rsid w:val="00EB0655"/>
    <w:rsid w:val="00EB61D9"/>
    <w:rsid w:val="00EB6B14"/>
    <w:rsid w:val="00ED6C19"/>
    <w:rsid w:val="00ED772A"/>
    <w:rsid w:val="00EF08F6"/>
    <w:rsid w:val="00EF325B"/>
    <w:rsid w:val="00EF63A9"/>
    <w:rsid w:val="00EF7AE7"/>
    <w:rsid w:val="00F003EC"/>
    <w:rsid w:val="00F00A86"/>
    <w:rsid w:val="00F01541"/>
    <w:rsid w:val="00F03F79"/>
    <w:rsid w:val="00F07D8C"/>
    <w:rsid w:val="00F10815"/>
    <w:rsid w:val="00F2080E"/>
    <w:rsid w:val="00F2089F"/>
    <w:rsid w:val="00F24B43"/>
    <w:rsid w:val="00F312FD"/>
    <w:rsid w:val="00F4294E"/>
    <w:rsid w:val="00F437E2"/>
    <w:rsid w:val="00F47836"/>
    <w:rsid w:val="00F53037"/>
    <w:rsid w:val="00F55FB5"/>
    <w:rsid w:val="00F626FA"/>
    <w:rsid w:val="00F664C6"/>
    <w:rsid w:val="00F82908"/>
    <w:rsid w:val="00F91F67"/>
    <w:rsid w:val="00F92823"/>
    <w:rsid w:val="00F94DB7"/>
    <w:rsid w:val="00F97F3D"/>
    <w:rsid w:val="00FA4D80"/>
    <w:rsid w:val="00FB6599"/>
    <w:rsid w:val="00FC2713"/>
    <w:rsid w:val="00FC56AA"/>
    <w:rsid w:val="00FD3552"/>
    <w:rsid w:val="00FE0583"/>
    <w:rsid w:val="00FF56BA"/>
    <w:rsid w:val="012C687B"/>
    <w:rsid w:val="01483505"/>
    <w:rsid w:val="01582BC2"/>
    <w:rsid w:val="016347D7"/>
    <w:rsid w:val="019877FD"/>
    <w:rsid w:val="01A17FEB"/>
    <w:rsid w:val="01AB75F4"/>
    <w:rsid w:val="01AF35D1"/>
    <w:rsid w:val="01AF67C0"/>
    <w:rsid w:val="01D30882"/>
    <w:rsid w:val="01FE2930"/>
    <w:rsid w:val="02063FE0"/>
    <w:rsid w:val="02102371"/>
    <w:rsid w:val="021A3043"/>
    <w:rsid w:val="023867C4"/>
    <w:rsid w:val="0259765B"/>
    <w:rsid w:val="026F100D"/>
    <w:rsid w:val="02940CDE"/>
    <w:rsid w:val="02951C77"/>
    <w:rsid w:val="029C472B"/>
    <w:rsid w:val="029D5944"/>
    <w:rsid w:val="029E0CDB"/>
    <w:rsid w:val="029E5458"/>
    <w:rsid w:val="02A837E9"/>
    <w:rsid w:val="02AD41FE"/>
    <w:rsid w:val="02BE378E"/>
    <w:rsid w:val="02CA179F"/>
    <w:rsid w:val="02DA6184"/>
    <w:rsid w:val="02DE698D"/>
    <w:rsid w:val="02F516EA"/>
    <w:rsid w:val="03103B90"/>
    <w:rsid w:val="032B053F"/>
    <w:rsid w:val="033344C0"/>
    <w:rsid w:val="034C4365"/>
    <w:rsid w:val="03564C06"/>
    <w:rsid w:val="038A15CE"/>
    <w:rsid w:val="039B1E5F"/>
    <w:rsid w:val="03A27284"/>
    <w:rsid w:val="03B77229"/>
    <w:rsid w:val="03CE35CB"/>
    <w:rsid w:val="041A5C49"/>
    <w:rsid w:val="04253FDA"/>
    <w:rsid w:val="043B1FC0"/>
    <w:rsid w:val="044417EF"/>
    <w:rsid w:val="044F55A4"/>
    <w:rsid w:val="04583A5F"/>
    <w:rsid w:val="047C49E9"/>
    <w:rsid w:val="0489477D"/>
    <w:rsid w:val="04945FCD"/>
    <w:rsid w:val="04BD716C"/>
    <w:rsid w:val="04E95A3E"/>
    <w:rsid w:val="04EA6941"/>
    <w:rsid w:val="04FD7415"/>
    <w:rsid w:val="05145E61"/>
    <w:rsid w:val="056A5D0F"/>
    <w:rsid w:val="059046A4"/>
    <w:rsid w:val="05A361AB"/>
    <w:rsid w:val="05AA2833"/>
    <w:rsid w:val="05B431BE"/>
    <w:rsid w:val="05B463CC"/>
    <w:rsid w:val="05C375FE"/>
    <w:rsid w:val="05CC0E93"/>
    <w:rsid w:val="05D76E9A"/>
    <w:rsid w:val="05F834E4"/>
    <w:rsid w:val="0626345C"/>
    <w:rsid w:val="06342B53"/>
    <w:rsid w:val="0649299F"/>
    <w:rsid w:val="06510766"/>
    <w:rsid w:val="0664230B"/>
    <w:rsid w:val="066D4682"/>
    <w:rsid w:val="066E7172"/>
    <w:rsid w:val="06994D63"/>
    <w:rsid w:val="06995096"/>
    <w:rsid w:val="06CC1723"/>
    <w:rsid w:val="06EB43B9"/>
    <w:rsid w:val="06F05772"/>
    <w:rsid w:val="06FC3783"/>
    <w:rsid w:val="07015C27"/>
    <w:rsid w:val="07071B14"/>
    <w:rsid w:val="0708093A"/>
    <w:rsid w:val="07123728"/>
    <w:rsid w:val="071C1AB9"/>
    <w:rsid w:val="07485E01"/>
    <w:rsid w:val="07534192"/>
    <w:rsid w:val="07630750"/>
    <w:rsid w:val="07684137"/>
    <w:rsid w:val="076B1FF7"/>
    <w:rsid w:val="077324C8"/>
    <w:rsid w:val="079B5D9F"/>
    <w:rsid w:val="079E1425"/>
    <w:rsid w:val="07AA09F6"/>
    <w:rsid w:val="07BF4B46"/>
    <w:rsid w:val="081333A3"/>
    <w:rsid w:val="0848236D"/>
    <w:rsid w:val="084D7C2D"/>
    <w:rsid w:val="08575FBE"/>
    <w:rsid w:val="086A555D"/>
    <w:rsid w:val="08757707"/>
    <w:rsid w:val="08AE6343"/>
    <w:rsid w:val="08BA7587"/>
    <w:rsid w:val="08E049BC"/>
    <w:rsid w:val="08F71DDA"/>
    <w:rsid w:val="08FA104A"/>
    <w:rsid w:val="090F576C"/>
    <w:rsid w:val="092825DD"/>
    <w:rsid w:val="093B1AB4"/>
    <w:rsid w:val="093E1EE4"/>
    <w:rsid w:val="09446637"/>
    <w:rsid w:val="0971450C"/>
    <w:rsid w:val="09822228"/>
    <w:rsid w:val="098708AE"/>
    <w:rsid w:val="099224C2"/>
    <w:rsid w:val="09984DAF"/>
    <w:rsid w:val="09A71123"/>
    <w:rsid w:val="09A7629F"/>
    <w:rsid w:val="09A76BE4"/>
    <w:rsid w:val="09BC0529"/>
    <w:rsid w:val="09C31BAB"/>
    <w:rsid w:val="09DE12BD"/>
    <w:rsid w:val="09F676DB"/>
    <w:rsid w:val="0A2055A9"/>
    <w:rsid w:val="0A24678E"/>
    <w:rsid w:val="0A5F6393"/>
    <w:rsid w:val="0A765FB8"/>
    <w:rsid w:val="0A8048A9"/>
    <w:rsid w:val="0A814349"/>
    <w:rsid w:val="0A8C26DA"/>
    <w:rsid w:val="0A960A6B"/>
    <w:rsid w:val="0A9642EF"/>
    <w:rsid w:val="0AAC0A11"/>
    <w:rsid w:val="0ACC41E3"/>
    <w:rsid w:val="0AD00B6E"/>
    <w:rsid w:val="0AED147A"/>
    <w:rsid w:val="0AFD2C6A"/>
    <w:rsid w:val="0B0258C6"/>
    <w:rsid w:val="0B0B17D0"/>
    <w:rsid w:val="0B251035"/>
    <w:rsid w:val="0B2A32AF"/>
    <w:rsid w:val="0B5750F6"/>
    <w:rsid w:val="0B591E2E"/>
    <w:rsid w:val="0B837EA0"/>
    <w:rsid w:val="0B9A6A7C"/>
    <w:rsid w:val="0BB0283D"/>
    <w:rsid w:val="0BB73181"/>
    <w:rsid w:val="0BB9237A"/>
    <w:rsid w:val="0BBA0BCE"/>
    <w:rsid w:val="0BD107F3"/>
    <w:rsid w:val="0BF32F26"/>
    <w:rsid w:val="0C031ADD"/>
    <w:rsid w:val="0C0B2EAB"/>
    <w:rsid w:val="0C107B6B"/>
    <w:rsid w:val="0C354C94"/>
    <w:rsid w:val="0C3D3F64"/>
    <w:rsid w:val="0C4F6A1E"/>
    <w:rsid w:val="0C691C6B"/>
    <w:rsid w:val="0C7F1C11"/>
    <w:rsid w:val="0C9169C4"/>
    <w:rsid w:val="0C9802BD"/>
    <w:rsid w:val="0CAC54B5"/>
    <w:rsid w:val="0CBC3B23"/>
    <w:rsid w:val="0CCD2F69"/>
    <w:rsid w:val="0CE20630"/>
    <w:rsid w:val="0D023BDC"/>
    <w:rsid w:val="0D294B73"/>
    <w:rsid w:val="0D2D0D91"/>
    <w:rsid w:val="0D375B3C"/>
    <w:rsid w:val="0D611496"/>
    <w:rsid w:val="0D827154"/>
    <w:rsid w:val="0D960537"/>
    <w:rsid w:val="0DCD7D7C"/>
    <w:rsid w:val="0DDE11F1"/>
    <w:rsid w:val="0DE66BD9"/>
    <w:rsid w:val="0DED318B"/>
    <w:rsid w:val="0DF7255B"/>
    <w:rsid w:val="0E1032A1"/>
    <w:rsid w:val="0E263246"/>
    <w:rsid w:val="0E3260C4"/>
    <w:rsid w:val="0E3604B8"/>
    <w:rsid w:val="0E3C75E8"/>
    <w:rsid w:val="0E561B6F"/>
    <w:rsid w:val="0E7B46B5"/>
    <w:rsid w:val="0E8515C1"/>
    <w:rsid w:val="0EB32AAA"/>
    <w:rsid w:val="0EB94704"/>
    <w:rsid w:val="0EC24C2B"/>
    <w:rsid w:val="0ECE1B2C"/>
    <w:rsid w:val="0EE54141"/>
    <w:rsid w:val="0EF642FE"/>
    <w:rsid w:val="0EF77D94"/>
    <w:rsid w:val="0F0958BB"/>
    <w:rsid w:val="0F1550CD"/>
    <w:rsid w:val="0F314669"/>
    <w:rsid w:val="0F34315D"/>
    <w:rsid w:val="0F3B449D"/>
    <w:rsid w:val="0F425C3E"/>
    <w:rsid w:val="0F7C0C13"/>
    <w:rsid w:val="0F806E6C"/>
    <w:rsid w:val="0F8E54F1"/>
    <w:rsid w:val="0F9603A0"/>
    <w:rsid w:val="0FAD6545"/>
    <w:rsid w:val="0FC121D5"/>
    <w:rsid w:val="0FC264EA"/>
    <w:rsid w:val="0FCD487B"/>
    <w:rsid w:val="0FE20680"/>
    <w:rsid w:val="0FE23E94"/>
    <w:rsid w:val="0FE30C1D"/>
    <w:rsid w:val="0FEE2832"/>
    <w:rsid w:val="10036F54"/>
    <w:rsid w:val="101B1878"/>
    <w:rsid w:val="1040267F"/>
    <w:rsid w:val="105708A7"/>
    <w:rsid w:val="106D2640"/>
    <w:rsid w:val="107A5C99"/>
    <w:rsid w:val="10863CAA"/>
    <w:rsid w:val="1091203B"/>
    <w:rsid w:val="109722C9"/>
    <w:rsid w:val="10A61FE0"/>
    <w:rsid w:val="10F35396"/>
    <w:rsid w:val="1103716A"/>
    <w:rsid w:val="11080D80"/>
    <w:rsid w:val="111E5122"/>
    <w:rsid w:val="11335316"/>
    <w:rsid w:val="113E3458"/>
    <w:rsid w:val="11400FF1"/>
    <w:rsid w:val="118409EF"/>
    <w:rsid w:val="11A033D5"/>
    <w:rsid w:val="11B61536"/>
    <w:rsid w:val="11E12C61"/>
    <w:rsid w:val="11EC4876"/>
    <w:rsid w:val="122041A8"/>
    <w:rsid w:val="12343655"/>
    <w:rsid w:val="123A5085"/>
    <w:rsid w:val="12617F82"/>
    <w:rsid w:val="12661425"/>
    <w:rsid w:val="1289782A"/>
    <w:rsid w:val="128E407F"/>
    <w:rsid w:val="12BA2926"/>
    <w:rsid w:val="12FC46B3"/>
    <w:rsid w:val="131C29E9"/>
    <w:rsid w:val="1331710B"/>
    <w:rsid w:val="1335694A"/>
    <w:rsid w:val="135E3453"/>
    <w:rsid w:val="136817E4"/>
    <w:rsid w:val="139A280C"/>
    <w:rsid w:val="13BA284A"/>
    <w:rsid w:val="13BF21F2"/>
    <w:rsid w:val="13C407C9"/>
    <w:rsid w:val="13DD602C"/>
    <w:rsid w:val="13DF0A3C"/>
    <w:rsid w:val="13E72648"/>
    <w:rsid w:val="13EB653A"/>
    <w:rsid w:val="13ED1D4C"/>
    <w:rsid w:val="14200F92"/>
    <w:rsid w:val="1431111D"/>
    <w:rsid w:val="14426F48"/>
    <w:rsid w:val="14571D96"/>
    <w:rsid w:val="146C6935"/>
    <w:rsid w:val="1475201A"/>
    <w:rsid w:val="148C1946"/>
    <w:rsid w:val="149D101A"/>
    <w:rsid w:val="14DE5AEC"/>
    <w:rsid w:val="14E12DE8"/>
    <w:rsid w:val="14FA39C7"/>
    <w:rsid w:val="150313FA"/>
    <w:rsid w:val="150F2E19"/>
    <w:rsid w:val="153D34B8"/>
    <w:rsid w:val="154A79FC"/>
    <w:rsid w:val="155B0D1A"/>
    <w:rsid w:val="15663828"/>
    <w:rsid w:val="15851293"/>
    <w:rsid w:val="15862969"/>
    <w:rsid w:val="158E3A06"/>
    <w:rsid w:val="159D6B56"/>
    <w:rsid w:val="159F046F"/>
    <w:rsid w:val="15B21729"/>
    <w:rsid w:val="15BB2F61"/>
    <w:rsid w:val="15BD7ABA"/>
    <w:rsid w:val="15DF5A24"/>
    <w:rsid w:val="15F10472"/>
    <w:rsid w:val="16105F47"/>
    <w:rsid w:val="161B08A0"/>
    <w:rsid w:val="164A731D"/>
    <w:rsid w:val="165F72C3"/>
    <w:rsid w:val="166829F7"/>
    <w:rsid w:val="16815279"/>
    <w:rsid w:val="16A135AF"/>
    <w:rsid w:val="16A17D2C"/>
    <w:rsid w:val="16AC1941"/>
    <w:rsid w:val="16B67CD2"/>
    <w:rsid w:val="16D85C88"/>
    <w:rsid w:val="16F26910"/>
    <w:rsid w:val="16F83FBE"/>
    <w:rsid w:val="16F93949"/>
    <w:rsid w:val="170A206D"/>
    <w:rsid w:val="17176A71"/>
    <w:rsid w:val="174A1836"/>
    <w:rsid w:val="174E114A"/>
    <w:rsid w:val="175E7519"/>
    <w:rsid w:val="17707100"/>
    <w:rsid w:val="177A5491"/>
    <w:rsid w:val="178366F4"/>
    <w:rsid w:val="17853822"/>
    <w:rsid w:val="179237CE"/>
    <w:rsid w:val="179E4FEA"/>
    <w:rsid w:val="17AA1C5F"/>
    <w:rsid w:val="17AD747F"/>
    <w:rsid w:val="17B0376D"/>
    <w:rsid w:val="17BD4B78"/>
    <w:rsid w:val="17C57E8F"/>
    <w:rsid w:val="17C77B0F"/>
    <w:rsid w:val="17CE1B75"/>
    <w:rsid w:val="17FB0BB6"/>
    <w:rsid w:val="18324C3F"/>
    <w:rsid w:val="18344781"/>
    <w:rsid w:val="183D2FD1"/>
    <w:rsid w:val="18522B52"/>
    <w:rsid w:val="185666F8"/>
    <w:rsid w:val="187F72BD"/>
    <w:rsid w:val="188201E6"/>
    <w:rsid w:val="18B51996"/>
    <w:rsid w:val="18BF5762"/>
    <w:rsid w:val="190F25D9"/>
    <w:rsid w:val="192C06DB"/>
    <w:rsid w:val="19344541"/>
    <w:rsid w:val="19376A6C"/>
    <w:rsid w:val="194C6A11"/>
    <w:rsid w:val="19632DB3"/>
    <w:rsid w:val="19AF5431"/>
    <w:rsid w:val="19CB6DD4"/>
    <w:rsid w:val="1A0502CE"/>
    <w:rsid w:val="1A065E3F"/>
    <w:rsid w:val="1A2A56C6"/>
    <w:rsid w:val="1A302507"/>
    <w:rsid w:val="1A534276"/>
    <w:rsid w:val="1A812F8A"/>
    <w:rsid w:val="1A9212A7"/>
    <w:rsid w:val="1AA419D7"/>
    <w:rsid w:val="1AA85649"/>
    <w:rsid w:val="1AB05E69"/>
    <w:rsid w:val="1ABA3433"/>
    <w:rsid w:val="1ABE55EE"/>
    <w:rsid w:val="1AC8397F"/>
    <w:rsid w:val="1ACF6E5D"/>
    <w:rsid w:val="1AD31D10"/>
    <w:rsid w:val="1ADB7AD1"/>
    <w:rsid w:val="1AF977ED"/>
    <w:rsid w:val="1AFF6057"/>
    <w:rsid w:val="1B2D62E4"/>
    <w:rsid w:val="1B61067A"/>
    <w:rsid w:val="1B743D47"/>
    <w:rsid w:val="1B8335CB"/>
    <w:rsid w:val="1BCD57AB"/>
    <w:rsid w:val="1BE539D2"/>
    <w:rsid w:val="1C212A89"/>
    <w:rsid w:val="1C3041CB"/>
    <w:rsid w:val="1C361B9A"/>
    <w:rsid w:val="1C3B1C5C"/>
    <w:rsid w:val="1C700838"/>
    <w:rsid w:val="1C890801"/>
    <w:rsid w:val="1C8A7196"/>
    <w:rsid w:val="1CA8347B"/>
    <w:rsid w:val="1CB00C23"/>
    <w:rsid w:val="1CD3253C"/>
    <w:rsid w:val="1CDD55E8"/>
    <w:rsid w:val="1D0B4D36"/>
    <w:rsid w:val="1D0B6542"/>
    <w:rsid w:val="1D2335BF"/>
    <w:rsid w:val="1D286F64"/>
    <w:rsid w:val="1D2A1CD4"/>
    <w:rsid w:val="1D311099"/>
    <w:rsid w:val="1D325280"/>
    <w:rsid w:val="1D345FF7"/>
    <w:rsid w:val="1D3A4588"/>
    <w:rsid w:val="1D542192"/>
    <w:rsid w:val="1D54432D"/>
    <w:rsid w:val="1D7426BB"/>
    <w:rsid w:val="1D954D97"/>
    <w:rsid w:val="1DAA14B9"/>
    <w:rsid w:val="1DEC1F22"/>
    <w:rsid w:val="1DF63B37"/>
    <w:rsid w:val="1E025BF3"/>
    <w:rsid w:val="1E075364"/>
    <w:rsid w:val="1E1255FD"/>
    <w:rsid w:val="1E237E7E"/>
    <w:rsid w:val="1E4361B4"/>
    <w:rsid w:val="1E4F5884"/>
    <w:rsid w:val="1E846C1E"/>
    <w:rsid w:val="1EA4366C"/>
    <w:rsid w:val="1EB02F65"/>
    <w:rsid w:val="1ED33186"/>
    <w:rsid w:val="1EDD7B03"/>
    <w:rsid w:val="1EFB4D51"/>
    <w:rsid w:val="1EFB7834"/>
    <w:rsid w:val="1F070103"/>
    <w:rsid w:val="1F260956"/>
    <w:rsid w:val="1F516372"/>
    <w:rsid w:val="1F7D08EE"/>
    <w:rsid w:val="1F880A4A"/>
    <w:rsid w:val="1F897C7C"/>
    <w:rsid w:val="1F8B45F4"/>
    <w:rsid w:val="1F936DDB"/>
    <w:rsid w:val="1FD060F0"/>
    <w:rsid w:val="1FD47844"/>
    <w:rsid w:val="1FE720D5"/>
    <w:rsid w:val="1FEC7A21"/>
    <w:rsid w:val="1FF45B7B"/>
    <w:rsid w:val="200B13BD"/>
    <w:rsid w:val="202B0253"/>
    <w:rsid w:val="2039200A"/>
    <w:rsid w:val="204C78C9"/>
    <w:rsid w:val="207163EB"/>
    <w:rsid w:val="207728D1"/>
    <w:rsid w:val="207812B9"/>
    <w:rsid w:val="20820C62"/>
    <w:rsid w:val="209F2611"/>
    <w:rsid w:val="20B873C0"/>
    <w:rsid w:val="20C12BF0"/>
    <w:rsid w:val="20C34F4E"/>
    <w:rsid w:val="20C84600"/>
    <w:rsid w:val="20C95FBD"/>
    <w:rsid w:val="20D81670"/>
    <w:rsid w:val="20E07753"/>
    <w:rsid w:val="20E165FA"/>
    <w:rsid w:val="20E33285"/>
    <w:rsid w:val="211A20DA"/>
    <w:rsid w:val="217B46FD"/>
    <w:rsid w:val="21862A8E"/>
    <w:rsid w:val="218B3933"/>
    <w:rsid w:val="219D2404"/>
    <w:rsid w:val="21A70A44"/>
    <w:rsid w:val="21CB248C"/>
    <w:rsid w:val="21D67F9F"/>
    <w:rsid w:val="21DE311D"/>
    <w:rsid w:val="21FE1453"/>
    <w:rsid w:val="221548E5"/>
    <w:rsid w:val="223E2DAC"/>
    <w:rsid w:val="22521121"/>
    <w:rsid w:val="22535FDA"/>
    <w:rsid w:val="2270057B"/>
    <w:rsid w:val="227F6529"/>
    <w:rsid w:val="22A0218F"/>
    <w:rsid w:val="22DE0D46"/>
    <w:rsid w:val="22E17118"/>
    <w:rsid w:val="22E855A7"/>
    <w:rsid w:val="231D4BA3"/>
    <w:rsid w:val="231E4824"/>
    <w:rsid w:val="231F59D4"/>
    <w:rsid w:val="233314C7"/>
    <w:rsid w:val="23333DD5"/>
    <w:rsid w:val="23571659"/>
    <w:rsid w:val="23593C8E"/>
    <w:rsid w:val="236E03B0"/>
    <w:rsid w:val="23906366"/>
    <w:rsid w:val="23964B32"/>
    <w:rsid w:val="23CA1CF5"/>
    <w:rsid w:val="23DF1969"/>
    <w:rsid w:val="23E76D75"/>
    <w:rsid w:val="23F35D82"/>
    <w:rsid w:val="23FC3497"/>
    <w:rsid w:val="24061828"/>
    <w:rsid w:val="241829FF"/>
    <w:rsid w:val="24267B5E"/>
    <w:rsid w:val="243D7784"/>
    <w:rsid w:val="243E6EC1"/>
    <w:rsid w:val="244D7364"/>
    <w:rsid w:val="24533EA6"/>
    <w:rsid w:val="24683E4B"/>
    <w:rsid w:val="246D2675"/>
    <w:rsid w:val="2494490F"/>
    <w:rsid w:val="24A7720B"/>
    <w:rsid w:val="24AC6669"/>
    <w:rsid w:val="24C13C9B"/>
    <w:rsid w:val="24D54E08"/>
    <w:rsid w:val="24F536AF"/>
    <w:rsid w:val="24FE6AD6"/>
    <w:rsid w:val="25093360"/>
    <w:rsid w:val="25341526"/>
    <w:rsid w:val="2537799C"/>
    <w:rsid w:val="25415D2D"/>
    <w:rsid w:val="25510F37"/>
    <w:rsid w:val="25636559"/>
    <w:rsid w:val="256E4A61"/>
    <w:rsid w:val="25711C1B"/>
    <w:rsid w:val="2598673B"/>
    <w:rsid w:val="25A7015B"/>
    <w:rsid w:val="25B84A72"/>
    <w:rsid w:val="25CF0E14"/>
    <w:rsid w:val="260507FE"/>
    <w:rsid w:val="26307BB3"/>
    <w:rsid w:val="263306B3"/>
    <w:rsid w:val="265F2593"/>
    <w:rsid w:val="266A1B4F"/>
    <w:rsid w:val="266C0682"/>
    <w:rsid w:val="26724B4C"/>
    <w:rsid w:val="26764E04"/>
    <w:rsid w:val="268E3B95"/>
    <w:rsid w:val="269221D6"/>
    <w:rsid w:val="269B5197"/>
    <w:rsid w:val="26D2332E"/>
    <w:rsid w:val="26E92BE5"/>
    <w:rsid w:val="26F4392A"/>
    <w:rsid w:val="271C5BAC"/>
    <w:rsid w:val="273D1AD3"/>
    <w:rsid w:val="276B793B"/>
    <w:rsid w:val="276C764F"/>
    <w:rsid w:val="276F29AA"/>
    <w:rsid w:val="277D7E36"/>
    <w:rsid w:val="27A84925"/>
    <w:rsid w:val="27AD03A5"/>
    <w:rsid w:val="27AF0870"/>
    <w:rsid w:val="27E22DFD"/>
    <w:rsid w:val="27E32A7D"/>
    <w:rsid w:val="27E938C3"/>
    <w:rsid w:val="280E7144"/>
    <w:rsid w:val="28193178"/>
    <w:rsid w:val="2839380C"/>
    <w:rsid w:val="28493424"/>
    <w:rsid w:val="28657B53"/>
    <w:rsid w:val="289B2256"/>
    <w:rsid w:val="289C222B"/>
    <w:rsid w:val="28B20D84"/>
    <w:rsid w:val="28C13CBC"/>
    <w:rsid w:val="28C50E13"/>
    <w:rsid w:val="28CE3D24"/>
    <w:rsid w:val="28D648B6"/>
    <w:rsid w:val="28E848A9"/>
    <w:rsid w:val="28E868B0"/>
    <w:rsid w:val="28F63DE6"/>
    <w:rsid w:val="28F956C2"/>
    <w:rsid w:val="2907735C"/>
    <w:rsid w:val="29120F71"/>
    <w:rsid w:val="29383BAD"/>
    <w:rsid w:val="293E52B8"/>
    <w:rsid w:val="297E60A1"/>
    <w:rsid w:val="298855A5"/>
    <w:rsid w:val="29955CC7"/>
    <w:rsid w:val="29D004B5"/>
    <w:rsid w:val="2A225F57"/>
    <w:rsid w:val="2A4370E4"/>
    <w:rsid w:val="2A605C64"/>
    <w:rsid w:val="2A7B162C"/>
    <w:rsid w:val="2A8B3A5D"/>
    <w:rsid w:val="2A8F5EDF"/>
    <w:rsid w:val="2A994270"/>
    <w:rsid w:val="2A997AF3"/>
    <w:rsid w:val="2A9D39A8"/>
    <w:rsid w:val="2AA45E84"/>
    <w:rsid w:val="2AB925A6"/>
    <w:rsid w:val="2AB97CCB"/>
    <w:rsid w:val="2AC7708F"/>
    <w:rsid w:val="2AC776EE"/>
    <w:rsid w:val="2ACF5A74"/>
    <w:rsid w:val="2AE144DF"/>
    <w:rsid w:val="2AF81FA8"/>
    <w:rsid w:val="2AFA0898"/>
    <w:rsid w:val="2B264CF0"/>
    <w:rsid w:val="2B385B70"/>
    <w:rsid w:val="2B47568D"/>
    <w:rsid w:val="2B781B1E"/>
    <w:rsid w:val="2BCA23E3"/>
    <w:rsid w:val="2BD63337"/>
    <w:rsid w:val="2BDC4A3D"/>
    <w:rsid w:val="2BED3FB9"/>
    <w:rsid w:val="2BFC4564"/>
    <w:rsid w:val="2C202DF2"/>
    <w:rsid w:val="2C2B1183"/>
    <w:rsid w:val="2C3B48E0"/>
    <w:rsid w:val="2C4A78CC"/>
    <w:rsid w:val="2C5A737C"/>
    <w:rsid w:val="2C5C4385"/>
    <w:rsid w:val="2C8D37A6"/>
    <w:rsid w:val="2CB54A9A"/>
    <w:rsid w:val="2CCE420F"/>
    <w:rsid w:val="2CDD7D13"/>
    <w:rsid w:val="2CF808D7"/>
    <w:rsid w:val="2D0568E8"/>
    <w:rsid w:val="2D0F4C79"/>
    <w:rsid w:val="2D151840"/>
    <w:rsid w:val="2D224C60"/>
    <w:rsid w:val="2D2F16A8"/>
    <w:rsid w:val="2D3D715C"/>
    <w:rsid w:val="2D3E1093"/>
    <w:rsid w:val="2D3F7BCD"/>
    <w:rsid w:val="2D4704CE"/>
    <w:rsid w:val="2D5A7676"/>
    <w:rsid w:val="2D5B72F6"/>
    <w:rsid w:val="2D5D6575"/>
    <w:rsid w:val="2D6B3206"/>
    <w:rsid w:val="2D8639BE"/>
    <w:rsid w:val="2DA40D4E"/>
    <w:rsid w:val="2DA61CF4"/>
    <w:rsid w:val="2DC3666A"/>
    <w:rsid w:val="2DF85222"/>
    <w:rsid w:val="2DFD2703"/>
    <w:rsid w:val="2E0F6409"/>
    <w:rsid w:val="2E2861AC"/>
    <w:rsid w:val="2E414AC7"/>
    <w:rsid w:val="2E4270DC"/>
    <w:rsid w:val="2E5A27F0"/>
    <w:rsid w:val="2E755089"/>
    <w:rsid w:val="2E9D5439"/>
    <w:rsid w:val="2EA11B8C"/>
    <w:rsid w:val="2EAB7F1D"/>
    <w:rsid w:val="2ECE0E14"/>
    <w:rsid w:val="2F003343"/>
    <w:rsid w:val="2F0668C2"/>
    <w:rsid w:val="2F0D2540"/>
    <w:rsid w:val="2F1808D1"/>
    <w:rsid w:val="2F1F3082"/>
    <w:rsid w:val="2F226C62"/>
    <w:rsid w:val="2F266CE6"/>
    <w:rsid w:val="2F2D0876"/>
    <w:rsid w:val="2F401C93"/>
    <w:rsid w:val="2F59133A"/>
    <w:rsid w:val="2F6376CB"/>
    <w:rsid w:val="2F642F4F"/>
    <w:rsid w:val="2F95400D"/>
    <w:rsid w:val="2FC51CEF"/>
    <w:rsid w:val="2FEC4210"/>
    <w:rsid w:val="2FF16036"/>
    <w:rsid w:val="300527EC"/>
    <w:rsid w:val="30446036"/>
    <w:rsid w:val="3046437E"/>
    <w:rsid w:val="3057580F"/>
    <w:rsid w:val="306814F8"/>
    <w:rsid w:val="306F7E3B"/>
    <w:rsid w:val="3073310C"/>
    <w:rsid w:val="309E3BD0"/>
    <w:rsid w:val="30A957E4"/>
    <w:rsid w:val="30B654E5"/>
    <w:rsid w:val="30C87AB5"/>
    <w:rsid w:val="3117395B"/>
    <w:rsid w:val="31307737"/>
    <w:rsid w:val="3139097F"/>
    <w:rsid w:val="315656BB"/>
    <w:rsid w:val="31576C02"/>
    <w:rsid w:val="315E02E1"/>
    <w:rsid w:val="3161534D"/>
    <w:rsid w:val="317A53EB"/>
    <w:rsid w:val="31A3127F"/>
    <w:rsid w:val="31B05D67"/>
    <w:rsid w:val="31C257E9"/>
    <w:rsid w:val="31D900D5"/>
    <w:rsid w:val="31E41CE9"/>
    <w:rsid w:val="31E45CE1"/>
    <w:rsid w:val="31EC5151"/>
    <w:rsid w:val="31F3091C"/>
    <w:rsid w:val="32043AD4"/>
    <w:rsid w:val="32046279"/>
    <w:rsid w:val="320A2F2F"/>
    <w:rsid w:val="32106B86"/>
    <w:rsid w:val="321441FC"/>
    <w:rsid w:val="32194741"/>
    <w:rsid w:val="321E639F"/>
    <w:rsid w:val="322F356D"/>
    <w:rsid w:val="32322C61"/>
    <w:rsid w:val="3234420B"/>
    <w:rsid w:val="32452586"/>
    <w:rsid w:val="32572CAC"/>
    <w:rsid w:val="32640B8E"/>
    <w:rsid w:val="32666DBF"/>
    <w:rsid w:val="32706C9C"/>
    <w:rsid w:val="32724DD0"/>
    <w:rsid w:val="32881760"/>
    <w:rsid w:val="329C1497"/>
    <w:rsid w:val="32A51A3E"/>
    <w:rsid w:val="32BB308B"/>
    <w:rsid w:val="32BE2E53"/>
    <w:rsid w:val="32BF79C6"/>
    <w:rsid w:val="32C038B6"/>
    <w:rsid w:val="32D33B70"/>
    <w:rsid w:val="32FE0237"/>
    <w:rsid w:val="32FE2CD7"/>
    <w:rsid w:val="330865C8"/>
    <w:rsid w:val="332A457E"/>
    <w:rsid w:val="332C4665"/>
    <w:rsid w:val="333E557E"/>
    <w:rsid w:val="33511692"/>
    <w:rsid w:val="33616C57"/>
    <w:rsid w:val="33681724"/>
    <w:rsid w:val="33BE53D6"/>
    <w:rsid w:val="33C87AB6"/>
    <w:rsid w:val="33CC3D88"/>
    <w:rsid w:val="33E23D2D"/>
    <w:rsid w:val="33F22F20"/>
    <w:rsid w:val="33F405D2"/>
    <w:rsid w:val="340D03F4"/>
    <w:rsid w:val="34155D14"/>
    <w:rsid w:val="341F5F01"/>
    <w:rsid w:val="34234796"/>
    <w:rsid w:val="342F3420"/>
    <w:rsid w:val="342F73A6"/>
    <w:rsid w:val="3439473C"/>
    <w:rsid w:val="34630E03"/>
    <w:rsid w:val="348A37B5"/>
    <w:rsid w:val="349A34DB"/>
    <w:rsid w:val="34C105B8"/>
    <w:rsid w:val="34C76BC7"/>
    <w:rsid w:val="35121EA0"/>
    <w:rsid w:val="35327542"/>
    <w:rsid w:val="353D6568"/>
    <w:rsid w:val="354D2115"/>
    <w:rsid w:val="35553AFD"/>
    <w:rsid w:val="355B6AFD"/>
    <w:rsid w:val="3561281A"/>
    <w:rsid w:val="3569702C"/>
    <w:rsid w:val="356A0B4E"/>
    <w:rsid w:val="359E17A7"/>
    <w:rsid w:val="35B53732"/>
    <w:rsid w:val="35B71A6F"/>
    <w:rsid w:val="35D02220"/>
    <w:rsid w:val="35E227DB"/>
    <w:rsid w:val="36173CCD"/>
    <w:rsid w:val="36505191"/>
    <w:rsid w:val="366632AB"/>
    <w:rsid w:val="36782A6C"/>
    <w:rsid w:val="368E0E15"/>
    <w:rsid w:val="36B56B8B"/>
    <w:rsid w:val="36C41867"/>
    <w:rsid w:val="36E47B9D"/>
    <w:rsid w:val="36F109B3"/>
    <w:rsid w:val="370055E2"/>
    <w:rsid w:val="370B3DD6"/>
    <w:rsid w:val="370B5C4B"/>
    <w:rsid w:val="37103EE5"/>
    <w:rsid w:val="37362673"/>
    <w:rsid w:val="373B05AC"/>
    <w:rsid w:val="374F2AED"/>
    <w:rsid w:val="3757357E"/>
    <w:rsid w:val="375C6562"/>
    <w:rsid w:val="378B3141"/>
    <w:rsid w:val="379D1B3C"/>
    <w:rsid w:val="379D6FCC"/>
    <w:rsid w:val="37D416A4"/>
    <w:rsid w:val="37D6348D"/>
    <w:rsid w:val="37DF503F"/>
    <w:rsid w:val="380A6843"/>
    <w:rsid w:val="3817749B"/>
    <w:rsid w:val="38421D67"/>
    <w:rsid w:val="3856677A"/>
    <w:rsid w:val="3860038E"/>
    <w:rsid w:val="3865567E"/>
    <w:rsid w:val="38707317"/>
    <w:rsid w:val="3873599C"/>
    <w:rsid w:val="38801B4C"/>
    <w:rsid w:val="38836992"/>
    <w:rsid w:val="38AA77BB"/>
    <w:rsid w:val="38AC7189"/>
    <w:rsid w:val="38B962A0"/>
    <w:rsid w:val="38CA1CFB"/>
    <w:rsid w:val="38D466F6"/>
    <w:rsid w:val="38F05A21"/>
    <w:rsid w:val="38FC61CB"/>
    <w:rsid w:val="3912085E"/>
    <w:rsid w:val="391469A0"/>
    <w:rsid w:val="39355ABC"/>
    <w:rsid w:val="39440601"/>
    <w:rsid w:val="39486658"/>
    <w:rsid w:val="39704948"/>
    <w:rsid w:val="397B655D"/>
    <w:rsid w:val="39936034"/>
    <w:rsid w:val="39A47F1D"/>
    <w:rsid w:val="39A607ED"/>
    <w:rsid w:val="39AC1264"/>
    <w:rsid w:val="39BD5A91"/>
    <w:rsid w:val="39BD6FC6"/>
    <w:rsid w:val="39EF3F42"/>
    <w:rsid w:val="39FD3633"/>
    <w:rsid w:val="39FF07AA"/>
    <w:rsid w:val="3A0719C4"/>
    <w:rsid w:val="3A1E5D66"/>
    <w:rsid w:val="3A2463BC"/>
    <w:rsid w:val="3A2931D7"/>
    <w:rsid w:val="3A335D0B"/>
    <w:rsid w:val="3A3615C3"/>
    <w:rsid w:val="3A3B6019"/>
    <w:rsid w:val="3A555AA8"/>
    <w:rsid w:val="3A5B5D7C"/>
    <w:rsid w:val="3A5D4951"/>
    <w:rsid w:val="3A781FD9"/>
    <w:rsid w:val="3A800389"/>
    <w:rsid w:val="3A8A2E97"/>
    <w:rsid w:val="3A954AAB"/>
    <w:rsid w:val="3AA85830"/>
    <w:rsid w:val="3AC10DF2"/>
    <w:rsid w:val="3AD60D98"/>
    <w:rsid w:val="3AEA27CD"/>
    <w:rsid w:val="3AF6384B"/>
    <w:rsid w:val="3B227B92"/>
    <w:rsid w:val="3B2D5F23"/>
    <w:rsid w:val="3B3240BC"/>
    <w:rsid w:val="3B402F26"/>
    <w:rsid w:val="3B425EC8"/>
    <w:rsid w:val="3B8E0546"/>
    <w:rsid w:val="3BAA7034"/>
    <w:rsid w:val="3BB05953"/>
    <w:rsid w:val="3BB20A82"/>
    <w:rsid w:val="3BBF1FA3"/>
    <w:rsid w:val="3BC34126"/>
    <w:rsid w:val="3BFF1CA5"/>
    <w:rsid w:val="3C1C7DAA"/>
    <w:rsid w:val="3C1F11B2"/>
    <w:rsid w:val="3C6C0441"/>
    <w:rsid w:val="3C73403C"/>
    <w:rsid w:val="3C8039FC"/>
    <w:rsid w:val="3CA96714"/>
    <w:rsid w:val="3CBB6F3F"/>
    <w:rsid w:val="3CF2572D"/>
    <w:rsid w:val="3D007123"/>
    <w:rsid w:val="3D3F7A27"/>
    <w:rsid w:val="3D417B8C"/>
    <w:rsid w:val="3D5742AE"/>
    <w:rsid w:val="3D5B3E1E"/>
    <w:rsid w:val="3D7710A7"/>
    <w:rsid w:val="3D7E108A"/>
    <w:rsid w:val="3D89645B"/>
    <w:rsid w:val="3DAE0540"/>
    <w:rsid w:val="3DF22A4A"/>
    <w:rsid w:val="3E000F41"/>
    <w:rsid w:val="3E0456CC"/>
    <w:rsid w:val="3E1805CE"/>
    <w:rsid w:val="3E185C25"/>
    <w:rsid w:val="3E706080"/>
    <w:rsid w:val="3E8A2C17"/>
    <w:rsid w:val="3EC76A8F"/>
    <w:rsid w:val="3ED34AA0"/>
    <w:rsid w:val="3EF32DD6"/>
    <w:rsid w:val="3F184717"/>
    <w:rsid w:val="3F2A54AE"/>
    <w:rsid w:val="3F34383F"/>
    <w:rsid w:val="3F3E2874"/>
    <w:rsid w:val="3F4D4769"/>
    <w:rsid w:val="3F5F008A"/>
    <w:rsid w:val="3F6527F2"/>
    <w:rsid w:val="3F867133"/>
    <w:rsid w:val="3F8B4FF7"/>
    <w:rsid w:val="3FCA3C21"/>
    <w:rsid w:val="3FCF726B"/>
    <w:rsid w:val="40032EB5"/>
    <w:rsid w:val="401C2D36"/>
    <w:rsid w:val="406E00C4"/>
    <w:rsid w:val="407C21DF"/>
    <w:rsid w:val="40857CE9"/>
    <w:rsid w:val="408F607A"/>
    <w:rsid w:val="409A440B"/>
    <w:rsid w:val="409C64A6"/>
    <w:rsid w:val="40B66F37"/>
    <w:rsid w:val="40D67CA7"/>
    <w:rsid w:val="41321107"/>
    <w:rsid w:val="413D3C14"/>
    <w:rsid w:val="413F299B"/>
    <w:rsid w:val="41697F5C"/>
    <w:rsid w:val="41961060"/>
    <w:rsid w:val="41A40E2D"/>
    <w:rsid w:val="41A945C9"/>
    <w:rsid w:val="41C0096A"/>
    <w:rsid w:val="41C3480C"/>
    <w:rsid w:val="41CE1354"/>
    <w:rsid w:val="41EA5032"/>
    <w:rsid w:val="42004FD7"/>
    <w:rsid w:val="42014C57"/>
    <w:rsid w:val="4204399F"/>
    <w:rsid w:val="421F113C"/>
    <w:rsid w:val="4222022C"/>
    <w:rsid w:val="422D0F6E"/>
    <w:rsid w:val="423D1B8B"/>
    <w:rsid w:val="42517723"/>
    <w:rsid w:val="425659E6"/>
    <w:rsid w:val="426D1D88"/>
    <w:rsid w:val="42711BB3"/>
    <w:rsid w:val="42754CB2"/>
    <w:rsid w:val="42834C51"/>
    <w:rsid w:val="4298644F"/>
    <w:rsid w:val="429960CF"/>
    <w:rsid w:val="42BF6731"/>
    <w:rsid w:val="42CF5A5E"/>
    <w:rsid w:val="42DD3AE7"/>
    <w:rsid w:val="430661E6"/>
    <w:rsid w:val="431878E5"/>
    <w:rsid w:val="431B31A5"/>
    <w:rsid w:val="43212A95"/>
    <w:rsid w:val="434774ED"/>
    <w:rsid w:val="43501F0D"/>
    <w:rsid w:val="436B1D0A"/>
    <w:rsid w:val="43713BB4"/>
    <w:rsid w:val="439C4BDF"/>
    <w:rsid w:val="43B849A7"/>
    <w:rsid w:val="43E15102"/>
    <w:rsid w:val="442163F1"/>
    <w:rsid w:val="444F03D0"/>
    <w:rsid w:val="4472491F"/>
    <w:rsid w:val="448B2EDF"/>
    <w:rsid w:val="448C1D82"/>
    <w:rsid w:val="44A136FC"/>
    <w:rsid w:val="44A21D28"/>
    <w:rsid w:val="44A4224B"/>
    <w:rsid w:val="44A72B59"/>
    <w:rsid w:val="44C2005E"/>
    <w:rsid w:val="44D0125A"/>
    <w:rsid w:val="45030AC7"/>
    <w:rsid w:val="451331C2"/>
    <w:rsid w:val="45714D1B"/>
    <w:rsid w:val="45870007"/>
    <w:rsid w:val="459D5D8F"/>
    <w:rsid w:val="45A602D1"/>
    <w:rsid w:val="45C76287"/>
    <w:rsid w:val="45D67D64"/>
    <w:rsid w:val="45FA684B"/>
    <w:rsid w:val="46006AAB"/>
    <w:rsid w:val="460103E6"/>
    <w:rsid w:val="46295027"/>
    <w:rsid w:val="463333B8"/>
    <w:rsid w:val="46336C3B"/>
    <w:rsid w:val="463B044D"/>
    <w:rsid w:val="465316EE"/>
    <w:rsid w:val="465E3302"/>
    <w:rsid w:val="46691693"/>
    <w:rsid w:val="466A6381"/>
    <w:rsid w:val="46AA20FD"/>
    <w:rsid w:val="46B22F30"/>
    <w:rsid w:val="46BF1038"/>
    <w:rsid w:val="46C500F1"/>
    <w:rsid w:val="46CC00B3"/>
    <w:rsid w:val="471A0142"/>
    <w:rsid w:val="473A30EC"/>
    <w:rsid w:val="473C453F"/>
    <w:rsid w:val="4759197B"/>
    <w:rsid w:val="4779644C"/>
    <w:rsid w:val="47A73096"/>
    <w:rsid w:val="47B836FE"/>
    <w:rsid w:val="47E114CB"/>
    <w:rsid w:val="48026CD2"/>
    <w:rsid w:val="48735FAA"/>
    <w:rsid w:val="487D4FBF"/>
    <w:rsid w:val="488D7B5A"/>
    <w:rsid w:val="48966123"/>
    <w:rsid w:val="489A02E7"/>
    <w:rsid w:val="489B6B2B"/>
    <w:rsid w:val="489D5DB0"/>
    <w:rsid w:val="48CA2737"/>
    <w:rsid w:val="48D401F1"/>
    <w:rsid w:val="4928342C"/>
    <w:rsid w:val="492F7DE9"/>
    <w:rsid w:val="49394E24"/>
    <w:rsid w:val="494E29DA"/>
    <w:rsid w:val="495412ED"/>
    <w:rsid w:val="496C5184"/>
    <w:rsid w:val="49752326"/>
    <w:rsid w:val="498478C3"/>
    <w:rsid w:val="49883EFC"/>
    <w:rsid w:val="4998010E"/>
    <w:rsid w:val="499B29F5"/>
    <w:rsid w:val="49A86C61"/>
    <w:rsid w:val="49AC0E4B"/>
    <w:rsid w:val="49B4434D"/>
    <w:rsid w:val="49C3230F"/>
    <w:rsid w:val="49CD3F23"/>
    <w:rsid w:val="49D25FE9"/>
    <w:rsid w:val="49E23B3C"/>
    <w:rsid w:val="49F805EB"/>
    <w:rsid w:val="4A055EC7"/>
    <w:rsid w:val="4A0C34E3"/>
    <w:rsid w:val="4A1A65A1"/>
    <w:rsid w:val="4A232084"/>
    <w:rsid w:val="4A3F7F0B"/>
    <w:rsid w:val="4A492700"/>
    <w:rsid w:val="4A6752F1"/>
    <w:rsid w:val="4A6863FC"/>
    <w:rsid w:val="4A70372C"/>
    <w:rsid w:val="4A7541D4"/>
    <w:rsid w:val="4A7934B6"/>
    <w:rsid w:val="4A7C2225"/>
    <w:rsid w:val="4A86537D"/>
    <w:rsid w:val="4A9239D0"/>
    <w:rsid w:val="4AC86F6D"/>
    <w:rsid w:val="4AD12C4C"/>
    <w:rsid w:val="4AD6419E"/>
    <w:rsid w:val="4AE5152A"/>
    <w:rsid w:val="4AE619E1"/>
    <w:rsid w:val="4AFF0C26"/>
    <w:rsid w:val="4B1367B9"/>
    <w:rsid w:val="4B206E76"/>
    <w:rsid w:val="4B247CD8"/>
    <w:rsid w:val="4B3E4274"/>
    <w:rsid w:val="4B410792"/>
    <w:rsid w:val="4B552AA6"/>
    <w:rsid w:val="4B5C6F5D"/>
    <w:rsid w:val="4B6B07DC"/>
    <w:rsid w:val="4B6B7874"/>
    <w:rsid w:val="4B7F716D"/>
    <w:rsid w:val="4B8E3AC8"/>
    <w:rsid w:val="4B927E5C"/>
    <w:rsid w:val="4B9730E5"/>
    <w:rsid w:val="4BA60AEA"/>
    <w:rsid w:val="4BAB7C31"/>
    <w:rsid w:val="4BB05F21"/>
    <w:rsid w:val="4BCB7C3F"/>
    <w:rsid w:val="4BD17C96"/>
    <w:rsid w:val="4BFD319A"/>
    <w:rsid w:val="4C005FEF"/>
    <w:rsid w:val="4C0D4017"/>
    <w:rsid w:val="4C131FBB"/>
    <w:rsid w:val="4C226976"/>
    <w:rsid w:val="4C39659B"/>
    <w:rsid w:val="4C4F4548"/>
    <w:rsid w:val="4C4F6D36"/>
    <w:rsid w:val="4C58104F"/>
    <w:rsid w:val="4C735960"/>
    <w:rsid w:val="4C7E06EB"/>
    <w:rsid w:val="4C85606C"/>
    <w:rsid w:val="4C857B66"/>
    <w:rsid w:val="4C9C1CC7"/>
    <w:rsid w:val="4C9C2975"/>
    <w:rsid w:val="4CB22ACA"/>
    <w:rsid w:val="4CE679B9"/>
    <w:rsid w:val="4CF15D4A"/>
    <w:rsid w:val="4CF94A22"/>
    <w:rsid w:val="4CFC72E2"/>
    <w:rsid w:val="4D17066D"/>
    <w:rsid w:val="4D3D4B44"/>
    <w:rsid w:val="4D486759"/>
    <w:rsid w:val="4D5E2AFB"/>
    <w:rsid w:val="4D6F2AB4"/>
    <w:rsid w:val="4D70596A"/>
    <w:rsid w:val="4D8C52D1"/>
    <w:rsid w:val="4DA954F8"/>
    <w:rsid w:val="4DBC2ACE"/>
    <w:rsid w:val="4DDA4729"/>
    <w:rsid w:val="4DE07BD1"/>
    <w:rsid w:val="4DEB17E5"/>
    <w:rsid w:val="4DEB431F"/>
    <w:rsid w:val="4DF57B76"/>
    <w:rsid w:val="4E0F5941"/>
    <w:rsid w:val="4E2D7CD0"/>
    <w:rsid w:val="4E614CA7"/>
    <w:rsid w:val="4E6D2CB8"/>
    <w:rsid w:val="4E7E71EB"/>
    <w:rsid w:val="4E8D0FEE"/>
    <w:rsid w:val="4E921847"/>
    <w:rsid w:val="4EA01F2F"/>
    <w:rsid w:val="4EA353D3"/>
    <w:rsid w:val="4EE23C75"/>
    <w:rsid w:val="4EF15DF4"/>
    <w:rsid w:val="4EF6036B"/>
    <w:rsid w:val="4EFD0A57"/>
    <w:rsid w:val="4F105D44"/>
    <w:rsid w:val="4F145B21"/>
    <w:rsid w:val="4F1B6EB3"/>
    <w:rsid w:val="4F1D5E30"/>
    <w:rsid w:val="4F281129"/>
    <w:rsid w:val="4F3007F7"/>
    <w:rsid w:val="4F37554F"/>
    <w:rsid w:val="4F3E3F0E"/>
    <w:rsid w:val="4F5034D6"/>
    <w:rsid w:val="4F506B2E"/>
    <w:rsid w:val="4F527B74"/>
    <w:rsid w:val="4F5B0379"/>
    <w:rsid w:val="4F5C34DA"/>
    <w:rsid w:val="4F5C4B3F"/>
    <w:rsid w:val="4F737F89"/>
    <w:rsid w:val="4F7C2E75"/>
    <w:rsid w:val="4F912E1A"/>
    <w:rsid w:val="4F93361D"/>
    <w:rsid w:val="4FA34888"/>
    <w:rsid w:val="4FB26230"/>
    <w:rsid w:val="4FE316AD"/>
    <w:rsid w:val="4FFB3264"/>
    <w:rsid w:val="500F45E6"/>
    <w:rsid w:val="501961CA"/>
    <w:rsid w:val="503A6A8B"/>
    <w:rsid w:val="50574069"/>
    <w:rsid w:val="505E043D"/>
    <w:rsid w:val="506B057F"/>
    <w:rsid w:val="50881FBD"/>
    <w:rsid w:val="50AB1369"/>
    <w:rsid w:val="50C2570B"/>
    <w:rsid w:val="50CA5594"/>
    <w:rsid w:val="50CB149C"/>
    <w:rsid w:val="50CC3A9C"/>
    <w:rsid w:val="50CF4086"/>
    <w:rsid w:val="50D9069D"/>
    <w:rsid w:val="50E23A41"/>
    <w:rsid w:val="50E64C06"/>
    <w:rsid w:val="50EB6395"/>
    <w:rsid w:val="5119199D"/>
    <w:rsid w:val="51226939"/>
    <w:rsid w:val="51237D2E"/>
    <w:rsid w:val="512E443A"/>
    <w:rsid w:val="51442461"/>
    <w:rsid w:val="514656B5"/>
    <w:rsid w:val="515330CF"/>
    <w:rsid w:val="51536D04"/>
    <w:rsid w:val="515A6B83"/>
    <w:rsid w:val="5163129E"/>
    <w:rsid w:val="51690FEC"/>
    <w:rsid w:val="51872650"/>
    <w:rsid w:val="518F4E5F"/>
    <w:rsid w:val="51914ADE"/>
    <w:rsid w:val="519F7BA4"/>
    <w:rsid w:val="51A7424B"/>
    <w:rsid w:val="51A75FA5"/>
    <w:rsid w:val="51D058C8"/>
    <w:rsid w:val="52010A03"/>
    <w:rsid w:val="52073823"/>
    <w:rsid w:val="5209316E"/>
    <w:rsid w:val="521376A6"/>
    <w:rsid w:val="5249428D"/>
    <w:rsid w:val="52A57534"/>
    <w:rsid w:val="52AA302D"/>
    <w:rsid w:val="52B513BE"/>
    <w:rsid w:val="52B8561A"/>
    <w:rsid w:val="52D576F4"/>
    <w:rsid w:val="52DE52E6"/>
    <w:rsid w:val="5301316B"/>
    <w:rsid w:val="530B1DCC"/>
    <w:rsid w:val="5376147C"/>
    <w:rsid w:val="5381474F"/>
    <w:rsid w:val="53875AA6"/>
    <w:rsid w:val="53990737"/>
    <w:rsid w:val="53B47067"/>
    <w:rsid w:val="53BE5764"/>
    <w:rsid w:val="53C96955"/>
    <w:rsid w:val="53DA11A0"/>
    <w:rsid w:val="53E80A36"/>
    <w:rsid w:val="53F01145"/>
    <w:rsid w:val="53FA3C53"/>
    <w:rsid w:val="53FF0499"/>
    <w:rsid w:val="54113878"/>
    <w:rsid w:val="54206953"/>
    <w:rsid w:val="542B1BC3"/>
    <w:rsid w:val="54705CD6"/>
    <w:rsid w:val="54886D3A"/>
    <w:rsid w:val="54997FE7"/>
    <w:rsid w:val="54B82262"/>
    <w:rsid w:val="54D413B8"/>
    <w:rsid w:val="54DC2557"/>
    <w:rsid w:val="55116D9E"/>
    <w:rsid w:val="551324A4"/>
    <w:rsid w:val="551A5B0B"/>
    <w:rsid w:val="55410FFA"/>
    <w:rsid w:val="55440376"/>
    <w:rsid w:val="5555648E"/>
    <w:rsid w:val="558C0B67"/>
    <w:rsid w:val="558C43EA"/>
    <w:rsid w:val="5597277B"/>
    <w:rsid w:val="55A54E39"/>
    <w:rsid w:val="55A954D5"/>
    <w:rsid w:val="55B97888"/>
    <w:rsid w:val="55E77F27"/>
    <w:rsid w:val="562F3781"/>
    <w:rsid w:val="56362DA1"/>
    <w:rsid w:val="563D6271"/>
    <w:rsid w:val="565510A6"/>
    <w:rsid w:val="566662CB"/>
    <w:rsid w:val="566709EA"/>
    <w:rsid w:val="56902993"/>
    <w:rsid w:val="5699316D"/>
    <w:rsid w:val="569E48CE"/>
    <w:rsid w:val="56B20949"/>
    <w:rsid w:val="56BA4D42"/>
    <w:rsid w:val="56C7506B"/>
    <w:rsid w:val="56D133FC"/>
    <w:rsid w:val="56D20E91"/>
    <w:rsid w:val="56F24C1A"/>
    <w:rsid w:val="5704537A"/>
    <w:rsid w:val="57062C2A"/>
    <w:rsid w:val="573568BB"/>
    <w:rsid w:val="573F3A30"/>
    <w:rsid w:val="57493756"/>
    <w:rsid w:val="576A00F7"/>
    <w:rsid w:val="5796443F"/>
    <w:rsid w:val="57A163C5"/>
    <w:rsid w:val="57AB0B61"/>
    <w:rsid w:val="57B430C1"/>
    <w:rsid w:val="57E243D8"/>
    <w:rsid w:val="580457DD"/>
    <w:rsid w:val="580D3184"/>
    <w:rsid w:val="582278A6"/>
    <w:rsid w:val="582E7DE0"/>
    <w:rsid w:val="585E1C05"/>
    <w:rsid w:val="5866406D"/>
    <w:rsid w:val="587B2C13"/>
    <w:rsid w:val="58903C89"/>
    <w:rsid w:val="58B55DA5"/>
    <w:rsid w:val="58BC3278"/>
    <w:rsid w:val="58CF0CC3"/>
    <w:rsid w:val="58D94A11"/>
    <w:rsid w:val="58E319A9"/>
    <w:rsid w:val="58ED4319"/>
    <w:rsid w:val="58EE3A85"/>
    <w:rsid w:val="58FB500B"/>
    <w:rsid w:val="58FC58DC"/>
    <w:rsid w:val="59023F6F"/>
    <w:rsid w:val="59317A63"/>
    <w:rsid w:val="5937326A"/>
    <w:rsid w:val="593D5A74"/>
    <w:rsid w:val="59487688"/>
    <w:rsid w:val="59681B14"/>
    <w:rsid w:val="59870472"/>
    <w:rsid w:val="59875FC5"/>
    <w:rsid w:val="59946483"/>
    <w:rsid w:val="59965BC8"/>
    <w:rsid w:val="59975ECE"/>
    <w:rsid w:val="599E4814"/>
    <w:rsid w:val="59A77041"/>
    <w:rsid w:val="59C705FB"/>
    <w:rsid w:val="59F03B22"/>
    <w:rsid w:val="59F30566"/>
    <w:rsid w:val="59F50AA6"/>
    <w:rsid w:val="59F91E1B"/>
    <w:rsid w:val="59FF51E0"/>
    <w:rsid w:val="5A2D394C"/>
    <w:rsid w:val="5A426751"/>
    <w:rsid w:val="5A567846"/>
    <w:rsid w:val="5A6C3F68"/>
    <w:rsid w:val="5A744C4A"/>
    <w:rsid w:val="5A854E34"/>
    <w:rsid w:val="5A9342FB"/>
    <w:rsid w:val="5AA26640"/>
    <w:rsid w:val="5AA517FD"/>
    <w:rsid w:val="5AC040D3"/>
    <w:rsid w:val="5AC445F6"/>
    <w:rsid w:val="5AD35CAD"/>
    <w:rsid w:val="5ADD73BF"/>
    <w:rsid w:val="5AFA3420"/>
    <w:rsid w:val="5AFB10F4"/>
    <w:rsid w:val="5AFC49A0"/>
    <w:rsid w:val="5B0171D9"/>
    <w:rsid w:val="5B0C474B"/>
    <w:rsid w:val="5B195385"/>
    <w:rsid w:val="5B2D77FF"/>
    <w:rsid w:val="5B3722D7"/>
    <w:rsid w:val="5B3A47F6"/>
    <w:rsid w:val="5B3E14FE"/>
    <w:rsid w:val="5B406034"/>
    <w:rsid w:val="5B6A400A"/>
    <w:rsid w:val="5B872136"/>
    <w:rsid w:val="5B8B1199"/>
    <w:rsid w:val="5BA7046C"/>
    <w:rsid w:val="5BAB04FD"/>
    <w:rsid w:val="5BB167FD"/>
    <w:rsid w:val="5BD25946"/>
    <w:rsid w:val="5BD347B4"/>
    <w:rsid w:val="5BE55BFD"/>
    <w:rsid w:val="5C0A6E8C"/>
    <w:rsid w:val="5C427DE2"/>
    <w:rsid w:val="5C54188A"/>
    <w:rsid w:val="5C693FF0"/>
    <w:rsid w:val="5C753FBD"/>
    <w:rsid w:val="5C767840"/>
    <w:rsid w:val="5C850AF1"/>
    <w:rsid w:val="5CA601F3"/>
    <w:rsid w:val="5CAB2299"/>
    <w:rsid w:val="5CC82976"/>
    <w:rsid w:val="5CD6463A"/>
    <w:rsid w:val="5CD72D5D"/>
    <w:rsid w:val="5CEE2982"/>
    <w:rsid w:val="5CF321ED"/>
    <w:rsid w:val="5D0771AE"/>
    <w:rsid w:val="5D2E6FEF"/>
    <w:rsid w:val="5D3144F4"/>
    <w:rsid w:val="5D385380"/>
    <w:rsid w:val="5D513E42"/>
    <w:rsid w:val="5D5964A1"/>
    <w:rsid w:val="5D5E01D8"/>
    <w:rsid w:val="5D6416C7"/>
    <w:rsid w:val="5D6C4504"/>
    <w:rsid w:val="5D75348B"/>
    <w:rsid w:val="5D8F5D8E"/>
    <w:rsid w:val="5D9D4249"/>
    <w:rsid w:val="5DB31D0D"/>
    <w:rsid w:val="5DBA3565"/>
    <w:rsid w:val="5DBB20D6"/>
    <w:rsid w:val="5DC60467"/>
    <w:rsid w:val="5DDC4A88"/>
    <w:rsid w:val="5DEE47CF"/>
    <w:rsid w:val="5DEF16D7"/>
    <w:rsid w:val="5E070ED0"/>
    <w:rsid w:val="5E165F96"/>
    <w:rsid w:val="5E5646F0"/>
    <w:rsid w:val="5E5E18DF"/>
    <w:rsid w:val="5E681700"/>
    <w:rsid w:val="5E731884"/>
    <w:rsid w:val="5E7C469D"/>
    <w:rsid w:val="5E7D126D"/>
    <w:rsid w:val="5EDB32C1"/>
    <w:rsid w:val="5EDF69B5"/>
    <w:rsid w:val="5EE611DF"/>
    <w:rsid w:val="5EEC63F2"/>
    <w:rsid w:val="5EFD62A7"/>
    <w:rsid w:val="5F0027B9"/>
    <w:rsid w:val="5F1E2123"/>
    <w:rsid w:val="5F2142EE"/>
    <w:rsid w:val="5F2333FF"/>
    <w:rsid w:val="5FA911F0"/>
    <w:rsid w:val="5FB46F10"/>
    <w:rsid w:val="5FB9411A"/>
    <w:rsid w:val="5FC373CB"/>
    <w:rsid w:val="5FC853A4"/>
    <w:rsid w:val="5FDC0215"/>
    <w:rsid w:val="5FE1243E"/>
    <w:rsid w:val="5FF070C2"/>
    <w:rsid w:val="5FF74759"/>
    <w:rsid w:val="601C2B39"/>
    <w:rsid w:val="6026788C"/>
    <w:rsid w:val="60510E15"/>
    <w:rsid w:val="60885DB7"/>
    <w:rsid w:val="609106C3"/>
    <w:rsid w:val="609A7C8A"/>
    <w:rsid w:val="60CE0B25"/>
    <w:rsid w:val="60D55580"/>
    <w:rsid w:val="60D65AE3"/>
    <w:rsid w:val="60DE0679"/>
    <w:rsid w:val="60DF7FBD"/>
    <w:rsid w:val="6100008D"/>
    <w:rsid w:val="61146955"/>
    <w:rsid w:val="611B38C2"/>
    <w:rsid w:val="611F5809"/>
    <w:rsid w:val="61201EA9"/>
    <w:rsid w:val="61267B24"/>
    <w:rsid w:val="613126C5"/>
    <w:rsid w:val="61407419"/>
    <w:rsid w:val="6157596C"/>
    <w:rsid w:val="61614E76"/>
    <w:rsid w:val="61617F8F"/>
    <w:rsid w:val="616365BA"/>
    <w:rsid w:val="6196425F"/>
    <w:rsid w:val="61A11A3C"/>
    <w:rsid w:val="61C40310"/>
    <w:rsid w:val="61DF05CA"/>
    <w:rsid w:val="61E324A5"/>
    <w:rsid w:val="61ED0836"/>
    <w:rsid w:val="61F776BF"/>
    <w:rsid w:val="61FF75BA"/>
    <w:rsid w:val="620713D1"/>
    <w:rsid w:val="621205AB"/>
    <w:rsid w:val="621F729C"/>
    <w:rsid w:val="622F4B23"/>
    <w:rsid w:val="62441245"/>
    <w:rsid w:val="626A6932"/>
    <w:rsid w:val="6270231D"/>
    <w:rsid w:val="62750C6F"/>
    <w:rsid w:val="629038C3"/>
    <w:rsid w:val="62B74E32"/>
    <w:rsid w:val="62BB7F8A"/>
    <w:rsid w:val="62C20668"/>
    <w:rsid w:val="62C75F9B"/>
    <w:rsid w:val="62D1432C"/>
    <w:rsid w:val="62D20BB5"/>
    <w:rsid w:val="62D83CB7"/>
    <w:rsid w:val="63072608"/>
    <w:rsid w:val="630A4A40"/>
    <w:rsid w:val="633330CC"/>
    <w:rsid w:val="6333694F"/>
    <w:rsid w:val="63426198"/>
    <w:rsid w:val="6351697E"/>
    <w:rsid w:val="63552F97"/>
    <w:rsid w:val="635F3637"/>
    <w:rsid w:val="636F7F55"/>
    <w:rsid w:val="63707DAF"/>
    <w:rsid w:val="637D744E"/>
    <w:rsid w:val="637F0FCD"/>
    <w:rsid w:val="6386548F"/>
    <w:rsid w:val="638A3ADA"/>
    <w:rsid w:val="638A735E"/>
    <w:rsid w:val="6391673A"/>
    <w:rsid w:val="639F3A80"/>
    <w:rsid w:val="6402249F"/>
    <w:rsid w:val="64207B25"/>
    <w:rsid w:val="6437077B"/>
    <w:rsid w:val="643B775C"/>
    <w:rsid w:val="644F3869"/>
    <w:rsid w:val="645B13EF"/>
    <w:rsid w:val="6463123F"/>
    <w:rsid w:val="648F00F0"/>
    <w:rsid w:val="64BA2F9D"/>
    <w:rsid w:val="64D34AC8"/>
    <w:rsid w:val="64D650A8"/>
    <w:rsid w:val="64FC5F3B"/>
    <w:rsid w:val="650F75EB"/>
    <w:rsid w:val="651960E1"/>
    <w:rsid w:val="651C4271"/>
    <w:rsid w:val="65254E9C"/>
    <w:rsid w:val="65325CD1"/>
    <w:rsid w:val="65451B7C"/>
    <w:rsid w:val="65774C55"/>
    <w:rsid w:val="658713A2"/>
    <w:rsid w:val="65A9377F"/>
    <w:rsid w:val="65B302A4"/>
    <w:rsid w:val="65D33B0F"/>
    <w:rsid w:val="65DE1DB1"/>
    <w:rsid w:val="66007D67"/>
    <w:rsid w:val="66096F7E"/>
    <w:rsid w:val="660C24F3"/>
    <w:rsid w:val="66152ADD"/>
    <w:rsid w:val="663D330B"/>
    <w:rsid w:val="663F0B50"/>
    <w:rsid w:val="666140B8"/>
    <w:rsid w:val="6665423C"/>
    <w:rsid w:val="66660FC6"/>
    <w:rsid w:val="66700417"/>
    <w:rsid w:val="66753116"/>
    <w:rsid w:val="66961D05"/>
    <w:rsid w:val="66B83C92"/>
    <w:rsid w:val="66B87515"/>
    <w:rsid w:val="66C50D57"/>
    <w:rsid w:val="66C667CB"/>
    <w:rsid w:val="66CD3C37"/>
    <w:rsid w:val="66E47FD9"/>
    <w:rsid w:val="66F25116"/>
    <w:rsid w:val="670E46A1"/>
    <w:rsid w:val="671B7ADF"/>
    <w:rsid w:val="674D6331"/>
    <w:rsid w:val="675B6D0B"/>
    <w:rsid w:val="67650933"/>
    <w:rsid w:val="67664AFE"/>
    <w:rsid w:val="67706CC4"/>
    <w:rsid w:val="677611F8"/>
    <w:rsid w:val="67776AD7"/>
    <w:rsid w:val="67843BD9"/>
    <w:rsid w:val="67B848FE"/>
    <w:rsid w:val="67D03911"/>
    <w:rsid w:val="67D15A64"/>
    <w:rsid w:val="67D2374E"/>
    <w:rsid w:val="67DD51A4"/>
    <w:rsid w:val="67E81E06"/>
    <w:rsid w:val="67EF725E"/>
    <w:rsid w:val="680264F6"/>
    <w:rsid w:val="68052F83"/>
    <w:rsid w:val="6814614D"/>
    <w:rsid w:val="685427BA"/>
    <w:rsid w:val="686108D0"/>
    <w:rsid w:val="686B6B5C"/>
    <w:rsid w:val="687A5CD7"/>
    <w:rsid w:val="689A0C6D"/>
    <w:rsid w:val="68AB31C8"/>
    <w:rsid w:val="68CC58FB"/>
    <w:rsid w:val="68E32401"/>
    <w:rsid w:val="693710DE"/>
    <w:rsid w:val="694E29D2"/>
    <w:rsid w:val="69540FCC"/>
    <w:rsid w:val="695B3050"/>
    <w:rsid w:val="696E0D08"/>
    <w:rsid w:val="696F0988"/>
    <w:rsid w:val="698F6CBE"/>
    <w:rsid w:val="69981E32"/>
    <w:rsid w:val="69F05A5E"/>
    <w:rsid w:val="6A051710"/>
    <w:rsid w:val="6A174488"/>
    <w:rsid w:val="6A1852A6"/>
    <w:rsid w:val="6A321D4B"/>
    <w:rsid w:val="6A333A6C"/>
    <w:rsid w:val="6A3C4858"/>
    <w:rsid w:val="6A53447E"/>
    <w:rsid w:val="6A7327B4"/>
    <w:rsid w:val="6A736F31"/>
    <w:rsid w:val="6ACD3127"/>
    <w:rsid w:val="6AD62687"/>
    <w:rsid w:val="6ADF78E5"/>
    <w:rsid w:val="6AEA5C76"/>
    <w:rsid w:val="6AFF5C1B"/>
    <w:rsid w:val="6B0B3C2C"/>
    <w:rsid w:val="6B161FBD"/>
    <w:rsid w:val="6B213BD1"/>
    <w:rsid w:val="6B407A28"/>
    <w:rsid w:val="6B426304"/>
    <w:rsid w:val="6B4D7CF9"/>
    <w:rsid w:val="6B5862AA"/>
    <w:rsid w:val="6B62463B"/>
    <w:rsid w:val="6B6D633E"/>
    <w:rsid w:val="6B720C79"/>
    <w:rsid w:val="6B8224CD"/>
    <w:rsid w:val="6B822971"/>
    <w:rsid w:val="6B865B24"/>
    <w:rsid w:val="6BCE176C"/>
    <w:rsid w:val="6BD925D0"/>
    <w:rsid w:val="6BE31711"/>
    <w:rsid w:val="6BE741CA"/>
    <w:rsid w:val="6BEB259F"/>
    <w:rsid w:val="6C03707E"/>
    <w:rsid w:val="6C046D45"/>
    <w:rsid w:val="6C0905E4"/>
    <w:rsid w:val="6C25217A"/>
    <w:rsid w:val="6C272092"/>
    <w:rsid w:val="6C2A1A18"/>
    <w:rsid w:val="6C2A4FE1"/>
    <w:rsid w:val="6C547DC6"/>
    <w:rsid w:val="6C5C4853"/>
    <w:rsid w:val="6C666467"/>
    <w:rsid w:val="6C745731"/>
    <w:rsid w:val="6C7E3B0E"/>
    <w:rsid w:val="6C8117D9"/>
    <w:rsid w:val="6CC1729E"/>
    <w:rsid w:val="6CC85207"/>
    <w:rsid w:val="6CFC7E0A"/>
    <w:rsid w:val="6D0D1A0E"/>
    <w:rsid w:val="6D147885"/>
    <w:rsid w:val="6D1E26FC"/>
    <w:rsid w:val="6D395893"/>
    <w:rsid w:val="6D4B6A39"/>
    <w:rsid w:val="6D6A4A10"/>
    <w:rsid w:val="6D6C15A7"/>
    <w:rsid w:val="6D7878DC"/>
    <w:rsid w:val="6D8049B5"/>
    <w:rsid w:val="6D885ECE"/>
    <w:rsid w:val="6DA170E8"/>
    <w:rsid w:val="6DAC0CFD"/>
    <w:rsid w:val="6DC667C6"/>
    <w:rsid w:val="6DCC7033"/>
    <w:rsid w:val="6DFA2D32"/>
    <w:rsid w:val="6E2C069D"/>
    <w:rsid w:val="6E2D7665"/>
    <w:rsid w:val="6E2F5A53"/>
    <w:rsid w:val="6E59211A"/>
    <w:rsid w:val="6E64209C"/>
    <w:rsid w:val="6E8644DC"/>
    <w:rsid w:val="6E8E26C6"/>
    <w:rsid w:val="6EB02B29"/>
    <w:rsid w:val="6ECC4A08"/>
    <w:rsid w:val="6ED2525C"/>
    <w:rsid w:val="6ED503A9"/>
    <w:rsid w:val="6F1C7C5A"/>
    <w:rsid w:val="6F2F5BBD"/>
    <w:rsid w:val="6F3B59BD"/>
    <w:rsid w:val="6F563EC4"/>
    <w:rsid w:val="6F6C184F"/>
    <w:rsid w:val="6F7F6679"/>
    <w:rsid w:val="6FB52B62"/>
    <w:rsid w:val="6FD67088"/>
    <w:rsid w:val="6FE05419"/>
    <w:rsid w:val="6FEB702D"/>
    <w:rsid w:val="7008600B"/>
    <w:rsid w:val="700B613B"/>
    <w:rsid w:val="703716AB"/>
    <w:rsid w:val="703C7E28"/>
    <w:rsid w:val="704241B9"/>
    <w:rsid w:val="70520751"/>
    <w:rsid w:val="70790703"/>
    <w:rsid w:val="70AF47ED"/>
    <w:rsid w:val="70ED465C"/>
    <w:rsid w:val="710F3725"/>
    <w:rsid w:val="713118C3"/>
    <w:rsid w:val="713B7C54"/>
    <w:rsid w:val="71566E2E"/>
    <w:rsid w:val="7172543C"/>
    <w:rsid w:val="718C272C"/>
    <w:rsid w:val="719D69F4"/>
    <w:rsid w:val="71A14523"/>
    <w:rsid w:val="71DD55AB"/>
    <w:rsid w:val="71E002A1"/>
    <w:rsid w:val="71F37403"/>
    <w:rsid w:val="71F57082"/>
    <w:rsid w:val="72030E6F"/>
    <w:rsid w:val="72302A2E"/>
    <w:rsid w:val="72360C26"/>
    <w:rsid w:val="72522F4A"/>
    <w:rsid w:val="725A3650"/>
    <w:rsid w:val="72617A36"/>
    <w:rsid w:val="7278740F"/>
    <w:rsid w:val="728D4B86"/>
    <w:rsid w:val="72B80445"/>
    <w:rsid w:val="72C54B39"/>
    <w:rsid w:val="72C96DB3"/>
    <w:rsid w:val="72D11DC3"/>
    <w:rsid w:val="72DF1C20"/>
    <w:rsid w:val="72E478A1"/>
    <w:rsid w:val="72E838DD"/>
    <w:rsid w:val="72F8122F"/>
    <w:rsid w:val="72FB2CEB"/>
    <w:rsid w:val="72FF29C4"/>
    <w:rsid w:val="73024D57"/>
    <w:rsid w:val="730E08AC"/>
    <w:rsid w:val="730E55D1"/>
    <w:rsid w:val="733018B2"/>
    <w:rsid w:val="73303587"/>
    <w:rsid w:val="7363220A"/>
    <w:rsid w:val="736F17DB"/>
    <w:rsid w:val="73707883"/>
    <w:rsid w:val="737C64A3"/>
    <w:rsid w:val="7387518C"/>
    <w:rsid w:val="73A07DF0"/>
    <w:rsid w:val="73A11102"/>
    <w:rsid w:val="73A66A49"/>
    <w:rsid w:val="73B1065D"/>
    <w:rsid w:val="73CC1A6A"/>
    <w:rsid w:val="73D16993"/>
    <w:rsid w:val="73DC4D25"/>
    <w:rsid w:val="73E344B7"/>
    <w:rsid w:val="73FA6FDD"/>
    <w:rsid w:val="73FD2CDB"/>
    <w:rsid w:val="740D2C03"/>
    <w:rsid w:val="74172B12"/>
    <w:rsid w:val="742C362D"/>
    <w:rsid w:val="743453B3"/>
    <w:rsid w:val="74384B2B"/>
    <w:rsid w:val="74491AD5"/>
    <w:rsid w:val="744E2B97"/>
    <w:rsid w:val="74956CD8"/>
    <w:rsid w:val="74964153"/>
    <w:rsid w:val="74B361FF"/>
    <w:rsid w:val="74C31ED3"/>
    <w:rsid w:val="74D74BBC"/>
    <w:rsid w:val="74D77762"/>
    <w:rsid w:val="74DF27DE"/>
    <w:rsid w:val="74F07756"/>
    <w:rsid w:val="74F40A6E"/>
    <w:rsid w:val="75024B07"/>
    <w:rsid w:val="750C2E98"/>
    <w:rsid w:val="7523723A"/>
    <w:rsid w:val="753476BC"/>
    <w:rsid w:val="753871DF"/>
    <w:rsid w:val="753F2BCA"/>
    <w:rsid w:val="754F69F0"/>
    <w:rsid w:val="756A43EF"/>
    <w:rsid w:val="756E1C38"/>
    <w:rsid w:val="758A61AD"/>
    <w:rsid w:val="758F436B"/>
    <w:rsid w:val="75A83336"/>
    <w:rsid w:val="75C54845"/>
    <w:rsid w:val="75CE6884"/>
    <w:rsid w:val="75D00657"/>
    <w:rsid w:val="75D5518C"/>
    <w:rsid w:val="75F564F7"/>
    <w:rsid w:val="76072D30"/>
    <w:rsid w:val="760B4F58"/>
    <w:rsid w:val="76174ACA"/>
    <w:rsid w:val="76395B0E"/>
    <w:rsid w:val="766A10B5"/>
    <w:rsid w:val="767413C0"/>
    <w:rsid w:val="76911902"/>
    <w:rsid w:val="76931A1A"/>
    <w:rsid w:val="76A83603"/>
    <w:rsid w:val="76A9613C"/>
    <w:rsid w:val="76B5414D"/>
    <w:rsid w:val="76BF24DE"/>
    <w:rsid w:val="76E26EFD"/>
    <w:rsid w:val="76E76CA9"/>
    <w:rsid w:val="76EA6BA6"/>
    <w:rsid w:val="770953D0"/>
    <w:rsid w:val="770A4EDC"/>
    <w:rsid w:val="7716025A"/>
    <w:rsid w:val="7721127E"/>
    <w:rsid w:val="772A6E0B"/>
    <w:rsid w:val="773615B0"/>
    <w:rsid w:val="773E5C07"/>
    <w:rsid w:val="77572CE5"/>
    <w:rsid w:val="776D38FC"/>
    <w:rsid w:val="7782001E"/>
    <w:rsid w:val="77C7216B"/>
    <w:rsid w:val="77D815B7"/>
    <w:rsid w:val="77D942B0"/>
    <w:rsid w:val="77F12CA7"/>
    <w:rsid w:val="782530AA"/>
    <w:rsid w:val="78285249"/>
    <w:rsid w:val="782F143B"/>
    <w:rsid w:val="783A3050"/>
    <w:rsid w:val="78B46DF1"/>
    <w:rsid w:val="78B95905"/>
    <w:rsid w:val="78BB1973"/>
    <w:rsid w:val="78C24786"/>
    <w:rsid w:val="78C679AC"/>
    <w:rsid w:val="78DB5130"/>
    <w:rsid w:val="78F01315"/>
    <w:rsid w:val="78F227FE"/>
    <w:rsid w:val="78FC4E44"/>
    <w:rsid w:val="791407B4"/>
    <w:rsid w:val="79325E4B"/>
    <w:rsid w:val="79352EE7"/>
    <w:rsid w:val="796C17F3"/>
    <w:rsid w:val="797C367F"/>
    <w:rsid w:val="798651E0"/>
    <w:rsid w:val="79983C45"/>
    <w:rsid w:val="799F21D1"/>
    <w:rsid w:val="79A67020"/>
    <w:rsid w:val="79CC7F63"/>
    <w:rsid w:val="79D007F8"/>
    <w:rsid w:val="7A026DB8"/>
    <w:rsid w:val="7A0643B5"/>
    <w:rsid w:val="7A24039D"/>
    <w:rsid w:val="7A317764"/>
    <w:rsid w:val="7A372537"/>
    <w:rsid w:val="7A5018C6"/>
    <w:rsid w:val="7A5A304A"/>
    <w:rsid w:val="7A617EF9"/>
    <w:rsid w:val="7A8B10B6"/>
    <w:rsid w:val="7AB03A59"/>
    <w:rsid w:val="7AB756AF"/>
    <w:rsid w:val="7AD52F69"/>
    <w:rsid w:val="7AD579F5"/>
    <w:rsid w:val="7AE76131"/>
    <w:rsid w:val="7AF244C2"/>
    <w:rsid w:val="7AFA2663"/>
    <w:rsid w:val="7B0024E5"/>
    <w:rsid w:val="7B070BE4"/>
    <w:rsid w:val="7B286B9A"/>
    <w:rsid w:val="7B3F1553"/>
    <w:rsid w:val="7B6203B0"/>
    <w:rsid w:val="7B71019C"/>
    <w:rsid w:val="7B7A118C"/>
    <w:rsid w:val="7B92384E"/>
    <w:rsid w:val="7B964B46"/>
    <w:rsid w:val="7BAA3C71"/>
    <w:rsid w:val="7BBF3C16"/>
    <w:rsid w:val="7BF662EE"/>
    <w:rsid w:val="7C050547"/>
    <w:rsid w:val="7C055581"/>
    <w:rsid w:val="7C327953"/>
    <w:rsid w:val="7C3F18E7"/>
    <w:rsid w:val="7C442DD5"/>
    <w:rsid w:val="7C4C347A"/>
    <w:rsid w:val="7C6C1676"/>
    <w:rsid w:val="7C6D7FD9"/>
    <w:rsid w:val="7C6E1430"/>
    <w:rsid w:val="7C80355A"/>
    <w:rsid w:val="7C8E7766"/>
    <w:rsid w:val="7C985307"/>
    <w:rsid w:val="7CAE5A9D"/>
    <w:rsid w:val="7CB06AD8"/>
    <w:rsid w:val="7CBA3AAE"/>
    <w:rsid w:val="7CBE1CFC"/>
    <w:rsid w:val="7CCF01D0"/>
    <w:rsid w:val="7D216242"/>
    <w:rsid w:val="7D306F70"/>
    <w:rsid w:val="7D385A7E"/>
    <w:rsid w:val="7D5B6EBA"/>
    <w:rsid w:val="7D6D68E0"/>
    <w:rsid w:val="7D87797E"/>
    <w:rsid w:val="7DA44043"/>
    <w:rsid w:val="7DC45F5E"/>
    <w:rsid w:val="7DD31FFC"/>
    <w:rsid w:val="7DDE3C10"/>
    <w:rsid w:val="7DEE43F4"/>
    <w:rsid w:val="7E1A373A"/>
    <w:rsid w:val="7E235FBD"/>
    <w:rsid w:val="7E255C41"/>
    <w:rsid w:val="7E38467B"/>
    <w:rsid w:val="7E4813F4"/>
    <w:rsid w:val="7E541527"/>
    <w:rsid w:val="7E54777F"/>
    <w:rsid w:val="7E5570D2"/>
    <w:rsid w:val="7E625019"/>
    <w:rsid w:val="7E6C6CF7"/>
    <w:rsid w:val="7E807018"/>
    <w:rsid w:val="7E9633BF"/>
    <w:rsid w:val="7E9D2A8F"/>
    <w:rsid w:val="7EC23E83"/>
    <w:rsid w:val="7ECD2214"/>
    <w:rsid w:val="7ED83E28"/>
    <w:rsid w:val="7EDA7669"/>
    <w:rsid w:val="7F04016F"/>
    <w:rsid w:val="7F0B098E"/>
    <w:rsid w:val="7F0E6500"/>
    <w:rsid w:val="7F190115"/>
    <w:rsid w:val="7F1B0ACE"/>
    <w:rsid w:val="7F223749"/>
    <w:rsid w:val="7F36010F"/>
    <w:rsid w:val="7F392BC8"/>
    <w:rsid w:val="7F8E31F5"/>
    <w:rsid w:val="7F8E4D4A"/>
    <w:rsid w:val="7F916993"/>
    <w:rsid w:val="7F9C7108"/>
    <w:rsid w:val="7FB1158D"/>
    <w:rsid w:val="7FB31635"/>
    <w:rsid w:val="7FB725F7"/>
    <w:rsid w:val="7FDC5C54"/>
    <w:rsid w:val="7FE63FE5"/>
    <w:rsid w:val="7FEE7E86"/>
    <w:rsid w:val="7FF31FF6"/>
    <w:rsid w:val="7FFD2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outlineLvl w:val="0"/>
    </w:pPr>
    <w:rPr>
      <w:b/>
    </w:rPr>
  </w:style>
  <w:style w:type="paragraph" w:styleId="6">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3" w:lineRule="auto"/>
      <w:outlineLvl w:val="2"/>
    </w:pPr>
    <w:rPr>
      <w:b/>
      <w:bCs/>
      <w:sz w:val="32"/>
      <w:szCs w:val="32"/>
    </w:rPr>
  </w:style>
  <w:style w:type="paragraph" w:styleId="8">
    <w:name w:val="heading 4"/>
    <w:basedOn w:val="1"/>
    <w:next w:val="1"/>
    <w:qFormat/>
    <w:uiPriority w:val="0"/>
    <w:pPr>
      <w:keepNext/>
      <w:keepLines/>
      <w:tabs>
        <w:tab w:val="left" w:pos="864"/>
      </w:tabs>
      <w:spacing w:before="280" w:after="290" w:line="377" w:lineRule="auto"/>
      <w:ind w:left="1582" w:leftChars="300" w:hanging="862"/>
      <w:outlineLvl w:val="3"/>
    </w:pPr>
    <w:rPr>
      <w:rFonts w:ascii="Arial" w:hAnsi="Arial"/>
      <w:b/>
      <w:bCs/>
      <w:sz w:val="28"/>
      <w:szCs w:val="28"/>
    </w:rPr>
  </w:style>
  <w:style w:type="character" w:default="1" w:styleId="31">
    <w:name w:val="Default Paragraph Font"/>
    <w:unhideWhenUsed/>
    <w:qFormat/>
    <w:uiPriority w:val="1"/>
  </w:style>
  <w:style w:type="table" w:default="1" w:styleId="46">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3"/>
    <w:qFormat/>
    <w:uiPriority w:val="99"/>
    <w:pPr>
      <w:spacing w:before="25" w:after="25"/>
      <w:jc w:val="left"/>
    </w:pPr>
    <w:rPr>
      <w:bCs/>
      <w:spacing w:val="10"/>
      <w:kern w:val="0"/>
      <w:sz w:val="24"/>
    </w:rPr>
  </w:style>
  <w:style w:type="paragraph" w:styleId="3">
    <w:name w:val="Body Text Indent"/>
    <w:basedOn w:val="1"/>
    <w:next w:val="4"/>
    <w:qFormat/>
    <w:uiPriority w:val="0"/>
    <w:pPr>
      <w:spacing w:line="200" w:lineRule="exact"/>
      <w:ind w:firstLine="301"/>
    </w:pPr>
    <w:rPr>
      <w:rFonts w:ascii="宋体" w:hAnsi="Courier New"/>
      <w:spacing w:val="-4"/>
      <w:sz w:val="18"/>
      <w:szCs w:val="20"/>
    </w:rPr>
  </w:style>
  <w:style w:type="paragraph" w:styleId="4">
    <w:name w:val="envelope return"/>
    <w:basedOn w:val="1"/>
    <w:qFormat/>
    <w:uiPriority w:val="0"/>
    <w:pPr>
      <w:snapToGrid w:val="0"/>
    </w:pPr>
    <w:rPr>
      <w:rFonts w:ascii="Arial" w:hAnsi="Arial"/>
    </w:rPr>
  </w:style>
  <w:style w:type="paragraph" w:styleId="9">
    <w:name w:val="Body Text First Indent"/>
    <w:basedOn w:val="10"/>
    <w:qFormat/>
    <w:uiPriority w:val="99"/>
    <w:pPr>
      <w:ind w:firstLine="420" w:firstLineChars="100"/>
    </w:pPr>
  </w:style>
  <w:style w:type="paragraph" w:styleId="10">
    <w:name w:val="Body Text"/>
    <w:basedOn w:val="1"/>
    <w:next w:val="1"/>
    <w:qFormat/>
    <w:uiPriority w:val="0"/>
    <w:pPr>
      <w:jc w:val="center"/>
    </w:pPr>
  </w:style>
  <w:style w:type="paragraph" w:styleId="11">
    <w:name w:val="Normal Indent"/>
    <w:basedOn w:val="1"/>
    <w:qFormat/>
    <w:uiPriority w:val="0"/>
    <w:pPr>
      <w:ind w:firstLine="420" w:firstLineChars="200"/>
    </w:pPr>
  </w:style>
  <w:style w:type="paragraph" w:styleId="12">
    <w:name w:val="List Bullet"/>
    <w:basedOn w:val="1"/>
    <w:qFormat/>
    <w:uiPriority w:val="0"/>
    <w:pPr>
      <w:numPr>
        <w:ilvl w:val="0"/>
        <w:numId w:val="1"/>
      </w:numPr>
    </w:pPr>
  </w:style>
  <w:style w:type="paragraph" w:styleId="13">
    <w:name w:val="Document Map"/>
    <w:basedOn w:val="1"/>
    <w:qFormat/>
    <w:uiPriority w:val="0"/>
    <w:pPr>
      <w:shd w:val="clear" w:color="auto" w:fill="000080"/>
    </w:pPr>
  </w:style>
  <w:style w:type="paragraph" w:styleId="14">
    <w:name w:val="annotation text"/>
    <w:basedOn w:val="1"/>
    <w:qFormat/>
    <w:uiPriority w:val="0"/>
    <w:pPr>
      <w:jc w:val="left"/>
    </w:pPr>
  </w:style>
  <w:style w:type="paragraph" w:styleId="15">
    <w:name w:val="List 2"/>
    <w:basedOn w:val="1"/>
    <w:qFormat/>
    <w:uiPriority w:val="0"/>
    <w:pPr>
      <w:ind w:left="100" w:leftChars="200" w:hanging="200" w:hangingChars="200"/>
    </w:pPr>
  </w:style>
  <w:style w:type="paragraph" w:styleId="16">
    <w:name w:val="Block Text"/>
    <w:basedOn w:val="1"/>
    <w:qFormat/>
    <w:uiPriority w:val="0"/>
    <w:pPr>
      <w:adjustRightInd w:val="0"/>
      <w:spacing w:line="360" w:lineRule="auto"/>
      <w:ind w:left="630" w:right="-609" w:firstLine="420"/>
    </w:pPr>
    <w:rPr>
      <w:rFonts w:ascii="仿宋_GB2312" w:eastAsia="仿宋_GB2312"/>
      <w:kern w:val="0"/>
      <w:szCs w:val="20"/>
    </w:rPr>
  </w:style>
  <w:style w:type="paragraph" w:styleId="17">
    <w:name w:val="toc 3"/>
    <w:basedOn w:val="1"/>
    <w:next w:val="1"/>
    <w:qFormat/>
    <w:uiPriority w:val="0"/>
    <w:pPr>
      <w:tabs>
        <w:tab w:val="right" w:leader="dot" w:pos="9060"/>
      </w:tabs>
      <w:spacing w:line="500" w:lineRule="exact"/>
    </w:pPr>
    <w:rPr>
      <w:rFonts w:eastAsia="仿宋_GB2312"/>
    </w:rPr>
  </w:style>
  <w:style w:type="paragraph" w:styleId="18">
    <w:name w:val="Plain Text"/>
    <w:basedOn w:val="1"/>
    <w:next w:val="19"/>
    <w:link w:val="58"/>
    <w:qFormat/>
    <w:uiPriority w:val="0"/>
    <w:rPr>
      <w:rFonts w:ascii="宋体" w:hAnsi="Courier New"/>
      <w:szCs w:val="20"/>
    </w:rPr>
  </w:style>
  <w:style w:type="paragraph" w:styleId="19">
    <w:name w:val="Date"/>
    <w:basedOn w:val="1"/>
    <w:next w:val="1"/>
    <w:qFormat/>
    <w:uiPriority w:val="0"/>
    <w:pPr>
      <w:ind w:left="100" w:leftChars="2500"/>
    </w:pPr>
    <w:rPr>
      <w:rFonts w:ascii="宋体" w:hAnsi="Courier New"/>
      <w:bCs/>
      <w:sz w:val="24"/>
      <w:szCs w:val="20"/>
    </w:rPr>
  </w:style>
  <w:style w:type="paragraph" w:styleId="20">
    <w:name w:val="Body Text Indent 2"/>
    <w:basedOn w:val="1"/>
    <w:qFormat/>
    <w:uiPriority w:val="0"/>
    <w:pPr>
      <w:ind w:firstLine="412" w:firstLineChars="196"/>
    </w:pPr>
  </w:style>
  <w:style w:type="paragraph" w:styleId="21">
    <w:name w:val="Balloon Text"/>
    <w:basedOn w:val="1"/>
    <w:qFormat/>
    <w:uiPriority w:val="0"/>
    <w:rPr>
      <w:sz w:val="18"/>
      <w:szCs w:val="18"/>
    </w:rPr>
  </w:style>
  <w:style w:type="paragraph" w:styleId="22">
    <w:name w:val="footer"/>
    <w:basedOn w:val="1"/>
    <w:next w:val="1"/>
    <w:link w:val="59"/>
    <w:qFormat/>
    <w:uiPriority w:val="0"/>
    <w:pPr>
      <w:tabs>
        <w:tab w:val="center" w:pos="4153"/>
        <w:tab w:val="right" w:pos="8306"/>
      </w:tabs>
      <w:snapToGrid w:val="0"/>
      <w:jc w:val="left"/>
    </w:pPr>
    <w:rPr>
      <w:rFonts w:ascii="宋体" w:hAnsi="Courier New"/>
      <w:sz w:val="18"/>
      <w:szCs w:val="20"/>
    </w:rPr>
  </w:style>
  <w:style w:type="paragraph" w:styleId="23">
    <w:name w:val="Body Text First Indent 2"/>
    <w:basedOn w:val="3"/>
    <w:next w:val="1"/>
    <w:unhideWhenUsed/>
    <w:qFormat/>
    <w:uiPriority w:val="99"/>
    <w:pPr>
      <w:ind w:firstLine="420" w:firstLineChars="200"/>
    </w:pPr>
  </w:style>
  <w:style w:type="paragraph" w:styleId="24">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25">
    <w:name w:val="toc 1"/>
    <w:basedOn w:val="1"/>
    <w:next w:val="1"/>
    <w:qFormat/>
    <w:uiPriority w:val="0"/>
    <w:pPr>
      <w:tabs>
        <w:tab w:val="left" w:pos="882"/>
        <w:tab w:val="right" w:leader="dot" w:pos="9628"/>
      </w:tabs>
      <w:spacing w:line="480" w:lineRule="auto"/>
    </w:pPr>
  </w:style>
  <w:style w:type="paragraph" w:styleId="26">
    <w:name w:val="toc 4"/>
    <w:basedOn w:val="1"/>
    <w:next w:val="1"/>
    <w:unhideWhenUsed/>
    <w:qFormat/>
    <w:uiPriority w:val="39"/>
    <w:pPr>
      <w:ind w:left="1260" w:leftChars="600"/>
    </w:pPr>
  </w:style>
  <w:style w:type="paragraph" w:styleId="27">
    <w:name w:val="Body Text Indent 3"/>
    <w:basedOn w:val="1"/>
    <w:qFormat/>
    <w:uiPriority w:val="0"/>
    <w:pPr>
      <w:spacing w:line="400" w:lineRule="exact"/>
      <w:ind w:firstLine="420" w:firstLineChars="200"/>
    </w:pPr>
    <w:rPr>
      <w:rFonts w:ascii="宋体" w:hAnsi="宋体"/>
      <w:szCs w:val="32"/>
    </w:rPr>
  </w:style>
  <w:style w:type="paragraph" w:styleId="28">
    <w:name w:val="HTML Preformatted"/>
    <w:basedOn w:val="1"/>
    <w:link w:val="5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9">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0">
    <w:name w:val="Title"/>
    <w:basedOn w:val="1"/>
    <w:next w:val="1"/>
    <w:qFormat/>
    <w:uiPriority w:val="0"/>
    <w:pPr>
      <w:spacing w:before="240" w:after="60"/>
      <w:jc w:val="center"/>
      <w:outlineLvl w:val="0"/>
    </w:pPr>
    <w:rPr>
      <w:rFonts w:ascii="Cambria" w:hAnsi="Cambria"/>
      <w:b/>
      <w:bCs/>
      <w:sz w:val="32"/>
      <w:szCs w:val="32"/>
    </w:rPr>
  </w:style>
  <w:style w:type="character" w:styleId="32">
    <w:name w:val="Strong"/>
    <w:qFormat/>
    <w:uiPriority w:val="0"/>
    <w:rPr>
      <w:rFonts w:ascii="仿宋_GB2312" w:eastAsia="仿宋_GB2312"/>
      <w:bCs/>
      <w:sz w:val="32"/>
      <w:szCs w:val="32"/>
    </w:rPr>
  </w:style>
  <w:style w:type="character" w:styleId="33">
    <w:name w:val="page number"/>
    <w:basedOn w:val="31"/>
    <w:qFormat/>
    <w:uiPriority w:val="0"/>
  </w:style>
  <w:style w:type="character" w:styleId="34">
    <w:name w:val="FollowedHyperlink"/>
    <w:qFormat/>
    <w:uiPriority w:val="0"/>
    <w:rPr>
      <w:rFonts w:ascii="仿宋_GB2312" w:eastAsia="仿宋_GB2312"/>
      <w:b/>
      <w:color w:val="800080"/>
      <w:sz w:val="32"/>
      <w:szCs w:val="32"/>
      <w:u w:val="none"/>
    </w:rPr>
  </w:style>
  <w:style w:type="character" w:styleId="35">
    <w:name w:val="Emphasis"/>
    <w:qFormat/>
    <w:uiPriority w:val="0"/>
    <w:rPr>
      <w:rFonts w:ascii="仿宋_GB2312" w:eastAsia="仿宋_GB2312"/>
      <w:b/>
      <w:color w:val="CC0033"/>
      <w:sz w:val="32"/>
      <w:szCs w:val="32"/>
    </w:rPr>
  </w:style>
  <w:style w:type="character" w:styleId="36">
    <w:name w:val="HTML Definition"/>
    <w:qFormat/>
    <w:uiPriority w:val="0"/>
    <w:rPr>
      <w:rFonts w:ascii="仿宋_GB2312" w:eastAsia="仿宋_GB2312"/>
      <w:b/>
      <w:sz w:val="32"/>
      <w:szCs w:val="32"/>
    </w:rPr>
  </w:style>
  <w:style w:type="character" w:styleId="37">
    <w:name w:val="HTML Typewriter"/>
    <w:qFormat/>
    <w:uiPriority w:val="0"/>
    <w:rPr>
      <w:rFonts w:hint="default" w:ascii="monospace" w:hAnsi="monospace" w:eastAsia="monospace" w:cs="monospace"/>
      <w:b/>
      <w:sz w:val="20"/>
      <w:szCs w:val="32"/>
    </w:rPr>
  </w:style>
  <w:style w:type="character" w:styleId="38">
    <w:name w:val="HTML Acronym"/>
    <w:basedOn w:val="31"/>
    <w:qFormat/>
    <w:uiPriority w:val="0"/>
  </w:style>
  <w:style w:type="character" w:styleId="39">
    <w:name w:val="HTML Variable"/>
    <w:qFormat/>
    <w:uiPriority w:val="0"/>
    <w:rPr>
      <w:rFonts w:ascii="仿宋_GB2312" w:eastAsia="仿宋_GB2312"/>
      <w:b/>
      <w:sz w:val="32"/>
      <w:szCs w:val="32"/>
    </w:rPr>
  </w:style>
  <w:style w:type="character" w:styleId="40">
    <w:name w:val="Hyperlink"/>
    <w:qFormat/>
    <w:uiPriority w:val="0"/>
    <w:rPr>
      <w:rFonts w:ascii="仿宋_GB2312" w:eastAsia="仿宋_GB2312"/>
      <w:b/>
      <w:color w:val="0000FF"/>
      <w:sz w:val="32"/>
      <w:szCs w:val="32"/>
      <w:u w:val="none"/>
    </w:rPr>
  </w:style>
  <w:style w:type="character" w:styleId="41">
    <w:name w:val="HTML Code"/>
    <w:qFormat/>
    <w:uiPriority w:val="0"/>
    <w:rPr>
      <w:rFonts w:hint="default" w:ascii="monospace" w:hAnsi="monospace" w:eastAsia="monospace" w:cs="monospace"/>
      <w:b/>
      <w:sz w:val="20"/>
      <w:szCs w:val="32"/>
    </w:rPr>
  </w:style>
  <w:style w:type="character" w:styleId="42">
    <w:name w:val="annotation reference"/>
    <w:qFormat/>
    <w:uiPriority w:val="0"/>
    <w:rPr>
      <w:sz w:val="21"/>
      <w:szCs w:val="21"/>
    </w:rPr>
  </w:style>
  <w:style w:type="character" w:styleId="43">
    <w:name w:val="HTML Cite"/>
    <w:qFormat/>
    <w:uiPriority w:val="0"/>
    <w:rPr>
      <w:rFonts w:ascii="仿宋_GB2312" w:eastAsia="仿宋_GB2312"/>
      <w:b/>
      <w:sz w:val="32"/>
      <w:szCs w:val="32"/>
    </w:rPr>
  </w:style>
  <w:style w:type="character" w:styleId="44">
    <w:name w:val="HTML Keyboard"/>
    <w:qFormat/>
    <w:uiPriority w:val="0"/>
    <w:rPr>
      <w:rFonts w:ascii="monospace" w:hAnsi="monospace" w:eastAsia="monospace" w:cs="monospace"/>
      <w:b/>
      <w:sz w:val="20"/>
      <w:szCs w:val="32"/>
    </w:rPr>
  </w:style>
  <w:style w:type="character" w:styleId="45">
    <w:name w:val="HTML Sample"/>
    <w:qFormat/>
    <w:uiPriority w:val="0"/>
    <w:rPr>
      <w:rFonts w:hint="default" w:ascii="monospace" w:hAnsi="monospace" w:eastAsia="monospace" w:cs="monospace"/>
      <w:b/>
      <w:sz w:val="32"/>
      <w:szCs w:val="32"/>
    </w:rPr>
  </w:style>
  <w:style w:type="table" w:styleId="47">
    <w:name w:val="Table Grid"/>
    <w:basedOn w:val="4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8">
    <w:name w:val="ca-01"/>
    <w:qFormat/>
    <w:uiPriority w:val="0"/>
    <w:rPr>
      <w:rFonts w:hint="eastAsia" w:ascii="宋体" w:hAnsi="宋体" w:eastAsia="宋体"/>
      <w:b/>
      <w:sz w:val="28"/>
      <w:szCs w:val="28"/>
    </w:rPr>
  </w:style>
  <w:style w:type="character" w:customStyle="1" w:styleId="49">
    <w:name w:val="ca-2"/>
    <w:basedOn w:val="31"/>
    <w:qFormat/>
    <w:uiPriority w:val="0"/>
  </w:style>
  <w:style w:type="character" w:customStyle="1" w:styleId="50">
    <w:name w:val="NormalCharacter"/>
    <w:semiHidden/>
    <w:qFormat/>
    <w:uiPriority w:val="0"/>
    <w:rPr>
      <w:rFonts w:ascii="Calibri" w:hAnsi="Calibri" w:eastAsia="宋体" w:cs="Times New Roman"/>
      <w:kern w:val="2"/>
      <w:sz w:val="21"/>
      <w:szCs w:val="24"/>
      <w:lang w:val="en-US" w:eastAsia="zh-CN" w:bidi="ar-SA"/>
    </w:rPr>
  </w:style>
  <w:style w:type="character" w:customStyle="1" w:styleId="51">
    <w:name w:val="font01"/>
    <w:qFormat/>
    <w:uiPriority w:val="0"/>
    <w:rPr>
      <w:rFonts w:hint="eastAsia" w:ascii="宋体" w:hAnsi="宋体" w:eastAsia="宋体" w:cs="宋体"/>
      <w:b/>
      <w:color w:val="000000"/>
      <w:sz w:val="28"/>
      <w:szCs w:val="28"/>
      <w:u w:val="none"/>
    </w:rPr>
  </w:style>
  <w:style w:type="character" w:customStyle="1" w:styleId="52">
    <w:name w:val="font51"/>
    <w:qFormat/>
    <w:uiPriority w:val="0"/>
    <w:rPr>
      <w:rFonts w:hint="eastAsia" w:ascii="宋体" w:hAnsi="宋体" w:eastAsia="宋体" w:cs="宋体"/>
      <w:color w:val="000000"/>
      <w:sz w:val="20"/>
      <w:szCs w:val="20"/>
      <w:u w:val="none"/>
    </w:rPr>
  </w:style>
  <w:style w:type="character" w:customStyle="1" w:styleId="53">
    <w:name w:val="HTML 预设格式 字符"/>
    <w:link w:val="28"/>
    <w:qFormat/>
    <w:uiPriority w:val="0"/>
    <w:rPr>
      <w:rFonts w:ascii="黑体" w:hAnsi="Courier New" w:eastAsia="黑体" w:cs="Courier New"/>
      <w:lang w:val="en-US" w:eastAsia="zh-CN" w:bidi="ar-SA"/>
    </w:rPr>
  </w:style>
  <w:style w:type="character" w:customStyle="1" w:styleId="54">
    <w:name w:val="e47a01"/>
    <w:qFormat/>
    <w:uiPriority w:val="0"/>
    <w:rPr>
      <w:rFonts w:ascii="Arial" w:hAnsi="Arial"/>
      <w:sz w:val="14"/>
    </w:rPr>
  </w:style>
  <w:style w:type="character" w:customStyle="1" w:styleId="55">
    <w:name w:val="text11"/>
    <w:qFormat/>
    <w:uiPriority w:val="0"/>
    <w:rPr>
      <w:rFonts w:hint="default" w:ascii="Verdana" w:hAnsi="Verdana"/>
      <w:color w:val="4E4E4E"/>
      <w:sz w:val="18"/>
    </w:rPr>
  </w:style>
  <w:style w:type="character" w:customStyle="1" w:styleId="56">
    <w:name w:val="ca-21"/>
    <w:qFormat/>
    <w:uiPriority w:val="0"/>
    <w:rPr>
      <w:rFonts w:hint="eastAsia" w:ascii="宋体-18030" w:hAnsi="宋体-18030" w:eastAsia="宋体-18030" w:cs="宋体-18030"/>
      <w:sz w:val="24"/>
      <w:szCs w:val="24"/>
    </w:rPr>
  </w:style>
  <w:style w:type="character" w:customStyle="1" w:styleId="57">
    <w:name w:val="style6"/>
    <w:basedOn w:val="31"/>
    <w:qFormat/>
    <w:uiPriority w:val="0"/>
  </w:style>
  <w:style w:type="character" w:customStyle="1" w:styleId="58">
    <w:name w:val="纯文本 字符"/>
    <w:link w:val="18"/>
    <w:qFormat/>
    <w:uiPriority w:val="0"/>
    <w:rPr>
      <w:rFonts w:ascii="宋体" w:hAnsi="Courier New" w:eastAsia="宋体"/>
      <w:kern w:val="2"/>
      <w:sz w:val="21"/>
      <w:lang w:val="en-US" w:eastAsia="zh-CN" w:bidi="ar-SA"/>
    </w:rPr>
  </w:style>
  <w:style w:type="character" w:customStyle="1" w:styleId="59">
    <w:name w:val="页脚 字符"/>
    <w:link w:val="22"/>
    <w:qFormat/>
    <w:uiPriority w:val="0"/>
    <w:rPr>
      <w:rFonts w:ascii="宋体" w:hAnsi="Courier New" w:eastAsia="宋体"/>
      <w:kern w:val="2"/>
      <w:sz w:val="18"/>
      <w:lang w:val="en-US" w:eastAsia="zh-CN" w:bidi="ar-SA"/>
    </w:rPr>
  </w:style>
  <w:style w:type="character" w:customStyle="1" w:styleId="60">
    <w:name w:val="ca-11"/>
    <w:qFormat/>
    <w:uiPriority w:val="0"/>
    <w:rPr>
      <w:rFonts w:hint="eastAsia" w:ascii="宋体" w:hAnsi="宋体" w:eastAsia="宋体"/>
      <w:sz w:val="24"/>
      <w:szCs w:val="24"/>
    </w:rPr>
  </w:style>
  <w:style w:type="character" w:customStyle="1" w:styleId="61">
    <w:name w:val="hover1"/>
    <w:qFormat/>
    <w:uiPriority w:val="0"/>
    <w:rPr>
      <w:rFonts w:ascii="仿宋_GB2312" w:eastAsia="仿宋_GB2312"/>
      <w:b/>
      <w:color w:val="2590EB"/>
      <w:sz w:val="32"/>
      <w:szCs w:val="32"/>
    </w:rPr>
  </w:style>
  <w:style w:type="character" w:customStyle="1" w:styleId="62">
    <w:name w:val="font61"/>
    <w:qFormat/>
    <w:uiPriority w:val="0"/>
    <w:rPr>
      <w:rFonts w:hint="eastAsia" w:ascii="宋体" w:hAnsi="宋体" w:eastAsia="宋体" w:cs="宋体"/>
      <w:b/>
      <w:color w:val="000000"/>
      <w:sz w:val="20"/>
      <w:szCs w:val="20"/>
      <w:u w:val="none"/>
    </w:rPr>
  </w:style>
  <w:style w:type="character" w:customStyle="1" w:styleId="63">
    <w:name w:val="hover2"/>
    <w:qFormat/>
    <w:uiPriority w:val="0"/>
    <w:rPr>
      <w:rFonts w:ascii="仿宋_GB2312" w:eastAsia="仿宋_GB2312"/>
      <w:b/>
      <w:color w:val="2590EB"/>
      <w:sz w:val="32"/>
      <w:szCs w:val="32"/>
    </w:rPr>
  </w:style>
  <w:style w:type="character" w:customStyle="1" w:styleId="64">
    <w:name w:val="hover"/>
    <w:qFormat/>
    <w:uiPriority w:val="0"/>
    <w:rPr>
      <w:rFonts w:ascii="仿宋_GB2312" w:eastAsia="仿宋_GB2312"/>
      <w:b/>
      <w:color w:val="2590EB"/>
      <w:sz w:val="32"/>
      <w:szCs w:val="32"/>
    </w:rPr>
  </w:style>
  <w:style w:type="character" w:customStyle="1" w:styleId="65">
    <w:name w:val="font11"/>
    <w:qFormat/>
    <w:uiPriority w:val="0"/>
    <w:rPr>
      <w:rFonts w:hint="eastAsia" w:ascii="宋体" w:hAnsi="宋体" w:eastAsia="宋体" w:cs="宋体"/>
      <w:color w:val="000000"/>
      <w:sz w:val="22"/>
      <w:szCs w:val="22"/>
      <w:u w:val="none"/>
    </w:rPr>
  </w:style>
  <w:style w:type="character" w:customStyle="1" w:styleId="66">
    <w:name w:val="font31"/>
    <w:qFormat/>
    <w:uiPriority w:val="0"/>
    <w:rPr>
      <w:rFonts w:hint="default" w:ascii="Times New Roman" w:hAnsi="Times New Roman" w:eastAsia="仿宋_GB2312" w:cs="Times New Roman"/>
      <w:b/>
      <w:color w:val="000000"/>
      <w:sz w:val="28"/>
      <w:szCs w:val="28"/>
      <w:u w:val="none"/>
    </w:rPr>
  </w:style>
  <w:style w:type="character" w:customStyle="1" w:styleId="67">
    <w:name w:val="标题 3 Char Char"/>
    <w:qFormat/>
    <w:uiPriority w:val="0"/>
    <w:rPr>
      <w:rFonts w:eastAsia="宋体"/>
      <w:b/>
      <w:bCs/>
      <w:kern w:val="2"/>
      <w:sz w:val="32"/>
      <w:szCs w:val="32"/>
      <w:lang w:val="en-US" w:eastAsia="zh-CN" w:bidi="ar-SA"/>
    </w:rPr>
  </w:style>
  <w:style w:type="character" w:customStyle="1" w:styleId="68">
    <w:name w:val="zi21"/>
    <w:qFormat/>
    <w:uiPriority w:val="0"/>
    <w:rPr>
      <w:rFonts w:hint="default" w:ascii="_x0010_" w:hAnsi="_x0010_"/>
      <w:b/>
      <w:bCs/>
      <w:color w:val="0099DD"/>
      <w:sz w:val="18"/>
      <w:szCs w:val="18"/>
      <w:u w:val="none"/>
    </w:rPr>
  </w:style>
  <w:style w:type="character" w:customStyle="1" w:styleId="69">
    <w:name w:val="hover3"/>
    <w:basedOn w:val="31"/>
    <w:qFormat/>
    <w:uiPriority w:val="0"/>
  </w:style>
  <w:style w:type="character" w:customStyle="1" w:styleId="70">
    <w:name w:val="style81"/>
    <w:qFormat/>
    <w:uiPriority w:val="0"/>
    <w:rPr>
      <w:sz w:val="21"/>
      <w:szCs w:val="21"/>
    </w:rPr>
  </w:style>
  <w:style w:type="character" w:customStyle="1" w:styleId="71">
    <w:name w:val="font21"/>
    <w:qFormat/>
    <w:uiPriority w:val="0"/>
    <w:rPr>
      <w:rFonts w:ascii="Arial" w:hAnsi="Arial" w:eastAsia="仿宋_GB2312" w:cs="Arial"/>
      <w:b/>
      <w:color w:val="000000"/>
      <w:sz w:val="22"/>
      <w:szCs w:val="22"/>
      <w:u w:val="none"/>
    </w:rPr>
  </w:style>
  <w:style w:type="paragraph" w:customStyle="1" w:styleId="72">
    <w:name w:val="7"/>
    <w:basedOn w:val="1"/>
    <w:qFormat/>
    <w:uiPriority w:val="0"/>
    <w:pPr>
      <w:ind w:firstLine="200" w:firstLineChars="200"/>
    </w:pPr>
    <w:rPr>
      <w:rFonts w:ascii="Tahoma" w:hAnsi="Tahoma"/>
      <w:szCs w:val="20"/>
    </w:rPr>
  </w:style>
  <w:style w:type="paragraph" w:customStyle="1" w:styleId="7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
    <w:name w:val="正文1"/>
    <w:basedOn w:val="1"/>
    <w:qFormat/>
    <w:uiPriority w:val="0"/>
    <w:rPr>
      <w:rFonts w:eastAsia="Times New Roman" w:cs="宋体"/>
      <w:kern w:val="0"/>
      <w:szCs w:val="20"/>
      <w:lang w:eastAsia="en-US"/>
    </w:rPr>
  </w:style>
  <w:style w:type="paragraph" w:customStyle="1" w:styleId="7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76">
    <w:name w:val="列出段落1"/>
    <w:basedOn w:val="1"/>
    <w:qFormat/>
    <w:uiPriority w:val="0"/>
    <w:pPr>
      <w:ind w:firstLine="420" w:firstLineChars="200"/>
    </w:pPr>
  </w:style>
  <w:style w:type="paragraph" w:customStyle="1" w:styleId="77">
    <w:name w:val="正文缩进1"/>
    <w:basedOn w:val="1"/>
    <w:qFormat/>
    <w:uiPriority w:val="0"/>
    <w:pPr>
      <w:autoSpaceDE w:val="0"/>
      <w:autoSpaceDN w:val="0"/>
      <w:adjustRightInd w:val="0"/>
      <w:ind w:firstLine="420"/>
      <w:jc w:val="left"/>
    </w:pPr>
    <w:rPr>
      <w:rFonts w:ascii="宋体"/>
      <w:kern w:val="0"/>
      <w:sz w:val="24"/>
    </w:rPr>
  </w:style>
  <w:style w:type="paragraph" w:customStyle="1" w:styleId="7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
    <w:name w:val="Default"/>
    <w:next w:val="19"/>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80">
    <w:name w:val="正文文本缩进1"/>
    <w:basedOn w:val="1"/>
    <w:qFormat/>
    <w:uiPriority w:val="0"/>
    <w:pPr>
      <w:adjustRightInd w:val="0"/>
      <w:snapToGrid w:val="0"/>
      <w:spacing w:line="400" w:lineRule="exact"/>
      <w:ind w:firstLine="560" w:firstLineChars="200"/>
    </w:pPr>
    <w:rPr>
      <w:sz w:val="28"/>
    </w:rPr>
  </w:style>
  <w:style w:type="paragraph" w:customStyle="1" w:styleId="81">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Char1 Char Char Char"/>
    <w:basedOn w:val="13"/>
    <w:qFormat/>
    <w:uiPriority w:val="0"/>
    <w:rPr>
      <w:rFonts w:ascii="Tahoma" w:hAnsi="Tahoma" w:cs="Tahoma"/>
      <w:kern w:val="0"/>
      <w:sz w:val="18"/>
    </w:rPr>
  </w:style>
  <w:style w:type="paragraph" w:customStyle="1" w:styleId="83">
    <w:name w:val="List Paragraph1"/>
    <w:basedOn w:val="1"/>
    <w:qFormat/>
    <w:uiPriority w:val="34"/>
    <w:pPr>
      <w:ind w:firstLine="420" w:firstLineChars="200"/>
    </w:pPr>
    <w:rPr>
      <w:rFonts w:ascii="Calibri" w:hAnsi="Calibri"/>
    </w:rPr>
  </w:style>
  <w:style w:type="paragraph" w:customStyle="1" w:styleId="84">
    <w:name w:val="正文首行缩进 21"/>
    <w:basedOn w:val="80"/>
    <w:qFormat/>
    <w:uiPriority w:val="0"/>
    <w:pPr>
      <w:ind w:firstLine="420"/>
    </w:pPr>
  </w:style>
  <w:style w:type="paragraph" w:customStyle="1" w:styleId="85">
    <w:name w:val="正文序号 1"/>
    <w:basedOn w:val="1"/>
    <w:qFormat/>
    <w:uiPriority w:val="0"/>
    <w:pPr>
      <w:numPr>
        <w:ilvl w:val="0"/>
        <w:numId w:val="2"/>
      </w:numPr>
      <w:spacing w:before="60"/>
    </w:pPr>
  </w:style>
  <w:style w:type="paragraph" w:customStyle="1" w:styleId="86">
    <w:name w:val="正文序号 2"/>
    <w:basedOn w:val="1"/>
    <w:qFormat/>
    <w:uiPriority w:val="0"/>
    <w:pPr>
      <w:numPr>
        <w:ilvl w:val="1"/>
        <w:numId w:val="2"/>
      </w:numPr>
      <w:spacing w:before="60"/>
    </w:pPr>
  </w:style>
  <w:style w:type="paragraph" w:customStyle="1" w:styleId="87">
    <w:name w:val="Char1"/>
    <w:basedOn w:val="1"/>
    <w:qFormat/>
    <w:uiPriority w:val="0"/>
    <w:rPr>
      <w:rFonts w:ascii="仿宋_GB2312" w:eastAsia="仿宋_GB2312"/>
      <w:b/>
      <w:sz w:val="32"/>
      <w:szCs w:val="32"/>
    </w:rPr>
  </w:style>
  <w:style w:type="paragraph" w:customStyle="1" w:styleId="88">
    <w:name w:val="text"/>
    <w:basedOn w:val="1"/>
    <w:qFormat/>
    <w:uiPriority w:val="0"/>
    <w:pPr>
      <w:widowControl/>
      <w:spacing w:before="100" w:beforeAutospacing="1" w:after="100" w:afterAutospacing="1"/>
      <w:jc w:val="left"/>
    </w:pPr>
    <w:rPr>
      <w:rFonts w:ascii="ˎ̥" w:hAnsi="ˎ̥" w:cs="宋体"/>
      <w:color w:val="000000"/>
      <w:kern w:val="0"/>
      <w:sz w:val="18"/>
      <w:szCs w:val="18"/>
    </w:rPr>
  </w:style>
  <w:style w:type="paragraph" w:customStyle="1" w:styleId="89">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Char Char Char Char Char Char Char Char"/>
    <w:basedOn w:val="1"/>
    <w:qFormat/>
    <w:uiPriority w:val="0"/>
    <w:pPr>
      <w:adjustRightInd w:val="0"/>
      <w:spacing w:line="360" w:lineRule="auto"/>
    </w:pPr>
    <w:rPr>
      <w:szCs w:val="20"/>
    </w:rPr>
  </w:style>
  <w:style w:type="paragraph" w:customStyle="1" w:styleId="91">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92">
    <w:name w:val="段"/>
    <w:qFormat/>
    <w:uiPriority w:val="99"/>
    <w:pPr>
      <w:autoSpaceDE w:val="0"/>
      <w:autoSpaceDN w:val="0"/>
      <w:ind w:firstLine="200" w:firstLineChars="200"/>
      <w:jc w:val="both"/>
    </w:pPr>
    <w:rPr>
      <w:rFonts w:ascii="宋体" w:hAnsi="Times New Roman" w:eastAsia="宋体" w:cs="Times New Roman"/>
      <w:kern w:val="2"/>
      <w:sz w:val="22"/>
      <w:szCs w:val="22"/>
      <w:lang w:val="en-US" w:eastAsia="zh-CN" w:bidi="ar-SA"/>
    </w:rPr>
  </w:style>
  <w:style w:type="paragraph" w:customStyle="1" w:styleId="93">
    <w:name w:val="1"/>
    <w:basedOn w:val="1"/>
    <w:next w:val="18"/>
    <w:qFormat/>
    <w:uiPriority w:val="0"/>
    <w:rPr>
      <w:rFonts w:ascii="宋体" w:hAnsi="Courier New"/>
      <w:szCs w:val="20"/>
    </w:rPr>
  </w:style>
  <w:style w:type="paragraph" w:customStyle="1" w:styleId="94">
    <w:name w:val="表中文字"/>
    <w:basedOn w:val="1"/>
    <w:qFormat/>
    <w:uiPriority w:val="0"/>
    <w:pPr>
      <w:spacing w:line="360" w:lineRule="auto"/>
    </w:pPr>
    <w:rPr>
      <w:bCs/>
    </w:rPr>
  </w:style>
  <w:style w:type="paragraph" w:customStyle="1" w:styleId="95">
    <w:name w:val="二级条标题"/>
    <w:basedOn w:val="1"/>
    <w:next w:val="92"/>
    <w:qFormat/>
    <w:uiPriority w:val="99"/>
    <w:pPr>
      <w:tabs>
        <w:tab w:val="left" w:pos="360"/>
      </w:tabs>
      <w:outlineLvl w:val="3"/>
    </w:pPr>
  </w:style>
  <w:style w:type="paragraph" w:customStyle="1" w:styleId="96">
    <w:name w:val="xl30"/>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97">
    <w:name w:val="纯文本1"/>
    <w:basedOn w:val="1"/>
    <w:qFormat/>
    <w:uiPriority w:val="0"/>
    <w:pPr>
      <w:widowControl/>
      <w:spacing w:line="360" w:lineRule="auto"/>
      <w:jc w:val="left"/>
    </w:pPr>
    <w:rPr>
      <w:kern w:val="0"/>
      <w:sz w:val="20"/>
      <w:szCs w:val="21"/>
    </w:rPr>
  </w:style>
  <w:style w:type="paragraph" w:customStyle="1" w:styleId="98">
    <w:name w:val="3"/>
    <w:basedOn w:val="1"/>
    <w:next w:val="18"/>
    <w:qFormat/>
    <w:uiPriority w:val="0"/>
    <w:rPr>
      <w:rFonts w:ascii="宋体" w:hAnsi="Courier New"/>
      <w:szCs w:val="20"/>
    </w:rPr>
  </w:style>
  <w:style w:type="paragraph" w:customStyle="1" w:styleId="99">
    <w:name w:val="正文序号 3"/>
    <w:basedOn w:val="1"/>
    <w:qFormat/>
    <w:uiPriority w:val="0"/>
    <w:pPr>
      <w:numPr>
        <w:ilvl w:val="2"/>
        <w:numId w:val="2"/>
      </w:numPr>
      <w:spacing w:before="60"/>
    </w:pPr>
  </w:style>
  <w:style w:type="paragraph" w:customStyle="1" w:styleId="100">
    <w:name w:val="p0"/>
    <w:basedOn w:val="1"/>
    <w:qFormat/>
    <w:uiPriority w:val="0"/>
    <w:pPr>
      <w:widowControl/>
      <w:jc w:val="left"/>
    </w:pPr>
    <w:rPr>
      <w:kern w:val="0"/>
      <w:sz w:val="20"/>
      <w:szCs w:val="20"/>
    </w:rPr>
  </w:style>
  <w:style w:type="paragraph" w:customStyle="1" w:styleId="101">
    <w:name w:val="正文序号 4"/>
    <w:basedOn w:val="1"/>
    <w:qFormat/>
    <w:uiPriority w:val="0"/>
    <w:pPr>
      <w:numPr>
        <w:ilvl w:val="3"/>
        <w:numId w:val="2"/>
      </w:numPr>
      <w:spacing w:before="60"/>
    </w:pPr>
  </w:style>
  <w:style w:type="paragraph" w:customStyle="1" w:styleId="102">
    <w:name w:val="正文 New"/>
    <w:basedOn w:val="1"/>
    <w:qFormat/>
    <w:uiPriority w:val="0"/>
    <w:pPr>
      <w:spacing w:before="100" w:beforeAutospacing="1" w:after="100" w:afterAutospacing="1" w:line="440" w:lineRule="exact"/>
      <w:ind w:left="357" w:hanging="357"/>
    </w:pPr>
    <w:rPr>
      <w:szCs w:val="21"/>
    </w:rPr>
  </w:style>
  <w:style w:type="paragraph" w:customStyle="1" w:styleId="103">
    <w:name w:val="列出段落2"/>
    <w:basedOn w:val="1"/>
    <w:qFormat/>
    <w:uiPriority w:val="0"/>
    <w:pPr>
      <w:ind w:firstLine="420" w:firstLineChars="200"/>
    </w:pPr>
    <w:rPr>
      <w:rFonts w:ascii="Calibri" w:hAnsi="Calibri"/>
      <w:szCs w:val="22"/>
    </w:rPr>
  </w:style>
  <w:style w:type="paragraph" w:customStyle="1" w:styleId="104">
    <w:name w:val="Char"/>
    <w:basedOn w:val="1"/>
    <w:qFormat/>
    <w:uiPriority w:val="0"/>
  </w:style>
  <w:style w:type="paragraph" w:customStyle="1" w:styleId="105">
    <w:name w:val="列出段落11"/>
    <w:basedOn w:val="1"/>
    <w:qFormat/>
    <w:uiPriority w:val="99"/>
    <w:pPr>
      <w:widowControl/>
      <w:ind w:left="720"/>
      <w:contextualSpacing/>
      <w:jc w:val="left"/>
    </w:pPr>
    <w:rPr>
      <w:kern w:val="0"/>
      <w:sz w:val="24"/>
    </w:rPr>
  </w:style>
  <w:style w:type="paragraph" w:customStyle="1" w:styleId="10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07">
    <w:name w:val="b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08">
    <w:name w:val="Table Text"/>
    <w:basedOn w:val="1"/>
    <w:semiHidden/>
    <w:qFormat/>
    <w:uiPriority w:val="0"/>
    <w:rPr>
      <w:rFonts w:ascii="宋体" w:hAnsi="宋体" w:cs="宋体"/>
      <w:sz w:val="20"/>
      <w:szCs w:val="20"/>
      <w:lang w:eastAsia="en-US"/>
    </w:rPr>
  </w:style>
  <w:style w:type="table" w:customStyle="1" w:styleId="109">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73</Pages>
  <Words>8095</Words>
  <Characters>46143</Characters>
  <Lines>384</Lines>
  <Paragraphs>108</Paragraphs>
  <ScaleCrop>false</ScaleCrop>
  <LinksUpToDate>false</LinksUpToDate>
  <CharactersWithSpaces>54130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2017-11-13T04:00:00Z</dcterms:created>
  <dc:creator>00</dc:creator>
  <cp:lastModifiedBy>admn</cp:lastModifiedBy>
  <cp:lastPrinted>2024-04-01T07:34:00Z</cp:lastPrinted>
  <dcterms:modified xsi:type="dcterms:W3CDTF">2024-10-28T09:24:26Z</dcterms:modified>
  <dc:title>广西瑞宏招标咨询有限公司</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y fmtid="{D5CDD505-2E9C-101B-9397-08002B2CF9AE}" pid="3" name="ICV">
    <vt:lpwstr>E10EAB0C8EF54936BC6FD34E3D9C83A5_13</vt:lpwstr>
  </property>
</Properties>
</file>