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0E7">
      <w:pPr>
        <w:kinsoku/>
        <w:topLinePunct/>
        <w:autoSpaceDE/>
        <w:autoSpaceDN/>
        <w:spacing w:line="244" w:lineRule="auto"/>
        <w:ind w:right="86" w:rightChars="41"/>
        <w:rPr>
          <w:rFonts w:ascii="宋体" w:cs="宋体"/>
          <w:color w:val="auto"/>
          <w:highlight w:val="none"/>
        </w:rPr>
      </w:pPr>
    </w:p>
    <w:p w14:paraId="48AD50DE">
      <w:pPr>
        <w:kinsoku/>
        <w:topLinePunct/>
        <w:autoSpaceDE/>
        <w:autoSpaceDN/>
        <w:spacing w:line="245" w:lineRule="auto"/>
        <w:ind w:right="86" w:rightChars="41"/>
        <w:rPr>
          <w:rFonts w:ascii="宋体" w:cs="宋体"/>
          <w:color w:val="auto"/>
          <w:highlight w:val="none"/>
        </w:rPr>
      </w:pPr>
    </w:p>
    <w:p w14:paraId="5A7C53A6">
      <w:pPr>
        <w:kinsoku/>
        <w:topLinePunct/>
        <w:autoSpaceDE/>
        <w:autoSpaceDN/>
        <w:jc w:val="center"/>
        <w:rPr>
          <w:rFonts w:hint="eastAsia" w:ascii="宋体" w:eastAsia="宋体" w:cs="宋体"/>
          <w:b/>
          <w:bCs/>
          <w:color w:val="auto"/>
          <w:sz w:val="60"/>
          <w:szCs w:val="60"/>
          <w:highlight w:val="none"/>
          <w:lang w:eastAsia="zh-CN"/>
        </w:rPr>
      </w:pPr>
      <w:r>
        <w:rPr>
          <w:rFonts w:hint="eastAsia" w:ascii="宋体" w:hAnsi="宋体" w:cs="宋体"/>
          <w:b/>
          <w:bCs/>
          <w:color w:val="auto"/>
          <w:sz w:val="60"/>
          <w:szCs w:val="60"/>
          <w:highlight w:val="none"/>
        </w:rPr>
        <w:t>征集文件</w:t>
      </w:r>
    </w:p>
    <w:p w14:paraId="0F349D99">
      <w:pPr>
        <w:tabs>
          <w:tab w:val="left" w:pos="2155"/>
        </w:tabs>
        <w:kinsoku/>
        <w:topLinePunct/>
        <w:autoSpaceDE/>
        <w:autoSpaceDN/>
        <w:ind w:right="86" w:rightChars="41"/>
        <w:rPr>
          <w:rFonts w:ascii="宋体" w:cs="宋体"/>
          <w:color w:val="auto"/>
          <w:highlight w:val="none"/>
        </w:rPr>
      </w:pPr>
    </w:p>
    <w:p w14:paraId="36EAE771">
      <w:pPr>
        <w:kinsoku/>
        <w:topLinePunct/>
        <w:autoSpaceDE/>
        <w:autoSpaceDN/>
        <w:spacing w:line="106" w:lineRule="exact"/>
        <w:ind w:right="86" w:rightChars="41"/>
        <w:rPr>
          <w:rFonts w:ascii="宋体" w:cs="宋体"/>
          <w:color w:val="auto"/>
          <w:highlight w:val="none"/>
        </w:rPr>
      </w:pPr>
    </w:p>
    <w:tbl>
      <w:tblPr>
        <w:tblStyle w:val="14"/>
        <w:tblW w:w="7393" w:type="dxa"/>
        <w:tblInd w:w="9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5609"/>
      </w:tblGrid>
      <w:tr w14:paraId="73A0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784" w:type="dxa"/>
            <w:vAlign w:val="center"/>
          </w:tcPr>
          <w:p w14:paraId="77BB92FC">
            <w:pPr>
              <w:kinsoku/>
              <w:topLinePunct/>
              <w:autoSpaceDE/>
              <w:autoSpaceDN/>
              <w:spacing w:before="265" w:line="225" w:lineRule="auto"/>
              <w:ind w:left="125" w:right="86" w:rightChars="41"/>
              <w:jc w:val="center"/>
              <w:rPr>
                <w:rFonts w:ascii="宋体" w:cs="宋体"/>
                <w:color w:val="auto"/>
                <w:sz w:val="31"/>
                <w:szCs w:val="31"/>
                <w:highlight w:val="none"/>
              </w:rPr>
            </w:pPr>
            <w:r>
              <w:rPr>
                <w:rFonts w:hint="eastAsia" w:ascii="宋体" w:hAnsi="宋体" w:cs="宋体"/>
                <w:color w:val="auto"/>
                <w:sz w:val="31"/>
                <w:szCs w:val="31"/>
                <w:highlight w:val="none"/>
              </w:rPr>
              <w:t>项目名称：</w:t>
            </w:r>
          </w:p>
        </w:tc>
        <w:tc>
          <w:tcPr>
            <w:tcW w:w="5609" w:type="dxa"/>
            <w:vAlign w:val="center"/>
          </w:tcPr>
          <w:p w14:paraId="23DC6E89">
            <w:pPr>
              <w:kinsoku/>
              <w:topLinePunct/>
              <w:autoSpaceDE/>
              <w:autoSpaceDN/>
              <w:spacing w:before="55" w:line="236" w:lineRule="auto"/>
              <w:ind w:right="86" w:rightChars="41"/>
              <w:jc w:val="both"/>
              <w:rPr>
                <w:rFonts w:hint="eastAsia" w:ascii="宋体" w:eastAsia="宋体" w:cs="宋体"/>
                <w:b w:val="0"/>
                <w:bCs w:val="0"/>
                <w:color w:val="auto"/>
                <w:sz w:val="31"/>
                <w:szCs w:val="31"/>
                <w:highlight w:val="none"/>
                <w:lang w:eastAsia="zh-CN"/>
              </w:rPr>
            </w:pPr>
            <w:r>
              <w:rPr>
                <w:rFonts w:hint="eastAsia" w:ascii="宋体" w:hAnsi="宋体" w:cs="宋体"/>
                <w:b w:val="0"/>
                <w:bCs w:val="0"/>
                <w:color w:val="auto"/>
                <w:sz w:val="31"/>
                <w:szCs w:val="31"/>
                <w:highlight w:val="none"/>
                <w:lang w:eastAsia="zh-CN"/>
              </w:rPr>
              <w:t>防城港市防城区财政投资评审框架协议服务采购</w:t>
            </w:r>
          </w:p>
        </w:tc>
      </w:tr>
      <w:tr w14:paraId="5D47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84" w:type="dxa"/>
            <w:vAlign w:val="center"/>
          </w:tcPr>
          <w:p w14:paraId="4101F9B5">
            <w:pPr>
              <w:kinsoku/>
              <w:topLinePunct/>
              <w:autoSpaceDE/>
              <w:autoSpaceDN/>
              <w:spacing w:before="262" w:line="225" w:lineRule="auto"/>
              <w:ind w:left="125" w:right="86" w:rightChars="41"/>
              <w:jc w:val="center"/>
              <w:rPr>
                <w:rFonts w:ascii="宋体" w:cs="宋体"/>
                <w:color w:val="auto"/>
                <w:sz w:val="31"/>
                <w:szCs w:val="31"/>
                <w:highlight w:val="none"/>
              </w:rPr>
            </w:pPr>
            <w:r>
              <w:rPr>
                <w:rFonts w:hint="eastAsia" w:ascii="宋体" w:hAnsi="宋体" w:cs="宋体"/>
                <w:color w:val="auto"/>
                <w:sz w:val="31"/>
                <w:szCs w:val="31"/>
                <w:highlight w:val="none"/>
              </w:rPr>
              <w:t>项目编号：</w:t>
            </w:r>
          </w:p>
        </w:tc>
        <w:tc>
          <w:tcPr>
            <w:tcW w:w="5609" w:type="dxa"/>
            <w:vAlign w:val="center"/>
          </w:tcPr>
          <w:p w14:paraId="73A620D8">
            <w:pPr>
              <w:kinsoku/>
              <w:topLinePunct/>
              <w:autoSpaceDE/>
              <w:autoSpaceDN/>
              <w:spacing w:before="319" w:line="191" w:lineRule="auto"/>
              <w:ind w:left="117" w:right="86" w:rightChars="41"/>
              <w:jc w:val="center"/>
              <w:rPr>
                <w:rFonts w:hint="eastAsia" w:ascii="宋体" w:eastAsia="宋体" w:cs="宋体"/>
                <w:b w:val="0"/>
                <w:bCs w:val="0"/>
                <w:color w:val="auto"/>
                <w:sz w:val="31"/>
                <w:szCs w:val="31"/>
                <w:highlight w:val="none"/>
                <w:lang w:eastAsia="zh-CN"/>
              </w:rPr>
            </w:pPr>
            <w:r>
              <w:rPr>
                <w:rFonts w:hint="eastAsia" w:ascii="宋体" w:cs="宋体"/>
                <w:b w:val="0"/>
                <w:bCs w:val="0"/>
                <w:color w:val="auto"/>
                <w:sz w:val="31"/>
                <w:szCs w:val="31"/>
                <w:highlight w:val="none"/>
                <w:lang w:eastAsia="zh-CN"/>
              </w:rPr>
              <w:t>FCZC2025-K3-030003-QHJS</w:t>
            </w:r>
          </w:p>
        </w:tc>
      </w:tr>
      <w:tr w14:paraId="15FE0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84" w:type="dxa"/>
            <w:vAlign w:val="center"/>
          </w:tcPr>
          <w:p w14:paraId="2D7EA0EE">
            <w:pPr>
              <w:kinsoku/>
              <w:topLinePunct/>
              <w:autoSpaceDE/>
              <w:autoSpaceDN/>
              <w:spacing w:before="265" w:line="227" w:lineRule="auto"/>
              <w:ind w:left="121" w:right="86" w:rightChars="41"/>
              <w:jc w:val="center"/>
              <w:rPr>
                <w:rFonts w:ascii="宋体" w:cs="宋体"/>
                <w:color w:val="auto"/>
                <w:sz w:val="31"/>
                <w:szCs w:val="31"/>
                <w:highlight w:val="none"/>
              </w:rPr>
            </w:pPr>
            <w:r>
              <w:rPr>
                <w:rFonts w:hint="eastAsia" w:ascii="宋体" w:hAnsi="宋体" w:cs="宋体"/>
                <w:color w:val="auto"/>
                <w:sz w:val="31"/>
                <w:szCs w:val="31"/>
                <w:highlight w:val="none"/>
              </w:rPr>
              <w:t>联系电话：</w:t>
            </w:r>
          </w:p>
        </w:tc>
        <w:tc>
          <w:tcPr>
            <w:tcW w:w="5609" w:type="dxa"/>
            <w:vAlign w:val="center"/>
          </w:tcPr>
          <w:p w14:paraId="2A46AD99">
            <w:pPr>
              <w:kinsoku/>
              <w:topLinePunct/>
              <w:autoSpaceDE/>
              <w:autoSpaceDN/>
              <w:spacing w:before="323" w:line="190" w:lineRule="auto"/>
              <w:ind w:left="115" w:right="86" w:rightChars="41"/>
              <w:jc w:val="center"/>
              <w:rPr>
                <w:rFonts w:ascii="宋体" w:cs="宋体"/>
                <w:b w:val="0"/>
                <w:bCs w:val="0"/>
                <w:color w:val="auto"/>
                <w:sz w:val="31"/>
                <w:szCs w:val="31"/>
                <w:highlight w:val="none"/>
              </w:rPr>
            </w:pPr>
            <w:r>
              <w:rPr>
                <w:rFonts w:hint="eastAsia" w:ascii="宋体" w:cs="宋体"/>
                <w:b w:val="0"/>
                <w:bCs w:val="0"/>
                <w:color w:val="auto"/>
                <w:sz w:val="31"/>
                <w:szCs w:val="31"/>
                <w:highlight w:val="none"/>
              </w:rPr>
              <w:t>0770-3252398</w:t>
            </w:r>
          </w:p>
        </w:tc>
      </w:tr>
    </w:tbl>
    <w:p w14:paraId="2FF02491">
      <w:pPr>
        <w:kinsoku/>
        <w:topLinePunct/>
        <w:autoSpaceDE/>
        <w:autoSpaceDN/>
        <w:spacing w:line="246" w:lineRule="auto"/>
        <w:ind w:right="86" w:rightChars="41"/>
        <w:rPr>
          <w:rFonts w:ascii="宋体" w:cs="宋体"/>
          <w:color w:val="auto"/>
          <w:highlight w:val="none"/>
        </w:rPr>
      </w:pPr>
    </w:p>
    <w:p w14:paraId="58AFAE7C">
      <w:pPr>
        <w:kinsoku/>
        <w:topLinePunct/>
        <w:autoSpaceDE/>
        <w:autoSpaceDN/>
        <w:spacing w:line="246" w:lineRule="auto"/>
        <w:ind w:right="86" w:rightChars="41"/>
        <w:rPr>
          <w:rFonts w:ascii="宋体" w:cs="宋体"/>
          <w:color w:val="auto"/>
          <w:highlight w:val="none"/>
        </w:rPr>
      </w:pPr>
    </w:p>
    <w:p w14:paraId="765E3828">
      <w:pPr>
        <w:kinsoku/>
        <w:topLinePunct/>
        <w:autoSpaceDE/>
        <w:autoSpaceDN/>
        <w:spacing w:line="246" w:lineRule="auto"/>
        <w:ind w:right="86" w:rightChars="41"/>
        <w:rPr>
          <w:rFonts w:ascii="宋体" w:cs="宋体"/>
          <w:color w:val="auto"/>
          <w:highlight w:val="none"/>
        </w:rPr>
      </w:pPr>
    </w:p>
    <w:p w14:paraId="706C329D">
      <w:pPr>
        <w:kinsoku/>
        <w:topLinePunct/>
        <w:autoSpaceDE/>
        <w:autoSpaceDN/>
        <w:spacing w:line="246" w:lineRule="auto"/>
        <w:ind w:right="86" w:rightChars="41"/>
        <w:rPr>
          <w:rFonts w:ascii="宋体" w:cs="宋体"/>
          <w:color w:val="auto"/>
          <w:highlight w:val="none"/>
        </w:rPr>
      </w:pPr>
    </w:p>
    <w:p w14:paraId="236D3D69">
      <w:pPr>
        <w:kinsoku/>
        <w:topLinePunct/>
        <w:autoSpaceDE/>
        <w:autoSpaceDN/>
        <w:spacing w:line="247" w:lineRule="auto"/>
        <w:ind w:right="86" w:rightChars="41"/>
        <w:rPr>
          <w:rFonts w:ascii="宋体" w:cs="宋体"/>
          <w:color w:val="auto"/>
          <w:highlight w:val="none"/>
        </w:rPr>
      </w:pPr>
    </w:p>
    <w:p w14:paraId="35A62E41">
      <w:pPr>
        <w:kinsoku/>
        <w:topLinePunct/>
        <w:autoSpaceDE/>
        <w:autoSpaceDN/>
        <w:spacing w:line="247" w:lineRule="auto"/>
        <w:ind w:right="86" w:rightChars="41"/>
        <w:jc w:val="center"/>
        <w:rPr>
          <w:rFonts w:hint="eastAsia" w:ascii="宋体" w:eastAsia="宋体" w:cs="宋体"/>
          <w:color w:val="auto"/>
          <w:highlight w:val="none"/>
          <w:lang w:val="en-US" w:eastAsia="zh-CN"/>
        </w:rPr>
      </w:pPr>
    </w:p>
    <w:p w14:paraId="51BC65F2">
      <w:pPr>
        <w:pStyle w:val="21"/>
        <w:rPr>
          <w:rFonts w:ascii="宋体" w:cs="宋体"/>
          <w:color w:val="auto"/>
          <w:highlight w:val="none"/>
        </w:rPr>
      </w:pPr>
    </w:p>
    <w:p w14:paraId="009181F3">
      <w:pPr>
        <w:pStyle w:val="21"/>
        <w:rPr>
          <w:rFonts w:ascii="宋体" w:cs="宋体"/>
          <w:color w:val="auto"/>
          <w:highlight w:val="none"/>
        </w:rPr>
      </w:pPr>
    </w:p>
    <w:p w14:paraId="493B455B">
      <w:pPr>
        <w:kinsoku/>
        <w:topLinePunct/>
        <w:autoSpaceDE/>
        <w:autoSpaceDN/>
        <w:spacing w:line="247" w:lineRule="auto"/>
        <w:ind w:right="86" w:rightChars="41"/>
        <w:rPr>
          <w:rFonts w:ascii="宋体" w:cs="宋体"/>
          <w:color w:val="auto"/>
          <w:highlight w:val="none"/>
        </w:rPr>
      </w:pPr>
    </w:p>
    <w:p w14:paraId="60199F1E">
      <w:pPr>
        <w:kinsoku/>
        <w:topLinePunct/>
        <w:autoSpaceDE/>
        <w:autoSpaceDN/>
        <w:spacing w:before="101" w:line="224" w:lineRule="auto"/>
        <w:ind w:left="962" w:right="86" w:rightChars="41"/>
        <w:rPr>
          <w:rFonts w:ascii="宋体" w:cs="宋体"/>
          <w:color w:val="auto"/>
          <w:sz w:val="31"/>
          <w:szCs w:val="31"/>
          <w:highlight w:val="none"/>
        </w:rPr>
      </w:pPr>
    </w:p>
    <w:p w14:paraId="53976A72">
      <w:pPr>
        <w:kinsoku/>
        <w:topLinePunct/>
        <w:autoSpaceDE/>
        <w:autoSpaceDN/>
        <w:spacing w:before="101" w:line="224" w:lineRule="auto"/>
        <w:ind w:right="86" w:rightChars="41" w:firstLine="1677" w:firstLineChars="541"/>
        <w:rPr>
          <w:rFonts w:hint="eastAsia" w:ascii="宋体" w:eastAsia="宋体" w:cs="宋体"/>
          <w:color w:val="auto"/>
          <w:sz w:val="31"/>
          <w:szCs w:val="31"/>
          <w:highlight w:val="none"/>
          <w:lang w:eastAsia="zh-CN"/>
        </w:rPr>
      </w:pPr>
      <w:r>
        <w:rPr>
          <w:rFonts w:hint="eastAsia" w:ascii="宋体" w:hAnsi="宋体" w:cs="宋体"/>
          <w:color w:val="auto"/>
          <w:sz w:val="31"/>
          <w:szCs w:val="31"/>
          <w:highlight w:val="none"/>
        </w:rPr>
        <w:t>征集人：</w:t>
      </w:r>
      <w:r>
        <w:rPr>
          <w:rFonts w:hint="eastAsia" w:ascii="宋体" w:hAnsi="宋体" w:cs="宋体"/>
          <w:color w:val="auto"/>
          <w:sz w:val="31"/>
          <w:szCs w:val="31"/>
          <w:highlight w:val="none"/>
          <w:lang w:eastAsia="zh-CN"/>
        </w:rPr>
        <w:t>广西千豪建设项目管理有限公司</w:t>
      </w:r>
    </w:p>
    <w:p w14:paraId="71011948">
      <w:pPr>
        <w:kinsoku/>
        <w:topLinePunct/>
        <w:autoSpaceDE/>
        <w:autoSpaceDN/>
        <w:spacing w:line="242" w:lineRule="auto"/>
        <w:ind w:right="86" w:rightChars="41" w:firstLine="1136" w:firstLineChars="541"/>
        <w:rPr>
          <w:rFonts w:ascii="宋体" w:cs="宋体"/>
          <w:color w:val="auto"/>
          <w:highlight w:val="none"/>
        </w:rPr>
      </w:pPr>
    </w:p>
    <w:p w14:paraId="1B77AD68">
      <w:pPr>
        <w:kinsoku/>
        <w:topLinePunct/>
        <w:autoSpaceDE/>
        <w:autoSpaceDN/>
        <w:spacing w:before="101" w:line="225" w:lineRule="auto"/>
        <w:ind w:right="86" w:rightChars="41"/>
        <w:jc w:val="center"/>
        <w:rPr>
          <w:rFonts w:hint="default" w:ascii="宋体" w:eastAsia="宋体" w:cs="宋体"/>
          <w:color w:val="auto"/>
          <w:sz w:val="31"/>
          <w:szCs w:val="31"/>
          <w:highlight w:val="none"/>
          <w:lang w:val="en-US" w:eastAsia="zh-CN"/>
        </w:rPr>
      </w:pPr>
      <w:r>
        <w:rPr>
          <w:rFonts w:hint="eastAsia" w:ascii="宋体" w:hAnsi="宋体" w:cs="宋体"/>
          <w:color w:val="auto"/>
          <w:sz w:val="31"/>
          <w:szCs w:val="31"/>
          <w:highlight w:val="none"/>
          <w:lang w:val="en-US" w:eastAsia="zh-CN"/>
        </w:rPr>
        <w:t>2025年2</w:t>
      </w:r>
      <w:r>
        <w:rPr>
          <w:rFonts w:hint="eastAsia" w:ascii="宋体" w:hAnsi="宋体" w:cs="宋体"/>
          <w:color w:val="auto"/>
          <w:sz w:val="31"/>
          <w:szCs w:val="31"/>
          <w:highlight w:val="none"/>
        </w:rPr>
        <w:t>月</w:t>
      </w:r>
      <w:r>
        <w:rPr>
          <w:rFonts w:hint="eastAsia" w:ascii="宋体" w:hAnsi="宋体" w:cs="宋体"/>
          <w:color w:val="auto"/>
          <w:sz w:val="31"/>
          <w:szCs w:val="31"/>
          <w:highlight w:val="none"/>
          <w:lang w:val="en-US" w:eastAsia="zh-CN"/>
        </w:rPr>
        <w:t>24日</w:t>
      </w:r>
    </w:p>
    <w:p w14:paraId="7FDE326D">
      <w:pPr>
        <w:kinsoku/>
        <w:topLinePunct/>
        <w:autoSpaceDE/>
        <w:autoSpaceDN/>
        <w:ind w:right="86" w:rightChars="41"/>
        <w:jc w:val="center"/>
        <w:rPr>
          <w:rFonts w:ascii="宋体" w:cs="宋体"/>
          <w:color w:val="auto"/>
          <w:highlight w:val="none"/>
        </w:rPr>
      </w:pPr>
    </w:p>
    <w:p w14:paraId="5D745BDD">
      <w:pPr>
        <w:kinsoku/>
        <w:rPr>
          <w:color w:val="auto"/>
          <w:highlight w:val="none"/>
        </w:rPr>
      </w:pPr>
    </w:p>
    <w:p w14:paraId="0459401C">
      <w:pPr>
        <w:kinsoku/>
        <w:rPr>
          <w:color w:val="auto"/>
          <w:highlight w:val="none"/>
        </w:rPr>
      </w:pPr>
    </w:p>
    <w:p w14:paraId="2651931A">
      <w:pPr>
        <w:kinsoku/>
        <w:rPr>
          <w:color w:val="auto"/>
          <w:highlight w:val="none"/>
        </w:rPr>
      </w:pPr>
    </w:p>
    <w:p w14:paraId="716F2EA8">
      <w:pPr>
        <w:kinsoku/>
        <w:rPr>
          <w:color w:val="auto"/>
          <w:highlight w:val="none"/>
        </w:rPr>
      </w:pPr>
    </w:p>
    <w:p w14:paraId="65E2C908">
      <w:pPr>
        <w:kinsoku/>
        <w:rPr>
          <w:color w:val="auto"/>
          <w:highlight w:val="none"/>
        </w:rPr>
      </w:pPr>
    </w:p>
    <w:p w14:paraId="6FF846C0">
      <w:pPr>
        <w:kinsoku/>
        <w:rPr>
          <w:color w:val="auto"/>
          <w:highlight w:val="none"/>
        </w:rPr>
      </w:pPr>
    </w:p>
    <w:p w14:paraId="15B18AF1">
      <w:pPr>
        <w:kinsoku/>
        <w:rPr>
          <w:color w:val="auto"/>
          <w:highlight w:val="none"/>
        </w:rPr>
      </w:pPr>
    </w:p>
    <w:p w14:paraId="481EB29E">
      <w:pPr>
        <w:kinsoku/>
        <w:rPr>
          <w:color w:val="auto"/>
          <w:highlight w:val="none"/>
        </w:rPr>
      </w:pPr>
    </w:p>
    <w:p w14:paraId="5C37D860">
      <w:pPr>
        <w:kinsoku/>
        <w:rPr>
          <w:color w:val="auto"/>
          <w:highlight w:val="none"/>
        </w:rPr>
      </w:pPr>
    </w:p>
    <w:p w14:paraId="5DF46680">
      <w:pPr>
        <w:kinsoku/>
        <w:rPr>
          <w:color w:val="auto"/>
          <w:highlight w:val="none"/>
        </w:rPr>
        <w:sectPr>
          <w:footerReference r:id="rId3" w:type="default"/>
          <w:pgSz w:w="11907" w:h="16839"/>
          <w:pgMar w:top="1440" w:right="1080" w:bottom="1440" w:left="1080" w:header="879" w:footer="986" w:gutter="0"/>
          <w:pgBorders>
            <w:top w:val="none" w:sz="0" w:space="0"/>
            <w:left w:val="none" w:sz="0" w:space="0"/>
            <w:bottom w:val="none" w:sz="0" w:space="0"/>
            <w:right w:val="none" w:sz="0" w:space="0"/>
          </w:pgBorders>
          <w:cols w:space="720" w:num="1"/>
        </w:sectPr>
      </w:pPr>
    </w:p>
    <w:p w14:paraId="236E7BB0">
      <w:pPr>
        <w:kinsoku/>
        <w:rPr>
          <w:color w:val="auto"/>
          <w:highlight w:val="none"/>
        </w:rPr>
      </w:pPr>
    </w:p>
    <w:p w14:paraId="64C2D636">
      <w:pPr>
        <w:kinsoku/>
        <w:rPr>
          <w:color w:val="auto"/>
          <w:highlight w:val="none"/>
        </w:rPr>
      </w:pPr>
    </w:p>
    <w:p w14:paraId="45A8A33E">
      <w:pPr>
        <w:kinsoku/>
        <w:topLinePunct/>
        <w:autoSpaceDE/>
        <w:autoSpaceDN/>
        <w:spacing w:before="101" w:line="227" w:lineRule="auto"/>
        <w:ind w:right="86" w:rightChars="41"/>
        <w:jc w:val="center"/>
        <w:rPr>
          <w:rFonts w:ascii="宋体" w:cs="宋体"/>
          <w:color w:val="auto"/>
          <w:sz w:val="36"/>
          <w:szCs w:val="36"/>
          <w:highlight w:val="none"/>
        </w:rPr>
      </w:pPr>
      <w:r>
        <w:rPr>
          <w:rFonts w:hint="eastAsia" w:ascii="宋体" w:hAnsi="宋体" w:cs="宋体"/>
          <w:b/>
          <w:bCs/>
          <w:color w:val="auto"/>
          <w:sz w:val="56"/>
          <w:szCs w:val="56"/>
          <w:highlight w:val="none"/>
        </w:rPr>
        <w:t>目录</w:t>
      </w:r>
    </w:p>
    <w:p w14:paraId="47D5F4F2">
      <w:pPr>
        <w:pStyle w:val="12"/>
        <w:tabs>
          <w:tab w:val="right" w:leader="dot" w:pos="8687"/>
        </w:tabs>
        <w:kinsoku/>
        <w:topLinePunct/>
        <w:autoSpaceDE/>
        <w:autoSpaceDN/>
        <w:rPr>
          <w:rFonts w:ascii="宋体" w:cs="宋体"/>
          <w:color w:val="auto"/>
          <w:highlight w:val="none"/>
        </w:rPr>
      </w:pPr>
      <w:r>
        <w:rPr>
          <w:rFonts w:ascii="宋体" w:hAnsi="宋体" w:cs="宋体"/>
          <w:b/>
          <w:bCs/>
          <w:color w:val="auto"/>
          <w:sz w:val="48"/>
          <w:szCs w:val="48"/>
          <w:highlight w:val="none"/>
        </w:rPr>
        <w:fldChar w:fldCharType="begin"/>
      </w:r>
      <w:r>
        <w:rPr>
          <w:rFonts w:ascii="宋体" w:hAnsi="宋体" w:cs="宋体"/>
          <w:b/>
          <w:bCs/>
          <w:color w:val="auto"/>
          <w:sz w:val="48"/>
          <w:szCs w:val="48"/>
          <w:highlight w:val="none"/>
        </w:rPr>
        <w:instrText xml:space="preserve">TOC \o "1-1" \h \u </w:instrText>
      </w:r>
      <w:r>
        <w:rPr>
          <w:rFonts w:ascii="宋体" w:hAnsi="宋体" w:cs="宋体"/>
          <w:b/>
          <w:bCs/>
          <w:color w:val="auto"/>
          <w:sz w:val="48"/>
          <w:szCs w:val="48"/>
          <w:highlight w:val="none"/>
        </w:rPr>
        <w:fldChar w:fldCharType="separate"/>
      </w:r>
      <w:r>
        <w:rPr>
          <w:color w:val="auto"/>
          <w:highlight w:val="none"/>
        </w:rPr>
        <w:fldChar w:fldCharType="begin"/>
      </w:r>
      <w:r>
        <w:rPr>
          <w:color w:val="auto"/>
          <w:highlight w:val="none"/>
        </w:rPr>
        <w:instrText xml:space="preserve"> HYPERLINK \l "_Toc26908" </w:instrText>
      </w:r>
      <w:r>
        <w:rPr>
          <w:color w:val="auto"/>
          <w:highlight w:val="none"/>
        </w:rPr>
        <w:fldChar w:fldCharType="separate"/>
      </w:r>
      <w:r>
        <w:rPr>
          <w:rFonts w:hint="eastAsia" w:ascii="宋体" w:hAnsi="宋体" w:cs="宋体"/>
          <w:color w:val="auto"/>
          <w:highlight w:val="none"/>
        </w:rPr>
        <w:t>第一章征集公告</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_Toc26908 \h </w:instrText>
      </w:r>
      <w:r>
        <w:rPr>
          <w:rFonts w:ascii="宋体" w:hAnsi="宋体" w:cs="宋体"/>
          <w:color w:val="auto"/>
          <w:highlight w:val="none"/>
        </w:rPr>
        <w:fldChar w:fldCharType="separate"/>
      </w:r>
      <w:r>
        <w:rPr>
          <w:rFonts w:ascii="宋体" w:hAnsi="宋体" w:cs="宋体"/>
          <w:color w:val="auto"/>
          <w:highlight w:val="none"/>
        </w:rPr>
        <w:t>2</w:t>
      </w:r>
      <w:r>
        <w:rPr>
          <w:rFonts w:ascii="宋体" w:hAnsi="宋体" w:cs="宋体"/>
          <w:color w:val="auto"/>
          <w:highlight w:val="none"/>
        </w:rPr>
        <w:fldChar w:fldCharType="end"/>
      </w:r>
      <w:r>
        <w:rPr>
          <w:rFonts w:ascii="宋体" w:hAnsi="宋体" w:cs="宋体"/>
          <w:color w:val="auto"/>
          <w:highlight w:val="none"/>
        </w:rPr>
        <w:fldChar w:fldCharType="end"/>
      </w:r>
    </w:p>
    <w:p w14:paraId="13DEC1C0">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"_Toc24649" </w:instrText>
      </w:r>
      <w:r>
        <w:rPr>
          <w:color w:val="auto"/>
          <w:highlight w:val="none"/>
        </w:rPr>
        <w:fldChar w:fldCharType="separate"/>
      </w:r>
      <w:r>
        <w:rPr>
          <w:rFonts w:hint="eastAsia" w:ascii="宋体" w:hAnsi="宋体" w:cs="宋体"/>
          <w:color w:val="auto"/>
          <w:highlight w:val="none"/>
        </w:rPr>
        <w:t>第二章采购需求</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_Toc24649 \h </w:instrText>
      </w:r>
      <w:r>
        <w:rPr>
          <w:rFonts w:ascii="宋体" w:hAnsi="宋体" w:cs="宋体"/>
          <w:color w:val="auto"/>
          <w:highlight w:val="none"/>
        </w:rPr>
        <w:fldChar w:fldCharType="separate"/>
      </w:r>
      <w:r>
        <w:rPr>
          <w:rFonts w:ascii="宋体" w:hAnsi="宋体" w:cs="宋体"/>
          <w:color w:val="auto"/>
          <w:highlight w:val="none"/>
        </w:rPr>
        <w:t>4</w:t>
      </w:r>
      <w:r>
        <w:rPr>
          <w:rFonts w:ascii="宋体" w:hAnsi="宋体" w:cs="宋体"/>
          <w:color w:val="auto"/>
          <w:highlight w:val="none"/>
        </w:rPr>
        <w:fldChar w:fldCharType="end"/>
      </w:r>
      <w:r>
        <w:rPr>
          <w:rFonts w:ascii="宋体" w:hAnsi="宋体" w:cs="宋体"/>
          <w:color w:val="auto"/>
          <w:highlight w:val="none"/>
        </w:rPr>
        <w:fldChar w:fldCharType="end"/>
      </w:r>
    </w:p>
    <w:p w14:paraId="687C2E29">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"_Toc3589" </w:instrText>
      </w:r>
      <w:r>
        <w:rPr>
          <w:color w:val="auto"/>
          <w:highlight w:val="none"/>
        </w:rPr>
        <w:fldChar w:fldCharType="separate"/>
      </w:r>
      <w:r>
        <w:rPr>
          <w:rFonts w:hint="eastAsia" w:ascii="宋体" w:hAnsi="宋体" w:cs="宋体"/>
          <w:color w:val="auto"/>
          <w:highlight w:val="none"/>
        </w:rPr>
        <w:t>第三章供应商须知</w:t>
      </w:r>
      <w:r>
        <w:rPr>
          <w:rFonts w:ascii="宋体" w:cs="宋体"/>
          <w:color w:val="auto"/>
          <w:highlight w:val="none"/>
        </w:rPr>
        <w:tab/>
      </w:r>
      <w:r>
        <w:rPr>
          <w:rFonts w:hint="eastAsia" w:ascii="宋体" w:hAnsi="宋体" w:cs="宋体"/>
          <w:color w:val="auto"/>
          <w:highlight w:val="none"/>
          <w:lang w:val="en-US" w:eastAsia="zh-CN"/>
        </w:rPr>
        <w:t>1</w:t>
      </w:r>
      <w:r>
        <w:rPr>
          <w:rFonts w:ascii="宋体" w:hAnsi="宋体" w:cs="宋体"/>
          <w:color w:val="auto"/>
          <w:highlight w:val="none"/>
        </w:rPr>
        <w:fldChar w:fldCharType="end"/>
      </w:r>
      <w:r>
        <w:rPr>
          <w:rFonts w:hint="eastAsia" w:ascii="宋体" w:hAnsi="宋体" w:cs="宋体"/>
          <w:color w:val="auto"/>
          <w:highlight w:val="none"/>
          <w:lang w:val="en-US" w:eastAsia="zh-CN"/>
        </w:rPr>
        <w:t>3</w:t>
      </w:r>
    </w:p>
    <w:p w14:paraId="37895B80">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"_Toc27261" </w:instrText>
      </w:r>
      <w:r>
        <w:rPr>
          <w:color w:val="auto"/>
          <w:highlight w:val="none"/>
        </w:rPr>
        <w:fldChar w:fldCharType="separate"/>
      </w:r>
      <w:r>
        <w:rPr>
          <w:rFonts w:hint="eastAsia" w:ascii="宋体" w:hAnsi="宋体" w:cs="宋体"/>
          <w:color w:val="auto"/>
          <w:highlight w:val="none"/>
        </w:rPr>
        <w:t>第四章评审方法及标准</w:t>
      </w:r>
      <w:r>
        <w:rPr>
          <w:rFonts w:ascii="宋体" w:cs="宋体"/>
          <w:color w:val="auto"/>
          <w:highlight w:val="none"/>
        </w:rPr>
        <w:tab/>
      </w:r>
      <w:r>
        <w:rPr>
          <w:rFonts w:hint="eastAsia" w:ascii="宋体" w:hAnsi="宋体" w:cs="宋体"/>
          <w:color w:val="auto"/>
          <w:highlight w:val="none"/>
          <w:lang w:val="en-US" w:eastAsia="zh-CN"/>
        </w:rPr>
        <w:t>3</w:t>
      </w:r>
      <w:r>
        <w:rPr>
          <w:rFonts w:ascii="宋体" w:hAnsi="宋体" w:cs="宋体"/>
          <w:color w:val="auto"/>
          <w:highlight w:val="none"/>
        </w:rPr>
        <w:fldChar w:fldCharType="end"/>
      </w:r>
      <w:r>
        <w:rPr>
          <w:rFonts w:hint="eastAsia" w:ascii="宋体" w:hAnsi="宋体" w:cs="宋体"/>
          <w:color w:val="auto"/>
          <w:highlight w:val="none"/>
          <w:lang w:val="en-US" w:eastAsia="zh-CN"/>
        </w:rPr>
        <w:t>0</w:t>
      </w:r>
    </w:p>
    <w:p w14:paraId="1E8A8BE9">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宋体" w:hAnsi="宋体" w:cs="宋体"/>
          <w:color w:val="auto"/>
          <w:highlight w:val="none"/>
        </w:rPr>
        <w:t>第五章框架协议</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_Toc1471 \h </w:instrText>
      </w:r>
      <w:r>
        <w:rPr>
          <w:rFonts w:ascii="宋体" w:hAnsi="宋体" w:cs="宋体"/>
          <w:color w:val="auto"/>
          <w:highlight w:val="none"/>
        </w:rPr>
        <w:fldChar w:fldCharType="separate"/>
      </w:r>
      <w:r>
        <w:rPr>
          <w:rFonts w:ascii="宋体" w:hAnsi="宋体" w:cs="宋体"/>
          <w:color w:val="auto"/>
          <w:highlight w:val="none"/>
        </w:rPr>
        <w:t>35</w:t>
      </w:r>
      <w:r>
        <w:rPr>
          <w:rFonts w:ascii="宋体" w:hAnsi="宋体" w:cs="宋体"/>
          <w:color w:val="auto"/>
          <w:highlight w:val="none"/>
        </w:rPr>
        <w:fldChar w:fldCharType="end"/>
      </w:r>
      <w:r>
        <w:rPr>
          <w:rFonts w:ascii="宋体" w:hAnsi="宋体" w:cs="宋体"/>
          <w:color w:val="auto"/>
          <w:highlight w:val="none"/>
        </w:rPr>
        <w:fldChar w:fldCharType="end"/>
      </w:r>
    </w:p>
    <w:p w14:paraId="1C7145C5">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"_Toc15593" </w:instrText>
      </w:r>
      <w:r>
        <w:rPr>
          <w:color w:val="auto"/>
          <w:highlight w:val="none"/>
        </w:rPr>
        <w:fldChar w:fldCharType="separate"/>
      </w:r>
      <w:r>
        <w:rPr>
          <w:rFonts w:hint="eastAsia" w:ascii="宋体" w:hAnsi="宋体" w:cs="宋体"/>
          <w:color w:val="auto"/>
          <w:highlight w:val="none"/>
        </w:rPr>
        <w:t>第六章采购合同</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r>
        <w:rPr>
          <w:rFonts w:ascii="宋体" w:hAnsi="宋体" w:cs="宋体"/>
          <w:color w:val="auto"/>
          <w:highlight w:val="none"/>
        </w:rPr>
        <w:tab/>
      </w:r>
      <w:r>
        <w:rPr>
          <w:rFonts w:hint="eastAsia" w:ascii="宋体" w:hAnsi="宋体" w:cs="宋体"/>
          <w:color w:val="auto"/>
          <w:highlight w:val="none"/>
          <w:lang w:val="en-US" w:eastAsia="zh-CN"/>
        </w:rPr>
        <w:t>5</w:t>
      </w:r>
      <w:r>
        <w:rPr>
          <w:rFonts w:ascii="宋体" w:hAnsi="宋体" w:cs="宋体"/>
          <w:color w:val="auto"/>
          <w:highlight w:val="none"/>
        </w:rPr>
        <w:fldChar w:fldCharType="end"/>
      </w:r>
      <w:r>
        <w:rPr>
          <w:rFonts w:hint="eastAsia" w:ascii="宋体" w:hAnsi="宋体" w:cs="宋体"/>
          <w:color w:val="auto"/>
          <w:highlight w:val="none"/>
          <w:lang w:val="en-US" w:eastAsia="zh-CN"/>
        </w:rPr>
        <w:t>2</w:t>
      </w:r>
    </w:p>
    <w:p w14:paraId="47D67CA0">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"_Toc27589" </w:instrText>
      </w:r>
      <w:r>
        <w:rPr>
          <w:color w:val="auto"/>
          <w:highlight w:val="none"/>
        </w:rPr>
        <w:fldChar w:fldCharType="separate"/>
      </w:r>
      <w:r>
        <w:rPr>
          <w:rFonts w:hint="eastAsia" w:ascii="宋体" w:hAnsi="宋体" w:cs="宋体"/>
          <w:color w:val="auto"/>
          <w:highlight w:val="none"/>
        </w:rPr>
        <w:t>第七章响应文件格式</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_Toc27589 \h </w:instrText>
      </w:r>
      <w:r>
        <w:rPr>
          <w:rFonts w:ascii="宋体" w:hAnsi="宋体" w:cs="宋体"/>
          <w:color w:val="auto"/>
          <w:highlight w:val="none"/>
        </w:rPr>
        <w:fldChar w:fldCharType="separate"/>
      </w:r>
      <w:r>
        <w:rPr>
          <w:rFonts w:ascii="宋体" w:hAnsi="宋体" w:cs="宋体"/>
          <w:color w:val="auto"/>
          <w:highlight w:val="none"/>
        </w:rPr>
        <w:t>52</w:t>
      </w:r>
      <w:r>
        <w:rPr>
          <w:rFonts w:ascii="宋体" w:hAnsi="宋体" w:cs="宋体"/>
          <w:color w:val="auto"/>
          <w:highlight w:val="none"/>
        </w:rPr>
        <w:fldChar w:fldCharType="end"/>
      </w:r>
      <w:r>
        <w:rPr>
          <w:rFonts w:ascii="宋体" w:hAnsi="宋体" w:cs="宋体"/>
          <w:color w:val="auto"/>
          <w:highlight w:val="none"/>
        </w:rPr>
        <w:fldChar w:fldCharType="end"/>
      </w:r>
    </w:p>
    <w:p w14:paraId="07B5EC73">
      <w:pPr>
        <w:tabs>
          <w:tab w:val="right" w:leader="dot" w:pos="9099"/>
        </w:tabs>
        <w:kinsoku/>
        <w:topLinePunct/>
        <w:autoSpaceDE/>
        <w:autoSpaceDN/>
        <w:spacing w:before="147" w:line="219" w:lineRule="auto"/>
        <w:ind w:left="278" w:right="86" w:rightChars="41"/>
        <w:rPr>
          <w:rFonts w:ascii="宋体" w:cs="宋体"/>
          <w:color w:val="auto"/>
          <w:sz w:val="24"/>
          <w:szCs w:val="24"/>
          <w:highlight w:val="none"/>
        </w:rPr>
      </w:pPr>
      <w:r>
        <w:rPr>
          <w:rFonts w:ascii="宋体" w:hAnsi="宋体" w:cs="宋体"/>
          <w:b/>
          <w:bCs/>
          <w:color w:val="auto"/>
          <w:sz w:val="48"/>
          <w:szCs w:val="48"/>
          <w:highlight w:val="none"/>
        </w:rPr>
        <w:fldChar w:fldCharType="end"/>
      </w:r>
    </w:p>
    <w:p w14:paraId="62C3D0A4">
      <w:pPr>
        <w:kinsoku/>
        <w:topLinePunct/>
        <w:autoSpaceDE/>
        <w:autoSpaceDN/>
        <w:ind w:right="86" w:rightChars="41"/>
        <w:rPr>
          <w:rFonts w:ascii="宋体" w:cs="宋体"/>
          <w:color w:val="auto"/>
          <w:highlight w:val="none"/>
        </w:rPr>
        <w:sectPr>
          <w:footerReference r:id="rId4" w:type="default"/>
          <w:pgSz w:w="11907" w:h="16839"/>
          <w:pgMar w:top="1440" w:right="1080" w:bottom="1440" w:left="1080" w:header="879" w:footer="986" w:gutter="0"/>
          <w:pgBorders>
            <w:top w:val="none" w:sz="0" w:space="0"/>
            <w:left w:val="none" w:sz="0" w:space="0"/>
            <w:bottom w:val="none" w:sz="0" w:space="0"/>
            <w:right w:val="none" w:sz="0" w:space="0"/>
          </w:pgBorders>
          <w:pgNumType w:fmt="decimal" w:start="1"/>
          <w:cols w:space="720" w:num="1"/>
        </w:sectPr>
      </w:pPr>
    </w:p>
    <w:p w14:paraId="40983064">
      <w:pPr>
        <w:pStyle w:val="2"/>
        <w:kinsoku/>
        <w:topLinePunct/>
        <w:autoSpaceDE/>
        <w:autoSpaceDN/>
        <w:ind w:right="86" w:rightChars="41"/>
        <w:rPr>
          <w:rFonts w:ascii="宋体" w:cs="宋体"/>
          <w:color w:val="auto"/>
          <w:highlight w:val="none"/>
        </w:rPr>
      </w:pPr>
      <w:bookmarkStart w:id="0" w:name="_bookmark1"/>
      <w:bookmarkEnd w:id="0"/>
      <w:bookmarkStart w:id="1" w:name="_Toc26908"/>
      <w:r>
        <w:rPr>
          <w:rFonts w:hint="eastAsia" w:ascii="宋体" w:hAnsi="宋体" w:cs="宋体"/>
          <w:color w:val="auto"/>
          <w:highlight w:val="none"/>
        </w:rPr>
        <w:t>第一章征集公告</w:t>
      </w:r>
      <w:bookmarkEnd w:id="1"/>
    </w:p>
    <w:p w14:paraId="025DAEA5">
      <w:pPr>
        <w:kinsoku/>
        <w:topLinePunct/>
        <w:autoSpaceDE/>
        <w:autoSpaceDN/>
        <w:spacing w:line="360" w:lineRule="auto"/>
        <w:ind w:left="31680" w:right="86" w:rightChars="41" w:hanging="16" w:hangingChars="5"/>
        <w:jc w:val="center"/>
        <w:rPr>
          <w:rFonts w:ascii="宋体" w:cs="宋体"/>
          <w:color w:val="auto"/>
          <w:highlight w:val="none"/>
        </w:rPr>
      </w:pPr>
      <w:r>
        <w:rPr>
          <w:rFonts w:hint="eastAsia" w:ascii="宋体" w:hAnsi="宋体" w:cs="宋体"/>
          <w:b/>
          <w:bCs/>
          <w:color w:val="auto"/>
          <w:sz w:val="32"/>
          <w:szCs w:val="32"/>
          <w:highlight w:val="none"/>
          <w:lang w:eastAsia="zh-CN"/>
        </w:rPr>
        <w:t>防城港市防城区财政投资评审框架协议服务采购</w:t>
      </w:r>
      <w:r>
        <w:rPr>
          <w:rFonts w:hint="eastAsia" w:ascii="宋体" w:hAnsi="宋体" w:cs="宋体"/>
          <w:b/>
          <w:bCs/>
          <w:color w:val="auto"/>
          <w:sz w:val="32"/>
          <w:szCs w:val="32"/>
          <w:highlight w:val="none"/>
        </w:rPr>
        <w:t>征集公告</w:t>
      </w:r>
    </w:p>
    <w:p w14:paraId="726977D3">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textAlignment w:val="baseline"/>
        <w:rPr>
          <w:rFonts w:hint="eastAsia" w:ascii="宋体" w:hAnsi="宋体" w:eastAsia="宋体" w:cs="宋体"/>
          <w:color w:val="auto"/>
          <w:sz w:val="21"/>
          <w:szCs w:val="21"/>
        </w:rPr>
      </w:pPr>
      <w:r>
        <w:rPr>
          <w:rStyle w:val="17"/>
          <w:rFonts w:hint="eastAsia" w:ascii="宋体" w:hAnsi="宋体" w:eastAsia="宋体" w:cs="宋体"/>
          <w:color w:val="auto"/>
          <w:sz w:val="21"/>
          <w:szCs w:val="21"/>
        </w:rPr>
        <w:t>一、征集人信息</w:t>
      </w:r>
    </w:p>
    <w:p w14:paraId="0FEBEE0D">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征集人名称：</w:t>
      </w:r>
      <w:r>
        <w:rPr>
          <w:rStyle w:val="20"/>
          <w:rFonts w:hint="eastAsia" w:ascii="宋体" w:hAnsi="宋体" w:eastAsia="宋体" w:cs="宋体"/>
          <w:color w:val="auto"/>
          <w:sz w:val="21"/>
          <w:szCs w:val="21"/>
        </w:rPr>
        <w:t>广西千豪建设项目管理有限公司</w:t>
      </w:r>
      <w:r>
        <w:rPr>
          <w:rFonts w:hint="eastAsia" w:ascii="宋体" w:hAnsi="宋体" w:eastAsia="宋体" w:cs="宋体"/>
          <w:color w:val="auto"/>
          <w:sz w:val="21"/>
          <w:szCs w:val="21"/>
        </w:rPr>
        <w:t> </w:t>
      </w:r>
    </w:p>
    <w:p w14:paraId="06577E7C">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征集人地址：</w:t>
      </w:r>
      <w:r>
        <w:rPr>
          <w:rStyle w:val="20"/>
          <w:rFonts w:hint="eastAsia" w:ascii="宋体" w:hAnsi="宋体" w:eastAsia="宋体" w:cs="宋体"/>
          <w:color w:val="auto"/>
          <w:sz w:val="21"/>
          <w:szCs w:val="21"/>
        </w:rPr>
        <w:t>防城港市防城区木头滩社区蔗园路18号（艺馨艺术中心三楼）</w:t>
      </w:r>
      <w:r>
        <w:rPr>
          <w:rFonts w:hint="eastAsia" w:ascii="宋体" w:hAnsi="宋体" w:eastAsia="宋体" w:cs="宋体"/>
          <w:color w:val="auto"/>
          <w:sz w:val="21"/>
          <w:szCs w:val="21"/>
        </w:rPr>
        <w:t> </w:t>
      </w:r>
    </w:p>
    <w:p w14:paraId="7337C572">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征集人联系人：</w:t>
      </w:r>
      <w:r>
        <w:rPr>
          <w:rStyle w:val="20"/>
          <w:rFonts w:hint="eastAsia" w:ascii="宋体" w:hAnsi="宋体" w:eastAsia="宋体" w:cs="宋体"/>
          <w:color w:val="auto"/>
          <w:sz w:val="21"/>
          <w:szCs w:val="21"/>
        </w:rPr>
        <w:t>苏琳钧</w:t>
      </w:r>
      <w:r>
        <w:rPr>
          <w:rFonts w:hint="eastAsia" w:ascii="宋体" w:hAnsi="宋体" w:eastAsia="宋体" w:cs="宋体"/>
          <w:color w:val="auto"/>
          <w:sz w:val="21"/>
          <w:szCs w:val="21"/>
        </w:rPr>
        <w:t> </w:t>
      </w:r>
    </w:p>
    <w:p w14:paraId="3F7B80F2">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征集人联系方式：</w:t>
      </w:r>
      <w:r>
        <w:rPr>
          <w:rStyle w:val="20"/>
          <w:rFonts w:hint="eastAsia" w:ascii="宋体" w:hAnsi="宋体" w:eastAsia="宋体" w:cs="宋体"/>
          <w:color w:val="auto"/>
          <w:sz w:val="21"/>
          <w:szCs w:val="21"/>
        </w:rPr>
        <w:t>0770-3252398</w:t>
      </w: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r>
        <w:rPr>
          <w:rStyle w:val="17"/>
          <w:rFonts w:hint="eastAsia" w:ascii="宋体" w:hAnsi="宋体" w:eastAsia="宋体" w:cs="宋体"/>
          <w:color w:val="auto"/>
          <w:sz w:val="21"/>
          <w:szCs w:val="21"/>
        </w:rPr>
        <w:t>二、采购项目信息</w:t>
      </w:r>
    </w:p>
    <w:p w14:paraId="79F1727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Style w:val="20"/>
          <w:rFonts w:hint="eastAsia" w:ascii="宋体" w:hAnsi="宋体" w:cs="宋体"/>
          <w:color w:val="auto"/>
          <w:sz w:val="21"/>
          <w:szCs w:val="21"/>
          <w:lang w:eastAsia="zh-CN"/>
        </w:rPr>
        <w:t>防城港市防城区财政投资评审框架协议服务采购</w:t>
      </w:r>
    </w:p>
    <w:p w14:paraId="5BE8F03E">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Style w:val="20"/>
          <w:rFonts w:hint="eastAsia" w:ascii="宋体" w:hAnsi="宋体" w:cs="宋体"/>
          <w:color w:val="auto"/>
          <w:sz w:val="21"/>
          <w:szCs w:val="21"/>
          <w:lang w:eastAsia="zh-CN"/>
        </w:rPr>
        <w:t>FCZC2025-K3-030003-QHJS</w:t>
      </w:r>
    </w:p>
    <w:p w14:paraId="6EE6B448">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适用采购人或者服务对象范围：</w:t>
      </w:r>
      <w:r>
        <w:rPr>
          <w:rFonts w:hint="eastAsia" w:ascii="宋体" w:hAnsi="宋体" w:cs="宋体"/>
          <w:color w:val="auto"/>
          <w:sz w:val="21"/>
          <w:szCs w:val="21"/>
          <w:lang w:eastAsia="zh-CN"/>
        </w:rPr>
        <w:t>防城港市防城区财政局</w:t>
      </w:r>
      <w:r>
        <w:rPr>
          <w:rFonts w:hint="eastAsia" w:ascii="宋体" w:hAnsi="宋体" w:eastAsia="宋体" w:cs="宋体"/>
          <w:color w:val="auto"/>
          <w:sz w:val="21"/>
          <w:szCs w:val="21"/>
        </w:rPr>
        <w:t> </w:t>
      </w:r>
    </w:p>
    <w:p w14:paraId="33BD740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需求：本项目采用封闭式框架协议采购方式采购，通过公开征集程序，确定15家第一阶段入围供应商并订立框架协议。征集人按照框架协议约定规则，在入围供应商范围内直接选定第二阶段成交供应商并按项目签订合同，协助防城港市防城区财政局评审政府性投资项目工程概（预）算、招标控制价（含工程量清单）服务。最高限价单价执行政府定价或政府指导价</w:t>
      </w:r>
      <w:r>
        <w:rPr>
          <w:rFonts w:hint="eastAsia" w:ascii="宋体" w:hAnsi="宋体" w:eastAsia="宋体" w:cs="宋体"/>
          <w:color w:val="auto"/>
          <w:sz w:val="21"/>
          <w:szCs w:val="21"/>
          <w:lang w:eastAsia="zh-CN"/>
        </w:rPr>
        <w:t>。</w:t>
      </w:r>
    </w:p>
    <w:p w14:paraId="021AB557">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textAlignment w:val="baseline"/>
        <w:rPr>
          <w:rFonts w:hint="eastAsia" w:ascii="宋体" w:hAnsi="宋体" w:eastAsia="宋体" w:cs="宋体"/>
          <w:color w:val="auto"/>
          <w:sz w:val="21"/>
          <w:szCs w:val="21"/>
        </w:rPr>
      </w:pPr>
      <w:r>
        <w:rPr>
          <w:rStyle w:val="17"/>
          <w:rFonts w:hint="eastAsia" w:ascii="宋体" w:hAnsi="宋体" w:eastAsia="宋体" w:cs="宋体"/>
          <w:color w:val="auto"/>
          <w:sz w:val="21"/>
          <w:szCs w:val="21"/>
        </w:rPr>
        <w:t>三、供应商的资格条件</w:t>
      </w:r>
    </w:p>
    <w:p w14:paraId="5CA69A7C">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6619F0B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w:t>
      </w:r>
      <w:r>
        <w:rPr>
          <w:rStyle w:val="20"/>
          <w:rFonts w:hint="eastAsia" w:ascii="宋体" w:hAnsi="宋体" w:eastAsia="宋体" w:cs="宋体"/>
          <w:color w:val="auto"/>
          <w:sz w:val="21"/>
          <w:szCs w:val="21"/>
        </w:rPr>
        <w:t>无</w:t>
      </w:r>
    </w:p>
    <w:p w14:paraId="3C611570">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Style w:val="17"/>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r>
        <w:rPr>
          <w:rStyle w:val="20"/>
          <w:rFonts w:hint="eastAsia" w:ascii="宋体" w:hAnsi="宋体" w:eastAsia="宋体" w:cs="宋体"/>
          <w:color w:val="auto"/>
          <w:sz w:val="21"/>
          <w:szCs w:val="21"/>
        </w:rPr>
        <w:t>无</w:t>
      </w:r>
      <w:r>
        <w:rPr>
          <w:rFonts w:hint="eastAsia" w:ascii="宋体" w:hAnsi="宋体" w:eastAsia="宋体" w:cs="宋体"/>
          <w:color w:val="auto"/>
          <w:sz w:val="21"/>
          <w:szCs w:val="21"/>
        </w:rPr>
        <w:br w:type="textWrapping"/>
      </w:r>
      <w:r>
        <w:rPr>
          <w:rStyle w:val="17"/>
          <w:rFonts w:hint="eastAsia" w:ascii="宋体" w:hAnsi="宋体" w:eastAsia="宋体" w:cs="宋体"/>
          <w:color w:val="auto"/>
          <w:sz w:val="21"/>
          <w:szCs w:val="21"/>
        </w:rPr>
        <w:t>四、框架协议的期限</w:t>
      </w:r>
    </w:p>
    <w:p w14:paraId="361D9D5B">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Style w:val="20"/>
          <w:rFonts w:hint="eastAsia" w:ascii="宋体" w:hAnsi="宋体" w:eastAsia="宋体" w:cs="宋体"/>
          <w:color w:val="auto"/>
          <w:sz w:val="21"/>
          <w:szCs w:val="21"/>
        </w:rPr>
        <w:t>24个月</w:t>
      </w:r>
      <w:r>
        <w:rPr>
          <w:rStyle w:val="17"/>
          <w:rFonts w:hint="eastAsia" w:ascii="宋体" w:hAnsi="宋体" w:eastAsia="宋体" w:cs="宋体"/>
          <w:color w:val="auto"/>
          <w:sz w:val="21"/>
          <w:szCs w:val="21"/>
        </w:rPr>
        <w:br w:type="textWrapping"/>
      </w:r>
      <w:r>
        <w:rPr>
          <w:rStyle w:val="17"/>
          <w:rFonts w:hint="eastAsia" w:ascii="宋体" w:hAnsi="宋体" w:eastAsia="宋体" w:cs="宋体"/>
          <w:color w:val="auto"/>
          <w:sz w:val="21"/>
          <w:szCs w:val="21"/>
        </w:rPr>
        <w:t>五、获取征集文件的时间、地点和方式</w:t>
      </w:r>
    </w:p>
    <w:p w14:paraId="3FBE9EE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Style w:val="20"/>
          <w:rFonts w:hint="eastAsia" w:ascii="宋体" w:hAnsi="宋体" w:eastAsia="宋体" w:cs="宋体"/>
          <w:color w:val="auto"/>
          <w:sz w:val="21"/>
          <w:szCs w:val="21"/>
        </w:rPr>
        <w:t>2025年</w:t>
      </w:r>
      <w:r>
        <w:rPr>
          <w:rStyle w:val="20"/>
          <w:rFonts w:hint="eastAsia" w:ascii="宋体" w:hAnsi="宋体" w:cs="宋体"/>
          <w:color w:val="auto"/>
          <w:sz w:val="21"/>
          <w:szCs w:val="21"/>
          <w:lang w:val="en-US" w:eastAsia="zh-CN"/>
        </w:rPr>
        <w:t>2</w:t>
      </w:r>
      <w:r>
        <w:rPr>
          <w:rStyle w:val="20"/>
          <w:rFonts w:hint="eastAsia" w:ascii="宋体" w:hAnsi="宋体" w:eastAsia="宋体" w:cs="宋体"/>
          <w:color w:val="auto"/>
          <w:sz w:val="21"/>
          <w:szCs w:val="21"/>
        </w:rPr>
        <w:t>月</w:t>
      </w:r>
      <w:r>
        <w:rPr>
          <w:rStyle w:val="20"/>
          <w:rFonts w:hint="eastAsia" w:ascii="宋体" w:hAnsi="宋体" w:cs="宋体"/>
          <w:color w:val="auto"/>
          <w:sz w:val="21"/>
          <w:szCs w:val="21"/>
          <w:lang w:val="en-US" w:eastAsia="zh-CN"/>
        </w:rPr>
        <w:t>24</w:t>
      </w:r>
      <w:r>
        <w:rPr>
          <w:rStyle w:val="20"/>
          <w:rFonts w:hint="eastAsia" w:ascii="宋体" w:hAnsi="宋体" w:eastAsia="宋体" w:cs="宋体"/>
          <w:color w:val="auto"/>
          <w:sz w:val="21"/>
          <w:szCs w:val="21"/>
        </w:rPr>
        <w:t>日</w:t>
      </w:r>
      <w:r>
        <w:rPr>
          <w:rFonts w:hint="eastAsia" w:ascii="宋体" w:hAnsi="宋体" w:eastAsia="宋体" w:cs="宋体"/>
          <w:color w:val="auto"/>
          <w:sz w:val="21"/>
          <w:szCs w:val="21"/>
        </w:rPr>
        <w:t>至</w:t>
      </w:r>
      <w:r>
        <w:rPr>
          <w:rStyle w:val="20"/>
          <w:rFonts w:hint="eastAsia" w:ascii="宋体" w:hAnsi="宋体" w:eastAsia="宋体" w:cs="宋体"/>
          <w:color w:val="auto"/>
          <w:sz w:val="21"/>
          <w:szCs w:val="21"/>
        </w:rPr>
        <w:t>2025年</w:t>
      </w:r>
      <w:r>
        <w:rPr>
          <w:rStyle w:val="20"/>
          <w:rFonts w:hint="eastAsia" w:ascii="宋体" w:hAnsi="宋体" w:cs="宋体"/>
          <w:color w:val="auto"/>
          <w:sz w:val="21"/>
          <w:szCs w:val="21"/>
          <w:lang w:val="en-US" w:eastAsia="zh-CN"/>
        </w:rPr>
        <w:t>3</w:t>
      </w:r>
      <w:r>
        <w:rPr>
          <w:rStyle w:val="20"/>
          <w:rFonts w:hint="eastAsia" w:ascii="宋体" w:hAnsi="宋体" w:eastAsia="宋体" w:cs="宋体"/>
          <w:color w:val="auto"/>
          <w:sz w:val="21"/>
          <w:szCs w:val="21"/>
        </w:rPr>
        <w:t>月</w:t>
      </w:r>
      <w:r>
        <w:rPr>
          <w:rStyle w:val="20"/>
          <w:rFonts w:hint="eastAsia" w:ascii="宋体" w:hAnsi="宋体" w:cs="宋体"/>
          <w:color w:val="auto"/>
          <w:sz w:val="21"/>
          <w:szCs w:val="21"/>
          <w:lang w:val="en-US" w:eastAsia="zh-CN"/>
        </w:rPr>
        <w:t>3</w:t>
      </w:r>
      <w:r>
        <w:rPr>
          <w:rStyle w:val="20"/>
          <w:rFonts w:hint="eastAsia" w:ascii="宋体" w:hAnsi="宋体" w:eastAsia="宋体" w:cs="宋体"/>
          <w:color w:val="auto"/>
          <w:sz w:val="21"/>
          <w:szCs w:val="21"/>
        </w:rPr>
        <w:t>日</w:t>
      </w:r>
      <w:r>
        <w:rPr>
          <w:rFonts w:hint="eastAsia" w:ascii="宋体" w:hAnsi="宋体" w:eastAsia="宋体" w:cs="宋体"/>
          <w:color w:val="auto"/>
          <w:sz w:val="21"/>
          <w:szCs w:val="21"/>
        </w:rPr>
        <w:t> ，每天上午</w:t>
      </w:r>
      <w:r>
        <w:rPr>
          <w:rStyle w:val="20"/>
          <w:rFonts w:hint="eastAsia" w:ascii="宋体" w:hAnsi="宋体" w:eastAsia="宋体" w:cs="宋体"/>
          <w:color w:val="auto"/>
          <w:sz w:val="21"/>
          <w:szCs w:val="21"/>
        </w:rPr>
        <w:t>00:00至11:59</w:t>
      </w:r>
      <w:r>
        <w:rPr>
          <w:rFonts w:hint="eastAsia" w:ascii="宋体" w:hAnsi="宋体" w:eastAsia="宋体" w:cs="宋体"/>
          <w:color w:val="auto"/>
          <w:sz w:val="21"/>
          <w:szCs w:val="21"/>
        </w:rPr>
        <w:t> ，下午</w:t>
      </w:r>
      <w:r>
        <w:rPr>
          <w:rStyle w:val="20"/>
          <w:rFonts w:hint="eastAsia" w:ascii="宋体" w:hAnsi="宋体" w:eastAsia="宋体" w:cs="宋体"/>
          <w:color w:val="auto"/>
          <w:sz w:val="21"/>
          <w:szCs w:val="21"/>
        </w:rPr>
        <w:t>12:00至23:59</w:t>
      </w:r>
      <w:r>
        <w:rPr>
          <w:rFonts w:hint="eastAsia" w:ascii="宋体" w:hAnsi="宋体" w:eastAsia="宋体" w:cs="宋体"/>
          <w:color w:val="auto"/>
          <w:sz w:val="21"/>
          <w:szCs w:val="21"/>
        </w:rPr>
        <w:t>（北京时间，法定节假日除外）</w:t>
      </w:r>
    </w:p>
    <w:p w14:paraId="78B524BE">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地点：</w:t>
      </w:r>
      <w:r>
        <w:rPr>
          <w:rStyle w:val="20"/>
          <w:rFonts w:hint="eastAsia" w:ascii="宋体" w:hAnsi="宋体" w:eastAsia="宋体" w:cs="宋体"/>
          <w:color w:val="auto"/>
          <w:sz w:val="21"/>
          <w:szCs w:val="21"/>
        </w:rPr>
        <w:t>广西政府采购云平台线上获取</w:t>
      </w:r>
    </w:p>
    <w:p w14:paraId="7CF7EC28">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r>
        <w:rPr>
          <w:rStyle w:val="20"/>
          <w:rFonts w:hint="eastAsia" w:ascii="宋体" w:hAnsi="宋体" w:eastAsia="宋体" w:cs="宋体"/>
          <w:color w:val="auto"/>
          <w:sz w:val="21"/>
          <w:szCs w:val="21"/>
        </w:rPr>
        <w:t>供应商登录广西政府采购云平台在线申请获取采购文件（进入“项目采购”应用，在获取采购文件菜单中选择项目，申请获取采购文件）</w:t>
      </w:r>
      <w:r>
        <w:rPr>
          <w:rStyle w:val="20"/>
          <w:rFonts w:hint="eastAsia" w:ascii="宋体" w:hAnsi="宋体" w:eastAsia="宋体" w:cs="宋体"/>
          <w:color w:val="auto"/>
          <w:sz w:val="21"/>
          <w:szCs w:val="21"/>
        </w:rPr>
        <w:br w:type="textWrapping"/>
      </w:r>
      <w:r>
        <w:rPr>
          <w:rStyle w:val="17"/>
          <w:rFonts w:hint="eastAsia" w:ascii="宋体" w:hAnsi="宋体" w:eastAsia="宋体" w:cs="宋体"/>
          <w:color w:val="auto"/>
          <w:sz w:val="21"/>
          <w:szCs w:val="21"/>
        </w:rPr>
        <w:t>六、响应文件的提交方式、提交截止时间和地点，开启方式、时间和地点</w:t>
      </w:r>
    </w:p>
    <w:p w14:paraId="19BCE97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响应文件提交截止时间：</w:t>
      </w:r>
      <w:bookmarkStart w:id="12" w:name="_GoBack"/>
      <w:bookmarkEnd w:id="12"/>
      <w:r>
        <w:rPr>
          <w:rStyle w:val="20"/>
          <w:rFonts w:hint="eastAsia" w:ascii="宋体" w:hAnsi="宋体" w:cs="宋体"/>
          <w:color w:val="auto"/>
          <w:sz w:val="21"/>
          <w:szCs w:val="21"/>
          <w:lang w:eastAsia="zh-CN"/>
        </w:rPr>
        <w:t>2025年3月18日</w:t>
      </w:r>
      <w:r>
        <w:rPr>
          <w:rStyle w:val="20"/>
          <w:rFonts w:hint="eastAsia" w:ascii="宋体" w:hAnsi="宋体" w:eastAsia="宋体" w:cs="宋体"/>
          <w:color w:val="auto"/>
          <w:sz w:val="21"/>
          <w:szCs w:val="21"/>
        </w:rPr>
        <w:t xml:space="preserve"> </w:t>
      </w:r>
      <w:r>
        <w:rPr>
          <w:rStyle w:val="20"/>
          <w:rFonts w:hint="eastAsia" w:ascii="宋体" w:hAnsi="宋体" w:eastAsia="宋体" w:cs="宋体"/>
          <w:color w:val="auto"/>
          <w:sz w:val="21"/>
          <w:szCs w:val="21"/>
          <w:lang w:val="en-US" w:eastAsia="zh-CN"/>
        </w:rPr>
        <w:t>09</w:t>
      </w:r>
      <w:r>
        <w:rPr>
          <w:rStyle w:val="20"/>
          <w:rFonts w:hint="eastAsia" w:ascii="宋体" w:hAnsi="宋体" w:eastAsia="宋体" w:cs="宋体"/>
          <w:color w:val="auto"/>
          <w:sz w:val="21"/>
          <w:szCs w:val="21"/>
        </w:rPr>
        <w:t>:</w:t>
      </w:r>
      <w:r>
        <w:rPr>
          <w:rStyle w:val="20"/>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（北京时间）</w:t>
      </w:r>
    </w:p>
    <w:p w14:paraId="6690BF15">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响应文件提交地点（网址）：</w:t>
      </w:r>
      <w:r>
        <w:rPr>
          <w:rStyle w:val="20"/>
          <w:rFonts w:hint="eastAsia" w:ascii="宋体" w:hAnsi="宋体" w:eastAsia="宋体" w:cs="宋体"/>
          <w:color w:val="auto"/>
          <w:sz w:val="21"/>
          <w:szCs w:val="21"/>
        </w:rPr>
        <w:t>请登录广西政府采购云平台投标客户端投标</w:t>
      </w:r>
    </w:p>
    <w:p w14:paraId="0E0547A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响应文件开启时间：</w:t>
      </w:r>
      <w:r>
        <w:rPr>
          <w:rStyle w:val="20"/>
          <w:rFonts w:hint="eastAsia" w:ascii="宋体" w:hAnsi="宋体" w:cs="宋体"/>
          <w:color w:val="auto"/>
          <w:sz w:val="21"/>
          <w:szCs w:val="21"/>
          <w:lang w:eastAsia="zh-CN"/>
        </w:rPr>
        <w:t>2025年3月18日</w:t>
      </w:r>
      <w:r>
        <w:rPr>
          <w:rStyle w:val="20"/>
          <w:rFonts w:hint="eastAsia" w:ascii="宋体" w:hAnsi="宋体" w:eastAsia="宋体" w:cs="宋体"/>
          <w:color w:val="auto"/>
          <w:sz w:val="21"/>
          <w:szCs w:val="21"/>
        </w:rPr>
        <w:t xml:space="preserve"> </w:t>
      </w:r>
      <w:r>
        <w:rPr>
          <w:rStyle w:val="20"/>
          <w:rFonts w:hint="eastAsia" w:ascii="宋体" w:hAnsi="宋体" w:eastAsia="宋体" w:cs="宋体"/>
          <w:color w:val="auto"/>
          <w:sz w:val="21"/>
          <w:szCs w:val="21"/>
          <w:lang w:val="en-US" w:eastAsia="zh-CN"/>
        </w:rPr>
        <w:t>09</w:t>
      </w:r>
      <w:r>
        <w:rPr>
          <w:rStyle w:val="20"/>
          <w:rFonts w:hint="eastAsia" w:ascii="宋体" w:hAnsi="宋体" w:eastAsia="宋体" w:cs="宋体"/>
          <w:color w:val="auto"/>
          <w:sz w:val="21"/>
          <w:szCs w:val="21"/>
        </w:rPr>
        <w:t>:</w:t>
      </w:r>
      <w:r>
        <w:rPr>
          <w:rStyle w:val="20"/>
          <w:rFonts w:hint="eastAsia" w:ascii="宋体" w:hAnsi="宋体" w:eastAsia="宋体" w:cs="宋体"/>
          <w:color w:val="auto"/>
          <w:sz w:val="21"/>
          <w:szCs w:val="21"/>
          <w:lang w:val="en-US" w:eastAsia="zh-CN"/>
        </w:rPr>
        <w:t>30（北京时间）</w:t>
      </w:r>
    </w:p>
    <w:p w14:paraId="6EC5371D">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响应文件开启地点：</w:t>
      </w:r>
      <w:r>
        <w:rPr>
          <w:rStyle w:val="20"/>
          <w:rFonts w:hint="eastAsia" w:ascii="宋体" w:hAnsi="宋体" w:eastAsia="宋体" w:cs="宋体"/>
          <w:color w:val="auto"/>
          <w:sz w:val="21"/>
          <w:szCs w:val="21"/>
        </w:rPr>
        <w:t xml:space="preserve">广西壮族自治区防城港市开标室1政府采购开标室1 </w:t>
      </w:r>
      <w:r>
        <w:rPr>
          <w:rFonts w:hint="eastAsia" w:ascii="宋体" w:hAnsi="宋体" w:eastAsia="宋体" w:cs="宋体"/>
          <w:color w:val="auto"/>
          <w:sz w:val="21"/>
          <w:szCs w:val="21"/>
        </w:rPr>
        <w:br w:type="textWrapping"/>
      </w:r>
      <w:r>
        <w:rPr>
          <w:rStyle w:val="17"/>
          <w:rFonts w:hint="eastAsia" w:ascii="宋体" w:hAnsi="宋体" w:eastAsia="宋体" w:cs="宋体"/>
          <w:color w:val="auto"/>
          <w:sz w:val="21"/>
          <w:szCs w:val="21"/>
        </w:rPr>
        <w:t>七、公告期限</w:t>
      </w:r>
    </w:p>
    <w:p w14:paraId="71F59574">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自本公告发布之日起5个工作日。</w:t>
      </w:r>
      <w:r>
        <w:rPr>
          <w:rFonts w:hint="eastAsia" w:ascii="宋体" w:hAnsi="宋体" w:eastAsia="宋体" w:cs="宋体"/>
          <w:color w:val="auto"/>
          <w:sz w:val="21"/>
          <w:szCs w:val="21"/>
        </w:rPr>
        <w:br w:type="textWrapping"/>
      </w:r>
      <w:r>
        <w:rPr>
          <w:rStyle w:val="17"/>
          <w:rFonts w:hint="eastAsia" w:ascii="宋体" w:hAnsi="宋体" w:eastAsia="宋体" w:cs="宋体"/>
          <w:color w:val="auto"/>
          <w:sz w:val="21"/>
          <w:szCs w:val="21"/>
        </w:rPr>
        <w:t>八、省级以上财政部门规定的其他事项</w:t>
      </w:r>
    </w:p>
    <w:p w14:paraId="4525D721">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r>
        <w:rPr>
          <w:rStyle w:val="20"/>
          <w:rFonts w:hint="eastAsia" w:ascii="宋体" w:hAnsi="宋体" w:eastAsia="宋体" w:cs="宋体"/>
          <w:color w:val="auto"/>
          <w:sz w:val="21"/>
          <w:szCs w:val="21"/>
        </w:rPr>
        <w:t>公告发布媒体：中国政府采购网、广西壮族自治区政府采购网、广西防城港防城区政府采购门户网站、全国公共资源交易平台（广西 ▪ 防城港）。</w:t>
      </w:r>
      <w:r>
        <w:rPr>
          <w:rStyle w:val="20"/>
          <w:rFonts w:hint="eastAsia" w:ascii="宋体" w:hAnsi="宋体" w:eastAsia="宋体" w:cs="宋体"/>
          <w:color w:val="auto"/>
          <w:sz w:val="21"/>
          <w:szCs w:val="21"/>
        </w:rPr>
        <w:br w:type="textWrapping"/>
      </w:r>
      <w:r>
        <w:rPr>
          <w:rStyle w:val="20"/>
          <w:rFonts w:hint="eastAsia" w:ascii="宋体" w:hAnsi="宋体" w:eastAsia="宋体" w:cs="宋体"/>
          <w:color w:val="auto"/>
          <w:sz w:val="21"/>
          <w:szCs w:val="21"/>
          <w:lang w:val="en-US" w:eastAsia="zh-CN"/>
        </w:rPr>
        <w:t xml:space="preserve">   </w:t>
      </w:r>
      <w:r>
        <w:rPr>
          <w:rStyle w:val="20"/>
          <w:rFonts w:hint="eastAsia" w:ascii="宋体" w:hAnsi="宋体" w:eastAsia="宋体" w:cs="宋体"/>
          <w:color w:val="auto"/>
          <w:sz w:val="21"/>
          <w:szCs w:val="21"/>
        </w:rPr>
        <w:t>2.需落实的政府采购政策：本项目适用政府采购促进中小企业、监狱企业发展、促进残疾人就业等有关政策，具体详见征集文件。</w:t>
      </w:r>
    </w:p>
    <w:p w14:paraId="0FAA3C2A">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3.</w:t>
      </w:r>
      <w:r>
        <w:rPr>
          <w:rStyle w:val="20"/>
          <w:rFonts w:hint="eastAsia" w:ascii="宋体" w:hAnsi="宋体" w:eastAsia="宋体" w:cs="宋体"/>
          <w:color w:val="auto"/>
          <w:sz w:val="21"/>
          <w:szCs w:val="21"/>
          <w:lang w:val="en-US" w:eastAsia="zh-CN"/>
        </w:rPr>
        <w:t>本项目不收取投标保证金。</w:t>
      </w:r>
    </w:p>
    <w:p w14:paraId="49D87460">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color w:val="auto"/>
          <w:sz w:val="21"/>
          <w:szCs w:val="21"/>
          <w:lang w:val="en-US" w:eastAsia="zh-CN"/>
        </w:rPr>
      </w:pPr>
      <w:r>
        <w:rPr>
          <w:rStyle w:val="20"/>
          <w:rFonts w:hint="eastAsia" w:ascii="宋体" w:hAnsi="宋体" w:eastAsia="宋体" w:cs="宋体"/>
          <w:color w:val="auto"/>
          <w:sz w:val="21"/>
          <w:szCs w:val="21"/>
          <w:lang w:val="en-US" w:eastAsia="zh-CN"/>
        </w:rPr>
        <w:t>4.监督部门</w:t>
      </w:r>
    </w:p>
    <w:p w14:paraId="44E54C01">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color w:val="auto"/>
          <w:sz w:val="21"/>
          <w:szCs w:val="21"/>
          <w:lang w:val="en-US" w:eastAsia="zh-CN"/>
        </w:rPr>
      </w:pPr>
      <w:r>
        <w:rPr>
          <w:rStyle w:val="20"/>
          <w:rFonts w:hint="eastAsia" w:ascii="宋体" w:hAnsi="宋体" w:eastAsia="宋体" w:cs="宋体"/>
          <w:color w:val="auto"/>
          <w:sz w:val="21"/>
          <w:szCs w:val="21"/>
          <w:lang w:val="en-US" w:eastAsia="zh-CN"/>
        </w:rPr>
        <w:t>名称：防城港市防城区政府采购中心，电话：0770-2213681</w:t>
      </w:r>
    </w:p>
    <w:p w14:paraId="131DFF8A">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210" w:leftChars="100" w:right="0" w:rightChars="0" w:firstLine="210" w:firstLineChars="100"/>
        <w:textAlignment w:val="baseline"/>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w:t>
      </w:r>
    </w:p>
    <w:p w14:paraId="1233D967">
      <w:pPr>
        <w:pStyle w:val="13"/>
        <w:keepNext w:val="0"/>
        <w:keepLines w:val="0"/>
        <w:widowControl/>
        <w:suppressLineNumbers w:val="0"/>
        <w:spacing w:before="75" w:beforeAutospacing="0" w:after="75" w:afterAutospacing="0"/>
        <w:ind w:left="0" w:right="0"/>
        <w:jc w:val="left"/>
        <w:rPr>
          <w:rFonts w:hint="eastAsia" w:ascii="宋体" w:hAnsi="宋体" w:eastAsia="宋体" w:cs="宋体"/>
          <w:color w:val="auto"/>
          <w:sz w:val="21"/>
          <w:szCs w:val="21"/>
        </w:rPr>
      </w:pPr>
    </w:p>
    <w:p w14:paraId="25222AF5">
      <w:pPr>
        <w:pStyle w:val="13"/>
        <w:keepNext w:val="0"/>
        <w:keepLines w:val="0"/>
        <w:widowControl/>
        <w:suppressLineNumbers w:val="0"/>
        <w:spacing w:before="75" w:beforeAutospacing="0" w:after="75" w:afterAutospacing="0"/>
        <w:ind w:left="0" w:right="0"/>
        <w:rPr>
          <w:rFonts w:hint="eastAsia" w:ascii="宋体" w:hAnsi="宋体" w:eastAsia="宋体" w:cs="宋体"/>
          <w:color w:val="auto"/>
          <w:sz w:val="21"/>
          <w:szCs w:val="21"/>
        </w:rPr>
      </w:pPr>
    </w:p>
    <w:p w14:paraId="5C6AC992">
      <w:pPr>
        <w:rPr>
          <w:rFonts w:hint="eastAsia" w:ascii="宋体" w:hAnsi="宋体" w:eastAsia="宋体" w:cs="宋体"/>
          <w:color w:val="auto"/>
          <w:sz w:val="21"/>
          <w:szCs w:val="21"/>
        </w:rPr>
      </w:pPr>
    </w:p>
    <w:p w14:paraId="54D8AF82">
      <w:pPr>
        <w:kinsoku/>
        <w:topLinePunct/>
        <w:autoSpaceDE/>
        <w:autoSpaceDN/>
        <w:ind w:right="86" w:rightChars="41"/>
        <w:rPr>
          <w:rFonts w:ascii="宋体" w:cs="宋体"/>
          <w:color w:val="auto"/>
          <w:highlight w:val="none"/>
        </w:rPr>
        <w:sectPr>
          <w:headerReference r:id="rId5" w:type="default"/>
          <w:footerReference r:id="rId6" w:type="default"/>
          <w:pgSz w:w="11907" w:h="16839"/>
          <w:pgMar w:top="1440" w:right="1080" w:bottom="1440" w:left="1080" w:header="879" w:footer="900" w:gutter="0"/>
          <w:pgBorders>
            <w:top w:val="none" w:sz="0" w:space="0"/>
            <w:left w:val="none" w:sz="0" w:space="0"/>
            <w:bottom w:val="none" w:sz="0" w:space="0"/>
            <w:right w:val="none" w:sz="0" w:space="0"/>
          </w:pgBorders>
          <w:pgNumType w:fmt="decimal"/>
          <w:cols w:space="720" w:num="1"/>
        </w:sectPr>
      </w:pPr>
    </w:p>
    <w:p w14:paraId="28A4C4FF">
      <w:pPr>
        <w:pStyle w:val="2"/>
        <w:kinsoku/>
        <w:topLinePunct/>
        <w:autoSpaceDE/>
        <w:autoSpaceDN/>
        <w:ind w:right="86" w:rightChars="41"/>
        <w:rPr>
          <w:rFonts w:ascii="宋体" w:cs="宋体"/>
          <w:color w:val="auto"/>
          <w:highlight w:val="none"/>
        </w:rPr>
      </w:pPr>
      <w:bookmarkStart w:id="2" w:name="_Toc24649"/>
      <w:r>
        <w:rPr>
          <w:rFonts w:hint="eastAsia" w:ascii="宋体" w:hAnsi="宋体" w:cs="宋体"/>
          <w:color w:val="auto"/>
          <w:highlight w:val="none"/>
        </w:rPr>
        <w:t>第二章采购需求</w:t>
      </w:r>
      <w:bookmarkEnd w:id="2"/>
    </w:p>
    <w:p w14:paraId="5EFBBA6F">
      <w:pPr>
        <w:spacing w:before="6"/>
        <w:ind w:left="478" w:right="0" w:firstLine="0"/>
        <w:jc w:val="left"/>
        <w:rPr>
          <w:rFonts w:hint="eastAsia" w:ascii="黑体" w:eastAsia="黑体"/>
          <w:b/>
          <w:color w:val="auto"/>
          <w:spacing w:val="0"/>
          <w:sz w:val="28"/>
        </w:rPr>
      </w:pPr>
      <w:r>
        <w:rPr>
          <w:rFonts w:hint="eastAsia" w:ascii="黑体" w:eastAsia="黑体"/>
          <w:b/>
          <w:color w:val="auto"/>
          <w:spacing w:val="0"/>
          <w:sz w:val="28"/>
        </w:rPr>
        <w:t>一、总体要求</w:t>
      </w:r>
    </w:p>
    <w:p w14:paraId="26A1BD84">
      <w:pPr>
        <w:pStyle w:val="7"/>
        <w:spacing w:before="3"/>
        <w:rPr>
          <w:rFonts w:ascii="黑体"/>
          <w:b/>
          <w:color w:val="auto"/>
          <w:spacing w:val="0"/>
          <w:sz w:val="8"/>
        </w:rPr>
      </w:pPr>
    </w:p>
    <w:p w14:paraId="56A5A773">
      <w:pPr>
        <w:pStyle w:val="34"/>
        <w:numPr>
          <w:ilvl w:val="0"/>
          <w:numId w:val="1"/>
        </w:numPr>
        <w:tabs>
          <w:tab w:val="left" w:pos="1318"/>
          <w:tab w:val="left" w:pos="1319"/>
        </w:tabs>
        <w:spacing w:before="79" w:after="0" w:line="240" w:lineRule="auto"/>
        <w:ind w:left="1318" w:right="0" w:hanging="420"/>
        <w:jc w:val="left"/>
        <w:rPr>
          <w:color w:val="auto"/>
          <w:spacing w:val="0"/>
          <w:sz w:val="21"/>
        </w:rPr>
      </w:pPr>
      <w:r>
        <w:rPr>
          <w:color w:val="auto"/>
          <w:spacing w:val="0"/>
          <w:sz w:val="21"/>
        </w:rPr>
        <w:t>政府采购政策的应用</w:t>
      </w:r>
    </w:p>
    <w:p w14:paraId="31AB50D2">
      <w:pPr>
        <w:pStyle w:val="7"/>
        <w:spacing w:before="138"/>
        <w:ind w:left="1318"/>
        <w:rPr>
          <w:color w:val="auto"/>
          <w:spacing w:val="0"/>
        </w:rPr>
      </w:pPr>
      <w:r>
        <w:rPr>
          <w:color w:val="auto"/>
          <w:spacing w:val="0"/>
        </w:rPr>
        <w:t>详见征集文件第四章“评审方法及标准”政府采购政策应用说明部分。</w:t>
      </w:r>
    </w:p>
    <w:p w14:paraId="5A806275">
      <w:pPr>
        <w:pStyle w:val="34"/>
        <w:numPr>
          <w:ilvl w:val="0"/>
          <w:numId w:val="1"/>
        </w:numPr>
        <w:tabs>
          <w:tab w:val="left" w:pos="1318"/>
          <w:tab w:val="left" w:pos="1319"/>
        </w:tabs>
        <w:spacing w:before="142" w:after="0" w:line="240" w:lineRule="auto"/>
        <w:ind w:left="1318" w:right="0" w:hanging="420"/>
        <w:jc w:val="left"/>
        <w:rPr>
          <w:color w:val="auto"/>
          <w:spacing w:val="0"/>
          <w:sz w:val="21"/>
        </w:rPr>
      </w:pPr>
      <w:r>
        <w:rPr>
          <w:color w:val="auto"/>
          <w:spacing w:val="0"/>
          <w:sz w:val="21"/>
        </w:rPr>
        <w:t>标的所属行业</w:t>
      </w:r>
    </w:p>
    <w:p w14:paraId="39A80B0B">
      <w:pPr>
        <w:pStyle w:val="7"/>
        <w:spacing w:before="139"/>
        <w:ind w:left="1318"/>
        <w:rPr>
          <w:b/>
          <w:bCs/>
          <w:color w:val="auto"/>
          <w:spacing w:val="0"/>
        </w:rPr>
      </w:pPr>
      <w:r>
        <w:rPr>
          <w:rFonts w:hint="eastAsia" w:ascii="宋体" w:hAnsi="宋体" w:eastAsia="宋体" w:cs="宋体"/>
          <w:b/>
          <w:bCs/>
          <w:color w:val="auto"/>
          <w:spacing w:val="0"/>
        </w:rPr>
        <w:t>租赁和商务服务业</w:t>
      </w:r>
    </w:p>
    <w:p w14:paraId="1505D2E6">
      <w:pPr>
        <w:pStyle w:val="34"/>
        <w:numPr>
          <w:ilvl w:val="0"/>
          <w:numId w:val="1"/>
        </w:numPr>
        <w:tabs>
          <w:tab w:val="left" w:pos="1318"/>
          <w:tab w:val="left" w:pos="1319"/>
        </w:tabs>
        <w:spacing w:before="139" w:after="0" w:line="240" w:lineRule="auto"/>
        <w:ind w:left="1318" w:right="0" w:hanging="420"/>
        <w:jc w:val="left"/>
        <w:rPr>
          <w:color w:val="auto"/>
          <w:spacing w:val="0"/>
          <w:sz w:val="21"/>
        </w:rPr>
      </w:pPr>
      <w:r>
        <w:rPr>
          <w:color w:val="auto"/>
          <w:spacing w:val="0"/>
          <w:sz w:val="21"/>
        </w:rPr>
        <w:t>采购需求未尽事宜由</w:t>
      </w:r>
      <w:r>
        <w:rPr>
          <w:rFonts w:hint="eastAsia"/>
          <w:color w:val="auto"/>
          <w:spacing w:val="0"/>
          <w:sz w:val="21"/>
          <w:lang w:eastAsia="zh-CN"/>
        </w:rPr>
        <w:t>采购人</w:t>
      </w:r>
      <w:r>
        <w:rPr>
          <w:color w:val="auto"/>
          <w:spacing w:val="0"/>
          <w:sz w:val="21"/>
        </w:rPr>
        <w:t>与成交供应商在采购合同中约定。</w:t>
      </w:r>
    </w:p>
    <w:p w14:paraId="1922591E">
      <w:pPr>
        <w:pStyle w:val="7"/>
        <w:spacing w:before="139"/>
        <w:ind w:left="1318"/>
        <w:rPr>
          <w:color w:val="auto"/>
          <w:spacing w:val="0"/>
        </w:rPr>
      </w:pPr>
      <w:r>
        <w:rPr>
          <w:color w:val="auto"/>
          <w:spacing w:val="0"/>
        </w:rPr>
        <w:t>供应商响应的服务的技术、商务等条件不得低于采购需求所有要求。</w:t>
      </w:r>
    </w:p>
    <w:p w14:paraId="267FD613">
      <w:pPr>
        <w:pStyle w:val="7"/>
        <w:spacing w:before="139"/>
        <w:ind w:firstLine="562" w:firstLineChars="200"/>
        <w:rPr>
          <w:rFonts w:hint="eastAsia" w:asciiTheme="minorEastAsia" w:hAnsiTheme="minorEastAsia" w:eastAsiaTheme="minorEastAsia" w:cstheme="minorEastAsia"/>
          <w:color w:val="auto"/>
          <w:spacing w:val="0"/>
          <w:sz w:val="21"/>
          <w:szCs w:val="21"/>
          <w:highlight w:val="none"/>
        </w:rPr>
      </w:pPr>
      <w:r>
        <w:rPr>
          <w:rFonts w:hint="eastAsia" w:ascii="黑体" w:eastAsia="黑体"/>
          <w:b/>
          <w:color w:val="auto"/>
          <w:spacing w:val="0"/>
          <w:sz w:val="28"/>
          <w:lang w:val="en-US" w:eastAsia="zh-CN"/>
        </w:rPr>
        <w:t>二、</w:t>
      </w:r>
      <w:r>
        <w:rPr>
          <w:rFonts w:hint="eastAsia" w:ascii="黑体" w:eastAsia="黑体"/>
          <w:b/>
          <w:color w:val="auto"/>
          <w:spacing w:val="0"/>
          <w:sz w:val="28"/>
          <w:lang w:eastAsia="zh-CN"/>
        </w:rPr>
        <w:t>征集人</w:t>
      </w:r>
      <w:r>
        <w:rPr>
          <w:rFonts w:hint="eastAsia" w:ascii="黑体" w:eastAsia="黑体"/>
          <w:b/>
          <w:color w:val="auto"/>
          <w:spacing w:val="0"/>
          <w:sz w:val="28"/>
        </w:rPr>
        <w:t>将项目安排供应商协审服务时，按以下费率计算协审服务费用：</w:t>
      </w:r>
    </w:p>
    <w:p w14:paraId="6059D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lang w:val="zh-CN"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（一）评审服务费=</w:t>
      </w:r>
      <w:r>
        <w:rPr>
          <w:rFonts w:hint="eastAsia" w:asciiTheme="minorEastAsia" w:hAnsiTheme="minorEastAsia" w:eastAsiaTheme="minorEastAsia" w:cstheme="minorEastAsia"/>
          <w:bCs w:val="0"/>
          <w:color w:val="auto"/>
          <w:spacing w:val="0"/>
          <w:kern w:val="2"/>
          <w:sz w:val="21"/>
          <w:szCs w:val="21"/>
          <w:lang w:val="zh-CN" w:eastAsia="zh-CN" w:bidi="ar-SA"/>
        </w:rPr>
        <w:t>基本费或效益费（二者选高值）</w:t>
      </w:r>
    </w:p>
    <w:p w14:paraId="4E2BA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lang w:val="zh-CN" w:eastAsia="zh-CN" w:bidi="ar-SA"/>
        </w:rPr>
      </w:pPr>
      <w:r>
        <w:rPr>
          <w:rFonts w:hint="eastAsia" w:asciiTheme="minorEastAsia" w:hAnsiTheme="minorEastAsia" w:eastAsiaTheme="minorEastAsia" w:cstheme="minorEastAsia"/>
          <w:bCs w:val="0"/>
          <w:color w:val="auto"/>
          <w:spacing w:val="0"/>
          <w:kern w:val="2"/>
          <w:sz w:val="21"/>
          <w:szCs w:val="21"/>
          <w:lang w:val="zh-CN" w:eastAsia="zh-CN" w:bidi="ar-SA"/>
        </w:rPr>
        <w:t>（二）基本费、效益费的计算</w:t>
      </w:r>
    </w:p>
    <w:p w14:paraId="38AF47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1.基本费按经财政部门确认的审定造价实行分段累进计算，基本费=∑（工程项目审定造价（不含暂列金额）×基本费费率×难度系数）：</w:t>
      </w:r>
    </w:p>
    <w:tbl>
      <w:tblPr>
        <w:tblStyle w:val="14"/>
        <w:tblW w:w="8145"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75"/>
        <w:gridCol w:w="1845"/>
        <w:gridCol w:w="2925"/>
      </w:tblGrid>
      <w:tr w14:paraId="5468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trPr>
        <w:tc>
          <w:tcPr>
            <w:tcW w:w="3375" w:type="dxa"/>
            <w:noWrap w:val="0"/>
            <w:vAlign w:val="center"/>
          </w:tcPr>
          <w:p w14:paraId="23AD3A56">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审定单项造价M（万元）</w:t>
            </w:r>
          </w:p>
        </w:tc>
        <w:tc>
          <w:tcPr>
            <w:tcW w:w="1845" w:type="dxa"/>
            <w:noWrap w:val="0"/>
            <w:vAlign w:val="center"/>
          </w:tcPr>
          <w:p w14:paraId="4A0DCA52">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审服务费计费标准（费率）‰</w:t>
            </w:r>
          </w:p>
        </w:tc>
        <w:tc>
          <w:tcPr>
            <w:tcW w:w="2925" w:type="dxa"/>
            <w:noWrap w:val="0"/>
            <w:vAlign w:val="center"/>
          </w:tcPr>
          <w:p w14:paraId="7E1037D7">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预算基本费最高值</w:t>
            </w:r>
          </w:p>
        </w:tc>
      </w:tr>
      <w:tr w14:paraId="161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3375" w:type="dxa"/>
            <w:noWrap w:val="0"/>
            <w:vAlign w:val="center"/>
          </w:tcPr>
          <w:p w14:paraId="1B549A31">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500</w:t>
            </w:r>
          </w:p>
        </w:tc>
        <w:tc>
          <w:tcPr>
            <w:tcW w:w="1845" w:type="dxa"/>
            <w:noWrap w:val="0"/>
            <w:vAlign w:val="center"/>
          </w:tcPr>
          <w:p w14:paraId="3A281A61">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461</w:t>
            </w:r>
          </w:p>
        </w:tc>
        <w:tc>
          <w:tcPr>
            <w:tcW w:w="2925" w:type="dxa"/>
            <w:vMerge w:val="restart"/>
            <w:noWrap w:val="0"/>
            <w:vAlign w:val="center"/>
          </w:tcPr>
          <w:p w14:paraId="0B061A1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单笔评审费不得超过审定额的4‰</w:t>
            </w:r>
            <w:r>
              <w:rPr>
                <w:rFonts w:hint="eastAsia" w:ascii="宋体" w:hAnsi="宋体" w:eastAsia="宋体" w:cs="宋体"/>
                <w:color w:val="auto"/>
                <w:sz w:val="21"/>
                <w:szCs w:val="21"/>
                <w:lang w:val="en-US" w:eastAsia="zh-CN"/>
              </w:rPr>
              <w:t>,且不能超过</w:t>
            </w:r>
            <w:r>
              <w:rPr>
                <w:rFonts w:hint="eastAsia" w:ascii="宋体" w:hAnsi="宋体" w:eastAsia="宋体" w:cs="宋体"/>
                <w:color w:val="auto"/>
                <w:sz w:val="21"/>
                <w:szCs w:val="21"/>
                <w:highlight w:val="none"/>
                <w:lang w:val="en-US" w:eastAsia="zh-CN"/>
              </w:rPr>
              <w:t>50万元上限。</w:t>
            </w:r>
          </w:p>
        </w:tc>
      </w:tr>
      <w:tr w14:paraId="51DE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75" w:type="dxa"/>
            <w:noWrap w:val="0"/>
            <w:vAlign w:val="center"/>
          </w:tcPr>
          <w:p w14:paraId="2D795298">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00&lt;M≤</w:t>
            </w:r>
            <w:r>
              <w:rPr>
                <w:rFonts w:hint="eastAsia" w:ascii="宋体" w:hAnsi="宋体" w:eastAsia="宋体" w:cs="宋体"/>
                <w:color w:val="auto"/>
                <w:highlight w:val="none"/>
                <w:lang w:val="en-US" w:eastAsia="zh-CN"/>
              </w:rPr>
              <w:t>3000</w:t>
            </w:r>
          </w:p>
        </w:tc>
        <w:tc>
          <w:tcPr>
            <w:tcW w:w="1845" w:type="dxa"/>
            <w:noWrap w:val="0"/>
            <w:vAlign w:val="center"/>
          </w:tcPr>
          <w:p w14:paraId="0FCD8EE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w:t>
            </w:r>
          </w:p>
        </w:tc>
        <w:tc>
          <w:tcPr>
            <w:tcW w:w="2925" w:type="dxa"/>
            <w:vMerge w:val="continue"/>
            <w:noWrap w:val="0"/>
            <w:vAlign w:val="center"/>
          </w:tcPr>
          <w:p w14:paraId="47B7F366">
            <w:pPr>
              <w:pStyle w:val="8"/>
              <w:pageBreakBefore w:val="0"/>
              <w:kinsoku/>
              <w:wordWrap/>
              <w:overflowPunct/>
              <w:topLinePunct w:val="0"/>
              <w:autoSpaceDE/>
              <w:bidi w:val="0"/>
              <w:adjustRightInd/>
              <w:spacing w:line="360" w:lineRule="auto"/>
              <w:ind w:left="130" w:leftChars="62" w:firstLine="420" w:firstLineChars="200"/>
              <w:jc w:val="left"/>
              <w:rPr>
                <w:rFonts w:hint="default" w:ascii="仿宋_GB2312" w:hAnsi="仿宋_GB2312" w:eastAsia="仿宋_GB2312" w:cs="仿宋_GB2312"/>
                <w:color w:val="auto"/>
                <w:highlight w:val="none"/>
                <w:lang w:val="en-US" w:eastAsia="zh-CN"/>
              </w:rPr>
            </w:pPr>
          </w:p>
        </w:tc>
      </w:tr>
      <w:tr w14:paraId="520D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75" w:type="dxa"/>
            <w:noWrap w:val="0"/>
            <w:vAlign w:val="center"/>
          </w:tcPr>
          <w:p w14:paraId="2C3A5164">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000&lt;M≤10000</w:t>
            </w:r>
          </w:p>
        </w:tc>
        <w:tc>
          <w:tcPr>
            <w:tcW w:w="1845" w:type="dxa"/>
            <w:noWrap w:val="0"/>
            <w:vAlign w:val="center"/>
          </w:tcPr>
          <w:p w14:paraId="52607C0F">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73</w:t>
            </w:r>
          </w:p>
        </w:tc>
        <w:tc>
          <w:tcPr>
            <w:tcW w:w="2925" w:type="dxa"/>
            <w:vMerge w:val="continue"/>
            <w:noWrap w:val="0"/>
            <w:vAlign w:val="center"/>
          </w:tcPr>
          <w:p w14:paraId="145DA98F">
            <w:pPr>
              <w:pStyle w:val="8"/>
              <w:pageBreakBefore w:val="0"/>
              <w:kinsoku/>
              <w:wordWrap/>
              <w:overflowPunct/>
              <w:topLinePunct w:val="0"/>
              <w:autoSpaceDE/>
              <w:bidi w:val="0"/>
              <w:adjustRightInd/>
              <w:spacing w:line="360" w:lineRule="auto"/>
              <w:ind w:left="130" w:leftChars="62" w:firstLine="420" w:firstLineChars="200"/>
              <w:jc w:val="left"/>
              <w:rPr>
                <w:rFonts w:hint="eastAsia" w:ascii="仿宋_GB2312" w:hAnsi="仿宋_GB2312" w:eastAsia="仿宋_GB2312" w:cs="仿宋_GB2312"/>
                <w:color w:val="auto"/>
                <w:highlight w:val="none"/>
                <w:lang w:val="en-US" w:eastAsia="zh-CN"/>
              </w:rPr>
            </w:pPr>
          </w:p>
        </w:tc>
      </w:tr>
      <w:tr w14:paraId="27F1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75" w:type="dxa"/>
            <w:noWrap w:val="0"/>
            <w:vAlign w:val="center"/>
          </w:tcPr>
          <w:p w14:paraId="319B6AF4">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10000&lt;M≤</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0000</w:t>
            </w:r>
          </w:p>
        </w:tc>
        <w:tc>
          <w:tcPr>
            <w:tcW w:w="1845" w:type="dxa"/>
            <w:noWrap w:val="0"/>
            <w:vAlign w:val="center"/>
          </w:tcPr>
          <w:p w14:paraId="2C8B4988">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37</w:t>
            </w:r>
          </w:p>
        </w:tc>
        <w:tc>
          <w:tcPr>
            <w:tcW w:w="2925" w:type="dxa"/>
            <w:vMerge w:val="continue"/>
            <w:noWrap w:val="0"/>
            <w:vAlign w:val="center"/>
          </w:tcPr>
          <w:p w14:paraId="6E5DEAB7">
            <w:pPr>
              <w:pStyle w:val="8"/>
              <w:pageBreakBefore w:val="0"/>
              <w:kinsoku/>
              <w:wordWrap/>
              <w:overflowPunct/>
              <w:topLinePunct w:val="0"/>
              <w:autoSpaceDE/>
              <w:bidi w:val="0"/>
              <w:adjustRightInd/>
              <w:spacing w:line="360" w:lineRule="auto"/>
              <w:ind w:left="130" w:leftChars="62" w:firstLine="420" w:firstLineChars="200"/>
              <w:jc w:val="left"/>
              <w:rPr>
                <w:rFonts w:hint="eastAsia" w:ascii="仿宋_GB2312" w:hAnsi="仿宋_GB2312" w:eastAsia="仿宋_GB2312" w:cs="仿宋_GB2312"/>
                <w:color w:val="auto"/>
                <w:highlight w:val="none"/>
                <w:lang w:val="en-US" w:eastAsia="zh-CN"/>
              </w:rPr>
            </w:pPr>
          </w:p>
        </w:tc>
      </w:tr>
      <w:tr w14:paraId="406A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375" w:type="dxa"/>
            <w:noWrap w:val="0"/>
            <w:vAlign w:val="center"/>
          </w:tcPr>
          <w:p w14:paraId="1BE52895">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0000&lt;M</w:t>
            </w:r>
          </w:p>
        </w:tc>
        <w:tc>
          <w:tcPr>
            <w:tcW w:w="1845" w:type="dxa"/>
            <w:noWrap w:val="0"/>
            <w:vAlign w:val="center"/>
          </w:tcPr>
          <w:p w14:paraId="40F7E4EF">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143</w:t>
            </w:r>
          </w:p>
        </w:tc>
        <w:tc>
          <w:tcPr>
            <w:tcW w:w="2925" w:type="dxa"/>
            <w:vMerge w:val="continue"/>
            <w:noWrap w:val="0"/>
            <w:vAlign w:val="center"/>
          </w:tcPr>
          <w:p w14:paraId="66872652">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color w:val="auto"/>
                <w:highlight w:val="none"/>
                <w:lang w:val="en-US" w:eastAsia="zh-CN"/>
              </w:rPr>
            </w:pPr>
          </w:p>
        </w:tc>
      </w:tr>
    </w:tbl>
    <w:p w14:paraId="68CA3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2.效益费按经财政部门确认的净核减值实行分段累进计算，效益费=∑（净核</w:t>
      </w:r>
      <w:r>
        <w:rPr>
          <w:rFonts w:hint="eastAsia" w:asciiTheme="minorEastAsia" w:hAnsiTheme="minorEastAsia" w:eastAsiaTheme="minorEastAsia" w:cstheme="minorEastAsia"/>
          <w:color w:val="auto"/>
          <w:sz w:val="21"/>
          <w:szCs w:val="21"/>
          <w:lang w:val="zh-CN" w:eastAsia="zh-CN"/>
        </w:rPr>
        <w:t>减值</w:t>
      </w:r>
      <w:r>
        <w:rPr>
          <w:rFonts w:hint="eastAsia" w:asciiTheme="minorEastAsia" w:hAnsiTheme="minorEastAsia" w:eastAsiaTheme="minorEastAsia" w:cstheme="minorEastAsia"/>
          <w:color w:val="auto"/>
          <w:sz w:val="21"/>
          <w:szCs w:val="21"/>
          <w:lang w:val="en-US" w:eastAsia="zh-CN"/>
        </w:rPr>
        <w:t>×效率费费率×难度系数），净核减值（不含暂列金额、暂估价部分的核减），</w:t>
      </w:r>
      <w:r>
        <w:rPr>
          <w:rFonts w:hint="eastAsia" w:asciiTheme="minorEastAsia" w:hAnsiTheme="minorEastAsia" w:eastAsiaTheme="minorEastAsia" w:cstheme="minorEastAsia"/>
          <w:color w:val="auto"/>
          <w:sz w:val="21"/>
          <w:szCs w:val="21"/>
          <w:lang w:val="zh-CN" w:eastAsia="zh-CN"/>
        </w:rPr>
        <w:t>具体如下：</w:t>
      </w:r>
    </w:p>
    <w:tbl>
      <w:tblPr>
        <w:tblStyle w:val="14"/>
        <w:tblpPr w:leftFromText="180" w:rightFromText="180" w:vertAnchor="text" w:horzAnchor="page" w:tblpX="190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15"/>
        <w:gridCol w:w="1850"/>
        <w:gridCol w:w="3063"/>
      </w:tblGrid>
      <w:tr w14:paraId="6BB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2" w:type="dxa"/>
            <w:noWrap w:val="0"/>
            <w:vAlign w:val="center"/>
          </w:tcPr>
          <w:p w14:paraId="34862DA7">
            <w:pPr>
              <w:pageBreakBefore w:val="0"/>
              <w:kinsoku/>
              <w:wordWrap/>
              <w:overflowPunct/>
              <w:topLinePunct w:val="0"/>
              <w:autoSpaceDE/>
              <w:autoSpaceDN w:val="0"/>
              <w:bidi w:val="0"/>
              <w:adjustRightInd/>
              <w:spacing w:line="360" w:lineRule="auto"/>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序号</w:t>
            </w:r>
          </w:p>
        </w:tc>
        <w:tc>
          <w:tcPr>
            <w:tcW w:w="2415" w:type="dxa"/>
            <w:noWrap w:val="0"/>
            <w:vAlign w:val="center"/>
          </w:tcPr>
          <w:p w14:paraId="7A912026">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净核减值</w:t>
            </w:r>
          </w:p>
        </w:tc>
        <w:tc>
          <w:tcPr>
            <w:tcW w:w="1850" w:type="dxa"/>
            <w:noWrap w:val="0"/>
            <w:vAlign w:val="center"/>
          </w:tcPr>
          <w:p w14:paraId="61456D0B">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效率费率</w:t>
            </w:r>
          </w:p>
        </w:tc>
        <w:tc>
          <w:tcPr>
            <w:tcW w:w="3063" w:type="dxa"/>
            <w:noWrap w:val="0"/>
            <w:vAlign w:val="center"/>
          </w:tcPr>
          <w:p w14:paraId="0C23D41C">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预算基本费最高值</w:t>
            </w:r>
          </w:p>
        </w:tc>
      </w:tr>
      <w:tr w14:paraId="2080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32" w:type="dxa"/>
            <w:noWrap w:val="0"/>
            <w:vAlign w:val="center"/>
          </w:tcPr>
          <w:p w14:paraId="196688AF">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p>
        </w:tc>
        <w:tc>
          <w:tcPr>
            <w:tcW w:w="2415" w:type="dxa"/>
            <w:noWrap w:val="0"/>
            <w:vAlign w:val="center"/>
          </w:tcPr>
          <w:p w14:paraId="342B65F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zh-CN"/>
              </w:rPr>
              <w:t>净核减值≤100万元</w:t>
            </w:r>
          </w:p>
        </w:tc>
        <w:tc>
          <w:tcPr>
            <w:tcW w:w="1850" w:type="dxa"/>
            <w:noWrap w:val="0"/>
            <w:vAlign w:val="center"/>
          </w:tcPr>
          <w:p w14:paraId="2892915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p>
        </w:tc>
        <w:tc>
          <w:tcPr>
            <w:tcW w:w="3063" w:type="dxa"/>
            <w:vMerge w:val="restart"/>
            <w:noWrap w:val="0"/>
            <w:vAlign w:val="center"/>
          </w:tcPr>
          <w:p w14:paraId="0A6FAFAA">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p w14:paraId="4B74F7EB">
            <w:pPr>
              <w:keepNext w:val="0"/>
              <w:keepLines w:val="0"/>
              <w:pageBreakBefore w:val="0"/>
              <w:widowControl/>
              <w:suppressLineNumbers w:val="0"/>
              <w:kinsoku/>
              <w:wordWrap/>
              <w:overflowPunct/>
              <w:topLinePunct w:val="0"/>
              <w:autoSpaceDE/>
              <w:bidi w:val="0"/>
              <w:adjustRightInd/>
              <w:spacing w:line="360" w:lineRule="auto"/>
              <w:jc w:val="left"/>
              <w:textAlignment w:val="center"/>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lang w:val="zh-CN" w:eastAsia="zh-CN" w:bidi="zh-CN"/>
              </w:rPr>
              <w:t>单笔评审费不得超过审定额的4‰</w:t>
            </w:r>
            <w:r>
              <w:rPr>
                <w:rFonts w:hint="eastAsia" w:ascii="宋体" w:hAnsi="宋体" w:eastAsia="宋体" w:cs="宋体"/>
                <w:color w:val="auto"/>
                <w:sz w:val="21"/>
                <w:szCs w:val="21"/>
                <w:lang w:val="en-US" w:eastAsia="zh-CN" w:bidi="zh-CN"/>
              </w:rPr>
              <w:t>,且不能超过50万元上限。</w:t>
            </w:r>
          </w:p>
        </w:tc>
      </w:tr>
      <w:tr w14:paraId="7A0F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2" w:type="dxa"/>
            <w:noWrap w:val="0"/>
            <w:vAlign w:val="center"/>
          </w:tcPr>
          <w:p w14:paraId="0A37E9B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w:t>
            </w:r>
          </w:p>
        </w:tc>
        <w:tc>
          <w:tcPr>
            <w:tcW w:w="2415" w:type="dxa"/>
            <w:noWrap w:val="0"/>
            <w:vAlign w:val="center"/>
          </w:tcPr>
          <w:p w14:paraId="085AEE0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100万元&lt;净核减值≤300万元</w:t>
            </w:r>
          </w:p>
        </w:tc>
        <w:tc>
          <w:tcPr>
            <w:tcW w:w="1850" w:type="dxa"/>
            <w:noWrap w:val="0"/>
            <w:vAlign w:val="center"/>
          </w:tcPr>
          <w:p w14:paraId="46B5FDD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2.9</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1D79273D">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tc>
      </w:tr>
      <w:tr w14:paraId="5AB5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2" w:type="dxa"/>
            <w:noWrap w:val="0"/>
            <w:vAlign w:val="center"/>
          </w:tcPr>
          <w:p w14:paraId="00A2B8E4">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p>
        </w:tc>
        <w:tc>
          <w:tcPr>
            <w:tcW w:w="2415" w:type="dxa"/>
            <w:noWrap w:val="0"/>
            <w:vAlign w:val="center"/>
          </w:tcPr>
          <w:p w14:paraId="4CBC66F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300万元&lt;净核减值≤500万元</w:t>
            </w:r>
          </w:p>
        </w:tc>
        <w:tc>
          <w:tcPr>
            <w:tcW w:w="1850" w:type="dxa"/>
            <w:noWrap w:val="0"/>
            <w:vAlign w:val="center"/>
          </w:tcPr>
          <w:p w14:paraId="7D8213E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w:t>
            </w: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4%</w:t>
            </w:r>
          </w:p>
        </w:tc>
        <w:tc>
          <w:tcPr>
            <w:tcW w:w="3063" w:type="dxa"/>
            <w:vMerge w:val="continue"/>
            <w:noWrap w:val="0"/>
            <w:vAlign w:val="center"/>
          </w:tcPr>
          <w:p w14:paraId="1627EB66">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tc>
      </w:tr>
      <w:tr w14:paraId="764E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32" w:type="dxa"/>
            <w:noWrap w:val="0"/>
            <w:vAlign w:val="center"/>
          </w:tcPr>
          <w:p w14:paraId="097DA2A5">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w:t>
            </w:r>
          </w:p>
        </w:tc>
        <w:tc>
          <w:tcPr>
            <w:tcW w:w="2415" w:type="dxa"/>
            <w:noWrap w:val="0"/>
            <w:vAlign w:val="center"/>
          </w:tcPr>
          <w:p w14:paraId="0113C0E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500万元&lt;净核减值≤1000万元</w:t>
            </w:r>
          </w:p>
        </w:tc>
        <w:tc>
          <w:tcPr>
            <w:tcW w:w="1850" w:type="dxa"/>
            <w:noWrap w:val="0"/>
            <w:vAlign w:val="center"/>
          </w:tcPr>
          <w:p w14:paraId="1A8A21F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2.18</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1756EB9C">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tc>
      </w:tr>
      <w:tr w14:paraId="54A1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noWrap w:val="0"/>
            <w:vAlign w:val="center"/>
          </w:tcPr>
          <w:p w14:paraId="7B95A733">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w:t>
            </w:r>
          </w:p>
        </w:tc>
        <w:tc>
          <w:tcPr>
            <w:tcW w:w="2415" w:type="dxa"/>
            <w:noWrap w:val="0"/>
            <w:vAlign w:val="center"/>
          </w:tcPr>
          <w:p w14:paraId="1040DB63">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lang w:val="zh-CN"/>
              </w:rPr>
              <w:t>1000万元&lt;净核减值≤1500万元</w:t>
            </w:r>
          </w:p>
        </w:tc>
        <w:tc>
          <w:tcPr>
            <w:tcW w:w="1850" w:type="dxa"/>
            <w:noWrap w:val="0"/>
            <w:vAlign w:val="center"/>
          </w:tcPr>
          <w:p w14:paraId="01E0F6A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1.66</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08F97D7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en-US" w:eastAsia="zh-CN"/>
              </w:rPr>
            </w:pPr>
          </w:p>
        </w:tc>
      </w:tr>
      <w:tr w14:paraId="1F11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2" w:type="dxa"/>
            <w:noWrap w:val="0"/>
            <w:vAlign w:val="center"/>
          </w:tcPr>
          <w:p w14:paraId="7D3C944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w:t>
            </w:r>
          </w:p>
        </w:tc>
        <w:tc>
          <w:tcPr>
            <w:tcW w:w="2415" w:type="dxa"/>
            <w:noWrap w:val="0"/>
            <w:vAlign w:val="center"/>
          </w:tcPr>
          <w:p w14:paraId="172B0448">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lang w:val="zh-CN"/>
              </w:rPr>
              <w:t>1</w:t>
            </w:r>
            <w:r>
              <w:rPr>
                <w:rFonts w:hint="eastAsia" w:ascii="宋体" w:hAnsi="宋体" w:eastAsia="宋体" w:cs="宋体"/>
                <w:color w:val="auto"/>
                <w:sz w:val="21"/>
                <w:szCs w:val="21"/>
                <w:shd w:val="clear" w:color="auto" w:fill="FFFFFF"/>
                <w:lang w:val="en-US" w:eastAsia="zh-CN"/>
              </w:rPr>
              <w:t>500</w:t>
            </w:r>
            <w:r>
              <w:rPr>
                <w:rFonts w:hint="eastAsia" w:ascii="宋体" w:hAnsi="宋体" w:eastAsia="宋体" w:cs="宋体"/>
                <w:color w:val="auto"/>
                <w:sz w:val="21"/>
                <w:szCs w:val="21"/>
                <w:shd w:val="clear" w:color="auto" w:fill="FFFFFF"/>
                <w:lang w:val="zh-CN"/>
              </w:rPr>
              <w:t>万元&lt;净核减值</w:t>
            </w:r>
          </w:p>
        </w:tc>
        <w:tc>
          <w:tcPr>
            <w:tcW w:w="1850" w:type="dxa"/>
            <w:noWrap w:val="0"/>
            <w:vAlign w:val="center"/>
          </w:tcPr>
          <w:p w14:paraId="5A040879">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0.33</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2E6E59D4">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en-US" w:eastAsia="zh-CN"/>
              </w:rPr>
            </w:pPr>
          </w:p>
        </w:tc>
      </w:tr>
    </w:tbl>
    <w:p w14:paraId="306723DA">
      <w:pPr>
        <w:pStyle w:val="21"/>
        <w:rPr>
          <w:rFonts w:hint="eastAsia" w:ascii="宋体" w:hAnsi="宋体" w:eastAsia="宋体" w:cs="宋体"/>
          <w:color w:val="auto"/>
          <w:sz w:val="21"/>
          <w:szCs w:val="21"/>
          <w:lang w:val="zh-CN" w:eastAsia="zh-CN"/>
        </w:rPr>
      </w:pPr>
    </w:p>
    <w:p w14:paraId="299C7825">
      <w:pPr>
        <w:pStyle w:val="21"/>
        <w:rPr>
          <w:rFonts w:hint="eastAsia" w:ascii="宋体" w:hAnsi="宋体" w:eastAsia="宋体" w:cs="宋体"/>
          <w:color w:val="auto"/>
          <w:sz w:val="21"/>
          <w:szCs w:val="21"/>
          <w:lang w:val="zh-CN" w:eastAsia="zh-CN"/>
        </w:rPr>
      </w:pPr>
    </w:p>
    <w:p w14:paraId="0D6D3A88">
      <w:pPr>
        <w:pStyle w:val="21"/>
        <w:rPr>
          <w:rFonts w:hint="eastAsia" w:ascii="宋体" w:hAnsi="宋体" w:eastAsia="宋体" w:cs="宋体"/>
          <w:color w:val="auto"/>
          <w:sz w:val="21"/>
          <w:szCs w:val="21"/>
          <w:lang w:val="zh-CN" w:eastAsia="zh-CN"/>
        </w:rPr>
      </w:pPr>
    </w:p>
    <w:p w14:paraId="752EEFCF">
      <w:pPr>
        <w:pStyle w:val="21"/>
        <w:numPr>
          <w:ilvl w:val="0"/>
          <w:numId w:val="0"/>
        </w:numPr>
        <w:ind w:right="0" w:rightChars="0"/>
        <w:rPr>
          <w:rFonts w:hint="eastAsia" w:ascii="宋体" w:hAnsi="宋体" w:eastAsia="宋体" w:cs="宋体"/>
          <w:color w:val="auto"/>
          <w:sz w:val="21"/>
          <w:szCs w:val="21"/>
          <w:lang w:val="zh-CN" w:eastAsia="zh-CN"/>
        </w:rPr>
      </w:pPr>
    </w:p>
    <w:p w14:paraId="3A3FF8C6">
      <w:pPr>
        <w:pStyle w:val="7"/>
        <w:spacing w:before="139"/>
        <w:ind w:left="1318"/>
        <w:rPr>
          <w:rFonts w:hint="eastAsia" w:ascii="宋体" w:hAnsi="宋体" w:eastAsia="宋体" w:cs="宋体"/>
          <w:color w:val="auto"/>
          <w:spacing w:val="0"/>
          <w:sz w:val="21"/>
          <w:szCs w:val="21"/>
        </w:rPr>
      </w:pPr>
    </w:p>
    <w:p w14:paraId="27A2CD53">
      <w:pPr>
        <w:pStyle w:val="7"/>
        <w:spacing w:before="139"/>
        <w:ind w:left="1318"/>
        <w:rPr>
          <w:rFonts w:hint="eastAsia" w:ascii="宋体" w:hAnsi="宋体" w:eastAsia="宋体" w:cs="宋体"/>
          <w:color w:val="auto"/>
          <w:spacing w:val="0"/>
          <w:sz w:val="21"/>
          <w:szCs w:val="21"/>
        </w:rPr>
      </w:pPr>
    </w:p>
    <w:p w14:paraId="7DE261D8">
      <w:pPr>
        <w:pStyle w:val="7"/>
        <w:spacing w:before="139"/>
        <w:ind w:left="1318"/>
        <w:rPr>
          <w:rFonts w:hint="eastAsia" w:ascii="宋体" w:hAnsi="宋体" w:eastAsia="宋体" w:cs="宋体"/>
          <w:color w:val="auto"/>
          <w:spacing w:val="0"/>
          <w:sz w:val="21"/>
          <w:szCs w:val="21"/>
        </w:rPr>
      </w:pPr>
    </w:p>
    <w:p w14:paraId="6C36B0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p>
    <w:p w14:paraId="3F441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p>
    <w:p w14:paraId="33936C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eastAsia="zh-CN"/>
        </w:rPr>
        <w:t>难度系数</w:t>
      </w:r>
    </w:p>
    <w:p w14:paraId="12DA4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A．水利、市政道路、排水、公路及土地整理项目、园林绿化工程，难度系数0.8；桥梁项目，难度系数为1.2；其余项目的难度系数为1.0；</w:t>
      </w:r>
    </w:p>
    <w:p w14:paraId="0C240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B．工程项目在本区外及那梭镇、那良镇、垌中镇、扶隆乡、大菉镇、十万山瑶族乡，需要到项目地调查的，难度系数为</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eastAsia="zh-CN"/>
        </w:rPr>
        <w:t>1；</w:t>
      </w:r>
    </w:p>
    <w:p w14:paraId="16F9AC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C．</w:t>
      </w:r>
      <w:r>
        <w:rPr>
          <w:rFonts w:hint="eastAsia" w:asciiTheme="minorEastAsia" w:hAnsiTheme="minorEastAsia" w:eastAsiaTheme="minorEastAsia" w:cstheme="minorEastAsia"/>
          <w:color w:val="auto"/>
          <w:sz w:val="21"/>
          <w:szCs w:val="21"/>
          <w:lang w:val="en-US" w:eastAsia="zh-CN"/>
        </w:rPr>
        <w:t>土石方</w:t>
      </w:r>
      <w:r>
        <w:rPr>
          <w:rFonts w:hint="eastAsia" w:asciiTheme="minorEastAsia" w:hAnsiTheme="minorEastAsia" w:eastAsiaTheme="minorEastAsia" w:cstheme="minorEastAsia"/>
          <w:color w:val="auto"/>
          <w:sz w:val="21"/>
          <w:szCs w:val="21"/>
          <w:lang w:val="zh-CN" w:eastAsia="zh-CN"/>
        </w:rPr>
        <w:t>项目，难度系数为</w:t>
      </w:r>
      <w:r>
        <w:rPr>
          <w:rFonts w:hint="eastAsia" w:asciiTheme="minorEastAsia" w:hAnsiTheme="minorEastAsia" w:eastAsiaTheme="minorEastAsia" w:cstheme="minorEastAsia"/>
          <w:color w:val="auto"/>
          <w:sz w:val="21"/>
          <w:szCs w:val="21"/>
          <w:lang w:val="en-US" w:eastAsia="zh-CN"/>
        </w:rPr>
        <w:t>0.6</w:t>
      </w:r>
      <w:r>
        <w:rPr>
          <w:rFonts w:hint="eastAsia" w:asciiTheme="minorEastAsia" w:hAnsiTheme="minorEastAsia" w:eastAsiaTheme="minorEastAsia" w:cstheme="minorEastAsia"/>
          <w:color w:val="auto"/>
          <w:sz w:val="21"/>
          <w:szCs w:val="21"/>
          <w:lang w:val="zh-CN" w:eastAsia="zh-CN"/>
        </w:rPr>
        <w:t>；</w:t>
      </w:r>
    </w:p>
    <w:p w14:paraId="7C6F42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D. </w:t>
      </w:r>
      <w:r>
        <w:rPr>
          <w:rFonts w:hint="eastAsia" w:asciiTheme="minorEastAsia" w:hAnsiTheme="minorEastAsia" w:eastAsiaTheme="minorEastAsia" w:cstheme="minorEastAsia"/>
          <w:color w:val="auto"/>
          <w:sz w:val="21"/>
          <w:szCs w:val="21"/>
          <w:lang w:val="zh-CN" w:eastAsia="zh-CN"/>
        </w:rPr>
        <w:t>难度系数在安排评审任务时由双方确定，最终确定的难度系数不超过</w:t>
      </w:r>
      <w:r>
        <w:rPr>
          <w:rFonts w:hint="eastAsia" w:asciiTheme="minorEastAsia" w:hAnsiTheme="minorEastAsia" w:eastAsiaTheme="minorEastAsia" w:cstheme="minorEastAsia"/>
          <w:color w:val="auto"/>
          <w:sz w:val="21"/>
          <w:szCs w:val="21"/>
          <w:lang w:val="en-US" w:eastAsia="zh-CN"/>
        </w:rPr>
        <w:t>1.2。</w:t>
      </w:r>
    </w:p>
    <w:p w14:paraId="2E41E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lang w:val="en-US" w:eastAsia="zh-CN"/>
        </w:rPr>
        <w:t>4.评审服务费上限额：</w:t>
      </w:r>
      <w:r>
        <w:rPr>
          <w:rFonts w:hint="eastAsia" w:asciiTheme="minorEastAsia" w:hAnsiTheme="minorEastAsia" w:eastAsiaTheme="minorEastAsia" w:cstheme="minorEastAsia"/>
          <w:color w:val="auto"/>
          <w:sz w:val="21"/>
          <w:szCs w:val="21"/>
        </w:rPr>
        <w:t>按以上两种费率计算的评审费，</w:t>
      </w:r>
      <w:r>
        <w:rPr>
          <w:rFonts w:hint="eastAsia" w:asciiTheme="minorEastAsia" w:hAnsiTheme="minorEastAsia" w:eastAsiaTheme="minorEastAsia" w:cstheme="minorEastAsia"/>
          <w:color w:val="auto"/>
          <w:sz w:val="21"/>
          <w:szCs w:val="21"/>
          <w:highlight w:val="none"/>
        </w:rPr>
        <w:t>支付时只能选择其中一种付费标准，按评审费高的付费</w:t>
      </w:r>
      <w:r>
        <w:rPr>
          <w:rFonts w:hint="eastAsia" w:asciiTheme="minorEastAsia" w:hAnsiTheme="minorEastAsia" w:eastAsiaTheme="minorEastAsia" w:cstheme="minorEastAsia"/>
          <w:color w:val="auto"/>
          <w:sz w:val="21"/>
          <w:szCs w:val="21"/>
          <w:highlight w:val="none"/>
          <w:lang w:eastAsia="zh-CN"/>
        </w:rPr>
        <w:t>，但</w:t>
      </w:r>
      <w:r>
        <w:rPr>
          <w:rFonts w:hint="eastAsia" w:asciiTheme="minorEastAsia" w:hAnsiTheme="minorEastAsia" w:eastAsiaTheme="minorEastAsia" w:cstheme="minorEastAsia"/>
          <w:bCs w:val="0"/>
          <w:color w:val="auto"/>
          <w:spacing w:val="0"/>
          <w:kern w:val="2"/>
          <w:sz w:val="21"/>
          <w:szCs w:val="21"/>
          <w:highlight w:val="none"/>
          <w:lang w:val="en-US" w:eastAsia="zh-CN" w:bidi="ar-SA"/>
        </w:rPr>
        <w:t>单个项目评审服务费不得超过</w:t>
      </w:r>
      <w:r>
        <w:rPr>
          <w:rFonts w:hint="eastAsia" w:asciiTheme="minorEastAsia" w:hAnsiTheme="minorEastAsia" w:eastAsiaTheme="minorEastAsia" w:cstheme="minorEastAsia"/>
          <w:color w:val="auto"/>
          <w:sz w:val="21"/>
          <w:szCs w:val="21"/>
          <w:highlight w:val="none"/>
        </w:rPr>
        <w:t>审定额的4‰</w:t>
      </w:r>
      <w:r>
        <w:rPr>
          <w:rFonts w:hint="eastAsia" w:asciiTheme="minorEastAsia" w:hAnsiTheme="minorEastAsia" w:eastAsiaTheme="minorEastAsia" w:cstheme="minorEastAsia"/>
          <w:color w:val="auto"/>
          <w:sz w:val="21"/>
          <w:szCs w:val="21"/>
          <w:highlight w:val="none"/>
          <w:lang w:eastAsia="zh-CN"/>
        </w:rPr>
        <w:t>且不能超过</w:t>
      </w:r>
      <w:r>
        <w:rPr>
          <w:rFonts w:hint="eastAsia" w:asciiTheme="minorEastAsia" w:hAnsiTheme="minorEastAsia" w:eastAsiaTheme="minorEastAsia" w:cstheme="minorEastAsia"/>
          <w:bCs w:val="0"/>
          <w:color w:val="auto"/>
          <w:spacing w:val="0"/>
          <w:kern w:val="2"/>
          <w:sz w:val="21"/>
          <w:szCs w:val="21"/>
          <w:highlight w:val="none"/>
          <w:lang w:val="en-US" w:eastAsia="zh-CN" w:bidi="ar-SA"/>
        </w:rPr>
        <w:t>50万元上限。</w:t>
      </w:r>
    </w:p>
    <w:p w14:paraId="4C8E2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5.如按上述方式计算的基本费或效益费最终确定评审服务费少于2000元的，按2000元计。 </w:t>
      </w:r>
    </w:p>
    <w:p w14:paraId="264C50AA">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zh-CN"/>
        </w:rPr>
        <w:t>.土石方挖土、运土、填土、弃土等因套用定额与市场价调整的核减及暂列金的核减均不属于付费内容。</w:t>
      </w:r>
    </w:p>
    <w:p w14:paraId="4ACF494A">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rPr>
        <w:t>.送审的工程因漏项、错项或未按规范性文件准确计价计量等因素导致每一单位工程造价核增</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rPr>
        <w:t xml:space="preserve">万元以上的，在计算评审结论的核减金额时，上述因素造成的核增金额不冲减核减金额。 </w:t>
      </w:r>
    </w:p>
    <w:p w14:paraId="7EFFC7E3">
      <w:pPr>
        <w:pageBreakBefore w:val="0"/>
        <w:widowControl/>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rPr>
        <w:t>明确不属于</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审核范围（内容）的事项，不计入</w:t>
      </w:r>
      <w:r>
        <w:rPr>
          <w:rFonts w:hint="eastAsia" w:asciiTheme="minorEastAsia" w:hAnsiTheme="minorEastAsia" w:eastAsiaTheme="minorEastAsia" w:cstheme="minorEastAsia"/>
          <w:bCs/>
          <w:color w:val="auto"/>
          <w:sz w:val="21"/>
          <w:szCs w:val="21"/>
          <w:highlight w:val="none"/>
        </w:rPr>
        <w:t>工程净核减额。</w:t>
      </w:r>
    </w:p>
    <w:p w14:paraId="1E4AFC51">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rPr>
        <w:t>.因非</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原因需中止项目审核工作的，</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视</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完成工作量情况来计算评审服务费：</w:t>
      </w:r>
    </w:p>
    <w:p w14:paraId="51C5969F">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（1）已完成</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委托项目初审工作的，按评审基本费30%计算；</w:t>
      </w:r>
    </w:p>
    <w:p w14:paraId="58B64329">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（2）已完成</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委托项目初审及对数工作的，按评审基本费50%计算。</w:t>
      </w:r>
    </w:p>
    <w:p w14:paraId="474703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自身原因中途将委托项目退回给</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的，</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不支付任何评审费用,且</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有权不再委托项目或单方面终止该项目合同。</w:t>
      </w:r>
    </w:p>
    <w:p w14:paraId="3A209E17">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CN"/>
        </w:rPr>
        <w:t>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自身原因未按时完成评审的，审核时间延迟</w:t>
      </w:r>
      <w:r>
        <w:rPr>
          <w:rFonts w:hint="eastAsia" w:asciiTheme="minorEastAsia" w:hAnsiTheme="minorEastAsia" w:eastAsiaTheme="minorEastAsia" w:cstheme="minorEastAsia"/>
          <w:color w:val="auto"/>
          <w:sz w:val="21"/>
          <w:szCs w:val="21"/>
          <w:highlight w:val="none"/>
        </w:rPr>
        <w:t>7天以内的，</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按每逾期一天扣减该项目评审服务费的</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zh-CN"/>
        </w:rPr>
        <w:t>%计算；审核时间延迟</w:t>
      </w:r>
      <w:r>
        <w:rPr>
          <w:rFonts w:hint="eastAsia" w:asciiTheme="minorEastAsia" w:hAnsiTheme="minorEastAsia" w:eastAsiaTheme="minorEastAsia" w:cstheme="minorEastAsia"/>
          <w:color w:val="auto"/>
          <w:sz w:val="21"/>
          <w:szCs w:val="21"/>
          <w:highlight w:val="none"/>
        </w:rPr>
        <w:t>7天</w:t>
      </w:r>
      <w:r>
        <w:rPr>
          <w:rFonts w:hint="eastAsia" w:asciiTheme="minorEastAsia" w:hAnsiTheme="minorEastAsia" w:eastAsiaTheme="minorEastAsia" w:cstheme="minorEastAsia"/>
          <w:color w:val="auto"/>
          <w:sz w:val="21"/>
          <w:szCs w:val="21"/>
          <w:highlight w:val="none"/>
          <w:lang w:val="zh-CN"/>
        </w:rPr>
        <w:t>以上的视为受托方无法完成该项目造价审核工作，</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有权收回工程资料并不支付该项目的评审服务费，当年累计出现两次，</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有权不再委托项目或单方面终止合同。</w:t>
      </w:r>
    </w:p>
    <w:p w14:paraId="21809BD6">
      <w:pPr>
        <w:spacing w:before="6"/>
        <w:ind w:right="0"/>
        <w:jc w:val="left"/>
        <w:rPr>
          <w:rFonts w:hint="eastAsia" w:ascii="黑体" w:eastAsia="黑体"/>
          <w:b/>
          <w:color w:val="auto"/>
          <w:spacing w:val="0"/>
          <w:sz w:val="28"/>
          <w:highlight w:val="none"/>
          <w:lang w:val="en-US" w:eastAsia="zh-CN"/>
        </w:rPr>
      </w:pPr>
    </w:p>
    <w:p w14:paraId="09BBE556">
      <w:pPr>
        <w:spacing w:before="6"/>
        <w:ind w:left="478" w:right="0" w:firstLine="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三、技术要求</w:t>
      </w:r>
    </w:p>
    <w:p w14:paraId="34B4ED4C">
      <w:pPr>
        <w:pStyle w:val="5"/>
        <w:spacing w:before="185"/>
        <w:ind w:firstLine="422" w:firstLineChars="200"/>
        <w:rPr>
          <w:color w:val="auto"/>
          <w:spacing w:val="0"/>
          <w:highlight w:val="none"/>
        </w:rPr>
      </w:pPr>
      <w:r>
        <w:rPr>
          <w:color w:val="auto"/>
          <w:spacing w:val="0"/>
          <w:highlight w:val="none"/>
        </w:rPr>
        <w:t>（一）服务内容</w:t>
      </w:r>
    </w:p>
    <w:p w14:paraId="0FF21B63">
      <w:pPr>
        <w:pStyle w:val="34"/>
        <w:keepNext w:val="0"/>
        <w:keepLines w:val="0"/>
        <w:pageBreakBefore w:val="0"/>
        <w:widowControl/>
        <w:numPr>
          <w:ilvl w:val="0"/>
          <w:numId w:val="2"/>
        </w:numPr>
        <w:tabs>
          <w:tab w:val="left" w:pos="1319"/>
        </w:tabs>
        <w:kinsoku w:val="0"/>
        <w:wordWrap/>
        <w:overflowPunct/>
        <w:topLinePunct w:val="0"/>
        <w:autoSpaceDE w:val="0"/>
        <w:autoSpaceDN w:val="0"/>
        <w:bidi w:val="0"/>
        <w:adjustRightInd w:val="0"/>
        <w:snapToGrid w:val="0"/>
        <w:spacing w:before="139" w:after="0" w:line="364" w:lineRule="auto"/>
        <w:ind w:left="896" w:right="544" w:firstLine="0"/>
        <w:jc w:val="both"/>
        <w:textAlignment w:val="baseline"/>
        <w:rPr>
          <w:rFonts w:hint="eastAsia" w:asciiTheme="minorEastAsia" w:hAnsiTheme="minorEastAsia" w:eastAsiaTheme="minorEastAsia" w:cstheme="minorEastAsia"/>
          <w:b w:val="0"/>
          <w:color w:val="auto"/>
          <w:spacing w:val="0"/>
          <w:sz w:val="21"/>
          <w:szCs w:val="21"/>
          <w:highlight w:val="none"/>
        </w:rPr>
      </w:pPr>
      <w:r>
        <w:rPr>
          <w:rFonts w:hint="eastAsia" w:asciiTheme="minorEastAsia" w:hAnsiTheme="minorEastAsia" w:eastAsiaTheme="minorEastAsia" w:cstheme="minorEastAsia"/>
          <w:b w:val="0"/>
          <w:color w:val="auto"/>
          <w:spacing w:val="0"/>
          <w:sz w:val="21"/>
          <w:szCs w:val="21"/>
          <w:highlight w:val="none"/>
        </w:rPr>
        <w:t>本项目采用</w:t>
      </w:r>
      <w:r>
        <w:rPr>
          <w:rFonts w:hint="eastAsia" w:asciiTheme="minorEastAsia" w:hAnsiTheme="minorEastAsia" w:eastAsiaTheme="minorEastAsia" w:cstheme="minorEastAsia"/>
          <w:color w:val="auto"/>
          <w:sz w:val="21"/>
          <w:szCs w:val="21"/>
          <w:highlight w:val="none"/>
        </w:rPr>
        <w:t>封闭式</w:t>
      </w:r>
      <w:r>
        <w:rPr>
          <w:rFonts w:hint="eastAsia" w:asciiTheme="minorEastAsia" w:hAnsiTheme="minorEastAsia" w:eastAsiaTheme="minorEastAsia" w:cstheme="minorEastAsia"/>
          <w:b w:val="0"/>
          <w:color w:val="auto"/>
          <w:spacing w:val="0"/>
          <w:sz w:val="21"/>
          <w:szCs w:val="21"/>
          <w:highlight w:val="none"/>
        </w:rPr>
        <w:t>框架协议采购方式采购，</w:t>
      </w:r>
      <w:r>
        <w:rPr>
          <w:b w:val="0"/>
          <w:color w:val="auto"/>
          <w:spacing w:val="0"/>
          <w:sz w:val="21"/>
          <w:highlight w:val="none"/>
        </w:rPr>
        <w:t>通过公开征集程序，确定</w:t>
      </w:r>
      <w:r>
        <w:rPr>
          <w:rFonts w:hint="eastAsia"/>
          <w:b w:val="0"/>
          <w:color w:val="auto"/>
          <w:spacing w:val="0"/>
          <w:sz w:val="21"/>
          <w:highlight w:val="none"/>
          <w:lang w:val="en-US" w:eastAsia="zh-CN"/>
        </w:rPr>
        <w:t>15</w:t>
      </w:r>
      <w:r>
        <w:rPr>
          <w:b w:val="0"/>
          <w:color w:val="auto"/>
          <w:spacing w:val="0"/>
          <w:sz w:val="21"/>
          <w:highlight w:val="none"/>
        </w:rPr>
        <w:t>家第一阶段入围供应商并订立框架协议。</w:t>
      </w:r>
      <w:r>
        <w:rPr>
          <w:rFonts w:hint="eastAsia"/>
          <w:b w:val="0"/>
          <w:color w:val="auto"/>
          <w:spacing w:val="0"/>
          <w:sz w:val="21"/>
          <w:highlight w:val="none"/>
          <w:lang w:eastAsia="zh-CN"/>
        </w:rPr>
        <w:t>征集人</w:t>
      </w:r>
      <w:r>
        <w:rPr>
          <w:b w:val="0"/>
          <w:color w:val="auto"/>
          <w:spacing w:val="0"/>
          <w:sz w:val="21"/>
          <w:highlight w:val="none"/>
        </w:rPr>
        <w:t>按照框架协议约定规则，在入围供应商范围内直接选定第二阶段成交供应商并按项目签订合同，</w:t>
      </w:r>
      <w:r>
        <w:rPr>
          <w:rFonts w:hint="eastAsia" w:asciiTheme="minorEastAsia" w:hAnsiTheme="minorEastAsia" w:eastAsiaTheme="minorEastAsia" w:cstheme="minorEastAsia"/>
          <w:color w:val="auto"/>
          <w:sz w:val="21"/>
          <w:szCs w:val="21"/>
          <w:highlight w:val="none"/>
        </w:rPr>
        <w:t>协助防城港市防城区</w:t>
      </w:r>
      <w:r>
        <w:rPr>
          <w:rFonts w:hint="eastAsia" w:asciiTheme="minorEastAsia" w:hAnsiTheme="minorEastAsia" w:eastAsiaTheme="minorEastAsia" w:cstheme="minorEastAsia"/>
          <w:color w:val="auto"/>
          <w:sz w:val="21"/>
          <w:szCs w:val="21"/>
          <w:highlight w:val="none"/>
          <w:lang w:val="en-US" w:eastAsia="zh-CN"/>
        </w:rPr>
        <w:t>财政局</w:t>
      </w:r>
      <w:r>
        <w:rPr>
          <w:rFonts w:hint="eastAsia" w:asciiTheme="minorEastAsia" w:hAnsiTheme="minorEastAsia" w:eastAsiaTheme="minorEastAsia" w:cstheme="minorEastAsia"/>
          <w:color w:val="auto"/>
          <w:sz w:val="21"/>
          <w:szCs w:val="21"/>
          <w:highlight w:val="none"/>
        </w:rPr>
        <w:t>审</w:t>
      </w:r>
      <w:r>
        <w:rPr>
          <w:rFonts w:hint="eastAsia" w:asciiTheme="minorEastAsia" w:hAnsiTheme="minorEastAsia" w:eastAsiaTheme="minorEastAsia" w:cstheme="minorEastAsia"/>
          <w:color w:val="auto"/>
          <w:sz w:val="21"/>
          <w:szCs w:val="21"/>
          <w:highlight w:val="none"/>
          <w:lang w:eastAsia="zh-CN"/>
        </w:rPr>
        <w:t>核</w:t>
      </w:r>
      <w:r>
        <w:rPr>
          <w:rFonts w:hint="eastAsia" w:asciiTheme="minorEastAsia" w:hAnsiTheme="minorEastAsia" w:eastAsiaTheme="minorEastAsia" w:cstheme="minorEastAsia"/>
          <w:color w:val="auto"/>
          <w:sz w:val="21"/>
          <w:szCs w:val="21"/>
          <w:highlight w:val="none"/>
        </w:rPr>
        <w:t>政府</w:t>
      </w:r>
      <w:r>
        <w:rPr>
          <w:rFonts w:hint="eastAsia" w:asciiTheme="minorEastAsia" w:hAnsiTheme="minorEastAsia" w:eastAsiaTheme="minorEastAsia" w:cstheme="minorEastAsia"/>
          <w:color w:val="auto"/>
          <w:sz w:val="21"/>
          <w:szCs w:val="21"/>
          <w:highlight w:val="none"/>
          <w:lang w:eastAsia="zh-CN"/>
        </w:rPr>
        <w:t>性</w:t>
      </w:r>
      <w:r>
        <w:rPr>
          <w:rFonts w:hint="eastAsia" w:asciiTheme="minorEastAsia" w:hAnsiTheme="minorEastAsia" w:eastAsiaTheme="minorEastAsia" w:cstheme="minorEastAsia"/>
          <w:color w:val="auto"/>
          <w:sz w:val="21"/>
          <w:szCs w:val="21"/>
          <w:highlight w:val="none"/>
        </w:rPr>
        <w:t>投资项目工程</w:t>
      </w:r>
      <w:r>
        <w:rPr>
          <w:rFonts w:hint="eastAsia" w:asciiTheme="minorEastAsia" w:hAnsiTheme="minorEastAsia" w:eastAsiaTheme="minorEastAsia" w:cstheme="minorEastAsia"/>
          <w:color w:val="auto"/>
          <w:sz w:val="21"/>
          <w:szCs w:val="21"/>
          <w:highlight w:val="none"/>
          <w:lang w:val="en-US" w:eastAsia="zh-CN"/>
        </w:rPr>
        <w:t>概（预）算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含</w:t>
      </w:r>
      <w:r>
        <w:rPr>
          <w:rFonts w:hint="eastAsia" w:asciiTheme="minorEastAsia" w:hAnsiTheme="minorEastAsia" w:eastAsiaTheme="minorEastAsia" w:cstheme="minorEastAsia"/>
          <w:color w:val="auto"/>
          <w:sz w:val="21"/>
          <w:szCs w:val="21"/>
          <w:highlight w:val="none"/>
          <w:lang w:val="en-US" w:eastAsia="zh-CN"/>
        </w:rPr>
        <w:t>工程量清单）服务</w:t>
      </w:r>
      <w:r>
        <w:rPr>
          <w:rFonts w:hint="eastAsia" w:asciiTheme="minorEastAsia" w:hAnsiTheme="minorEastAsia" w:eastAsiaTheme="minorEastAsia" w:cstheme="minorEastAsia"/>
          <w:b w:val="0"/>
          <w:color w:val="auto"/>
          <w:spacing w:val="0"/>
          <w:sz w:val="21"/>
          <w:szCs w:val="21"/>
          <w:highlight w:val="none"/>
        </w:rPr>
        <w:t>。</w:t>
      </w:r>
    </w:p>
    <w:p w14:paraId="583AB707">
      <w:pPr>
        <w:pStyle w:val="34"/>
        <w:keepNext w:val="0"/>
        <w:keepLines w:val="0"/>
        <w:pageBreakBefore w:val="0"/>
        <w:widowControl/>
        <w:numPr>
          <w:ilvl w:val="0"/>
          <w:numId w:val="2"/>
        </w:numPr>
        <w:tabs>
          <w:tab w:val="left" w:pos="1318"/>
          <w:tab w:val="left" w:pos="1319"/>
        </w:tabs>
        <w:kinsoku w:val="0"/>
        <w:wordWrap/>
        <w:overflowPunct/>
        <w:topLinePunct w:val="0"/>
        <w:autoSpaceDE w:val="0"/>
        <w:autoSpaceDN w:val="0"/>
        <w:bidi w:val="0"/>
        <w:adjustRightInd w:val="0"/>
        <w:snapToGrid w:val="0"/>
        <w:spacing w:before="0" w:after="0" w:line="268" w:lineRule="exact"/>
        <w:ind w:left="896" w:right="0" w:firstLine="0"/>
        <w:jc w:val="left"/>
        <w:textAlignment w:val="baseline"/>
        <w:rPr>
          <w:b w:val="0"/>
          <w:color w:val="auto"/>
          <w:spacing w:val="0"/>
          <w:sz w:val="21"/>
          <w:highlight w:val="none"/>
        </w:rPr>
      </w:pPr>
      <w:r>
        <w:rPr>
          <w:b w:val="0"/>
          <w:color w:val="auto"/>
          <w:spacing w:val="0"/>
          <w:sz w:val="21"/>
          <w:highlight w:val="none"/>
        </w:rPr>
        <w:t>适用框架协议的</w:t>
      </w:r>
      <w:r>
        <w:rPr>
          <w:rFonts w:hint="eastAsia"/>
          <w:b w:val="0"/>
          <w:color w:val="auto"/>
          <w:spacing w:val="0"/>
          <w:sz w:val="21"/>
          <w:highlight w:val="none"/>
          <w:lang w:eastAsia="zh-CN"/>
        </w:rPr>
        <w:t>征集人</w:t>
      </w:r>
      <w:r>
        <w:rPr>
          <w:b w:val="0"/>
          <w:color w:val="auto"/>
          <w:spacing w:val="0"/>
          <w:sz w:val="21"/>
          <w:highlight w:val="none"/>
        </w:rPr>
        <w:t>：</w:t>
      </w:r>
      <w:r>
        <w:rPr>
          <w:rFonts w:hint="eastAsia"/>
          <w:b w:val="0"/>
          <w:color w:val="auto"/>
          <w:spacing w:val="0"/>
          <w:sz w:val="21"/>
          <w:highlight w:val="none"/>
          <w:lang w:eastAsia="zh-CN"/>
        </w:rPr>
        <w:t>防城港市防城区财政局</w:t>
      </w:r>
      <w:r>
        <w:rPr>
          <w:b w:val="0"/>
          <w:color w:val="auto"/>
          <w:spacing w:val="0"/>
          <w:sz w:val="21"/>
          <w:highlight w:val="none"/>
        </w:rPr>
        <w:t>。</w:t>
      </w:r>
    </w:p>
    <w:p w14:paraId="0AEEAD0B">
      <w:pPr>
        <w:pStyle w:val="34"/>
        <w:keepNext w:val="0"/>
        <w:keepLines w:val="0"/>
        <w:pageBreakBefore w:val="0"/>
        <w:widowControl/>
        <w:numPr>
          <w:ilvl w:val="0"/>
          <w:numId w:val="2"/>
        </w:numPr>
        <w:tabs>
          <w:tab w:val="left" w:pos="1319"/>
        </w:tabs>
        <w:kinsoku w:val="0"/>
        <w:wordWrap/>
        <w:overflowPunct/>
        <w:topLinePunct w:val="0"/>
        <w:autoSpaceDE w:val="0"/>
        <w:autoSpaceDN w:val="0"/>
        <w:bidi w:val="0"/>
        <w:adjustRightInd w:val="0"/>
        <w:snapToGrid w:val="0"/>
        <w:spacing w:before="138" w:after="0" w:line="364" w:lineRule="auto"/>
        <w:ind w:left="896" w:right="544" w:firstLine="0"/>
        <w:jc w:val="both"/>
        <w:textAlignment w:val="baseline"/>
        <w:rPr>
          <w:b w:val="0"/>
          <w:color w:val="auto"/>
          <w:spacing w:val="0"/>
          <w:sz w:val="21"/>
          <w:highlight w:val="none"/>
        </w:rPr>
      </w:pPr>
      <w:r>
        <w:rPr>
          <w:b w:val="0"/>
          <w:color w:val="auto"/>
          <w:spacing w:val="0"/>
          <w:sz w:val="21"/>
          <w:highlight w:val="none"/>
        </w:rPr>
        <w:t>框</w:t>
      </w:r>
      <w:r>
        <w:rPr>
          <w:rFonts w:hint="eastAsia"/>
          <w:b w:val="0"/>
          <w:color w:val="auto"/>
          <w:spacing w:val="0"/>
          <w:sz w:val="21"/>
          <w:highlight w:val="none"/>
          <w:lang w:eastAsia="zh-CN"/>
        </w:rPr>
        <w:t>架协议期限为 2 年，具体时间以征集人与入围供应商签订框架协议约定的协议期限为准。</w:t>
      </w:r>
      <w:r>
        <w:rPr>
          <w:b w:val="0"/>
          <w:color w:val="auto"/>
          <w:spacing w:val="0"/>
          <w:sz w:val="21"/>
          <w:highlight w:val="none"/>
        </w:rPr>
        <w:t>如有</w:t>
      </w:r>
      <w:r>
        <w:rPr>
          <w:rFonts w:hint="eastAsia"/>
          <w:b w:val="0"/>
          <w:color w:val="auto"/>
          <w:spacing w:val="0"/>
          <w:sz w:val="21"/>
          <w:highlight w:val="none"/>
          <w:lang w:eastAsia="zh-CN"/>
        </w:rPr>
        <w:t>协助评审的项目无法在框架协议有效期内完成，服务单个项目的供应商可顺延服务时间，直至项目完成审核工作</w:t>
      </w:r>
      <w:r>
        <w:rPr>
          <w:b w:val="0"/>
          <w:color w:val="auto"/>
          <w:spacing w:val="0"/>
          <w:sz w:val="21"/>
          <w:highlight w:val="none"/>
        </w:rPr>
        <w:t>。</w:t>
      </w:r>
    </w:p>
    <w:p w14:paraId="21FAA8A5">
      <w:pPr>
        <w:pStyle w:val="34"/>
        <w:keepNext w:val="0"/>
        <w:keepLines w:val="0"/>
        <w:pageBreakBefore w:val="0"/>
        <w:widowControl/>
        <w:numPr>
          <w:ilvl w:val="0"/>
          <w:numId w:val="2"/>
        </w:numPr>
        <w:tabs>
          <w:tab w:val="left" w:pos="1318"/>
          <w:tab w:val="left" w:pos="1319"/>
        </w:tabs>
        <w:kinsoku w:val="0"/>
        <w:wordWrap/>
        <w:overflowPunct/>
        <w:topLinePunct w:val="0"/>
        <w:autoSpaceDE w:val="0"/>
        <w:autoSpaceDN w:val="0"/>
        <w:bidi w:val="0"/>
        <w:adjustRightInd w:val="0"/>
        <w:snapToGrid w:val="0"/>
        <w:spacing w:before="0" w:after="0" w:line="367" w:lineRule="auto"/>
        <w:ind w:left="896" w:right="546" w:firstLine="0"/>
        <w:jc w:val="left"/>
        <w:textAlignment w:val="baseline"/>
        <w:rPr>
          <w:b w:val="0"/>
          <w:color w:val="auto"/>
          <w:spacing w:val="0"/>
          <w:sz w:val="21"/>
          <w:highlight w:val="none"/>
        </w:rPr>
      </w:pPr>
      <w:r>
        <w:rPr>
          <w:rFonts w:hint="eastAsia"/>
          <w:b w:val="0"/>
          <w:color w:val="auto"/>
          <w:spacing w:val="0"/>
          <w:sz w:val="21"/>
          <w:highlight w:val="none"/>
          <w:lang w:eastAsia="zh-CN"/>
        </w:rPr>
        <w:t>协助</w:t>
      </w:r>
      <w:r>
        <w:rPr>
          <w:rFonts w:hint="eastAsia" w:asciiTheme="minorEastAsia" w:hAnsiTheme="minorEastAsia" w:eastAsiaTheme="minorEastAsia" w:cstheme="minorEastAsia"/>
          <w:color w:val="auto"/>
          <w:sz w:val="21"/>
          <w:szCs w:val="21"/>
          <w:highlight w:val="none"/>
        </w:rPr>
        <w:t>项目工程</w:t>
      </w:r>
      <w:r>
        <w:rPr>
          <w:rFonts w:hint="eastAsia" w:asciiTheme="minorEastAsia" w:hAnsiTheme="minorEastAsia" w:eastAsiaTheme="minorEastAsia" w:cstheme="minorEastAsia"/>
          <w:color w:val="auto"/>
          <w:sz w:val="21"/>
          <w:szCs w:val="21"/>
          <w:highlight w:val="none"/>
          <w:lang w:val="en-US" w:eastAsia="zh-CN"/>
        </w:rPr>
        <w:t>概（预）算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含</w:t>
      </w:r>
      <w:r>
        <w:rPr>
          <w:rFonts w:hint="eastAsia" w:asciiTheme="minorEastAsia" w:hAnsiTheme="minorEastAsia" w:eastAsiaTheme="minorEastAsia" w:cstheme="minorEastAsia"/>
          <w:color w:val="auto"/>
          <w:sz w:val="21"/>
          <w:szCs w:val="21"/>
          <w:highlight w:val="none"/>
          <w:lang w:val="en-US" w:eastAsia="zh-CN"/>
        </w:rPr>
        <w:t>工程量清单）评审服务</w:t>
      </w:r>
      <w:r>
        <w:rPr>
          <w:rFonts w:hint="eastAsia"/>
          <w:b w:val="0"/>
          <w:color w:val="auto"/>
          <w:spacing w:val="0"/>
          <w:sz w:val="21"/>
          <w:highlight w:val="none"/>
          <w:lang w:eastAsia="zh-CN"/>
        </w:rPr>
        <w:t>是指满足项目协审人员数量、质量要求的工程造价咨询服务供应商协助征集人对政府性投资和以政府性投资为主的建设项目进行</w:t>
      </w:r>
      <w:r>
        <w:rPr>
          <w:rFonts w:hint="eastAsia" w:asciiTheme="minorEastAsia" w:hAnsiTheme="minorEastAsia" w:eastAsiaTheme="minorEastAsia" w:cstheme="minorEastAsia"/>
          <w:color w:val="auto"/>
          <w:sz w:val="21"/>
          <w:szCs w:val="21"/>
          <w:highlight w:val="none"/>
        </w:rPr>
        <w:t>项目工程</w:t>
      </w:r>
      <w:r>
        <w:rPr>
          <w:rFonts w:hint="eastAsia" w:asciiTheme="minorEastAsia" w:hAnsiTheme="minorEastAsia" w:eastAsiaTheme="minorEastAsia" w:cstheme="minorEastAsia"/>
          <w:color w:val="auto"/>
          <w:sz w:val="21"/>
          <w:szCs w:val="21"/>
          <w:highlight w:val="none"/>
          <w:lang w:val="en-US" w:eastAsia="zh-CN"/>
        </w:rPr>
        <w:t>概（预）算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含</w:t>
      </w:r>
      <w:r>
        <w:rPr>
          <w:rFonts w:hint="eastAsia" w:asciiTheme="minorEastAsia" w:hAnsiTheme="minorEastAsia" w:eastAsiaTheme="minorEastAsia" w:cstheme="minorEastAsia"/>
          <w:color w:val="auto"/>
          <w:sz w:val="21"/>
          <w:szCs w:val="21"/>
          <w:highlight w:val="none"/>
          <w:lang w:val="en-US" w:eastAsia="zh-CN"/>
        </w:rPr>
        <w:t>工程量清单）</w:t>
      </w:r>
      <w:r>
        <w:rPr>
          <w:rFonts w:hint="eastAsia"/>
          <w:b w:val="0"/>
          <w:color w:val="auto"/>
          <w:spacing w:val="0"/>
          <w:sz w:val="21"/>
          <w:highlight w:val="none"/>
          <w:lang w:eastAsia="zh-CN"/>
        </w:rPr>
        <w:t>审核并</w:t>
      </w:r>
      <w:r>
        <w:rPr>
          <w:b w:val="0"/>
          <w:color w:val="auto"/>
          <w:spacing w:val="0"/>
          <w:sz w:val="21"/>
          <w:highlight w:val="none"/>
        </w:rPr>
        <w:t>提供相应服务成果文件的行为。</w:t>
      </w:r>
    </w:p>
    <w:p w14:paraId="3A3E1D39">
      <w:pPr>
        <w:pStyle w:val="34"/>
        <w:keepNext w:val="0"/>
        <w:keepLines w:val="0"/>
        <w:pageBreakBefore w:val="0"/>
        <w:widowControl/>
        <w:numPr>
          <w:ilvl w:val="0"/>
          <w:numId w:val="2"/>
        </w:numPr>
        <w:tabs>
          <w:tab w:val="left" w:pos="1318"/>
          <w:tab w:val="left" w:pos="1319"/>
        </w:tabs>
        <w:kinsoku w:val="0"/>
        <w:wordWrap/>
        <w:overflowPunct/>
        <w:topLinePunct w:val="0"/>
        <w:autoSpaceDE w:val="0"/>
        <w:autoSpaceDN w:val="0"/>
        <w:bidi w:val="0"/>
        <w:adjustRightInd w:val="0"/>
        <w:snapToGrid w:val="0"/>
        <w:spacing w:before="0" w:after="0" w:line="264" w:lineRule="exact"/>
        <w:ind w:left="896" w:right="0" w:firstLine="0"/>
        <w:jc w:val="left"/>
        <w:textAlignment w:val="baseline"/>
        <w:rPr>
          <w:b w:val="0"/>
          <w:color w:val="auto"/>
          <w:spacing w:val="0"/>
          <w:sz w:val="21"/>
          <w:highlight w:val="none"/>
        </w:rPr>
      </w:pPr>
      <w:r>
        <w:rPr>
          <w:b w:val="0"/>
          <w:color w:val="auto"/>
          <w:spacing w:val="0"/>
          <w:sz w:val="21"/>
          <w:highlight w:val="none"/>
        </w:rPr>
        <w:t>供应商可承接</w:t>
      </w:r>
      <w:r>
        <w:rPr>
          <w:rFonts w:hint="eastAsia"/>
          <w:b w:val="0"/>
          <w:color w:val="auto"/>
          <w:spacing w:val="0"/>
          <w:sz w:val="21"/>
          <w:highlight w:val="none"/>
          <w:lang w:eastAsia="zh-CN"/>
        </w:rPr>
        <w:t>的</w:t>
      </w:r>
      <w:r>
        <w:rPr>
          <w:rFonts w:hint="eastAsia"/>
          <w:b w:val="0"/>
          <w:color w:val="auto"/>
          <w:spacing w:val="0"/>
          <w:highlight w:val="none"/>
          <w:lang w:eastAsia="zh-CN"/>
        </w:rPr>
        <w:t>审核</w:t>
      </w:r>
      <w:r>
        <w:rPr>
          <w:b w:val="0"/>
          <w:color w:val="auto"/>
          <w:spacing w:val="0"/>
          <w:sz w:val="21"/>
          <w:highlight w:val="none"/>
        </w:rPr>
        <w:t>项目具体数量及投资额以</w:t>
      </w:r>
      <w:r>
        <w:rPr>
          <w:rFonts w:hint="eastAsia"/>
          <w:b w:val="0"/>
          <w:color w:val="auto"/>
          <w:spacing w:val="0"/>
          <w:sz w:val="21"/>
          <w:highlight w:val="none"/>
          <w:lang w:eastAsia="zh-CN"/>
        </w:rPr>
        <w:t>征集人</w:t>
      </w:r>
      <w:r>
        <w:rPr>
          <w:b w:val="0"/>
          <w:color w:val="auto"/>
          <w:spacing w:val="0"/>
          <w:sz w:val="21"/>
          <w:highlight w:val="none"/>
        </w:rPr>
        <w:t>向其发出的《协审项目</w:t>
      </w:r>
      <w:r>
        <w:rPr>
          <w:rFonts w:hint="eastAsia"/>
          <w:b w:val="0"/>
          <w:color w:val="auto"/>
          <w:spacing w:val="0"/>
          <w:sz w:val="21"/>
          <w:highlight w:val="none"/>
          <w:lang w:eastAsia="zh-CN"/>
        </w:rPr>
        <w:t>审核委托协议书</w:t>
      </w:r>
      <w:r>
        <w:rPr>
          <w:b w:val="0"/>
          <w:color w:val="auto"/>
          <w:spacing w:val="0"/>
          <w:sz w:val="21"/>
          <w:highlight w:val="none"/>
        </w:rPr>
        <w:t>》为准。</w:t>
      </w:r>
    </w:p>
    <w:p w14:paraId="0311E06C">
      <w:pPr>
        <w:pStyle w:val="5"/>
        <w:spacing w:before="185"/>
        <w:ind w:firstLine="422" w:firstLineChars="200"/>
        <w:rPr>
          <w:color w:val="auto"/>
          <w:spacing w:val="0"/>
          <w:highlight w:val="none"/>
        </w:rPr>
      </w:pPr>
      <w:r>
        <w:rPr>
          <w:color w:val="auto"/>
          <w:spacing w:val="0"/>
          <w:highlight w:val="none"/>
        </w:rPr>
        <w:t>（二）服务标准</w:t>
      </w:r>
    </w:p>
    <w:p w14:paraId="148FC361">
      <w:pPr>
        <w:pStyle w:val="34"/>
        <w:keepNext w:val="0"/>
        <w:keepLines w:val="0"/>
        <w:pageBreakBefore w:val="0"/>
        <w:widowControl/>
        <w:numPr>
          <w:ilvl w:val="0"/>
          <w:numId w:val="3"/>
        </w:numPr>
        <w:tabs>
          <w:tab w:val="left" w:pos="1319"/>
        </w:tabs>
        <w:kinsoku w:val="0"/>
        <w:wordWrap/>
        <w:overflowPunct/>
        <w:topLinePunct w:val="0"/>
        <w:autoSpaceDE w:val="0"/>
        <w:autoSpaceDN w:val="0"/>
        <w:bidi w:val="0"/>
        <w:adjustRightInd w:val="0"/>
        <w:snapToGrid w:val="0"/>
        <w:spacing w:before="139" w:after="0" w:line="364" w:lineRule="auto"/>
        <w:ind w:left="896" w:right="544" w:firstLine="0"/>
        <w:jc w:val="both"/>
        <w:textAlignment w:val="baseline"/>
        <w:rPr>
          <w:b w:val="0"/>
          <w:color w:val="auto"/>
          <w:spacing w:val="0"/>
          <w:sz w:val="21"/>
          <w:highlight w:val="none"/>
        </w:rPr>
      </w:pPr>
      <w:r>
        <w:rPr>
          <w:b w:val="0"/>
          <w:color w:val="auto"/>
          <w:spacing w:val="0"/>
          <w:sz w:val="21"/>
          <w:highlight w:val="none"/>
        </w:rPr>
        <w:t>供应商要严格遵守《工程造价咨询单位执业行为准则》《造价工程师职业道德行为准则》等行业准则。</w:t>
      </w:r>
    </w:p>
    <w:p w14:paraId="37B201A7">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364" w:lineRule="auto"/>
        <w:ind w:left="896" w:right="546" w:firstLine="0"/>
        <w:jc w:val="left"/>
        <w:textAlignment w:val="baseline"/>
        <w:rPr>
          <w:b w:val="0"/>
          <w:color w:val="auto"/>
          <w:spacing w:val="0"/>
          <w:sz w:val="21"/>
        </w:rPr>
      </w:pPr>
      <w:r>
        <w:rPr>
          <w:b w:val="0"/>
          <w:color w:val="auto"/>
          <w:spacing w:val="0"/>
          <w:sz w:val="21"/>
        </w:rPr>
        <w:t>供应商不得泄露</w:t>
      </w:r>
      <w:r>
        <w:rPr>
          <w:rFonts w:hint="eastAsia"/>
          <w:b w:val="0"/>
          <w:color w:val="auto"/>
          <w:spacing w:val="0"/>
          <w:sz w:val="21"/>
          <w:lang w:eastAsia="zh-CN"/>
        </w:rPr>
        <w:t>征集人</w:t>
      </w:r>
      <w:r>
        <w:rPr>
          <w:b w:val="0"/>
          <w:color w:val="auto"/>
          <w:spacing w:val="0"/>
          <w:sz w:val="21"/>
        </w:rPr>
        <w:t>及所承接项目的任何商业机密，不得未经</w:t>
      </w:r>
      <w:r>
        <w:rPr>
          <w:rFonts w:hint="eastAsia"/>
          <w:b w:val="0"/>
          <w:color w:val="auto"/>
          <w:spacing w:val="0"/>
          <w:sz w:val="21"/>
          <w:lang w:eastAsia="zh-CN"/>
        </w:rPr>
        <w:t>征集人</w:t>
      </w:r>
      <w:r>
        <w:rPr>
          <w:b w:val="0"/>
          <w:color w:val="auto"/>
          <w:spacing w:val="0"/>
          <w:sz w:val="21"/>
        </w:rPr>
        <w:t>同意擅自对外公开</w:t>
      </w:r>
      <w:r>
        <w:rPr>
          <w:rFonts w:hint="eastAsia"/>
          <w:b w:val="0"/>
          <w:color w:val="auto"/>
          <w:spacing w:val="0"/>
          <w:sz w:val="21"/>
          <w:lang w:eastAsia="zh-CN"/>
        </w:rPr>
        <w:t>协审项目的</w:t>
      </w:r>
      <w:r>
        <w:rPr>
          <w:rFonts w:hint="eastAsia"/>
          <w:b w:val="0"/>
          <w:color w:val="auto"/>
          <w:spacing w:val="0"/>
          <w:lang w:eastAsia="zh-CN"/>
        </w:rPr>
        <w:t>审核情况及</w:t>
      </w:r>
      <w:r>
        <w:rPr>
          <w:b w:val="0"/>
          <w:color w:val="auto"/>
          <w:spacing w:val="0"/>
          <w:sz w:val="21"/>
        </w:rPr>
        <w:t>结论。</w:t>
      </w:r>
    </w:p>
    <w:p w14:paraId="7F73F937">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367" w:lineRule="auto"/>
        <w:ind w:left="896" w:right="544" w:firstLine="0"/>
        <w:jc w:val="left"/>
        <w:textAlignment w:val="baseline"/>
        <w:rPr>
          <w:b w:val="0"/>
          <w:color w:val="auto"/>
          <w:spacing w:val="0"/>
          <w:sz w:val="21"/>
        </w:rPr>
      </w:pPr>
      <w:r>
        <w:rPr>
          <w:b w:val="0"/>
          <w:color w:val="auto"/>
          <w:spacing w:val="0"/>
          <w:sz w:val="21"/>
        </w:rPr>
        <w:t>供应商是</w:t>
      </w:r>
      <w:r>
        <w:rPr>
          <w:rFonts w:hint="eastAsia"/>
          <w:b w:val="0"/>
          <w:color w:val="auto"/>
          <w:spacing w:val="0"/>
          <w:sz w:val="21"/>
          <w:lang w:eastAsia="zh-CN"/>
        </w:rPr>
        <w:t>征集人</w:t>
      </w:r>
      <w:r>
        <w:rPr>
          <w:b w:val="0"/>
          <w:color w:val="auto"/>
          <w:spacing w:val="0"/>
          <w:sz w:val="21"/>
        </w:rPr>
        <w:t>的协助单位，应站在</w:t>
      </w:r>
      <w:r>
        <w:rPr>
          <w:rFonts w:hint="eastAsia"/>
          <w:b w:val="0"/>
          <w:color w:val="auto"/>
          <w:spacing w:val="0"/>
          <w:sz w:val="21"/>
          <w:lang w:eastAsia="zh-CN"/>
        </w:rPr>
        <w:t>征集人</w:t>
      </w:r>
      <w:r>
        <w:rPr>
          <w:b w:val="0"/>
          <w:color w:val="auto"/>
          <w:spacing w:val="0"/>
          <w:sz w:val="21"/>
        </w:rPr>
        <w:t>的立场上对</w:t>
      </w:r>
      <w:r>
        <w:rPr>
          <w:rFonts w:hint="eastAsia"/>
          <w:b w:val="0"/>
          <w:color w:val="auto"/>
          <w:spacing w:val="0"/>
          <w:sz w:val="21"/>
          <w:lang w:eastAsia="zh-CN"/>
        </w:rPr>
        <w:t>征集人</w:t>
      </w:r>
      <w:r>
        <w:rPr>
          <w:b w:val="0"/>
          <w:color w:val="auto"/>
          <w:spacing w:val="0"/>
          <w:sz w:val="21"/>
        </w:rPr>
        <w:t>安排的项目进行公平、公正、认真、细致的</w:t>
      </w:r>
      <w:r>
        <w:rPr>
          <w:rFonts w:hint="eastAsia"/>
          <w:b w:val="0"/>
          <w:color w:val="auto"/>
          <w:spacing w:val="0"/>
          <w:lang w:eastAsia="zh-CN"/>
        </w:rPr>
        <w:t>审核</w:t>
      </w:r>
      <w:r>
        <w:rPr>
          <w:b w:val="0"/>
          <w:color w:val="auto"/>
          <w:spacing w:val="0"/>
          <w:sz w:val="21"/>
        </w:rPr>
        <w:t>，服从</w:t>
      </w:r>
      <w:r>
        <w:rPr>
          <w:rFonts w:hint="eastAsia"/>
          <w:b w:val="0"/>
          <w:color w:val="auto"/>
          <w:spacing w:val="0"/>
          <w:sz w:val="21"/>
          <w:lang w:eastAsia="zh-CN"/>
        </w:rPr>
        <w:t>征集人</w:t>
      </w:r>
      <w:r>
        <w:rPr>
          <w:b w:val="0"/>
          <w:color w:val="auto"/>
          <w:spacing w:val="0"/>
          <w:sz w:val="21"/>
        </w:rPr>
        <w:t>的各项管理制度及管理要求。</w:t>
      </w:r>
    </w:p>
    <w:p w14:paraId="72535E34">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264" w:lineRule="exact"/>
        <w:ind w:left="896" w:right="0" w:firstLine="0"/>
        <w:jc w:val="left"/>
        <w:textAlignment w:val="baseline"/>
        <w:rPr>
          <w:b w:val="0"/>
          <w:color w:val="auto"/>
          <w:spacing w:val="0"/>
          <w:sz w:val="21"/>
        </w:rPr>
      </w:pPr>
      <w:r>
        <w:rPr>
          <w:b w:val="0"/>
          <w:color w:val="auto"/>
          <w:spacing w:val="0"/>
          <w:sz w:val="21"/>
        </w:rPr>
        <w:t>供应商不得将</w:t>
      </w:r>
      <w:r>
        <w:rPr>
          <w:rFonts w:hint="eastAsia"/>
          <w:b w:val="0"/>
          <w:color w:val="auto"/>
          <w:spacing w:val="0"/>
          <w:sz w:val="21"/>
          <w:lang w:eastAsia="zh-CN"/>
        </w:rPr>
        <w:t>征集人</w:t>
      </w:r>
      <w:r>
        <w:rPr>
          <w:b w:val="0"/>
          <w:color w:val="auto"/>
          <w:spacing w:val="0"/>
          <w:sz w:val="21"/>
        </w:rPr>
        <w:t>安排的</w:t>
      </w:r>
      <w:r>
        <w:rPr>
          <w:rFonts w:hint="eastAsia"/>
          <w:b w:val="0"/>
          <w:color w:val="auto"/>
          <w:spacing w:val="0"/>
          <w:lang w:eastAsia="zh-CN"/>
        </w:rPr>
        <w:t>审核</w:t>
      </w:r>
      <w:r>
        <w:rPr>
          <w:b w:val="0"/>
          <w:color w:val="auto"/>
          <w:spacing w:val="0"/>
          <w:sz w:val="21"/>
        </w:rPr>
        <w:t>项目转交第三方完成。</w:t>
      </w:r>
    </w:p>
    <w:p w14:paraId="12483057">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137" w:after="0" w:line="240" w:lineRule="auto"/>
        <w:ind w:left="896" w:right="0" w:firstLine="0"/>
        <w:jc w:val="left"/>
        <w:textAlignment w:val="baseline"/>
        <w:rPr>
          <w:color w:val="auto"/>
          <w:spacing w:val="0"/>
        </w:rPr>
      </w:pPr>
      <w:r>
        <w:rPr>
          <w:b w:val="0"/>
          <w:color w:val="auto"/>
          <w:spacing w:val="0"/>
          <w:sz w:val="21"/>
        </w:rPr>
        <w:t>供应商应严格按国家、行业和当地有关标准、规范提供相关协审服务。</w:t>
      </w:r>
    </w:p>
    <w:p w14:paraId="4BE6B0A9">
      <w:pPr>
        <w:pStyle w:val="5"/>
        <w:spacing w:before="185"/>
        <w:ind w:firstLine="422" w:firstLineChars="200"/>
        <w:rPr>
          <w:color w:val="auto"/>
          <w:spacing w:val="0"/>
        </w:rPr>
      </w:pPr>
      <w:r>
        <w:rPr>
          <w:rFonts w:hint="eastAsia"/>
          <w:color w:val="auto"/>
          <w:spacing w:val="0"/>
          <w:lang w:eastAsia="zh-CN"/>
        </w:rPr>
        <w:t>（三）</w:t>
      </w:r>
      <w:r>
        <w:rPr>
          <w:color w:val="auto"/>
          <w:spacing w:val="0"/>
        </w:rPr>
        <w:t>服务人员组成</w:t>
      </w:r>
    </w:p>
    <w:p w14:paraId="0BB5861C">
      <w:pPr>
        <w:pStyle w:val="34"/>
        <w:numPr>
          <w:ilvl w:val="0"/>
          <w:numId w:val="4"/>
        </w:numPr>
        <w:tabs>
          <w:tab w:val="left" w:pos="1318"/>
          <w:tab w:val="left" w:pos="1319"/>
        </w:tabs>
        <w:spacing w:before="139" w:after="0" w:line="240" w:lineRule="auto"/>
        <w:ind w:left="1318" w:right="0" w:hanging="420"/>
        <w:jc w:val="left"/>
        <w:rPr>
          <w:rFonts w:hint="eastAsia" w:ascii="宋体" w:hAnsi="宋体" w:eastAsia="宋体" w:cs="宋体"/>
          <w:color w:val="auto"/>
          <w:spacing w:val="0"/>
          <w:lang w:val="en-US" w:eastAsia="zh-CN"/>
        </w:rPr>
      </w:pPr>
      <w:r>
        <w:rPr>
          <w:rFonts w:hint="eastAsia" w:ascii="宋体" w:hAnsi="宋体" w:eastAsia="宋体" w:cs="宋体"/>
          <w:color w:val="auto"/>
          <w:spacing w:val="0"/>
          <w:sz w:val="21"/>
        </w:rPr>
        <w:t>供应商拟派的协审人员应熟悉财政监督或</w:t>
      </w:r>
      <w:r>
        <w:rPr>
          <w:rFonts w:hint="eastAsia" w:ascii="宋体" w:hAnsi="宋体" w:eastAsia="宋体" w:cs="宋体"/>
          <w:color w:val="auto"/>
          <w:spacing w:val="0"/>
          <w:sz w:val="21"/>
          <w:lang w:eastAsia="zh-CN"/>
        </w:rPr>
        <w:t>造价咨询</w:t>
      </w:r>
      <w:r>
        <w:rPr>
          <w:rFonts w:hint="eastAsia" w:ascii="宋体" w:hAnsi="宋体" w:eastAsia="宋体" w:cs="宋体"/>
          <w:color w:val="auto"/>
          <w:spacing w:val="0"/>
          <w:sz w:val="21"/>
        </w:rPr>
        <w:t>监督政策，具备服务政府</w:t>
      </w:r>
      <w:r>
        <w:rPr>
          <w:rFonts w:hint="eastAsia" w:ascii="宋体" w:hAnsi="宋体" w:eastAsia="宋体" w:cs="宋体"/>
          <w:color w:val="auto"/>
          <w:spacing w:val="0"/>
          <w:sz w:val="21"/>
          <w:lang w:eastAsia="zh-CN"/>
        </w:rPr>
        <w:t>性</w:t>
      </w:r>
      <w:r>
        <w:rPr>
          <w:rFonts w:hint="eastAsia" w:ascii="宋体" w:hAnsi="宋体" w:eastAsia="宋体" w:cs="宋体"/>
          <w:color w:val="auto"/>
          <w:spacing w:val="0"/>
          <w:sz w:val="21"/>
        </w:rPr>
        <w:t>投资和以政府</w:t>
      </w:r>
      <w:r>
        <w:rPr>
          <w:rFonts w:hint="eastAsia" w:ascii="宋体" w:hAnsi="宋体" w:eastAsia="宋体" w:cs="宋体"/>
          <w:color w:val="auto"/>
          <w:spacing w:val="0"/>
          <w:sz w:val="21"/>
          <w:lang w:eastAsia="zh-CN"/>
        </w:rPr>
        <w:t>性</w:t>
      </w:r>
      <w:r>
        <w:rPr>
          <w:rFonts w:hint="eastAsia" w:ascii="宋体" w:hAnsi="宋体" w:eastAsia="宋体" w:cs="宋体"/>
          <w:color w:val="auto"/>
          <w:spacing w:val="0"/>
          <w:sz w:val="21"/>
        </w:rPr>
        <w:t>投资</w:t>
      </w:r>
      <w:r>
        <w:rPr>
          <w:rFonts w:hint="eastAsia" w:ascii="宋体" w:hAnsi="宋体" w:eastAsia="宋体" w:cs="宋体"/>
          <w:color w:val="auto"/>
          <w:spacing w:val="0"/>
          <w:lang w:val="en-US" w:eastAsia="zh-CN"/>
        </w:rPr>
        <w:t>为</w:t>
      </w:r>
      <w:r>
        <w:rPr>
          <w:rFonts w:hint="eastAsia" w:ascii="宋体" w:hAnsi="宋体" w:eastAsia="宋体" w:cs="宋体"/>
          <w:color w:val="auto"/>
          <w:spacing w:val="0"/>
        </w:rPr>
        <w:t>主的建设项目</w:t>
      </w:r>
      <w:r>
        <w:rPr>
          <w:rFonts w:hint="eastAsia" w:ascii="宋体" w:hAnsi="宋体" w:eastAsia="宋体" w:cs="宋体"/>
          <w:color w:val="auto"/>
          <w:spacing w:val="0"/>
          <w:lang w:eastAsia="zh-CN"/>
        </w:rPr>
        <w:t>审核</w:t>
      </w:r>
      <w:r>
        <w:rPr>
          <w:rFonts w:hint="eastAsia" w:ascii="宋体" w:hAnsi="宋体" w:eastAsia="宋体" w:cs="宋体"/>
          <w:color w:val="auto"/>
          <w:spacing w:val="0"/>
        </w:rPr>
        <w:t>的专业技术能力。</w:t>
      </w:r>
    </w:p>
    <w:p w14:paraId="0CD267A6">
      <w:pPr>
        <w:pStyle w:val="34"/>
        <w:numPr>
          <w:ilvl w:val="0"/>
          <w:numId w:val="4"/>
        </w:numPr>
        <w:tabs>
          <w:tab w:val="left" w:pos="1318"/>
          <w:tab w:val="left" w:pos="1319"/>
        </w:tabs>
        <w:spacing w:before="139" w:after="0" w:line="240" w:lineRule="auto"/>
        <w:ind w:left="1318" w:right="0" w:hanging="42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供应商在接受征集人安排的审核项目后应积极主动地与征集人联系，落实具体事宜，并安排充足的协审人员在规定的时间内完成项目审核任务。</w:t>
      </w:r>
    </w:p>
    <w:p w14:paraId="3AB2156E">
      <w:pPr>
        <w:pStyle w:val="34"/>
        <w:numPr>
          <w:ilvl w:val="0"/>
          <w:numId w:val="4"/>
        </w:numPr>
        <w:tabs>
          <w:tab w:val="left" w:pos="1318"/>
          <w:tab w:val="left" w:pos="1319"/>
        </w:tabs>
        <w:spacing w:before="139" w:after="0" w:line="240" w:lineRule="auto"/>
        <w:ind w:left="1318" w:right="0" w:hanging="42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技术人员要求。</w:t>
      </w:r>
    </w:p>
    <w:p w14:paraId="5A2D8D3D">
      <w:pPr>
        <w:pStyle w:val="7"/>
        <w:spacing w:before="139" w:line="364" w:lineRule="auto"/>
        <w:ind w:left="1318" w:right="543"/>
        <w:jc w:val="both"/>
        <w:rPr>
          <w:rFonts w:hint="eastAsia" w:ascii="宋体" w:hAnsi="宋体" w:eastAsia="宋体" w:cs="宋体"/>
          <w:color w:val="auto"/>
          <w:spacing w:val="0"/>
        </w:rPr>
      </w:pPr>
      <w:r>
        <w:rPr>
          <w:rFonts w:hint="eastAsia" w:ascii="宋体" w:hAnsi="宋体" w:eastAsia="宋体" w:cs="宋体"/>
          <w:color w:val="auto"/>
          <w:spacing w:val="0"/>
          <w:lang w:eastAsia="zh-CN"/>
        </w:rPr>
        <w:t>（</w:t>
      </w:r>
      <w:r>
        <w:rPr>
          <w:rFonts w:hint="eastAsia" w:ascii="宋体" w:hAnsi="宋体" w:eastAsia="宋体" w:cs="宋体"/>
          <w:color w:val="auto"/>
          <w:spacing w:val="0"/>
          <w:lang w:val="en-US" w:eastAsia="zh-CN"/>
        </w:rPr>
        <w:t>1</w:t>
      </w:r>
      <w:r>
        <w:rPr>
          <w:rFonts w:hint="eastAsia" w:ascii="宋体" w:hAnsi="宋体" w:eastAsia="宋体" w:cs="宋体"/>
          <w:color w:val="auto"/>
          <w:spacing w:val="0"/>
          <w:lang w:eastAsia="zh-CN"/>
        </w:rPr>
        <w:t>）</w:t>
      </w:r>
      <w:r>
        <w:rPr>
          <w:rFonts w:hint="eastAsia" w:ascii="宋体" w:hAnsi="宋体" w:eastAsia="宋体" w:cs="宋体"/>
          <w:color w:val="auto"/>
          <w:spacing w:val="0"/>
        </w:rPr>
        <w:t>供应商应至少委派一名负责人负责与</w:t>
      </w:r>
      <w:r>
        <w:rPr>
          <w:rFonts w:hint="eastAsia" w:ascii="宋体" w:hAnsi="宋体" w:eastAsia="宋体" w:cs="宋体"/>
          <w:color w:val="auto"/>
          <w:spacing w:val="0"/>
          <w:lang w:eastAsia="zh-CN"/>
        </w:rPr>
        <w:t>征集人</w:t>
      </w:r>
      <w:r>
        <w:rPr>
          <w:rFonts w:hint="eastAsia" w:ascii="宋体" w:hAnsi="宋体" w:eastAsia="宋体" w:cs="宋体"/>
          <w:color w:val="auto"/>
          <w:spacing w:val="0"/>
        </w:rPr>
        <w:t>及相关单位进行有效沟通，随时向</w:t>
      </w:r>
      <w:r>
        <w:rPr>
          <w:rFonts w:hint="eastAsia" w:ascii="宋体" w:hAnsi="宋体" w:eastAsia="宋体" w:cs="宋体"/>
          <w:color w:val="auto"/>
          <w:spacing w:val="0"/>
          <w:lang w:eastAsia="zh-CN"/>
        </w:rPr>
        <w:t>征集人</w:t>
      </w:r>
      <w:r>
        <w:rPr>
          <w:rFonts w:hint="eastAsia" w:ascii="宋体" w:hAnsi="宋体" w:eastAsia="宋体" w:cs="宋体"/>
          <w:color w:val="auto"/>
          <w:spacing w:val="0"/>
        </w:rPr>
        <w:t>汇报工作，跟进项目进度，确保</w:t>
      </w:r>
      <w:r>
        <w:rPr>
          <w:rFonts w:hint="eastAsia" w:ascii="宋体" w:hAnsi="宋体" w:eastAsia="宋体" w:cs="宋体"/>
          <w:color w:val="auto"/>
          <w:spacing w:val="0"/>
          <w:lang w:eastAsia="zh-CN"/>
        </w:rPr>
        <w:t>项目审核</w:t>
      </w:r>
      <w:r>
        <w:rPr>
          <w:rFonts w:hint="eastAsia" w:ascii="宋体" w:hAnsi="宋体" w:eastAsia="宋体" w:cs="宋体"/>
          <w:color w:val="auto"/>
          <w:spacing w:val="0"/>
        </w:rPr>
        <w:t>质量并承担相应责任。组织相关</w:t>
      </w:r>
      <w:r>
        <w:rPr>
          <w:rFonts w:hint="eastAsia" w:ascii="宋体" w:hAnsi="宋体" w:eastAsia="宋体" w:cs="宋体"/>
          <w:color w:val="auto"/>
          <w:spacing w:val="0"/>
          <w:lang w:eastAsia="zh-CN"/>
        </w:rPr>
        <w:t>审核</w:t>
      </w:r>
      <w:r>
        <w:rPr>
          <w:rFonts w:hint="eastAsia" w:ascii="宋体" w:hAnsi="宋体" w:eastAsia="宋体" w:cs="宋体"/>
          <w:color w:val="auto"/>
          <w:spacing w:val="0"/>
        </w:rPr>
        <w:t>工作，能够就</w:t>
      </w:r>
      <w:r>
        <w:rPr>
          <w:rFonts w:hint="eastAsia" w:ascii="宋体" w:hAnsi="宋体" w:eastAsia="宋体" w:cs="宋体"/>
          <w:color w:val="auto"/>
          <w:spacing w:val="0"/>
          <w:lang w:eastAsia="zh-CN"/>
        </w:rPr>
        <w:t>项目审核</w:t>
      </w:r>
      <w:r>
        <w:rPr>
          <w:rFonts w:hint="eastAsia" w:ascii="宋体" w:hAnsi="宋体" w:eastAsia="宋体" w:cs="宋体"/>
          <w:color w:val="auto"/>
          <w:spacing w:val="0"/>
        </w:rPr>
        <w:t>中的重大技术问题、重大争议与纠纷提出处理建议，按规定提交</w:t>
      </w:r>
      <w:r>
        <w:rPr>
          <w:rFonts w:hint="eastAsia" w:ascii="宋体" w:hAnsi="宋体" w:eastAsia="宋体" w:cs="宋体"/>
          <w:color w:val="auto"/>
          <w:spacing w:val="0"/>
          <w:lang w:eastAsia="zh-CN"/>
        </w:rPr>
        <w:t>征集人</w:t>
      </w:r>
      <w:r>
        <w:rPr>
          <w:rFonts w:hint="eastAsia" w:ascii="宋体" w:hAnsi="宋体" w:eastAsia="宋体" w:cs="宋体"/>
          <w:color w:val="auto"/>
          <w:spacing w:val="0"/>
        </w:rPr>
        <w:t>要求的各项意见和文件。</w:t>
      </w:r>
    </w:p>
    <w:p w14:paraId="5AE571A2">
      <w:pPr>
        <w:pStyle w:val="7"/>
        <w:spacing w:before="139" w:line="364" w:lineRule="auto"/>
        <w:ind w:left="1318" w:right="543"/>
        <w:jc w:val="both"/>
        <w:rPr>
          <w:rFonts w:hint="eastAsia" w:ascii="宋体" w:hAnsi="宋体" w:eastAsia="宋体" w:cs="宋体"/>
          <w:color w:val="auto"/>
          <w:spacing w:val="0"/>
          <w:lang w:val="en-US" w:eastAsia="zh-CN"/>
        </w:rPr>
      </w:pPr>
      <w:r>
        <w:rPr>
          <w:rFonts w:hint="eastAsia" w:ascii="宋体" w:hAnsi="宋体" w:eastAsia="宋体" w:cs="宋体"/>
          <w:color w:val="auto"/>
          <w:spacing w:val="0"/>
          <w:lang w:val="en-US" w:eastAsia="zh-CN"/>
        </w:rPr>
        <w:t>（2）①</w:t>
      </w:r>
      <w:r>
        <w:rPr>
          <w:rFonts w:hint="eastAsia" w:ascii="宋体" w:hAnsi="宋体" w:eastAsia="宋体" w:cs="宋体"/>
          <w:color w:val="auto"/>
          <w:sz w:val="21"/>
          <w:szCs w:val="21"/>
          <w:lang w:val="en-US" w:eastAsia="zh-CN"/>
        </w:rPr>
        <w:t>供应商拟投入管理及技术负责人1人，具备一级造价工程师证和高级工程师及以上职称。</w:t>
      </w:r>
      <w:r>
        <w:rPr>
          <w:rFonts w:hint="eastAsia" w:cs="宋体"/>
          <w:color w:val="auto"/>
          <w:sz w:val="21"/>
          <w:szCs w:val="21"/>
          <w:lang w:val="en-US" w:eastAsia="zh-CN"/>
        </w:rPr>
        <w:t>②供应商拟投入技术人员至少满足以下要求：土木建筑工程专业技术人员2名、安装专业技术人员1名、交通运输工程技术人员1名、水利专业技术人员1名（以上人员需中级工程师及以上职称或造价员证书满3年及以上，一个技术人员最多可兼2个专业）。</w:t>
      </w:r>
    </w:p>
    <w:p w14:paraId="7221BE8F">
      <w:pPr>
        <w:pStyle w:val="34"/>
        <w:keepNext w:val="0"/>
        <w:keepLines w:val="0"/>
        <w:pageBreakBefore w:val="0"/>
        <w:widowControl w:val="0"/>
        <w:numPr>
          <w:ilvl w:val="0"/>
          <w:numId w:val="4"/>
        </w:numPr>
        <w:tabs>
          <w:tab w:val="left" w:pos="1318"/>
          <w:tab w:val="left" w:pos="1319"/>
        </w:tabs>
        <w:kinsoku/>
        <w:wordWrap/>
        <w:overflowPunct/>
        <w:topLinePunct w:val="0"/>
        <w:autoSpaceDE w:val="0"/>
        <w:autoSpaceDN w:val="0"/>
        <w:bidi w:val="0"/>
        <w:adjustRightInd/>
        <w:snapToGrid/>
        <w:spacing w:before="139" w:after="0" w:line="365" w:lineRule="auto"/>
        <w:ind w:left="1315" w:right="0" w:hanging="42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1"/>
          <w:szCs w:val="21"/>
          <w:lang w:val="zh-CN" w:eastAsia="zh-CN" w:bidi="zh-CN"/>
        </w:rPr>
        <w:t>供应商</w:t>
      </w:r>
      <w:r>
        <w:rPr>
          <w:rFonts w:hint="eastAsia" w:ascii="宋体" w:hAnsi="宋体" w:eastAsia="宋体" w:cs="宋体"/>
          <w:color w:val="auto"/>
          <w:sz w:val="21"/>
          <w:szCs w:val="21"/>
        </w:rPr>
        <w:t>必须建立内部三级审核制度</w:t>
      </w:r>
      <w:r>
        <w:rPr>
          <w:rFonts w:hint="eastAsia" w:ascii="宋体" w:hAnsi="宋体" w:eastAsia="宋体" w:cs="宋体"/>
          <w:color w:val="auto"/>
          <w:sz w:val="21"/>
          <w:szCs w:val="21"/>
          <w:lang w:eastAsia="zh-CN"/>
        </w:rPr>
        <w:t>。</w:t>
      </w:r>
      <w:r>
        <w:rPr>
          <w:rFonts w:hint="eastAsia" w:ascii="宋体" w:hAnsi="宋体" w:eastAsia="宋体" w:cs="宋体"/>
          <w:color w:val="auto"/>
          <w:spacing w:val="0"/>
          <w:sz w:val="21"/>
          <w:szCs w:val="21"/>
          <w:lang w:val="zh-CN" w:eastAsia="zh-CN" w:bidi="zh-CN"/>
        </w:rPr>
        <w:t>对征集人委派的每个审核项目，应组成协审小组，并至少投入主审人员 1 人、复核人员</w:t>
      </w:r>
      <w:r>
        <w:rPr>
          <w:rFonts w:hint="eastAsia" w:ascii="宋体" w:hAnsi="宋体" w:eastAsia="宋体" w:cs="宋体"/>
          <w:color w:val="auto"/>
          <w:spacing w:val="0"/>
          <w:sz w:val="21"/>
          <w:szCs w:val="21"/>
          <w:lang w:val="en-US" w:eastAsia="zh-CN" w:bidi="zh-CN"/>
        </w:rPr>
        <w:t>2</w:t>
      </w:r>
      <w:r>
        <w:rPr>
          <w:rFonts w:hint="eastAsia" w:ascii="宋体" w:hAnsi="宋体" w:eastAsia="宋体" w:cs="宋体"/>
          <w:color w:val="auto"/>
          <w:spacing w:val="0"/>
          <w:sz w:val="21"/>
          <w:szCs w:val="21"/>
          <w:lang w:val="zh-CN" w:eastAsia="zh-CN" w:bidi="zh-CN"/>
        </w:rPr>
        <w:t>人，除专职复核人员进行一级复核外，供应商还必须安排具备相应专业</w:t>
      </w:r>
      <w:r>
        <w:rPr>
          <w:rFonts w:hint="eastAsia" w:ascii="宋体" w:hAnsi="宋体" w:eastAsia="宋体" w:cs="宋体"/>
          <w:color w:val="auto"/>
          <w:spacing w:val="0"/>
          <w:sz w:val="21"/>
          <w:szCs w:val="21"/>
          <w:highlight w:val="none"/>
          <w:lang w:val="zh-CN" w:eastAsia="zh-CN" w:bidi="zh-CN"/>
        </w:rPr>
        <w:t>造价工程师资格的技术负责人进行二、三级复核。</w:t>
      </w:r>
    </w:p>
    <w:p w14:paraId="30C460EC">
      <w:pPr>
        <w:pStyle w:val="7"/>
        <w:keepNext w:val="0"/>
        <w:keepLines w:val="0"/>
        <w:pageBreakBefore w:val="0"/>
        <w:widowControl w:val="0"/>
        <w:kinsoku/>
        <w:wordWrap/>
        <w:overflowPunct/>
        <w:topLinePunct w:val="0"/>
        <w:autoSpaceDE w:val="0"/>
        <w:autoSpaceDN w:val="0"/>
        <w:bidi w:val="0"/>
        <w:adjustRightInd/>
        <w:snapToGrid/>
        <w:spacing w:before="139" w:line="364" w:lineRule="auto"/>
        <w:ind w:left="1315" w:right="543"/>
        <w:jc w:val="both"/>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主审人员：具有一级造价工程师资格，业务能力和沟通能力强，计划执行能力强，工作效率高， 具备团队领导能力，熟悉</w:t>
      </w:r>
      <w:r>
        <w:rPr>
          <w:rFonts w:hint="eastAsia" w:ascii="宋体" w:hAnsi="宋体" w:eastAsia="宋体" w:cs="宋体"/>
          <w:color w:val="auto"/>
          <w:spacing w:val="0"/>
          <w:highlight w:val="none"/>
          <w:lang w:eastAsia="zh-CN"/>
        </w:rPr>
        <w:t>工程审核</w:t>
      </w:r>
      <w:r>
        <w:rPr>
          <w:rFonts w:hint="eastAsia" w:ascii="宋体" w:hAnsi="宋体" w:eastAsia="宋体" w:cs="宋体"/>
          <w:color w:val="auto"/>
          <w:spacing w:val="0"/>
          <w:highlight w:val="none"/>
        </w:rPr>
        <w:t>工作流程，能独立完成项目主审职责</w:t>
      </w:r>
      <w:r>
        <w:rPr>
          <w:rFonts w:hint="eastAsia" w:ascii="宋体" w:hAnsi="宋体" w:eastAsia="宋体" w:cs="宋体"/>
          <w:color w:val="auto"/>
          <w:spacing w:val="0"/>
          <w:highlight w:val="none"/>
          <w:lang w:eastAsia="zh-CN"/>
        </w:rPr>
        <w:t>（审核</w:t>
      </w:r>
      <w:r>
        <w:rPr>
          <w:rFonts w:hint="eastAsia" w:ascii="宋体" w:hAnsi="宋体" w:eastAsia="宋体" w:cs="宋体"/>
          <w:color w:val="auto"/>
          <w:spacing w:val="0"/>
          <w:highlight w:val="none"/>
        </w:rPr>
        <w:t>对接、组织、综合复核、进度控制、质量控制及</w:t>
      </w:r>
      <w:r>
        <w:rPr>
          <w:rFonts w:hint="eastAsia" w:ascii="宋体" w:hAnsi="宋体" w:eastAsia="宋体" w:cs="宋体"/>
          <w:color w:val="auto"/>
          <w:spacing w:val="0"/>
          <w:highlight w:val="none"/>
          <w:lang w:eastAsia="zh-CN"/>
        </w:rPr>
        <w:t>项目评审</w:t>
      </w:r>
      <w:r>
        <w:rPr>
          <w:rFonts w:hint="eastAsia" w:ascii="宋体" w:hAnsi="宋体" w:eastAsia="宋体" w:cs="宋体"/>
          <w:color w:val="auto"/>
          <w:spacing w:val="0"/>
          <w:highlight w:val="none"/>
        </w:rPr>
        <w:t>报告的拟写）。</w:t>
      </w:r>
    </w:p>
    <w:p w14:paraId="05AFE1E3">
      <w:pPr>
        <w:pStyle w:val="7"/>
        <w:keepNext w:val="0"/>
        <w:keepLines w:val="0"/>
        <w:pageBreakBefore w:val="0"/>
        <w:widowControl w:val="0"/>
        <w:kinsoku/>
        <w:wordWrap/>
        <w:overflowPunct/>
        <w:topLinePunct w:val="0"/>
        <w:autoSpaceDE w:val="0"/>
        <w:autoSpaceDN w:val="0"/>
        <w:bidi w:val="0"/>
        <w:adjustRightInd/>
        <w:snapToGrid/>
        <w:spacing w:before="139" w:line="364" w:lineRule="auto"/>
        <w:ind w:left="1315" w:right="548"/>
        <w:jc w:val="both"/>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复核人员：具有良好的沟通能力和团队精神，具备岗位匹配专业技术，可配合项目主审做好</w:t>
      </w:r>
      <w:r>
        <w:rPr>
          <w:rFonts w:hint="eastAsia" w:ascii="宋体" w:hAnsi="宋体" w:eastAsia="宋体" w:cs="宋体"/>
          <w:color w:val="auto"/>
          <w:spacing w:val="0"/>
          <w:highlight w:val="none"/>
          <w:lang w:eastAsia="zh-CN"/>
        </w:rPr>
        <w:t>项目审核</w:t>
      </w:r>
      <w:r>
        <w:rPr>
          <w:rFonts w:hint="eastAsia" w:ascii="宋体" w:hAnsi="宋体" w:eastAsia="宋体" w:cs="宋体"/>
          <w:color w:val="auto"/>
          <w:spacing w:val="0"/>
          <w:highlight w:val="none"/>
        </w:rPr>
        <w:t>工作。</w:t>
      </w:r>
    </w:p>
    <w:p w14:paraId="69EEDBA4">
      <w:pPr>
        <w:pStyle w:val="34"/>
        <w:numPr>
          <w:ilvl w:val="0"/>
          <w:numId w:val="4"/>
        </w:numPr>
        <w:tabs>
          <w:tab w:val="left" w:pos="1319"/>
        </w:tabs>
        <w:spacing w:before="0" w:after="0" w:line="364" w:lineRule="auto"/>
        <w:ind w:left="1318" w:right="546" w:hanging="420"/>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协审人员应严格遵守廉洁自律的有关规定，坚决抵制各种可能影响客观公正协审的商业贿赂。如因协审人员原因出现违规违纪行为，供应商应及时处理并承担相应法律责任，</w:t>
      </w:r>
      <w:r>
        <w:rPr>
          <w:rFonts w:hint="eastAsia" w:ascii="宋体" w:hAnsi="宋体" w:eastAsia="宋体" w:cs="宋体"/>
          <w:color w:val="auto"/>
          <w:spacing w:val="0"/>
          <w:sz w:val="21"/>
          <w:highlight w:val="none"/>
          <w:lang w:eastAsia="zh-CN"/>
        </w:rPr>
        <w:t>征集人</w:t>
      </w:r>
      <w:r>
        <w:rPr>
          <w:rFonts w:hint="eastAsia" w:ascii="宋体" w:hAnsi="宋体" w:eastAsia="宋体" w:cs="宋体"/>
          <w:color w:val="auto"/>
          <w:spacing w:val="0"/>
          <w:sz w:val="21"/>
          <w:highlight w:val="none"/>
        </w:rPr>
        <w:t>有权追究其相关责任。</w:t>
      </w:r>
    </w:p>
    <w:p w14:paraId="0BBE1DD0">
      <w:pPr>
        <w:pStyle w:val="34"/>
        <w:numPr>
          <w:ilvl w:val="0"/>
          <w:numId w:val="4"/>
        </w:numPr>
        <w:tabs>
          <w:tab w:val="left" w:pos="1319"/>
        </w:tabs>
        <w:spacing w:before="0" w:after="0" w:line="364" w:lineRule="auto"/>
        <w:ind w:left="1318" w:right="440" w:hanging="420"/>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供应商实际投入协审工作的人员，必须与响应文件中提交的拟投入协审人员一致，特殊情况更换人员时，必须书面申请经征集人同意。征集人认为供应商实际投入的协审人员不足以满足</w:t>
      </w:r>
      <w:r>
        <w:rPr>
          <w:rFonts w:hint="eastAsia" w:ascii="宋体" w:hAnsi="宋体" w:eastAsia="宋体" w:cs="宋体"/>
          <w:color w:val="auto"/>
          <w:spacing w:val="0"/>
          <w:sz w:val="21"/>
          <w:highlight w:val="none"/>
          <w:lang w:eastAsia="zh-CN"/>
        </w:rPr>
        <w:t>项目审核</w:t>
      </w:r>
      <w:r>
        <w:rPr>
          <w:rFonts w:hint="eastAsia" w:ascii="宋体" w:hAnsi="宋体" w:eastAsia="宋体" w:cs="宋体"/>
          <w:color w:val="auto"/>
          <w:spacing w:val="0"/>
          <w:sz w:val="21"/>
          <w:highlight w:val="none"/>
        </w:rPr>
        <w:t>任务需要或认为协审人员不称职时，可向供应商发出要求增加或更换协审人员的通知，供应商在收到通知后的 5 天内应增加或更换相应的协审人员，由此产生的费用由供应商自行承担。</w:t>
      </w:r>
    </w:p>
    <w:p w14:paraId="6D11E849">
      <w:pPr>
        <w:pStyle w:val="34"/>
        <w:numPr>
          <w:ilvl w:val="0"/>
          <w:numId w:val="4"/>
        </w:numPr>
        <w:tabs>
          <w:tab w:val="left" w:pos="1319"/>
        </w:tabs>
        <w:spacing w:before="0" w:after="0" w:line="364" w:lineRule="auto"/>
        <w:ind w:left="1318" w:right="440" w:hanging="420"/>
        <w:jc w:val="both"/>
        <w:rPr>
          <w:color w:val="auto"/>
          <w:spacing w:val="0"/>
          <w:sz w:val="21"/>
          <w:highlight w:val="none"/>
        </w:rPr>
      </w:pPr>
      <w:r>
        <w:rPr>
          <w:rFonts w:hint="eastAsia" w:ascii="宋体" w:hAnsi="宋体" w:eastAsia="宋体" w:cs="宋体"/>
          <w:color w:val="auto"/>
          <w:sz w:val="21"/>
          <w:szCs w:val="21"/>
          <w:highlight w:val="none"/>
          <w:lang w:val="en-US" w:eastAsia="zh-CN"/>
        </w:rPr>
        <w:t>如遇紧急评审项目，</w:t>
      </w:r>
      <w:r>
        <w:rPr>
          <w:color w:val="auto"/>
          <w:spacing w:val="0"/>
          <w:sz w:val="21"/>
          <w:highlight w:val="none"/>
        </w:rPr>
        <w:t>供应商</w:t>
      </w:r>
      <w:r>
        <w:rPr>
          <w:rFonts w:hint="eastAsia" w:ascii="宋体" w:hAnsi="宋体" w:eastAsia="宋体" w:cs="宋体"/>
          <w:color w:val="auto"/>
          <w:sz w:val="21"/>
          <w:szCs w:val="21"/>
          <w:highlight w:val="none"/>
          <w:lang w:val="en-US" w:eastAsia="zh-CN"/>
        </w:rPr>
        <w:t>应积极配合区财政局工作，安排专业技术人员至指定地点开展评审工作，直至完成初审任务，由此产生的相关费用由</w:t>
      </w:r>
      <w:r>
        <w:rPr>
          <w:color w:val="auto"/>
          <w:spacing w:val="0"/>
          <w:sz w:val="21"/>
          <w:highlight w:val="none"/>
        </w:rPr>
        <w:t>供应商</w:t>
      </w:r>
      <w:r>
        <w:rPr>
          <w:rFonts w:hint="eastAsia" w:ascii="宋体" w:hAnsi="宋体" w:eastAsia="宋体" w:cs="宋体"/>
          <w:color w:val="auto"/>
          <w:sz w:val="21"/>
          <w:szCs w:val="21"/>
          <w:highlight w:val="none"/>
          <w:lang w:val="en-US" w:eastAsia="zh-CN"/>
        </w:rPr>
        <w:t>自</w:t>
      </w:r>
      <w:r>
        <w:rPr>
          <w:rFonts w:hint="eastAsia" w:cs="宋体"/>
          <w:color w:val="auto"/>
          <w:sz w:val="21"/>
          <w:szCs w:val="21"/>
          <w:highlight w:val="none"/>
          <w:lang w:val="en-US" w:eastAsia="zh-CN"/>
        </w:rPr>
        <w:t>理。</w:t>
      </w:r>
    </w:p>
    <w:p w14:paraId="320B0959">
      <w:pPr>
        <w:pStyle w:val="34"/>
        <w:numPr>
          <w:ilvl w:val="0"/>
          <w:numId w:val="4"/>
        </w:numPr>
        <w:tabs>
          <w:tab w:val="left" w:pos="1318"/>
          <w:tab w:val="left" w:pos="1319"/>
        </w:tabs>
        <w:spacing w:before="0" w:after="0" w:line="364" w:lineRule="auto"/>
        <w:ind w:left="1318" w:right="556" w:hanging="420"/>
        <w:jc w:val="left"/>
        <w:rPr>
          <w:color w:val="auto"/>
          <w:spacing w:val="0"/>
          <w:sz w:val="21"/>
          <w:highlight w:val="none"/>
        </w:rPr>
      </w:pPr>
      <w:r>
        <w:rPr>
          <w:color w:val="auto"/>
          <w:spacing w:val="0"/>
          <w:sz w:val="21"/>
          <w:highlight w:val="none"/>
        </w:rPr>
        <w:t>供应商所委派的协审人员在开展协审任务期间所发生的与协审任务相关的任何费用开支，由供应商负责支付。</w:t>
      </w:r>
    </w:p>
    <w:p w14:paraId="34BEE085">
      <w:pPr>
        <w:pStyle w:val="5"/>
        <w:spacing w:before="185"/>
        <w:ind w:firstLine="422" w:firstLineChars="200"/>
        <w:rPr>
          <w:rFonts w:hint="eastAsia"/>
          <w:color w:val="auto"/>
          <w:spacing w:val="0"/>
          <w:highlight w:val="none"/>
          <w:lang w:eastAsia="zh-CN"/>
        </w:rPr>
      </w:pPr>
      <w:r>
        <w:rPr>
          <w:rFonts w:hint="eastAsia"/>
          <w:color w:val="auto"/>
          <w:spacing w:val="0"/>
          <w:highlight w:val="none"/>
          <w:lang w:eastAsia="zh-CN"/>
        </w:rPr>
        <w:t>（四）服务工作量的计量方式</w:t>
      </w:r>
    </w:p>
    <w:p w14:paraId="46536C16">
      <w:pPr>
        <w:pStyle w:val="34"/>
        <w:numPr>
          <w:ilvl w:val="0"/>
          <w:numId w:val="5"/>
        </w:numPr>
        <w:tabs>
          <w:tab w:val="left" w:pos="1318"/>
          <w:tab w:val="left" w:pos="1319"/>
        </w:tabs>
        <w:spacing w:before="134" w:after="0" w:line="240" w:lineRule="auto"/>
        <w:ind w:left="1470" w:leftChars="0" w:right="0" w:hanging="420" w:firstLineChars="0"/>
        <w:jc w:val="left"/>
        <w:rPr>
          <w:color w:val="auto"/>
          <w:spacing w:val="0"/>
          <w:sz w:val="21"/>
          <w:szCs w:val="21"/>
          <w:highlight w:val="none"/>
        </w:rPr>
      </w:pPr>
      <w:r>
        <w:rPr>
          <w:color w:val="auto"/>
          <w:spacing w:val="0"/>
          <w:sz w:val="21"/>
          <w:szCs w:val="21"/>
          <w:highlight w:val="none"/>
        </w:rPr>
        <w:t>协助</w:t>
      </w:r>
      <w:r>
        <w:rPr>
          <w:rFonts w:hint="eastAsia"/>
          <w:color w:val="auto"/>
          <w:spacing w:val="0"/>
          <w:sz w:val="21"/>
          <w:szCs w:val="21"/>
          <w:highlight w:val="none"/>
          <w:lang w:eastAsia="zh-CN"/>
        </w:rPr>
        <w:t>项目审核</w:t>
      </w:r>
      <w:r>
        <w:rPr>
          <w:color w:val="auto"/>
          <w:spacing w:val="0"/>
          <w:sz w:val="21"/>
          <w:szCs w:val="21"/>
          <w:highlight w:val="none"/>
        </w:rPr>
        <w:t>的工作方式</w:t>
      </w:r>
    </w:p>
    <w:p w14:paraId="424B2591">
      <w:pPr>
        <w:pStyle w:val="7"/>
        <w:spacing w:before="139" w:line="364" w:lineRule="auto"/>
        <w:ind w:left="1318" w:right="544"/>
        <w:jc w:val="both"/>
        <w:rPr>
          <w:rFonts w:hint="eastAsia" w:eastAsia="宋体"/>
          <w:color w:val="auto"/>
          <w:spacing w:val="0"/>
          <w:highlight w:val="none"/>
          <w:lang w:eastAsia="zh-CN"/>
        </w:rPr>
      </w:pPr>
      <w:r>
        <w:rPr>
          <w:color w:val="auto"/>
          <w:spacing w:val="0"/>
          <w:highlight w:val="none"/>
        </w:rPr>
        <w:t>供应商派出符合项目</w:t>
      </w:r>
      <w:r>
        <w:rPr>
          <w:rFonts w:hint="eastAsia"/>
          <w:color w:val="auto"/>
          <w:spacing w:val="0"/>
          <w:highlight w:val="none"/>
          <w:lang w:eastAsia="zh-CN"/>
        </w:rPr>
        <w:t>审核</w:t>
      </w:r>
      <w:r>
        <w:rPr>
          <w:color w:val="auto"/>
          <w:spacing w:val="0"/>
          <w:highlight w:val="none"/>
        </w:rPr>
        <w:t>要求的协审人员与</w:t>
      </w:r>
      <w:r>
        <w:rPr>
          <w:rFonts w:hint="eastAsia"/>
          <w:color w:val="auto"/>
          <w:spacing w:val="0"/>
          <w:highlight w:val="none"/>
          <w:lang w:eastAsia="zh-CN"/>
        </w:rPr>
        <w:t>征集人</w:t>
      </w:r>
      <w:r>
        <w:rPr>
          <w:color w:val="auto"/>
          <w:spacing w:val="0"/>
          <w:highlight w:val="none"/>
        </w:rPr>
        <w:t>的人员一同组成</w:t>
      </w:r>
      <w:r>
        <w:rPr>
          <w:rFonts w:hint="eastAsia"/>
          <w:color w:val="auto"/>
          <w:spacing w:val="0"/>
          <w:highlight w:val="none"/>
          <w:lang w:eastAsia="zh-CN"/>
        </w:rPr>
        <w:t>协审小</w:t>
      </w:r>
      <w:r>
        <w:rPr>
          <w:color w:val="auto"/>
          <w:spacing w:val="0"/>
          <w:highlight w:val="none"/>
        </w:rPr>
        <w:t>组，在</w:t>
      </w:r>
      <w:r>
        <w:rPr>
          <w:rFonts w:hint="eastAsia"/>
          <w:color w:val="auto"/>
          <w:spacing w:val="0"/>
          <w:highlight w:val="none"/>
          <w:lang w:eastAsia="zh-CN"/>
        </w:rPr>
        <w:t>征集人</w:t>
      </w:r>
      <w:r>
        <w:rPr>
          <w:color w:val="auto"/>
          <w:spacing w:val="0"/>
          <w:highlight w:val="none"/>
        </w:rPr>
        <w:t>委派的</w:t>
      </w:r>
      <w:r>
        <w:rPr>
          <w:rFonts w:hint="eastAsia"/>
          <w:color w:val="auto"/>
          <w:spacing w:val="0"/>
          <w:highlight w:val="none"/>
          <w:lang w:eastAsia="zh-CN"/>
        </w:rPr>
        <w:t>审核</w:t>
      </w:r>
      <w:r>
        <w:rPr>
          <w:color w:val="auto"/>
          <w:spacing w:val="0"/>
          <w:highlight w:val="none"/>
        </w:rPr>
        <w:t>组组长的领导下实施</w:t>
      </w:r>
      <w:r>
        <w:rPr>
          <w:rFonts w:hint="eastAsia"/>
          <w:color w:val="auto"/>
          <w:spacing w:val="0"/>
          <w:highlight w:val="none"/>
          <w:lang w:eastAsia="zh-CN"/>
        </w:rPr>
        <w:t>项目审核</w:t>
      </w:r>
      <w:r>
        <w:rPr>
          <w:color w:val="auto"/>
          <w:spacing w:val="0"/>
          <w:highlight w:val="none"/>
        </w:rPr>
        <w:t>，取得</w:t>
      </w:r>
      <w:r>
        <w:rPr>
          <w:rFonts w:hint="eastAsia"/>
          <w:color w:val="auto"/>
          <w:spacing w:val="0"/>
          <w:highlight w:val="none"/>
          <w:lang w:eastAsia="zh-CN"/>
        </w:rPr>
        <w:t>项目审核依</w:t>
      </w:r>
      <w:r>
        <w:rPr>
          <w:color w:val="auto"/>
          <w:spacing w:val="0"/>
          <w:highlight w:val="none"/>
        </w:rPr>
        <w:t>据，编制</w:t>
      </w:r>
      <w:r>
        <w:rPr>
          <w:rFonts w:hint="eastAsia"/>
          <w:color w:val="auto"/>
          <w:spacing w:val="0"/>
          <w:highlight w:val="none"/>
          <w:lang w:eastAsia="zh-CN"/>
        </w:rPr>
        <w:t>项目审核</w:t>
      </w:r>
      <w:r>
        <w:rPr>
          <w:color w:val="auto"/>
          <w:spacing w:val="0"/>
          <w:highlight w:val="none"/>
        </w:rPr>
        <w:t>工作底稿，并出具向</w:t>
      </w:r>
      <w:r>
        <w:rPr>
          <w:rFonts w:hint="eastAsia"/>
          <w:color w:val="auto"/>
          <w:spacing w:val="0"/>
          <w:highlight w:val="none"/>
          <w:lang w:eastAsia="zh-CN"/>
        </w:rPr>
        <w:t>征集人</w:t>
      </w:r>
      <w:r>
        <w:rPr>
          <w:color w:val="auto"/>
          <w:spacing w:val="0"/>
          <w:highlight w:val="none"/>
        </w:rPr>
        <w:t>负责的</w:t>
      </w:r>
      <w:r>
        <w:rPr>
          <w:rFonts w:hint="eastAsia"/>
          <w:color w:val="auto"/>
          <w:spacing w:val="0"/>
          <w:highlight w:val="none"/>
          <w:lang w:eastAsia="zh-CN"/>
        </w:rPr>
        <w:t>项目评审</w:t>
      </w:r>
      <w:r>
        <w:rPr>
          <w:color w:val="auto"/>
          <w:spacing w:val="0"/>
          <w:highlight w:val="none"/>
        </w:rPr>
        <w:t>报告</w:t>
      </w:r>
      <w:r>
        <w:rPr>
          <w:rFonts w:hint="eastAsia"/>
          <w:color w:val="auto"/>
          <w:spacing w:val="0"/>
          <w:highlight w:val="none"/>
          <w:lang w:eastAsia="zh-CN"/>
        </w:rPr>
        <w:t>（招标（预算）控制价评审报告）。</w:t>
      </w:r>
    </w:p>
    <w:p w14:paraId="7CD0BF87">
      <w:pPr>
        <w:pStyle w:val="34"/>
        <w:numPr>
          <w:ilvl w:val="0"/>
          <w:numId w:val="5"/>
        </w:numPr>
        <w:tabs>
          <w:tab w:val="left" w:pos="1319"/>
        </w:tabs>
        <w:spacing w:before="0" w:after="0" w:line="364" w:lineRule="auto"/>
        <w:ind w:left="1470" w:leftChars="0" w:right="543" w:hanging="420" w:firstLineChars="0"/>
        <w:jc w:val="both"/>
        <w:rPr>
          <w:color w:val="auto"/>
          <w:spacing w:val="0"/>
          <w:sz w:val="21"/>
          <w:highlight w:val="none"/>
        </w:rPr>
      </w:pPr>
      <w:r>
        <w:rPr>
          <w:rFonts w:hint="eastAsia"/>
          <w:color w:val="auto"/>
          <w:spacing w:val="0"/>
          <w:sz w:val="21"/>
          <w:highlight w:val="none"/>
          <w:lang w:eastAsia="zh-CN"/>
        </w:rPr>
        <w:t>征集人</w:t>
      </w:r>
      <w:r>
        <w:rPr>
          <w:color w:val="auto"/>
          <w:spacing w:val="0"/>
          <w:sz w:val="21"/>
          <w:highlight w:val="none"/>
        </w:rPr>
        <w:t>将对供应商递交的</w:t>
      </w:r>
      <w:r>
        <w:rPr>
          <w:rFonts w:hint="eastAsia"/>
          <w:color w:val="auto"/>
          <w:spacing w:val="0"/>
          <w:sz w:val="21"/>
          <w:highlight w:val="none"/>
          <w:lang w:eastAsia="zh-CN"/>
        </w:rPr>
        <w:t>项目</w:t>
      </w:r>
      <w:r>
        <w:rPr>
          <w:rFonts w:hint="eastAsia"/>
          <w:color w:val="auto"/>
          <w:spacing w:val="0"/>
          <w:highlight w:val="none"/>
          <w:lang w:eastAsia="zh-CN"/>
        </w:rPr>
        <w:t>审核</w:t>
      </w:r>
      <w:r>
        <w:rPr>
          <w:color w:val="auto"/>
          <w:spacing w:val="0"/>
          <w:sz w:val="21"/>
          <w:highlight w:val="none"/>
        </w:rPr>
        <w:t>成果进行复核，如果单项工程的</w:t>
      </w:r>
      <w:r>
        <w:rPr>
          <w:rFonts w:hint="eastAsia"/>
          <w:color w:val="auto"/>
          <w:spacing w:val="0"/>
          <w:highlight w:val="none"/>
          <w:lang w:eastAsia="zh-CN"/>
        </w:rPr>
        <w:t>审核</w:t>
      </w:r>
      <w:r>
        <w:rPr>
          <w:color w:val="auto"/>
          <w:spacing w:val="0"/>
          <w:sz w:val="21"/>
          <w:highlight w:val="none"/>
        </w:rPr>
        <w:t xml:space="preserve">成果经复核后误差率超过 </w:t>
      </w:r>
      <w:r>
        <w:rPr>
          <w:rFonts w:hint="eastAsia" w:ascii="Times New Roman" w:eastAsia="宋体"/>
          <w:color w:val="auto"/>
          <w:spacing w:val="0"/>
          <w:sz w:val="21"/>
          <w:highlight w:val="none"/>
          <w:lang w:val="en-US" w:eastAsia="zh-CN"/>
        </w:rPr>
        <w:t>5</w:t>
      </w:r>
      <w:r>
        <w:rPr>
          <w:rFonts w:ascii="Times New Roman" w:eastAsia="Times New Roman"/>
          <w:color w:val="auto"/>
          <w:spacing w:val="0"/>
          <w:sz w:val="21"/>
          <w:highlight w:val="none"/>
        </w:rPr>
        <w:t>%</w:t>
      </w:r>
      <w:r>
        <w:rPr>
          <w:color w:val="auto"/>
          <w:spacing w:val="0"/>
          <w:sz w:val="21"/>
          <w:highlight w:val="none"/>
        </w:rPr>
        <w:t xml:space="preserve">（含 </w:t>
      </w:r>
      <w:r>
        <w:rPr>
          <w:rFonts w:hint="eastAsia" w:ascii="Times New Roman" w:eastAsia="宋体"/>
          <w:color w:val="auto"/>
          <w:spacing w:val="0"/>
          <w:sz w:val="21"/>
          <w:highlight w:val="none"/>
          <w:lang w:val="en-US" w:eastAsia="zh-CN"/>
        </w:rPr>
        <w:t>5</w:t>
      </w:r>
      <w:r>
        <w:rPr>
          <w:rFonts w:ascii="Times New Roman" w:eastAsia="Times New Roman"/>
          <w:color w:val="auto"/>
          <w:spacing w:val="0"/>
          <w:sz w:val="21"/>
          <w:highlight w:val="none"/>
        </w:rPr>
        <w:t>%</w:t>
      </w:r>
      <w:r>
        <w:rPr>
          <w:color w:val="auto"/>
          <w:spacing w:val="0"/>
          <w:sz w:val="21"/>
          <w:highlight w:val="none"/>
        </w:rPr>
        <w:t>）时，供应商必须承担由此造成的全部经济和法律责任，</w:t>
      </w:r>
      <w:r>
        <w:rPr>
          <w:rFonts w:hint="eastAsia"/>
          <w:color w:val="auto"/>
          <w:spacing w:val="0"/>
          <w:sz w:val="21"/>
          <w:highlight w:val="none"/>
          <w:lang w:eastAsia="zh-CN"/>
        </w:rPr>
        <w:t>征集人</w:t>
      </w:r>
      <w:r>
        <w:rPr>
          <w:color w:val="auto"/>
          <w:spacing w:val="0"/>
          <w:sz w:val="21"/>
          <w:highlight w:val="none"/>
        </w:rPr>
        <w:t>不支付</w:t>
      </w:r>
      <w:r>
        <w:rPr>
          <w:color w:val="auto"/>
          <w:spacing w:val="0"/>
          <w:w w:val="100"/>
          <w:sz w:val="21"/>
          <w:highlight w:val="none"/>
        </w:rPr>
        <w:t>该单项工程项目的协审费用。如上述误差累计出现三次以上（含三次），征集人将其列入政府</w:t>
      </w:r>
      <w:r>
        <w:rPr>
          <w:rFonts w:hint="eastAsia"/>
          <w:color w:val="auto"/>
          <w:spacing w:val="0"/>
          <w:w w:val="100"/>
          <w:sz w:val="21"/>
          <w:highlight w:val="none"/>
          <w:lang w:eastAsia="zh-CN"/>
        </w:rPr>
        <w:t>性</w:t>
      </w:r>
      <w:r>
        <w:rPr>
          <w:color w:val="auto"/>
          <w:spacing w:val="0"/>
          <w:sz w:val="21"/>
          <w:highlight w:val="none"/>
        </w:rPr>
        <w:t>投资</w:t>
      </w:r>
      <w:r>
        <w:rPr>
          <w:rFonts w:hint="eastAsia"/>
          <w:color w:val="auto"/>
          <w:spacing w:val="0"/>
          <w:sz w:val="21"/>
          <w:highlight w:val="none"/>
          <w:lang w:eastAsia="zh-CN"/>
        </w:rPr>
        <w:t>评</w:t>
      </w:r>
      <w:r>
        <w:rPr>
          <w:rFonts w:hint="eastAsia"/>
          <w:color w:val="auto"/>
          <w:spacing w:val="0"/>
          <w:highlight w:val="none"/>
          <w:lang w:eastAsia="zh-CN"/>
        </w:rPr>
        <w:t>审</w:t>
      </w:r>
      <w:r>
        <w:rPr>
          <w:color w:val="auto"/>
          <w:spacing w:val="0"/>
          <w:sz w:val="21"/>
          <w:highlight w:val="none"/>
        </w:rPr>
        <w:t>项目协审单位黑名单，并取消</w:t>
      </w:r>
      <w:r>
        <w:rPr>
          <w:rFonts w:hint="eastAsia"/>
          <w:color w:val="auto"/>
          <w:spacing w:val="0"/>
          <w:sz w:val="21"/>
          <w:highlight w:val="none"/>
          <w:lang w:eastAsia="zh-CN"/>
        </w:rPr>
        <w:t>其</w:t>
      </w:r>
      <w:r>
        <w:rPr>
          <w:color w:val="auto"/>
          <w:spacing w:val="0"/>
          <w:sz w:val="21"/>
          <w:highlight w:val="none"/>
        </w:rPr>
        <w:t>入围资格；如果单项工程的</w:t>
      </w:r>
      <w:r>
        <w:rPr>
          <w:rFonts w:hint="eastAsia"/>
          <w:color w:val="auto"/>
          <w:spacing w:val="0"/>
          <w:highlight w:val="none"/>
          <w:lang w:eastAsia="zh-CN"/>
        </w:rPr>
        <w:t>审核</w:t>
      </w:r>
      <w:r>
        <w:rPr>
          <w:color w:val="auto"/>
          <w:spacing w:val="0"/>
          <w:sz w:val="21"/>
          <w:highlight w:val="none"/>
        </w:rPr>
        <w:t xml:space="preserve">成果经复核后误差率在 </w:t>
      </w:r>
      <w:r>
        <w:rPr>
          <w:rFonts w:ascii="Times New Roman" w:eastAsia="Times New Roman"/>
          <w:color w:val="auto"/>
          <w:spacing w:val="0"/>
          <w:sz w:val="21"/>
          <w:highlight w:val="none"/>
        </w:rPr>
        <w:t>3%</w:t>
      </w:r>
      <w:r>
        <w:rPr>
          <w:color w:val="auto"/>
          <w:spacing w:val="0"/>
          <w:sz w:val="21"/>
          <w:highlight w:val="none"/>
        </w:rPr>
        <w:t xml:space="preserve">至 </w:t>
      </w:r>
      <w:r>
        <w:rPr>
          <w:rFonts w:hint="eastAsia" w:ascii="Times New Roman" w:eastAsia="宋体"/>
          <w:color w:val="auto"/>
          <w:spacing w:val="0"/>
          <w:sz w:val="21"/>
          <w:highlight w:val="none"/>
          <w:lang w:val="en-US" w:eastAsia="zh-CN"/>
        </w:rPr>
        <w:t>5</w:t>
      </w:r>
      <w:r>
        <w:rPr>
          <w:rFonts w:ascii="Times New Roman" w:eastAsia="Times New Roman"/>
          <w:color w:val="auto"/>
          <w:spacing w:val="0"/>
          <w:sz w:val="21"/>
          <w:highlight w:val="none"/>
        </w:rPr>
        <w:t>%</w:t>
      </w:r>
      <w:r>
        <w:rPr>
          <w:color w:val="auto"/>
          <w:spacing w:val="0"/>
          <w:sz w:val="21"/>
          <w:highlight w:val="none"/>
        </w:rPr>
        <w:t xml:space="preserve">（含 </w:t>
      </w:r>
      <w:r>
        <w:rPr>
          <w:rFonts w:ascii="Times New Roman" w:eastAsia="Times New Roman"/>
          <w:color w:val="auto"/>
          <w:spacing w:val="0"/>
          <w:sz w:val="21"/>
          <w:highlight w:val="none"/>
        </w:rPr>
        <w:t>3%</w:t>
      </w:r>
      <w:r>
        <w:rPr>
          <w:color w:val="auto"/>
          <w:spacing w:val="0"/>
          <w:sz w:val="21"/>
          <w:highlight w:val="none"/>
        </w:rPr>
        <w:t xml:space="preserve">）以内时，扣减整个项目协审费用的 </w:t>
      </w:r>
      <w:r>
        <w:rPr>
          <w:rFonts w:ascii="Times New Roman" w:eastAsia="Times New Roman"/>
          <w:color w:val="auto"/>
          <w:spacing w:val="0"/>
          <w:sz w:val="21"/>
          <w:highlight w:val="none"/>
        </w:rPr>
        <w:t>50%</w:t>
      </w:r>
      <w:r>
        <w:rPr>
          <w:color w:val="auto"/>
          <w:spacing w:val="0"/>
          <w:sz w:val="21"/>
          <w:highlight w:val="none"/>
        </w:rPr>
        <w:t>。</w:t>
      </w:r>
    </w:p>
    <w:p w14:paraId="5C6CA3FB">
      <w:pPr>
        <w:pStyle w:val="7"/>
        <w:spacing w:before="5"/>
        <w:rPr>
          <w:color w:val="auto"/>
          <w:spacing w:val="0"/>
          <w:sz w:val="3"/>
          <w:highlight w:val="none"/>
        </w:rPr>
      </w:pPr>
    </w:p>
    <w:p w14:paraId="2D861A5E">
      <w:pPr>
        <w:pStyle w:val="7"/>
        <w:spacing w:line="20" w:lineRule="exact"/>
        <w:ind w:left="442"/>
        <w:rPr>
          <w:color w:val="auto"/>
          <w:spacing w:val="0"/>
          <w:sz w:val="2"/>
          <w:highlight w:val="none"/>
        </w:rPr>
      </w:pPr>
    </w:p>
    <w:p w14:paraId="0977FA2F">
      <w:pPr>
        <w:pStyle w:val="34"/>
        <w:numPr>
          <w:ilvl w:val="0"/>
          <w:numId w:val="5"/>
        </w:numPr>
        <w:tabs>
          <w:tab w:val="left" w:pos="1318"/>
          <w:tab w:val="left" w:pos="1319"/>
        </w:tabs>
        <w:spacing w:before="0" w:after="0" w:line="240" w:lineRule="auto"/>
        <w:ind w:left="1470" w:leftChars="0" w:right="0" w:hanging="420" w:firstLineChars="0"/>
        <w:jc w:val="left"/>
        <w:rPr>
          <w:color w:val="auto"/>
          <w:spacing w:val="0"/>
          <w:sz w:val="21"/>
          <w:highlight w:val="none"/>
        </w:rPr>
      </w:pPr>
      <w:r>
        <w:rPr>
          <w:rFonts w:hint="eastAsia"/>
          <w:color w:val="auto"/>
          <w:spacing w:val="0"/>
          <w:highlight w:val="none"/>
          <w:lang w:eastAsia="zh-CN"/>
        </w:rPr>
        <w:t>项目评审</w:t>
      </w:r>
      <w:r>
        <w:rPr>
          <w:color w:val="auto"/>
          <w:spacing w:val="0"/>
          <w:sz w:val="21"/>
          <w:highlight w:val="none"/>
        </w:rPr>
        <w:t>报告编制标准</w:t>
      </w:r>
    </w:p>
    <w:p w14:paraId="392A673C">
      <w:pPr>
        <w:pStyle w:val="7"/>
        <w:spacing w:before="141" w:line="364" w:lineRule="auto"/>
        <w:ind w:left="1318" w:right="544"/>
        <w:jc w:val="both"/>
        <w:rPr>
          <w:color w:val="auto"/>
          <w:spacing w:val="0"/>
          <w:highlight w:val="none"/>
        </w:rPr>
      </w:pPr>
      <w:r>
        <w:rPr>
          <w:rFonts w:hint="eastAsia"/>
          <w:color w:val="auto"/>
          <w:spacing w:val="0"/>
          <w:highlight w:val="none"/>
          <w:lang w:eastAsia="zh-CN"/>
        </w:rPr>
        <w:t>项目审核</w:t>
      </w:r>
      <w:r>
        <w:rPr>
          <w:color w:val="auto"/>
          <w:spacing w:val="0"/>
          <w:highlight w:val="none"/>
        </w:rPr>
        <w:t>内容完整、数据准确、依据充分，结论定性客观、定量准确、依据充分，核增核减原因定性准确、条理清晰，披露</w:t>
      </w:r>
      <w:r>
        <w:rPr>
          <w:rFonts w:hint="eastAsia"/>
          <w:color w:val="auto"/>
          <w:spacing w:val="0"/>
          <w:highlight w:val="none"/>
          <w:lang w:eastAsia="zh-CN"/>
        </w:rPr>
        <w:t>审核</w:t>
      </w:r>
      <w:r>
        <w:rPr>
          <w:color w:val="auto"/>
          <w:spacing w:val="0"/>
          <w:highlight w:val="none"/>
        </w:rPr>
        <w:t>问题有理有据、分析透彻，提出</w:t>
      </w:r>
      <w:r>
        <w:rPr>
          <w:rFonts w:hint="eastAsia"/>
          <w:color w:val="auto"/>
          <w:spacing w:val="0"/>
          <w:highlight w:val="none"/>
          <w:lang w:eastAsia="zh-CN"/>
        </w:rPr>
        <w:t>项目审核</w:t>
      </w:r>
      <w:r>
        <w:rPr>
          <w:color w:val="auto"/>
          <w:spacing w:val="0"/>
          <w:highlight w:val="none"/>
        </w:rPr>
        <w:t>建议措施具体、针对性强。</w:t>
      </w:r>
    </w:p>
    <w:p w14:paraId="551C5857">
      <w:pPr>
        <w:pStyle w:val="34"/>
        <w:numPr>
          <w:ilvl w:val="0"/>
          <w:numId w:val="5"/>
        </w:numPr>
        <w:tabs>
          <w:tab w:val="left" w:pos="1319"/>
        </w:tabs>
        <w:spacing w:before="0" w:after="0" w:line="364" w:lineRule="auto"/>
        <w:ind w:left="1470" w:leftChars="0" w:right="546" w:hanging="420" w:firstLineChars="0"/>
        <w:jc w:val="both"/>
        <w:rPr>
          <w:rFonts w:hint="eastAsia" w:asciiTheme="minorEastAsia" w:hAnsiTheme="minorEastAsia" w:eastAsiaTheme="minorEastAsia" w:cstheme="minorEastAsia"/>
          <w:color w:val="auto"/>
          <w:spacing w:val="0"/>
          <w:sz w:val="21"/>
          <w:szCs w:val="21"/>
          <w:highlight w:val="none"/>
          <w:lang w:eastAsia="zh-CN"/>
        </w:rPr>
      </w:pPr>
      <w:r>
        <w:rPr>
          <w:color w:val="auto"/>
          <w:spacing w:val="0"/>
          <w:sz w:val="21"/>
          <w:highlight w:val="none"/>
        </w:rPr>
        <w:t>各供应商均有义务配合</w:t>
      </w:r>
      <w:r>
        <w:rPr>
          <w:rFonts w:hint="eastAsia"/>
          <w:color w:val="auto"/>
          <w:spacing w:val="0"/>
          <w:sz w:val="21"/>
          <w:highlight w:val="none"/>
          <w:lang w:eastAsia="zh-CN"/>
        </w:rPr>
        <w:t>征集人</w:t>
      </w:r>
      <w:r>
        <w:rPr>
          <w:color w:val="auto"/>
          <w:spacing w:val="0"/>
          <w:sz w:val="21"/>
          <w:highlight w:val="none"/>
        </w:rPr>
        <w:t>对</w:t>
      </w:r>
      <w:r>
        <w:rPr>
          <w:rFonts w:hint="eastAsia"/>
          <w:color w:val="auto"/>
          <w:spacing w:val="0"/>
          <w:sz w:val="21"/>
          <w:highlight w:val="none"/>
          <w:lang w:eastAsia="zh-CN"/>
        </w:rPr>
        <w:t>其他</w:t>
      </w:r>
      <w:r>
        <w:rPr>
          <w:color w:val="auto"/>
          <w:spacing w:val="0"/>
          <w:sz w:val="21"/>
          <w:highlight w:val="none"/>
        </w:rPr>
        <w:t>供应商</w:t>
      </w:r>
      <w:r>
        <w:rPr>
          <w:rFonts w:hint="eastAsia"/>
          <w:color w:val="auto"/>
          <w:spacing w:val="0"/>
          <w:sz w:val="21"/>
          <w:highlight w:val="none"/>
          <w:lang w:eastAsia="zh-CN"/>
        </w:rPr>
        <w:t>出具的项目审核成果文件实行随机交叉复核，并出具向征集人负责的复核报告。复核的基本费及复核阶段的效益评审费均按照以上</w:t>
      </w:r>
      <w:r>
        <w:rPr>
          <w:rFonts w:hint="eastAsia" w:asciiTheme="minorEastAsia" w:hAnsiTheme="minorEastAsia" w:eastAsiaTheme="minorEastAsia" w:cstheme="minorEastAsia"/>
          <w:color w:val="auto"/>
          <w:sz w:val="21"/>
          <w:szCs w:val="21"/>
          <w:highlight w:val="none"/>
          <w:lang w:val="en-US" w:eastAsia="zh-CN"/>
        </w:rPr>
        <w:t>评审服务费计算标准计取</w:t>
      </w:r>
      <w:r>
        <w:rPr>
          <w:rFonts w:hint="eastAsia"/>
          <w:color w:val="auto"/>
          <w:spacing w:val="0"/>
          <w:sz w:val="21"/>
          <w:highlight w:val="none"/>
          <w:lang w:eastAsia="zh-CN"/>
        </w:rPr>
        <w:t xml:space="preserve">。单个工程项目的复核服务费不足 </w:t>
      </w:r>
      <w:r>
        <w:rPr>
          <w:rFonts w:hint="eastAsia"/>
          <w:color w:val="auto"/>
          <w:spacing w:val="0"/>
          <w:sz w:val="21"/>
          <w:highlight w:val="none"/>
          <w:lang w:val="en-US" w:eastAsia="zh-CN"/>
        </w:rPr>
        <w:t>2</w:t>
      </w:r>
      <w:r>
        <w:rPr>
          <w:rFonts w:hint="eastAsia"/>
          <w:color w:val="auto"/>
          <w:spacing w:val="0"/>
          <w:sz w:val="21"/>
          <w:highlight w:val="none"/>
          <w:lang w:eastAsia="zh-CN"/>
        </w:rPr>
        <w:t xml:space="preserve">000 元的，按 </w:t>
      </w:r>
      <w:r>
        <w:rPr>
          <w:rFonts w:hint="eastAsia"/>
          <w:color w:val="auto"/>
          <w:spacing w:val="0"/>
          <w:sz w:val="21"/>
          <w:highlight w:val="none"/>
          <w:lang w:val="en-US" w:eastAsia="zh-CN"/>
        </w:rPr>
        <w:t>2</w:t>
      </w:r>
      <w:r>
        <w:rPr>
          <w:rFonts w:hint="eastAsia"/>
          <w:color w:val="auto"/>
          <w:spacing w:val="0"/>
          <w:sz w:val="21"/>
          <w:highlight w:val="none"/>
          <w:lang w:eastAsia="zh-CN"/>
        </w:rPr>
        <w:t>000 元付费，单个工程项目的复核服务费</w:t>
      </w:r>
      <w:r>
        <w:rPr>
          <w:rFonts w:hint="eastAsia" w:asciiTheme="minorEastAsia" w:hAnsiTheme="minorEastAsia" w:eastAsiaTheme="minorEastAsia" w:cstheme="minorEastAsia"/>
          <w:color w:val="auto"/>
          <w:sz w:val="21"/>
          <w:szCs w:val="21"/>
          <w:highlight w:val="none"/>
        </w:rPr>
        <w:t>不得超过审定额的4‰</w:t>
      </w:r>
      <w:r>
        <w:rPr>
          <w:rFonts w:hint="eastAsia" w:asciiTheme="minorEastAsia" w:hAnsiTheme="minorEastAsia" w:eastAsiaTheme="minorEastAsia" w:cstheme="minorEastAsia"/>
          <w:color w:val="auto"/>
          <w:sz w:val="21"/>
          <w:szCs w:val="21"/>
          <w:highlight w:val="none"/>
          <w:lang w:eastAsia="zh-CN"/>
        </w:rPr>
        <w:t>且</w:t>
      </w:r>
      <w:r>
        <w:rPr>
          <w:rFonts w:hint="eastAsia" w:asciiTheme="minorEastAsia" w:hAnsiTheme="minorEastAsia" w:eastAsiaTheme="minorEastAsia" w:cstheme="minorEastAsia"/>
          <w:color w:val="auto"/>
          <w:sz w:val="21"/>
          <w:szCs w:val="21"/>
          <w:highlight w:val="none"/>
          <w:lang w:val="en-US" w:eastAsia="zh-CN"/>
        </w:rPr>
        <w:t>最高上限为50万元。</w:t>
      </w:r>
    </w:p>
    <w:p w14:paraId="305CEB32">
      <w:pPr>
        <w:pStyle w:val="5"/>
        <w:spacing w:before="185"/>
        <w:ind w:firstLine="422" w:firstLineChars="200"/>
        <w:rPr>
          <w:rFonts w:hint="eastAsia"/>
          <w:color w:val="auto"/>
          <w:spacing w:val="0"/>
          <w:highlight w:val="none"/>
          <w:lang w:eastAsia="zh-CN"/>
        </w:rPr>
      </w:pPr>
      <w:r>
        <w:rPr>
          <w:rFonts w:hint="eastAsia"/>
          <w:color w:val="auto"/>
          <w:spacing w:val="0"/>
          <w:highlight w:val="none"/>
          <w:lang w:eastAsia="zh-CN"/>
        </w:rPr>
        <w:t>（五）服务交付</w:t>
      </w:r>
    </w:p>
    <w:p w14:paraId="093109A4">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1.</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color w:val="auto"/>
          <w:spacing w:val="0"/>
          <w:sz w:val="21"/>
          <w:highlight w:val="none"/>
        </w:rPr>
        <w:t>第二阶段中供应商被</w:t>
      </w:r>
      <w:r>
        <w:rPr>
          <w:rFonts w:hint="eastAsia"/>
          <w:color w:val="auto"/>
          <w:spacing w:val="0"/>
          <w:sz w:val="21"/>
          <w:highlight w:val="none"/>
          <w:lang w:eastAsia="zh-CN"/>
        </w:rPr>
        <w:t>征集人</w:t>
      </w:r>
      <w:r>
        <w:rPr>
          <w:color w:val="auto"/>
          <w:spacing w:val="0"/>
          <w:sz w:val="21"/>
          <w:highlight w:val="none"/>
        </w:rPr>
        <w:t>直接选定后，</w:t>
      </w:r>
      <w:r>
        <w:rPr>
          <w:color w:val="auto"/>
          <w:spacing w:val="0"/>
          <w:sz w:val="21"/>
        </w:rPr>
        <w:t>无正当理由不得拒绝</w:t>
      </w:r>
      <w:r>
        <w:rPr>
          <w:rFonts w:hint="eastAsia"/>
          <w:color w:val="auto"/>
          <w:spacing w:val="0"/>
          <w:sz w:val="21"/>
          <w:lang w:eastAsia="zh-CN"/>
        </w:rPr>
        <w:t>征集人</w:t>
      </w:r>
      <w:r>
        <w:rPr>
          <w:color w:val="auto"/>
          <w:spacing w:val="0"/>
          <w:sz w:val="21"/>
        </w:rPr>
        <w:t>各类</w:t>
      </w:r>
      <w:r>
        <w:rPr>
          <w:rFonts w:hint="eastAsia"/>
          <w:color w:val="auto"/>
          <w:spacing w:val="0"/>
          <w:sz w:val="21"/>
          <w:lang w:eastAsia="zh-CN"/>
        </w:rPr>
        <w:t>审核</w:t>
      </w:r>
      <w:r>
        <w:rPr>
          <w:color w:val="auto"/>
          <w:spacing w:val="0"/>
          <w:sz w:val="21"/>
        </w:rPr>
        <w:t>项目的委托</w:t>
      </w:r>
      <w:r>
        <w:rPr>
          <w:rFonts w:hint="eastAsia"/>
          <w:color w:val="auto"/>
          <w:spacing w:val="0"/>
          <w:sz w:val="21"/>
          <w:lang w:eastAsia="zh-CN"/>
        </w:rPr>
        <w:t>，供应商若在合同期内累计拒绝任务两次，征集人将暂停向其分配项目，为期6个月</w:t>
      </w:r>
      <w:r>
        <w:rPr>
          <w:rFonts w:hint="eastAsia"/>
          <w:color w:val="auto"/>
        </w:rPr>
        <w:t>；若累计拒绝达到四次，则终止该供应商在合同期内的所有项目分配资格。</w:t>
      </w:r>
      <w:r>
        <w:rPr>
          <w:color w:val="auto"/>
          <w:spacing w:val="0"/>
          <w:sz w:val="21"/>
          <w:highlight w:val="none"/>
        </w:rPr>
        <w:t>供应商接到项目通知后应按时响应并安排人员</w:t>
      </w:r>
      <w:r>
        <w:rPr>
          <w:rFonts w:hint="eastAsia"/>
          <w:color w:val="auto"/>
          <w:spacing w:val="0"/>
          <w:sz w:val="21"/>
          <w:highlight w:val="none"/>
          <w:lang w:eastAsia="zh-CN"/>
        </w:rPr>
        <w:t>做好</w:t>
      </w:r>
      <w:r>
        <w:rPr>
          <w:color w:val="auto"/>
          <w:spacing w:val="0"/>
          <w:sz w:val="21"/>
          <w:highlight w:val="none"/>
        </w:rPr>
        <w:t>接收资料等相关工作，应严格按国家有关标准提供相关</w:t>
      </w:r>
      <w:r>
        <w:rPr>
          <w:rFonts w:hint="eastAsia"/>
          <w:color w:val="auto"/>
          <w:spacing w:val="0"/>
          <w:sz w:val="21"/>
          <w:highlight w:val="none"/>
          <w:lang w:eastAsia="zh-CN"/>
        </w:rPr>
        <w:t>审核</w:t>
      </w:r>
      <w:r>
        <w:rPr>
          <w:color w:val="auto"/>
          <w:spacing w:val="0"/>
          <w:sz w:val="21"/>
          <w:highlight w:val="none"/>
        </w:rPr>
        <w:t>服务，并在接收资料后按时递交成果文件。</w:t>
      </w:r>
    </w:p>
    <w:p w14:paraId="61349D51">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2.</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color w:val="auto"/>
          <w:spacing w:val="0"/>
          <w:sz w:val="21"/>
          <w:highlight w:val="none"/>
        </w:rPr>
        <w:t>严格按照</w:t>
      </w:r>
      <w:r>
        <w:rPr>
          <w:rFonts w:hint="eastAsia"/>
          <w:color w:val="auto"/>
          <w:spacing w:val="0"/>
          <w:sz w:val="21"/>
          <w:highlight w:val="none"/>
          <w:lang w:eastAsia="zh-CN"/>
        </w:rPr>
        <w:t>征集人</w:t>
      </w:r>
      <w:r>
        <w:rPr>
          <w:color w:val="auto"/>
          <w:spacing w:val="0"/>
          <w:sz w:val="21"/>
          <w:highlight w:val="none"/>
        </w:rPr>
        <w:t>提出的</w:t>
      </w:r>
      <w:r>
        <w:rPr>
          <w:rFonts w:hint="eastAsia"/>
          <w:color w:val="auto"/>
          <w:spacing w:val="0"/>
          <w:sz w:val="21"/>
          <w:highlight w:val="none"/>
          <w:lang w:eastAsia="zh-CN"/>
        </w:rPr>
        <w:t>审核</w:t>
      </w:r>
      <w:r>
        <w:rPr>
          <w:color w:val="auto"/>
          <w:spacing w:val="0"/>
          <w:sz w:val="21"/>
          <w:highlight w:val="none"/>
        </w:rPr>
        <w:t>时限及</w:t>
      </w:r>
      <w:r>
        <w:rPr>
          <w:rFonts w:hint="eastAsia"/>
          <w:color w:val="auto"/>
          <w:spacing w:val="0"/>
          <w:sz w:val="21"/>
          <w:highlight w:val="none"/>
          <w:lang w:eastAsia="zh-CN"/>
        </w:rPr>
        <w:t>审核</w:t>
      </w:r>
      <w:r>
        <w:rPr>
          <w:color w:val="auto"/>
          <w:spacing w:val="0"/>
          <w:sz w:val="21"/>
          <w:highlight w:val="none"/>
        </w:rPr>
        <w:t>工作流程细则要求，确保在</w:t>
      </w:r>
      <w:r>
        <w:rPr>
          <w:rFonts w:hint="eastAsia"/>
          <w:color w:val="auto"/>
          <w:spacing w:val="0"/>
          <w:sz w:val="21"/>
          <w:highlight w:val="none"/>
          <w:lang w:eastAsia="zh-CN"/>
        </w:rPr>
        <w:t>征集人</w:t>
      </w:r>
      <w:r>
        <w:rPr>
          <w:color w:val="auto"/>
          <w:spacing w:val="0"/>
          <w:sz w:val="21"/>
          <w:highlight w:val="none"/>
        </w:rPr>
        <w:t>要求的时限内完成</w:t>
      </w:r>
      <w:r>
        <w:rPr>
          <w:rFonts w:hint="eastAsia"/>
          <w:color w:val="auto"/>
          <w:spacing w:val="0"/>
          <w:sz w:val="21"/>
          <w:highlight w:val="none"/>
          <w:lang w:eastAsia="zh-CN"/>
        </w:rPr>
        <w:t>项目审核</w:t>
      </w:r>
      <w:r>
        <w:rPr>
          <w:color w:val="auto"/>
          <w:spacing w:val="0"/>
          <w:sz w:val="21"/>
          <w:highlight w:val="none"/>
        </w:rPr>
        <w:t>任务，按时按质将</w:t>
      </w:r>
      <w:r>
        <w:rPr>
          <w:rFonts w:hint="eastAsia"/>
          <w:color w:val="auto"/>
          <w:spacing w:val="0"/>
          <w:sz w:val="21"/>
          <w:highlight w:val="none"/>
          <w:lang w:eastAsia="zh-CN"/>
        </w:rPr>
        <w:t>项目审核</w:t>
      </w:r>
      <w:r>
        <w:rPr>
          <w:color w:val="auto"/>
          <w:spacing w:val="0"/>
          <w:sz w:val="21"/>
          <w:highlight w:val="none"/>
        </w:rPr>
        <w:t>资料归档。</w:t>
      </w:r>
    </w:p>
    <w:p w14:paraId="6A163D0A">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3.</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rFonts w:hint="eastAsia"/>
          <w:color w:val="auto"/>
          <w:spacing w:val="0"/>
          <w:sz w:val="21"/>
          <w:highlight w:val="none"/>
          <w:lang w:eastAsia="zh-CN"/>
        </w:rPr>
        <w:t>供应商若不能按征集人要求的时限完成协审服务</w:t>
      </w:r>
      <w:r>
        <w:rPr>
          <w:color w:val="auto"/>
          <w:spacing w:val="0"/>
          <w:sz w:val="21"/>
          <w:highlight w:val="none"/>
        </w:rPr>
        <w:t>并提交完整的协审成果资料，每延误一天扣除该项目协审服务费</w:t>
      </w:r>
      <w:r>
        <w:rPr>
          <w:rFonts w:hint="eastAsia"/>
          <w:color w:val="auto"/>
          <w:spacing w:val="0"/>
          <w:sz w:val="21"/>
          <w:highlight w:val="none"/>
          <w:lang w:val="en-US" w:eastAsia="zh-CN"/>
        </w:rPr>
        <w:t>10</w:t>
      </w:r>
      <w:r>
        <w:rPr>
          <w:color w:val="auto"/>
          <w:spacing w:val="0"/>
          <w:sz w:val="21"/>
          <w:highlight w:val="none"/>
        </w:rPr>
        <w:t>%的处罚，由</w:t>
      </w:r>
      <w:r>
        <w:rPr>
          <w:rFonts w:hint="eastAsia"/>
          <w:color w:val="auto"/>
          <w:spacing w:val="0"/>
          <w:sz w:val="21"/>
          <w:highlight w:val="none"/>
          <w:lang w:eastAsia="zh-CN"/>
        </w:rPr>
        <w:t>征集人</w:t>
      </w:r>
      <w:r>
        <w:rPr>
          <w:color w:val="auto"/>
          <w:spacing w:val="0"/>
          <w:sz w:val="21"/>
          <w:highlight w:val="none"/>
        </w:rPr>
        <w:t>原因造成延误的除外。</w:t>
      </w:r>
    </w:p>
    <w:p w14:paraId="1301B251">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4.</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color w:val="auto"/>
          <w:spacing w:val="0"/>
          <w:sz w:val="21"/>
          <w:highlight w:val="none"/>
        </w:rPr>
        <w:t>供应商应提交的成果和要求</w:t>
      </w:r>
    </w:p>
    <w:p w14:paraId="3269B4EA">
      <w:pPr>
        <w:pStyle w:val="34"/>
        <w:numPr>
          <w:ilvl w:val="0"/>
          <w:numId w:val="0"/>
        </w:numPr>
        <w:tabs>
          <w:tab w:val="left" w:pos="1319"/>
        </w:tabs>
        <w:spacing w:before="136" w:after="0" w:line="364" w:lineRule="auto"/>
        <w:ind w:left="1256" w:leftChars="598" w:right="544" w:rightChars="0" w:firstLine="0" w:firstLineChars="0"/>
        <w:jc w:val="both"/>
        <w:rPr>
          <w:rFonts w:hint="eastAsia"/>
          <w:color w:val="auto"/>
          <w:spacing w:val="0"/>
          <w:sz w:val="21"/>
          <w:highlight w:val="none"/>
        </w:rPr>
      </w:pPr>
      <w:r>
        <w:rPr>
          <w:rFonts w:hint="eastAsia"/>
          <w:color w:val="auto"/>
          <w:spacing w:val="0"/>
          <w:sz w:val="21"/>
          <w:highlight w:val="none"/>
        </w:rPr>
        <w:t>供应商接受协审任务后，应在规定时限内提交以下成果文件纸质版及电子版（纸质版需盖供应商公章</w:t>
      </w:r>
      <w:r>
        <w:rPr>
          <w:rFonts w:hint="eastAsia"/>
          <w:color w:val="auto"/>
          <w:spacing w:val="0"/>
          <w:sz w:val="21"/>
          <w:highlight w:val="none"/>
          <w:lang w:eastAsia="zh-CN"/>
        </w:rPr>
        <w:t>、负责人、经办人签章</w:t>
      </w:r>
      <w:r>
        <w:rPr>
          <w:rFonts w:hint="eastAsia"/>
          <w:color w:val="auto"/>
          <w:spacing w:val="0"/>
          <w:sz w:val="21"/>
          <w:highlight w:val="none"/>
        </w:rPr>
        <w:t>）：</w:t>
      </w:r>
    </w:p>
    <w:p w14:paraId="57CEF2E3">
      <w:pPr>
        <w:pStyle w:val="34"/>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after="0" w:line="440" w:lineRule="exact"/>
        <w:ind w:leftChars="0" w:right="440" w:rightChars="0" w:firstLine="1050" w:firstLineChars="500"/>
        <w:jc w:val="both"/>
        <w:textAlignment w:val="auto"/>
        <w:rPr>
          <w:rFonts w:hint="eastAsia" w:cs="宋体"/>
          <w:color w:val="auto"/>
          <w:spacing w:val="0"/>
          <w:sz w:val="21"/>
          <w:szCs w:val="21"/>
          <w:highlight w:val="none"/>
          <w:lang w:eastAsia="zh-CN"/>
        </w:rPr>
      </w:pPr>
      <w:r>
        <w:rPr>
          <w:rFonts w:hint="eastAsia" w:cs="宋体"/>
          <w:color w:val="auto"/>
          <w:spacing w:val="0"/>
          <w:sz w:val="21"/>
          <w:szCs w:val="21"/>
          <w:highlight w:val="none"/>
          <w:lang w:eastAsia="zh-CN"/>
        </w:rPr>
        <w:t>（</w:t>
      </w:r>
      <w:r>
        <w:rPr>
          <w:rFonts w:hint="eastAsia" w:cs="宋体"/>
          <w:color w:val="auto"/>
          <w:spacing w:val="0"/>
          <w:sz w:val="21"/>
          <w:szCs w:val="21"/>
          <w:highlight w:val="none"/>
          <w:lang w:val="en-US" w:eastAsia="zh-CN"/>
        </w:rPr>
        <w:t>1</w:t>
      </w:r>
      <w:r>
        <w:rPr>
          <w:rFonts w:hint="eastAsia" w:cs="宋体"/>
          <w:color w:val="auto"/>
          <w:spacing w:val="0"/>
          <w:sz w:val="21"/>
          <w:szCs w:val="21"/>
          <w:highlight w:val="none"/>
          <w:lang w:eastAsia="zh-CN"/>
        </w:rPr>
        <w:t>）</w:t>
      </w:r>
      <w:r>
        <w:rPr>
          <w:rFonts w:hint="eastAsia"/>
          <w:color w:val="auto"/>
          <w:spacing w:val="0"/>
          <w:highlight w:val="none"/>
          <w:lang w:eastAsia="zh-CN"/>
        </w:rPr>
        <w:t>招标（预算）控制价评审报告、</w:t>
      </w:r>
      <w:r>
        <w:rPr>
          <w:rFonts w:hint="eastAsia" w:cs="宋体"/>
          <w:color w:val="auto"/>
          <w:spacing w:val="0"/>
          <w:sz w:val="21"/>
          <w:szCs w:val="21"/>
          <w:highlight w:val="none"/>
          <w:lang w:eastAsia="zh-CN"/>
        </w:rPr>
        <w:t>工作底稿、询价记录等相关评审资料。</w:t>
      </w:r>
    </w:p>
    <w:p w14:paraId="7BE5BDB7">
      <w:pPr>
        <w:spacing w:line="360" w:lineRule="auto"/>
        <w:ind w:firstLine="1050" w:firstLineChars="500"/>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w:t>
      </w:r>
      <w:r>
        <w:rPr>
          <w:rFonts w:hint="eastAsia" w:cs="宋体"/>
          <w:color w:val="auto"/>
          <w:spacing w:val="0"/>
          <w:sz w:val="21"/>
          <w:szCs w:val="21"/>
          <w:highlight w:val="none"/>
          <w:lang w:val="en-US" w:eastAsia="zh-CN"/>
        </w:rPr>
        <w:t>2</w:t>
      </w:r>
      <w:r>
        <w:rPr>
          <w:rFonts w:hint="eastAsia" w:cs="宋体"/>
          <w:color w:val="auto"/>
          <w:spacing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妥善保管</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rPr>
        <w:t>提供的审核资料，并在审核工作完成后，完整交</w:t>
      </w:r>
      <w:r>
        <w:rPr>
          <w:rFonts w:hint="eastAsia" w:asciiTheme="minorEastAsia" w:hAnsiTheme="minorEastAsia" w:eastAsiaTheme="minorEastAsia" w:cstheme="minorEastAsia"/>
          <w:color w:val="auto"/>
          <w:sz w:val="21"/>
          <w:szCs w:val="21"/>
          <w:highlight w:val="none"/>
          <w:lang w:eastAsia="zh-CN"/>
        </w:rPr>
        <w:t>还</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rPr>
        <w:t>。</w:t>
      </w:r>
    </w:p>
    <w:p w14:paraId="5CBBC41C">
      <w:pPr>
        <w:pStyle w:val="5"/>
        <w:spacing w:before="185"/>
        <w:ind w:firstLine="422" w:firstLineChars="200"/>
        <w:rPr>
          <w:rFonts w:hint="eastAsia"/>
          <w:color w:val="auto"/>
          <w:spacing w:val="0"/>
          <w:highlight w:val="none"/>
          <w:lang w:eastAsia="zh-CN"/>
        </w:rPr>
      </w:pPr>
      <w:r>
        <w:rPr>
          <w:rFonts w:hint="eastAsia"/>
          <w:color w:val="auto"/>
          <w:spacing w:val="0"/>
          <w:highlight w:val="none"/>
          <w:lang w:eastAsia="zh-CN"/>
        </w:rPr>
        <w:t>（六）技术保障</w:t>
      </w:r>
    </w:p>
    <w:p w14:paraId="4B3F91ED">
      <w:pPr>
        <w:pStyle w:val="7"/>
        <w:spacing w:before="5"/>
        <w:rPr>
          <w:b/>
          <w:color w:val="auto"/>
          <w:spacing w:val="0"/>
          <w:sz w:val="3"/>
        </w:rPr>
      </w:pPr>
    </w:p>
    <w:p w14:paraId="6991D9FF">
      <w:pPr>
        <w:pStyle w:val="7"/>
        <w:spacing w:line="20" w:lineRule="exact"/>
        <w:ind w:left="442"/>
        <w:rPr>
          <w:color w:val="auto"/>
          <w:spacing w:val="0"/>
          <w:sz w:val="2"/>
        </w:rPr>
      </w:pPr>
    </w:p>
    <w:p w14:paraId="426C07F9">
      <w:pPr>
        <w:pStyle w:val="34"/>
        <w:numPr>
          <w:ilvl w:val="0"/>
          <w:numId w:val="6"/>
        </w:numPr>
        <w:tabs>
          <w:tab w:val="left" w:pos="1318"/>
          <w:tab w:val="left" w:pos="1319"/>
        </w:tabs>
        <w:spacing w:before="0" w:after="0" w:line="267" w:lineRule="exact"/>
        <w:ind w:left="1318" w:right="0" w:hanging="420"/>
        <w:jc w:val="left"/>
        <w:rPr>
          <w:color w:val="auto"/>
          <w:spacing w:val="0"/>
          <w:sz w:val="21"/>
        </w:rPr>
      </w:pPr>
      <w:r>
        <w:rPr>
          <w:color w:val="auto"/>
          <w:spacing w:val="0"/>
          <w:sz w:val="21"/>
        </w:rPr>
        <w:t>因项目前期不确定供应商与某个或某几个具体</w:t>
      </w:r>
      <w:r>
        <w:rPr>
          <w:rFonts w:hint="eastAsia"/>
          <w:color w:val="auto"/>
          <w:spacing w:val="0"/>
          <w:sz w:val="21"/>
          <w:lang w:eastAsia="zh-CN"/>
        </w:rPr>
        <w:t>审核</w:t>
      </w:r>
      <w:r>
        <w:rPr>
          <w:color w:val="auto"/>
          <w:spacing w:val="0"/>
          <w:sz w:val="21"/>
        </w:rPr>
        <w:t>项目的对应关系，供应商应遵守以下回避制度：</w:t>
      </w:r>
    </w:p>
    <w:p w14:paraId="449CBD3B">
      <w:pPr>
        <w:pStyle w:val="7"/>
        <w:spacing w:before="134" w:line="367" w:lineRule="auto"/>
        <w:ind w:left="1318" w:right="544" w:firstLine="420" w:firstLineChars="200"/>
        <w:rPr>
          <w:rFonts w:hint="eastAsia"/>
          <w:color w:val="auto"/>
          <w:spacing w:val="0"/>
          <w:lang w:eastAsia="zh-CN"/>
        </w:rPr>
      </w:pPr>
      <w:r>
        <w:rPr>
          <w:rFonts w:hint="eastAsia"/>
          <w:color w:val="auto"/>
          <w:spacing w:val="0"/>
          <w:lang w:eastAsia="zh-CN"/>
        </w:rPr>
        <w:t>供应商及其控股股东所属企业（单位）已受托参与过审核项目预算控制价编制</w:t>
      </w:r>
      <w:r>
        <w:rPr>
          <w:rFonts w:hint="eastAsia" w:asciiTheme="minorEastAsia" w:hAnsiTheme="minorEastAsia" w:eastAsiaTheme="minorEastAsia" w:cstheme="minorEastAsia"/>
          <w:color w:val="auto"/>
          <w:sz w:val="21"/>
          <w:szCs w:val="21"/>
        </w:rPr>
        <w:t>或评审、招标控制价编制或评审、投标报价编制、招标代理、施工监理或审核等相关咨询工作的</w:t>
      </w:r>
      <w:r>
        <w:rPr>
          <w:rFonts w:hint="eastAsia" w:asciiTheme="minorEastAsia" w:hAnsiTheme="minorEastAsia" w:eastAsiaTheme="minorEastAsia" w:cstheme="minorEastAsia"/>
          <w:color w:val="auto"/>
          <w:spacing w:val="0"/>
          <w:sz w:val="21"/>
          <w:szCs w:val="21"/>
          <w:lang w:eastAsia="zh-CN"/>
        </w:rPr>
        <w:t>，</w:t>
      </w:r>
      <w:r>
        <w:rPr>
          <w:rFonts w:hint="eastAsia"/>
          <w:color w:val="auto"/>
          <w:spacing w:val="0"/>
          <w:lang w:eastAsia="zh-CN"/>
        </w:rPr>
        <w:t>或与审核项目有重大利害关系的， 供应商不能再接受与该审核项目有关的协审服务工作。供应商不得参与与其及其控股股东所属企业（单位）有长期合作关系的建设单位的协审服务工作。征集人委派项目前供应商应主动告知征集人回避状况，未主动告知的，一经核实，征集人有权终止委托任务，不予支付协审费用，并追究供应商的违约责任，征集人取消其入围资格。</w:t>
      </w:r>
    </w:p>
    <w:p w14:paraId="08F4599B">
      <w:pPr>
        <w:pStyle w:val="34"/>
        <w:numPr>
          <w:ilvl w:val="0"/>
          <w:numId w:val="6"/>
        </w:numPr>
        <w:tabs>
          <w:tab w:val="left" w:pos="1318"/>
          <w:tab w:val="left" w:pos="1319"/>
        </w:tabs>
        <w:spacing w:before="0" w:after="0" w:line="267" w:lineRule="exact"/>
        <w:ind w:left="1318" w:right="0" w:hanging="420"/>
        <w:jc w:val="left"/>
        <w:rPr>
          <w:color w:val="auto"/>
          <w:spacing w:val="0"/>
          <w:sz w:val="21"/>
        </w:rPr>
      </w:pPr>
      <w:r>
        <w:rPr>
          <w:color w:val="auto"/>
          <w:spacing w:val="0"/>
          <w:sz w:val="21"/>
        </w:rPr>
        <w:t>用户反馈和评价机制</w:t>
      </w:r>
    </w:p>
    <w:p w14:paraId="398A7C95">
      <w:pPr>
        <w:pStyle w:val="7"/>
        <w:spacing w:before="134" w:line="367" w:lineRule="auto"/>
        <w:ind w:left="1318" w:right="544" w:firstLine="420" w:firstLineChars="200"/>
        <w:rPr>
          <w:color w:val="auto"/>
          <w:spacing w:val="0"/>
          <w:highlight w:val="none"/>
        </w:rPr>
      </w:pPr>
      <w:r>
        <w:rPr>
          <w:rFonts w:hint="eastAsia"/>
          <w:color w:val="auto"/>
          <w:spacing w:val="0"/>
          <w:lang w:eastAsia="zh-CN"/>
        </w:rPr>
        <w:t>征集人</w:t>
      </w:r>
      <w:r>
        <w:rPr>
          <w:color w:val="auto"/>
          <w:spacing w:val="0"/>
        </w:rPr>
        <w:t>将对供应商每次受委托</w:t>
      </w:r>
      <w:r>
        <w:rPr>
          <w:rFonts w:hint="eastAsia"/>
          <w:color w:val="auto"/>
          <w:spacing w:val="0"/>
          <w:sz w:val="21"/>
          <w:lang w:eastAsia="zh-CN"/>
        </w:rPr>
        <w:t>审核</w:t>
      </w:r>
      <w:r>
        <w:rPr>
          <w:color w:val="auto"/>
          <w:spacing w:val="0"/>
        </w:rPr>
        <w:t xml:space="preserve">项目的完成情况进行考核评价，因供应商原因导致年内累计考核 </w:t>
      </w:r>
      <w:r>
        <w:rPr>
          <w:rFonts w:ascii="Times New Roman" w:eastAsia="Times New Roman"/>
          <w:color w:val="auto"/>
          <w:spacing w:val="0"/>
        </w:rPr>
        <w:t xml:space="preserve">3 </w:t>
      </w:r>
      <w:r>
        <w:rPr>
          <w:color w:val="auto"/>
          <w:spacing w:val="0"/>
        </w:rPr>
        <w:t>次不合格的</w:t>
      </w:r>
      <w:r>
        <w:rPr>
          <w:color w:val="auto"/>
          <w:spacing w:val="0"/>
          <w:highlight w:val="none"/>
        </w:rPr>
        <w:t>，</w:t>
      </w:r>
      <w:r>
        <w:rPr>
          <w:rFonts w:hint="eastAsia"/>
          <w:color w:val="auto"/>
          <w:spacing w:val="0"/>
          <w:highlight w:val="none"/>
          <w:lang w:eastAsia="zh-CN"/>
        </w:rPr>
        <w:t>征集人</w:t>
      </w:r>
      <w:r>
        <w:rPr>
          <w:color w:val="auto"/>
          <w:spacing w:val="0"/>
          <w:highlight w:val="none"/>
        </w:rPr>
        <w:t xml:space="preserve">对供应商停止分配项目 </w:t>
      </w:r>
      <w:r>
        <w:rPr>
          <w:rFonts w:ascii="Times New Roman" w:eastAsia="Times New Roman"/>
          <w:color w:val="auto"/>
          <w:spacing w:val="0"/>
          <w:highlight w:val="none"/>
        </w:rPr>
        <w:t xml:space="preserve">3 </w:t>
      </w:r>
      <w:r>
        <w:rPr>
          <w:color w:val="auto"/>
          <w:spacing w:val="0"/>
          <w:highlight w:val="none"/>
        </w:rPr>
        <w:t xml:space="preserve">个月，供应商应当书面陈述原因并提出改进措施。框架协议服务期间累计 </w:t>
      </w:r>
      <w:r>
        <w:rPr>
          <w:rFonts w:ascii="Times New Roman" w:eastAsia="Times New Roman"/>
          <w:color w:val="auto"/>
          <w:spacing w:val="0"/>
          <w:highlight w:val="none"/>
        </w:rPr>
        <w:t xml:space="preserve">3 </w:t>
      </w:r>
      <w:r>
        <w:rPr>
          <w:color w:val="auto"/>
          <w:spacing w:val="0"/>
          <w:highlight w:val="none"/>
        </w:rPr>
        <w:t>次停止服务的，供应商将列入黑名单，征集人可取消</w:t>
      </w:r>
      <w:r>
        <w:rPr>
          <w:rFonts w:hint="eastAsia"/>
          <w:color w:val="auto"/>
          <w:spacing w:val="0"/>
          <w:highlight w:val="none"/>
          <w:lang w:eastAsia="zh-CN"/>
        </w:rPr>
        <w:t>其</w:t>
      </w:r>
      <w:r>
        <w:rPr>
          <w:color w:val="auto"/>
          <w:spacing w:val="0"/>
          <w:highlight w:val="none"/>
        </w:rPr>
        <w:t>入围资格。</w:t>
      </w:r>
    </w:p>
    <w:p w14:paraId="18251CB6">
      <w:pPr>
        <w:pStyle w:val="34"/>
        <w:numPr>
          <w:ilvl w:val="0"/>
          <w:numId w:val="6"/>
        </w:numPr>
        <w:tabs>
          <w:tab w:val="left" w:pos="1318"/>
          <w:tab w:val="left" w:pos="1319"/>
        </w:tabs>
        <w:spacing w:before="0" w:after="0" w:line="267" w:lineRule="exact"/>
        <w:ind w:left="1318" w:right="0" w:hanging="420"/>
        <w:jc w:val="left"/>
        <w:rPr>
          <w:color w:val="auto"/>
          <w:spacing w:val="0"/>
          <w:sz w:val="21"/>
          <w:highlight w:val="none"/>
        </w:rPr>
      </w:pPr>
      <w:r>
        <w:rPr>
          <w:color w:val="auto"/>
          <w:spacing w:val="0"/>
          <w:sz w:val="21"/>
          <w:highlight w:val="none"/>
        </w:rPr>
        <w:t>本地服务的能力</w:t>
      </w:r>
    </w:p>
    <w:p w14:paraId="60A6DC13">
      <w:pPr>
        <w:pStyle w:val="34"/>
        <w:numPr>
          <w:ilvl w:val="1"/>
          <w:numId w:val="6"/>
        </w:numPr>
        <w:tabs>
          <w:tab w:val="left" w:pos="1898"/>
        </w:tabs>
        <w:spacing w:before="139" w:after="0" w:line="240" w:lineRule="auto"/>
        <w:ind w:left="1827" w:leftChars="0" w:right="0" w:hanging="567" w:firstLineChars="0"/>
        <w:jc w:val="left"/>
        <w:rPr>
          <w:color w:val="auto"/>
          <w:spacing w:val="0"/>
          <w:sz w:val="21"/>
          <w:highlight w:val="none"/>
        </w:rPr>
      </w:pPr>
      <w:r>
        <w:rPr>
          <w:color w:val="auto"/>
          <w:spacing w:val="0"/>
          <w:sz w:val="21"/>
          <w:highlight w:val="none"/>
        </w:rPr>
        <w:t>项目</w:t>
      </w:r>
      <w:r>
        <w:rPr>
          <w:rFonts w:hint="eastAsia"/>
          <w:color w:val="auto"/>
          <w:spacing w:val="0"/>
          <w:sz w:val="21"/>
          <w:highlight w:val="none"/>
          <w:lang w:eastAsia="zh-CN"/>
        </w:rPr>
        <w:t>审核</w:t>
      </w:r>
      <w:r>
        <w:rPr>
          <w:color w:val="auto"/>
          <w:spacing w:val="0"/>
          <w:sz w:val="21"/>
          <w:highlight w:val="none"/>
        </w:rPr>
        <w:t>过程中，供应商拟投入协审人员需配合</w:t>
      </w:r>
      <w:r>
        <w:rPr>
          <w:rFonts w:hint="eastAsia"/>
          <w:color w:val="auto"/>
          <w:spacing w:val="0"/>
          <w:sz w:val="21"/>
          <w:highlight w:val="none"/>
          <w:lang w:eastAsia="zh-CN"/>
        </w:rPr>
        <w:t>征集人</w:t>
      </w:r>
      <w:r>
        <w:rPr>
          <w:color w:val="auto"/>
          <w:spacing w:val="0"/>
          <w:sz w:val="21"/>
          <w:highlight w:val="none"/>
        </w:rPr>
        <w:t>完成承接核验资料、项目对数、现场踏勘、复核争议、项目归档等相关工作。</w:t>
      </w:r>
    </w:p>
    <w:p w14:paraId="41E93F8C">
      <w:pPr>
        <w:pStyle w:val="34"/>
        <w:numPr>
          <w:ilvl w:val="0"/>
          <w:numId w:val="0"/>
        </w:numPr>
        <w:tabs>
          <w:tab w:val="left" w:pos="1898"/>
        </w:tabs>
        <w:spacing w:before="139" w:after="0" w:line="240" w:lineRule="auto"/>
        <w:ind w:left="1197" w:leftChars="570" w:right="0" w:rightChars="0" w:firstLine="0" w:firstLineChars="0"/>
        <w:jc w:val="left"/>
        <w:rPr>
          <w:color w:val="auto"/>
          <w:spacing w:val="0"/>
          <w:sz w:val="21"/>
          <w:highlight w:val="none"/>
        </w:rPr>
      </w:pPr>
      <w:r>
        <w:rPr>
          <w:rFonts w:hint="eastAsia"/>
          <w:color w:val="auto"/>
          <w:spacing w:val="0"/>
          <w:sz w:val="21"/>
          <w:highlight w:val="none"/>
          <w:lang w:eastAsia="zh-CN"/>
        </w:rPr>
        <w:t>（</w:t>
      </w:r>
      <w:r>
        <w:rPr>
          <w:rFonts w:hint="eastAsia"/>
          <w:color w:val="auto"/>
          <w:spacing w:val="0"/>
          <w:sz w:val="21"/>
          <w:highlight w:val="none"/>
          <w:lang w:val="en-US" w:eastAsia="zh-CN"/>
        </w:rPr>
        <w:t>2</w:t>
      </w:r>
      <w:r>
        <w:rPr>
          <w:rFonts w:hint="eastAsia"/>
          <w:color w:val="auto"/>
          <w:spacing w:val="0"/>
          <w:sz w:val="21"/>
          <w:highlight w:val="none"/>
          <w:lang w:eastAsia="zh-CN"/>
        </w:rPr>
        <w:t>）</w:t>
      </w:r>
      <w:r>
        <w:rPr>
          <w:color w:val="auto"/>
          <w:spacing w:val="0"/>
          <w:sz w:val="21"/>
          <w:highlight w:val="none"/>
        </w:rPr>
        <w:t>拟投入协审人员需熟悉广西及防城港市造价信息及造价依据</w:t>
      </w:r>
      <w:r>
        <w:rPr>
          <w:rFonts w:hint="eastAsia"/>
          <w:color w:val="auto"/>
          <w:spacing w:val="0"/>
          <w:sz w:val="21"/>
          <w:highlight w:val="none"/>
          <w:lang w:eastAsia="zh-CN"/>
        </w:rPr>
        <w:t>，防城港市有关政府性投资建设相关的法律法规</w:t>
      </w:r>
      <w:r>
        <w:rPr>
          <w:color w:val="auto"/>
          <w:spacing w:val="0"/>
          <w:sz w:val="21"/>
          <w:highlight w:val="none"/>
        </w:rPr>
        <w:t>等。</w:t>
      </w:r>
    </w:p>
    <w:p w14:paraId="75ECC6C2">
      <w:pPr>
        <w:pStyle w:val="34"/>
        <w:numPr>
          <w:ilvl w:val="0"/>
          <w:numId w:val="0"/>
        </w:numPr>
        <w:tabs>
          <w:tab w:val="left" w:pos="1898"/>
        </w:tabs>
        <w:spacing w:before="139" w:after="0" w:line="240" w:lineRule="auto"/>
        <w:ind w:left="1330" w:leftChars="0" w:right="0" w:rightChars="0"/>
        <w:jc w:val="left"/>
        <w:rPr>
          <w:color w:val="auto"/>
          <w:spacing w:val="0"/>
          <w:sz w:val="28"/>
          <w:highlight w:val="none"/>
        </w:rPr>
      </w:pPr>
      <w:r>
        <w:rPr>
          <w:rFonts w:hint="eastAsia"/>
          <w:color w:val="auto"/>
          <w:spacing w:val="0"/>
          <w:sz w:val="21"/>
          <w:highlight w:val="none"/>
          <w:lang w:eastAsia="zh-CN"/>
        </w:rPr>
        <w:t>（</w:t>
      </w:r>
      <w:r>
        <w:rPr>
          <w:rFonts w:hint="eastAsia"/>
          <w:color w:val="auto"/>
          <w:spacing w:val="0"/>
          <w:sz w:val="21"/>
          <w:highlight w:val="none"/>
          <w:lang w:val="en-US" w:eastAsia="zh-CN"/>
        </w:rPr>
        <w:t>3</w:t>
      </w:r>
      <w:r>
        <w:rPr>
          <w:rFonts w:hint="eastAsia"/>
          <w:color w:val="auto"/>
          <w:spacing w:val="0"/>
          <w:sz w:val="21"/>
          <w:highlight w:val="none"/>
          <w:lang w:eastAsia="zh-CN"/>
        </w:rPr>
        <w:t>）</w:t>
      </w:r>
      <w:r>
        <w:rPr>
          <w:color w:val="auto"/>
          <w:spacing w:val="0"/>
          <w:sz w:val="21"/>
          <w:highlight w:val="none"/>
        </w:rPr>
        <w:t>拟投入协审人员应熟悉广西及防城港市工程造价市场情况。</w:t>
      </w:r>
    </w:p>
    <w:p w14:paraId="553570F3">
      <w:pPr>
        <w:numPr>
          <w:ilvl w:val="0"/>
          <w:numId w:val="0"/>
        </w:numPr>
        <w:spacing w:before="6"/>
        <w:ind w:right="0" w:rightChars="0"/>
        <w:jc w:val="left"/>
        <w:rPr>
          <w:rFonts w:hint="eastAsia" w:ascii="黑体" w:eastAsia="黑体"/>
          <w:b/>
          <w:color w:val="auto"/>
          <w:spacing w:val="0"/>
          <w:sz w:val="28"/>
          <w:highlight w:val="none"/>
          <w:lang w:val="en-US" w:eastAsia="zh-CN"/>
        </w:rPr>
      </w:pPr>
    </w:p>
    <w:p w14:paraId="0DE5BE67">
      <w:pPr>
        <w:numPr>
          <w:ilvl w:val="0"/>
          <w:numId w:val="0"/>
        </w:numPr>
        <w:spacing w:before="6"/>
        <w:ind w:right="0" w:rightChars="0" w:firstLine="562" w:firstLineChars="20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四、商务要求</w:t>
      </w:r>
    </w:p>
    <w:p w14:paraId="66F04C7A">
      <w:pPr>
        <w:pStyle w:val="34"/>
        <w:numPr>
          <w:ilvl w:val="0"/>
          <w:numId w:val="0"/>
        </w:numPr>
        <w:tabs>
          <w:tab w:val="left" w:pos="1318"/>
          <w:tab w:val="left" w:pos="1319"/>
        </w:tabs>
        <w:spacing w:before="138" w:after="0" w:line="364" w:lineRule="auto"/>
        <w:ind w:left="1318" w:leftChars="0" w:right="6331" w:rightChars="0" w:hanging="420" w:firstLineChars="0"/>
        <w:jc w:val="left"/>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1.</w:t>
      </w:r>
      <w:r>
        <w:rPr>
          <w:color w:val="auto"/>
          <w:spacing w:val="0"/>
          <w:sz w:val="21"/>
          <w:highlight w:val="none"/>
        </w:rPr>
        <w:t>报价要求</w:t>
      </w:r>
    </w:p>
    <w:p w14:paraId="29BB5111">
      <w:pPr>
        <w:pStyle w:val="7"/>
        <w:spacing w:line="364" w:lineRule="auto"/>
        <w:ind w:left="1318" w:right="438"/>
        <w:rPr>
          <w:b/>
          <w:bCs/>
          <w:color w:val="auto"/>
          <w:spacing w:val="0"/>
          <w:highlight w:val="none"/>
        </w:rPr>
      </w:pPr>
      <w:r>
        <w:rPr>
          <w:color w:val="auto"/>
          <w:spacing w:val="0"/>
          <w:highlight w:val="none"/>
        </w:rPr>
        <w:t>本项目执行政</w:t>
      </w:r>
      <w:r>
        <w:rPr>
          <w:color w:val="auto"/>
          <w:spacing w:val="0"/>
          <w:highlight w:val="none"/>
          <w:lang w:val="zh-CN" w:eastAsia="zh-CN"/>
        </w:rPr>
        <w:t>府</w:t>
      </w:r>
      <w:r>
        <w:rPr>
          <w:color w:val="auto"/>
          <w:spacing w:val="0"/>
          <w:highlight w:val="none"/>
        </w:rPr>
        <w:t>定价或政府指导价，供应商不需要提供报价，最高限价单价即作为供应商统一报价，</w:t>
      </w:r>
      <w:r>
        <w:rPr>
          <w:b/>
          <w:bCs/>
          <w:color w:val="auto"/>
          <w:spacing w:val="0"/>
          <w:highlight w:val="none"/>
        </w:rPr>
        <w:t>供应商如在制作响应文件或政采云系统中需要填写报价的，一律按“响应报价明细表格式”填写。</w:t>
      </w:r>
    </w:p>
    <w:p w14:paraId="4B47EC69">
      <w:pPr>
        <w:pStyle w:val="7"/>
        <w:spacing w:line="364" w:lineRule="auto"/>
        <w:ind w:left="1318" w:right="438"/>
        <w:rPr>
          <w:color w:val="auto"/>
          <w:spacing w:val="0"/>
          <w:highlight w:val="none"/>
        </w:rPr>
      </w:pPr>
      <w:r>
        <w:rPr>
          <w:color w:val="auto"/>
          <w:spacing w:val="0"/>
          <w:highlight w:val="none"/>
        </w:rPr>
        <w:t>响应报价包含人员费、技术服务费、交通、通讯、办公场地、管理费、税费和利润等费用。在项目实施过程中，</w:t>
      </w:r>
      <w:r>
        <w:rPr>
          <w:rFonts w:hint="eastAsia"/>
          <w:color w:val="auto"/>
          <w:spacing w:val="0"/>
          <w:highlight w:val="none"/>
          <w:lang w:eastAsia="zh-CN"/>
        </w:rPr>
        <w:t>征集人</w:t>
      </w:r>
      <w:r>
        <w:rPr>
          <w:color w:val="auto"/>
          <w:spacing w:val="0"/>
          <w:highlight w:val="none"/>
        </w:rPr>
        <w:t>不予支付项目协审服务费以外的任何项目费用。</w:t>
      </w:r>
    </w:p>
    <w:p w14:paraId="6F534A9A">
      <w:pPr>
        <w:pStyle w:val="34"/>
        <w:numPr>
          <w:ilvl w:val="0"/>
          <w:numId w:val="0"/>
        </w:numPr>
        <w:tabs>
          <w:tab w:val="left" w:pos="1318"/>
          <w:tab w:val="left" w:pos="1319"/>
        </w:tabs>
        <w:spacing w:before="138" w:after="0" w:line="364" w:lineRule="auto"/>
        <w:ind w:left="1318" w:leftChars="0" w:right="6331" w:rightChars="0" w:hanging="420" w:firstLineChars="0"/>
        <w:jc w:val="left"/>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2.</w:t>
      </w:r>
      <w:r>
        <w:rPr>
          <w:color w:val="auto"/>
          <w:spacing w:val="0"/>
          <w:sz w:val="21"/>
          <w:highlight w:val="none"/>
        </w:rPr>
        <w:t>框架协议签订期限</w:t>
      </w:r>
    </w:p>
    <w:p w14:paraId="295982C6">
      <w:pPr>
        <w:pStyle w:val="7"/>
        <w:spacing w:line="364" w:lineRule="auto"/>
        <w:ind w:left="1318" w:right="438"/>
        <w:rPr>
          <w:color w:val="auto"/>
          <w:spacing w:val="0"/>
          <w:highlight w:val="none"/>
        </w:rPr>
      </w:pPr>
      <w:r>
        <w:rPr>
          <w:color w:val="auto"/>
          <w:spacing w:val="0"/>
          <w:highlight w:val="none"/>
        </w:rPr>
        <w:t>入围通知书发出后 25 日内。</w:t>
      </w:r>
    </w:p>
    <w:p w14:paraId="429D84E2">
      <w:pPr>
        <w:pStyle w:val="34"/>
        <w:numPr>
          <w:ilvl w:val="0"/>
          <w:numId w:val="0"/>
        </w:numPr>
        <w:tabs>
          <w:tab w:val="left" w:pos="1318"/>
          <w:tab w:val="left" w:pos="1319"/>
        </w:tabs>
        <w:spacing w:before="138" w:after="0" w:line="364" w:lineRule="auto"/>
        <w:ind w:left="1318" w:leftChars="0" w:right="6331" w:rightChars="0" w:hanging="420" w:firstLineChars="0"/>
        <w:jc w:val="left"/>
        <w:rPr>
          <w:rFonts w:ascii="宋体" w:hAnsi="宋体" w:eastAsia="宋体" w:cs="宋体"/>
          <w:color w:val="auto"/>
          <w:spacing w:val="0"/>
          <w:sz w:val="21"/>
          <w:szCs w:val="21"/>
          <w:highlight w:val="none"/>
          <w:lang w:val="zh-CN" w:eastAsia="zh-CN" w:bidi="zh-CN"/>
        </w:rPr>
      </w:pPr>
      <w:r>
        <w:rPr>
          <w:rFonts w:hint="default" w:ascii="Times New Roman" w:hAnsi="Times New Roman" w:eastAsia="Times New Roman" w:cs="Times New Roman"/>
          <w:color w:val="auto"/>
          <w:spacing w:val="0"/>
          <w:w w:val="100"/>
          <w:kern w:val="0"/>
          <w:sz w:val="21"/>
          <w:szCs w:val="21"/>
          <w:lang w:val="zh-CN" w:eastAsia="zh-CN" w:bidi="zh-CN"/>
        </w:rPr>
        <w:t>3.</w:t>
      </w:r>
      <w:r>
        <w:rPr>
          <w:color w:val="auto"/>
          <w:spacing w:val="0"/>
          <w:sz w:val="21"/>
          <w:highlight w:val="none"/>
        </w:rPr>
        <w:t>服务交付或者实施的地域范围</w:t>
      </w:r>
      <w:r>
        <w:rPr>
          <w:rFonts w:ascii="宋体" w:hAnsi="宋体" w:eastAsia="宋体" w:cs="宋体"/>
          <w:color w:val="auto"/>
          <w:spacing w:val="0"/>
          <w:sz w:val="21"/>
          <w:szCs w:val="21"/>
          <w:highlight w:val="none"/>
          <w:lang w:val="zh-CN" w:eastAsia="zh-CN" w:bidi="zh-CN"/>
        </w:rPr>
        <w:t>防城港市</w:t>
      </w:r>
      <w:r>
        <w:rPr>
          <w:rFonts w:hint="eastAsia" w:ascii="宋体" w:hAnsi="宋体" w:eastAsia="宋体" w:cs="宋体"/>
          <w:color w:val="auto"/>
          <w:spacing w:val="0"/>
          <w:sz w:val="21"/>
          <w:szCs w:val="21"/>
          <w:highlight w:val="none"/>
          <w:lang w:val="zh-CN" w:eastAsia="zh-CN" w:bidi="zh-CN"/>
        </w:rPr>
        <w:t>征集人</w:t>
      </w:r>
      <w:r>
        <w:rPr>
          <w:rFonts w:ascii="宋体" w:hAnsi="宋体" w:eastAsia="宋体" w:cs="宋体"/>
          <w:color w:val="auto"/>
          <w:spacing w:val="0"/>
          <w:sz w:val="21"/>
          <w:szCs w:val="21"/>
          <w:highlight w:val="none"/>
          <w:lang w:val="zh-CN" w:eastAsia="zh-CN" w:bidi="zh-CN"/>
        </w:rPr>
        <w:t>指定地点。</w:t>
      </w:r>
    </w:p>
    <w:p w14:paraId="27E48D22">
      <w:pPr>
        <w:pStyle w:val="7"/>
        <w:spacing w:before="5"/>
        <w:rPr>
          <w:color w:val="auto"/>
          <w:spacing w:val="0"/>
          <w:sz w:val="3"/>
          <w:highlight w:val="none"/>
        </w:rPr>
      </w:pPr>
    </w:p>
    <w:p w14:paraId="32E9191B">
      <w:pPr>
        <w:pStyle w:val="7"/>
        <w:spacing w:line="20" w:lineRule="exact"/>
        <w:ind w:left="442"/>
        <w:rPr>
          <w:color w:val="auto"/>
          <w:spacing w:val="0"/>
          <w:sz w:val="2"/>
          <w:highlight w:val="none"/>
        </w:rPr>
      </w:pPr>
    </w:p>
    <w:p w14:paraId="374152AC">
      <w:pPr>
        <w:pStyle w:val="34"/>
        <w:numPr>
          <w:ilvl w:val="0"/>
          <w:numId w:val="0"/>
        </w:numPr>
        <w:tabs>
          <w:tab w:val="left" w:pos="1318"/>
          <w:tab w:val="left" w:pos="1319"/>
        </w:tabs>
        <w:spacing w:before="0" w:after="0" w:line="240" w:lineRule="auto"/>
        <w:ind w:left="1318" w:leftChars="0" w:right="0" w:rightChars="0" w:hanging="420" w:firstLineChars="0"/>
        <w:jc w:val="left"/>
        <w:rPr>
          <w:rFonts w:hint="eastAsia"/>
          <w:color w:val="auto"/>
          <w:spacing w:val="0"/>
          <w:sz w:val="21"/>
          <w:highlight w:val="none"/>
          <w:lang w:val="en-US" w:eastAsia="zh-CN"/>
        </w:rPr>
      </w:pPr>
      <w:r>
        <w:rPr>
          <w:rFonts w:hint="default" w:ascii="Times New Roman" w:hAnsi="Times New Roman" w:eastAsia="Times New Roman" w:cs="Times New Roman"/>
          <w:color w:val="auto"/>
          <w:spacing w:val="0"/>
          <w:w w:val="100"/>
          <w:kern w:val="0"/>
          <w:sz w:val="21"/>
          <w:szCs w:val="21"/>
          <w:lang w:val="zh-CN" w:eastAsia="zh-CN" w:bidi="zh-CN"/>
        </w:rPr>
        <w:t>4.</w:t>
      </w:r>
      <w:r>
        <w:rPr>
          <w:color w:val="auto"/>
          <w:spacing w:val="0"/>
          <w:sz w:val="21"/>
          <w:highlight w:val="none"/>
        </w:rPr>
        <w:t>最高限制单价及协审服务费</w:t>
      </w:r>
    </w:p>
    <w:p w14:paraId="2C906B01">
      <w:pPr>
        <w:pStyle w:val="7"/>
        <w:spacing w:line="364" w:lineRule="auto"/>
        <w:ind w:left="1318" w:right="438"/>
        <w:rPr>
          <w:rFonts w:hint="eastAsia"/>
          <w:color w:val="auto"/>
          <w:spacing w:val="0"/>
          <w:highlight w:val="none"/>
          <w:lang w:val="en-US" w:eastAsia="zh-CN"/>
        </w:rPr>
      </w:pPr>
      <w:r>
        <w:rPr>
          <w:rFonts w:hint="eastAsia"/>
          <w:color w:val="auto"/>
          <w:spacing w:val="0"/>
          <w:highlight w:val="none"/>
          <w:lang w:val="en-US" w:eastAsia="zh-CN"/>
        </w:rPr>
        <w:t>（1）最高限制单价及协审服务费计取</w:t>
      </w:r>
    </w:p>
    <w:p w14:paraId="02156203">
      <w:pPr>
        <w:pStyle w:val="7"/>
        <w:spacing w:line="364" w:lineRule="auto"/>
        <w:ind w:left="1318" w:right="438" w:firstLine="420" w:firstLineChars="200"/>
        <w:rPr>
          <w:color w:val="auto"/>
          <w:spacing w:val="0"/>
          <w:highlight w:val="none"/>
        </w:rPr>
      </w:pPr>
      <w:r>
        <w:rPr>
          <w:color w:val="auto"/>
          <w:spacing w:val="0"/>
          <w:highlight w:val="none"/>
        </w:rPr>
        <w:t>最高限制单价是供应商第一阶段响应报价的最高限价。入围供应商第一阶段响应报价是采购人确定第二阶段成交供应商的最高限价。最高限制单价</w:t>
      </w:r>
      <w:r>
        <w:rPr>
          <w:rFonts w:hint="eastAsia"/>
          <w:color w:val="auto"/>
          <w:spacing w:val="0"/>
          <w:highlight w:val="none"/>
        </w:rPr>
        <w:t>执行政府定价或政府指导价</w:t>
      </w:r>
      <w:r>
        <w:rPr>
          <w:rFonts w:hint="eastAsia"/>
          <w:color w:val="auto"/>
          <w:spacing w:val="0"/>
          <w:highlight w:val="none"/>
          <w:lang w:eastAsia="zh-CN"/>
        </w:rPr>
        <w:t>，</w:t>
      </w:r>
      <w:r>
        <w:rPr>
          <w:color w:val="auto"/>
          <w:spacing w:val="0"/>
          <w:highlight w:val="none"/>
        </w:rPr>
        <w:t>协审服务费计取详见</w:t>
      </w:r>
      <w:r>
        <w:rPr>
          <w:rFonts w:hint="eastAsia"/>
          <w:color w:val="auto"/>
          <w:spacing w:val="0"/>
          <w:highlight w:val="none"/>
          <w:lang w:eastAsia="zh-CN"/>
        </w:rPr>
        <w:t>采购需求</w:t>
      </w:r>
      <w:r>
        <w:rPr>
          <w:color w:val="auto"/>
          <w:spacing w:val="0"/>
          <w:highlight w:val="none"/>
        </w:rPr>
        <w:t>。</w:t>
      </w:r>
    </w:p>
    <w:p w14:paraId="5A800BB2">
      <w:pPr>
        <w:pStyle w:val="7"/>
        <w:spacing w:line="364" w:lineRule="auto"/>
        <w:ind w:left="1318" w:right="438"/>
        <w:rPr>
          <w:rFonts w:hint="eastAsia"/>
          <w:color w:val="auto"/>
          <w:spacing w:val="0"/>
          <w:highlight w:val="none"/>
          <w:lang w:val="en-US" w:eastAsia="zh-CN"/>
        </w:rPr>
      </w:pPr>
      <w:r>
        <w:rPr>
          <w:rFonts w:hint="eastAsia"/>
          <w:color w:val="auto"/>
          <w:spacing w:val="0"/>
          <w:highlight w:val="none"/>
          <w:lang w:val="en-US" w:eastAsia="zh-CN"/>
        </w:rPr>
        <w:t>（2）协审服务费支付方式</w:t>
      </w:r>
    </w:p>
    <w:p w14:paraId="6A008E57">
      <w:pPr>
        <w:pStyle w:val="7"/>
        <w:spacing w:line="364" w:lineRule="auto"/>
        <w:ind w:left="1318" w:right="438" w:firstLine="420" w:firstLineChars="200"/>
        <w:rPr>
          <w:rFonts w:hint="eastAsia"/>
          <w:color w:val="auto"/>
          <w:spacing w:val="0"/>
          <w:highlight w:val="none"/>
          <w:lang w:val="zh-CN" w:eastAsia="zh-CN"/>
        </w:rPr>
      </w:pPr>
      <w:r>
        <w:rPr>
          <w:rFonts w:hint="eastAsia"/>
          <w:color w:val="auto"/>
          <w:spacing w:val="0"/>
          <w:highlight w:val="none"/>
          <w:lang w:val="zh-CN" w:eastAsia="zh-CN"/>
        </w:rPr>
        <w:t>协审服务费无预付款，供应商在完成协审工作后，根据完成评审项目申请支付（按征集人要求提供相关材料）。征集人根据供应商完成项目评审工作，出具评审报告后计费,原则上每半年支付一次，征集人审核相关材料确认无误后通过转账方式支付。</w:t>
      </w:r>
    </w:p>
    <w:p w14:paraId="3B33F222">
      <w:pPr>
        <w:pStyle w:val="34"/>
        <w:numPr>
          <w:ilvl w:val="0"/>
          <w:numId w:val="0"/>
        </w:numPr>
        <w:tabs>
          <w:tab w:val="left" w:pos="1318"/>
          <w:tab w:val="left" w:pos="1319"/>
        </w:tabs>
        <w:spacing w:before="0" w:after="0" w:line="240" w:lineRule="auto"/>
        <w:ind w:right="0" w:rightChars="0" w:firstLine="1050" w:firstLineChars="500"/>
        <w:jc w:val="left"/>
        <w:rPr>
          <w:rFonts w:hint="eastAsia"/>
          <w:color w:val="auto"/>
          <w:spacing w:val="0"/>
          <w:sz w:val="21"/>
          <w:highlight w:val="none"/>
          <w:lang w:val="en-US" w:eastAsia="zh-CN"/>
        </w:rPr>
      </w:pPr>
    </w:p>
    <w:p w14:paraId="27E4F35E">
      <w:pPr>
        <w:pStyle w:val="34"/>
        <w:numPr>
          <w:ilvl w:val="0"/>
          <w:numId w:val="0"/>
        </w:numPr>
        <w:tabs>
          <w:tab w:val="left" w:pos="1318"/>
          <w:tab w:val="left" w:pos="1319"/>
        </w:tabs>
        <w:spacing w:before="0" w:after="0" w:line="240" w:lineRule="auto"/>
        <w:ind w:right="0" w:rightChars="0" w:firstLine="1050" w:firstLineChars="500"/>
        <w:jc w:val="left"/>
        <w:rPr>
          <w:color w:val="auto"/>
          <w:spacing w:val="0"/>
          <w:sz w:val="21"/>
          <w:highlight w:val="none"/>
        </w:rPr>
      </w:pPr>
      <w:r>
        <w:rPr>
          <w:rFonts w:hint="eastAsia"/>
          <w:color w:val="auto"/>
          <w:spacing w:val="0"/>
          <w:sz w:val="21"/>
          <w:highlight w:val="none"/>
          <w:lang w:val="en-US" w:eastAsia="zh-CN"/>
        </w:rPr>
        <w:t>5.</w:t>
      </w:r>
      <w:r>
        <w:rPr>
          <w:color w:val="auto"/>
          <w:spacing w:val="0"/>
          <w:sz w:val="21"/>
          <w:highlight w:val="none"/>
        </w:rPr>
        <w:t>履约保证金</w:t>
      </w:r>
    </w:p>
    <w:p w14:paraId="35BCB40C">
      <w:pPr>
        <w:pStyle w:val="7"/>
        <w:spacing w:line="364" w:lineRule="auto"/>
        <w:ind w:left="1318" w:right="438" w:firstLine="42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入围供应商在与征集人签订框架协议后，需向征集人一次性缴纳履约保证金壹万元整（10000元）。框架协议有效期满后，入围供应商无违约行为，履约保证金由征集人无息退回。</w:t>
      </w:r>
    </w:p>
    <w:p w14:paraId="6922A2E4">
      <w:pPr>
        <w:pStyle w:val="34"/>
        <w:numPr>
          <w:ilvl w:val="0"/>
          <w:numId w:val="0"/>
        </w:numPr>
        <w:tabs>
          <w:tab w:val="left" w:pos="1318"/>
          <w:tab w:val="left" w:pos="1319"/>
        </w:tabs>
        <w:spacing w:before="0" w:after="0" w:line="240" w:lineRule="auto"/>
        <w:ind w:left="1050" w:leftChars="0" w:right="0" w:rightChars="0"/>
        <w:jc w:val="left"/>
        <w:rPr>
          <w:rFonts w:hint="eastAsia"/>
          <w:color w:val="auto"/>
          <w:spacing w:val="0"/>
          <w:sz w:val="21"/>
          <w:highlight w:val="none"/>
          <w:lang w:val="en-US" w:eastAsia="zh-CN"/>
        </w:rPr>
      </w:pPr>
      <w:r>
        <w:rPr>
          <w:rFonts w:hint="eastAsia"/>
          <w:color w:val="auto"/>
          <w:spacing w:val="0"/>
          <w:sz w:val="21"/>
          <w:highlight w:val="none"/>
          <w:lang w:val="en-US" w:eastAsia="zh-CN"/>
        </w:rPr>
        <w:t>6.售后服务</w:t>
      </w:r>
    </w:p>
    <w:p w14:paraId="0F8EB37B">
      <w:pPr>
        <w:pStyle w:val="34"/>
        <w:numPr>
          <w:ilvl w:val="0"/>
          <w:numId w:val="0"/>
        </w:numPr>
        <w:tabs>
          <w:tab w:val="left" w:pos="1318"/>
          <w:tab w:val="left" w:pos="1319"/>
        </w:tabs>
        <w:spacing w:before="0" w:after="0" w:line="240" w:lineRule="auto"/>
        <w:ind w:left="898" w:leftChars="0" w:right="0" w:rightChars="0"/>
        <w:jc w:val="left"/>
        <w:rPr>
          <w:rFonts w:hint="eastAsia"/>
          <w:color w:val="auto"/>
          <w:spacing w:val="0"/>
          <w:sz w:val="21"/>
          <w:highlight w:val="none"/>
          <w:lang w:val="en-US" w:eastAsia="zh-CN"/>
        </w:rPr>
      </w:pPr>
      <w:r>
        <w:rPr>
          <w:rFonts w:hint="eastAsia"/>
          <w:color w:val="auto"/>
          <w:spacing w:val="0"/>
          <w:sz w:val="21"/>
          <w:highlight w:val="none"/>
          <w:lang w:val="en-US" w:eastAsia="zh-CN"/>
        </w:rPr>
        <w:t xml:space="preserve"> </w:t>
      </w:r>
    </w:p>
    <w:p w14:paraId="1CA85A12">
      <w:pPr>
        <w:pStyle w:val="34"/>
        <w:numPr>
          <w:ilvl w:val="0"/>
          <w:numId w:val="0"/>
        </w:numPr>
        <w:tabs>
          <w:tab w:val="left" w:pos="1319"/>
        </w:tabs>
        <w:spacing w:before="136" w:after="0" w:line="364" w:lineRule="auto"/>
        <w:ind w:left="1318" w:leftChars="0" w:right="544" w:rightChars="0" w:hanging="420" w:firstLineChars="0"/>
        <w:jc w:val="both"/>
        <w:rPr>
          <w:rFonts w:hint="eastAsia" w:ascii="宋体" w:hAnsi="宋体" w:eastAsia="宋体" w:cs="宋体"/>
          <w:color w:val="auto"/>
          <w:spacing w:val="0"/>
          <w:kern w:val="0"/>
          <w:sz w:val="21"/>
          <w:szCs w:val="21"/>
          <w:highlight w:val="none"/>
          <w:lang w:val="zh-CN" w:eastAsia="zh-CN" w:bidi="zh-CN"/>
        </w:rPr>
      </w:pPr>
      <w:r>
        <w:rPr>
          <w:rFonts w:hint="eastAsia" w:ascii="黑体" w:eastAsia="黑体"/>
          <w:b/>
          <w:color w:val="auto"/>
          <w:spacing w:val="0"/>
          <w:sz w:val="28"/>
          <w:highlight w:val="none"/>
          <w:lang w:val="en-US" w:eastAsia="zh-CN"/>
        </w:rPr>
        <w:t xml:space="preserve">      </w:t>
      </w:r>
      <w:r>
        <w:rPr>
          <w:rFonts w:hint="eastAsia" w:ascii="宋体" w:hAnsi="宋体" w:eastAsia="宋体" w:cs="宋体"/>
          <w:color w:val="auto"/>
          <w:spacing w:val="0"/>
          <w:kern w:val="0"/>
          <w:sz w:val="21"/>
          <w:szCs w:val="21"/>
          <w:highlight w:val="none"/>
          <w:lang w:val="en-US" w:eastAsia="zh-CN" w:bidi="zh-CN"/>
        </w:rPr>
        <w:t xml:space="preserve"> 按供应商承诺的售后服务</w:t>
      </w:r>
      <w:r>
        <w:rPr>
          <w:rFonts w:hint="eastAsia" w:cs="宋体"/>
          <w:color w:val="auto"/>
          <w:spacing w:val="0"/>
          <w:kern w:val="0"/>
          <w:sz w:val="21"/>
          <w:szCs w:val="21"/>
          <w:highlight w:val="none"/>
          <w:lang w:val="en-US" w:eastAsia="zh-CN" w:bidi="zh-CN"/>
        </w:rPr>
        <w:t>履行</w:t>
      </w:r>
      <w:r>
        <w:rPr>
          <w:rFonts w:hint="eastAsia" w:ascii="宋体" w:hAnsi="宋体" w:eastAsia="宋体" w:cs="宋体"/>
          <w:color w:val="auto"/>
          <w:spacing w:val="0"/>
          <w:kern w:val="0"/>
          <w:sz w:val="21"/>
          <w:szCs w:val="21"/>
          <w:highlight w:val="none"/>
          <w:lang w:val="en-US" w:eastAsia="zh-CN" w:bidi="zh-CN"/>
        </w:rPr>
        <w:t>，</w:t>
      </w:r>
      <w:r>
        <w:rPr>
          <w:rFonts w:hint="eastAsia" w:ascii="宋体" w:hAnsi="宋体" w:eastAsia="宋体" w:cs="宋体"/>
          <w:color w:val="auto"/>
          <w:spacing w:val="0"/>
          <w:kern w:val="0"/>
          <w:sz w:val="21"/>
          <w:szCs w:val="21"/>
          <w:highlight w:val="none"/>
          <w:lang w:val="zh-CN" w:eastAsia="zh-CN" w:bidi="zh-CN"/>
        </w:rPr>
        <w:t>无正当理由不得</w:t>
      </w:r>
      <w:r>
        <w:rPr>
          <w:rFonts w:hint="eastAsia" w:cs="宋体"/>
          <w:color w:val="auto"/>
          <w:spacing w:val="0"/>
          <w:kern w:val="0"/>
          <w:sz w:val="21"/>
          <w:szCs w:val="21"/>
          <w:highlight w:val="none"/>
          <w:lang w:val="zh-CN" w:eastAsia="zh-CN" w:bidi="zh-CN"/>
        </w:rPr>
        <w:t>违背承诺要求</w:t>
      </w:r>
      <w:r>
        <w:rPr>
          <w:rFonts w:hint="eastAsia" w:ascii="宋体" w:hAnsi="宋体" w:eastAsia="宋体" w:cs="宋体"/>
          <w:color w:val="auto"/>
          <w:spacing w:val="0"/>
          <w:kern w:val="0"/>
          <w:sz w:val="21"/>
          <w:szCs w:val="21"/>
          <w:highlight w:val="none"/>
          <w:lang w:val="zh-CN" w:eastAsia="zh-CN" w:bidi="zh-CN"/>
        </w:rPr>
        <w:t>，供应商若在合同期内累计</w:t>
      </w:r>
      <w:r>
        <w:rPr>
          <w:rFonts w:hint="eastAsia" w:cs="宋体"/>
          <w:color w:val="auto"/>
          <w:spacing w:val="0"/>
          <w:kern w:val="0"/>
          <w:sz w:val="21"/>
          <w:szCs w:val="21"/>
          <w:highlight w:val="none"/>
          <w:lang w:val="zh-CN" w:eastAsia="zh-CN" w:bidi="zh-CN"/>
        </w:rPr>
        <w:t>违背承诺</w:t>
      </w:r>
      <w:r>
        <w:rPr>
          <w:rFonts w:hint="eastAsia" w:ascii="宋体" w:hAnsi="宋体" w:eastAsia="宋体" w:cs="宋体"/>
          <w:color w:val="auto"/>
          <w:spacing w:val="0"/>
          <w:kern w:val="0"/>
          <w:sz w:val="21"/>
          <w:szCs w:val="21"/>
          <w:highlight w:val="none"/>
          <w:lang w:val="zh-CN" w:eastAsia="zh-CN" w:bidi="zh-CN"/>
        </w:rPr>
        <w:t>两次</w:t>
      </w:r>
      <w:r>
        <w:rPr>
          <w:rFonts w:hint="eastAsia" w:cs="宋体"/>
          <w:color w:val="auto"/>
          <w:spacing w:val="0"/>
          <w:kern w:val="0"/>
          <w:sz w:val="21"/>
          <w:szCs w:val="21"/>
          <w:highlight w:val="none"/>
          <w:lang w:val="zh-CN" w:eastAsia="zh-CN" w:bidi="zh-CN"/>
        </w:rPr>
        <w:t>的</w:t>
      </w:r>
      <w:r>
        <w:rPr>
          <w:rFonts w:hint="eastAsia" w:ascii="宋体" w:hAnsi="宋体" w:eastAsia="宋体" w:cs="宋体"/>
          <w:color w:val="auto"/>
          <w:spacing w:val="0"/>
          <w:kern w:val="0"/>
          <w:sz w:val="21"/>
          <w:szCs w:val="21"/>
          <w:highlight w:val="none"/>
          <w:lang w:val="zh-CN" w:eastAsia="zh-CN" w:bidi="zh-CN"/>
        </w:rPr>
        <w:t>，征集人将暂停向其分配项目，为期</w:t>
      </w:r>
      <w:r>
        <w:rPr>
          <w:rFonts w:hint="eastAsia" w:cs="宋体"/>
          <w:color w:val="auto"/>
          <w:spacing w:val="0"/>
          <w:kern w:val="0"/>
          <w:sz w:val="21"/>
          <w:szCs w:val="21"/>
          <w:highlight w:val="none"/>
          <w:lang w:val="zh-CN" w:eastAsia="zh-CN" w:bidi="zh-CN"/>
        </w:rPr>
        <w:t>6个月</w:t>
      </w:r>
      <w:r>
        <w:rPr>
          <w:rFonts w:hint="eastAsia" w:ascii="宋体" w:hAnsi="宋体" w:eastAsia="宋体" w:cs="宋体"/>
          <w:color w:val="auto"/>
          <w:spacing w:val="0"/>
          <w:kern w:val="0"/>
          <w:sz w:val="21"/>
          <w:szCs w:val="21"/>
          <w:highlight w:val="none"/>
          <w:lang w:val="zh-CN" w:eastAsia="zh-CN" w:bidi="zh-CN"/>
        </w:rPr>
        <w:t>；若累计拒绝达到四次，则终止该供应商在合同期内的所有项目分配资格。</w:t>
      </w:r>
    </w:p>
    <w:p w14:paraId="2456281D">
      <w:pPr>
        <w:numPr>
          <w:ilvl w:val="0"/>
          <w:numId w:val="0"/>
        </w:numPr>
        <w:spacing w:before="6"/>
        <w:ind w:left="898" w:leftChars="0" w:right="0" w:rightChars="0"/>
        <w:jc w:val="left"/>
        <w:rPr>
          <w:rFonts w:hint="eastAsia" w:ascii="宋体" w:hAnsi="宋体" w:eastAsia="宋体" w:cs="宋体"/>
          <w:b w:val="0"/>
          <w:bCs/>
          <w:color w:val="auto"/>
          <w:spacing w:val="0"/>
          <w:sz w:val="21"/>
          <w:szCs w:val="21"/>
          <w:highlight w:val="none"/>
          <w:lang w:val="en-US" w:eastAsia="zh-CN"/>
        </w:rPr>
      </w:pPr>
    </w:p>
    <w:p w14:paraId="75477031">
      <w:pPr>
        <w:spacing w:before="6"/>
        <w:ind w:left="478" w:right="0" w:firstLine="0"/>
        <w:jc w:val="left"/>
        <w:rPr>
          <w:rFonts w:hint="eastAsia" w:ascii="黑体" w:eastAsia="黑体"/>
          <w:b/>
          <w:color w:val="auto"/>
          <w:spacing w:val="0"/>
          <w:sz w:val="28"/>
          <w:highlight w:val="none"/>
          <w:lang w:val="en-US" w:eastAsia="zh-CN"/>
        </w:rPr>
      </w:pPr>
    </w:p>
    <w:p w14:paraId="041520B4">
      <w:pPr>
        <w:numPr>
          <w:ilvl w:val="0"/>
          <w:numId w:val="7"/>
        </w:numPr>
        <w:spacing w:before="6"/>
        <w:ind w:left="478" w:right="0" w:firstLine="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其他要求</w:t>
      </w:r>
    </w:p>
    <w:p w14:paraId="03D1B901">
      <w:pPr>
        <w:numPr>
          <w:ilvl w:val="0"/>
          <w:numId w:val="0"/>
        </w:numPr>
        <w:spacing w:before="6"/>
        <w:ind w:left="478" w:leftChars="0" w:right="0" w:rightChars="0"/>
        <w:jc w:val="left"/>
        <w:rPr>
          <w:rFonts w:hint="eastAsia" w:ascii="黑体" w:eastAsia="黑体"/>
          <w:b/>
          <w:color w:val="auto"/>
          <w:spacing w:val="0"/>
          <w:sz w:val="28"/>
          <w:highlight w:val="none"/>
          <w:lang w:val="en-US" w:eastAsia="zh-CN"/>
        </w:rPr>
      </w:pPr>
    </w:p>
    <w:p w14:paraId="1310FB85">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pPr>
      <w:r>
        <w:rPr>
          <w:color w:val="auto"/>
          <w:spacing w:val="0"/>
          <w:sz w:val="21"/>
          <w:highlight w:val="none"/>
        </w:rPr>
        <w:t>如</w:t>
      </w:r>
      <w:r>
        <w:rPr>
          <w:rFonts w:hint="eastAsia"/>
          <w:color w:val="auto"/>
          <w:spacing w:val="0"/>
          <w:sz w:val="21"/>
          <w:highlight w:val="none"/>
          <w:lang w:eastAsia="zh-CN"/>
        </w:rPr>
        <w:t>审核</w:t>
      </w:r>
      <w:r>
        <w:rPr>
          <w:color w:val="auto"/>
          <w:spacing w:val="0"/>
          <w:sz w:val="21"/>
          <w:highlight w:val="none"/>
        </w:rPr>
        <w:t>项目中途作调整，</w:t>
      </w:r>
      <w:r>
        <w:rPr>
          <w:rFonts w:hint="eastAsia"/>
          <w:color w:val="auto"/>
          <w:spacing w:val="0"/>
          <w:sz w:val="21"/>
          <w:highlight w:val="none"/>
          <w:lang w:eastAsia="zh-CN"/>
        </w:rPr>
        <w:t>征集人</w:t>
      </w:r>
      <w:r>
        <w:rPr>
          <w:color w:val="auto"/>
          <w:spacing w:val="0"/>
          <w:sz w:val="21"/>
          <w:highlight w:val="none"/>
        </w:rPr>
        <w:t>将立刻通知供应商；如供应商在服务过程中发现异常情况或问题时，应立即通知</w:t>
      </w:r>
      <w:r>
        <w:rPr>
          <w:rFonts w:hint="eastAsia"/>
          <w:color w:val="auto"/>
          <w:spacing w:val="0"/>
          <w:sz w:val="21"/>
          <w:highlight w:val="none"/>
          <w:lang w:eastAsia="zh-CN"/>
        </w:rPr>
        <w:t>征集人</w:t>
      </w:r>
      <w:r>
        <w:rPr>
          <w:color w:val="auto"/>
          <w:spacing w:val="0"/>
          <w:sz w:val="21"/>
          <w:highlight w:val="none"/>
        </w:rPr>
        <w:t>。</w:t>
      </w:r>
    </w:p>
    <w:p w14:paraId="2C215BDA">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pPr>
      <w:r>
        <w:rPr>
          <w:color w:val="auto"/>
          <w:spacing w:val="0"/>
          <w:sz w:val="21"/>
          <w:highlight w:val="none"/>
        </w:rPr>
        <w:t>框架协议履行期间，如供应商出现违法、违纪、违约或</w:t>
      </w:r>
      <w:r>
        <w:rPr>
          <w:rFonts w:hint="eastAsia"/>
          <w:color w:val="auto"/>
          <w:spacing w:val="0"/>
          <w:sz w:val="21"/>
          <w:highlight w:val="none"/>
          <w:lang w:eastAsia="zh-CN"/>
        </w:rPr>
        <w:t>审核</w:t>
      </w:r>
      <w:r>
        <w:rPr>
          <w:color w:val="auto"/>
          <w:spacing w:val="0"/>
          <w:sz w:val="21"/>
          <w:highlight w:val="none"/>
        </w:rPr>
        <w:t>质量存在重大问题情况之一的，征集人可视情况终止协议及合同。涉及所承接项目的协审服务费，</w:t>
      </w:r>
      <w:r>
        <w:rPr>
          <w:rFonts w:hint="eastAsia"/>
          <w:color w:val="auto"/>
          <w:spacing w:val="0"/>
          <w:sz w:val="21"/>
          <w:highlight w:val="none"/>
          <w:lang w:eastAsia="zh-CN"/>
        </w:rPr>
        <w:t>征集人</w:t>
      </w:r>
      <w:r>
        <w:rPr>
          <w:color w:val="auto"/>
          <w:spacing w:val="0"/>
          <w:sz w:val="21"/>
          <w:highlight w:val="none"/>
        </w:rPr>
        <w:t>可延期或拒绝支付服务费。</w:t>
      </w:r>
    </w:p>
    <w:p w14:paraId="7E297AE8">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pPr>
      <w:r>
        <w:rPr>
          <w:color w:val="auto"/>
          <w:spacing w:val="0"/>
          <w:sz w:val="21"/>
          <w:highlight w:val="none"/>
        </w:rPr>
        <w:t>框架协议履行期间，供应商未能按</w:t>
      </w:r>
      <w:r>
        <w:rPr>
          <w:rFonts w:hint="eastAsia"/>
          <w:color w:val="auto"/>
          <w:spacing w:val="0"/>
          <w:sz w:val="21"/>
          <w:highlight w:val="none"/>
          <w:lang w:eastAsia="zh-CN"/>
        </w:rPr>
        <w:t>征集人</w:t>
      </w:r>
      <w:r>
        <w:rPr>
          <w:color w:val="auto"/>
          <w:spacing w:val="0"/>
          <w:sz w:val="21"/>
          <w:highlight w:val="none"/>
        </w:rPr>
        <w:t>要求开展协审工作的，影响到协审项目</w:t>
      </w:r>
      <w:r>
        <w:rPr>
          <w:rFonts w:hint="eastAsia"/>
          <w:color w:val="auto"/>
          <w:spacing w:val="0"/>
          <w:sz w:val="21"/>
          <w:highlight w:val="none"/>
          <w:lang w:eastAsia="zh-CN"/>
        </w:rPr>
        <w:t>审核</w:t>
      </w:r>
      <w:r>
        <w:rPr>
          <w:color w:val="auto"/>
          <w:spacing w:val="0"/>
          <w:sz w:val="21"/>
          <w:highlight w:val="none"/>
        </w:rPr>
        <w:t>进度或质量的，经</w:t>
      </w:r>
      <w:r>
        <w:rPr>
          <w:rFonts w:hint="eastAsia"/>
          <w:color w:val="auto"/>
          <w:spacing w:val="0"/>
          <w:sz w:val="21"/>
          <w:highlight w:val="none"/>
          <w:lang w:eastAsia="zh-CN"/>
        </w:rPr>
        <w:t>征集人</w:t>
      </w:r>
      <w:r>
        <w:rPr>
          <w:color w:val="auto"/>
          <w:spacing w:val="0"/>
          <w:sz w:val="21"/>
          <w:highlight w:val="none"/>
        </w:rPr>
        <w:t>提出后拒不改正的，</w:t>
      </w:r>
      <w:r>
        <w:rPr>
          <w:rFonts w:hint="eastAsia"/>
          <w:color w:val="auto"/>
          <w:spacing w:val="0"/>
          <w:sz w:val="21"/>
          <w:highlight w:val="none"/>
          <w:lang w:eastAsia="zh-CN"/>
        </w:rPr>
        <w:t>征集人</w:t>
      </w:r>
      <w:r>
        <w:rPr>
          <w:color w:val="auto"/>
          <w:spacing w:val="0"/>
          <w:sz w:val="21"/>
          <w:highlight w:val="none"/>
        </w:rPr>
        <w:t>有权解除合同。协审项目已开展的，</w:t>
      </w:r>
      <w:r>
        <w:rPr>
          <w:rFonts w:hint="eastAsia"/>
          <w:color w:val="auto"/>
          <w:spacing w:val="0"/>
          <w:sz w:val="21"/>
          <w:highlight w:val="none"/>
          <w:lang w:eastAsia="zh-CN"/>
        </w:rPr>
        <w:t>征集人</w:t>
      </w:r>
      <w:r>
        <w:rPr>
          <w:color w:val="auto"/>
          <w:spacing w:val="0"/>
          <w:sz w:val="21"/>
          <w:highlight w:val="none"/>
        </w:rPr>
        <w:t>有权拒绝支付协审费用。征集人可视情况终止协议。</w:t>
      </w:r>
    </w:p>
    <w:p w14:paraId="26EC34F3">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sectPr>
          <w:headerReference r:id="rId7" w:type="default"/>
          <w:pgSz w:w="11910" w:h="16840"/>
          <w:pgMar w:top="1040" w:right="580" w:bottom="1180" w:left="940" w:header="860" w:footer="899" w:gutter="0"/>
          <w:cols w:space="720" w:num="1"/>
        </w:sectPr>
      </w:pPr>
      <w:r>
        <w:rPr>
          <w:color w:val="auto"/>
          <w:spacing w:val="0"/>
          <w:sz w:val="21"/>
          <w:highlight w:val="none"/>
        </w:rPr>
        <w:t>具体协审内容和要求在《协审项目</w:t>
      </w:r>
      <w:r>
        <w:rPr>
          <w:rFonts w:hint="eastAsia"/>
          <w:color w:val="auto"/>
          <w:spacing w:val="0"/>
          <w:sz w:val="21"/>
          <w:highlight w:val="none"/>
          <w:lang w:eastAsia="zh-CN"/>
        </w:rPr>
        <w:t>审核委托协议书</w:t>
      </w:r>
      <w:r>
        <w:rPr>
          <w:color w:val="auto"/>
          <w:spacing w:val="0"/>
          <w:sz w:val="21"/>
          <w:highlight w:val="none"/>
        </w:rPr>
        <w:t>》中另行</w:t>
      </w:r>
      <w:r>
        <w:rPr>
          <w:rFonts w:hint="eastAsia"/>
          <w:color w:val="auto"/>
          <w:spacing w:val="0"/>
          <w:sz w:val="21"/>
          <w:highlight w:val="none"/>
          <w:lang w:eastAsia="zh-CN"/>
        </w:rPr>
        <w:t>约定。</w:t>
      </w:r>
    </w:p>
    <w:p w14:paraId="0DD76943">
      <w:pPr>
        <w:kinsoku/>
        <w:topLinePunct/>
        <w:autoSpaceDE/>
        <w:autoSpaceDN/>
        <w:spacing w:line="348" w:lineRule="auto"/>
        <w:ind w:right="86" w:rightChars="41"/>
        <w:rPr>
          <w:rFonts w:ascii="宋体" w:cs="宋体"/>
          <w:b/>
          <w:bCs/>
          <w:color w:val="auto"/>
          <w:highlight w:val="none"/>
        </w:rPr>
      </w:pPr>
    </w:p>
    <w:p w14:paraId="4908A51B">
      <w:pPr>
        <w:pStyle w:val="2"/>
        <w:kinsoku/>
        <w:topLinePunct/>
        <w:autoSpaceDE/>
        <w:autoSpaceDN/>
        <w:ind w:right="86" w:rightChars="41"/>
        <w:rPr>
          <w:rFonts w:ascii="宋体" w:cs="宋体"/>
          <w:color w:val="auto"/>
          <w:highlight w:val="none"/>
        </w:rPr>
      </w:pPr>
      <w:bookmarkStart w:id="3" w:name="_Toc3589"/>
      <w:r>
        <w:rPr>
          <w:rFonts w:hint="eastAsia" w:ascii="宋体" w:hAnsi="宋体" w:cs="宋体"/>
          <w:color w:val="auto"/>
          <w:highlight w:val="none"/>
        </w:rPr>
        <w:t>第三章供应商须知</w:t>
      </w:r>
      <w:bookmarkEnd w:id="3"/>
    </w:p>
    <w:p w14:paraId="22715502">
      <w:pPr>
        <w:kinsoku/>
        <w:topLinePunct/>
        <w:autoSpaceDE/>
        <w:autoSpaceDN/>
        <w:spacing w:before="277" w:line="219" w:lineRule="auto"/>
        <w:ind w:left="3751" w:right="86" w:rightChars="41"/>
        <w:rPr>
          <w:rFonts w:ascii="宋体" w:cs="宋体"/>
          <w:color w:val="auto"/>
          <w:sz w:val="24"/>
          <w:szCs w:val="24"/>
          <w:highlight w:val="none"/>
        </w:rPr>
      </w:pPr>
      <w:bookmarkStart w:id="4" w:name="_bookmark3"/>
      <w:bookmarkEnd w:id="4"/>
      <w:r>
        <w:rPr>
          <w:rFonts w:hint="eastAsia" w:ascii="宋体" w:hAnsi="宋体" w:cs="宋体"/>
          <w:color w:val="auto"/>
          <w:sz w:val="24"/>
          <w:szCs w:val="24"/>
          <w:highlight w:val="none"/>
        </w:rPr>
        <w:t>供应商须知前附表</w:t>
      </w:r>
    </w:p>
    <w:p w14:paraId="225DCBD0">
      <w:pPr>
        <w:kinsoku/>
        <w:topLinePunct/>
        <w:autoSpaceDE/>
        <w:autoSpaceDN/>
        <w:ind w:right="86" w:rightChars="41"/>
        <w:rPr>
          <w:rFonts w:ascii="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92"/>
        <w:gridCol w:w="1784"/>
        <w:gridCol w:w="6641"/>
      </w:tblGrid>
      <w:tr w14:paraId="45C8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39543C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条款号</w:t>
            </w:r>
          </w:p>
        </w:tc>
        <w:tc>
          <w:tcPr>
            <w:tcW w:w="1784" w:type="dxa"/>
            <w:vAlign w:val="center"/>
          </w:tcPr>
          <w:p w14:paraId="43EB8100">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要点</w:t>
            </w:r>
          </w:p>
        </w:tc>
        <w:tc>
          <w:tcPr>
            <w:tcW w:w="6641" w:type="dxa"/>
            <w:vAlign w:val="center"/>
          </w:tcPr>
          <w:p w14:paraId="3E77C9E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内容、要求</w:t>
            </w:r>
          </w:p>
        </w:tc>
      </w:tr>
      <w:tr w14:paraId="7F1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872" w:hRule="atLeast"/>
          <w:jc w:val="center"/>
        </w:trPr>
        <w:tc>
          <w:tcPr>
            <w:tcW w:w="1092" w:type="dxa"/>
            <w:vAlign w:val="center"/>
          </w:tcPr>
          <w:p w14:paraId="09322A4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1.3.1</w:t>
            </w:r>
          </w:p>
        </w:tc>
        <w:tc>
          <w:tcPr>
            <w:tcW w:w="1784" w:type="dxa"/>
            <w:vAlign w:val="center"/>
          </w:tcPr>
          <w:p w14:paraId="2FAA925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基本信息</w:t>
            </w:r>
          </w:p>
        </w:tc>
        <w:tc>
          <w:tcPr>
            <w:tcW w:w="6641" w:type="dxa"/>
            <w:vAlign w:val="center"/>
          </w:tcPr>
          <w:p w14:paraId="121A14F1">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防城港市防城区财政投资评审框架协议服务采购</w:t>
            </w:r>
          </w:p>
          <w:p w14:paraId="2184F275">
            <w:pPr>
              <w:kinsoku/>
              <w:topLinePunct/>
              <w:autoSpaceDE/>
              <w:autoSpaceDN/>
              <w:spacing w:line="288" w:lineRule="auto"/>
              <w:ind w:right="86" w:rightChars="41"/>
              <w:jc w:val="both"/>
              <w:rPr>
                <w:rFonts w:asci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lang w:eastAsia="zh-CN"/>
              </w:rPr>
              <w:t>FCZC2025-K3-030003-QHJS</w:t>
            </w:r>
          </w:p>
        </w:tc>
      </w:tr>
      <w:tr w14:paraId="518E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27641D1">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1.3.2</w:t>
            </w:r>
          </w:p>
        </w:tc>
        <w:tc>
          <w:tcPr>
            <w:tcW w:w="1784" w:type="dxa"/>
            <w:vAlign w:val="center"/>
          </w:tcPr>
          <w:p w14:paraId="65024D5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采购方式</w:t>
            </w:r>
          </w:p>
        </w:tc>
        <w:tc>
          <w:tcPr>
            <w:tcW w:w="6641" w:type="dxa"/>
            <w:vAlign w:val="center"/>
          </w:tcPr>
          <w:p w14:paraId="6BA6FB1F">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封闭式框架协议采购</w:t>
            </w:r>
          </w:p>
        </w:tc>
      </w:tr>
      <w:tr w14:paraId="3008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7BE4C8">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1.4.1</w:t>
            </w:r>
          </w:p>
        </w:tc>
        <w:tc>
          <w:tcPr>
            <w:tcW w:w="1784" w:type="dxa"/>
            <w:vAlign w:val="center"/>
          </w:tcPr>
          <w:p w14:paraId="61697454">
            <w:pPr>
              <w:kinsoku/>
              <w:topLinePunct/>
              <w:autoSpaceDE/>
              <w:autoSpaceDN/>
              <w:spacing w:line="288" w:lineRule="auto"/>
              <w:ind w:right="86" w:rightChars="41" w:hanging="103"/>
              <w:jc w:val="center"/>
              <w:rPr>
                <w:rFonts w:ascii="宋体" w:cs="宋体"/>
                <w:color w:val="auto"/>
                <w:highlight w:val="none"/>
              </w:rPr>
            </w:pPr>
            <w:r>
              <w:rPr>
                <w:rFonts w:hint="eastAsia" w:ascii="宋体" w:hAnsi="宋体" w:cs="宋体"/>
                <w:color w:val="auto"/>
                <w:highlight w:val="none"/>
              </w:rPr>
              <w:t>供应商资格条件</w:t>
            </w:r>
          </w:p>
        </w:tc>
        <w:tc>
          <w:tcPr>
            <w:tcW w:w="6641" w:type="dxa"/>
            <w:vAlign w:val="center"/>
          </w:tcPr>
          <w:p w14:paraId="28F4EEC0">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详见征集公告</w:t>
            </w:r>
          </w:p>
        </w:tc>
      </w:tr>
      <w:tr w14:paraId="0EE9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9952F4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1.4.3</w:t>
            </w:r>
          </w:p>
        </w:tc>
        <w:tc>
          <w:tcPr>
            <w:tcW w:w="1784" w:type="dxa"/>
            <w:vAlign w:val="center"/>
          </w:tcPr>
          <w:p w14:paraId="61C8490D">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联合体</w:t>
            </w:r>
          </w:p>
        </w:tc>
        <w:tc>
          <w:tcPr>
            <w:tcW w:w="6641" w:type="dxa"/>
            <w:vAlign w:val="center"/>
          </w:tcPr>
          <w:p w14:paraId="57CF7D37">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w:t>
            </w:r>
          </w:p>
        </w:tc>
      </w:tr>
      <w:tr w14:paraId="40C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DC0C8BC">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1.5</w:t>
            </w:r>
          </w:p>
        </w:tc>
        <w:tc>
          <w:tcPr>
            <w:tcW w:w="1784" w:type="dxa"/>
            <w:vAlign w:val="center"/>
          </w:tcPr>
          <w:p w14:paraId="44E54CE2">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踏勘</w:t>
            </w:r>
          </w:p>
        </w:tc>
        <w:tc>
          <w:tcPr>
            <w:tcW w:w="6641" w:type="dxa"/>
            <w:vAlign w:val="center"/>
          </w:tcPr>
          <w:p w14:paraId="4DEBA1E5">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3B1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01E43E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1.6.1</w:t>
            </w:r>
          </w:p>
        </w:tc>
        <w:tc>
          <w:tcPr>
            <w:tcW w:w="1784" w:type="dxa"/>
            <w:vAlign w:val="center"/>
          </w:tcPr>
          <w:p w14:paraId="5069D5C4">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转包</w:t>
            </w:r>
          </w:p>
        </w:tc>
        <w:tc>
          <w:tcPr>
            <w:tcW w:w="6641" w:type="dxa"/>
            <w:vAlign w:val="center"/>
          </w:tcPr>
          <w:p w14:paraId="467E289F">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不允许转包</w:t>
            </w:r>
          </w:p>
        </w:tc>
      </w:tr>
      <w:tr w14:paraId="406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50CBA04">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1.6.2</w:t>
            </w:r>
          </w:p>
        </w:tc>
        <w:tc>
          <w:tcPr>
            <w:tcW w:w="1784" w:type="dxa"/>
            <w:vAlign w:val="center"/>
          </w:tcPr>
          <w:p w14:paraId="0ED5D940">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分包</w:t>
            </w:r>
          </w:p>
        </w:tc>
        <w:tc>
          <w:tcPr>
            <w:tcW w:w="6641" w:type="dxa"/>
            <w:vAlign w:val="center"/>
          </w:tcPr>
          <w:p w14:paraId="2F2C1A9B">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不允许分包</w:t>
            </w:r>
          </w:p>
        </w:tc>
      </w:tr>
      <w:tr w14:paraId="3463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3F7F3E6">
            <w:pPr>
              <w:kinsoku/>
              <w:topLinePunct/>
              <w:autoSpaceDE/>
              <w:autoSpaceDN/>
              <w:spacing w:line="288" w:lineRule="auto"/>
              <w:ind w:right="86" w:rightChars="41"/>
              <w:jc w:val="center"/>
              <w:rPr>
                <w:rFonts w:ascii="宋体" w:cs="宋体"/>
                <w:color w:val="auto"/>
                <w:highlight w:val="none"/>
              </w:rPr>
            </w:pPr>
          </w:p>
          <w:p w14:paraId="6F806CF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2.1.3</w:t>
            </w:r>
          </w:p>
        </w:tc>
        <w:tc>
          <w:tcPr>
            <w:tcW w:w="1784" w:type="dxa"/>
            <w:vAlign w:val="center"/>
          </w:tcPr>
          <w:p w14:paraId="78452AE1">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征集文件澄清、修改</w:t>
            </w:r>
          </w:p>
        </w:tc>
        <w:tc>
          <w:tcPr>
            <w:tcW w:w="6641" w:type="dxa"/>
            <w:vAlign w:val="center"/>
          </w:tcPr>
          <w:p w14:paraId="7FAE9552">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在征集公告发布媒介发布</w:t>
            </w:r>
            <w:r>
              <w:rPr>
                <w:rFonts w:hint="eastAsia" w:ascii="宋体" w:hAnsi="宋体" w:cs="宋体"/>
                <w:color w:val="auto"/>
                <w:highlight w:val="none"/>
                <w:lang w:eastAsia="zh-CN"/>
              </w:rPr>
              <w:t>。</w:t>
            </w:r>
          </w:p>
        </w:tc>
      </w:tr>
      <w:tr w14:paraId="49C9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09C217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2.1.3</w:t>
            </w:r>
          </w:p>
        </w:tc>
        <w:tc>
          <w:tcPr>
            <w:tcW w:w="1784" w:type="dxa"/>
            <w:vAlign w:val="center"/>
          </w:tcPr>
          <w:p w14:paraId="241D972E">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确认收到澄清、修改发布的方式</w:t>
            </w:r>
          </w:p>
        </w:tc>
        <w:tc>
          <w:tcPr>
            <w:tcW w:w="6641" w:type="dxa"/>
            <w:vAlign w:val="center"/>
          </w:tcPr>
          <w:p w14:paraId="5BEEC8AD">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澄清、修改文件自征集公告发布媒体发布之日起，视为供应商已收到该澄清、修改。供应商未及时关注征集公告发布媒体造成的损失，由供应商自行负责。</w:t>
            </w:r>
          </w:p>
        </w:tc>
      </w:tr>
      <w:tr w14:paraId="6F0C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5226BC0A">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2.2.4</w:t>
            </w:r>
          </w:p>
        </w:tc>
        <w:tc>
          <w:tcPr>
            <w:tcW w:w="1784" w:type="dxa"/>
            <w:vAlign w:val="center"/>
          </w:tcPr>
          <w:p w14:paraId="753E91C3">
            <w:pPr>
              <w:kinsoku/>
              <w:topLinePunct/>
              <w:autoSpaceDE/>
              <w:autoSpaceDN/>
              <w:spacing w:line="288" w:lineRule="auto"/>
              <w:ind w:right="86" w:rightChars="41" w:hanging="306"/>
              <w:jc w:val="center"/>
              <w:rPr>
                <w:rFonts w:asci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有效期</w:t>
            </w:r>
          </w:p>
        </w:tc>
        <w:tc>
          <w:tcPr>
            <w:tcW w:w="6641" w:type="dxa"/>
            <w:vAlign w:val="center"/>
          </w:tcPr>
          <w:p w14:paraId="0514EA24">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响应截止之日起</w:t>
            </w:r>
            <w:r>
              <w:rPr>
                <w:rFonts w:ascii="宋体" w:hAnsi="宋体" w:cs="宋体"/>
                <w:color w:val="auto"/>
                <w:highlight w:val="none"/>
              </w:rPr>
              <w:t>90</w:t>
            </w:r>
            <w:r>
              <w:rPr>
                <w:rFonts w:hint="eastAsia" w:ascii="宋体" w:hAnsi="宋体" w:cs="宋体"/>
                <w:color w:val="auto"/>
                <w:highlight w:val="none"/>
              </w:rPr>
              <w:t>天。</w:t>
            </w:r>
          </w:p>
        </w:tc>
      </w:tr>
      <w:tr w14:paraId="4C27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22" w:hRule="atLeast"/>
          <w:jc w:val="center"/>
        </w:trPr>
        <w:tc>
          <w:tcPr>
            <w:tcW w:w="1092" w:type="dxa"/>
            <w:vAlign w:val="center"/>
          </w:tcPr>
          <w:p w14:paraId="02FAE46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2.2.5</w:t>
            </w:r>
          </w:p>
        </w:tc>
        <w:tc>
          <w:tcPr>
            <w:tcW w:w="1784" w:type="dxa"/>
            <w:vAlign w:val="center"/>
          </w:tcPr>
          <w:p w14:paraId="1A7E17BB">
            <w:pPr>
              <w:kinsoku/>
              <w:topLinePunct/>
              <w:autoSpaceDE/>
              <w:autoSpaceDN/>
              <w:spacing w:line="288" w:lineRule="auto"/>
              <w:ind w:right="86" w:rightChars="41" w:hanging="305"/>
              <w:jc w:val="center"/>
              <w:rPr>
                <w:rFonts w:asci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保证金</w:t>
            </w:r>
          </w:p>
        </w:tc>
        <w:tc>
          <w:tcPr>
            <w:tcW w:w="6641" w:type="dxa"/>
            <w:vAlign w:val="center"/>
          </w:tcPr>
          <w:p w14:paraId="38B5FD4B">
            <w:pPr>
              <w:widowControl w:val="0"/>
              <w:kinsoku/>
              <w:topLinePunct/>
              <w:autoSpaceDE/>
              <w:autoSpaceDN/>
              <w:adjustRightInd/>
              <w:snapToGrid/>
              <w:spacing w:line="288" w:lineRule="auto"/>
              <w:ind w:right="86" w:rightChars="41"/>
              <w:jc w:val="both"/>
              <w:textAlignment w:val="auto"/>
              <w:rPr>
                <w:rFonts w:ascii="宋体" w:cs="宋体"/>
                <w:color w:val="auto"/>
                <w:highlight w:val="none"/>
              </w:rPr>
            </w:pPr>
            <w:r>
              <w:rPr>
                <w:rFonts w:hint="eastAsia" w:ascii="宋体" w:hAnsi="宋体" w:cs="宋体"/>
                <w:color w:val="auto"/>
                <w:highlight w:val="none"/>
              </w:rPr>
              <w:sym w:font="Wingdings" w:char="00FE"/>
            </w:r>
            <w:r>
              <w:rPr>
                <w:rFonts w:hint="eastAsia" w:ascii="宋体" w:hAnsi="宋体" w:cs="宋体"/>
                <w:color w:val="auto"/>
                <w:highlight w:val="none"/>
              </w:rPr>
              <w:t>本项目不收取响应保证金。</w:t>
            </w:r>
          </w:p>
          <w:p w14:paraId="58B6C694">
            <w:pPr>
              <w:widowControl w:val="0"/>
              <w:kinsoku/>
              <w:topLinePunct/>
              <w:autoSpaceDE/>
              <w:autoSpaceDN/>
              <w:adjustRightInd/>
              <w:snapToGrid/>
              <w:spacing w:line="288" w:lineRule="auto"/>
              <w:ind w:right="86" w:rightChars="41"/>
              <w:jc w:val="both"/>
              <w:textAlignment w:val="auto"/>
              <w:rPr>
                <w:rFonts w:asci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本项目收取响应保证金。</w:t>
            </w:r>
          </w:p>
        </w:tc>
      </w:tr>
      <w:tr w14:paraId="1E6C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5AFE98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2.2.6</w:t>
            </w:r>
          </w:p>
        </w:tc>
        <w:tc>
          <w:tcPr>
            <w:tcW w:w="1784" w:type="dxa"/>
            <w:vAlign w:val="center"/>
          </w:tcPr>
          <w:p w14:paraId="2FE11FF4">
            <w:pPr>
              <w:kinsoku/>
              <w:topLinePunct/>
              <w:autoSpaceDE/>
              <w:autoSpaceDN/>
              <w:spacing w:line="288" w:lineRule="auto"/>
              <w:ind w:right="86" w:rightChars="41" w:hanging="109"/>
              <w:jc w:val="center"/>
              <w:rPr>
                <w:rFonts w:ascii="宋体" w:cs="宋体"/>
                <w:color w:val="auto"/>
                <w:highlight w:val="none"/>
              </w:rPr>
            </w:pPr>
            <w:r>
              <w:rPr>
                <w:rFonts w:hint="eastAsia" w:ascii="宋体" w:hAnsi="宋体" w:cs="宋体"/>
                <w:color w:val="auto"/>
                <w:highlight w:val="none"/>
              </w:rPr>
              <w:t>响应文件的编制</w:t>
            </w:r>
          </w:p>
        </w:tc>
        <w:tc>
          <w:tcPr>
            <w:tcW w:w="6641" w:type="dxa"/>
            <w:vAlign w:val="center"/>
          </w:tcPr>
          <w:p w14:paraId="7737C95D">
            <w:pPr>
              <w:kinsoku/>
              <w:topLinePunct/>
              <w:autoSpaceDE/>
              <w:autoSpaceDN/>
              <w:spacing w:line="288" w:lineRule="auto"/>
              <w:ind w:right="86" w:rightChars="41" w:firstLine="9"/>
              <w:jc w:val="both"/>
              <w:rPr>
                <w:rFonts w:ascii="宋体" w:cs="宋体"/>
                <w:color w:val="auto"/>
                <w:highlight w:val="none"/>
              </w:rPr>
            </w:pPr>
            <w:r>
              <w:rPr>
                <w:rFonts w:hint="eastAsia" w:ascii="宋体" w:hAnsi="宋体" w:cs="宋体"/>
                <w:color w:val="auto"/>
                <w:highlight w:val="none"/>
              </w:rPr>
              <w:t>响应文件应按第七章响应文件格式分别编制并使用下载的政采云响应客户端制作并上传。</w:t>
            </w:r>
          </w:p>
        </w:tc>
      </w:tr>
      <w:tr w14:paraId="560A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53" w:hRule="atLeast"/>
          <w:jc w:val="center"/>
        </w:trPr>
        <w:tc>
          <w:tcPr>
            <w:tcW w:w="1092" w:type="dxa"/>
            <w:vAlign w:val="center"/>
          </w:tcPr>
          <w:p w14:paraId="5D8F1EC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2.2.7</w:t>
            </w:r>
          </w:p>
        </w:tc>
        <w:tc>
          <w:tcPr>
            <w:tcW w:w="1784" w:type="dxa"/>
            <w:vAlign w:val="center"/>
          </w:tcPr>
          <w:p w14:paraId="586A695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响应文件递交截止时间及截</w:t>
            </w:r>
          </w:p>
          <w:p w14:paraId="7D0D890D">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标时间</w:t>
            </w:r>
          </w:p>
        </w:tc>
        <w:tc>
          <w:tcPr>
            <w:tcW w:w="6641" w:type="dxa"/>
            <w:vAlign w:val="center"/>
          </w:tcPr>
          <w:p w14:paraId="1743EA02">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见征集公告要求。</w:t>
            </w:r>
          </w:p>
        </w:tc>
      </w:tr>
      <w:tr w14:paraId="0E69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08CF8EA">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2.3.2.3</w:t>
            </w:r>
          </w:p>
        </w:tc>
        <w:tc>
          <w:tcPr>
            <w:tcW w:w="1784" w:type="dxa"/>
            <w:vAlign w:val="center"/>
          </w:tcPr>
          <w:p w14:paraId="3ED6BA3D">
            <w:pPr>
              <w:kinsoku/>
              <w:topLinePunct/>
              <w:autoSpaceDE/>
              <w:autoSpaceDN/>
              <w:spacing w:line="288" w:lineRule="auto"/>
              <w:ind w:right="86" w:rightChars="41" w:hanging="207"/>
              <w:jc w:val="center"/>
              <w:rPr>
                <w:rFonts w:ascii="宋体" w:cs="宋体"/>
                <w:color w:val="auto"/>
                <w:highlight w:val="none"/>
              </w:rPr>
            </w:pPr>
            <w:r>
              <w:rPr>
                <w:rFonts w:hint="eastAsia" w:ascii="宋体" w:hAnsi="宋体" w:cs="宋体"/>
                <w:color w:val="auto"/>
                <w:highlight w:val="none"/>
              </w:rPr>
              <w:t>备份响应文件</w:t>
            </w:r>
          </w:p>
        </w:tc>
        <w:tc>
          <w:tcPr>
            <w:tcW w:w="6641" w:type="dxa"/>
            <w:vAlign w:val="center"/>
          </w:tcPr>
          <w:p w14:paraId="2F9B54E7">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rPr>
              <w:sym w:font="Wingdings" w:char="00A8"/>
            </w:r>
            <w:r>
              <w:rPr>
                <w:rFonts w:hint="eastAsia" w:ascii="宋体" w:hAnsi="宋体" w:cs="宋体"/>
                <w:color w:val="auto"/>
                <w:highlight w:val="none"/>
              </w:rPr>
              <w:t>接受</w:t>
            </w:r>
            <w:r>
              <w:rPr>
                <w:rFonts w:hint="eastAsia" w:ascii="宋体" w:hAnsi="宋体" w:cs="宋体"/>
                <w:color w:val="auto"/>
                <w:highlight w:val="none"/>
              </w:rPr>
              <w:sym w:font="Wingdings" w:char="00FE"/>
            </w:r>
            <w:r>
              <w:rPr>
                <w:rFonts w:hint="eastAsia" w:ascii="宋体" w:hAnsi="宋体" w:cs="宋体"/>
                <w:color w:val="auto"/>
                <w:highlight w:val="none"/>
              </w:rPr>
              <w:t>不接受备份响应文件</w:t>
            </w:r>
          </w:p>
        </w:tc>
      </w:tr>
      <w:tr w14:paraId="7CF2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933F2F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2.3.3</w:t>
            </w:r>
          </w:p>
        </w:tc>
        <w:tc>
          <w:tcPr>
            <w:tcW w:w="1784" w:type="dxa"/>
            <w:vAlign w:val="center"/>
          </w:tcPr>
          <w:p w14:paraId="707FCAB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演示</w:t>
            </w:r>
          </w:p>
        </w:tc>
        <w:tc>
          <w:tcPr>
            <w:tcW w:w="6641" w:type="dxa"/>
            <w:vAlign w:val="center"/>
          </w:tcPr>
          <w:p w14:paraId="1C4DC19B">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sz w:val="22"/>
                <w:szCs w:val="22"/>
                <w:highlight w:val="none"/>
              </w:rPr>
              <w:t>无。</w:t>
            </w:r>
          </w:p>
        </w:tc>
      </w:tr>
      <w:tr w14:paraId="5BCF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CB0A2FC">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2.5.1</w:t>
            </w:r>
          </w:p>
        </w:tc>
        <w:tc>
          <w:tcPr>
            <w:tcW w:w="1784" w:type="dxa"/>
            <w:vAlign w:val="center"/>
          </w:tcPr>
          <w:p w14:paraId="5544E792">
            <w:pPr>
              <w:kinsoku/>
              <w:topLinePunct/>
              <w:autoSpaceDE/>
              <w:autoSpaceDN/>
              <w:spacing w:line="288" w:lineRule="auto"/>
              <w:ind w:right="86" w:rightChars="41" w:hanging="216"/>
              <w:jc w:val="right"/>
              <w:rPr>
                <w:rFonts w:hint="eastAsia" w:ascii="宋体" w:hAnsi="宋体" w:cs="宋体"/>
                <w:color w:val="auto"/>
                <w:highlight w:val="none"/>
              </w:rPr>
            </w:pPr>
            <w:r>
              <w:rPr>
                <w:rFonts w:hint="eastAsia" w:ascii="宋体" w:hAnsi="宋体" w:eastAsia="宋体" w:cs="宋体"/>
                <w:b w:val="0"/>
                <w:bCs/>
                <w:snapToGrid/>
                <w:color w:val="auto"/>
                <w:kern w:val="2"/>
                <w:sz w:val="21"/>
                <w:szCs w:val="21"/>
                <w:highlight w:val="none"/>
                <w:lang w:eastAsia="zh-CN"/>
              </w:rPr>
              <w:t>组建评审委员会</w:t>
            </w:r>
          </w:p>
        </w:tc>
        <w:tc>
          <w:tcPr>
            <w:tcW w:w="6641" w:type="dxa"/>
            <w:vAlign w:val="center"/>
          </w:tcPr>
          <w:p w14:paraId="703FD18E">
            <w:pPr>
              <w:kinsoku/>
              <w:topLinePunct/>
              <w:autoSpaceDE/>
              <w:autoSpaceDN/>
              <w:spacing w:line="288" w:lineRule="auto"/>
              <w:ind w:right="86" w:rightChars="41" w:hanging="18"/>
              <w:jc w:val="both"/>
              <w:rPr>
                <w:rFonts w:hint="eastAsia" w:ascii="宋体" w:hAnsi="宋体" w:cs="宋体"/>
                <w:color w:val="auto"/>
                <w:highlight w:val="none"/>
              </w:rPr>
            </w:pPr>
            <w:r>
              <w:rPr>
                <w:rFonts w:hint="eastAsia" w:ascii="宋体" w:hAnsi="宋体" w:eastAsia="宋体" w:cs="宋体"/>
                <w:b w:val="0"/>
                <w:bCs/>
                <w:snapToGrid/>
                <w:color w:val="auto"/>
                <w:kern w:val="2"/>
                <w:sz w:val="21"/>
                <w:szCs w:val="21"/>
                <w:highlight w:val="none"/>
                <w:lang w:eastAsia="zh-CN"/>
              </w:rPr>
              <w:t>评审委员会的人数：</w:t>
            </w:r>
            <w:r>
              <w:rPr>
                <w:rFonts w:hint="eastAsia" w:ascii="宋体" w:hAnsi="宋体" w:cs="宋体"/>
                <w:b w:val="0"/>
                <w:bCs/>
                <w:snapToGrid/>
                <w:color w:val="auto"/>
                <w:kern w:val="2"/>
                <w:sz w:val="21"/>
                <w:szCs w:val="21"/>
                <w:highlight w:val="none"/>
                <w:lang w:val="en-US" w:eastAsia="zh-CN"/>
              </w:rPr>
              <w:t>7</w:t>
            </w:r>
            <w:r>
              <w:rPr>
                <w:rFonts w:hint="eastAsia" w:ascii="宋体" w:hAnsi="宋体" w:eastAsia="宋体" w:cs="宋体"/>
                <w:b w:val="0"/>
                <w:bCs/>
                <w:snapToGrid/>
                <w:color w:val="auto"/>
                <w:kern w:val="2"/>
                <w:sz w:val="21"/>
                <w:szCs w:val="21"/>
                <w:highlight w:val="none"/>
                <w:lang w:eastAsia="zh-CN"/>
              </w:rPr>
              <w:t>人，其中采购人代表</w:t>
            </w:r>
            <w:r>
              <w:rPr>
                <w:rFonts w:hint="eastAsia" w:ascii="宋体" w:hAnsi="宋体" w:cs="宋体"/>
                <w:b w:val="0"/>
                <w:bCs/>
                <w:snapToGrid/>
                <w:color w:val="auto"/>
                <w:kern w:val="2"/>
                <w:sz w:val="21"/>
                <w:szCs w:val="21"/>
                <w:highlight w:val="none"/>
                <w:lang w:val="en-US" w:eastAsia="zh-CN"/>
              </w:rPr>
              <w:t>2</w:t>
            </w:r>
            <w:r>
              <w:rPr>
                <w:rFonts w:hint="eastAsia" w:ascii="宋体" w:hAnsi="宋体" w:eastAsia="宋体" w:cs="宋体"/>
                <w:b w:val="0"/>
                <w:bCs/>
                <w:snapToGrid/>
                <w:color w:val="auto"/>
                <w:kern w:val="2"/>
                <w:sz w:val="21"/>
                <w:szCs w:val="21"/>
                <w:highlight w:val="none"/>
                <w:lang w:eastAsia="zh-CN"/>
              </w:rPr>
              <w:t>名、评审专家</w:t>
            </w:r>
            <w:r>
              <w:rPr>
                <w:rFonts w:hint="eastAsia" w:ascii="宋体" w:hAnsi="宋体" w:cs="宋体"/>
                <w:b w:val="0"/>
                <w:bCs/>
                <w:snapToGrid/>
                <w:color w:val="auto"/>
                <w:kern w:val="2"/>
                <w:sz w:val="21"/>
                <w:szCs w:val="21"/>
                <w:highlight w:val="none"/>
                <w:lang w:val="en-US" w:eastAsia="zh-CN"/>
              </w:rPr>
              <w:t>5</w:t>
            </w:r>
            <w:r>
              <w:rPr>
                <w:rFonts w:hint="eastAsia" w:ascii="宋体" w:hAnsi="宋体" w:eastAsia="宋体" w:cs="宋体"/>
                <w:b w:val="0"/>
                <w:bCs/>
                <w:snapToGrid/>
                <w:color w:val="auto"/>
                <w:kern w:val="2"/>
                <w:sz w:val="21"/>
                <w:szCs w:val="21"/>
                <w:highlight w:val="none"/>
                <w:lang w:eastAsia="zh-CN"/>
              </w:rPr>
              <w:t>名。</w:t>
            </w:r>
          </w:p>
        </w:tc>
      </w:tr>
      <w:tr w14:paraId="4C0D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DBB62D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2.5.5</w:t>
            </w:r>
          </w:p>
        </w:tc>
        <w:tc>
          <w:tcPr>
            <w:tcW w:w="1784" w:type="dxa"/>
            <w:vAlign w:val="center"/>
          </w:tcPr>
          <w:p w14:paraId="17CBBC84">
            <w:pPr>
              <w:kinsoku/>
              <w:topLinePunct/>
              <w:autoSpaceDE/>
              <w:autoSpaceDN/>
              <w:spacing w:line="288" w:lineRule="auto"/>
              <w:ind w:right="86" w:rightChars="41" w:hanging="216"/>
              <w:jc w:val="center"/>
              <w:rPr>
                <w:rFonts w:ascii="宋体" w:cs="宋体"/>
                <w:color w:val="auto"/>
                <w:highlight w:val="none"/>
              </w:rPr>
            </w:pPr>
            <w:r>
              <w:rPr>
                <w:rFonts w:hint="eastAsia" w:ascii="宋体" w:hAnsi="宋体" w:cs="宋体"/>
                <w:color w:val="auto"/>
                <w:highlight w:val="none"/>
              </w:rPr>
              <w:t>入围结果公告</w:t>
            </w:r>
          </w:p>
        </w:tc>
        <w:tc>
          <w:tcPr>
            <w:tcW w:w="6641" w:type="dxa"/>
            <w:vAlign w:val="center"/>
          </w:tcPr>
          <w:p w14:paraId="5011AD46">
            <w:pPr>
              <w:kinsoku/>
              <w:topLinePunct/>
              <w:autoSpaceDE/>
              <w:autoSpaceDN/>
              <w:spacing w:line="288" w:lineRule="auto"/>
              <w:ind w:right="86" w:rightChars="41" w:hanging="18"/>
              <w:jc w:val="both"/>
              <w:rPr>
                <w:rFonts w:ascii="宋体" w:cs="宋体"/>
                <w:color w:val="auto"/>
                <w:highlight w:val="none"/>
              </w:rPr>
            </w:pPr>
            <w:r>
              <w:rPr>
                <w:rFonts w:hint="eastAsia" w:ascii="宋体" w:hAnsi="宋体" w:cs="宋体"/>
                <w:color w:val="auto"/>
                <w:highlight w:val="none"/>
              </w:rPr>
              <w:t>采购代理机构在征集人依法确认入围供应商后</w:t>
            </w:r>
            <w:r>
              <w:rPr>
                <w:rFonts w:ascii="宋体" w:hAnsi="宋体" w:cs="宋体"/>
                <w:color w:val="auto"/>
                <w:highlight w:val="none"/>
              </w:rPr>
              <w:t>2</w:t>
            </w:r>
            <w:r>
              <w:rPr>
                <w:rFonts w:hint="eastAsia" w:ascii="宋体" w:hAnsi="宋体" w:cs="宋体"/>
                <w:color w:val="auto"/>
                <w:highlight w:val="none"/>
              </w:rPr>
              <w:t>个工作日内在征集公告发布的媒体上发布入围结果公告。</w:t>
            </w:r>
          </w:p>
        </w:tc>
      </w:tr>
      <w:tr w14:paraId="2663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663" w:hRule="atLeast"/>
          <w:jc w:val="center"/>
        </w:trPr>
        <w:tc>
          <w:tcPr>
            <w:tcW w:w="1092" w:type="dxa"/>
            <w:vAlign w:val="center"/>
          </w:tcPr>
          <w:p w14:paraId="25BEC57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2.5.5.2</w:t>
            </w:r>
          </w:p>
        </w:tc>
        <w:tc>
          <w:tcPr>
            <w:tcW w:w="1784" w:type="dxa"/>
            <w:vAlign w:val="center"/>
          </w:tcPr>
          <w:p w14:paraId="789B0DDF">
            <w:pPr>
              <w:kinsoku/>
              <w:topLinePunct/>
              <w:autoSpaceDE/>
              <w:autoSpaceDN/>
              <w:spacing w:line="288" w:lineRule="auto"/>
              <w:ind w:right="86" w:rightChars="41" w:hanging="319"/>
              <w:jc w:val="center"/>
              <w:rPr>
                <w:rFonts w:ascii="宋体" w:cs="宋体"/>
                <w:color w:val="auto"/>
                <w:highlight w:val="none"/>
              </w:rPr>
            </w:pPr>
            <w:r>
              <w:rPr>
                <w:rFonts w:hint="eastAsia" w:ascii="宋体" w:hAnsi="宋体" w:cs="宋体"/>
                <w:color w:val="auto"/>
                <w:highlight w:val="none"/>
              </w:rPr>
              <w:t>入围通知书</w:t>
            </w:r>
          </w:p>
        </w:tc>
        <w:tc>
          <w:tcPr>
            <w:tcW w:w="6641" w:type="dxa"/>
            <w:vAlign w:val="center"/>
          </w:tcPr>
          <w:p w14:paraId="48357F1D">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eastAsia="宋体" w:cs="宋体"/>
                <w:color w:val="auto"/>
                <w:highlight w:val="none"/>
                <w:lang w:eastAsia="zh-CN"/>
              </w:rPr>
              <w:t>在</w:t>
            </w:r>
            <w:r>
              <w:rPr>
                <w:rFonts w:hint="eastAsia" w:ascii="宋体" w:cs="宋体"/>
                <w:color w:val="auto"/>
                <w:highlight w:val="none"/>
                <w:lang w:val="en-US" w:eastAsia="zh-CN"/>
              </w:rPr>
              <w:t>发布</w:t>
            </w:r>
            <w:r>
              <w:rPr>
                <w:rFonts w:hint="eastAsia" w:ascii="宋体" w:eastAsia="宋体" w:cs="宋体"/>
                <w:color w:val="auto"/>
                <w:highlight w:val="none"/>
                <w:lang w:eastAsia="zh-CN"/>
              </w:rPr>
              <w:t>入围结果</w:t>
            </w:r>
            <w:r>
              <w:rPr>
                <w:rFonts w:hint="eastAsia" w:ascii="宋体" w:cs="宋体"/>
                <w:color w:val="auto"/>
                <w:highlight w:val="none"/>
                <w:lang w:val="en-US" w:eastAsia="zh-CN"/>
              </w:rPr>
              <w:t>公告</w:t>
            </w:r>
            <w:r>
              <w:rPr>
                <w:rFonts w:hint="eastAsia" w:ascii="宋体" w:eastAsia="宋体" w:cs="宋体"/>
                <w:color w:val="auto"/>
                <w:highlight w:val="none"/>
                <w:lang w:eastAsia="zh-CN"/>
              </w:rPr>
              <w:t>的同时向供应商发出</w:t>
            </w:r>
            <w:r>
              <w:rPr>
                <w:rFonts w:hint="eastAsia" w:ascii="宋体" w:hAnsi="宋体" w:cs="宋体"/>
                <w:color w:val="auto"/>
                <w:highlight w:val="none"/>
              </w:rPr>
              <w:t>入围通知书</w:t>
            </w:r>
            <w:r>
              <w:rPr>
                <w:rFonts w:hint="eastAsia" w:ascii="宋体" w:eastAsia="宋体" w:cs="宋体"/>
                <w:color w:val="auto"/>
                <w:highlight w:val="none"/>
                <w:lang w:eastAsia="zh-CN"/>
              </w:rPr>
              <w:t>。</w:t>
            </w:r>
            <w:r>
              <w:rPr>
                <w:rFonts w:hint="eastAsia" w:ascii="宋体" w:cs="宋体"/>
                <w:color w:val="auto"/>
                <w:highlight w:val="none"/>
                <w:lang w:val="en-US" w:eastAsia="zh-CN"/>
              </w:rPr>
              <w:t>入围</w:t>
            </w:r>
            <w:r>
              <w:rPr>
                <w:rFonts w:hint="eastAsia" w:ascii="宋体" w:eastAsia="宋体" w:cs="宋体"/>
                <w:color w:val="auto"/>
                <w:highlight w:val="none"/>
                <w:lang w:eastAsia="zh-CN"/>
              </w:rPr>
              <w:t>供应商应自接到通知之日起七个工作日内办理</w:t>
            </w:r>
            <w:r>
              <w:rPr>
                <w:rFonts w:hint="eastAsia" w:ascii="宋体" w:cs="宋体"/>
                <w:color w:val="auto"/>
                <w:highlight w:val="none"/>
                <w:lang w:val="en-US" w:eastAsia="zh-CN"/>
              </w:rPr>
              <w:t>入围</w:t>
            </w:r>
            <w:r>
              <w:rPr>
                <w:rFonts w:hint="eastAsia" w:ascii="宋体" w:eastAsia="宋体" w:cs="宋体"/>
                <w:color w:val="auto"/>
                <w:highlight w:val="none"/>
                <w:lang w:eastAsia="zh-CN"/>
              </w:rPr>
              <w:t>通知书领取手续，否则，采购人有权取消其</w:t>
            </w:r>
            <w:r>
              <w:rPr>
                <w:rFonts w:hint="eastAsia" w:ascii="宋体" w:cs="宋体"/>
                <w:color w:val="auto"/>
                <w:highlight w:val="none"/>
                <w:lang w:val="en-US" w:eastAsia="zh-CN"/>
              </w:rPr>
              <w:t>入围</w:t>
            </w:r>
            <w:r>
              <w:rPr>
                <w:rFonts w:hint="eastAsia" w:ascii="宋体" w:eastAsia="宋体" w:cs="宋体"/>
                <w:color w:val="auto"/>
                <w:highlight w:val="none"/>
                <w:lang w:eastAsia="zh-CN"/>
              </w:rPr>
              <w:t>资格。</w:t>
            </w:r>
          </w:p>
        </w:tc>
      </w:tr>
      <w:tr w14:paraId="1A37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F14B1B8">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2.9</w:t>
            </w:r>
          </w:p>
        </w:tc>
        <w:tc>
          <w:tcPr>
            <w:tcW w:w="1784" w:type="dxa"/>
            <w:vAlign w:val="center"/>
          </w:tcPr>
          <w:p w14:paraId="476D60CE">
            <w:pPr>
              <w:kinsoku/>
              <w:topLinePunct/>
              <w:autoSpaceDE/>
              <w:autoSpaceDN/>
              <w:spacing w:line="288" w:lineRule="auto"/>
              <w:ind w:right="86" w:rightChars="41" w:hanging="207"/>
              <w:jc w:val="center"/>
              <w:rPr>
                <w:rFonts w:ascii="宋体" w:cs="宋体"/>
                <w:color w:val="auto"/>
                <w:highlight w:val="none"/>
              </w:rPr>
            </w:pPr>
            <w:r>
              <w:rPr>
                <w:rFonts w:hint="eastAsia" w:ascii="宋体" w:hAnsi="宋体" w:cs="宋体"/>
                <w:color w:val="auto"/>
                <w:highlight w:val="none"/>
              </w:rPr>
              <w:t>征集阶段质疑</w:t>
            </w:r>
          </w:p>
        </w:tc>
        <w:tc>
          <w:tcPr>
            <w:tcW w:w="6641" w:type="dxa"/>
            <w:vAlign w:val="center"/>
          </w:tcPr>
          <w:p w14:paraId="0C32750F">
            <w:pPr>
              <w:kinsoku/>
              <w:topLinePunct/>
              <w:autoSpaceDE/>
              <w:autoSpaceDN/>
              <w:spacing w:line="288" w:lineRule="auto"/>
              <w:ind w:right="86" w:rightChars="41" w:firstLine="7"/>
              <w:jc w:val="both"/>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供应商认为征集文件、征集过程、入围结果使自己的权益受到损害的，可以在知道或者应知其权益受到损害之日起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个工作日内，通过</w:t>
            </w:r>
            <w:r>
              <w:rPr>
                <w:rFonts w:hint="eastAsia" w:ascii="宋体" w:hAnsi="宋体" w:cs="宋体"/>
                <w:color w:val="auto"/>
                <w:highlight w:val="none"/>
                <w:lang w:eastAsia="zh-CN"/>
              </w:rPr>
              <w:t>书面形式</w:t>
            </w:r>
            <w:r>
              <w:rPr>
                <w:rFonts w:hint="eastAsia" w:ascii="宋体" w:hAnsi="宋体" w:cs="宋体"/>
                <w:color w:val="auto"/>
                <w:highlight w:val="none"/>
              </w:rPr>
              <w:t>向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000E541D">
            <w:pPr>
              <w:kinsoku/>
              <w:topLinePunct/>
              <w:autoSpaceDE/>
              <w:autoSpaceDN/>
              <w:spacing w:line="288" w:lineRule="auto"/>
              <w:ind w:right="86" w:rightChars="41" w:firstLine="7"/>
              <w:jc w:val="both"/>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供应商可书面</w:t>
            </w:r>
            <w:r>
              <w:rPr>
                <w:rFonts w:hint="eastAsia" w:ascii="宋体" w:hAnsi="宋体" w:cs="宋体"/>
                <w:color w:val="auto"/>
                <w:highlight w:val="none"/>
                <w:lang w:eastAsia="zh-CN"/>
              </w:rPr>
              <w:t>形式</w:t>
            </w:r>
            <w:r>
              <w:rPr>
                <w:rFonts w:hint="eastAsia" w:ascii="宋体" w:hAnsi="宋体" w:cs="宋体"/>
                <w:color w:val="auto"/>
                <w:highlight w:val="none"/>
              </w:rPr>
              <w:t>质疑材料。供应商应于质疑有效期内将质疑函原件递交或邮寄至征集公告中采购代理机构信息中的联系人。</w:t>
            </w:r>
          </w:p>
        </w:tc>
      </w:tr>
      <w:tr w14:paraId="4E02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645C9B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2.10</w:t>
            </w:r>
          </w:p>
        </w:tc>
        <w:tc>
          <w:tcPr>
            <w:tcW w:w="1784" w:type="dxa"/>
            <w:vAlign w:val="center"/>
          </w:tcPr>
          <w:p w14:paraId="1334EF29">
            <w:pPr>
              <w:kinsoku/>
              <w:topLinePunct/>
              <w:autoSpaceDE/>
              <w:autoSpaceDN/>
              <w:spacing w:line="288" w:lineRule="auto"/>
              <w:ind w:right="86" w:rightChars="41" w:firstLine="20"/>
              <w:jc w:val="left"/>
              <w:rPr>
                <w:rFonts w:ascii="宋体" w:cs="宋体"/>
                <w:color w:val="auto"/>
                <w:highlight w:val="none"/>
              </w:rPr>
            </w:pPr>
            <w:r>
              <w:rPr>
                <w:rFonts w:hint="eastAsia" w:ascii="宋体" w:hAnsi="宋体" w:cs="宋体"/>
                <w:color w:val="auto"/>
                <w:highlight w:val="none"/>
              </w:rPr>
              <w:t>中小企业政策措施</w:t>
            </w:r>
          </w:p>
        </w:tc>
        <w:tc>
          <w:tcPr>
            <w:tcW w:w="6641" w:type="dxa"/>
            <w:vAlign w:val="center"/>
          </w:tcPr>
          <w:p w14:paraId="388E4CCA">
            <w:pPr>
              <w:kinsoku/>
              <w:topLinePunct/>
              <w:autoSpaceDE/>
              <w:autoSpaceDN/>
              <w:spacing w:line="288" w:lineRule="auto"/>
              <w:ind w:right="86" w:rightChars="41"/>
              <w:jc w:val="both"/>
              <w:rPr>
                <w:rFonts w:ascii="宋体" w:cs="宋体"/>
                <w:color w:val="auto"/>
                <w:highlight w:val="none"/>
              </w:rPr>
            </w:pPr>
            <w:r>
              <w:rPr>
                <w:rFonts w:ascii="宋体" w:cs="宋体"/>
                <w:color w:val="auto"/>
                <w:highlight w:val="none"/>
              </w:rPr>
              <w:drawing>
                <wp:inline distT="0" distB="0" distL="114300" distR="114300">
                  <wp:extent cx="114300" cy="114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color w:val="auto"/>
                <w:highlight w:val="none"/>
              </w:rPr>
              <w:t>本项目为非专门面向中小企业预留采购份额采购项目。</w:t>
            </w:r>
          </w:p>
          <w:p w14:paraId="60B9C17C">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□本项目为专门面向中小企业预留采购份额采购项目。</w:t>
            </w:r>
          </w:p>
        </w:tc>
      </w:tr>
      <w:tr w14:paraId="6C8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418461">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4.1</w:t>
            </w:r>
          </w:p>
        </w:tc>
        <w:tc>
          <w:tcPr>
            <w:tcW w:w="1784" w:type="dxa"/>
            <w:vAlign w:val="center"/>
          </w:tcPr>
          <w:p w14:paraId="3DA70026">
            <w:pPr>
              <w:kinsoku/>
              <w:topLinePunct/>
              <w:autoSpaceDE/>
              <w:autoSpaceDN/>
              <w:spacing w:line="288" w:lineRule="auto"/>
              <w:ind w:right="86" w:rightChars="41" w:hanging="326"/>
              <w:jc w:val="center"/>
              <w:rPr>
                <w:rFonts w:ascii="宋体" w:cs="宋体"/>
                <w:color w:val="auto"/>
                <w:highlight w:val="none"/>
              </w:rPr>
            </w:pPr>
            <w:r>
              <w:rPr>
                <w:rFonts w:hint="eastAsia" w:ascii="宋体" w:hAnsi="宋体" w:cs="宋体"/>
                <w:color w:val="auto"/>
                <w:highlight w:val="none"/>
              </w:rPr>
              <w:t>代理服务费</w:t>
            </w:r>
          </w:p>
        </w:tc>
        <w:tc>
          <w:tcPr>
            <w:tcW w:w="6641" w:type="dxa"/>
            <w:vAlign w:val="center"/>
          </w:tcPr>
          <w:p w14:paraId="67827178">
            <w:pPr>
              <w:kinsoku/>
              <w:topLinePunct/>
              <w:autoSpaceDE/>
              <w:autoSpaceDN/>
              <w:spacing w:line="288" w:lineRule="auto"/>
              <w:ind w:right="86" w:rightChars="41"/>
              <w:jc w:val="both"/>
              <w:rPr>
                <w:color w:val="auto"/>
              </w:rPr>
            </w:pPr>
            <w:r>
              <w:rPr>
                <w:rFonts w:hint="eastAsia"/>
                <w:color w:val="auto"/>
              </w:rPr>
              <w:t>（</w:t>
            </w:r>
            <w:r>
              <w:rPr>
                <w:color w:val="auto"/>
              </w:rPr>
              <w:t>1</w:t>
            </w:r>
            <w:r>
              <w:rPr>
                <w:rFonts w:hint="eastAsia"/>
                <w:color w:val="auto"/>
              </w:rPr>
              <w:t>）代理服务费</w:t>
            </w:r>
          </w:p>
          <w:p w14:paraId="01DB08AD">
            <w:pPr>
              <w:kinsoku/>
              <w:topLinePunct/>
              <w:autoSpaceDE/>
              <w:autoSpaceDN/>
              <w:spacing w:line="288" w:lineRule="auto"/>
              <w:ind w:right="86" w:rightChars="41"/>
              <w:jc w:val="both"/>
              <w:rPr>
                <w:color w:val="auto"/>
              </w:rPr>
            </w:pPr>
            <w:r>
              <w:rPr>
                <w:rFonts w:hint="eastAsia"/>
                <w:color w:val="auto"/>
              </w:rPr>
              <w:t>采购代理机构向入围供应商收取代理服务费，仅为收取本项目征集活动咨询服务费用，不确保入围供应商将被直接选定为成交供应商并获得承接一定规模数量项目。代理服务费具体金额为每个入围供应商分别缴纳</w:t>
            </w:r>
            <w:r>
              <w:rPr>
                <w:rFonts w:hint="eastAsia"/>
                <w:color w:val="auto"/>
                <w:lang w:val="en-US" w:eastAsia="zh-CN"/>
              </w:rPr>
              <w:t>8000</w:t>
            </w:r>
            <w:r>
              <w:rPr>
                <w:rFonts w:hint="eastAsia"/>
                <w:color w:val="auto"/>
              </w:rPr>
              <w:t>元整。</w:t>
            </w:r>
          </w:p>
          <w:p w14:paraId="51753B5E">
            <w:pPr>
              <w:numPr>
                <w:ilvl w:val="0"/>
                <w:numId w:val="9"/>
              </w:numPr>
              <w:kinsoku/>
              <w:topLinePunct/>
              <w:autoSpaceDE/>
              <w:autoSpaceDN/>
              <w:spacing w:line="288" w:lineRule="auto"/>
              <w:ind w:right="86" w:rightChars="41" w:firstLine="6"/>
              <w:jc w:val="both"/>
              <w:rPr>
                <w:rFonts w:hint="eastAsia"/>
                <w:color w:val="auto"/>
              </w:rPr>
            </w:pPr>
            <w:r>
              <w:rPr>
                <w:rFonts w:hint="eastAsia"/>
                <w:color w:val="auto"/>
              </w:rPr>
              <w:t>入围供应商在入围结果公告发布后</w:t>
            </w:r>
            <w:r>
              <w:rPr>
                <w:color w:val="auto"/>
              </w:rPr>
              <w:t>5</w:t>
            </w:r>
            <w:r>
              <w:rPr>
                <w:rFonts w:hint="eastAsia"/>
                <w:color w:val="auto"/>
              </w:rPr>
              <w:t>个工作日内以银行转账或现金形式支付代理服务费。</w:t>
            </w:r>
          </w:p>
          <w:p w14:paraId="09FD7CEE">
            <w:pPr>
              <w:pStyle w:val="21"/>
              <w:numPr>
                <w:ilvl w:val="0"/>
                <w:numId w:val="0"/>
              </w:numPr>
              <w:rPr>
                <w:rFonts w:hint="eastAsia" w:ascii="Arial" w:hAnsi="Arial" w:eastAsia="宋体" w:cs="Arial"/>
                <w:bCs w:val="0"/>
                <w:color w:val="auto"/>
                <w:spacing w:val="0"/>
                <w:kern w:val="0"/>
                <w:sz w:val="21"/>
                <w:szCs w:val="21"/>
                <w:lang w:val="en-US" w:eastAsia="zh-CN" w:bidi="ar-SA"/>
              </w:rPr>
            </w:pPr>
            <w:r>
              <w:rPr>
                <w:rFonts w:hint="eastAsia" w:ascii="Arial" w:hAnsi="Arial" w:eastAsia="宋体" w:cs="Arial"/>
                <w:bCs w:val="0"/>
                <w:color w:val="auto"/>
                <w:spacing w:val="0"/>
                <w:kern w:val="0"/>
                <w:sz w:val="21"/>
                <w:szCs w:val="21"/>
                <w:lang w:val="en-US" w:eastAsia="zh-CN" w:bidi="ar-SA"/>
              </w:rPr>
              <w:t>公司名称：</w:t>
            </w:r>
            <w:r>
              <w:rPr>
                <w:rFonts w:hint="eastAsia" w:cs="Arial"/>
                <w:bCs w:val="0"/>
                <w:color w:val="auto"/>
                <w:spacing w:val="0"/>
                <w:kern w:val="0"/>
                <w:sz w:val="21"/>
                <w:szCs w:val="21"/>
                <w:lang w:val="en-US" w:eastAsia="zh-CN" w:bidi="ar-SA"/>
              </w:rPr>
              <w:t>广西千豪建设项目管理有限公司</w:t>
            </w:r>
            <w:r>
              <w:rPr>
                <w:rFonts w:hint="eastAsia" w:ascii="Arial" w:hAnsi="Arial" w:eastAsia="宋体" w:cs="Arial"/>
                <w:bCs w:val="0"/>
                <w:color w:val="auto"/>
                <w:spacing w:val="0"/>
                <w:kern w:val="0"/>
                <w:sz w:val="21"/>
                <w:szCs w:val="21"/>
                <w:lang w:val="en-US" w:eastAsia="zh-CN" w:bidi="ar-SA"/>
              </w:rPr>
              <w:t xml:space="preserve"> </w:t>
            </w:r>
          </w:p>
          <w:p w14:paraId="78BFC461">
            <w:pPr>
              <w:pStyle w:val="21"/>
              <w:numPr>
                <w:ilvl w:val="0"/>
                <w:numId w:val="0"/>
              </w:numPr>
              <w:rPr>
                <w:rFonts w:hint="eastAsia" w:ascii="Arial" w:hAnsi="Arial" w:eastAsia="宋体" w:cs="Arial"/>
                <w:bCs w:val="0"/>
                <w:color w:val="auto"/>
                <w:spacing w:val="0"/>
                <w:kern w:val="0"/>
                <w:sz w:val="21"/>
                <w:szCs w:val="21"/>
                <w:lang w:val="en-US" w:eastAsia="zh-CN" w:bidi="ar-SA"/>
              </w:rPr>
            </w:pPr>
            <w:r>
              <w:rPr>
                <w:rFonts w:hint="eastAsia" w:ascii="Arial" w:hAnsi="Arial" w:eastAsia="宋体" w:cs="Arial"/>
                <w:bCs w:val="0"/>
                <w:color w:val="auto"/>
                <w:spacing w:val="0"/>
                <w:kern w:val="0"/>
                <w:sz w:val="21"/>
                <w:szCs w:val="21"/>
                <w:lang w:val="en-US" w:eastAsia="zh-CN" w:bidi="ar-SA"/>
              </w:rPr>
              <w:t>开户银行：</w:t>
            </w:r>
            <w:r>
              <w:rPr>
                <w:rFonts w:hint="eastAsia" w:cs="Arial"/>
                <w:bCs w:val="0"/>
                <w:color w:val="auto"/>
                <w:spacing w:val="0"/>
                <w:kern w:val="0"/>
                <w:sz w:val="21"/>
                <w:szCs w:val="21"/>
                <w:lang w:val="en-US" w:eastAsia="zh-CN" w:bidi="ar-SA"/>
              </w:rPr>
              <w:t>中国建设银行股份有限公司防城港防城支行</w:t>
            </w:r>
          </w:p>
          <w:p w14:paraId="599DA6FD">
            <w:pPr>
              <w:pStyle w:val="21"/>
              <w:numPr>
                <w:ilvl w:val="0"/>
                <w:numId w:val="0"/>
              </w:numPr>
              <w:rPr>
                <w:color w:val="auto"/>
              </w:rPr>
            </w:pPr>
            <w:r>
              <w:rPr>
                <w:rFonts w:hint="eastAsia" w:ascii="Arial" w:hAnsi="Arial" w:eastAsia="宋体" w:cs="Arial"/>
                <w:bCs w:val="0"/>
                <w:color w:val="auto"/>
                <w:spacing w:val="0"/>
                <w:kern w:val="0"/>
                <w:sz w:val="21"/>
                <w:szCs w:val="21"/>
                <w:lang w:val="en-US" w:eastAsia="zh-CN" w:bidi="ar-SA"/>
              </w:rPr>
              <w:t>银行账号：45050165965200000901</w:t>
            </w:r>
          </w:p>
        </w:tc>
      </w:tr>
      <w:tr w14:paraId="06F9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94" w:hRule="atLeast"/>
          <w:jc w:val="center"/>
        </w:trPr>
        <w:tc>
          <w:tcPr>
            <w:tcW w:w="1092" w:type="dxa"/>
            <w:vAlign w:val="center"/>
          </w:tcPr>
          <w:p w14:paraId="7E9E99A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4.3</w:t>
            </w:r>
          </w:p>
        </w:tc>
        <w:tc>
          <w:tcPr>
            <w:tcW w:w="1784" w:type="dxa"/>
            <w:vAlign w:val="center"/>
          </w:tcPr>
          <w:p w14:paraId="5214BDC5">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附件</w:t>
            </w:r>
          </w:p>
        </w:tc>
        <w:tc>
          <w:tcPr>
            <w:tcW w:w="6641" w:type="dxa"/>
            <w:vAlign w:val="center"/>
          </w:tcPr>
          <w:p w14:paraId="4CE8239E">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7656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B58044">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4.3</w:t>
            </w:r>
          </w:p>
        </w:tc>
        <w:tc>
          <w:tcPr>
            <w:tcW w:w="1784" w:type="dxa"/>
            <w:vAlign w:val="center"/>
          </w:tcPr>
          <w:p w14:paraId="49AC31E0">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图纸</w:t>
            </w:r>
          </w:p>
        </w:tc>
        <w:tc>
          <w:tcPr>
            <w:tcW w:w="6641" w:type="dxa"/>
            <w:vAlign w:val="center"/>
          </w:tcPr>
          <w:p w14:paraId="7032A159">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5910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52294E2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4.4</w:t>
            </w:r>
          </w:p>
        </w:tc>
        <w:tc>
          <w:tcPr>
            <w:tcW w:w="1784" w:type="dxa"/>
            <w:vAlign w:val="center"/>
          </w:tcPr>
          <w:p w14:paraId="1E04E356">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其他事项</w:t>
            </w:r>
          </w:p>
        </w:tc>
        <w:tc>
          <w:tcPr>
            <w:tcW w:w="6641" w:type="dxa"/>
            <w:vAlign w:val="center"/>
          </w:tcPr>
          <w:p w14:paraId="7EC9F24A">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本文件中内容如有前后不一致，以在征集文件先出现的为准。</w:t>
            </w:r>
          </w:p>
        </w:tc>
      </w:tr>
      <w:tr w14:paraId="350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7B1B1F15">
            <w:pPr>
              <w:kinsoku/>
              <w:topLinePunct/>
              <w:autoSpaceDE/>
              <w:autoSpaceDN/>
              <w:spacing w:line="288" w:lineRule="auto"/>
              <w:ind w:right="86" w:rightChars="41"/>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w:t>
            </w:r>
          </w:p>
        </w:tc>
        <w:tc>
          <w:tcPr>
            <w:tcW w:w="1784" w:type="dxa"/>
            <w:vAlign w:val="center"/>
          </w:tcPr>
          <w:p w14:paraId="292D4CED">
            <w:pPr>
              <w:kinsoku/>
              <w:topLinePunct/>
              <w:autoSpaceDE/>
              <w:autoSpaceDN/>
              <w:spacing w:line="288" w:lineRule="auto"/>
              <w:ind w:right="86" w:rightChars="41"/>
              <w:jc w:val="left"/>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履约保证金</w:t>
            </w:r>
          </w:p>
        </w:tc>
        <w:tc>
          <w:tcPr>
            <w:tcW w:w="6641" w:type="dxa"/>
            <w:vAlign w:val="center"/>
          </w:tcPr>
          <w:p w14:paraId="4E5E750E">
            <w:pPr>
              <w:kinsoku/>
              <w:topLinePunct/>
              <w:autoSpaceDE/>
              <w:autoSpaceDN/>
              <w:spacing w:line="288" w:lineRule="auto"/>
              <w:ind w:right="86" w:rightChars="41"/>
              <w:jc w:val="both"/>
              <w:rPr>
                <w:rFonts w:hint="eastAsia"/>
                <w:color w:val="auto"/>
                <w:highlight w:val="none"/>
                <w:lang w:val="en-US" w:eastAsia="zh-CN"/>
              </w:rPr>
            </w:pPr>
            <w:r>
              <w:rPr>
                <w:rFonts w:hint="eastAsia"/>
                <w:color w:val="auto"/>
                <w:lang w:val="en-US" w:eastAsia="zh-CN"/>
              </w:rPr>
              <w:t>履约保证金</w:t>
            </w:r>
            <w:r>
              <w:rPr>
                <w:rFonts w:hint="eastAsia"/>
                <w:color w:val="auto"/>
                <w:highlight w:val="none"/>
                <w:lang w:val="en-US" w:eastAsia="zh-CN"/>
              </w:rPr>
              <w:t>指定账户：</w:t>
            </w:r>
          </w:p>
          <w:p w14:paraId="235CD883">
            <w:pPr>
              <w:pStyle w:val="21"/>
              <w:rPr>
                <w:rFonts w:hint="default" w:ascii="Arial" w:hAnsi="Arial" w:eastAsia="宋体" w:cs="Arial"/>
                <w:bCs w:val="0"/>
                <w:color w:val="auto"/>
                <w:spacing w:val="0"/>
                <w:kern w:val="0"/>
                <w:sz w:val="21"/>
                <w:szCs w:val="21"/>
                <w:highlight w:val="none"/>
                <w:lang w:val="en-US" w:eastAsia="zh-CN" w:bidi="ar-SA"/>
              </w:rPr>
            </w:pPr>
            <w:r>
              <w:rPr>
                <w:rFonts w:hint="default" w:ascii="Arial" w:hAnsi="Arial" w:eastAsia="宋体" w:cs="Arial"/>
                <w:bCs w:val="0"/>
                <w:color w:val="auto"/>
                <w:spacing w:val="0"/>
                <w:kern w:val="0"/>
                <w:sz w:val="21"/>
                <w:szCs w:val="21"/>
                <w:highlight w:val="none"/>
                <w:lang w:val="en-US" w:eastAsia="zh-CN" w:bidi="ar-SA"/>
              </w:rPr>
              <w:t>收款人户名：防城港市防城区财政资金</w:t>
            </w:r>
            <w:r>
              <w:rPr>
                <w:rFonts w:hint="eastAsia" w:cs="Arial"/>
                <w:bCs w:val="0"/>
                <w:color w:val="auto"/>
                <w:spacing w:val="0"/>
                <w:kern w:val="0"/>
                <w:sz w:val="21"/>
                <w:szCs w:val="21"/>
                <w:highlight w:val="none"/>
                <w:lang w:val="en-US" w:eastAsia="zh-CN" w:bidi="ar-SA"/>
              </w:rPr>
              <w:t>管理支付中心</w:t>
            </w:r>
          </w:p>
          <w:p w14:paraId="17AED73A">
            <w:pPr>
              <w:pStyle w:val="21"/>
              <w:rPr>
                <w:rFonts w:hint="default" w:ascii="Arial" w:hAnsi="Arial" w:eastAsia="宋体" w:cs="Arial"/>
                <w:bCs w:val="0"/>
                <w:color w:val="auto"/>
                <w:spacing w:val="0"/>
                <w:kern w:val="0"/>
                <w:sz w:val="21"/>
                <w:szCs w:val="21"/>
                <w:highlight w:val="none"/>
                <w:lang w:val="en-US" w:eastAsia="zh-CN" w:bidi="ar-SA"/>
              </w:rPr>
            </w:pPr>
            <w:r>
              <w:rPr>
                <w:rFonts w:hint="default" w:ascii="Arial" w:hAnsi="Arial" w:eastAsia="宋体" w:cs="Arial"/>
                <w:bCs w:val="0"/>
                <w:color w:val="auto"/>
                <w:spacing w:val="0"/>
                <w:kern w:val="0"/>
                <w:sz w:val="21"/>
                <w:szCs w:val="21"/>
                <w:highlight w:val="none"/>
                <w:lang w:val="en-US" w:eastAsia="zh-CN" w:bidi="ar-SA"/>
              </w:rPr>
              <w:t>收款人账号：2107575009026400262</w:t>
            </w:r>
          </w:p>
          <w:p w14:paraId="27E75D49">
            <w:pPr>
              <w:pStyle w:val="21"/>
              <w:rPr>
                <w:rFonts w:hint="default" w:ascii="Arial" w:hAnsi="Arial" w:eastAsia="宋体" w:cs="Arial"/>
                <w:bCs w:val="0"/>
                <w:color w:val="auto"/>
                <w:spacing w:val="0"/>
                <w:kern w:val="0"/>
                <w:sz w:val="21"/>
                <w:szCs w:val="21"/>
                <w:highlight w:val="none"/>
                <w:lang w:val="en-US" w:eastAsia="zh-CN" w:bidi="ar-SA"/>
              </w:rPr>
            </w:pPr>
            <w:r>
              <w:rPr>
                <w:rFonts w:hint="default" w:ascii="Arial" w:hAnsi="Arial" w:eastAsia="宋体" w:cs="Arial"/>
                <w:bCs w:val="0"/>
                <w:color w:val="auto"/>
                <w:spacing w:val="0"/>
                <w:kern w:val="0"/>
                <w:sz w:val="21"/>
                <w:szCs w:val="21"/>
                <w:highlight w:val="none"/>
                <w:lang w:val="en-US" w:eastAsia="zh-CN" w:bidi="ar-SA"/>
              </w:rPr>
              <w:t>收款人开户行：</w:t>
            </w:r>
            <w:r>
              <w:rPr>
                <w:rFonts w:hint="eastAsia" w:cs="Arial"/>
                <w:bCs w:val="0"/>
                <w:color w:val="auto"/>
                <w:spacing w:val="0"/>
                <w:kern w:val="0"/>
                <w:sz w:val="21"/>
                <w:szCs w:val="21"/>
                <w:highlight w:val="none"/>
                <w:lang w:val="en-US" w:eastAsia="zh-CN" w:bidi="ar-SA"/>
              </w:rPr>
              <w:t>中国</w:t>
            </w:r>
            <w:r>
              <w:rPr>
                <w:rFonts w:hint="default" w:ascii="Arial" w:hAnsi="Arial" w:eastAsia="宋体" w:cs="Arial"/>
                <w:bCs w:val="0"/>
                <w:color w:val="auto"/>
                <w:spacing w:val="0"/>
                <w:kern w:val="0"/>
                <w:sz w:val="21"/>
                <w:szCs w:val="21"/>
                <w:highlight w:val="none"/>
                <w:lang w:val="en-US" w:eastAsia="zh-CN" w:bidi="ar-SA"/>
              </w:rPr>
              <w:t>工</w:t>
            </w:r>
            <w:r>
              <w:rPr>
                <w:rFonts w:hint="eastAsia" w:cs="Arial"/>
                <w:bCs w:val="0"/>
                <w:color w:val="auto"/>
                <w:spacing w:val="0"/>
                <w:kern w:val="0"/>
                <w:sz w:val="21"/>
                <w:szCs w:val="21"/>
                <w:highlight w:val="none"/>
                <w:lang w:val="en-US" w:eastAsia="zh-CN" w:bidi="ar-SA"/>
              </w:rPr>
              <w:t>商银行</w:t>
            </w:r>
            <w:r>
              <w:rPr>
                <w:rFonts w:hint="default" w:ascii="Arial" w:hAnsi="Arial" w:eastAsia="宋体" w:cs="Arial"/>
                <w:bCs w:val="0"/>
                <w:color w:val="auto"/>
                <w:spacing w:val="0"/>
                <w:kern w:val="0"/>
                <w:sz w:val="21"/>
                <w:szCs w:val="21"/>
                <w:highlight w:val="none"/>
                <w:lang w:val="en-US" w:eastAsia="zh-CN" w:bidi="ar-SA"/>
              </w:rPr>
              <w:t>防城支行</w:t>
            </w:r>
          </w:p>
          <w:p w14:paraId="4D10767B">
            <w:pPr>
              <w:pStyle w:val="21"/>
              <w:rPr>
                <w:rFonts w:hint="default" w:ascii="Arial" w:hAnsi="Arial" w:eastAsia="宋体" w:cs="Arial"/>
                <w:bCs w:val="0"/>
                <w:color w:val="auto"/>
                <w:spacing w:val="0"/>
                <w:kern w:val="0"/>
                <w:sz w:val="21"/>
                <w:szCs w:val="21"/>
                <w:highlight w:val="none"/>
                <w:lang w:val="en-US" w:eastAsia="zh-CN" w:bidi="ar-SA"/>
              </w:rPr>
            </w:pPr>
          </w:p>
          <w:p w14:paraId="66732C33">
            <w:pPr>
              <w:pStyle w:val="21"/>
              <w:rPr>
                <w:rFonts w:hint="default" w:ascii="Arial" w:hAnsi="Arial" w:eastAsia="宋体" w:cs="Arial"/>
                <w:bCs w:val="0"/>
                <w:color w:val="auto"/>
                <w:spacing w:val="0"/>
                <w:kern w:val="0"/>
                <w:sz w:val="21"/>
                <w:szCs w:val="21"/>
                <w:highlight w:val="none"/>
                <w:lang w:val="en-US" w:eastAsia="zh-CN" w:bidi="ar-SA"/>
              </w:rPr>
            </w:pPr>
            <w:r>
              <w:rPr>
                <w:rFonts w:hint="default" w:ascii="Arial" w:hAnsi="Arial" w:eastAsia="宋体" w:cs="Arial"/>
                <w:bCs w:val="0"/>
                <w:color w:val="auto"/>
                <w:spacing w:val="0"/>
                <w:kern w:val="0"/>
                <w:sz w:val="21"/>
                <w:szCs w:val="21"/>
                <w:highlight w:val="none"/>
                <w:lang w:val="en-US" w:eastAsia="zh-CN" w:bidi="ar-SA"/>
              </w:rPr>
              <w:t>备注：xx 项目履约保证金</w:t>
            </w:r>
          </w:p>
          <w:p w14:paraId="4F39E307">
            <w:pPr>
              <w:pStyle w:val="21"/>
              <w:rPr>
                <w:rFonts w:hint="default" w:ascii="Arial" w:hAnsi="Arial" w:eastAsia="宋体" w:cs="Arial"/>
                <w:bCs w:val="0"/>
                <w:color w:val="auto"/>
                <w:spacing w:val="0"/>
                <w:kern w:val="0"/>
                <w:sz w:val="21"/>
                <w:szCs w:val="21"/>
                <w:lang w:val="en-US" w:eastAsia="zh-CN" w:bidi="ar-SA"/>
              </w:rPr>
            </w:pPr>
            <w:r>
              <w:rPr>
                <w:rFonts w:hint="default" w:ascii="Arial" w:hAnsi="Arial" w:eastAsia="宋体" w:cs="Arial"/>
                <w:bCs w:val="0"/>
                <w:color w:val="auto"/>
                <w:spacing w:val="0"/>
                <w:kern w:val="0"/>
                <w:sz w:val="21"/>
                <w:szCs w:val="21"/>
                <w:highlight w:val="none"/>
                <w:lang w:val="en-US" w:eastAsia="zh-CN" w:bidi="ar-SA"/>
              </w:rPr>
              <w:t>入围供应商在与征集人签订框架协议</w:t>
            </w:r>
            <w:r>
              <w:rPr>
                <w:rFonts w:hint="eastAsia" w:cs="Arial"/>
                <w:bCs w:val="0"/>
                <w:color w:val="auto"/>
                <w:spacing w:val="0"/>
                <w:kern w:val="0"/>
                <w:sz w:val="21"/>
                <w:szCs w:val="21"/>
                <w:highlight w:val="none"/>
                <w:lang w:val="en-US" w:eastAsia="zh-CN" w:bidi="ar-SA"/>
              </w:rPr>
              <w:t>前</w:t>
            </w:r>
            <w:r>
              <w:rPr>
                <w:rFonts w:hint="default" w:ascii="Arial" w:hAnsi="Arial" w:eastAsia="宋体" w:cs="Arial"/>
                <w:bCs w:val="0"/>
                <w:color w:val="auto"/>
                <w:spacing w:val="0"/>
                <w:kern w:val="0"/>
                <w:sz w:val="21"/>
                <w:szCs w:val="21"/>
                <w:highlight w:val="none"/>
                <w:lang w:val="en-US" w:eastAsia="zh-CN" w:bidi="ar-SA"/>
              </w:rPr>
              <w:t>，需向征集人一次性缴纳履约保证金壹万元整（10000 元）。框架协议有效期满后，入围供应商无违约行为，履约保证金由征集人无息退回</w:t>
            </w:r>
            <w:r>
              <w:rPr>
                <w:rFonts w:hint="default" w:ascii="Arial" w:hAnsi="Arial" w:eastAsia="宋体" w:cs="Arial"/>
                <w:bCs w:val="0"/>
                <w:color w:val="auto"/>
                <w:spacing w:val="0"/>
                <w:kern w:val="0"/>
                <w:sz w:val="21"/>
                <w:szCs w:val="21"/>
                <w:lang w:val="en-US" w:eastAsia="zh-CN" w:bidi="ar-SA"/>
              </w:rPr>
              <w:t>。</w:t>
            </w:r>
          </w:p>
        </w:tc>
      </w:tr>
    </w:tbl>
    <w:p w14:paraId="2A0F57A5">
      <w:pPr>
        <w:tabs>
          <w:tab w:val="left" w:pos="2155"/>
        </w:tabs>
        <w:kinsoku/>
        <w:topLinePunct/>
        <w:autoSpaceDE/>
        <w:autoSpaceDN/>
        <w:ind w:right="86" w:rightChars="41"/>
        <w:rPr>
          <w:rFonts w:ascii="宋体" w:cs="宋体"/>
          <w:color w:val="auto"/>
          <w:highlight w:val="none"/>
        </w:rPr>
      </w:pPr>
    </w:p>
    <w:p w14:paraId="0C0388FD">
      <w:pPr>
        <w:kinsoku/>
        <w:topLinePunct/>
        <w:autoSpaceDE/>
        <w:autoSpaceDN/>
        <w:ind w:right="86" w:rightChars="41"/>
        <w:rPr>
          <w:rFonts w:ascii="宋体" w:cs="宋体"/>
          <w:b/>
          <w:bCs/>
          <w:color w:val="auto"/>
          <w:highlight w:val="none"/>
        </w:rPr>
      </w:pPr>
      <w:r>
        <w:rPr>
          <w:rFonts w:ascii="宋体" w:cs="宋体"/>
          <w:b/>
          <w:bCs/>
          <w:color w:val="auto"/>
          <w:highlight w:val="none"/>
        </w:rPr>
        <w:br w:type="page"/>
      </w:r>
    </w:p>
    <w:p w14:paraId="2D664BB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w:t>
      </w:r>
      <w:r>
        <w:rPr>
          <w:rFonts w:ascii="宋体" w:cs="宋体"/>
          <w:color w:val="auto"/>
          <w:highlight w:val="none"/>
        </w:rPr>
        <w:t>.</w:t>
      </w:r>
      <w:r>
        <w:rPr>
          <w:rFonts w:hint="eastAsia" w:ascii="宋体" w:hAnsi="宋体" w:cs="宋体"/>
          <w:color w:val="auto"/>
          <w:highlight w:val="none"/>
        </w:rPr>
        <w:t>总则</w:t>
      </w:r>
    </w:p>
    <w:p w14:paraId="634FEDE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1.1</w:t>
      </w:r>
      <w:r>
        <w:rPr>
          <w:rFonts w:hint="eastAsia" w:ascii="宋体" w:hAnsi="宋体" w:cs="宋体"/>
          <w:color w:val="auto"/>
          <w:highlight w:val="none"/>
        </w:rPr>
        <w:t>适用范围</w:t>
      </w:r>
    </w:p>
    <w:p w14:paraId="6CDC07B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03DDBB5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本文如无特别说明，文件中第一阶段即指征集阶段，第二阶段即指确定成交阶段。本征集文件适用于第一阶段的征集活动。</w:t>
      </w:r>
    </w:p>
    <w:p w14:paraId="6CFE6E3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1.2</w:t>
      </w:r>
      <w:r>
        <w:rPr>
          <w:rFonts w:hint="eastAsia" w:ascii="宋体" w:hAnsi="宋体" w:cs="宋体"/>
          <w:color w:val="auto"/>
          <w:highlight w:val="none"/>
        </w:rPr>
        <w:t>定义</w:t>
      </w:r>
    </w:p>
    <w:p w14:paraId="231BD1A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“征集人”系指第一阶段主管预算单位及其委托的采购代理机构、集中采购机构的统称。</w:t>
      </w:r>
    </w:p>
    <w:p w14:paraId="736A883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“采购人”系指第二阶段实际需要采购服务或货物的单位。</w:t>
      </w:r>
    </w:p>
    <w:p w14:paraId="73ED144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“入围供应商”系指参与第一阶段征集活动并入围的法人、其他组织或者自然人。“成交供应商”系指在第一阶段入围并在第二阶段选定与采购人签订合同的入围供应商。</w:t>
      </w:r>
    </w:p>
    <w:p w14:paraId="0FCCFA2A">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1.2.4</w:t>
      </w:r>
      <w:r>
        <w:rPr>
          <w:rFonts w:hint="eastAsia" w:ascii="宋体" w:hAnsi="宋体" w:cs="宋体"/>
          <w:bCs/>
          <w:color w:val="auto"/>
          <w:highlight w:val="none"/>
        </w:rPr>
        <w:t>“征集文件”是指由采购代理机构发出的文本、文件，包括全部章节和附件及答疑会议纪要及其他相关补充材料和相关变更内容。</w:t>
      </w:r>
    </w:p>
    <w:p w14:paraId="654129EC">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1.2.5</w:t>
      </w:r>
      <w:r>
        <w:rPr>
          <w:rFonts w:hint="eastAsia" w:ascii="宋体" w:hAnsi="宋体" w:cs="宋体"/>
          <w:bCs/>
          <w:color w:val="auto"/>
          <w:highlight w:val="none"/>
        </w:rPr>
        <w:t>“响应文件”“投标响应文件”是指</w:t>
      </w:r>
      <w:r>
        <w:rPr>
          <w:rFonts w:hint="eastAsia" w:ascii="宋体" w:hAnsi="宋体" w:cs="宋体"/>
          <w:bCs/>
          <w:color w:val="auto"/>
          <w:highlight w:val="none"/>
          <w:lang w:eastAsia="zh-CN"/>
        </w:rPr>
        <w:t>供应商</w:t>
      </w:r>
      <w:r>
        <w:rPr>
          <w:rFonts w:hint="eastAsia" w:ascii="宋体" w:hAnsi="宋体" w:cs="宋体"/>
          <w:bCs/>
          <w:color w:val="auto"/>
          <w:highlight w:val="none"/>
        </w:rPr>
        <w:t>根据本征集文件向采购代理机构提交的全部文件</w:t>
      </w:r>
    </w:p>
    <w:p w14:paraId="3F3AAB8D">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1.2.6</w:t>
      </w:r>
      <w:r>
        <w:rPr>
          <w:rFonts w:hint="eastAsia" w:ascii="宋体" w:hAnsi="宋体" w:cs="宋体"/>
          <w:bCs/>
          <w:color w:val="auto"/>
          <w:highlight w:val="none"/>
        </w:rPr>
        <w:t>“采购文件”是指包括采购活动记录、采购预算、征集文件、投标响应文件、评标标准、评标报告、定标文件、合同文本、验收证明、质疑答复、投诉处理决定及其他有关文件、资料。</w:t>
      </w:r>
    </w:p>
    <w:p w14:paraId="6E8F1EF0">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1.2.7</w:t>
      </w:r>
      <w:r>
        <w:rPr>
          <w:rFonts w:hint="eastAsia" w:ascii="宋体" w:hAnsi="宋体" w:cs="宋体"/>
          <w:bCs/>
          <w:color w:val="auto"/>
          <w:highlight w:val="none"/>
        </w:rPr>
        <w:t>“框架协议采购”是指</w:t>
      </w:r>
      <w:r>
        <w:rPr>
          <w:rFonts w:hint="eastAsia" w:ascii="宋体" w:hAnsi="宋体" w:cs="宋体"/>
          <w:bCs/>
          <w:color w:val="auto"/>
          <w:highlight w:val="none"/>
          <w:u w:val="single"/>
          <w:lang w:eastAsia="zh-CN"/>
        </w:rPr>
        <w:t>防城港市防城区财政局</w:t>
      </w:r>
      <w:r>
        <w:rPr>
          <w:rFonts w:hint="eastAsia" w:ascii="宋体" w:hAnsi="宋体" w:cs="宋体"/>
          <w:bCs/>
          <w:color w:val="auto"/>
          <w:highlight w:val="none"/>
        </w:rPr>
        <w:t>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3C48BA12">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1.2.8</w:t>
      </w:r>
      <w:r>
        <w:rPr>
          <w:rFonts w:hint="eastAsia" w:ascii="宋体" w:hAnsi="宋体" w:cs="宋体"/>
          <w:bCs/>
          <w:color w:val="auto"/>
          <w:highlight w:val="none"/>
        </w:rPr>
        <w:t>“封闭式框架协议采购”是指符合《政府采购框架协议采购方式管理暂行办法》第三条规定情形，通过公开竞争订立框架协议后，除经过框架协议约定的补充征集程序外，不得增加协议供应商的框架协议采购。封闭式框架协议的公开征集程序，按照政府采购公开招标的规定执行，《政府采购框架协议采购方式管理暂行办法》另有规定的，从其规定。</w:t>
      </w:r>
    </w:p>
    <w:p w14:paraId="7BE47EDD">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1.2.9</w:t>
      </w:r>
      <w:r>
        <w:rPr>
          <w:rFonts w:hint="eastAsia" w:ascii="宋体" w:hAnsi="宋体" w:cs="宋体"/>
          <w:bCs/>
          <w:color w:val="auto"/>
          <w:highlight w:val="none"/>
        </w:rPr>
        <w:t>“服务”是指除货物和工程以外的其他政府采购对象。</w:t>
      </w:r>
    </w:p>
    <w:p w14:paraId="4650D0B7">
      <w:pPr>
        <w:kinsoku/>
        <w:topLinePunct/>
        <w:autoSpaceDE/>
        <w:autoSpaceDN/>
        <w:spacing w:line="360" w:lineRule="auto"/>
        <w:ind w:right="86" w:rightChars="41" w:firstLine="420" w:firstLineChars="200"/>
        <w:rPr>
          <w:rFonts w:ascii="宋体" w:cs="宋体"/>
          <w:b/>
          <w:color w:val="auto"/>
          <w:highlight w:val="none"/>
        </w:rPr>
      </w:pPr>
      <w:r>
        <w:rPr>
          <w:rFonts w:ascii="宋体" w:hAnsi="宋体" w:cs="宋体"/>
          <w:color w:val="auto"/>
          <w:highlight w:val="none"/>
        </w:rPr>
        <w:t>1.2.10</w:t>
      </w:r>
      <w:r>
        <w:rPr>
          <w:rFonts w:hint="eastAsia" w:ascii="宋体" w:hAnsi="宋体" w:cs="宋体"/>
          <w:b/>
          <w:color w:val="auto"/>
          <w:highlight w:val="none"/>
        </w:rPr>
        <w:t>“实质性要求”是指征集文件中已经指明不满足则投标无效的条款，或者不能负偏离的条款，或者采购需求中带“▲”的条款。</w:t>
      </w:r>
    </w:p>
    <w:p w14:paraId="35858980">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1.2.11</w:t>
      </w:r>
      <w:r>
        <w:rPr>
          <w:rFonts w:hint="eastAsia" w:ascii="宋体" w:hAnsi="宋体" w:cs="宋体"/>
          <w:color w:val="auto"/>
          <w:highlight w:val="none"/>
        </w:rPr>
        <w:t>“正偏离”，是指响应文件对征集文件“采购需求”中有关条款</w:t>
      </w:r>
      <w:r>
        <w:rPr>
          <w:rFonts w:hint="eastAsia" w:ascii="宋体" w:hAnsi="宋体" w:cs="宋体"/>
          <w:color w:val="auto"/>
          <w:highlight w:val="none"/>
          <w:lang w:eastAsia="zh-CN"/>
        </w:rPr>
        <w:t>做出</w:t>
      </w:r>
      <w:r>
        <w:rPr>
          <w:rFonts w:hint="eastAsia" w:ascii="宋体" w:hAnsi="宋体" w:cs="宋体"/>
          <w:color w:val="auto"/>
          <w:highlight w:val="none"/>
        </w:rPr>
        <w:t>的响应优于条款要求并有利于采购人的情形。</w:t>
      </w:r>
    </w:p>
    <w:p w14:paraId="2ECA7722">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1.2.12</w:t>
      </w:r>
      <w:r>
        <w:rPr>
          <w:rFonts w:hint="eastAsia" w:ascii="宋体" w:hAnsi="宋体" w:cs="宋体"/>
          <w:color w:val="auto"/>
          <w:highlight w:val="none"/>
        </w:rPr>
        <w:t>“负偏离”，是指响应文件对征集文件“采购需求”中有关条款作出的响应不满足条款要求，导致采购人要求不能得到满足的情形。</w:t>
      </w:r>
    </w:p>
    <w:p w14:paraId="2F6028B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1.2.13</w:t>
      </w:r>
      <w:r>
        <w:rPr>
          <w:rFonts w:hint="eastAsia" w:ascii="宋体" w:hAnsi="宋体" w:cs="宋体"/>
          <w:color w:val="auto"/>
          <w:highlight w:val="none"/>
        </w:rPr>
        <w:t>“允许负偏离的条款”是指采购需求中的不属于“实质性要求”的条款。</w:t>
      </w:r>
    </w:p>
    <w:p w14:paraId="2958769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1.2.14</w:t>
      </w:r>
      <w:r>
        <w:rPr>
          <w:rFonts w:hint="eastAsia" w:ascii="宋体" w:hAnsi="宋体" w:cs="宋体"/>
          <w:color w:val="auto"/>
          <w:highlight w:val="none"/>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51014C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1.2.15</w:t>
      </w:r>
      <w:r>
        <w:rPr>
          <w:rFonts w:hint="eastAsia" w:ascii="宋体" w:hAnsi="宋体" w:cs="宋体"/>
          <w:color w:val="auto"/>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A12CF9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1.2.16</w:t>
      </w:r>
      <w:r>
        <w:rPr>
          <w:rFonts w:hint="eastAsia" w:ascii="宋体" w:hAnsi="宋体" w:cs="宋体"/>
          <w:color w:val="auto"/>
          <w:highlight w:val="none"/>
        </w:rPr>
        <w:t>“书面形式”如无特殊规定，书面形式是合同书、信件、电报、电传等可以有形地表现所载内容的形式。以电子数据交换、电子邮件等方式能够有形地表现所载内容，并可以随时调取查用的数据电文，视为书面形式。征集文件如有特殊规定，以征集文件规定为准。</w:t>
      </w:r>
    </w:p>
    <w:p w14:paraId="74D18CA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1.2.17</w:t>
      </w:r>
      <w:r>
        <w:rPr>
          <w:rFonts w:hint="eastAsia" w:ascii="宋体" w:hAnsi="宋体" w:cs="宋体"/>
          <w:color w:val="auto"/>
          <w:highlight w:val="none"/>
        </w:rPr>
        <w:t>本征集文件出现多种选项的条款，以“</w:t>
      </w:r>
      <w:r>
        <w:rPr>
          <w:rFonts w:ascii="宋体" w:cs="宋体"/>
          <w:color w:val="auto"/>
          <w:highlight w:val="none"/>
        </w:rPr>
        <w:drawing>
          <wp:inline distT="0" distB="0" distL="114300" distR="114300">
            <wp:extent cx="114300" cy="104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114300" cy="104775"/>
                    </a:xfrm>
                    <a:prstGeom prst="rect">
                      <a:avLst/>
                    </a:prstGeom>
                    <a:noFill/>
                    <a:ln>
                      <a:noFill/>
                    </a:ln>
                  </pic:spPr>
                </pic:pic>
              </a:graphicData>
            </a:graphic>
          </wp:inline>
        </w:drawing>
      </w:r>
      <w:r>
        <w:rPr>
          <w:rFonts w:hint="eastAsia" w:ascii="宋体" w:hAnsi="宋体" w:cs="宋体"/>
          <w:color w:val="auto"/>
          <w:highlight w:val="none"/>
        </w:rPr>
        <w:t>”表示本条款所选择的方式。</w:t>
      </w:r>
    </w:p>
    <w:p w14:paraId="362BD5D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1.2.18</w:t>
      </w:r>
      <w:r>
        <w:rPr>
          <w:rFonts w:hint="eastAsia" w:ascii="宋体" w:hAnsi="宋体" w:cs="宋体"/>
          <w:color w:val="auto"/>
          <w:highlight w:val="none"/>
        </w:rPr>
        <w:t>“电子交易平台”是指以数据电文形式在线完成采购活动的信息平台，本征集文件中也称“政采云平台”。</w:t>
      </w:r>
    </w:p>
    <w:p w14:paraId="403043A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1.3</w:t>
      </w:r>
      <w:r>
        <w:rPr>
          <w:rFonts w:hint="eastAsia" w:ascii="宋体" w:hAnsi="宋体" w:cs="宋体"/>
          <w:color w:val="auto"/>
          <w:highlight w:val="none"/>
        </w:rPr>
        <w:t>项目信息</w:t>
      </w:r>
    </w:p>
    <w:p w14:paraId="243D1AC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1.3.1</w:t>
      </w:r>
      <w:r>
        <w:rPr>
          <w:rFonts w:hint="eastAsia" w:ascii="宋体" w:hAnsi="宋体" w:cs="宋体"/>
          <w:color w:val="auto"/>
          <w:highlight w:val="none"/>
        </w:rPr>
        <w:t>项目名称及编号：详见供应商须知前附表</w:t>
      </w:r>
    </w:p>
    <w:p w14:paraId="6C5E4AD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1.3.2</w:t>
      </w:r>
      <w:r>
        <w:rPr>
          <w:rFonts w:hint="eastAsia" w:ascii="宋体" w:hAnsi="宋体" w:cs="宋体"/>
          <w:color w:val="auto"/>
          <w:highlight w:val="none"/>
        </w:rPr>
        <w:t>采购方式：详见供应商须知前附表，</w:t>
      </w:r>
    </w:p>
    <w:p w14:paraId="31EAF58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1.4</w:t>
      </w:r>
      <w:r>
        <w:rPr>
          <w:rFonts w:hint="eastAsia" w:ascii="宋体" w:hAnsi="宋体" w:cs="宋体"/>
          <w:color w:val="auto"/>
          <w:highlight w:val="none"/>
        </w:rPr>
        <w:t>供应商资格要求</w:t>
      </w:r>
    </w:p>
    <w:p w14:paraId="7ED24E4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1.4.1</w:t>
      </w:r>
      <w:r>
        <w:rPr>
          <w:rFonts w:hint="eastAsia" w:ascii="宋体" w:hAnsi="宋体" w:cs="宋体"/>
          <w:color w:val="auto"/>
          <w:highlight w:val="none"/>
        </w:rPr>
        <w:t>供应商资格要求：详见供应商须知前附表</w:t>
      </w:r>
    </w:p>
    <w:p w14:paraId="6686442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1.4.2</w:t>
      </w:r>
      <w:r>
        <w:rPr>
          <w:rFonts w:hint="eastAsia" w:ascii="宋体" w:hAnsi="宋体" w:cs="宋体"/>
          <w:color w:val="auto"/>
          <w:highlight w:val="none"/>
        </w:rPr>
        <w:t>按照征集公告的规定获得征集文件。</w:t>
      </w:r>
    </w:p>
    <w:p w14:paraId="08522F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1.4.3</w:t>
      </w:r>
      <w:r>
        <w:rPr>
          <w:rFonts w:hint="eastAsia" w:ascii="宋体" w:hAnsi="宋体" w:cs="宋体"/>
          <w:color w:val="auto"/>
          <w:highlight w:val="none"/>
        </w:rPr>
        <w:t>本项目是否接受联合体响应，见供应商须知前附表规定。</w:t>
      </w:r>
    </w:p>
    <w:p w14:paraId="4BF1B2C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如接受联合体响应，联合体响应要求如下：</w:t>
      </w:r>
    </w:p>
    <w:p w14:paraId="4100BAAE">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供应商可以组成一个响应联合体，以一个供应商的身份共同参加响应。联合体响应的，须提供《联合体协议书》</w:t>
      </w:r>
      <w:r>
        <w:rPr>
          <w:rFonts w:ascii="宋体" w:hAnsi="宋体" w:cs="宋体"/>
          <w:color w:val="auto"/>
          <w:highlight w:val="none"/>
        </w:rPr>
        <w:t>(</w:t>
      </w:r>
      <w:r>
        <w:rPr>
          <w:rFonts w:hint="eastAsia" w:ascii="宋体" w:hAnsi="宋体" w:cs="宋体"/>
          <w:color w:val="auto"/>
          <w:highlight w:val="none"/>
        </w:rPr>
        <w:t>格式后附</w:t>
      </w:r>
      <w:r>
        <w:rPr>
          <w:rFonts w:ascii="宋体" w:hAnsi="宋体" w:cs="宋体"/>
          <w:color w:val="auto"/>
          <w:highlight w:val="none"/>
        </w:rPr>
        <w:t>)</w:t>
      </w:r>
    </w:p>
    <w:p w14:paraId="0B111C0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0C7D2BE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联合体各方之间必须签订联合体协议，协议书必须明确主体方</w:t>
      </w:r>
      <w:r>
        <w:rPr>
          <w:rFonts w:ascii="宋体" w:hAnsi="宋体" w:cs="宋体"/>
          <w:color w:val="auto"/>
          <w:highlight w:val="none"/>
        </w:rPr>
        <w:t>(</w:t>
      </w:r>
      <w:r>
        <w:rPr>
          <w:rFonts w:hint="eastAsia" w:ascii="宋体" w:hAnsi="宋体" w:cs="宋体"/>
          <w:color w:val="auto"/>
          <w:highlight w:val="none"/>
        </w:rPr>
        <w:t>或者牵头方</w:t>
      </w:r>
      <w:r>
        <w:rPr>
          <w:rFonts w:ascii="宋体" w:hAnsi="宋体" w:cs="宋体"/>
          <w:color w:val="auto"/>
          <w:highlight w:val="none"/>
        </w:rPr>
        <w:t>)</w:t>
      </w:r>
      <w:r>
        <w:rPr>
          <w:rFonts w:hint="eastAsia" w:ascii="宋体" w:hAnsi="宋体" w:cs="宋体"/>
          <w:color w:val="auto"/>
          <w:highlight w:val="none"/>
        </w:rPr>
        <w:t>并明确约定联合体各方承担的工作和相应的责任，并将联合响应协议放入响应文件。联合体各方必须共同与采购人签订采购合同，就采购合同约定的事项对采购人承担连带责任。</w:t>
      </w:r>
    </w:p>
    <w:p w14:paraId="4435A5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以联合体形式参加政府采购活动的，联合体各方不得再单独参加或者与其他供应商另外组成联合体参加同一合同项下的政府采购活动。</w:t>
      </w:r>
    </w:p>
    <w:p w14:paraId="505E9E1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联合体中有同类资质的供应商按照联合体分工承担相同工作的，应当按照资质等级较低的供应商确定资质等级。</w:t>
      </w:r>
    </w:p>
    <w:p w14:paraId="5C34194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联合体响应业绩、履约能力按照联合体各方其中较高的一方认定并计算</w:t>
      </w:r>
      <w:r>
        <w:rPr>
          <w:rFonts w:ascii="宋体" w:hAnsi="宋体" w:cs="宋体"/>
          <w:color w:val="auto"/>
          <w:highlight w:val="none"/>
        </w:rPr>
        <w:t>(</w:t>
      </w:r>
      <w:r>
        <w:rPr>
          <w:rFonts w:hint="eastAsia" w:ascii="宋体" w:hAnsi="宋体" w:cs="宋体"/>
          <w:color w:val="auto"/>
          <w:highlight w:val="none"/>
        </w:rPr>
        <w:t>征集文件其他章节另有规定的除外</w:t>
      </w:r>
      <w:r>
        <w:rPr>
          <w:rFonts w:ascii="宋体" w:hAnsi="宋体" w:cs="宋体"/>
          <w:color w:val="auto"/>
          <w:highlight w:val="none"/>
        </w:rPr>
        <w:t>)</w:t>
      </w:r>
      <w:r>
        <w:rPr>
          <w:rFonts w:hint="eastAsia" w:ascii="宋体" w:hAnsi="宋体" w:cs="宋体"/>
          <w:color w:val="auto"/>
          <w:highlight w:val="none"/>
        </w:rPr>
        <w:t>。</w:t>
      </w:r>
    </w:p>
    <w:p w14:paraId="5395A5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联合体各方均应按照征集文件的规定提交资格证明文件。</w:t>
      </w:r>
    </w:p>
    <w:p w14:paraId="3255A04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1.5</w:t>
      </w:r>
      <w:r>
        <w:rPr>
          <w:rFonts w:hint="eastAsia" w:ascii="宋体" w:hAnsi="宋体" w:cs="宋体"/>
          <w:color w:val="auto"/>
          <w:highlight w:val="none"/>
        </w:rPr>
        <w:t>现场踏勘及响应费用</w:t>
      </w:r>
    </w:p>
    <w:p w14:paraId="0E2E7BE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1.5.1</w:t>
      </w:r>
      <w:r>
        <w:rPr>
          <w:rFonts w:hint="eastAsia" w:ascii="宋体" w:hAnsi="宋体" w:cs="宋体"/>
          <w:color w:val="auto"/>
          <w:highlight w:val="none"/>
        </w:rPr>
        <w:t>前附表如规定现场踏勘的，供应商应按规定时间地点参加踏勘。</w:t>
      </w:r>
    </w:p>
    <w:p w14:paraId="330A9D5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1.5.2</w:t>
      </w:r>
      <w:r>
        <w:rPr>
          <w:rFonts w:hint="eastAsia" w:ascii="宋体" w:hAnsi="宋体" w:cs="宋体"/>
          <w:color w:val="auto"/>
          <w:highlight w:val="none"/>
        </w:rPr>
        <w:t>供应商均应自行承担所有与响应有关的全部费用</w:t>
      </w:r>
      <w:r>
        <w:rPr>
          <w:rFonts w:ascii="宋体" w:hAnsi="宋体" w:cs="宋体"/>
          <w:color w:val="auto"/>
          <w:highlight w:val="none"/>
        </w:rPr>
        <w:t>(</w:t>
      </w:r>
      <w:r>
        <w:rPr>
          <w:rFonts w:hint="eastAsia" w:ascii="宋体" w:hAnsi="宋体" w:cs="宋体"/>
          <w:color w:val="auto"/>
          <w:highlight w:val="none"/>
        </w:rPr>
        <w:t>征集文件有相关的规定除外</w:t>
      </w:r>
      <w:r>
        <w:rPr>
          <w:rFonts w:ascii="宋体" w:hAnsi="宋体" w:cs="宋体"/>
          <w:color w:val="auto"/>
          <w:highlight w:val="none"/>
        </w:rPr>
        <w:t>)</w:t>
      </w:r>
      <w:r>
        <w:rPr>
          <w:rFonts w:hint="eastAsia" w:ascii="宋体" w:hAnsi="宋体" w:cs="宋体"/>
          <w:color w:val="auto"/>
          <w:highlight w:val="none"/>
        </w:rPr>
        <w:t>。</w:t>
      </w:r>
    </w:p>
    <w:p w14:paraId="3E332D7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1.6</w:t>
      </w:r>
      <w:r>
        <w:rPr>
          <w:rFonts w:hint="eastAsia" w:ascii="宋体" w:hAnsi="宋体" w:cs="宋体"/>
          <w:color w:val="auto"/>
          <w:highlight w:val="none"/>
        </w:rPr>
        <w:t>转包与分包</w:t>
      </w:r>
    </w:p>
    <w:p w14:paraId="16A2E75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1.6.1</w:t>
      </w:r>
      <w:r>
        <w:rPr>
          <w:rFonts w:hint="eastAsia" w:ascii="宋体" w:hAnsi="宋体" w:cs="宋体"/>
          <w:color w:val="auto"/>
          <w:highlight w:val="none"/>
        </w:rPr>
        <w:t>如征集文件其他地方无特别规定，本项目不允许转包。</w:t>
      </w:r>
    </w:p>
    <w:p w14:paraId="11E34D3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1.6.2</w:t>
      </w:r>
      <w:r>
        <w:rPr>
          <w:rFonts w:hint="eastAsia" w:ascii="宋体" w:hAnsi="宋体" w:cs="宋体"/>
          <w:color w:val="auto"/>
          <w:highlight w:val="none"/>
        </w:rPr>
        <w:t>本项目是否允许分包详见供应商须知前附表，本项目不允许违法分包。供应商根据征集文件</w:t>
      </w:r>
    </w:p>
    <w:p w14:paraId="41B05E1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的规定和采购项目的实际情况，拟在入围后将入围项目的非主体、非关键性工作分包的，应当在响应文件中载明分包承担主体，分包承担主体应当具备相应资质条件且不得再次分包。</w:t>
      </w:r>
    </w:p>
    <w:p w14:paraId="33CB4C5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1.7</w:t>
      </w:r>
      <w:r>
        <w:rPr>
          <w:rFonts w:hint="eastAsia" w:ascii="宋体" w:hAnsi="宋体" w:cs="宋体"/>
          <w:color w:val="auto"/>
          <w:highlight w:val="none"/>
        </w:rPr>
        <w:t>特别说明</w:t>
      </w:r>
    </w:p>
    <w:p w14:paraId="22599FC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1.7.1</w:t>
      </w:r>
      <w:r>
        <w:rPr>
          <w:rFonts w:hint="eastAsia" w:ascii="宋体" w:hAnsi="宋体" w:cs="宋体"/>
          <w:color w:val="auto"/>
          <w:highlight w:val="none"/>
        </w:rPr>
        <w:t>供应商应保证其提供的联系方式</w:t>
      </w:r>
      <w:r>
        <w:rPr>
          <w:rFonts w:ascii="宋体" w:hAnsi="宋体" w:cs="宋体"/>
          <w:color w:val="auto"/>
          <w:highlight w:val="none"/>
        </w:rPr>
        <w:t>(</w:t>
      </w:r>
      <w:r>
        <w:rPr>
          <w:rFonts w:hint="eastAsia" w:ascii="宋体" w:hAnsi="宋体" w:cs="宋体"/>
          <w:color w:val="auto"/>
          <w:highlight w:val="none"/>
        </w:rPr>
        <w:t>电话、传真、电子邮件</w:t>
      </w:r>
      <w:r>
        <w:rPr>
          <w:rFonts w:ascii="宋体" w:hAnsi="宋体" w:cs="宋体"/>
          <w:color w:val="auto"/>
          <w:highlight w:val="none"/>
        </w:rPr>
        <w:t>)</w:t>
      </w:r>
      <w:r>
        <w:rPr>
          <w:rFonts w:hint="eastAsia" w:ascii="宋体" w:hAnsi="宋体" w:cs="宋体"/>
          <w:color w:val="auto"/>
          <w:highlight w:val="none"/>
        </w:rPr>
        <w:t>有效，以保证往来函件</w:t>
      </w:r>
      <w:r>
        <w:rPr>
          <w:rFonts w:ascii="宋体" w:hAnsi="宋体" w:cs="宋体"/>
          <w:color w:val="auto"/>
          <w:highlight w:val="none"/>
        </w:rPr>
        <w:t>(</w:t>
      </w:r>
      <w:r>
        <w:rPr>
          <w:rFonts w:hint="eastAsia" w:ascii="宋体" w:hAnsi="宋体" w:cs="宋体"/>
          <w:color w:val="auto"/>
          <w:highlight w:val="none"/>
        </w:rPr>
        <w:t>澄清、修改等</w:t>
      </w:r>
      <w:r>
        <w:rPr>
          <w:rFonts w:ascii="宋体" w:hAnsi="宋体" w:cs="宋体"/>
          <w:color w:val="auto"/>
          <w:highlight w:val="none"/>
        </w:rPr>
        <w:t>)</w:t>
      </w:r>
      <w:r>
        <w:rPr>
          <w:rFonts w:hint="eastAsia" w:ascii="宋体" w:hAnsi="宋体" w:cs="宋体"/>
          <w:color w:val="auto"/>
          <w:highlight w:val="none"/>
        </w:rPr>
        <w:t>能及时通知供应商，并能及时反馈，否则征集人不承担由此引起的一切后果。</w:t>
      </w:r>
    </w:p>
    <w:p w14:paraId="6E22F27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1.7.2</w:t>
      </w:r>
      <w:r>
        <w:rPr>
          <w:rFonts w:hint="eastAsia" w:ascii="宋体" w:hAnsi="宋体" w:cs="宋体"/>
          <w:color w:val="auto"/>
          <w:highlight w:val="none"/>
        </w:rPr>
        <w:t>供应商应仔细阅读征集文件的所有内容，按照征集文件的要求提交响应文件，并对所提供的全部资料的真实性承担法律责任。</w:t>
      </w:r>
    </w:p>
    <w:p w14:paraId="52CBA6D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1.7.3</w:t>
      </w:r>
      <w:r>
        <w:rPr>
          <w:rFonts w:hint="eastAsia" w:ascii="宋体" w:hAnsi="宋体" w:cs="宋体"/>
          <w:color w:val="auto"/>
          <w:highlight w:val="none"/>
        </w:rPr>
        <w:t>供应商在响应活动中提供任何虚假材料，将报监管部门查处；</w:t>
      </w:r>
    </w:p>
    <w:p w14:paraId="165C4053">
      <w:pPr>
        <w:kinsoku/>
        <w:topLinePunct/>
        <w:autoSpaceDE/>
        <w:autoSpaceDN/>
        <w:spacing w:line="348" w:lineRule="auto"/>
        <w:ind w:right="86" w:rightChars="41" w:firstLine="447" w:firstLineChars="212"/>
        <w:rPr>
          <w:rFonts w:ascii="宋体" w:hAnsi="宋体" w:cs="宋体"/>
          <w:color w:val="auto"/>
          <w:highlight w:val="none"/>
        </w:rPr>
      </w:pPr>
      <w:r>
        <w:rPr>
          <w:rFonts w:ascii="宋体" w:hAnsi="宋体" w:cs="宋体"/>
          <w:b/>
          <w:bCs/>
          <w:color w:val="auto"/>
          <w:highlight w:val="none"/>
        </w:rPr>
        <w:t>2</w:t>
      </w:r>
      <w:r>
        <w:rPr>
          <w:rFonts w:ascii="宋体" w:cs="宋体"/>
          <w:color w:val="auto"/>
          <w:highlight w:val="none"/>
        </w:rPr>
        <w:t>.</w:t>
      </w:r>
      <w:r>
        <w:rPr>
          <w:rFonts w:hint="eastAsia" w:ascii="宋体" w:hAnsi="宋体" w:cs="宋体"/>
          <w:color w:val="auto"/>
          <w:highlight w:val="none"/>
        </w:rPr>
        <w:t>第一阶段</w:t>
      </w:r>
      <w:r>
        <w:rPr>
          <w:rFonts w:ascii="宋体" w:hAnsi="宋体" w:cs="宋体"/>
          <w:color w:val="auto"/>
          <w:highlight w:val="none"/>
        </w:rPr>
        <w:t>(</w:t>
      </w:r>
      <w:r>
        <w:rPr>
          <w:rFonts w:hint="eastAsia" w:ascii="宋体" w:hAnsi="宋体" w:cs="宋体"/>
          <w:color w:val="auto"/>
          <w:highlight w:val="none"/>
        </w:rPr>
        <w:t>征集阶段</w:t>
      </w:r>
      <w:r>
        <w:rPr>
          <w:rFonts w:ascii="宋体" w:hAnsi="宋体" w:cs="宋体"/>
          <w:color w:val="auto"/>
          <w:highlight w:val="none"/>
        </w:rPr>
        <w:t>)</w:t>
      </w:r>
    </w:p>
    <w:p w14:paraId="7D9528A0">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w:t>
      </w:r>
      <w:r>
        <w:rPr>
          <w:rFonts w:hint="eastAsia" w:ascii="宋体" w:hAnsi="宋体" w:cs="宋体"/>
          <w:color w:val="auto"/>
          <w:highlight w:val="none"/>
        </w:rPr>
        <w:t>征集文件</w:t>
      </w:r>
    </w:p>
    <w:p w14:paraId="4C7544C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2.1.1</w:t>
      </w:r>
      <w:r>
        <w:rPr>
          <w:rFonts w:hint="eastAsia" w:ascii="宋体" w:hAnsi="宋体" w:cs="宋体"/>
          <w:color w:val="auto"/>
          <w:highlight w:val="none"/>
        </w:rPr>
        <w:t>征集文件的构成</w:t>
      </w:r>
    </w:p>
    <w:p w14:paraId="3B8F6B8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第一章征集公告</w:t>
      </w:r>
    </w:p>
    <w:p w14:paraId="6905718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第二章采购需求</w:t>
      </w:r>
    </w:p>
    <w:p w14:paraId="44B6C1B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第三章供应商须知</w:t>
      </w:r>
    </w:p>
    <w:p w14:paraId="61C1355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第四章评审方法及标准</w:t>
      </w:r>
    </w:p>
    <w:p w14:paraId="16507D4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第五章框架协议格式</w:t>
      </w:r>
    </w:p>
    <w:p w14:paraId="6842DB5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第六章合同主要条款格式</w:t>
      </w:r>
    </w:p>
    <w:p w14:paraId="7782283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第七章响应文件格式</w:t>
      </w:r>
    </w:p>
    <w:p w14:paraId="00B9066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2.1.2</w:t>
      </w:r>
      <w:r>
        <w:rPr>
          <w:rFonts w:hint="eastAsia" w:ascii="宋体" w:hAnsi="宋体" w:cs="宋体"/>
          <w:color w:val="auto"/>
          <w:highlight w:val="none"/>
        </w:rPr>
        <w:t>供应商的风险</w:t>
      </w:r>
    </w:p>
    <w:p w14:paraId="05D3A00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供应商没有按照征集文件要求提供全部资料，或者供应商没有对征集文件在各方面作出实质性响应是供应商的风险，并可能导致其响应被否决。</w:t>
      </w:r>
    </w:p>
    <w:p w14:paraId="1F2080E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2.1.3</w:t>
      </w:r>
      <w:r>
        <w:rPr>
          <w:rFonts w:hint="eastAsia" w:ascii="宋体" w:hAnsi="宋体" w:cs="宋体"/>
          <w:color w:val="auto"/>
          <w:highlight w:val="none"/>
        </w:rPr>
        <w:t>征集文件的澄清与修改</w:t>
      </w:r>
    </w:p>
    <w:p w14:paraId="0C9E93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2.1.3.1</w:t>
      </w:r>
      <w:r>
        <w:rPr>
          <w:rFonts w:hint="eastAsia" w:ascii="宋体" w:hAnsi="宋体" w:cs="宋体"/>
          <w:color w:val="auto"/>
          <w:highlight w:val="none"/>
        </w:rPr>
        <w:t>任何已获得征集文件的潜在供应商，均可以书面形式要求征集人作出书面解释、澄清。</w:t>
      </w:r>
    </w:p>
    <w:p w14:paraId="5B5A1E2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2.1.3.2</w:t>
      </w:r>
      <w:r>
        <w:rPr>
          <w:rFonts w:hint="eastAsia" w:ascii="宋体" w:hAnsi="宋体" w:cs="宋体"/>
          <w:color w:val="auto"/>
          <w:highlight w:val="none"/>
        </w:rPr>
        <w:t>征集人对已发出的征集文件进行必要澄清或者修改的，按供应商须知前附表规定发布。</w:t>
      </w:r>
    </w:p>
    <w:p w14:paraId="04BD7AC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2.1.3.3</w:t>
      </w:r>
      <w:r>
        <w:rPr>
          <w:rFonts w:hint="eastAsia" w:ascii="宋体" w:hAnsi="宋体" w:cs="宋体"/>
          <w:color w:val="auto"/>
          <w:highlight w:val="none"/>
        </w:rPr>
        <w:t>征集文件澄清、答复、修改、补充的内容为征集文件的组成部分。当征集文件与征集文件的答复、澄清、修改、补充通知就同一内容的表述不一致时，以最后发出的公告或书面文件为准。</w:t>
      </w:r>
    </w:p>
    <w:p w14:paraId="4F6D18C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w:t>
      </w:r>
      <w:r>
        <w:rPr>
          <w:rFonts w:hint="eastAsia" w:ascii="宋体" w:hAnsi="宋体" w:cs="宋体"/>
          <w:color w:val="auto"/>
          <w:highlight w:val="none"/>
        </w:rPr>
        <w:t>响应文件</w:t>
      </w:r>
    </w:p>
    <w:p w14:paraId="0FACCC9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2.2.1</w:t>
      </w:r>
      <w:r>
        <w:rPr>
          <w:rFonts w:hint="eastAsia" w:ascii="宋体" w:hAnsi="宋体" w:cs="宋体"/>
          <w:color w:val="auto"/>
          <w:highlight w:val="none"/>
        </w:rPr>
        <w:t>响应文件的组成</w:t>
      </w:r>
    </w:p>
    <w:p w14:paraId="75AD4F6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响应文件由第七章“响应文件格式”规定的内容和供应商所</w:t>
      </w:r>
      <w:r>
        <w:rPr>
          <w:rFonts w:hint="eastAsia" w:ascii="宋体" w:hAnsi="宋体" w:cs="宋体"/>
          <w:color w:val="auto"/>
          <w:highlight w:val="none"/>
          <w:lang w:eastAsia="zh-CN"/>
        </w:rPr>
        <w:t>做</w:t>
      </w:r>
      <w:r>
        <w:rPr>
          <w:rFonts w:hint="eastAsia" w:ascii="宋体" w:hAnsi="宋体" w:cs="宋体"/>
          <w:color w:val="auto"/>
          <w:highlight w:val="none"/>
        </w:rPr>
        <w:t>的一切有效补充、修改和承诺等文件组成。</w:t>
      </w:r>
    </w:p>
    <w:p w14:paraId="17BE89E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2.2.2</w:t>
      </w:r>
      <w:r>
        <w:rPr>
          <w:rFonts w:hint="eastAsia" w:ascii="宋体" w:hAnsi="宋体" w:cs="宋体"/>
          <w:color w:val="auto"/>
          <w:highlight w:val="none"/>
        </w:rPr>
        <w:t>响应文件的语言及计量</w:t>
      </w:r>
    </w:p>
    <w:p w14:paraId="03D76FD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2.2.2.1</w:t>
      </w:r>
      <w:r>
        <w:rPr>
          <w:rFonts w:hint="eastAsia" w:ascii="宋体" w:hAnsi="宋体" w:cs="宋体"/>
          <w:color w:val="auto"/>
          <w:highlight w:val="none"/>
        </w:rPr>
        <w:t>响应文件以及供应商与征集人就有关响应事宜的所有来往函电，均应以中文书写</w:t>
      </w:r>
      <w:r>
        <w:rPr>
          <w:rFonts w:ascii="宋体" w:hAnsi="宋体" w:cs="宋体"/>
          <w:color w:val="auto"/>
          <w:highlight w:val="none"/>
        </w:rPr>
        <w:t>(</w:t>
      </w:r>
      <w:r>
        <w:rPr>
          <w:rFonts w:hint="eastAsia" w:ascii="宋体" w:hAnsi="宋体" w:cs="宋体"/>
          <w:color w:val="auto"/>
          <w:highlight w:val="none"/>
        </w:rPr>
        <w:t>除专用术语外，与招标响应有关的语言均使用中文。必要时专用术语应附有中文注释</w:t>
      </w:r>
      <w:r>
        <w:rPr>
          <w:rFonts w:ascii="宋体" w:hAnsi="宋体" w:cs="宋体"/>
          <w:color w:val="auto"/>
          <w:highlight w:val="none"/>
        </w:rPr>
        <w:t>)</w:t>
      </w:r>
      <w:r>
        <w:rPr>
          <w:rFonts w:hint="eastAsia" w:ascii="宋体" w:hAnsi="宋体" w:cs="宋体"/>
          <w:color w:val="auto"/>
          <w:highlight w:val="none"/>
        </w:rPr>
        <w:t>。供应商提交的支持文件和印刷的文献可以使用别的语言，但其相应内容应同时附中文翻译文本，在解释响应文件时以中文翻译文本为主。对不同文字文本响应文件的解释发生异议的，以中文文本为准。</w:t>
      </w:r>
    </w:p>
    <w:p w14:paraId="5997F4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2.2.2.2</w:t>
      </w:r>
      <w:r>
        <w:rPr>
          <w:rFonts w:hint="eastAsia" w:ascii="宋体" w:hAnsi="宋体" w:cs="宋体"/>
          <w:color w:val="auto"/>
          <w:highlight w:val="none"/>
        </w:rPr>
        <w:t>计量单位征集文件已有明确规定的，响应使用征集文件规定的计量单位；征集文件没有规定的，应采用中华人民共和国法定计量单位。</w:t>
      </w:r>
    </w:p>
    <w:p w14:paraId="294B3EF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2.2.3</w:t>
      </w:r>
      <w:r>
        <w:rPr>
          <w:rFonts w:hint="eastAsia" w:ascii="宋体" w:hAnsi="宋体" w:cs="宋体"/>
          <w:color w:val="auto"/>
          <w:highlight w:val="none"/>
        </w:rPr>
        <w:t>响应报价</w:t>
      </w:r>
    </w:p>
    <w:p w14:paraId="606BF26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2.2.3.1</w:t>
      </w:r>
      <w:r>
        <w:rPr>
          <w:rFonts w:hint="eastAsia" w:ascii="宋体" w:hAnsi="宋体" w:cs="宋体"/>
          <w:color w:val="auto"/>
          <w:highlight w:val="none"/>
        </w:rPr>
        <w:t>响应报价应按征集文件中相关附表格式填写。</w:t>
      </w:r>
    </w:p>
    <w:p w14:paraId="120C5CF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2.2.3.2</w:t>
      </w:r>
      <w:r>
        <w:rPr>
          <w:rFonts w:hint="eastAsia" w:ascii="宋体" w:hAnsi="宋体" w:cs="宋体"/>
          <w:color w:val="auto"/>
          <w:highlight w:val="none"/>
        </w:rPr>
        <w:t>响应文件只允许有一个报价，有选择的或有条件的报价将不予接受。</w:t>
      </w:r>
    </w:p>
    <w:p w14:paraId="6729D35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2.2.3.3</w:t>
      </w:r>
      <w:r>
        <w:rPr>
          <w:rFonts w:hint="eastAsia" w:ascii="宋体" w:hAnsi="宋体" w:cs="宋体"/>
          <w:color w:val="auto"/>
          <w:highlight w:val="none"/>
        </w:rPr>
        <w:t>对于本文件中未列明，而供应商认为必需的费用也需列入响应报价。在合同实施时，采购人将不予支付供应商没有列入的项目费用，并认为此项目的费用已包括在响应报价中。</w:t>
      </w:r>
    </w:p>
    <w:p w14:paraId="64F13F0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2.2.3.4</w:t>
      </w:r>
      <w:r>
        <w:rPr>
          <w:rFonts w:hint="eastAsia" w:ascii="宋体" w:hAnsi="宋体" w:cs="宋体"/>
          <w:color w:val="auto"/>
          <w:highlight w:val="none"/>
        </w:rPr>
        <w:t>采购人不接受供应商给予的赠品、回扣或者与采购无关的其他商品、服务。</w:t>
      </w:r>
    </w:p>
    <w:p w14:paraId="7077025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2.2.4</w:t>
      </w:r>
      <w:r>
        <w:rPr>
          <w:rFonts w:hint="eastAsia" w:ascii="宋体" w:hAnsi="宋体" w:cs="宋体"/>
          <w:color w:val="auto"/>
          <w:highlight w:val="none"/>
        </w:rPr>
        <w:t>响应有效期</w:t>
      </w:r>
    </w:p>
    <w:p w14:paraId="20D642D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2.2.4.1</w:t>
      </w:r>
      <w:r>
        <w:rPr>
          <w:rFonts w:hint="eastAsia" w:ascii="宋体" w:hAnsi="宋体" w:cs="宋体"/>
          <w:color w:val="auto"/>
          <w:highlight w:val="none"/>
        </w:rPr>
        <w:t>如征集文件其他地方无特别规定，响应有效期则为响应截止之日起</w:t>
      </w:r>
      <w:r>
        <w:rPr>
          <w:rFonts w:ascii="宋体" w:hAnsi="宋体" w:cs="宋体"/>
          <w:color w:val="auto"/>
          <w:highlight w:val="none"/>
        </w:rPr>
        <w:t>90</w:t>
      </w:r>
      <w:r>
        <w:rPr>
          <w:rFonts w:hint="eastAsia" w:ascii="宋体" w:hAnsi="宋体" w:cs="宋体"/>
          <w:color w:val="auto"/>
          <w:highlight w:val="none"/>
        </w:rPr>
        <w:t>天。在响应有效期内响应文件应保持有效。有效期不足的响应文件将被否决。</w:t>
      </w:r>
    </w:p>
    <w:p w14:paraId="20D1AD9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2.2.4.2</w:t>
      </w:r>
      <w:r>
        <w:rPr>
          <w:rFonts w:hint="eastAsia" w:ascii="宋体" w:hAnsi="宋体" w:cs="宋体"/>
          <w:color w:val="auto"/>
          <w:highlight w:val="none"/>
        </w:rPr>
        <w:t>在特殊情况下，征集人可与供应商协商延长响应文件的有效期，这种要求和答复均以书面形式进行。</w:t>
      </w:r>
    </w:p>
    <w:p w14:paraId="4EE84A32">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2.2.5</w:t>
      </w:r>
      <w:r>
        <w:rPr>
          <w:rFonts w:hint="eastAsia" w:ascii="宋体" w:hAnsi="宋体" w:cs="宋体"/>
          <w:color w:val="auto"/>
          <w:highlight w:val="none"/>
        </w:rPr>
        <w:t>响应文件的编制要求</w:t>
      </w:r>
    </w:p>
    <w:p w14:paraId="3524B28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2.2.5.1</w:t>
      </w:r>
      <w:r>
        <w:rPr>
          <w:rFonts w:hint="eastAsia" w:ascii="宋体" w:hAnsi="宋体" w:cs="宋体"/>
          <w:color w:val="auto"/>
          <w:highlight w:val="none"/>
        </w:rPr>
        <w:t>供应商应先安装“政采云响应客户端”</w:t>
      </w:r>
      <w:r>
        <w:rPr>
          <w:rFonts w:ascii="宋体" w:hAnsi="宋体" w:cs="宋体"/>
          <w:color w:val="auto"/>
          <w:highlight w:val="none"/>
        </w:rPr>
        <w:t>(</w:t>
      </w:r>
      <w:r>
        <w:rPr>
          <w:rFonts w:hint="eastAsia" w:ascii="宋体" w:hAnsi="宋体" w:cs="宋体"/>
          <w:color w:val="auto"/>
          <w:highlight w:val="none"/>
        </w:rPr>
        <w:t>请自行前往“政采云”平台进行下载</w:t>
      </w:r>
      <w:r>
        <w:rPr>
          <w:rFonts w:ascii="宋体" w:hAnsi="宋体" w:cs="宋体"/>
          <w:color w:val="auto"/>
          <w:highlight w:val="none"/>
        </w:rPr>
        <w:t>)</w:t>
      </w:r>
      <w:r>
        <w:rPr>
          <w:rFonts w:hint="eastAsia" w:ascii="宋体" w:hAnsi="宋体" w:cs="宋体"/>
          <w:color w:val="auto"/>
          <w:highlight w:val="none"/>
        </w:rPr>
        <w:t>，通过账号密码或</w:t>
      </w:r>
      <w:r>
        <w:rPr>
          <w:rFonts w:ascii="宋体" w:hAnsi="宋体" w:cs="宋体"/>
          <w:color w:val="auto"/>
          <w:highlight w:val="none"/>
        </w:rPr>
        <w:t>CA</w:t>
      </w:r>
      <w:r>
        <w:rPr>
          <w:rFonts w:hint="eastAsia" w:ascii="宋体" w:hAnsi="宋体" w:cs="宋体"/>
          <w:color w:val="auto"/>
          <w:highlight w:val="none"/>
        </w:rPr>
        <w:t>登录客户端制作响应文件。</w:t>
      </w:r>
    </w:p>
    <w:p w14:paraId="7EAB91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2.2.5.2</w:t>
      </w:r>
      <w:r>
        <w:rPr>
          <w:rFonts w:hint="eastAsia" w:ascii="宋体" w:hAnsi="宋体" w:cs="宋体"/>
          <w:color w:val="auto"/>
          <w:highlight w:val="none"/>
        </w:rPr>
        <w:t>供应商应按本征集文件规定的格式和顺序编制、装订响应文件并编制完整的页码、目录，响应文件内容不完整、编排混乱导致响应文件被误读、漏读或者查找不到相关内容的，由供应商自行负责。</w:t>
      </w:r>
    </w:p>
    <w:p w14:paraId="59772CB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2.2.5.3</w:t>
      </w:r>
      <w:r>
        <w:rPr>
          <w:rFonts w:hint="eastAsia" w:ascii="宋体" w:hAnsi="宋体" w:cs="宋体"/>
          <w:color w:val="auto"/>
          <w:highlight w:val="none"/>
        </w:rPr>
        <w:t>响应文件按照征集文件第七章格式要求在规定位置进行签署、盖章。供应商的响应文件未按照征集文件要求签署、盖章的，其响应无效。骑缝盖公章不视为在规定位置盖章。</w:t>
      </w:r>
    </w:p>
    <w:p w14:paraId="7EFFAFF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2.2.5.4</w:t>
      </w:r>
      <w:r>
        <w:rPr>
          <w:rFonts w:hint="eastAsia" w:ascii="宋体" w:hAnsi="宋体" w:cs="宋体"/>
          <w:color w:val="auto"/>
          <w:highlight w:val="none"/>
        </w:rPr>
        <w:t>为确保网上操作合法、有效和安全，供应商应当在响应文件递交截止时间前完成在“政采云”平台的身份认证，确保在电子响应过程中能够对相关数据电文进行加密和使用电子签名。</w:t>
      </w:r>
    </w:p>
    <w:p w14:paraId="2F594F9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2.2.5.5</w:t>
      </w:r>
      <w:r>
        <w:rPr>
          <w:rFonts w:hint="eastAsia" w:ascii="宋体" w:hAnsi="宋体" w:cs="宋体"/>
          <w:color w:val="auto"/>
          <w:highlight w:val="none"/>
        </w:rPr>
        <w:t>响应文件中标注的供应商名称应与主体资格证明</w:t>
      </w:r>
      <w:r>
        <w:rPr>
          <w:rFonts w:ascii="宋体" w:hAnsi="宋体" w:cs="宋体"/>
          <w:color w:val="auto"/>
          <w:highlight w:val="none"/>
        </w:rPr>
        <w:t>(</w:t>
      </w:r>
      <w:r>
        <w:rPr>
          <w:rFonts w:hint="eastAsia" w:ascii="宋体" w:hAnsi="宋体" w:cs="宋体"/>
          <w:color w:val="auto"/>
          <w:highlight w:val="none"/>
        </w:rPr>
        <w:t>如营业执照、事业单位法人证书、执业许可证、个体工商户营业执照、自然人身份证等</w:t>
      </w:r>
      <w:r>
        <w:rPr>
          <w:rFonts w:ascii="宋体" w:hAnsi="宋体" w:cs="宋体"/>
          <w:color w:val="auto"/>
          <w:highlight w:val="none"/>
        </w:rPr>
        <w:t>)</w:t>
      </w:r>
      <w:r>
        <w:rPr>
          <w:rFonts w:hint="eastAsia" w:ascii="宋体" w:hAnsi="宋体" w:cs="宋体"/>
          <w:color w:val="auto"/>
          <w:highlight w:val="none"/>
        </w:rPr>
        <w:t>和公章</w:t>
      </w:r>
      <w:r>
        <w:rPr>
          <w:rFonts w:ascii="宋体" w:hAnsi="宋体" w:cs="宋体"/>
          <w:color w:val="auto"/>
          <w:highlight w:val="none"/>
        </w:rPr>
        <w:t>/</w:t>
      </w:r>
      <w:r>
        <w:rPr>
          <w:rFonts w:hint="eastAsia" w:ascii="宋体" w:hAnsi="宋体" w:cs="宋体"/>
          <w:color w:val="auto"/>
          <w:highlight w:val="none"/>
        </w:rPr>
        <w:t>电子签章一致，否则作无效响应处理。</w:t>
      </w:r>
    </w:p>
    <w:p w14:paraId="59FE714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2.2.6</w:t>
      </w:r>
      <w:r>
        <w:rPr>
          <w:rFonts w:hint="eastAsia" w:ascii="宋体" w:hAnsi="宋体" w:cs="宋体"/>
          <w:color w:val="auto"/>
          <w:highlight w:val="none"/>
        </w:rPr>
        <w:t>响应文件的递交、修改和撤回</w:t>
      </w:r>
    </w:p>
    <w:p w14:paraId="6D9AAB5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2.2.6.1</w:t>
      </w:r>
      <w:r>
        <w:rPr>
          <w:rFonts w:hint="eastAsia" w:ascii="宋体" w:hAnsi="宋体" w:cs="宋体"/>
          <w:color w:val="auto"/>
          <w:highlight w:val="none"/>
        </w:rPr>
        <w:t>供应商必须在供应商须知前附表规定的响应文件截标时间和截标地点提交电子版响应文件。电子响应文件应在制作完成后，在响应文件提交截止时间前通过有效数字证书</w:t>
      </w:r>
      <w:r>
        <w:rPr>
          <w:rFonts w:ascii="宋体" w:hAnsi="宋体" w:cs="宋体"/>
          <w:color w:val="auto"/>
          <w:highlight w:val="none"/>
        </w:rPr>
        <w:t>(CA</w:t>
      </w:r>
      <w:r>
        <w:rPr>
          <w:rFonts w:hint="eastAsia" w:ascii="宋体" w:hAnsi="宋体" w:cs="宋体"/>
          <w:color w:val="auto"/>
          <w:highlight w:val="none"/>
        </w:rPr>
        <w:t>认证锁</w:t>
      </w:r>
      <w:r>
        <w:rPr>
          <w:rFonts w:ascii="宋体" w:hAnsi="宋体" w:cs="宋体"/>
          <w:color w:val="auto"/>
          <w:highlight w:val="none"/>
        </w:rPr>
        <w:t>)</w:t>
      </w:r>
      <w:r>
        <w:rPr>
          <w:rFonts w:hint="eastAsia" w:ascii="宋体" w:hAnsi="宋体" w:cs="宋体"/>
          <w:color w:val="auto"/>
          <w:highlight w:val="none"/>
        </w:rPr>
        <w:t>进行电子签章、加密，然后通过网络将加密的电子响应文件递交至“政采云平台”。</w:t>
      </w:r>
    </w:p>
    <w:p w14:paraId="5E450D4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2.2.6.2</w:t>
      </w:r>
      <w:r>
        <w:rPr>
          <w:rFonts w:hint="eastAsia" w:ascii="宋体" w:hAnsi="宋体" w:cs="宋体"/>
          <w:color w:val="auto"/>
          <w:highlight w:val="none"/>
        </w:rPr>
        <w:t>未在规定时间内提交或者未按照征集文件要求签章、加密的电子响应文件，“政采云”平台将拒收。</w:t>
      </w:r>
    </w:p>
    <w:p w14:paraId="53CAA2F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2.2.6.3</w:t>
      </w:r>
      <w:r>
        <w:rPr>
          <w:rFonts w:hint="eastAsia" w:ascii="宋体" w:hAnsi="宋体" w:cs="宋体"/>
          <w:color w:val="auto"/>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5A18657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2.2.6.4</w:t>
      </w:r>
      <w:r>
        <w:rPr>
          <w:rFonts w:hint="eastAsia" w:ascii="宋体" w:hAnsi="宋体" w:cs="宋体"/>
          <w:color w:val="auto"/>
          <w:highlight w:val="none"/>
        </w:rPr>
        <w:t>在响应文件提交截止时间前，除供应商补充、修改或者撤回响应文件外，任何单位和个人不得解密或提取响应文件。</w:t>
      </w:r>
    </w:p>
    <w:p w14:paraId="587D124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2.2.6.5</w:t>
      </w:r>
      <w:r>
        <w:rPr>
          <w:rFonts w:hint="eastAsia" w:ascii="宋体" w:hAnsi="宋体" w:cs="宋体"/>
          <w:color w:val="auto"/>
          <w:highlight w:val="none"/>
        </w:rPr>
        <w:t>在响应文件提交截止时间止提交电子版响应文件的供应商不足</w:t>
      </w:r>
      <w:r>
        <w:rPr>
          <w:rFonts w:ascii="宋体" w:hAnsi="宋体" w:cs="宋体"/>
          <w:color w:val="auto"/>
          <w:highlight w:val="none"/>
        </w:rPr>
        <w:t>2</w:t>
      </w:r>
      <w:r>
        <w:rPr>
          <w:rFonts w:hint="eastAsia" w:ascii="宋体" w:hAnsi="宋体" w:cs="宋体"/>
          <w:color w:val="auto"/>
          <w:highlight w:val="none"/>
        </w:rPr>
        <w:t>家时，电子版响应文件由征集人在“政采云”平台操作退回，除此之外征集人对已提交的响应文件概不退回。</w:t>
      </w:r>
    </w:p>
    <w:p w14:paraId="31BB1A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2.2.6.6</w:t>
      </w:r>
      <w:r>
        <w:rPr>
          <w:rFonts w:hint="eastAsia" w:ascii="宋体" w:hAnsi="宋体" w:cs="宋体"/>
          <w:color w:val="auto"/>
          <w:highlight w:val="none"/>
        </w:rPr>
        <w:t>征集文件未允许提供备选文件，但存在同一供应商提交两个或以上不同的响应文件，其响应无效。供应商在同一响应文件中对某项技术、商务要求提供有选择性的响应参数或方案等同于提交两个或以上不同的响应文件。</w:t>
      </w:r>
    </w:p>
    <w:p w14:paraId="5AA2403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w:t>
      </w:r>
      <w:r>
        <w:rPr>
          <w:rFonts w:hint="eastAsia" w:ascii="宋体" w:hAnsi="宋体" w:cs="宋体"/>
          <w:color w:val="auto"/>
          <w:highlight w:val="none"/>
        </w:rPr>
        <w:t>截标</w:t>
      </w:r>
    </w:p>
    <w:p w14:paraId="2CA06A6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2.3.1</w:t>
      </w:r>
      <w:r>
        <w:rPr>
          <w:rFonts w:hint="eastAsia" w:ascii="宋体" w:hAnsi="宋体" w:cs="宋体"/>
          <w:color w:val="auto"/>
          <w:highlight w:val="none"/>
        </w:rPr>
        <w:t>截标准备</w:t>
      </w:r>
    </w:p>
    <w:p w14:paraId="285C583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本项目响应文件提交截止时间及地点见供应商须知前附表规定。</w:t>
      </w:r>
    </w:p>
    <w:p w14:paraId="32BCF02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全流程电子化项目没有现场递交响应文件及现场截标环节。征集人将按照征集文件规定的时间通过“政采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534B209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如供应商成功解密响应文件，但未在“政采云”电子截标大厅参加截标的，视同认可截标过程和结果，由此产生的后果由供应商自行负责。</w:t>
      </w:r>
    </w:p>
    <w:p w14:paraId="54A8F3A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2.3.2</w:t>
      </w:r>
      <w:r>
        <w:rPr>
          <w:rFonts w:hint="eastAsia" w:ascii="宋体" w:hAnsi="宋体" w:cs="宋体"/>
          <w:color w:val="auto"/>
          <w:highlight w:val="none"/>
        </w:rPr>
        <w:t>截标程序</w:t>
      </w:r>
    </w:p>
    <w:p w14:paraId="1DA468E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2.3.2.1</w:t>
      </w:r>
      <w:r>
        <w:rPr>
          <w:rFonts w:hint="eastAsia" w:ascii="宋体" w:hAnsi="宋体" w:cs="宋体"/>
          <w:color w:val="auto"/>
          <w:highlight w:val="none"/>
        </w:rPr>
        <w:t>供应商登录政采云平台进入截标大厅签到。</w:t>
      </w:r>
    </w:p>
    <w:p w14:paraId="79291A5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2.3.2.2</w:t>
      </w:r>
      <w:r>
        <w:rPr>
          <w:rFonts w:hint="eastAsia" w:ascii="宋体" w:hAnsi="宋体" w:cs="宋体"/>
          <w:color w:val="auto"/>
          <w:highlight w:val="none"/>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w:t>
      </w:r>
      <w:r>
        <w:rPr>
          <w:rFonts w:ascii="宋体" w:hAnsi="宋体" w:cs="宋体"/>
          <w:color w:val="auto"/>
          <w:highlight w:val="none"/>
        </w:rPr>
        <w:t>CA</w:t>
      </w:r>
      <w:r>
        <w:rPr>
          <w:rFonts w:hint="eastAsia" w:ascii="宋体" w:hAnsi="宋体" w:cs="宋体"/>
          <w:color w:val="auto"/>
          <w:highlight w:val="none"/>
        </w:rPr>
        <w:t>锁准时登录到“政采云”平台电子截标大厅签到并对电子响应文件解密。截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690F30C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2.3.2.3</w:t>
      </w:r>
      <w:r>
        <w:rPr>
          <w:rFonts w:hint="eastAsia" w:ascii="宋体" w:hAnsi="宋体" w:cs="宋体"/>
          <w:color w:val="auto"/>
          <w:highlight w:val="none"/>
        </w:rPr>
        <w:t>是否接受备份响应文件详见供应商须知前附表，如接受备份文件，出现供应商自身原因引起的解密异常时，供应商须在规定时间内将备份响应文件通过邮箱发送至征集人</w:t>
      </w:r>
      <w:r>
        <w:rPr>
          <w:rFonts w:ascii="宋体" w:hAnsi="宋体" w:cs="宋体"/>
          <w:color w:val="auto"/>
          <w:highlight w:val="none"/>
        </w:rPr>
        <w:t>(</w:t>
      </w:r>
      <w:r>
        <w:rPr>
          <w:rFonts w:hint="eastAsia" w:ascii="宋体" w:hAnsi="宋体" w:cs="宋体"/>
          <w:color w:val="auto"/>
          <w:highlight w:val="none"/>
        </w:rPr>
        <w:t>代理机构</w:t>
      </w:r>
      <w:r>
        <w:rPr>
          <w:rFonts w:ascii="宋体" w:hAnsi="宋体" w:cs="宋体"/>
          <w:color w:val="auto"/>
          <w:highlight w:val="none"/>
        </w:rPr>
        <w:t>)</w:t>
      </w:r>
      <w:r>
        <w:rPr>
          <w:rFonts w:hint="eastAsia" w:ascii="宋体" w:hAnsi="宋体" w:cs="宋体"/>
          <w:color w:val="auto"/>
          <w:highlight w:val="none"/>
        </w:rPr>
        <w:t>，由代理机构上传备份响应文件后将自动解密。</w:t>
      </w:r>
    </w:p>
    <w:p w14:paraId="362608E8">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解密异常情况处理：详见本章</w:t>
      </w:r>
      <w:r>
        <w:rPr>
          <w:rFonts w:ascii="宋体" w:hAnsi="宋体" w:cs="宋体"/>
          <w:color w:val="auto"/>
          <w:highlight w:val="none"/>
        </w:rPr>
        <w:t>9.2</w:t>
      </w:r>
      <w:r>
        <w:rPr>
          <w:rFonts w:hint="eastAsia" w:ascii="宋体" w:hAnsi="宋体" w:cs="宋体"/>
          <w:color w:val="auto"/>
          <w:highlight w:val="none"/>
        </w:rPr>
        <w:t>电子交易活动的中止。</w:t>
      </w:r>
      <w:r>
        <w:rPr>
          <w:rFonts w:ascii="宋体" w:hAnsi="宋体" w:cs="宋体"/>
          <w:color w:val="auto"/>
          <w:highlight w:val="none"/>
        </w:rPr>
        <w:t>)</w:t>
      </w:r>
    </w:p>
    <w:p w14:paraId="56AB4D3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2.3.2.4</w:t>
      </w:r>
      <w:r>
        <w:rPr>
          <w:rFonts w:hint="eastAsia" w:ascii="宋体" w:hAnsi="宋体" w:cs="宋体"/>
          <w:color w:val="auto"/>
          <w:highlight w:val="none"/>
        </w:rPr>
        <w:t>供应商对报价进行确认</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w:t>
      </w:r>
    </w:p>
    <w:p w14:paraId="17B4BD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2.3.2.5</w:t>
      </w:r>
      <w:r>
        <w:rPr>
          <w:rFonts w:hint="eastAsia" w:ascii="宋体" w:hAnsi="宋体" w:cs="宋体"/>
          <w:color w:val="auto"/>
          <w:highlight w:val="none"/>
        </w:rPr>
        <w:t>截标结束。</w:t>
      </w:r>
    </w:p>
    <w:p w14:paraId="1DC4FE4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特别说明：如遇“政采云”平台相关程序调整的，按调整后的程序执行。</w:t>
      </w:r>
    </w:p>
    <w:p w14:paraId="5542C262">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2.3.3</w:t>
      </w:r>
      <w:r>
        <w:rPr>
          <w:rFonts w:hint="eastAsia" w:ascii="宋体" w:hAnsi="宋体" w:cs="宋体"/>
          <w:color w:val="auto"/>
          <w:highlight w:val="none"/>
        </w:rPr>
        <w:t>演示</w:t>
      </w:r>
    </w:p>
    <w:p w14:paraId="2529B79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2.3.3.1</w:t>
      </w:r>
      <w:r>
        <w:rPr>
          <w:rFonts w:hint="eastAsia" w:ascii="宋体" w:hAnsi="宋体" w:cs="宋体"/>
          <w:color w:val="auto"/>
          <w:highlight w:val="none"/>
        </w:rPr>
        <w:t>供应商须知前附表规定在截标会议结束后进行演示的，供应商应按规定进行演示。</w:t>
      </w:r>
    </w:p>
    <w:p w14:paraId="11168F3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2.3.3.2</w:t>
      </w:r>
      <w:r>
        <w:rPr>
          <w:rFonts w:hint="eastAsia" w:ascii="宋体" w:hAnsi="宋体" w:cs="宋体"/>
          <w:color w:val="auto"/>
          <w:highlight w:val="none"/>
        </w:rPr>
        <w:t>未按规定时间进行演示可能引起的演示分数被计为</w:t>
      </w:r>
      <w:r>
        <w:rPr>
          <w:rFonts w:ascii="宋体" w:cs="宋体"/>
          <w:color w:val="auto"/>
          <w:highlight w:val="none"/>
        </w:rPr>
        <w:t>0</w:t>
      </w:r>
      <w:r>
        <w:rPr>
          <w:rFonts w:hint="eastAsia" w:ascii="宋体" w:hAnsi="宋体" w:cs="宋体"/>
          <w:color w:val="auto"/>
          <w:highlight w:val="none"/>
        </w:rPr>
        <w:t>分或响应无效等后果由供应商自行承担。</w:t>
      </w:r>
    </w:p>
    <w:p w14:paraId="2A12546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2.4</w:t>
      </w:r>
      <w:r>
        <w:rPr>
          <w:rFonts w:hint="eastAsia" w:ascii="宋体" w:hAnsi="宋体" w:cs="宋体"/>
          <w:color w:val="auto"/>
          <w:highlight w:val="none"/>
        </w:rPr>
        <w:t>资格审查</w:t>
      </w:r>
    </w:p>
    <w:p w14:paraId="714870D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2.4.1</w:t>
      </w:r>
      <w:r>
        <w:rPr>
          <w:rFonts w:hint="eastAsia" w:ascii="宋体" w:hAnsi="宋体" w:cs="宋体"/>
          <w:color w:val="auto"/>
          <w:highlight w:val="none"/>
        </w:rPr>
        <w:t>本项目采用资格后审方法。截标结束后，征集人通过电子交易平台对供应商的资格进行线上审查。资格审查是根据法律法规和征集文件的规定，对供应商的基本资格条件、特定资格条件进行审查。</w:t>
      </w:r>
    </w:p>
    <w:p w14:paraId="40EA021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2.4.2</w:t>
      </w:r>
      <w:r>
        <w:rPr>
          <w:rFonts w:hint="eastAsia" w:ascii="宋体" w:hAnsi="宋体" w:cs="宋体"/>
          <w:color w:val="auto"/>
          <w:highlight w:val="none"/>
        </w:rPr>
        <w:t>资格审查标准在第四章评审方法及标准中规定，符合资格审查标准要求的供应商即为资格审查合格。</w:t>
      </w:r>
    </w:p>
    <w:p w14:paraId="45E0FA9F">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2.4.3</w:t>
      </w:r>
      <w:r>
        <w:rPr>
          <w:rFonts w:hint="eastAsia" w:ascii="宋体" w:hAnsi="宋体" w:cs="宋体"/>
          <w:color w:val="auto"/>
          <w:highlight w:val="none"/>
        </w:rPr>
        <w:t>信用查询要求如下</w:t>
      </w:r>
      <w:r>
        <w:rPr>
          <w:rFonts w:ascii="宋体" w:hAnsi="宋体" w:cs="宋体"/>
          <w:color w:val="auto"/>
          <w:highlight w:val="none"/>
        </w:rPr>
        <w:t>(</w:t>
      </w:r>
      <w:r>
        <w:rPr>
          <w:rFonts w:hint="eastAsia" w:ascii="宋体" w:hAnsi="宋体" w:cs="宋体"/>
          <w:color w:val="auto"/>
          <w:highlight w:val="none"/>
        </w:rPr>
        <w:t>注：“政采云”平台已与“信用中国”平台做接口，审查专家可直接在线查询</w:t>
      </w:r>
      <w:r>
        <w:rPr>
          <w:rFonts w:ascii="宋体" w:hAnsi="宋体" w:cs="宋体"/>
          <w:color w:val="auto"/>
          <w:highlight w:val="none"/>
        </w:rPr>
        <w:t>)</w:t>
      </w:r>
    </w:p>
    <w:p w14:paraId="1A9BBF8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①审核要求：供应商未被列入失信被执行人、重大税收违法案件当事人名单、政府采购严重违法失信行为记录名单。</w:t>
      </w:r>
    </w:p>
    <w:p w14:paraId="7FD4A10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信用信息查询渠道：</w:t>
      </w:r>
    </w:p>
    <w:p w14:paraId="29380B8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中国政府采购网“政府采购严重违法失信行为记录名单”查询网址链接：</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//www.ccgp.gov.cn/search/cr/</w:t>
      </w:r>
      <w:r>
        <w:rPr>
          <w:rFonts w:ascii="宋体" w:hAnsi="宋体" w:cs="宋体"/>
          <w:color w:val="auto"/>
          <w:highlight w:val="none"/>
        </w:rPr>
        <w:fldChar w:fldCharType="end"/>
      </w:r>
    </w:p>
    <w:p w14:paraId="690FAD9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信用中国网：“失信被执行人”查询网址链接：</w:t>
      </w:r>
      <w:r>
        <w:rPr>
          <w:color w:val="auto"/>
          <w:highlight w:val="none"/>
        </w:rPr>
        <w:fldChar w:fldCharType="begin"/>
      </w:r>
      <w:r>
        <w:rPr>
          <w:color w:val="auto"/>
          <w:highlight w:val="none"/>
        </w:rPr>
        <w:instrText xml:space="preserve"> HYPERLINK "http://www.creditchina.gov.cn/xinyongfuwu/shixinbeizhixingrenchaxun/?navPage=5"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//www.creditchina.gov.cn/xinyongfuwu/shixinbeizhixingrenchaxun/?navPage=5</w:t>
      </w:r>
      <w:r>
        <w:rPr>
          <w:rFonts w:ascii="宋体" w:hAnsi="宋体" w:cs="宋体"/>
          <w:color w:val="auto"/>
          <w:highlight w:val="none"/>
        </w:rPr>
        <w:fldChar w:fldCharType="end"/>
      </w:r>
    </w:p>
    <w:p w14:paraId="51F1F47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“重大税收违法案件当事人名单”查询网址链接：</w:t>
      </w:r>
    </w:p>
    <w:p w14:paraId="40BD2231">
      <w:pPr>
        <w:kinsoku/>
        <w:topLinePunct/>
        <w:autoSpaceDE/>
        <w:autoSpaceDN/>
        <w:spacing w:line="348" w:lineRule="auto"/>
        <w:ind w:right="86" w:rightChars="41" w:firstLine="445" w:firstLineChars="212"/>
        <w:rPr>
          <w:rFonts w:ascii="宋体" w:cs="宋体"/>
          <w:color w:val="auto"/>
          <w:highlight w:val="none"/>
        </w:rPr>
      </w:pPr>
      <w:r>
        <w:rPr>
          <w:color w:val="auto"/>
          <w:highlight w:val="none"/>
        </w:rPr>
        <w:fldChar w:fldCharType="begin"/>
      </w:r>
      <w:r>
        <w:rPr>
          <w:color w:val="auto"/>
          <w:highlight w:val="none"/>
        </w:rPr>
        <w:instrText xml:space="preserve"> HYPERLINK "http://www.creditchina.gov.cn/xinyongfuwu/zhongdashuishouweifaanjian/?navPage=5"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//www.creditchina.gov.cn/xinyongfuwu/zhongdashuishouweifaanjian/?navPage=5</w:t>
      </w:r>
      <w:r>
        <w:rPr>
          <w:rFonts w:ascii="宋体" w:hAnsi="宋体" w:cs="宋体"/>
          <w:color w:val="auto"/>
          <w:highlight w:val="none"/>
        </w:rPr>
        <w:fldChar w:fldCharType="end"/>
      </w:r>
      <w:r>
        <w:rPr>
          <w:rFonts w:hint="eastAsia" w:ascii="宋体" w:hAnsi="宋体" w:cs="宋体"/>
          <w:color w:val="auto"/>
          <w:highlight w:val="none"/>
        </w:rPr>
        <w:t>“政府采购严重违法失信行为记录名单”查询网址链接：</w:t>
      </w:r>
    </w:p>
    <w:p w14:paraId="4D45BB50">
      <w:pPr>
        <w:kinsoku/>
        <w:topLinePunct/>
        <w:autoSpaceDE/>
        <w:autoSpaceDN/>
        <w:spacing w:line="348" w:lineRule="auto"/>
        <w:ind w:right="86" w:rightChars="41" w:firstLine="445" w:firstLineChars="212"/>
        <w:rPr>
          <w:rFonts w:ascii="宋体" w:cs="宋体"/>
          <w:color w:val="auto"/>
          <w:highlight w:val="none"/>
        </w:rPr>
      </w:pPr>
      <w:r>
        <w:rPr>
          <w:color w:val="auto"/>
          <w:highlight w:val="none"/>
        </w:rPr>
        <w:fldChar w:fldCharType="begin"/>
      </w:r>
      <w:r>
        <w:rPr>
          <w:color w:val="auto"/>
          <w:highlight w:val="none"/>
        </w:rPr>
        <w:instrText xml:space="preserve"> HYPERLINK "http://www.creditchina.gov.cn/xinyongfuwu/zhengfucaigouyanzhongweifashixinmingdan/?navPage=5"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//www.creditchina.gov.cn/xinyongfuwu/zhengfucaigouyanzhongweifashixinmingdan/?navPage=5</w:t>
      </w:r>
      <w:r>
        <w:rPr>
          <w:rFonts w:ascii="宋体" w:hAnsi="宋体" w:cs="宋体"/>
          <w:color w:val="auto"/>
          <w:highlight w:val="none"/>
        </w:rPr>
        <w:fldChar w:fldCharType="end"/>
      </w:r>
      <w:r>
        <w:rPr>
          <w:rFonts w:ascii="宋体" w:hAnsi="宋体" w:cs="宋体"/>
          <w:color w:val="auto"/>
          <w:highlight w:val="none"/>
        </w:rPr>
        <w:t>2)</w:t>
      </w:r>
      <w:r>
        <w:rPr>
          <w:rFonts w:hint="eastAsia" w:ascii="宋体" w:hAnsi="宋体" w:cs="宋体"/>
          <w:color w:val="auto"/>
          <w:highlight w:val="none"/>
        </w:rPr>
        <w:t>信用信息查询或打印截止时点：征集公告发布后</w:t>
      </w:r>
      <w:r>
        <w:rPr>
          <w:rFonts w:ascii="宋体" w:hAnsi="宋体" w:cs="宋体"/>
          <w:color w:val="auto"/>
          <w:highlight w:val="none"/>
        </w:rPr>
        <w:t>1</w:t>
      </w:r>
      <w:r>
        <w:rPr>
          <w:rFonts w:hint="eastAsia" w:ascii="宋体" w:hAnsi="宋体" w:cs="宋体"/>
          <w:color w:val="auto"/>
          <w:highlight w:val="none"/>
        </w:rPr>
        <w:t>日。</w:t>
      </w:r>
    </w:p>
    <w:p w14:paraId="1783B0E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）信用信息查询记录和证据留存的具体方式：详见“政采云信用数据查询”。</w:t>
      </w:r>
    </w:p>
    <w:p w14:paraId="3809B5A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信用信息的使用规则：供应商如被列入失信被执行人、重大税收违法案件当事人名单、政府采购严重违法失信行为记录名单则资格审查不予通过，响应被否决。</w:t>
      </w:r>
    </w:p>
    <w:p w14:paraId="2FCEE5B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2.4.4</w:t>
      </w:r>
      <w:r>
        <w:rPr>
          <w:rFonts w:hint="eastAsia" w:ascii="宋体" w:hAnsi="宋体" w:cs="宋体"/>
          <w:color w:val="auto"/>
          <w:highlight w:val="none"/>
        </w:rPr>
        <w:t>供应商有下列情形之一的，资格审查不合格，作无效响应处理：</w:t>
      </w:r>
    </w:p>
    <w:p w14:paraId="0C63463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不具备征集文件中规定的资格要求或资格条件的；</w:t>
      </w:r>
    </w:p>
    <w:p w14:paraId="7F6EA80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响应文件缺少任何一项资格证明文件或不符合第四章评审方法及标准中资格审查标准规定的评审内容的；</w:t>
      </w:r>
    </w:p>
    <w:p w14:paraId="35E6120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资格审查合格的供应商不足</w:t>
      </w:r>
      <w:r>
        <w:rPr>
          <w:rFonts w:ascii="宋体" w:hAnsi="宋体" w:cs="宋体"/>
          <w:color w:val="auto"/>
          <w:highlight w:val="none"/>
        </w:rPr>
        <w:t>2</w:t>
      </w:r>
      <w:r>
        <w:rPr>
          <w:rFonts w:hint="eastAsia" w:ascii="宋体" w:hAnsi="宋体" w:cs="宋体"/>
          <w:color w:val="auto"/>
          <w:highlight w:val="none"/>
        </w:rPr>
        <w:t>家的，不得评审。</w:t>
      </w:r>
    </w:p>
    <w:p w14:paraId="2A1CACC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w:t>
      </w:r>
      <w:r>
        <w:rPr>
          <w:rFonts w:hint="eastAsia" w:ascii="宋体" w:hAnsi="宋体" w:cs="宋体"/>
          <w:color w:val="auto"/>
          <w:highlight w:val="none"/>
        </w:rPr>
        <w:t>评审</w:t>
      </w:r>
    </w:p>
    <w:p w14:paraId="53A36331">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2.5.1</w:t>
      </w:r>
      <w:r>
        <w:rPr>
          <w:rFonts w:hint="eastAsia" w:ascii="宋体" w:hAnsi="宋体" w:cs="宋体"/>
          <w:color w:val="auto"/>
          <w:highlight w:val="none"/>
          <w:lang w:eastAsia="zh-CN"/>
        </w:rPr>
        <w:t>评审委员会</w:t>
      </w:r>
      <w:r>
        <w:rPr>
          <w:rFonts w:hint="eastAsia" w:ascii="宋体" w:hAnsi="宋体" w:cs="宋体"/>
          <w:color w:val="auto"/>
          <w:highlight w:val="none"/>
        </w:rPr>
        <w:t>及评审原则</w:t>
      </w:r>
    </w:p>
    <w:p w14:paraId="1E0E308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2.5.1.1</w:t>
      </w:r>
      <w:r>
        <w:rPr>
          <w:rFonts w:hint="eastAsia" w:ascii="宋体" w:hAnsi="宋体" w:cs="宋体"/>
          <w:color w:val="auto"/>
          <w:highlight w:val="none"/>
        </w:rPr>
        <w:t>本项目评审工作由</w:t>
      </w:r>
      <w:r>
        <w:rPr>
          <w:rFonts w:hint="eastAsia" w:ascii="宋体" w:hAnsi="宋体" w:cs="宋体"/>
          <w:color w:val="auto"/>
          <w:highlight w:val="none"/>
          <w:lang w:eastAsia="zh-CN"/>
        </w:rPr>
        <w:t>评审委员会</w:t>
      </w:r>
      <w:r>
        <w:rPr>
          <w:rFonts w:hint="eastAsia" w:ascii="宋体" w:hAnsi="宋体" w:cs="宋体"/>
          <w:color w:val="auto"/>
          <w:highlight w:val="none"/>
        </w:rPr>
        <w:t>负责，</w:t>
      </w:r>
      <w:r>
        <w:rPr>
          <w:rFonts w:hint="eastAsia" w:ascii="宋体" w:hAnsi="宋体" w:cs="宋体"/>
          <w:color w:val="auto"/>
          <w:highlight w:val="none"/>
          <w:lang w:eastAsia="zh-CN"/>
        </w:rPr>
        <w:t>评审委员会</w:t>
      </w:r>
      <w:r>
        <w:rPr>
          <w:rFonts w:hint="eastAsia" w:ascii="宋体" w:hAnsi="宋体" w:cs="宋体"/>
          <w:color w:val="auto"/>
          <w:highlight w:val="none"/>
        </w:rPr>
        <w:t>由评审专家和采购人代表</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不少于</w:t>
      </w:r>
      <w:r>
        <w:rPr>
          <w:rFonts w:ascii="宋体" w:hAnsi="宋体" w:cs="宋体"/>
          <w:color w:val="auto"/>
          <w:highlight w:val="none"/>
        </w:rPr>
        <w:t>5</w:t>
      </w:r>
      <w:r>
        <w:rPr>
          <w:rFonts w:hint="eastAsia" w:ascii="宋体" w:hAnsi="宋体" w:cs="宋体"/>
          <w:color w:val="auto"/>
          <w:highlight w:val="none"/>
        </w:rPr>
        <w:t>人组成。</w:t>
      </w:r>
      <w:r>
        <w:rPr>
          <w:rFonts w:hint="eastAsia" w:ascii="宋体" w:hAnsi="宋体" w:cs="宋体"/>
          <w:color w:val="auto"/>
          <w:highlight w:val="none"/>
          <w:lang w:eastAsia="zh-CN"/>
        </w:rPr>
        <w:t>评审委员会</w:t>
      </w:r>
      <w:r>
        <w:rPr>
          <w:rFonts w:hint="eastAsia" w:ascii="宋体" w:hAnsi="宋体" w:cs="宋体"/>
          <w:color w:val="auto"/>
          <w:highlight w:val="none"/>
        </w:rPr>
        <w:t>评审时必须公平、公正、客观，不带任何倾向性和启发性；不得向外界透露任何与评审有关的内容；任何单位和个人不得干扰、影响评审的正常进行；</w:t>
      </w:r>
      <w:r>
        <w:rPr>
          <w:rFonts w:hint="eastAsia" w:ascii="宋体" w:hAnsi="宋体" w:cs="宋体"/>
          <w:color w:val="auto"/>
          <w:highlight w:val="none"/>
          <w:lang w:eastAsia="zh-CN"/>
        </w:rPr>
        <w:t>评审委员会</w:t>
      </w:r>
      <w:r>
        <w:rPr>
          <w:rFonts w:hint="eastAsia" w:ascii="宋体" w:hAnsi="宋体" w:cs="宋体"/>
          <w:color w:val="auto"/>
          <w:highlight w:val="none"/>
        </w:rPr>
        <w:t>及有关工作人员不得私下与供应商接触，不得收受利害关系人的财物或者其他好处；评审专家发现本人与参加采购活动的供应商有利害关系的，应当主动提出回避。</w:t>
      </w:r>
    </w:p>
    <w:p w14:paraId="0B4AAC5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2.5.1.2</w:t>
      </w:r>
      <w:r>
        <w:rPr>
          <w:rFonts w:hint="eastAsia" w:ascii="宋体" w:hAnsi="宋体" w:cs="宋体"/>
          <w:color w:val="auto"/>
          <w:highlight w:val="none"/>
          <w:lang w:eastAsia="zh-CN"/>
        </w:rPr>
        <w:t>评审委员会</w:t>
      </w:r>
      <w:r>
        <w:rPr>
          <w:rFonts w:hint="eastAsia" w:ascii="宋体" w:hAnsi="宋体" w:cs="宋体"/>
          <w:color w:val="auto"/>
          <w:highlight w:val="none"/>
        </w:rPr>
        <w:t>成员应当通过电子交易平台进行独立评审，</w:t>
      </w:r>
      <w:r>
        <w:rPr>
          <w:rFonts w:hint="eastAsia" w:ascii="宋体" w:hAnsi="宋体" w:cs="宋体"/>
          <w:color w:val="auto"/>
          <w:highlight w:val="none"/>
          <w:lang w:eastAsia="zh-CN"/>
        </w:rPr>
        <w:t>评审委员会</w:t>
      </w:r>
      <w:r>
        <w:rPr>
          <w:rFonts w:hint="eastAsia" w:ascii="宋体" w:hAnsi="宋体" w:cs="宋体"/>
          <w:color w:val="auto"/>
          <w:highlight w:val="none"/>
        </w:rPr>
        <w:t>成员对需要共同认定的事项存在争议的，应当按照少数服从多数的原则作出结论。持不同意见的</w:t>
      </w:r>
      <w:r>
        <w:rPr>
          <w:rFonts w:hint="eastAsia" w:ascii="宋体" w:hAnsi="宋体" w:cs="宋体"/>
          <w:color w:val="auto"/>
          <w:highlight w:val="none"/>
          <w:lang w:eastAsia="zh-CN"/>
        </w:rPr>
        <w:t>评审委员会</w:t>
      </w:r>
      <w:r>
        <w:rPr>
          <w:rFonts w:hint="eastAsia" w:ascii="宋体" w:hAnsi="宋体" w:cs="宋体"/>
          <w:color w:val="auto"/>
          <w:highlight w:val="none"/>
        </w:rPr>
        <w:t>成员应当在评审报告上签署不同意见及理由，否则视为同意评审报告。如果在评审过程中出现法律法规和征集文件均没有明确规定的情形时，由</w:t>
      </w:r>
      <w:r>
        <w:rPr>
          <w:rFonts w:hint="eastAsia" w:ascii="宋体" w:hAnsi="宋体" w:cs="宋体"/>
          <w:color w:val="auto"/>
          <w:highlight w:val="none"/>
          <w:lang w:eastAsia="zh-CN"/>
        </w:rPr>
        <w:t>评审委员会</w:t>
      </w:r>
      <w:r>
        <w:rPr>
          <w:rFonts w:hint="eastAsia" w:ascii="宋体" w:hAnsi="宋体" w:cs="宋体"/>
          <w:color w:val="auto"/>
          <w:highlight w:val="none"/>
        </w:rPr>
        <w:t>现场协商确定，协商不一致的，由全体</w:t>
      </w:r>
      <w:r>
        <w:rPr>
          <w:rFonts w:hint="eastAsia" w:ascii="宋体" w:hAnsi="宋体" w:cs="宋体"/>
          <w:color w:val="auto"/>
          <w:highlight w:val="none"/>
          <w:lang w:eastAsia="zh-CN"/>
        </w:rPr>
        <w:t>评审委员会</w:t>
      </w:r>
      <w:r>
        <w:rPr>
          <w:rFonts w:hint="eastAsia" w:ascii="宋体" w:hAnsi="宋体" w:cs="宋体"/>
          <w:color w:val="auto"/>
          <w:highlight w:val="none"/>
        </w:rPr>
        <w:t>成员投票表决，应当按照少数服从多数的原则作出结论并由征集人记录在评审报告中。</w:t>
      </w:r>
    </w:p>
    <w:p w14:paraId="7C4D715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2.5.1.3</w:t>
      </w:r>
      <w:r>
        <w:rPr>
          <w:rFonts w:hint="eastAsia" w:ascii="宋体" w:hAnsi="宋体" w:cs="宋体"/>
          <w:color w:val="auto"/>
          <w:highlight w:val="none"/>
        </w:rPr>
        <w:t>征集人应当采取必要措施，保证评审在严格保密</w:t>
      </w:r>
      <w:r>
        <w:rPr>
          <w:rFonts w:ascii="宋体" w:hAnsi="宋体" w:cs="宋体"/>
          <w:color w:val="auto"/>
          <w:highlight w:val="none"/>
        </w:rPr>
        <w:t>(</w:t>
      </w:r>
      <w:r>
        <w:rPr>
          <w:rFonts w:hint="eastAsia" w:ascii="宋体" w:hAnsi="宋体" w:cs="宋体"/>
          <w:color w:val="auto"/>
          <w:highlight w:val="none"/>
        </w:rPr>
        <w:t>封闭式评审</w:t>
      </w:r>
      <w:r>
        <w:rPr>
          <w:rFonts w:ascii="宋体" w:hAnsi="宋体" w:cs="宋体"/>
          <w:color w:val="auto"/>
          <w:highlight w:val="none"/>
        </w:rPr>
        <w:t>)</w:t>
      </w:r>
      <w:r>
        <w:rPr>
          <w:rFonts w:hint="eastAsia" w:ascii="宋体" w:hAnsi="宋体" w:cs="宋体"/>
          <w:color w:val="auto"/>
          <w:highlight w:val="none"/>
        </w:rPr>
        <w:t>的情况下进行。除采购人代表、评审现场组织人员外，采购人的其他工作人员以及与评审工作无关的人员不得进入评审现场。有关人员对评审情况以及在评审过程中获悉的国家秘密、商业秘密负有保密责任。</w:t>
      </w:r>
    </w:p>
    <w:p w14:paraId="582F8C4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2.5.1.4</w:t>
      </w:r>
      <w:r>
        <w:rPr>
          <w:rFonts w:hint="eastAsia" w:ascii="宋体" w:hAnsi="宋体" w:cs="宋体"/>
          <w:color w:val="auto"/>
          <w:highlight w:val="none"/>
        </w:rPr>
        <w:t>本项目评审过程实行全程网上留痕及录音、录像监控，供应商在评审过程中所进行的试图影响评审结果的不公正活动，可能导致其响应按无效处理。</w:t>
      </w:r>
    </w:p>
    <w:p w14:paraId="20225AD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2.5.2</w:t>
      </w:r>
      <w:r>
        <w:rPr>
          <w:rFonts w:hint="eastAsia" w:ascii="宋体" w:hAnsi="宋体" w:cs="宋体"/>
          <w:color w:val="auto"/>
          <w:highlight w:val="none"/>
        </w:rPr>
        <w:t>评审方法及依据</w:t>
      </w:r>
    </w:p>
    <w:p w14:paraId="76C58B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2.5.2.1</w:t>
      </w:r>
      <w:r>
        <w:rPr>
          <w:rFonts w:hint="eastAsia" w:ascii="宋体" w:hAnsi="宋体" w:cs="宋体"/>
          <w:color w:val="auto"/>
          <w:highlight w:val="none"/>
        </w:rPr>
        <w:t>本项目采用第四章评审方法及标准规定的方法进行评审。</w:t>
      </w:r>
    </w:p>
    <w:p w14:paraId="6526F2D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2.5.2.2</w:t>
      </w:r>
      <w:r>
        <w:rPr>
          <w:rFonts w:hint="eastAsia" w:ascii="宋体" w:hAnsi="宋体" w:cs="宋体"/>
          <w:color w:val="auto"/>
          <w:highlight w:val="none"/>
          <w:lang w:eastAsia="zh-CN"/>
        </w:rPr>
        <w:t>评审委员会</w:t>
      </w:r>
      <w:r>
        <w:rPr>
          <w:rFonts w:hint="eastAsia" w:ascii="宋体" w:hAnsi="宋体" w:cs="宋体"/>
          <w:color w:val="auto"/>
          <w:highlight w:val="none"/>
        </w:rPr>
        <w:t>以征集文件、补充文件、响应文件、澄清及答复为评审依据，第四章评审方法及标准没有规定的评审方法、标准及因素，不得作为评审依据。</w:t>
      </w:r>
    </w:p>
    <w:p w14:paraId="2019C16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2.5.3</w:t>
      </w:r>
      <w:r>
        <w:rPr>
          <w:rFonts w:hint="eastAsia" w:ascii="宋体" w:hAnsi="宋体" w:cs="宋体"/>
          <w:color w:val="auto"/>
          <w:highlight w:val="none"/>
        </w:rPr>
        <w:t>评审程序</w:t>
      </w:r>
    </w:p>
    <w:p w14:paraId="5E296EC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2.5.3.1</w:t>
      </w:r>
      <w:r>
        <w:rPr>
          <w:rFonts w:hint="eastAsia" w:ascii="宋体" w:hAnsi="宋体" w:cs="宋体"/>
          <w:color w:val="auto"/>
          <w:highlight w:val="none"/>
        </w:rPr>
        <w:t>符合性审查</w:t>
      </w:r>
    </w:p>
    <w:p w14:paraId="05A58C0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资格审查结束后，</w:t>
      </w:r>
      <w:r>
        <w:rPr>
          <w:rFonts w:hint="eastAsia" w:ascii="宋体" w:hAnsi="宋体" w:cs="宋体"/>
          <w:color w:val="auto"/>
          <w:highlight w:val="none"/>
          <w:lang w:eastAsia="zh-CN"/>
        </w:rPr>
        <w:t>评审委员会</w:t>
      </w:r>
      <w:r>
        <w:rPr>
          <w:rFonts w:hint="eastAsia" w:ascii="宋体" w:hAnsi="宋体" w:cs="宋体"/>
          <w:color w:val="auto"/>
          <w:highlight w:val="none"/>
        </w:rPr>
        <w:t>对通过资格审查的供应商的响应文件进行报价、商务资信、技术等方面实质性内容进行符合性审查，符合性审查标准详见第四章评审方法及标准。</w:t>
      </w:r>
    </w:p>
    <w:p w14:paraId="00A8A17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2.5.3.2</w:t>
      </w:r>
      <w:r>
        <w:rPr>
          <w:rFonts w:hint="eastAsia" w:ascii="宋体" w:hAnsi="宋体" w:cs="宋体"/>
          <w:color w:val="auto"/>
          <w:highlight w:val="none"/>
        </w:rPr>
        <w:t>澄清、说明或补正</w:t>
      </w:r>
    </w:p>
    <w:p w14:paraId="3911BB9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对响应文件中含义不明确、同类问题表述不一致或者有明显文字和计算错误的内容，</w:t>
      </w:r>
      <w:r>
        <w:rPr>
          <w:rFonts w:hint="eastAsia" w:ascii="宋体" w:hAnsi="宋体" w:cs="宋体"/>
          <w:color w:val="auto"/>
          <w:highlight w:val="none"/>
          <w:lang w:eastAsia="zh-CN"/>
        </w:rPr>
        <w:t>评审委员会</w:t>
      </w:r>
      <w:r>
        <w:rPr>
          <w:rFonts w:hint="eastAsia" w:ascii="宋体" w:hAnsi="宋体" w:cs="宋体"/>
          <w:color w:val="auto"/>
          <w:highlight w:val="none"/>
        </w:rPr>
        <w:t>应在“政采云”平台发布电子澄清函，要求供应商在平台设置的时间内作出必要的澄清、说明或者补正。供应商在“政采云”平台接收到电子澄清函后根据澄清函内容直接在线编辑或上传</w:t>
      </w:r>
      <w:r>
        <w:rPr>
          <w:rFonts w:ascii="宋体" w:hAnsi="宋体" w:cs="宋体"/>
          <w:color w:val="auto"/>
          <w:highlight w:val="none"/>
        </w:rPr>
        <w:t>PDF</w:t>
      </w:r>
      <w:r>
        <w:rPr>
          <w:rFonts w:hint="eastAsia" w:ascii="宋体" w:hAnsi="宋体" w:cs="宋体"/>
          <w:color w:val="auto"/>
          <w:highlight w:val="none"/>
        </w:rPr>
        <w:t>格式回函，电子澄清答复函使用</w:t>
      </w:r>
      <w:r>
        <w:rPr>
          <w:rFonts w:ascii="宋体" w:hAnsi="宋体" w:cs="宋体"/>
          <w:color w:val="auto"/>
          <w:highlight w:val="none"/>
        </w:rPr>
        <w:t>CA</w:t>
      </w:r>
      <w:r>
        <w:rPr>
          <w:rFonts w:hint="eastAsia" w:ascii="宋体" w:hAnsi="宋体" w:cs="宋体"/>
          <w:color w:val="auto"/>
          <w:highlight w:val="none"/>
        </w:rPr>
        <w:t>证书加盖单位电子签章后提交至</w:t>
      </w:r>
      <w:r>
        <w:rPr>
          <w:rFonts w:hint="eastAsia" w:ascii="宋体" w:hAnsi="宋体" w:cs="宋体"/>
          <w:color w:val="auto"/>
          <w:highlight w:val="none"/>
          <w:lang w:eastAsia="zh-CN"/>
        </w:rPr>
        <w:t>评审委员会</w:t>
      </w:r>
      <w:r>
        <w:rPr>
          <w:rFonts w:hint="eastAsia" w:ascii="宋体" w:hAnsi="宋体" w:cs="宋体"/>
          <w:color w:val="auto"/>
          <w:highlight w:val="none"/>
        </w:rPr>
        <w:t>。供应商的澄清、说明或者补正不得超出响应文件的范围或者改变响应文件的实质性内容。供应商未在规定时间内进行澄清、说明或者补正的，按无效响应处理。</w:t>
      </w:r>
    </w:p>
    <w:p w14:paraId="7F6E86E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异常情况处理：如遇无法正常使用线上发送澄清函的情况，将以书面形式执行。以书面形式执行的情况下，</w:t>
      </w:r>
      <w:r>
        <w:rPr>
          <w:rFonts w:hint="eastAsia" w:ascii="宋体" w:hAnsi="宋体" w:cs="宋体"/>
          <w:color w:val="auto"/>
          <w:highlight w:val="none"/>
          <w:lang w:eastAsia="zh-CN"/>
        </w:rPr>
        <w:t>评审委员会</w:t>
      </w:r>
      <w:r>
        <w:rPr>
          <w:rFonts w:hint="eastAsia" w:ascii="宋体" w:hAnsi="宋体" w:cs="宋体"/>
          <w:color w:val="auto"/>
          <w:highlight w:val="none"/>
        </w:rPr>
        <w:t>以书面形式要求供应商在规定时间内作出必要的澄清、说明或者补正。供应商的澄清、说明或者补正必须采用书面形式，并加盖公章或者由法定代表人或者其授权的代表签字。</w:t>
      </w:r>
    </w:p>
    <w:p w14:paraId="6477DF0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2.5.3.3</w:t>
      </w:r>
      <w:r>
        <w:rPr>
          <w:rFonts w:hint="eastAsia" w:ascii="宋体" w:hAnsi="宋体" w:cs="宋体"/>
          <w:color w:val="auto"/>
          <w:highlight w:val="none"/>
        </w:rPr>
        <w:t>报价修正</w:t>
      </w:r>
    </w:p>
    <w:p w14:paraId="5DE695A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报价出现前后不一致的，按照下列规定修正：</w:t>
      </w:r>
    </w:p>
    <w:p w14:paraId="75C2DD7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①响应文件中截标一览表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内容与响应文件中相应内容不一致的，以截标一览表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为准；</w:t>
      </w:r>
    </w:p>
    <w:p w14:paraId="6625AFD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②大写金额和小写金额不一致的，以大写金额为准；</w:t>
      </w:r>
    </w:p>
    <w:p w14:paraId="146D65B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③单价金额小数点或者百分比有明显错位的，以截标一览表的总价为准，并修改单价；</w:t>
      </w:r>
    </w:p>
    <w:p w14:paraId="3E8C96B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④总价金额与按单价汇总金额不一致的，以单价金额计算结果为准。</w:t>
      </w:r>
    </w:p>
    <w:p w14:paraId="2B93301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同时出现两种以上不一致的，按照上述①</w:t>
      </w:r>
      <w:r>
        <w:rPr>
          <w:rFonts w:ascii="宋体" w:cs="宋体"/>
          <w:color w:val="auto"/>
          <w:highlight w:val="none"/>
        </w:rPr>
        <w:t>-</w:t>
      </w:r>
      <w:r>
        <w:rPr>
          <w:rFonts w:hint="eastAsia" w:ascii="宋体" w:hAnsi="宋体" w:cs="宋体"/>
          <w:color w:val="auto"/>
          <w:highlight w:val="none"/>
        </w:rPr>
        <w:t>④顺序修正。修正后的报价按照上述“</w:t>
      </w:r>
      <w:r>
        <w:rPr>
          <w:rFonts w:ascii="宋体" w:hAnsi="宋体" w:cs="宋体"/>
          <w:color w:val="auto"/>
          <w:highlight w:val="none"/>
        </w:rPr>
        <w:t>2.5.3.3</w:t>
      </w:r>
      <w:r>
        <w:rPr>
          <w:rFonts w:hint="eastAsia" w:ascii="宋体" w:hAnsi="宋体" w:cs="宋体"/>
          <w:color w:val="auto"/>
          <w:highlight w:val="none"/>
        </w:rPr>
        <w:t>澄清、说明或补正”的规定经供应商确认后产生约束力，供应商不确认的，其响应无效。</w:t>
      </w:r>
    </w:p>
    <w:p w14:paraId="24A47D7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eastAsia="zh-CN"/>
        </w:rPr>
        <w:t>评审委员会</w:t>
      </w:r>
      <w:r>
        <w:rPr>
          <w:rFonts w:hint="eastAsia" w:ascii="宋体" w:hAnsi="宋体" w:cs="宋体"/>
          <w:color w:val="auto"/>
          <w:highlight w:val="none"/>
        </w:rPr>
        <w:t>认为供应商的报价明显低于其他通过符合性审查供应商的报价，有可能影响产品质量或者不能诚信履约的，应当要求其在合理的时间内提交相关书面证明材料；书面证明应当按照上述“</w:t>
      </w:r>
      <w:r>
        <w:rPr>
          <w:rFonts w:ascii="宋体" w:hAnsi="宋体" w:cs="宋体"/>
          <w:color w:val="auto"/>
          <w:highlight w:val="none"/>
        </w:rPr>
        <w:t>2.5.3.3</w:t>
      </w:r>
      <w:r>
        <w:rPr>
          <w:rFonts w:hint="eastAsia" w:ascii="宋体" w:hAnsi="宋体" w:cs="宋体"/>
          <w:color w:val="auto"/>
          <w:highlight w:val="none"/>
        </w:rPr>
        <w:t>澄清、说明或补正”的规定提交。供应商未按规定提交或不能证明其报价合理性的，</w:t>
      </w:r>
      <w:r>
        <w:rPr>
          <w:rFonts w:hint="eastAsia" w:ascii="宋体" w:hAnsi="宋体" w:cs="宋体"/>
          <w:color w:val="auto"/>
          <w:highlight w:val="none"/>
          <w:lang w:eastAsia="zh-CN"/>
        </w:rPr>
        <w:t>评审委员会</w:t>
      </w:r>
      <w:r>
        <w:rPr>
          <w:rFonts w:hint="eastAsia" w:ascii="宋体" w:hAnsi="宋体" w:cs="宋体"/>
          <w:color w:val="auto"/>
          <w:highlight w:val="none"/>
        </w:rPr>
        <w:t>应当将其作为无效响应处理。</w:t>
      </w:r>
    </w:p>
    <w:p w14:paraId="13BEDA2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经供应商确认修正后的报价若超过采购预算金额或者最高限价，其响应文件作无效响应处理。</w:t>
      </w:r>
    </w:p>
    <w:p w14:paraId="045D1DF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经供应</w:t>
      </w:r>
      <w:r>
        <w:rPr>
          <w:rFonts w:hint="eastAsia" w:ascii="宋体" w:hAnsi="宋体" w:cs="宋体"/>
          <w:color w:val="auto"/>
          <w:highlight w:val="none"/>
          <w:lang w:eastAsia="zh-CN"/>
        </w:rPr>
        <w:t>商</w:t>
      </w:r>
      <w:r>
        <w:rPr>
          <w:rFonts w:hint="eastAsia" w:ascii="宋体" w:hAnsi="宋体" w:cs="宋体"/>
          <w:color w:val="auto"/>
          <w:highlight w:val="none"/>
        </w:rPr>
        <w:t>确认修正后的报价作为签订合同的依据，并以此报价计算价格分。</w:t>
      </w:r>
    </w:p>
    <w:p w14:paraId="0785A42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2.5.3.4</w:t>
      </w:r>
      <w:r>
        <w:rPr>
          <w:rFonts w:hint="eastAsia" w:ascii="宋体" w:hAnsi="宋体" w:cs="宋体"/>
          <w:color w:val="auto"/>
          <w:highlight w:val="none"/>
        </w:rPr>
        <w:t>串通响应认定</w:t>
      </w:r>
    </w:p>
    <w:p w14:paraId="3E7E073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lang w:eastAsia="zh-CN"/>
        </w:rPr>
        <w:t>评审委员会</w:t>
      </w:r>
      <w:r>
        <w:rPr>
          <w:rFonts w:hint="eastAsia" w:ascii="宋体" w:hAnsi="宋体" w:cs="宋体"/>
          <w:color w:val="auto"/>
          <w:highlight w:val="none"/>
        </w:rPr>
        <w:t>须根据以下规定认定供应商是否有串通投标的行为。</w:t>
      </w:r>
    </w:p>
    <w:p w14:paraId="18D0D51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规定，出现下述情况的，相关供应商的投标作无效投标处理。</w:t>
      </w:r>
    </w:p>
    <w:p w14:paraId="14B0501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①单位负责人为同一人或者存在直接控股、管理关系，参加同一合同项下政府采购活动的不同供应商。</w:t>
      </w:r>
    </w:p>
    <w:p w14:paraId="65C7709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②授权给供应商后参加同一合同项</w:t>
      </w:r>
      <w:r>
        <w:rPr>
          <w:rFonts w:ascii="宋体" w:hAnsi="宋体" w:cs="宋体"/>
          <w:color w:val="auto"/>
          <w:highlight w:val="none"/>
        </w:rPr>
        <w:t>(</w:t>
      </w:r>
      <w:r>
        <w:rPr>
          <w:rFonts w:hint="eastAsia" w:ascii="宋体" w:hAnsi="宋体" w:cs="宋体"/>
          <w:color w:val="auto"/>
          <w:highlight w:val="none"/>
        </w:rPr>
        <w:t>标项、分包</w:t>
      </w:r>
      <w:r>
        <w:rPr>
          <w:rFonts w:ascii="宋体" w:hAnsi="宋体" w:cs="宋体"/>
          <w:color w:val="auto"/>
          <w:highlight w:val="none"/>
        </w:rPr>
        <w:t>)</w:t>
      </w:r>
      <w:r>
        <w:rPr>
          <w:rFonts w:hint="eastAsia" w:ascii="宋体" w:hAnsi="宋体" w:cs="宋体"/>
          <w:color w:val="auto"/>
          <w:highlight w:val="none"/>
        </w:rPr>
        <w:t>投标的生产厂商。</w:t>
      </w:r>
    </w:p>
    <w:p w14:paraId="2C52D3D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③视为或被认定为串通投标的相关供应商。</w:t>
      </w:r>
    </w:p>
    <w:p w14:paraId="5C07B5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规定，有下列情形之一的视为供应商相互串通投标，</w:t>
      </w:r>
      <w:r>
        <w:rPr>
          <w:rFonts w:hint="eastAsia" w:ascii="宋体" w:hAnsi="宋体" w:cs="宋体"/>
          <w:color w:val="auto"/>
          <w:highlight w:val="none"/>
          <w:lang w:eastAsia="zh-CN"/>
        </w:rPr>
        <w:t>响应文件</w:t>
      </w:r>
      <w:r>
        <w:rPr>
          <w:rFonts w:hint="eastAsia" w:ascii="宋体" w:hAnsi="宋体" w:cs="宋体"/>
          <w:color w:val="auto"/>
          <w:highlight w:val="none"/>
        </w:rPr>
        <w:t>将被视为无效。</w:t>
      </w:r>
    </w:p>
    <w:p w14:paraId="6DE3DB2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由同一单位或者个人编制；或不同供应商报名的</w:t>
      </w:r>
      <w:r>
        <w:rPr>
          <w:rFonts w:ascii="宋体" w:hAnsi="宋体" w:cs="宋体"/>
          <w:color w:val="auto"/>
          <w:highlight w:val="none"/>
        </w:rPr>
        <w:t>IP</w:t>
      </w:r>
      <w:r>
        <w:rPr>
          <w:rFonts w:hint="eastAsia" w:ascii="宋体" w:hAnsi="宋体" w:cs="宋体"/>
          <w:color w:val="auto"/>
          <w:highlight w:val="none"/>
        </w:rPr>
        <w:t>地址一致的；</w:t>
      </w:r>
    </w:p>
    <w:p w14:paraId="467A967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②不同供应商委托同一单位或者个人办理投标事宜；</w:t>
      </w:r>
    </w:p>
    <w:p w14:paraId="3B6581C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③不同的供应商的</w:t>
      </w:r>
      <w:r>
        <w:rPr>
          <w:rFonts w:hint="eastAsia" w:ascii="宋体" w:hAnsi="宋体" w:cs="宋体"/>
          <w:color w:val="auto"/>
          <w:highlight w:val="none"/>
          <w:lang w:eastAsia="zh-CN"/>
        </w:rPr>
        <w:t>响应文件</w:t>
      </w:r>
      <w:r>
        <w:rPr>
          <w:rFonts w:hint="eastAsia" w:ascii="宋体" w:hAnsi="宋体" w:cs="宋体"/>
          <w:color w:val="auto"/>
          <w:highlight w:val="none"/>
        </w:rPr>
        <w:t>载明的项目管理员为同一个人；</w:t>
      </w:r>
    </w:p>
    <w:p w14:paraId="511304C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异常一致或投标报价呈规律性差异；</w:t>
      </w:r>
    </w:p>
    <w:p w14:paraId="6A0385A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⑤不同供应商的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相互混装；</w:t>
      </w:r>
    </w:p>
    <w:p w14:paraId="7683E07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⑥不同供应商的保证金从同一单位或者个人账户转出。</w:t>
      </w:r>
    </w:p>
    <w:p w14:paraId="51B315C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规定，供应商有下列情形之一的，属于恶意串通行为，</w:t>
      </w:r>
      <w:r>
        <w:rPr>
          <w:rFonts w:hint="eastAsia" w:ascii="宋体" w:hAnsi="宋体" w:cs="宋体"/>
          <w:color w:val="auto"/>
          <w:highlight w:val="none"/>
          <w:lang w:eastAsia="zh-CN"/>
        </w:rPr>
        <w:t>响应文件</w:t>
      </w:r>
      <w:r>
        <w:rPr>
          <w:rFonts w:hint="eastAsia" w:ascii="宋体" w:hAnsi="宋体" w:cs="宋体"/>
          <w:color w:val="auto"/>
          <w:highlight w:val="none"/>
        </w:rPr>
        <w:t>将被视为无效。</w:t>
      </w:r>
    </w:p>
    <w:p w14:paraId="3A19BA7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①供应商直接或者间接从采购人或者采购代理机构处获得其他供应商的相关信息并修改其响应文件；</w:t>
      </w:r>
    </w:p>
    <w:p w14:paraId="79C2B9E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②供应商按照采购人或者采购代理机构的授意撤换、修改响应文件；</w:t>
      </w:r>
    </w:p>
    <w:p w14:paraId="1D31760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③供应商之间协商报价、技术方案等响应文件的实质性内容；</w:t>
      </w:r>
    </w:p>
    <w:p w14:paraId="68E78A7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④属于同一集团、协会、商会等组织成员的供应商按照该组织要求协同参加政府采购活动；</w:t>
      </w:r>
    </w:p>
    <w:p w14:paraId="0D6E85D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⑤供应商之间事先约定一致抬高或者压低投标报价，或者在招标项目中事先约定轮流以高价位或者低价位中标，或者事先约定由某一特定供应商中标，然后再参加投标；</w:t>
      </w:r>
    </w:p>
    <w:p w14:paraId="35857A9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⑥供应商之间商定部分供应商放弃参加政府采购活动或者放弃中标；</w:t>
      </w:r>
    </w:p>
    <w:p w14:paraId="6CCE284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⑦供应商与采购人或者采购代理机构之间、供应商相互之间，为谋求特定供应商中标或者排斥其他供应商的其他串通行为。</w:t>
      </w:r>
    </w:p>
    <w:p w14:paraId="030CC7C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注：本款所述“投标”即为“响应”，“中标”即为“入围”。</w:t>
      </w:r>
    </w:p>
    <w:p w14:paraId="15879D1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2.5.3.5</w:t>
      </w:r>
      <w:r>
        <w:rPr>
          <w:rFonts w:hint="eastAsia" w:ascii="宋体" w:hAnsi="宋体" w:cs="宋体"/>
          <w:color w:val="auto"/>
          <w:highlight w:val="none"/>
        </w:rPr>
        <w:t>响应无效认定</w:t>
      </w:r>
    </w:p>
    <w:p w14:paraId="1ABD66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在评审过程中如发现下列情形之一的，响应文件将被视为无效：</w:t>
      </w:r>
    </w:p>
    <w:p w14:paraId="14B1E23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①响应文件存在法律、法规及监督部门有关文件规定的无效情形。</w:t>
      </w:r>
    </w:p>
    <w:p w14:paraId="7E005D7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②响应文件存在征集文件规定的无效情形。</w:t>
      </w:r>
    </w:p>
    <w:p w14:paraId="2DFC701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根据财库《关于促进政府采购公平竞争优化营商环境的通知》</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38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以及《广西壮族自治区财政厅转发财政部关于促进政府采购公平竞争优化营商环境的通知》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w:t>
      </w:r>
      <w:r>
        <w:rPr>
          <w:rFonts w:hint="eastAsia" w:ascii="宋体" w:hAnsi="宋体" w:cs="宋体"/>
          <w:color w:val="auto"/>
          <w:highlight w:val="none"/>
          <w:lang w:eastAsia="zh-CN"/>
        </w:rPr>
        <w:t>评审委员会</w:t>
      </w:r>
      <w:r>
        <w:rPr>
          <w:rFonts w:hint="eastAsia" w:ascii="宋体" w:hAnsi="宋体" w:cs="宋体"/>
          <w:color w:val="auto"/>
          <w:highlight w:val="none"/>
        </w:rPr>
        <w:t>不得因装订、纸张、文件排序等非实质性的格式、形式问题认定响应无效或否决响应，从而限制和影响供应商响应</w:t>
      </w:r>
      <w:r>
        <w:rPr>
          <w:rFonts w:ascii="宋体" w:hAnsi="宋体" w:cs="宋体"/>
          <w:color w:val="auto"/>
          <w:highlight w:val="none"/>
        </w:rPr>
        <w:t>(</w:t>
      </w:r>
      <w:r>
        <w:rPr>
          <w:rFonts w:hint="eastAsia" w:ascii="宋体" w:hAnsi="宋体" w:cs="宋体"/>
          <w:color w:val="auto"/>
          <w:highlight w:val="none"/>
        </w:rPr>
        <w:t>响应</w:t>
      </w:r>
      <w:r>
        <w:rPr>
          <w:rFonts w:ascii="宋体" w:hAnsi="宋体" w:cs="宋体"/>
          <w:color w:val="auto"/>
          <w:highlight w:val="none"/>
        </w:rPr>
        <w:t>)</w:t>
      </w:r>
      <w:r>
        <w:rPr>
          <w:rFonts w:hint="eastAsia" w:ascii="宋体" w:hAnsi="宋体" w:cs="宋体"/>
          <w:color w:val="auto"/>
          <w:highlight w:val="none"/>
        </w:rPr>
        <w:t>。</w:t>
      </w:r>
    </w:p>
    <w:p w14:paraId="457AE87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2.5.3.6</w:t>
      </w:r>
      <w:r>
        <w:rPr>
          <w:rFonts w:hint="eastAsia" w:ascii="宋体" w:hAnsi="宋体" w:cs="宋体"/>
          <w:color w:val="auto"/>
          <w:highlight w:val="none"/>
        </w:rPr>
        <w:t>比较与评价</w:t>
      </w:r>
    </w:p>
    <w:p w14:paraId="1FC3A09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lang w:eastAsia="zh-CN"/>
        </w:rPr>
        <w:t>评审委员会</w:t>
      </w:r>
      <w:r>
        <w:rPr>
          <w:rFonts w:hint="eastAsia" w:ascii="宋体" w:hAnsi="宋体" w:cs="宋体"/>
          <w:color w:val="auto"/>
          <w:highlight w:val="none"/>
        </w:rPr>
        <w:t>按征集文件中规定的评审方法和标准，对符合性审查合格的响应文件进行综合比较与评价。</w:t>
      </w:r>
    </w:p>
    <w:p w14:paraId="1186082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eastAsia="zh-CN"/>
        </w:rPr>
        <w:t>评审委员会</w:t>
      </w:r>
      <w:r>
        <w:rPr>
          <w:rFonts w:hint="eastAsia" w:ascii="宋体" w:hAnsi="宋体" w:cs="宋体"/>
          <w:color w:val="auto"/>
          <w:highlight w:val="none"/>
        </w:rPr>
        <w:t>各成员独立对每个有效供应商的响应文件进行评价。评价有误的应及时进行修正。</w:t>
      </w:r>
      <w:r>
        <w:rPr>
          <w:rFonts w:hint="eastAsia" w:ascii="宋体" w:hAnsi="宋体" w:cs="宋体"/>
          <w:color w:val="auto"/>
          <w:highlight w:val="none"/>
          <w:lang w:eastAsia="zh-CN"/>
        </w:rPr>
        <w:t>评分标准</w:t>
      </w:r>
      <w:r>
        <w:rPr>
          <w:rFonts w:hint="eastAsia" w:ascii="宋体" w:hAnsi="宋体" w:cs="宋体"/>
          <w:color w:val="auto"/>
          <w:highlight w:val="none"/>
        </w:rPr>
        <w:t>如有客观分定义，</w:t>
      </w:r>
      <w:r>
        <w:rPr>
          <w:rFonts w:hint="eastAsia" w:ascii="宋体" w:hAnsi="宋体" w:cs="宋体"/>
          <w:color w:val="auto"/>
          <w:highlight w:val="none"/>
          <w:lang w:eastAsia="zh-CN"/>
        </w:rPr>
        <w:t>评审委员会</w:t>
      </w:r>
      <w:r>
        <w:rPr>
          <w:rFonts w:hint="eastAsia" w:ascii="宋体" w:hAnsi="宋体" w:cs="宋体"/>
          <w:color w:val="auto"/>
          <w:highlight w:val="none"/>
        </w:rPr>
        <w:t>所有成员的客观分评分分值应当一致。</w:t>
      </w:r>
    </w:p>
    <w:p w14:paraId="10EDE00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lang w:eastAsia="zh-CN"/>
        </w:rPr>
        <w:t>评审委员会</w:t>
      </w:r>
      <w:r>
        <w:rPr>
          <w:rFonts w:hint="eastAsia" w:ascii="宋体" w:hAnsi="宋体" w:cs="宋体"/>
          <w:color w:val="auto"/>
          <w:highlight w:val="none"/>
        </w:rPr>
        <w:t>按质量综合评分由高到低的排列顺序以及评审方法及标准规定的入围供应商数量上限或淘汰率推荐入围供应商。</w:t>
      </w:r>
    </w:p>
    <w:p w14:paraId="093ED33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eastAsia="zh-CN"/>
        </w:rPr>
        <w:t>评审委员会</w:t>
      </w:r>
      <w:r>
        <w:rPr>
          <w:rFonts w:hint="eastAsia" w:ascii="宋体" w:hAnsi="宋体" w:cs="宋体"/>
          <w:color w:val="auto"/>
          <w:highlight w:val="none"/>
        </w:rPr>
        <w:t>根据评审记录及评审结果编写评审报告，</w:t>
      </w:r>
      <w:r>
        <w:rPr>
          <w:rFonts w:hint="eastAsia" w:ascii="宋体" w:hAnsi="宋体" w:cs="宋体"/>
          <w:color w:val="auto"/>
          <w:highlight w:val="none"/>
          <w:lang w:eastAsia="zh-CN"/>
        </w:rPr>
        <w:t>评审委员会</w:t>
      </w:r>
      <w:r>
        <w:rPr>
          <w:rFonts w:hint="eastAsia" w:ascii="宋体" w:hAnsi="宋体" w:cs="宋体"/>
          <w:color w:val="auto"/>
          <w:highlight w:val="none"/>
        </w:rPr>
        <w:t>成员均应当在评审报告上签字，对自己的评审意见承担法律责任。评审报告签署前，经复核发现存在以下情形之一的，</w:t>
      </w:r>
      <w:r>
        <w:rPr>
          <w:rFonts w:hint="eastAsia" w:ascii="宋体" w:hAnsi="宋体" w:cs="宋体"/>
          <w:color w:val="auto"/>
          <w:highlight w:val="none"/>
          <w:lang w:eastAsia="zh-CN"/>
        </w:rPr>
        <w:t>评审委员会</w:t>
      </w:r>
      <w:r>
        <w:rPr>
          <w:rFonts w:hint="eastAsia" w:ascii="宋体" w:hAnsi="宋体" w:cs="宋体"/>
          <w:color w:val="auto"/>
          <w:highlight w:val="none"/>
        </w:rPr>
        <w:t>应当当场修改评审结果，并在评审报告中记载；评审报告签署后，征集人发现存在以下情形之一的，应当组织原</w:t>
      </w:r>
      <w:r>
        <w:rPr>
          <w:rFonts w:hint="eastAsia" w:ascii="宋体" w:hAnsi="宋体" w:cs="宋体"/>
          <w:color w:val="auto"/>
          <w:highlight w:val="none"/>
          <w:lang w:eastAsia="zh-CN"/>
        </w:rPr>
        <w:t>评审委员会</w:t>
      </w:r>
      <w:r>
        <w:rPr>
          <w:rFonts w:hint="eastAsia" w:ascii="宋体" w:hAnsi="宋体" w:cs="宋体"/>
          <w:color w:val="auto"/>
          <w:highlight w:val="none"/>
        </w:rPr>
        <w:t>进行重新评审。</w:t>
      </w:r>
    </w:p>
    <w:p w14:paraId="67122BF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分值汇总计算错误的；分项评分超出</w:t>
      </w:r>
      <w:r>
        <w:rPr>
          <w:rFonts w:hint="eastAsia" w:ascii="宋体" w:hAnsi="宋体" w:cs="宋体"/>
          <w:color w:val="auto"/>
          <w:highlight w:val="none"/>
          <w:lang w:eastAsia="zh-CN"/>
        </w:rPr>
        <w:t>评分标准</w:t>
      </w:r>
      <w:r>
        <w:rPr>
          <w:rFonts w:hint="eastAsia" w:ascii="宋体" w:hAnsi="宋体" w:cs="宋体"/>
          <w:color w:val="auto"/>
          <w:highlight w:val="none"/>
        </w:rPr>
        <w:t>范围的；</w:t>
      </w:r>
      <w:r>
        <w:rPr>
          <w:rFonts w:hint="eastAsia" w:ascii="宋体" w:hAnsi="宋体" w:cs="宋体"/>
          <w:color w:val="auto"/>
          <w:highlight w:val="none"/>
          <w:lang w:eastAsia="zh-CN"/>
        </w:rPr>
        <w:t>评审委员会</w:t>
      </w:r>
      <w:r>
        <w:rPr>
          <w:rFonts w:hint="eastAsia" w:ascii="宋体" w:hAnsi="宋体" w:cs="宋体"/>
          <w:color w:val="auto"/>
          <w:highlight w:val="none"/>
        </w:rPr>
        <w:t>成员对客观评审因素评分不一致的；经</w:t>
      </w:r>
      <w:r>
        <w:rPr>
          <w:rFonts w:hint="eastAsia" w:ascii="宋体" w:hAnsi="宋体" w:cs="宋体"/>
          <w:color w:val="auto"/>
          <w:highlight w:val="none"/>
          <w:lang w:eastAsia="zh-CN"/>
        </w:rPr>
        <w:t>评审委员会</w:t>
      </w:r>
      <w:r>
        <w:rPr>
          <w:rFonts w:hint="eastAsia" w:ascii="宋体" w:hAnsi="宋体" w:cs="宋体"/>
          <w:color w:val="auto"/>
          <w:highlight w:val="none"/>
        </w:rPr>
        <w:t>认定评分畸高、畸低的。</w:t>
      </w:r>
    </w:p>
    <w:p w14:paraId="5B648D0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2.5.4</w:t>
      </w:r>
      <w:r>
        <w:rPr>
          <w:rFonts w:hint="eastAsia" w:ascii="宋体" w:hAnsi="宋体" w:cs="宋体"/>
          <w:color w:val="auto"/>
          <w:highlight w:val="none"/>
        </w:rPr>
        <w:t>确定入围供应商</w:t>
      </w:r>
    </w:p>
    <w:p w14:paraId="26A5423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2.5.4.1</w:t>
      </w:r>
      <w:r>
        <w:rPr>
          <w:rFonts w:hint="eastAsia" w:ascii="宋体" w:hAnsi="宋体" w:cs="宋体"/>
          <w:color w:val="auto"/>
          <w:highlight w:val="none"/>
        </w:rPr>
        <w:t>采购代理机构将在评审结束后</w:t>
      </w:r>
      <w:r>
        <w:rPr>
          <w:rFonts w:ascii="宋体" w:hAnsi="宋体" w:cs="宋体"/>
          <w:color w:val="auto"/>
          <w:highlight w:val="none"/>
        </w:rPr>
        <w:t>2</w:t>
      </w:r>
      <w:r>
        <w:rPr>
          <w:rFonts w:hint="eastAsia" w:ascii="宋体" w:hAnsi="宋体" w:cs="宋体"/>
          <w:color w:val="auto"/>
          <w:highlight w:val="none"/>
        </w:rPr>
        <w:t>个工作日内将评审报告送征集人，征集人在</w:t>
      </w:r>
      <w:r>
        <w:rPr>
          <w:rFonts w:ascii="宋体" w:hAnsi="宋体" w:cs="宋体"/>
          <w:color w:val="auto"/>
          <w:highlight w:val="none"/>
        </w:rPr>
        <w:t>2</w:t>
      </w:r>
      <w:r>
        <w:rPr>
          <w:rFonts w:hint="eastAsia" w:ascii="宋体" w:hAnsi="宋体" w:cs="宋体"/>
          <w:color w:val="auto"/>
          <w:highlight w:val="none"/>
        </w:rPr>
        <w:t>个工作日内按照评审报告中推荐的入围候选供应商顺序确定入围供应商。</w:t>
      </w:r>
    </w:p>
    <w:p w14:paraId="3B0D0C1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2.5.4.2</w:t>
      </w:r>
      <w:r>
        <w:rPr>
          <w:rFonts w:hint="eastAsia" w:ascii="宋体" w:hAnsi="宋体" w:cs="宋体"/>
          <w:color w:val="auto"/>
          <w:highlight w:val="none"/>
        </w:rPr>
        <w:t>已确定入围供应商但尚未签订框架协议前，如发现入围供应商存在本章</w:t>
      </w:r>
      <w:r>
        <w:rPr>
          <w:rFonts w:ascii="宋体" w:hAnsi="宋体" w:cs="宋体"/>
          <w:color w:val="auto"/>
          <w:highlight w:val="none"/>
        </w:rPr>
        <w:t>2.8.2</w:t>
      </w:r>
      <w:r>
        <w:rPr>
          <w:rFonts w:hint="eastAsia" w:ascii="宋体" w:hAnsi="宋体" w:cs="宋体"/>
          <w:color w:val="auto"/>
          <w:highlight w:val="none"/>
        </w:rPr>
        <w:t>的六种情形之一，认定其入围资格无效的，造成入围供应商不足</w:t>
      </w:r>
      <w:r>
        <w:rPr>
          <w:rFonts w:ascii="宋体" w:hAnsi="宋体" w:cs="宋体"/>
          <w:color w:val="auto"/>
          <w:highlight w:val="none"/>
        </w:rPr>
        <w:t>20</w:t>
      </w:r>
      <w:r>
        <w:rPr>
          <w:rFonts w:hint="eastAsia" w:ascii="宋体" w:hAnsi="宋体" w:cs="宋体"/>
          <w:color w:val="auto"/>
          <w:highlight w:val="none"/>
        </w:rPr>
        <w:t>家时，征集人可以从合格的入围候选供应商中依次另行确定入围供应商。</w:t>
      </w:r>
    </w:p>
    <w:p w14:paraId="1FC591F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2.5.4.3</w:t>
      </w:r>
      <w:r>
        <w:rPr>
          <w:rFonts w:hint="eastAsia" w:ascii="宋体" w:hAnsi="宋体" w:cs="宋体"/>
          <w:color w:val="auto"/>
          <w:highlight w:val="none"/>
        </w:rPr>
        <w:t>征集人认为供应商对征集过程、入围结果提出的质疑成立且影响或者可能影响成交结果的，合格供应商符合法定数量时，可以从合格的入围候选供应商中另行确定入围供应商的，应当依法另行确定入围供应商；否则应当重新开展征集活动。</w:t>
      </w:r>
    </w:p>
    <w:p w14:paraId="78131EA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2.5.5</w:t>
      </w:r>
      <w:r>
        <w:rPr>
          <w:rFonts w:hint="eastAsia" w:ascii="宋体" w:hAnsi="宋体" w:cs="宋体"/>
          <w:color w:val="auto"/>
          <w:highlight w:val="none"/>
        </w:rPr>
        <w:t>入围结果公告</w:t>
      </w:r>
    </w:p>
    <w:p w14:paraId="28A249B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2.5.5.1</w:t>
      </w:r>
      <w:r>
        <w:rPr>
          <w:rFonts w:hint="eastAsia" w:ascii="宋体" w:hAnsi="宋体" w:cs="宋体"/>
          <w:color w:val="auto"/>
          <w:highlight w:val="none"/>
        </w:rPr>
        <w:t>自入围供应商确定后</w:t>
      </w:r>
      <w:r>
        <w:rPr>
          <w:rFonts w:ascii="宋体" w:hAnsi="宋体" w:cs="宋体"/>
          <w:color w:val="auto"/>
          <w:highlight w:val="none"/>
        </w:rPr>
        <w:t>2</w:t>
      </w:r>
      <w:r>
        <w:rPr>
          <w:rFonts w:hint="eastAsia" w:ascii="宋体" w:hAnsi="宋体" w:cs="宋体"/>
          <w:color w:val="auto"/>
          <w:highlight w:val="none"/>
        </w:rPr>
        <w:t>个工作日内，采购代理机构按照供应商须知前附表的规定公告入围结果。</w:t>
      </w:r>
    </w:p>
    <w:p w14:paraId="29CBA95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2.5.5.2</w:t>
      </w:r>
      <w:r>
        <w:rPr>
          <w:rFonts w:hint="eastAsia" w:ascii="宋体" w:hAnsi="宋体" w:cs="宋体"/>
          <w:color w:val="auto"/>
          <w:highlight w:val="none"/>
        </w:rPr>
        <w:t>在发布入围结果公告的同时，采购代理机构以供应商须知前附表规定的形式向入围供应商发出入围通知书。入围通知书发出后，征集人改变入围结果，或者入围供应商放弃入围资格，应当承担相应的法律责任。</w:t>
      </w:r>
    </w:p>
    <w:p w14:paraId="530B1CC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2.5.6</w:t>
      </w:r>
      <w:r>
        <w:rPr>
          <w:rFonts w:hint="eastAsia" w:ascii="宋体" w:hAnsi="宋体" w:cs="宋体"/>
          <w:color w:val="auto"/>
          <w:highlight w:val="none"/>
        </w:rPr>
        <w:t>废标</w:t>
      </w:r>
    </w:p>
    <w:p w14:paraId="43A23BC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2.5.6.1</w:t>
      </w:r>
      <w:r>
        <w:rPr>
          <w:rFonts w:hint="eastAsia" w:ascii="宋体" w:hAnsi="宋体" w:cs="宋体"/>
          <w:color w:val="auto"/>
          <w:highlight w:val="none"/>
        </w:rPr>
        <w:t>出现下列情形之一，将导致项目废标：</w:t>
      </w:r>
    </w:p>
    <w:p w14:paraId="487CA65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符合专业条件的供应商或者对征集文件做实质性响应的供应商不足两家；</w:t>
      </w:r>
    </w:p>
    <w:p w14:paraId="1E6205F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出现影响采购公正的违法、违规行为的；</w:t>
      </w:r>
    </w:p>
    <w:p w14:paraId="45DC92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供应商的报价均超过了最高限制单价，采购人不能支付的；</w:t>
      </w:r>
    </w:p>
    <w:p w14:paraId="28E987F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因发生重大变故或采购任务取消的。</w:t>
      </w:r>
    </w:p>
    <w:p w14:paraId="7DFAB1B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2.5.6.2</w:t>
      </w:r>
      <w:r>
        <w:rPr>
          <w:rFonts w:hint="eastAsia" w:ascii="宋体" w:hAnsi="宋体" w:cs="宋体"/>
          <w:color w:val="auto"/>
          <w:highlight w:val="none"/>
        </w:rPr>
        <w:t>废标后征集人将发布废标公告通知供应商。</w:t>
      </w:r>
    </w:p>
    <w:p w14:paraId="3A25A5B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2.6</w:t>
      </w:r>
      <w:r>
        <w:rPr>
          <w:rFonts w:hint="eastAsia" w:ascii="宋体" w:hAnsi="宋体" w:cs="宋体"/>
          <w:color w:val="auto"/>
          <w:highlight w:val="none"/>
        </w:rPr>
        <w:t>签订框架协议</w:t>
      </w:r>
    </w:p>
    <w:p w14:paraId="7689076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2.6.1</w:t>
      </w:r>
      <w:r>
        <w:rPr>
          <w:rFonts w:hint="eastAsia" w:ascii="宋体" w:hAnsi="宋体" w:cs="宋体"/>
          <w:color w:val="auto"/>
          <w:highlight w:val="none"/>
        </w:rPr>
        <w:t>征集人在征集文件规定的时间内与入围供应商签订框架协议，如无特别规定，签订时间应不晚于入围通知书发出之日起</w:t>
      </w:r>
      <w:r>
        <w:rPr>
          <w:rFonts w:hint="eastAsia" w:ascii="宋体" w:hAnsi="宋体" w:cs="宋体"/>
          <w:color w:val="auto"/>
          <w:highlight w:val="none"/>
          <w:lang w:val="en-US" w:eastAsia="zh-CN"/>
        </w:rPr>
        <w:t>25</w:t>
      </w:r>
      <w:r>
        <w:rPr>
          <w:rFonts w:hint="eastAsia" w:ascii="宋体" w:hAnsi="宋体" w:cs="宋体"/>
          <w:color w:val="auto"/>
          <w:highlight w:val="none"/>
        </w:rPr>
        <w:t>日内。</w:t>
      </w:r>
    </w:p>
    <w:p w14:paraId="73A22B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征集人在框架协议签订后</w:t>
      </w:r>
      <w:r>
        <w:rPr>
          <w:rFonts w:ascii="宋体" w:hAnsi="宋体" w:cs="宋体"/>
          <w:color w:val="auto"/>
          <w:highlight w:val="none"/>
        </w:rPr>
        <w:t>2</w:t>
      </w:r>
      <w:r>
        <w:rPr>
          <w:rFonts w:hint="eastAsia" w:ascii="宋体" w:hAnsi="宋体" w:cs="宋体"/>
          <w:color w:val="auto"/>
          <w:highlight w:val="none"/>
        </w:rPr>
        <w:t>个工作日内，将框架协议副本报本级财政部门备案。</w:t>
      </w:r>
    </w:p>
    <w:p w14:paraId="572318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2.6.3</w:t>
      </w:r>
      <w:r>
        <w:rPr>
          <w:rFonts w:hint="eastAsia" w:ascii="宋体" w:hAnsi="宋体" w:cs="宋体"/>
          <w:color w:val="auto"/>
          <w:highlight w:val="none"/>
        </w:rPr>
        <w:t>框架协议不得对征集文件确定的事项以及入围供应商的响应文件作实质性修改。</w:t>
      </w:r>
    </w:p>
    <w:p w14:paraId="54E7974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2.7</w:t>
      </w:r>
      <w:r>
        <w:rPr>
          <w:rFonts w:hint="eastAsia" w:ascii="宋体" w:hAnsi="宋体" w:cs="宋体"/>
          <w:color w:val="auto"/>
          <w:highlight w:val="none"/>
        </w:rPr>
        <w:t>告知入围信息</w:t>
      </w:r>
    </w:p>
    <w:p w14:paraId="76D6A8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2.7.1</w:t>
      </w:r>
      <w:r>
        <w:rPr>
          <w:rFonts w:hint="eastAsia" w:ascii="宋体" w:hAnsi="宋体" w:cs="宋体"/>
          <w:color w:val="auto"/>
          <w:highlight w:val="none"/>
        </w:rPr>
        <w:t>征集人在框架协议签订后</w:t>
      </w:r>
      <w:r>
        <w:rPr>
          <w:rFonts w:ascii="宋体" w:hAnsi="宋体" w:cs="宋体"/>
          <w:color w:val="auto"/>
          <w:highlight w:val="none"/>
        </w:rPr>
        <w:t>3</w:t>
      </w:r>
      <w:r>
        <w:rPr>
          <w:rFonts w:hint="eastAsia" w:ascii="宋体" w:hAnsi="宋体" w:cs="宋体"/>
          <w:color w:val="auto"/>
          <w:highlight w:val="none"/>
        </w:rPr>
        <w:t>个工作日内将入围信息告知适用框架协议的所有采购人。</w:t>
      </w:r>
    </w:p>
    <w:p w14:paraId="4B31906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2.8</w:t>
      </w:r>
      <w:r>
        <w:rPr>
          <w:rFonts w:hint="eastAsia" w:ascii="宋体" w:hAnsi="宋体" w:cs="宋体"/>
          <w:color w:val="auto"/>
          <w:highlight w:val="none"/>
        </w:rPr>
        <w:t>入围供应商的清退和补充</w:t>
      </w:r>
    </w:p>
    <w:p w14:paraId="30D84F8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2.8.1</w:t>
      </w:r>
      <w:r>
        <w:rPr>
          <w:rFonts w:hint="eastAsia" w:ascii="宋体" w:hAnsi="宋体" w:cs="宋体"/>
          <w:color w:val="auto"/>
          <w:highlight w:val="none"/>
        </w:rPr>
        <w:t>封闭式框架协议入围供应商无正当理由，不得主动放弃入围资格或者退出框架协议。</w:t>
      </w:r>
    </w:p>
    <w:p w14:paraId="2436213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2.8.2</w:t>
      </w:r>
      <w:r>
        <w:rPr>
          <w:rFonts w:hint="eastAsia" w:ascii="宋体" w:hAnsi="宋体" w:cs="宋体"/>
          <w:color w:val="auto"/>
          <w:highlight w:val="none"/>
        </w:rPr>
        <w:t>入围供应商有下列情形之一，尚未签订框架协议的，取消其入围资格；已经签订框架协议的，解除与其签订的框架协议：</w:t>
      </w:r>
    </w:p>
    <w:p w14:paraId="0D5F1B83">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）恶意串通谋取入围或者合同成交的；</w:t>
      </w:r>
      <w:r>
        <w:rPr>
          <w:rFonts w:ascii="宋体" w:cs="宋体"/>
          <w:color w:val="auto"/>
          <w:sz w:val="21"/>
          <w:szCs w:val="21"/>
          <w:highlight w:val="none"/>
        </w:rPr>
        <w:t> </w:t>
      </w:r>
    </w:p>
    <w:p w14:paraId="746564DF">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）提供虚假材料谋取入围或者合同成交的；</w:t>
      </w:r>
      <w:r>
        <w:rPr>
          <w:rFonts w:ascii="宋体" w:cs="宋体"/>
          <w:color w:val="auto"/>
          <w:sz w:val="21"/>
          <w:szCs w:val="21"/>
          <w:highlight w:val="none"/>
        </w:rPr>
        <w:t> </w:t>
      </w:r>
    </w:p>
    <w:p w14:paraId="06B24BB5">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）无正当理由拒不接受合同授予的；</w:t>
      </w:r>
      <w:r>
        <w:rPr>
          <w:rFonts w:ascii="宋体" w:cs="宋体"/>
          <w:color w:val="auto"/>
          <w:sz w:val="21"/>
          <w:szCs w:val="21"/>
          <w:highlight w:val="none"/>
        </w:rPr>
        <w:t> </w:t>
      </w:r>
    </w:p>
    <w:p w14:paraId="53658E17">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）不履行合同义务或者履行合同义务不符合约定，经采购人请求履行后仍不履行或者仍未按约定履行的；</w:t>
      </w:r>
      <w:r>
        <w:rPr>
          <w:rFonts w:ascii="宋体" w:cs="宋体"/>
          <w:color w:val="auto"/>
          <w:sz w:val="21"/>
          <w:szCs w:val="21"/>
          <w:highlight w:val="none"/>
        </w:rPr>
        <w:t> </w:t>
      </w:r>
    </w:p>
    <w:p w14:paraId="7CE34B21">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）框架协议有效期内，因违法行为被禁止或限制参加政府采购活动的；</w:t>
      </w:r>
      <w:r>
        <w:rPr>
          <w:rFonts w:ascii="宋体" w:cs="宋体"/>
          <w:color w:val="auto"/>
          <w:sz w:val="21"/>
          <w:szCs w:val="21"/>
          <w:highlight w:val="none"/>
        </w:rPr>
        <w:t> </w:t>
      </w:r>
    </w:p>
    <w:p w14:paraId="5505D3BF">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）框架协议约定的其他情形。</w:t>
      </w:r>
      <w:r>
        <w:rPr>
          <w:rFonts w:ascii="宋体" w:cs="宋体"/>
          <w:color w:val="auto"/>
          <w:sz w:val="21"/>
          <w:szCs w:val="21"/>
          <w:highlight w:val="none"/>
        </w:rPr>
        <w:t> </w:t>
      </w:r>
    </w:p>
    <w:p w14:paraId="3FC4C036">
      <w:pPr>
        <w:pStyle w:val="31"/>
        <w:kinsoku/>
        <w:topLinePunct/>
        <w:autoSpaceDE/>
        <w:autoSpaceDN/>
        <w:spacing w:before="0"/>
        <w:ind w:right="86" w:rightChars="41" w:firstLine="31680"/>
        <w:rPr>
          <w:rFonts w:ascii="宋体" w:cs="宋体"/>
          <w:color w:val="auto"/>
          <w:sz w:val="21"/>
          <w:szCs w:val="21"/>
          <w:highlight w:val="none"/>
        </w:rPr>
      </w:pPr>
      <w:r>
        <w:rPr>
          <w:rFonts w:ascii="宋体" w:hAnsi="宋体" w:cs="宋体"/>
          <w:color w:val="auto"/>
          <w:sz w:val="21"/>
          <w:szCs w:val="21"/>
          <w:highlight w:val="none"/>
        </w:rPr>
        <w:t>2.8.3</w:t>
      </w:r>
      <w:r>
        <w:rPr>
          <w:rFonts w:hint="eastAsia" w:ascii="宋体" w:hAnsi="宋体" w:cs="宋体"/>
          <w:color w:val="auto"/>
          <w:sz w:val="21"/>
          <w:szCs w:val="21"/>
          <w:highlight w:val="none"/>
        </w:rPr>
        <w:t>被取消入围资格或者被解除框架协议的供应商不得参加同一封闭式框架协议补充征集。</w:t>
      </w:r>
    </w:p>
    <w:p w14:paraId="37D0D60B">
      <w:pPr>
        <w:pStyle w:val="31"/>
        <w:kinsoku/>
        <w:topLinePunct/>
        <w:autoSpaceDE/>
        <w:autoSpaceDN/>
        <w:spacing w:before="0" w:line="348" w:lineRule="auto"/>
        <w:ind w:right="86" w:rightChars="41" w:firstLine="31680"/>
        <w:rPr>
          <w:rFonts w:ascii="宋体" w:cs="宋体"/>
          <w:color w:val="auto"/>
          <w:sz w:val="21"/>
          <w:szCs w:val="21"/>
          <w:highlight w:val="none"/>
        </w:rPr>
      </w:pPr>
      <w:r>
        <w:rPr>
          <w:rFonts w:ascii="宋体" w:hAnsi="宋体" w:cs="宋体"/>
          <w:color w:val="auto"/>
          <w:sz w:val="21"/>
          <w:szCs w:val="21"/>
          <w:highlight w:val="none"/>
        </w:rPr>
        <w:t>2.8.4</w:t>
      </w:r>
      <w:r>
        <w:rPr>
          <w:rFonts w:hint="eastAsia" w:ascii="宋体" w:hAnsi="宋体" w:cs="宋体"/>
          <w:color w:val="auto"/>
          <w:sz w:val="21"/>
          <w:szCs w:val="21"/>
          <w:highlight w:val="none"/>
        </w:rPr>
        <w:t>供应商违反《政府采购框架协议采购方式管理暂行办法》规定，经责令改正后仍然影响或者可能影响入围结果或者成交结果的，依照政府采购法等有关法律、行政法规处理。</w:t>
      </w:r>
      <w:r>
        <w:rPr>
          <w:rFonts w:ascii="宋体" w:cs="宋体"/>
          <w:color w:val="auto"/>
          <w:sz w:val="21"/>
          <w:szCs w:val="21"/>
          <w:highlight w:val="none"/>
        </w:rPr>
        <w:t> </w:t>
      </w:r>
    </w:p>
    <w:p w14:paraId="307964E1">
      <w:pPr>
        <w:pStyle w:val="31"/>
        <w:kinsoku/>
        <w:topLinePunct/>
        <w:autoSpaceDE/>
        <w:autoSpaceDN/>
        <w:spacing w:before="0" w:line="348" w:lineRule="auto"/>
        <w:ind w:right="86" w:rightChars="41" w:firstLine="31680"/>
        <w:rPr>
          <w:rFonts w:ascii="宋体" w:cs="宋体"/>
          <w:color w:val="auto"/>
          <w:sz w:val="21"/>
          <w:szCs w:val="21"/>
          <w:highlight w:val="none"/>
        </w:rPr>
      </w:pPr>
      <w:r>
        <w:rPr>
          <w:rFonts w:ascii="宋体" w:hAnsi="宋体" w:cs="宋体"/>
          <w:color w:val="auto"/>
          <w:sz w:val="21"/>
          <w:szCs w:val="21"/>
          <w:highlight w:val="none"/>
        </w:rPr>
        <w:t>2.8.5</w:t>
      </w:r>
      <w:r>
        <w:rPr>
          <w:rFonts w:hint="eastAsia" w:ascii="宋体" w:hAnsi="宋体" w:cs="宋体"/>
          <w:color w:val="auto"/>
          <w:sz w:val="21"/>
          <w:szCs w:val="21"/>
          <w:highlight w:val="none"/>
        </w:rPr>
        <w:t>供应商恶意串通谋取入围或者合同成交的、提供虚假材料谋取入围或者合同成交的、无正当理由拒不接受合同授予的以及无正当理由放弃封闭式框架协议入围资格或者退出封闭式框架协议的，依照政府采购法等有关法律、行政法规追究法律责任。</w:t>
      </w:r>
    </w:p>
    <w:p w14:paraId="6B935204">
      <w:pPr>
        <w:tabs>
          <w:tab w:val="left" w:pos="0"/>
        </w:tabs>
        <w:spacing w:line="348" w:lineRule="auto"/>
        <w:ind w:firstLine="480"/>
        <w:rPr>
          <w:rFonts w:ascii="Times New Roman" w:hAnsi="宋体" w:cs="Times New Roman"/>
          <w:color w:val="auto"/>
          <w:highlight w:val="none"/>
        </w:rPr>
      </w:pPr>
      <w:r>
        <w:rPr>
          <w:rFonts w:ascii="宋体" w:hAnsi="宋体" w:cs="宋体"/>
          <w:color w:val="auto"/>
          <w:highlight w:val="none"/>
        </w:rPr>
        <w:t>2.8.6</w:t>
      </w:r>
      <w:r>
        <w:rPr>
          <w:rFonts w:hint="eastAsia" w:ascii="Times New Roman" w:hAnsi="宋体" w:cs="Times New Roman"/>
          <w:color w:val="auto"/>
          <w:highlight w:val="none"/>
        </w:rPr>
        <w:t>清退规则：在下列情形下征集人有权清退入围供应商，而不需要承担任何责任：</w:t>
      </w:r>
    </w:p>
    <w:p w14:paraId="70E5F0E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rPr>
        <w:t>）违反工作纪律，廉政纪律、保密规定等，造成不良影响的；</w:t>
      </w:r>
    </w:p>
    <w:p w14:paraId="2E7827D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2</w:t>
      </w:r>
      <w:r>
        <w:rPr>
          <w:rFonts w:hint="eastAsia" w:ascii="Times New Roman" w:hAnsi="宋体" w:cs="Times New Roman"/>
          <w:color w:val="auto"/>
          <w:highlight w:val="none"/>
        </w:rPr>
        <w:t>）违反法律法规及其实施条例，对审核质量问题负有直接责任的；</w:t>
      </w:r>
      <w:r>
        <w:rPr>
          <w:rFonts w:ascii="Times New Roman" w:hAnsi="宋体" w:cs="Times New Roman"/>
          <w:color w:val="auto"/>
          <w:highlight w:val="none"/>
        </w:rPr>
        <w:t xml:space="preserve"> </w:t>
      </w:r>
    </w:p>
    <w:p w14:paraId="133D6D6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3</w:t>
      </w:r>
      <w:r>
        <w:rPr>
          <w:rFonts w:hint="eastAsia" w:ascii="Times New Roman" w:hAnsi="宋体" w:cs="Times New Roman"/>
          <w:color w:val="auto"/>
          <w:highlight w:val="none"/>
        </w:rPr>
        <w:t>）不严格执行实施方案，擅自减少审核内容或者扩大审核范围的；</w:t>
      </w:r>
      <w:r>
        <w:rPr>
          <w:rFonts w:ascii="Times New Roman" w:hAnsi="宋体" w:cs="Times New Roman"/>
          <w:color w:val="auto"/>
          <w:highlight w:val="none"/>
        </w:rPr>
        <w:t xml:space="preserve"> </w:t>
      </w:r>
    </w:p>
    <w:p w14:paraId="751CDA27">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4</w:t>
      </w:r>
      <w:r>
        <w:rPr>
          <w:rFonts w:hint="eastAsia" w:ascii="Times New Roman" w:hAnsi="宋体" w:cs="Times New Roman"/>
          <w:color w:val="auto"/>
          <w:highlight w:val="none"/>
        </w:rPr>
        <w:t>）片面收集证据，涂改、伪造、隐匿审核证据的；</w:t>
      </w:r>
    </w:p>
    <w:p w14:paraId="156710D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5</w:t>
      </w:r>
      <w:r>
        <w:rPr>
          <w:rFonts w:hint="eastAsia" w:ascii="Times New Roman" w:hAnsi="宋体" w:cs="Times New Roman"/>
          <w:color w:val="auto"/>
          <w:highlight w:val="none"/>
        </w:rPr>
        <w:t>）须请示汇报事项隐瞒不报或者擅自处理的；</w:t>
      </w:r>
    </w:p>
    <w:p w14:paraId="253B7DE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6</w:t>
      </w:r>
      <w:r>
        <w:rPr>
          <w:rFonts w:hint="eastAsia" w:ascii="Times New Roman" w:hAnsi="宋体" w:cs="Times New Roman"/>
          <w:color w:val="auto"/>
          <w:highlight w:val="none"/>
        </w:rPr>
        <w:t>）向施工单位及无关人员通风报信、出谋划策，帮助其妨碍、干扰、拖延审核工作的；</w:t>
      </w:r>
    </w:p>
    <w:p w14:paraId="2DA830A7">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7</w:t>
      </w:r>
      <w:r>
        <w:rPr>
          <w:rFonts w:hint="eastAsia" w:ascii="Times New Roman" w:hAnsi="宋体" w:cs="Times New Roman"/>
          <w:color w:val="auto"/>
          <w:highlight w:val="none"/>
        </w:rPr>
        <w:t>）不按规定及时移交资料的，或审核资料、设备管理不善造成毁损或丢失的；</w:t>
      </w:r>
    </w:p>
    <w:p w14:paraId="215EEE01">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8</w:t>
      </w:r>
      <w:r>
        <w:rPr>
          <w:rFonts w:hint="eastAsia" w:ascii="Times New Roman" w:hAnsi="宋体" w:cs="Times New Roman"/>
          <w:color w:val="auto"/>
          <w:highlight w:val="none"/>
        </w:rPr>
        <w:t>）将资料和审核结果用于与项目无关的事项的。</w:t>
      </w:r>
      <w:r>
        <w:rPr>
          <w:rFonts w:ascii="Times New Roman" w:hAnsi="宋体" w:cs="Times New Roman"/>
          <w:color w:val="auto"/>
          <w:highlight w:val="none"/>
        </w:rPr>
        <w:t xml:space="preserve"> </w:t>
      </w:r>
    </w:p>
    <w:p w14:paraId="6524B4F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9</w:t>
      </w:r>
      <w:r>
        <w:rPr>
          <w:rFonts w:hint="eastAsia" w:ascii="Times New Roman" w:hAnsi="宋体" w:cs="Times New Roman"/>
          <w:color w:val="auto"/>
          <w:highlight w:val="none"/>
        </w:rPr>
        <w:t>）重大违纪违规问题应当披露而未披露的；</w:t>
      </w:r>
      <w:r>
        <w:rPr>
          <w:rFonts w:ascii="Times New Roman" w:hAnsi="宋体" w:cs="Times New Roman"/>
          <w:color w:val="auto"/>
          <w:highlight w:val="none"/>
        </w:rPr>
        <w:t xml:space="preserve"> </w:t>
      </w:r>
    </w:p>
    <w:p w14:paraId="2CD8503D">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10</w:t>
      </w:r>
      <w:r>
        <w:rPr>
          <w:rFonts w:hint="eastAsia" w:ascii="Times New Roman" w:hAnsi="宋体" w:cs="Times New Roman"/>
          <w:color w:val="auto"/>
          <w:highlight w:val="none"/>
        </w:rPr>
        <w:t>）将受聘项目转包或分包给其他单位或个人的；</w:t>
      </w:r>
    </w:p>
    <w:p w14:paraId="44AD1074">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11</w:t>
      </w:r>
      <w:r>
        <w:rPr>
          <w:rFonts w:hint="eastAsia" w:ascii="Times New Roman" w:hAnsi="宋体" w:cs="Times New Roman"/>
          <w:color w:val="auto"/>
          <w:highlight w:val="none"/>
        </w:rPr>
        <w:t>）未</w:t>
      </w:r>
      <w:r>
        <w:rPr>
          <w:rFonts w:hint="eastAsia" w:ascii="宋体" w:hAnsi="宋体" w:cs="宋体"/>
          <w:color w:val="auto"/>
          <w:highlight w:val="none"/>
        </w:rPr>
        <w:t>真实地提供其机构的专业人员的资格证书；</w:t>
      </w:r>
    </w:p>
    <w:p w14:paraId="072791B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）将评审项目转包第三方或非本公司人员的；</w:t>
      </w:r>
    </w:p>
    <w:p w14:paraId="472F5F8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13</w:t>
      </w:r>
      <w:r>
        <w:rPr>
          <w:rFonts w:hint="eastAsia" w:ascii="宋体" w:hAnsi="宋体" w:cs="宋体"/>
          <w:color w:val="auto"/>
          <w:highlight w:val="none"/>
        </w:rPr>
        <w:t>）未严格按国家有关标准提供相关咨询服务。在协议期一年内累计叁次不接受分配评审任务的，并不能说明合理理由的；</w:t>
      </w:r>
    </w:p>
    <w:p w14:paraId="73EBF742">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14</w:t>
      </w:r>
      <w:r>
        <w:rPr>
          <w:rFonts w:hint="eastAsia" w:ascii="宋体" w:hAnsi="宋体" w:cs="宋体"/>
          <w:color w:val="auto"/>
          <w:highlight w:val="none"/>
        </w:rPr>
        <w:t>）未在接到甲方安排的项目后，第一时间主动与甲方联系，及时收集项目的所有资料并反馈图纸或预算存在相关疑问，并在合同规定的时间内完成评审任务的；</w:t>
      </w:r>
    </w:p>
    <w:p w14:paraId="6321BBB9">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15</w:t>
      </w:r>
      <w:r>
        <w:rPr>
          <w:rFonts w:hint="eastAsia" w:ascii="宋体" w:hAnsi="宋体" w:cs="宋体"/>
          <w:color w:val="auto"/>
          <w:highlight w:val="none"/>
        </w:rPr>
        <w:t>）因项目资料缺失或存在疑问而造成评审时间拖后的，在协议期一年内累计达</w:t>
      </w:r>
      <w:r>
        <w:rPr>
          <w:rFonts w:hint="eastAsia" w:ascii="宋体" w:hAnsi="宋体" w:cs="宋体"/>
          <w:color w:val="auto"/>
          <w:highlight w:val="none"/>
          <w:lang w:eastAsia="zh-CN"/>
        </w:rPr>
        <w:t>三</w:t>
      </w:r>
      <w:r>
        <w:rPr>
          <w:rFonts w:hint="eastAsia" w:ascii="宋体" w:hAnsi="宋体" w:cs="宋体"/>
          <w:color w:val="auto"/>
          <w:highlight w:val="none"/>
        </w:rPr>
        <w:t>次的；</w:t>
      </w:r>
    </w:p>
    <w:p w14:paraId="6EA8AEAB">
      <w:pPr>
        <w:widowControl w:val="0"/>
        <w:tabs>
          <w:tab w:val="left" w:pos="0"/>
        </w:tabs>
        <w:kinsoku/>
        <w:snapToGrid/>
        <w:spacing w:line="348" w:lineRule="auto"/>
        <w:ind w:firstLine="367" w:firstLineChars="175"/>
        <w:textAlignment w:val="auto"/>
        <w:rPr>
          <w:color w:val="auto"/>
          <w:highlight w:val="none"/>
        </w:rPr>
      </w:pPr>
      <w:r>
        <w:rPr>
          <w:rFonts w:hint="eastAsia" w:ascii="宋体" w:hAnsi="宋体" w:cs="宋体"/>
          <w:color w:val="auto"/>
          <w:highlight w:val="none"/>
        </w:rPr>
        <w:t>（</w:t>
      </w:r>
      <w:r>
        <w:rPr>
          <w:rFonts w:ascii="宋体" w:hAnsi="宋体" w:cs="宋体"/>
          <w:color w:val="auto"/>
          <w:highlight w:val="none"/>
        </w:rPr>
        <w:t>16</w:t>
      </w:r>
      <w:r>
        <w:rPr>
          <w:rFonts w:hint="eastAsia" w:ascii="宋体" w:hAnsi="宋体" w:cs="宋体"/>
          <w:color w:val="auto"/>
          <w:highlight w:val="none"/>
        </w:rPr>
        <w:t>）未严格遵守保密纪律，遵守职业道德，将甲方安排的评审项目内容和结果透露给除甲方以外的任何人的；</w:t>
      </w:r>
    </w:p>
    <w:p w14:paraId="61477021">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17</w:t>
      </w:r>
      <w:r>
        <w:rPr>
          <w:rFonts w:hint="eastAsia" w:ascii="Times New Roman" w:hAnsi="宋体" w:cs="Times New Roman"/>
          <w:color w:val="auto"/>
          <w:highlight w:val="none"/>
        </w:rPr>
        <w:t>）</w:t>
      </w:r>
      <w:r>
        <w:rPr>
          <w:rFonts w:hint="eastAsia" w:ascii="宋体" w:hAnsi="宋体" w:cs="宋体"/>
          <w:color w:val="auto"/>
          <w:highlight w:val="none"/>
        </w:rPr>
        <w:t>未经甲方同意，擅自更换响应时承诺的技术负责人和评审人员的；</w:t>
      </w:r>
    </w:p>
    <w:p w14:paraId="5FC44260">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18</w:t>
      </w:r>
      <w:r>
        <w:rPr>
          <w:rFonts w:hint="eastAsia" w:ascii="Times New Roman" w:hAnsi="宋体" w:cs="Times New Roman"/>
          <w:color w:val="auto"/>
          <w:highlight w:val="none"/>
        </w:rPr>
        <w:t>）无特殊理由不服从委托方安排的。</w:t>
      </w:r>
      <w:r>
        <w:rPr>
          <w:rFonts w:ascii="Times New Roman" w:hAnsi="宋体" w:cs="Times New Roman"/>
          <w:color w:val="auto"/>
          <w:highlight w:val="none"/>
        </w:rPr>
        <w:t xml:space="preserve"> </w:t>
      </w:r>
    </w:p>
    <w:p w14:paraId="3C860E5E">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19</w:t>
      </w:r>
      <w:r>
        <w:rPr>
          <w:rFonts w:hint="eastAsia" w:ascii="Times New Roman" w:hAnsi="宋体" w:cs="Times New Roman"/>
          <w:color w:val="auto"/>
          <w:highlight w:val="none"/>
        </w:rPr>
        <w:t>）在资料齐全，建设单位不再补充任何资料的情况下，甲方与乙方对数后，误差率超过±</w:t>
      </w:r>
      <w:r>
        <w:rPr>
          <w:rFonts w:ascii="Times New Roman" w:hAnsi="宋体" w:cs="Times New Roman"/>
          <w:color w:val="auto"/>
          <w:highlight w:val="none"/>
        </w:rPr>
        <w:t>5%</w:t>
      </w:r>
      <w:r>
        <w:rPr>
          <w:rFonts w:hint="eastAsia" w:ascii="Times New Roman" w:hAnsi="宋体" w:cs="Times New Roman"/>
          <w:color w:val="auto"/>
          <w:highlight w:val="none"/>
        </w:rPr>
        <w:t>的。</w:t>
      </w:r>
    </w:p>
    <w:p w14:paraId="2212A83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2.8.7</w:t>
      </w:r>
      <w:r>
        <w:rPr>
          <w:rFonts w:hint="eastAsia" w:ascii="宋体" w:hAnsi="宋体" w:cs="宋体"/>
          <w:color w:val="auto"/>
          <w:highlight w:val="none"/>
        </w:rPr>
        <w:t>补充规则：出现剩余入围供应商不足入围供应商总数</w:t>
      </w:r>
      <w:r>
        <w:rPr>
          <w:rFonts w:ascii="宋体" w:hAnsi="宋体" w:cs="宋体"/>
          <w:color w:val="auto"/>
          <w:highlight w:val="none"/>
        </w:rPr>
        <w:t>70%</w:t>
      </w:r>
      <w:r>
        <w:rPr>
          <w:rFonts w:hint="eastAsia" w:ascii="宋体" w:hAnsi="宋体" w:cs="宋体"/>
          <w:color w:val="auto"/>
          <w:highlight w:val="none"/>
        </w:rPr>
        <w:t>且影响框架协议执行的情形时，征集人可以启动补充征集程序，补充征集规则在框架协议中约定，补充征集应遵守原框架协议的有效期。补充征集期间，原框架协议继续履行。</w:t>
      </w:r>
    </w:p>
    <w:p w14:paraId="64B6DA1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w:t>
      </w:r>
      <w:r>
        <w:rPr>
          <w:rFonts w:hint="eastAsia" w:ascii="宋体" w:hAnsi="宋体" w:cs="宋体"/>
          <w:color w:val="auto"/>
          <w:highlight w:val="none"/>
        </w:rPr>
        <w:t>质疑和投诉</w:t>
      </w:r>
    </w:p>
    <w:p w14:paraId="15AAA1C1">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2.9.1</w:t>
      </w:r>
      <w:r>
        <w:rPr>
          <w:rFonts w:hint="eastAsia" w:ascii="宋体" w:hAnsi="宋体" w:cs="宋体"/>
          <w:color w:val="auto"/>
          <w:highlight w:val="none"/>
        </w:rPr>
        <w:t>质疑</w:t>
      </w:r>
    </w:p>
    <w:p w14:paraId="40F7752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2.9.1.1</w:t>
      </w:r>
      <w:r>
        <w:rPr>
          <w:rFonts w:hint="eastAsia" w:ascii="宋体" w:hAnsi="宋体" w:cs="宋体"/>
          <w:color w:val="auto"/>
          <w:highlight w:val="none"/>
        </w:rPr>
        <w:t>质疑内容、时限</w:t>
      </w:r>
    </w:p>
    <w:p w14:paraId="3AAF79C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）供应商对征集活动有疑问的，可以向采购代理机构提出询问。采购代理机构应当在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p>
    <w:p w14:paraId="5A62086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）供应商为认为征集文件、征集过程、入围结果使自己的权益受到损害的，可以在知道或者应知其权益受到损害之日起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个工作日内向采购代理机构提出质疑。采购代理机构在收到供应商书面质疑后</w:t>
      </w:r>
      <w:r>
        <w:rPr>
          <w:rFonts w:ascii="宋体" w:hAnsi="宋体" w:cs="宋体"/>
          <w:color w:val="auto"/>
          <w:highlight w:val="none"/>
        </w:rPr>
        <w:t>7</w:t>
      </w:r>
      <w:r>
        <w:rPr>
          <w:rFonts w:hint="eastAsia" w:ascii="宋体" w:hAnsi="宋体" w:cs="宋体"/>
          <w:color w:val="auto"/>
          <w:highlight w:val="none"/>
        </w:rPr>
        <w:t>个工作日内，对质疑内容作出答复。</w:t>
      </w:r>
    </w:p>
    <w:p w14:paraId="1688D4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2.9.1.2</w:t>
      </w:r>
      <w:r>
        <w:rPr>
          <w:rFonts w:hint="eastAsia" w:ascii="宋体" w:hAnsi="宋体" w:cs="宋体"/>
          <w:color w:val="auto"/>
          <w:highlight w:val="none"/>
        </w:rPr>
        <w:t>质疑形式</w:t>
      </w:r>
    </w:p>
    <w:p w14:paraId="42F2B8B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质疑应当采用供应商须知前附表所规定的形式，质疑书应明确阐述征集文件、征集过程或成交结果中使自己合法权益受到损害的实质性内容，提供相关事实、依据和证据及其来源或线索，便于有关单位调查、答复和处理。</w:t>
      </w:r>
    </w:p>
    <w:p w14:paraId="2980D90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2.9.1.3</w:t>
      </w:r>
      <w:r>
        <w:rPr>
          <w:rFonts w:hint="eastAsia" w:ascii="宋体" w:hAnsi="宋体" w:cs="宋体"/>
          <w:color w:val="auto"/>
          <w:highlight w:val="none"/>
        </w:rPr>
        <w:t>供应商提出质疑应当提交质疑函和必要的证明材料。质疑函应当包括下列内容：</w:t>
      </w:r>
    </w:p>
    <w:p w14:paraId="4E46FED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7D75A22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23ED194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6A6B11E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5B5FBB1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0DFAB62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347E2F4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w:t>
      </w:r>
    </w:p>
    <w:p w14:paraId="0232D08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2.9.2</w:t>
      </w:r>
      <w:r>
        <w:rPr>
          <w:rFonts w:hint="eastAsia" w:ascii="宋体" w:hAnsi="宋体" w:cs="宋体"/>
          <w:color w:val="auto"/>
          <w:highlight w:val="none"/>
        </w:rPr>
        <w:t>投诉</w:t>
      </w:r>
    </w:p>
    <w:p w14:paraId="4A5B997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2.9.2.1</w:t>
      </w:r>
      <w:r>
        <w:rPr>
          <w:rFonts w:hint="eastAsia" w:ascii="宋体" w:hAnsi="宋体" w:cs="宋体"/>
          <w:color w:val="auto"/>
          <w:highlight w:val="none"/>
        </w:rPr>
        <w:t>供应商对采购代理机构的答复不满意，或者采购代理机构未在规定时间内答复的，可在答复期满后</w:t>
      </w:r>
      <w:r>
        <w:rPr>
          <w:rFonts w:ascii="宋体" w:hAnsi="宋体" w:cs="宋体"/>
          <w:color w:val="auto"/>
          <w:highlight w:val="none"/>
        </w:rPr>
        <w:t>15</w:t>
      </w:r>
      <w:r>
        <w:rPr>
          <w:rFonts w:hint="eastAsia" w:ascii="宋体" w:hAnsi="宋体" w:cs="宋体"/>
          <w:color w:val="auto"/>
          <w:highlight w:val="none"/>
        </w:rPr>
        <w:t>个工作日内按有关规定，向同级财政部门投诉。</w:t>
      </w:r>
    </w:p>
    <w:p w14:paraId="25029F5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2.9.2.2</w:t>
      </w:r>
      <w:r>
        <w:rPr>
          <w:rFonts w:hint="eastAsia" w:ascii="宋体" w:hAnsi="宋体" w:cs="宋体"/>
          <w:color w:val="auto"/>
          <w:highlight w:val="none"/>
        </w:rPr>
        <w:t>投诉书应使用财政部发布的政府采购供应投诉书范本，并应按照“投诉书制作说明”进行编写。</w:t>
      </w:r>
    </w:p>
    <w:p w14:paraId="22B2541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2.10</w:t>
      </w:r>
      <w:r>
        <w:rPr>
          <w:rFonts w:hint="eastAsia" w:ascii="宋体" w:hAnsi="宋体" w:cs="宋体"/>
          <w:color w:val="auto"/>
          <w:highlight w:val="none"/>
        </w:rPr>
        <w:t>促进中小企业发展政策</w:t>
      </w:r>
    </w:p>
    <w:p w14:paraId="1729AF7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2.10.1</w:t>
      </w:r>
      <w:r>
        <w:rPr>
          <w:rFonts w:hint="eastAsia" w:ascii="宋体" w:hAnsi="宋体" w:cs="宋体"/>
          <w:color w:val="auto"/>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7B9A18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2.10.2</w:t>
      </w:r>
      <w:r>
        <w:rPr>
          <w:rFonts w:hint="eastAsia" w:ascii="宋体" w:hAnsi="宋体" w:cs="宋体"/>
          <w:color w:val="auto"/>
          <w:highlight w:val="none"/>
        </w:rPr>
        <w:t>本项目如为专门面向中小企业预留采购份额采购项目，供应商必须满足征集文件资格要求中的落实政府采购政策需满足的资格要求。</w:t>
      </w:r>
    </w:p>
    <w:p w14:paraId="332BA7B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征集文件中如接受联合体，供应商以联合体形式参加采购活动，联合体协议中约定中小企业承担的部分达到</w:t>
      </w:r>
      <w:r>
        <w:rPr>
          <w:rFonts w:ascii="宋体" w:hAnsi="宋体" w:cs="宋体"/>
          <w:color w:val="auto"/>
          <w:highlight w:val="none"/>
        </w:rPr>
        <w:t>30%</w:t>
      </w:r>
      <w:r>
        <w:rPr>
          <w:rFonts w:hint="eastAsia" w:ascii="宋体" w:hAnsi="宋体" w:cs="宋体"/>
          <w:color w:val="auto"/>
          <w:highlight w:val="none"/>
        </w:rPr>
        <w:t>以上，其中预留给小微企业的比例不低于</w:t>
      </w:r>
      <w:r>
        <w:rPr>
          <w:rFonts w:ascii="宋体" w:hAnsi="宋体" w:cs="宋体"/>
          <w:color w:val="auto"/>
          <w:highlight w:val="none"/>
        </w:rPr>
        <w:t>60%</w:t>
      </w:r>
      <w:r>
        <w:rPr>
          <w:rFonts w:hint="eastAsia" w:ascii="宋体" w:hAnsi="宋体" w:cs="宋体"/>
          <w:color w:val="auto"/>
          <w:highlight w:val="none"/>
        </w:rPr>
        <w:t>。</w:t>
      </w:r>
    </w:p>
    <w:p w14:paraId="43CC35F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征集文件中如接受分包，供应商将采购项目分包给一家或者多家中小企业的比例达到</w:t>
      </w:r>
      <w:r>
        <w:rPr>
          <w:rFonts w:ascii="宋体" w:hAnsi="宋体" w:cs="宋体"/>
          <w:color w:val="auto"/>
          <w:highlight w:val="none"/>
        </w:rPr>
        <w:t>30%</w:t>
      </w:r>
      <w:r>
        <w:rPr>
          <w:rFonts w:hint="eastAsia" w:ascii="宋体" w:hAnsi="宋体" w:cs="宋体"/>
          <w:color w:val="auto"/>
          <w:highlight w:val="none"/>
        </w:rPr>
        <w:t>以上，其中预留给小微企业的比例不低于</w:t>
      </w:r>
      <w:r>
        <w:rPr>
          <w:rFonts w:ascii="宋体" w:hAnsi="宋体" w:cs="宋体"/>
          <w:color w:val="auto"/>
          <w:highlight w:val="none"/>
        </w:rPr>
        <w:t>60%</w:t>
      </w:r>
      <w:r>
        <w:rPr>
          <w:rFonts w:hint="eastAsia" w:ascii="宋体" w:hAnsi="宋体" w:cs="宋体"/>
          <w:color w:val="auto"/>
          <w:highlight w:val="none"/>
        </w:rPr>
        <w:t>。</w:t>
      </w:r>
    </w:p>
    <w:p w14:paraId="1EAE553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注：专门面向中小企业预留采购份额采购项目不享受价格扣除政策。</w:t>
      </w:r>
    </w:p>
    <w:p w14:paraId="436027F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2.10.3</w:t>
      </w:r>
      <w:r>
        <w:rPr>
          <w:rFonts w:hint="eastAsia" w:ascii="宋体" w:hAnsi="宋体" w:cs="宋体"/>
          <w:color w:val="auto"/>
          <w:highlight w:val="none"/>
        </w:rPr>
        <w:t>本项目如为非专门面向中小企业预留采购份额采购项目，</w:t>
      </w:r>
      <w:r>
        <w:rPr>
          <w:rFonts w:hint="eastAsia" w:ascii="宋体" w:hAnsi="宋体" w:cs="宋体"/>
          <w:color w:val="auto"/>
          <w:highlight w:val="none"/>
          <w:lang w:eastAsia="zh-CN"/>
        </w:rPr>
        <w:t>评审委员会</w:t>
      </w:r>
      <w:r>
        <w:rPr>
          <w:rFonts w:hint="eastAsia" w:ascii="宋体" w:hAnsi="宋体" w:cs="宋体"/>
          <w:color w:val="auto"/>
          <w:highlight w:val="none"/>
        </w:rPr>
        <w:t>应当对小微企业报价给予价格扣除，用扣除后的价格参加评审。</w:t>
      </w:r>
    </w:p>
    <w:p w14:paraId="138EC00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征集文件接受大中型企业与小微企业组成联合体或者允许大中型企业向一家或者多家小微企业分包时，对于联合协议或者分包意向协议约定小微企业的合同份额占合同总金额比例达到</w:t>
      </w:r>
      <w:r>
        <w:rPr>
          <w:rFonts w:ascii="宋体" w:hAnsi="宋体" w:cs="宋体"/>
          <w:color w:val="auto"/>
          <w:highlight w:val="none"/>
        </w:rPr>
        <w:t>30%</w:t>
      </w:r>
      <w:r>
        <w:rPr>
          <w:rFonts w:hint="eastAsia" w:ascii="宋体" w:hAnsi="宋体" w:cs="宋体"/>
          <w:color w:val="auto"/>
          <w:highlight w:val="none"/>
        </w:rPr>
        <w:t>以上的，</w:t>
      </w:r>
      <w:r>
        <w:rPr>
          <w:rFonts w:hint="eastAsia" w:ascii="宋体" w:hAnsi="宋体" w:cs="宋体"/>
          <w:color w:val="auto"/>
          <w:highlight w:val="none"/>
          <w:lang w:eastAsia="zh-CN"/>
        </w:rPr>
        <w:t>评审委员会</w:t>
      </w:r>
      <w:r>
        <w:rPr>
          <w:rFonts w:hint="eastAsia" w:ascii="宋体" w:hAnsi="宋体" w:cs="宋体"/>
          <w:color w:val="auto"/>
          <w:highlight w:val="none"/>
        </w:rPr>
        <w:t>员应当对联合体或者大中型企业的报价给予价格扣除，用扣除后的价格参加评审。</w:t>
      </w:r>
    </w:p>
    <w:p w14:paraId="5E0497E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p w14:paraId="6D94D4D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价格扣除比例在第四章评审方法及标准中规定，对小型企业和微型企业同等对待，不作区分。</w:t>
      </w:r>
    </w:p>
    <w:p w14:paraId="74B6BA6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w:t>
      </w:r>
      <w:r>
        <w:rPr>
          <w:rFonts w:hint="eastAsia" w:ascii="宋体" w:hAnsi="宋体" w:cs="宋体"/>
          <w:color w:val="auto"/>
          <w:highlight w:val="none"/>
        </w:rPr>
        <w:t>中小企业定义</w:t>
      </w:r>
    </w:p>
    <w:p w14:paraId="1AF69DA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2.10.4.1</w:t>
      </w:r>
      <w:r>
        <w:rPr>
          <w:rFonts w:hint="eastAsia" w:ascii="宋体" w:hAnsi="宋体" w:cs="宋体"/>
          <w:color w:val="auto"/>
          <w:highlight w:val="none"/>
        </w:rPr>
        <w:t>中小企业是指在中华人民共和国境内依法设立，依据国务院批准的中小企业划标项准确定</w:t>
      </w:r>
    </w:p>
    <w:p w14:paraId="7A9B881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的中型企业、小型企业和微型企业，但与大企业的负责人为同一人，或者与大企业存在直接控股、管理关系的除外。</w:t>
      </w:r>
    </w:p>
    <w:p w14:paraId="4E8565C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2.10.4.2</w:t>
      </w:r>
      <w:r>
        <w:rPr>
          <w:rFonts w:hint="eastAsia" w:ascii="宋体" w:hAnsi="宋体" w:cs="宋体"/>
          <w:color w:val="auto"/>
          <w:highlight w:val="none"/>
        </w:rPr>
        <w:t>供应商提供的货物、工程或者服务符合下列情形的，享受本款规定的促进中小企业发展政策：</w:t>
      </w:r>
    </w:p>
    <w:p w14:paraId="6A12D4C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在货物采购项目中，货物由中小企业制造，即货物由中小企业生产且使用该中小企业商号或者注册商标；</w:t>
      </w:r>
    </w:p>
    <w:p w14:paraId="390E5B1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在工程采购项目中，工程由中小企业承建，即工程施工单位为中小企业；</w:t>
      </w:r>
    </w:p>
    <w:p w14:paraId="5601F76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在服务采购项目中，服务由中小企业承接，即提供服务的人员为中小企业依照《中华人民共和国劳动合同法》订立劳动合同的从业人员。</w:t>
      </w:r>
    </w:p>
    <w:p w14:paraId="128D4F8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在货物采购项目中，供应商提供的货物既有中小企业制造货物，也有大型企业制造货物的，不享受本款规定的促进中小企业发展政策。</w:t>
      </w:r>
    </w:p>
    <w:p w14:paraId="64A4937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0971875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2.10.4.3</w:t>
      </w:r>
      <w:r>
        <w:rPr>
          <w:rFonts w:hint="eastAsia" w:ascii="宋体" w:hAnsi="宋体" w:cs="宋体"/>
          <w:color w:val="auto"/>
          <w:highlight w:val="none"/>
        </w:rPr>
        <w:t>本项目标的所属行业在第二章采购需求中规定。供应商根据中小企业划标项准《关于印发中小企业划型标准规定的通知》</w:t>
      </w:r>
      <w:r>
        <w:rPr>
          <w:rFonts w:ascii="宋体" w:hAnsi="宋体" w:cs="宋体"/>
          <w:color w:val="auto"/>
          <w:highlight w:val="none"/>
        </w:rPr>
        <w:t>(</w:t>
      </w:r>
      <w:r>
        <w:rPr>
          <w:rFonts w:hint="eastAsia" w:ascii="宋体" w:hAnsi="宋体" w:cs="宋体"/>
          <w:color w:val="auto"/>
          <w:highlight w:val="none"/>
        </w:rPr>
        <w:t>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判断是否为中小企业。</w:t>
      </w:r>
    </w:p>
    <w:p w14:paraId="7C1EEEE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符合条件的货物制造商、工程施工单位、服务承接单位为中小企业的，应按征集文件规定在响应文件中提供声明函。</w:t>
      </w:r>
    </w:p>
    <w:p w14:paraId="0695444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2.10.4.4</w:t>
      </w:r>
      <w:r>
        <w:rPr>
          <w:rFonts w:hint="eastAsia" w:ascii="宋体" w:hAnsi="宋体" w:cs="宋体"/>
          <w:color w:val="auto"/>
          <w:highlight w:val="none"/>
        </w:rPr>
        <w:t>视同中小企业情形</w:t>
      </w:r>
    </w:p>
    <w:p w14:paraId="1015DF6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符合中小企业划标项准的个体工商户，视同中小企业。</w:t>
      </w:r>
    </w:p>
    <w:p w14:paraId="6840C40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EE718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符合《财政部、司法部关于政府采购支持监狱企业发展有关问题的通知》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规定的监狱企业，或符合《关于促进残疾人就业政府采购政策的通知》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规定的残疾人福利性单位，视同小型、微型企业。</w:t>
      </w:r>
    </w:p>
    <w:p w14:paraId="24C7ACE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符合条件的货物制造商、工程施工单位、服务承接单位为监狱企业或残疾人福利性单位的，应按征集文件规定在响应文件中提供相关证明文件。</w:t>
      </w:r>
    </w:p>
    <w:p w14:paraId="2320461B">
      <w:pPr>
        <w:kinsoku/>
        <w:topLinePunct/>
        <w:autoSpaceDE/>
        <w:autoSpaceDN/>
        <w:spacing w:line="348" w:lineRule="auto"/>
        <w:ind w:right="86" w:rightChars="41" w:firstLine="447" w:firstLineChars="212"/>
        <w:rPr>
          <w:rFonts w:ascii="宋体" w:hAnsi="宋体" w:cs="宋体"/>
          <w:color w:val="auto"/>
          <w:highlight w:val="none"/>
        </w:rPr>
      </w:pPr>
      <w:r>
        <w:rPr>
          <w:rFonts w:ascii="宋体" w:hAnsi="宋体" w:cs="宋体"/>
          <w:b/>
          <w:bCs/>
          <w:color w:val="auto"/>
          <w:highlight w:val="none"/>
        </w:rPr>
        <w:t>3</w:t>
      </w:r>
      <w:r>
        <w:rPr>
          <w:rFonts w:ascii="宋体" w:cs="宋体"/>
          <w:color w:val="auto"/>
          <w:highlight w:val="none"/>
        </w:rPr>
        <w:t>.</w:t>
      </w:r>
      <w:r>
        <w:rPr>
          <w:rFonts w:hint="eastAsia" w:ascii="宋体" w:hAnsi="宋体" w:cs="宋体"/>
          <w:color w:val="auto"/>
          <w:highlight w:val="none"/>
        </w:rPr>
        <w:t>第二阶段</w:t>
      </w:r>
      <w:r>
        <w:rPr>
          <w:rFonts w:ascii="宋体" w:hAnsi="宋体" w:cs="宋体"/>
          <w:color w:val="auto"/>
          <w:highlight w:val="none"/>
        </w:rPr>
        <w:t>(</w:t>
      </w:r>
      <w:r>
        <w:rPr>
          <w:rFonts w:hint="eastAsia" w:ascii="宋体" w:hAnsi="宋体" w:cs="宋体"/>
          <w:color w:val="auto"/>
          <w:highlight w:val="none"/>
        </w:rPr>
        <w:t>确定成交阶段</w:t>
      </w:r>
      <w:r>
        <w:rPr>
          <w:rFonts w:ascii="宋体" w:hAnsi="宋体" w:cs="宋体"/>
          <w:color w:val="auto"/>
          <w:highlight w:val="none"/>
        </w:rPr>
        <w:t>)</w:t>
      </w:r>
    </w:p>
    <w:p w14:paraId="0F89D14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3.1</w:t>
      </w:r>
      <w:r>
        <w:rPr>
          <w:rFonts w:hint="eastAsia" w:ascii="宋体" w:hAnsi="宋体" w:cs="宋体"/>
          <w:color w:val="auto"/>
          <w:highlight w:val="none"/>
        </w:rPr>
        <w:t>确定成交供应商</w:t>
      </w:r>
    </w:p>
    <w:p w14:paraId="63F9EFB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3.1.1</w:t>
      </w:r>
      <w:r>
        <w:rPr>
          <w:rFonts w:hint="eastAsia" w:ascii="宋体" w:hAnsi="宋体" w:cs="宋体"/>
          <w:color w:val="auto"/>
          <w:highlight w:val="none"/>
        </w:rPr>
        <w:t>采购人按照征集文件或框架协议中规定的方式从入围供应商中选定成交供应商签订合同。</w:t>
      </w:r>
    </w:p>
    <w:p w14:paraId="5961CAA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3.2</w:t>
      </w:r>
      <w:r>
        <w:rPr>
          <w:rFonts w:hint="eastAsia" w:ascii="宋体" w:hAnsi="宋体" w:cs="宋体"/>
          <w:color w:val="auto"/>
          <w:highlight w:val="none"/>
        </w:rPr>
        <w:t>成交结果公告</w:t>
      </w:r>
    </w:p>
    <w:p w14:paraId="0DD69FB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3.2.1</w:t>
      </w:r>
      <w:r>
        <w:rPr>
          <w:rFonts w:hint="eastAsia" w:ascii="宋体" w:hAnsi="宋体" w:cs="宋体"/>
          <w:color w:val="auto"/>
          <w:highlight w:val="none"/>
        </w:rPr>
        <w:t>如征集文件或框架协议中规定确定成交供应商的方式为二次竞价或顺序轮候方式，或者采购人在满足规定的前提下将合同授予非入围供应商，征集人在确定成交供应商后</w:t>
      </w:r>
      <w:r>
        <w:rPr>
          <w:rFonts w:ascii="宋体" w:hAnsi="宋体" w:cs="宋体"/>
          <w:color w:val="auto"/>
          <w:highlight w:val="none"/>
        </w:rPr>
        <w:t>2</w:t>
      </w:r>
      <w:r>
        <w:rPr>
          <w:rFonts w:hint="eastAsia" w:ascii="宋体" w:hAnsi="宋体" w:cs="宋体"/>
          <w:color w:val="auto"/>
          <w:highlight w:val="none"/>
        </w:rPr>
        <w:t>个工作日内发布单笔成交结果公告，单笔成交公告在征集公告发布媒体上发布。</w:t>
      </w:r>
    </w:p>
    <w:p w14:paraId="3CF7E62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w:t>
      </w:r>
      <w:r>
        <w:rPr>
          <w:rFonts w:hint="eastAsia" w:ascii="宋体" w:hAnsi="宋体" w:cs="宋体"/>
          <w:color w:val="auto"/>
          <w:highlight w:val="none"/>
        </w:rPr>
        <w:t>合同</w:t>
      </w:r>
    </w:p>
    <w:p w14:paraId="6F26E54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3.3.1</w:t>
      </w:r>
      <w:r>
        <w:rPr>
          <w:rFonts w:hint="eastAsia" w:ascii="宋体" w:hAnsi="宋体" w:cs="宋体"/>
          <w:color w:val="auto"/>
          <w:highlight w:val="none"/>
        </w:rPr>
        <w:t>合同授予标准</w:t>
      </w:r>
    </w:p>
    <w:p w14:paraId="5074236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采购人或者服务对象采购框架协议约定的货物、服务，应当将第二阶段的采购合同授予入围供应商，但是《政府采购框架协议采购方式管理暂行办法》第三十七条另有规定的除外。</w:t>
      </w:r>
    </w:p>
    <w:p w14:paraId="11FEE69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合同在签订合同前，如果入围供应商的组织机构、经营、财务状况发生较大变化，可能造成不能履行框架协议或合同等情形，不符合入围条件或不满足供应商资格条件要求，应在签订合同前及时书面告知采购人，未主动告知，给采购人造成损失的，采购人有权要求其赔偿损失。</w:t>
      </w:r>
    </w:p>
    <w:p w14:paraId="3BE7FB9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3.3.2</w:t>
      </w:r>
      <w:r>
        <w:rPr>
          <w:rFonts w:hint="eastAsia" w:ascii="宋体" w:hAnsi="宋体" w:cs="宋体"/>
          <w:color w:val="auto"/>
          <w:highlight w:val="none"/>
        </w:rPr>
        <w:t>签订合同</w:t>
      </w:r>
    </w:p>
    <w:p w14:paraId="7D3C92C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3.3.2.1</w:t>
      </w:r>
      <w:r>
        <w:rPr>
          <w:rFonts w:hint="eastAsia" w:ascii="宋体" w:hAnsi="宋体" w:cs="宋体"/>
          <w:color w:val="auto"/>
          <w:highlight w:val="none"/>
        </w:rPr>
        <w:t>如征集文件无特别规定，成交供应商按征集文件及框架协议确定的事项签订政府采购合同。</w:t>
      </w:r>
    </w:p>
    <w:p w14:paraId="22BEAE0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3.3.2.2</w:t>
      </w:r>
      <w:r>
        <w:rPr>
          <w:rFonts w:hint="eastAsia" w:ascii="宋体" w:hAnsi="宋体" w:cs="宋体"/>
          <w:color w:val="auto"/>
          <w:highlight w:val="none"/>
        </w:rPr>
        <w:t>政府采购合同应当包括采购人与成交供应商的名称和住所、标的、数量、质量、价款或者报</w:t>
      </w:r>
    </w:p>
    <w:p w14:paraId="71996EDD">
      <w:pPr>
        <w:kinsoku/>
        <w:topLinePunct/>
        <w:autoSpaceDE/>
        <w:autoSpaceDN/>
        <w:spacing w:line="348" w:lineRule="auto"/>
        <w:ind w:right="86" w:rightChars="41"/>
        <w:rPr>
          <w:rFonts w:ascii="宋体" w:cs="宋体"/>
          <w:color w:val="auto"/>
          <w:highlight w:val="none"/>
        </w:rPr>
      </w:pPr>
      <w:r>
        <w:rPr>
          <w:rFonts w:hint="eastAsia" w:ascii="宋体" w:hAnsi="宋体" w:cs="宋体"/>
          <w:color w:val="auto"/>
          <w:highlight w:val="none"/>
        </w:rPr>
        <w:t>酬、履行期限及地点和方式、验收要求、违约责任、解决争议的方法等内容。框架协议、征集文件、成交供应商的响应文件及澄清文件等，均为签订政府采购合同的依据。</w:t>
      </w:r>
    </w:p>
    <w:p w14:paraId="14F3DF8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3.3.3</w:t>
      </w:r>
      <w:r>
        <w:rPr>
          <w:rFonts w:hint="eastAsia" w:ascii="宋体" w:hAnsi="宋体" w:cs="宋体"/>
          <w:color w:val="auto"/>
          <w:highlight w:val="none"/>
        </w:rPr>
        <w:t>履行合同</w:t>
      </w:r>
    </w:p>
    <w:p w14:paraId="0EAD7D1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3.3.3.1</w:t>
      </w:r>
      <w:r>
        <w:rPr>
          <w:rFonts w:hint="eastAsia" w:ascii="宋体" w:hAnsi="宋体" w:cs="宋体"/>
          <w:color w:val="auto"/>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ADEB9C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3.3.3.2</w:t>
      </w:r>
      <w:r>
        <w:rPr>
          <w:rFonts w:hint="eastAsia" w:ascii="宋体" w:hAnsi="宋体" w:cs="宋体"/>
          <w:color w:val="auto"/>
          <w:highlight w:val="none"/>
        </w:rPr>
        <w:t>对于双方解除合同的情况，应当按照民法典合同编有关规定或者合同约定执行。</w:t>
      </w:r>
    </w:p>
    <w:p w14:paraId="43199CC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3.3.4</w:t>
      </w:r>
      <w:r>
        <w:rPr>
          <w:rFonts w:hint="eastAsia" w:ascii="宋体" w:hAnsi="宋体" w:cs="宋体"/>
          <w:color w:val="auto"/>
          <w:highlight w:val="none"/>
        </w:rPr>
        <w:t>履约验收</w:t>
      </w:r>
    </w:p>
    <w:p w14:paraId="447E6A9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3.3.4.1</w:t>
      </w:r>
      <w:r>
        <w:rPr>
          <w:rFonts w:hint="eastAsia" w:ascii="宋体" w:hAnsi="宋体" w:cs="宋体"/>
          <w:color w:val="auto"/>
          <w:highlight w:val="none"/>
        </w:rPr>
        <w:t>采购人可以根据政府采购项目具体情况自行组织验收，或者委托政府采购代理机构、国家认可的质量检测机构开展采购项目履约验收工作。</w:t>
      </w:r>
    </w:p>
    <w:p w14:paraId="313350C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3.3.4.2</w:t>
      </w:r>
      <w:r>
        <w:rPr>
          <w:rFonts w:hint="eastAsia" w:ascii="宋体" w:hAnsi="宋体" w:cs="宋体"/>
          <w:color w:val="auto"/>
          <w:highlight w:val="none"/>
        </w:rPr>
        <w:t>验收结果不合格的，按合同约定处理，还可能会报告本项目同级财政部门并按照政府采购法律法规及有关规定给予行政处罚或者以失信行为记入诚信档案。</w:t>
      </w:r>
    </w:p>
    <w:p w14:paraId="4693C9D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3.3.4.3</w:t>
      </w:r>
      <w:r>
        <w:rPr>
          <w:rFonts w:hint="eastAsia" w:ascii="宋体" w:hAnsi="宋体" w:cs="宋体"/>
          <w:color w:val="auto"/>
          <w:highlight w:val="none"/>
        </w:rPr>
        <w:t>采购合同项目完成验收后，采购人应当将验收原始记录、验收书、成交供应商按合同数量或工作量清单履约的记录或凭证等资料作为该采购项目档案妥善保管，不得伪造、变造、隐匿或者销毁，</w:t>
      </w:r>
    </w:p>
    <w:p w14:paraId="6561294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3.3.4.4</w:t>
      </w:r>
      <w:r>
        <w:rPr>
          <w:rFonts w:hint="eastAsia" w:ascii="宋体" w:hAnsi="宋体" w:cs="宋体"/>
          <w:color w:val="auto"/>
          <w:highlight w:val="none"/>
        </w:rPr>
        <w:t>本项目将严格按照本征集文件及合同有关规定进行合同履约验收。征集文件或合同未规定的按财政部关于进一步加强政府采购需求和履约验收管理的指导意见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205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以及《广西壮族自治区政府采购项目履约验收管理办法》</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22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的规定执行。</w:t>
      </w:r>
    </w:p>
    <w:p w14:paraId="16F918F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3.4.</w:t>
      </w:r>
      <w:r>
        <w:rPr>
          <w:rFonts w:hint="eastAsia" w:ascii="宋体" w:hAnsi="宋体" w:cs="宋体"/>
          <w:color w:val="auto"/>
          <w:highlight w:val="none"/>
        </w:rPr>
        <w:t>用户反馈及评价机制</w:t>
      </w:r>
    </w:p>
    <w:p w14:paraId="20C7678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3.4.1</w:t>
      </w:r>
      <w:r>
        <w:rPr>
          <w:rFonts w:hint="eastAsia" w:ascii="宋体" w:hAnsi="宋体" w:cs="宋体"/>
          <w:color w:val="auto"/>
          <w:highlight w:val="none"/>
        </w:rPr>
        <w:t>征集人将收集采购人对入围供应商履行框架协议和采购合同的情况的反馈与评价，并向所有采购人公开，作为第二阶段直接选定成交供应商的参考。</w:t>
      </w:r>
    </w:p>
    <w:p w14:paraId="43CA8EB0">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4</w:t>
      </w:r>
      <w:r>
        <w:rPr>
          <w:rFonts w:ascii="宋体" w:cs="宋体"/>
          <w:color w:val="auto"/>
          <w:highlight w:val="none"/>
        </w:rPr>
        <w:t>.</w:t>
      </w:r>
      <w:r>
        <w:rPr>
          <w:rFonts w:hint="eastAsia" w:ascii="宋体" w:hAnsi="宋体" w:cs="宋体"/>
          <w:color w:val="auto"/>
          <w:highlight w:val="none"/>
        </w:rPr>
        <w:t>其他事项</w:t>
      </w:r>
    </w:p>
    <w:p w14:paraId="4306489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4.1</w:t>
      </w:r>
      <w:r>
        <w:rPr>
          <w:rFonts w:hint="eastAsia" w:ascii="宋体" w:hAnsi="宋体" w:cs="宋体"/>
          <w:color w:val="auto"/>
          <w:highlight w:val="none"/>
        </w:rPr>
        <w:t>代理服务收费由采购代理机构向入围供应商收取。入围供应商应向采购代理机构一次付清代理服务费。</w:t>
      </w:r>
    </w:p>
    <w:p w14:paraId="3C994FE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4.2</w:t>
      </w:r>
      <w:r>
        <w:rPr>
          <w:rFonts w:hint="eastAsia" w:ascii="宋体" w:hAnsi="宋体" w:cs="宋体"/>
          <w:color w:val="auto"/>
          <w:highlight w:val="none"/>
        </w:rPr>
        <w:t>电子交易活动的中止。征集过程中出现以下情形，导致电子交易平台无法正常运行，或者无法保证电子交易的公平、公正和安全时，征集人可中止电子交易活动：</w:t>
      </w:r>
    </w:p>
    <w:p w14:paraId="08A831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电子交易平台发生故障而无法登录访问的；</w:t>
      </w:r>
    </w:p>
    <w:p w14:paraId="5F49A72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20615D3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162D82E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病毒发作导致不能进行正常操作的；</w:t>
      </w:r>
    </w:p>
    <w:p w14:paraId="0985164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079E1AE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出现以上情形，不影响采购公平、公正性的，征集人可以待上述情形消除后继续组织电子交易活动；影响或可能影响采购公平、公正性的，经征集人确认后，应当重新采购。征集人必须对原有的资料及信息</w:t>
      </w:r>
      <w:r>
        <w:rPr>
          <w:rFonts w:hint="eastAsia" w:ascii="宋体" w:hAnsi="宋体" w:cs="宋体"/>
          <w:color w:val="auto"/>
          <w:highlight w:val="none"/>
          <w:lang w:eastAsia="zh-CN"/>
        </w:rPr>
        <w:t>做好</w:t>
      </w:r>
      <w:r>
        <w:rPr>
          <w:rFonts w:hint="eastAsia" w:ascii="宋体" w:hAnsi="宋体" w:cs="宋体"/>
          <w:color w:val="auto"/>
          <w:highlight w:val="none"/>
        </w:rPr>
        <w:t>妥善保密处理，并报财政部门备案。</w:t>
      </w:r>
    </w:p>
    <w:p w14:paraId="47E7516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4.3</w:t>
      </w:r>
      <w:r>
        <w:rPr>
          <w:rFonts w:hint="eastAsia" w:ascii="宋体" w:hAnsi="宋体" w:cs="宋体"/>
          <w:color w:val="auto"/>
          <w:highlight w:val="none"/>
        </w:rPr>
        <w:t>本项目的附件及图纸详见供应商须知前附表。</w:t>
      </w:r>
    </w:p>
    <w:p w14:paraId="11CA195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4.4</w:t>
      </w:r>
      <w:r>
        <w:rPr>
          <w:rFonts w:hint="eastAsia" w:ascii="宋体" w:hAnsi="宋体" w:cs="宋体"/>
          <w:color w:val="auto"/>
          <w:highlight w:val="none"/>
        </w:rPr>
        <w:t>本项目的其他事项详见供应商须知前附表。</w:t>
      </w:r>
    </w:p>
    <w:p w14:paraId="795F917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w:t>
      </w:r>
      <w:r>
        <w:rPr>
          <w:rFonts w:ascii="宋体" w:cs="宋体"/>
          <w:color w:val="auto"/>
          <w:highlight w:val="none"/>
        </w:rPr>
        <w:t>.</w:t>
      </w:r>
      <w:r>
        <w:rPr>
          <w:rFonts w:hint="eastAsia" w:ascii="宋体" w:hAnsi="宋体" w:cs="宋体"/>
          <w:color w:val="auto"/>
          <w:highlight w:val="none"/>
        </w:rPr>
        <w:t>其他说明</w:t>
      </w:r>
    </w:p>
    <w:p w14:paraId="3875F289">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5.1</w:t>
      </w:r>
      <w:r>
        <w:rPr>
          <w:rFonts w:hint="eastAsia" w:ascii="宋体" w:hAnsi="宋体" w:cs="宋体"/>
          <w:color w:val="auto"/>
          <w:highlight w:val="none"/>
        </w:rPr>
        <w:t>其余未尽事宜按《中华人民共和国政府采购法》《中华人民共和国政府采购法实施条例》</w:t>
      </w:r>
    </w:p>
    <w:p w14:paraId="77CD351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《政府采购框架协议采购方式管理暂行办法》的相关规定执行。</w:t>
      </w:r>
    </w:p>
    <w:p w14:paraId="24DB7E79">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5.2</w:t>
      </w:r>
      <w:r>
        <w:rPr>
          <w:rFonts w:hint="eastAsia" w:ascii="宋体" w:hAnsi="宋体" w:cs="宋体"/>
          <w:color w:val="auto"/>
          <w:highlight w:val="none"/>
        </w:rPr>
        <w:t>本征集文件是根据国家有关法律及有关政策、法规和参照国际惯例编制，解释权属采购代理机构。</w:t>
      </w:r>
    </w:p>
    <w:p w14:paraId="45A94FD6">
      <w:pPr>
        <w:kinsoku/>
        <w:topLinePunct/>
        <w:autoSpaceDE/>
        <w:autoSpaceDN/>
        <w:spacing w:line="360" w:lineRule="auto"/>
        <w:ind w:right="86" w:rightChars="41" w:firstLine="445" w:firstLineChars="212"/>
        <w:rPr>
          <w:rFonts w:ascii="宋体" w:cs="宋体"/>
          <w:color w:val="auto"/>
          <w:highlight w:val="none"/>
        </w:rPr>
      </w:pPr>
    </w:p>
    <w:p w14:paraId="087B6A8D">
      <w:pPr>
        <w:kinsoku/>
        <w:topLinePunct/>
        <w:autoSpaceDE/>
        <w:autoSpaceDN/>
        <w:ind w:right="86" w:rightChars="41"/>
        <w:rPr>
          <w:rFonts w:ascii="宋体" w:cs="宋体"/>
          <w:b/>
          <w:bCs/>
          <w:color w:val="auto"/>
          <w:sz w:val="32"/>
          <w:szCs w:val="32"/>
          <w:highlight w:val="none"/>
        </w:rPr>
      </w:pPr>
      <w:r>
        <w:rPr>
          <w:rFonts w:ascii="宋体" w:cs="宋体"/>
          <w:b/>
          <w:bCs/>
          <w:color w:val="auto"/>
          <w:sz w:val="32"/>
          <w:szCs w:val="32"/>
          <w:highlight w:val="none"/>
        </w:rPr>
        <w:br w:type="page"/>
      </w:r>
    </w:p>
    <w:p w14:paraId="21EE6ED8">
      <w:pPr>
        <w:pStyle w:val="2"/>
        <w:kinsoku/>
        <w:topLinePunct/>
        <w:autoSpaceDE/>
        <w:autoSpaceDN/>
        <w:ind w:right="86" w:rightChars="41"/>
        <w:rPr>
          <w:rFonts w:ascii="宋体" w:cs="宋体"/>
          <w:color w:val="auto"/>
          <w:highlight w:val="none"/>
        </w:rPr>
      </w:pPr>
      <w:bookmarkStart w:id="5" w:name="_Toc27261"/>
      <w:r>
        <w:rPr>
          <w:rFonts w:hint="eastAsia" w:ascii="宋体" w:hAnsi="宋体" w:cs="宋体"/>
          <w:color w:val="auto"/>
          <w:highlight w:val="none"/>
        </w:rPr>
        <w:t>第四章评审方法及标准</w:t>
      </w:r>
      <w:bookmarkEnd w:id="5"/>
    </w:p>
    <w:p w14:paraId="4101B57B">
      <w:pPr>
        <w:kinsoku/>
        <w:topLinePunct/>
        <w:autoSpaceDE/>
        <w:autoSpaceDN/>
        <w:spacing w:line="360" w:lineRule="auto"/>
        <w:ind w:right="86" w:rightChars="41" w:firstLine="422" w:firstLineChars="200"/>
        <w:rPr>
          <w:rFonts w:ascii="宋体" w:cs="宋体"/>
          <w:color w:val="auto"/>
          <w:highlight w:val="none"/>
        </w:rPr>
      </w:pPr>
      <w:bookmarkStart w:id="6" w:name="_bookmark4"/>
      <w:bookmarkEnd w:id="6"/>
      <w:r>
        <w:rPr>
          <w:rFonts w:ascii="宋体" w:hAnsi="宋体" w:cs="宋体"/>
          <w:b/>
          <w:bCs/>
          <w:color w:val="auto"/>
          <w:highlight w:val="none"/>
        </w:rPr>
        <w:t>1.</w:t>
      </w:r>
      <w:r>
        <w:rPr>
          <w:rFonts w:hint="eastAsia" w:ascii="宋体" w:hAnsi="宋体" w:cs="宋体"/>
          <w:color w:val="auto"/>
          <w:highlight w:val="none"/>
        </w:rPr>
        <w:t>评审方法</w:t>
      </w:r>
    </w:p>
    <w:p w14:paraId="3213AC2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本项目采用质量优先法进行评审。</w:t>
      </w:r>
    </w:p>
    <w:p w14:paraId="173178C5">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质量优先法是指对满足采购需求且响应报价不超过最高限制单价的服务进行质量综合评分，按照质量评分从高到低排序，根据下方规定的淘汰率及入围供应商最大数量及最小数量，确定入围供应商的评审方法。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2491"/>
      </w:tblGrid>
      <w:tr w14:paraId="33C4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2" w:type="dxa"/>
            <w:vAlign w:val="center"/>
          </w:tcPr>
          <w:p w14:paraId="661BD65D">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淘汰率</w:t>
            </w:r>
          </w:p>
        </w:tc>
        <w:tc>
          <w:tcPr>
            <w:tcW w:w="2491" w:type="dxa"/>
            <w:vAlign w:val="center"/>
          </w:tcPr>
          <w:p w14:paraId="2C6AADB1">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入围供应商最大数量</w:t>
            </w:r>
          </w:p>
        </w:tc>
      </w:tr>
      <w:tr w14:paraId="15F7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2" w:type="dxa"/>
          </w:tcPr>
          <w:p w14:paraId="7B169D48">
            <w:pPr>
              <w:kinsoku/>
              <w:topLinePunct/>
              <w:autoSpaceDE/>
              <w:autoSpaceDN/>
              <w:spacing w:line="360" w:lineRule="auto"/>
              <w:ind w:right="86" w:rightChars="41"/>
              <w:jc w:val="center"/>
              <w:rPr>
                <w:rFonts w:ascii="宋体" w:hAnsi="宋体" w:cs="宋体"/>
                <w:color w:val="auto"/>
                <w:highlight w:val="none"/>
              </w:rPr>
            </w:pPr>
            <w:r>
              <w:rPr>
                <w:rFonts w:ascii="宋体" w:hAnsi="宋体" w:cs="宋体"/>
                <w:color w:val="auto"/>
                <w:highlight w:val="none"/>
              </w:rPr>
              <w:t>20%</w:t>
            </w:r>
          </w:p>
        </w:tc>
        <w:tc>
          <w:tcPr>
            <w:tcW w:w="2491" w:type="dxa"/>
          </w:tcPr>
          <w:p w14:paraId="48C130AF">
            <w:pPr>
              <w:kinsoku/>
              <w:topLinePunct/>
              <w:autoSpaceDE/>
              <w:autoSpaceDN/>
              <w:spacing w:line="360" w:lineRule="auto"/>
              <w:ind w:right="86" w:rightChars="41"/>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bl>
    <w:p w14:paraId="275ADE69">
      <w:pPr>
        <w:kinsoku/>
        <w:topLinePunct/>
        <w:autoSpaceDE/>
        <w:autoSpaceDN/>
        <w:ind w:right="86" w:rightChars="41"/>
        <w:jc w:val="center"/>
        <w:rPr>
          <w:rFonts w:ascii="宋体" w:cs="宋体"/>
          <w:color w:val="auto"/>
          <w:highlight w:val="none"/>
        </w:rPr>
      </w:pPr>
    </w:p>
    <w:p w14:paraId="77D45EA3">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确定入围供应商步骤：</w:t>
      </w:r>
    </w:p>
    <w:p w14:paraId="75C7DED1">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计算淘汰供应商数量</w:t>
      </w:r>
    </w:p>
    <w:p w14:paraId="3D892101">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）将供应商按质量综合评分由高到低排序，假设数量为</w:t>
      </w:r>
      <w:r>
        <w:rPr>
          <w:rFonts w:ascii="宋体" w:hAnsi="宋体" w:cs="宋体"/>
          <w:color w:val="auto"/>
          <w:highlight w:val="none"/>
        </w:rPr>
        <w:t>Y</w:t>
      </w:r>
      <w:r>
        <w:rPr>
          <w:rFonts w:hint="eastAsia" w:ascii="宋体" w:hAnsi="宋体" w:cs="宋体"/>
          <w:color w:val="auto"/>
          <w:highlight w:val="none"/>
        </w:rPr>
        <w:t>。</w:t>
      </w:r>
    </w:p>
    <w:p w14:paraId="06A065BA">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）将供应商按评分排序由低到高淘汰，最低淘汰供应商数量</w:t>
      </w:r>
      <w:r>
        <w:rPr>
          <w:rFonts w:ascii="宋体" w:hAnsi="宋体" w:cs="宋体"/>
          <w:color w:val="auto"/>
          <w:highlight w:val="none"/>
        </w:rPr>
        <w:t>Z=Y</w:t>
      </w:r>
      <w:r>
        <w:rPr>
          <w:rFonts w:hint="eastAsia" w:ascii="宋体" w:hAnsi="宋体" w:cs="宋体"/>
          <w:color w:val="auto"/>
          <w:highlight w:val="none"/>
        </w:rPr>
        <w:t>×淘汰率</w:t>
      </w:r>
      <w:r>
        <w:rPr>
          <w:rFonts w:ascii="宋体" w:hAnsi="宋体" w:cs="宋体"/>
          <w:color w:val="auto"/>
          <w:highlight w:val="none"/>
        </w:rPr>
        <w:t>(</w:t>
      </w:r>
      <w:r>
        <w:rPr>
          <w:rFonts w:hint="eastAsia" w:ascii="宋体" w:hAnsi="宋体" w:cs="宋体"/>
          <w:color w:val="auto"/>
          <w:highlight w:val="none"/>
        </w:rPr>
        <w:t>四舍五入向上取整，如</w:t>
      </w:r>
      <w:r>
        <w:rPr>
          <w:rFonts w:ascii="宋体" w:hAnsi="宋体" w:cs="宋体"/>
          <w:color w:val="auto"/>
          <w:highlight w:val="none"/>
        </w:rPr>
        <w:t>1.5</w:t>
      </w:r>
      <w:r>
        <w:rPr>
          <w:rFonts w:hint="eastAsia" w:ascii="宋体" w:hAnsi="宋体" w:cs="宋体"/>
          <w:color w:val="auto"/>
          <w:highlight w:val="none"/>
        </w:rPr>
        <w:t>取</w:t>
      </w: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1.1</w:t>
      </w:r>
      <w:r>
        <w:rPr>
          <w:rFonts w:hint="eastAsia" w:ascii="宋体" w:hAnsi="宋体" w:cs="宋体"/>
          <w:color w:val="auto"/>
          <w:highlight w:val="none"/>
        </w:rPr>
        <w:t>取</w:t>
      </w:r>
      <w:r>
        <w:rPr>
          <w:rFonts w:ascii="宋体" w:hAnsi="宋体" w:cs="宋体"/>
          <w:color w:val="auto"/>
          <w:highlight w:val="none"/>
        </w:rPr>
        <w:t>1)</w:t>
      </w:r>
      <w:r>
        <w:rPr>
          <w:rFonts w:hint="eastAsia" w:ascii="宋体" w:hAnsi="宋体" w:cs="宋体"/>
          <w:color w:val="auto"/>
          <w:highlight w:val="none"/>
        </w:rPr>
        <w:t>，如</w:t>
      </w:r>
      <w:r>
        <w:rPr>
          <w:rFonts w:ascii="宋体" w:hAnsi="宋体" w:cs="宋体"/>
          <w:color w:val="auto"/>
          <w:highlight w:val="none"/>
        </w:rPr>
        <w:t>Z</w:t>
      </w:r>
      <w:r>
        <w:rPr>
          <w:rFonts w:hint="eastAsia" w:ascii="宋体" w:hAnsi="宋体" w:cs="宋体"/>
          <w:color w:val="auto"/>
          <w:highlight w:val="none"/>
        </w:rPr>
        <w:t>计算值小于</w:t>
      </w:r>
      <w:r>
        <w:rPr>
          <w:rFonts w:ascii="宋体" w:hAnsi="宋体" w:cs="宋体"/>
          <w:color w:val="auto"/>
          <w:highlight w:val="none"/>
        </w:rPr>
        <w:t>1</w:t>
      </w:r>
      <w:r>
        <w:rPr>
          <w:rFonts w:hint="eastAsia" w:ascii="宋体" w:hAnsi="宋体" w:cs="宋体"/>
          <w:color w:val="auto"/>
          <w:highlight w:val="none"/>
        </w:rPr>
        <w:t>，则取</w:t>
      </w:r>
      <w:r>
        <w:rPr>
          <w:rFonts w:ascii="宋体" w:hAnsi="宋体" w:cs="宋体"/>
          <w:color w:val="auto"/>
          <w:highlight w:val="none"/>
        </w:rPr>
        <w:t>Z=1</w:t>
      </w:r>
      <w:r>
        <w:rPr>
          <w:rFonts w:hint="eastAsia" w:ascii="宋体" w:hAnsi="宋体" w:cs="宋体"/>
          <w:color w:val="auto"/>
          <w:highlight w:val="none"/>
        </w:rPr>
        <w:t>。</w:t>
      </w:r>
    </w:p>
    <w:p w14:paraId="5A2C3410">
      <w:pPr>
        <w:kinsoku/>
        <w:topLinePunct/>
        <w:autoSpaceDE/>
        <w:autoSpaceDN/>
        <w:spacing w:line="360" w:lineRule="auto"/>
        <w:ind w:right="86" w:rightChars="41"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）初步入围供应商数量</w:t>
      </w:r>
      <w:r>
        <w:rPr>
          <w:rFonts w:ascii="宋体" w:hAnsi="宋体" w:cs="宋体"/>
          <w:color w:val="auto"/>
          <w:highlight w:val="none"/>
        </w:rPr>
        <w:t>X=Y-Z</w:t>
      </w:r>
    </w:p>
    <w:p w14:paraId="77A7D646">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初步入围供应商数量与入围供应商最大最小数量对比</w:t>
      </w:r>
    </w:p>
    <w:p w14:paraId="142DFBB0">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（入围供应商最大数量用</w:t>
      </w:r>
      <w:r>
        <w:rPr>
          <w:rFonts w:ascii="宋体" w:hAnsi="宋体" w:cs="宋体"/>
          <w:b/>
          <w:bCs/>
          <w:color w:val="auto"/>
          <w:highlight w:val="none"/>
        </w:rPr>
        <w:t>MAX</w:t>
      </w:r>
      <w:r>
        <w:rPr>
          <w:rFonts w:hint="eastAsia" w:ascii="宋体" w:hAnsi="宋体" w:cs="宋体"/>
          <w:color w:val="auto"/>
          <w:highlight w:val="none"/>
        </w:rPr>
        <w:t>表示，入围供应商最小数量用</w:t>
      </w:r>
      <w:r>
        <w:rPr>
          <w:rFonts w:ascii="宋体" w:hAnsi="宋体" w:cs="宋体"/>
          <w:b/>
          <w:bCs/>
          <w:color w:val="auto"/>
          <w:highlight w:val="none"/>
        </w:rPr>
        <w:t>MIN</w:t>
      </w:r>
      <w:r>
        <w:rPr>
          <w:rFonts w:hint="eastAsia" w:ascii="宋体" w:hAnsi="宋体" w:cs="宋体"/>
          <w:color w:val="auto"/>
          <w:highlight w:val="none"/>
        </w:rPr>
        <w:t>表示）</w:t>
      </w:r>
    </w:p>
    <w:p w14:paraId="07B3CCE7">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）当</w:t>
      </w:r>
      <w:r>
        <w:rPr>
          <w:rFonts w:ascii="宋体" w:hAnsi="宋体" w:cs="宋体"/>
          <w:color w:val="auto"/>
          <w:highlight w:val="none"/>
        </w:rPr>
        <w:t>MIN</w:t>
      </w:r>
      <w:r>
        <w:rPr>
          <w:rFonts w:hint="eastAsia" w:ascii="宋体" w:hAnsi="宋体" w:cs="宋体"/>
          <w:color w:val="auto"/>
          <w:highlight w:val="none"/>
        </w:rPr>
        <w:t>≤</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时，</w:t>
      </w:r>
      <w:r>
        <w:rPr>
          <w:rFonts w:ascii="宋体" w:hAnsi="宋体" w:cs="宋体"/>
          <w:color w:val="auto"/>
          <w:highlight w:val="none"/>
        </w:rPr>
        <w:t>X</w:t>
      </w:r>
      <w:r>
        <w:rPr>
          <w:rFonts w:hint="eastAsia" w:ascii="宋体" w:hAnsi="宋体" w:cs="宋体"/>
          <w:color w:val="auto"/>
          <w:highlight w:val="none"/>
        </w:rPr>
        <w:t>即为最终入围供应商数量；</w:t>
      </w:r>
    </w:p>
    <w:p w14:paraId="4F65F0FC">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）当</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时，应按供应商评分排序由低到高继续淘汰，直至最终入围供应商数量等于入围供应商最大数量；</w:t>
      </w:r>
    </w:p>
    <w:p w14:paraId="6DF4BC6C">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）当</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MIN</w:t>
      </w:r>
      <w:r>
        <w:rPr>
          <w:rFonts w:hint="eastAsia" w:ascii="宋体" w:hAnsi="宋体" w:cs="宋体"/>
          <w:color w:val="auto"/>
          <w:highlight w:val="none"/>
        </w:rPr>
        <w:t>时，征集人认为可以满足框架协议需求时，</w:t>
      </w:r>
      <w:r>
        <w:rPr>
          <w:rFonts w:ascii="宋体" w:hAnsi="宋体" w:cs="宋体"/>
          <w:color w:val="auto"/>
          <w:highlight w:val="none"/>
        </w:rPr>
        <w:t>X</w:t>
      </w:r>
      <w:r>
        <w:rPr>
          <w:rFonts w:hint="eastAsia" w:ascii="宋体" w:hAnsi="宋体" w:cs="宋体"/>
          <w:color w:val="auto"/>
          <w:highlight w:val="none"/>
        </w:rPr>
        <w:t>为最终入围供应商数量；如果</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或征集人认为不能满足框架协议需求时，应重新开展征集活动。</w:t>
      </w:r>
    </w:p>
    <w:p w14:paraId="797322CF">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并列分数处理</w:t>
      </w:r>
    </w:p>
    <w:p w14:paraId="109980F6">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）在淘汰过程中如果出现供应商综合评分</w:t>
      </w:r>
      <w:r>
        <w:rPr>
          <w:rFonts w:hint="eastAsia" w:ascii="宋体" w:hAnsi="宋体" w:cs="宋体"/>
          <w:color w:val="auto"/>
          <w:highlight w:val="none"/>
          <w:lang w:val="en-US" w:eastAsia="zh-CN"/>
        </w:rPr>
        <w:t>相同</w:t>
      </w:r>
      <w:r>
        <w:rPr>
          <w:rFonts w:ascii="宋体" w:hAnsi="宋体" w:cs="宋体"/>
          <w:color w:val="auto"/>
          <w:highlight w:val="none"/>
        </w:rPr>
        <w:t>(</w:t>
      </w:r>
      <w:r>
        <w:rPr>
          <w:rFonts w:hint="eastAsia" w:ascii="宋体" w:hAnsi="宋体" w:cs="宋体"/>
          <w:color w:val="auto"/>
          <w:highlight w:val="none"/>
        </w:rPr>
        <w:t>精确到小数点后</w:t>
      </w:r>
      <w:r>
        <w:rPr>
          <w:rFonts w:ascii="宋体" w:hAnsi="宋体" w:cs="宋体"/>
          <w:color w:val="auto"/>
          <w:highlight w:val="none"/>
        </w:rPr>
        <w:t>2</w:t>
      </w:r>
      <w:r>
        <w:rPr>
          <w:rFonts w:hint="eastAsia" w:ascii="宋体" w:hAnsi="宋体" w:cs="宋体"/>
          <w:color w:val="auto"/>
          <w:highlight w:val="none"/>
        </w:rPr>
        <w:t>位</w:t>
      </w:r>
      <w:r>
        <w:rPr>
          <w:rFonts w:ascii="宋体" w:hAnsi="宋体" w:cs="宋体"/>
          <w:color w:val="auto"/>
          <w:highlight w:val="none"/>
        </w:rPr>
        <w:t>)</w:t>
      </w:r>
      <w:r>
        <w:rPr>
          <w:rFonts w:hint="eastAsia" w:ascii="宋体" w:hAnsi="宋体" w:cs="宋体"/>
          <w:color w:val="auto"/>
          <w:highlight w:val="none"/>
        </w:rPr>
        <w:t>的情况，相同分数的供应商应一并淘汰。</w:t>
      </w:r>
    </w:p>
    <w:p w14:paraId="6875CC17">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）在上述</w:t>
      </w:r>
      <w:r>
        <w:rPr>
          <w:rFonts w:ascii="宋体" w:hAnsi="宋体" w:cs="宋体"/>
          <w:color w:val="auto"/>
          <w:highlight w:val="none"/>
        </w:rPr>
        <w:t>1.2.2</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继续淘汰过程中，继续淘汰时如果有某综合评分并列供应商一并淘汰后，剩余供应商数量小于入围供应商最大数量，则应将该分数并列供应商按技术分由低到高淘汰，直至最终入围供应商数量等于入围供应商最大数量。如果按技术分淘汰时也出现某技术分并列供应商一并淘汰后，剩余供应商数量小于入围供应商最大数量，则将技术分并列供应商按数字抽签排序，按数字从小到大淘汰直至最终入围供应商数量等于入围供应商最大数量。</w:t>
      </w:r>
    </w:p>
    <w:p w14:paraId="33CCF0AD">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本项目评审的其他详细规定在第三章供应商须知中规定。</w:t>
      </w:r>
    </w:p>
    <w:p w14:paraId="4CEF2D28">
      <w:pPr>
        <w:kinsoku/>
        <w:topLinePunct/>
        <w:autoSpaceDE/>
        <w:autoSpaceDN/>
        <w:spacing w:line="360" w:lineRule="auto"/>
        <w:ind w:right="86" w:rightChars="41" w:firstLine="422" w:firstLineChars="200"/>
        <w:rPr>
          <w:rFonts w:ascii="宋体" w:cs="宋体"/>
          <w:color w:val="auto"/>
          <w:highlight w:val="none"/>
        </w:rPr>
      </w:pPr>
      <w:r>
        <w:rPr>
          <w:rFonts w:ascii="宋体" w:cs="宋体"/>
          <w:b/>
          <w:bCs/>
          <w:color w:val="auto"/>
          <w:highlight w:val="none"/>
        </w:rPr>
        <w:br w:type="page"/>
      </w:r>
    </w:p>
    <w:p w14:paraId="0E4F5C29">
      <w:pPr>
        <w:tabs>
          <w:tab w:val="left" w:pos="2155"/>
        </w:tabs>
        <w:kinsoku/>
        <w:topLinePunct/>
        <w:autoSpaceDE/>
        <w:autoSpaceDN/>
        <w:ind w:right="86" w:rightChars="41" w:firstLine="422" w:firstLineChars="200"/>
        <w:rPr>
          <w:rFonts w:ascii="宋体" w:hAnsi="宋体" w:cs="宋体"/>
          <w:b/>
          <w:bCs/>
          <w:color w:val="auto"/>
          <w:highlight w:val="none"/>
        </w:rPr>
      </w:pPr>
      <w:r>
        <w:rPr>
          <w:rFonts w:ascii="宋体" w:hAnsi="宋体" w:cs="宋体"/>
          <w:b/>
          <w:bCs/>
          <w:color w:val="auto"/>
          <w:highlight w:val="none"/>
        </w:rPr>
        <w:t>5.</w:t>
      </w:r>
      <w:r>
        <w:rPr>
          <w:rFonts w:hint="eastAsia" w:ascii="宋体" w:hAnsi="宋体" w:cs="宋体"/>
          <w:b/>
          <w:bCs/>
          <w:color w:val="auto"/>
          <w:highlight w:val="none"/>
        </w:rPr>
        <w:t>资格审查标准</w:t>
      </w:r>
      <w:r>
        <w:rPr>
          <w:rFonts w:ascii="宋体" w:hAnsi="宋体" w:cs="宋体"/>
          <w:b/>
          <w:bCs/>
          <w:color w:val="auto"/>
          <w:highlight w:val="none"/>
        </w:rPr>
        <w:t>(</w:t>
      </w:r>
      <w:r>
        <w:rPr>
          <w:rFonts w:hint="eastAsia" w:ascii="宋体" w:hAnsi="宋体" w:cs="宋体"/>
          <w:b/>
          <w:bCs/>
          <w:color w:val="auto"/>
          <w:highlight w:val="none"/>
        </w:rPr>
        <w:t>不满足任何一项审查内容要求，资格审查即为不合格</w:t>
      </w:r>
      <w:r>
        <w:rPr>
          <w:rFonts w:ascii="宋体" w:hAnsi="宋体" w:cs="宋体"/>
          <w:b/>
          <w:bCs/>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01"/>
        <w:gridCol w:w="2132"/>
        <w:gridCol w:w="6305"/>
      </w:tblGrid>
      <w:tr w14:paraId="7EF3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Align w:val="center"/>
          </w:tcPr>
          <w:p w14:paraId="2A48868C">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w:t>
            </w:r>
          </w:p>
          <w:p w14:paraId="636C4984">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因素</w:t>
            </w:r>
          </w:p>
        </w:tc>
        <w:tc>
          <w:tcPr>
            <w:tcW w:w="2132" w:type="dxa"/>
            <w:vAlign w:val="center"/>
          </w:tcPr>
          <w:p w14:paraId="2D46F936">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审查内容</w:t>
            </w:r>
          </w:p>
        </w:tc>
        <w:tc>
          <w:tcPr>
            <w:tcW w:w="6305" w:type="dxa"/>
            <w:vAlign w:val="center"/>
          </w:tcPr>
          <w:p w14:paraId="01F69BC4">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说明</w:t>
            </w:r>
          </w:p>
        </w:tc>
      </w:tr>
      <w:tr w14:paraId="43A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restart"/>
            <w:vAlign w:val="center"/>
          </w:tcPr>
          <w:p w14:paraId="16E6C79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供应商应符合的基本资格要求</w:t>
            </w:r>
          </w:p>
        </w:tc>
        <w:tc>
          <w:tcPr>
            <w:tcW w:w="2132" w:type="dxa"/>
            <w:vAlign w:val="center"/>
          </w:tcPr>
          <w:p w14:paraId="0AAB72A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6305" w:type="dxa"/>
            <w:vAlign w:val="center"/>
          </w:tcPr>
          <w:p w14:paraId="1B892DB5">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审查供应商为法人或者其他组织的，提供营业执照等证明文件（如营业执照或者事业单位法人证书或者执业许可证等）。</w:t>
            </w:r>
          </w:p>
        </w:tc>
      </w:tr>
      <w:tr w14:paraId="3212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18C6CC7D">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39932E9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6305" w:type="dxa"/>
            <w:vAlign w:val="center"/>
          </w:tcPr>
          <w:p w14:paraId="1EDDCC42">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p>
        </w:tc>
      </w:tr>
      <w:tr w14:paraId="6421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0067A3BF">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771805E">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6305" w:type="dxa"/>
            <w:vAlign w:val="center"/>
          </w:tcPr>
          <w:p w14:paraId="03503827">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审查书面声明。须提供，格式见第七章响应文件格式“响应声明书”。</w:t>
            </w:r>
          </w:p>
        </w:tc>
      </w:tr>
      <w:tr w14:paraId="65F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747D4669">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20779F49">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）有依法缴纳税收和社会保障金的良好记录</w:t>
            </w:r>
          </w:p>
        </w:tc>
        <w:tc>
          <w:tcPr>
            <w:tcW w:w="6305" w:type="dxa"/>
            <w:vAlign w:val="center"/>
          </w:tcPr>
          <w:p w14:paraId="35991CA5">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p>
        </w:tc>
      </w:tr>
      <w:tr w14:paraId="29C5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166BB02C">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0800009F">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）参加政府采购活动前三年内，在经营活动中没有重大违法记录及不良信用记录</w:t>
            </w:r>
          </w:p>
        </w:tc>
        <w:tc>
          <w:tcPr>
            <w:tcW w:w="6305" w:type="dxa"/>
            <w:vAlign w:val="center"/>
          </w:tcPr>
          <w:p w14:paraId="00C4FFD3">
            <w:pPr>
              <w:kinsoku/>
              <w:topLinePunct/>
              <w:autoSpaceDE/>
              <w:autoSpaceDN/>
              <w:spacing w:line="360" w:lineRule="auto"/>
              <w:ind w:right="86" w:rightChars="41"/>
              <w:jc w:val="both"/>
              <w:rPr>
                <w:rFonts w:ascii="宋体" w:cs="宋体"/>
                <w:color w:val="auto"/>
                <w:highlight w:val="none"/>
              </w:rPr>
            </w:pPr>
          </w:p>
          <w:p w14:paraId="2632529C">
            <w:pPr>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r>
              <w:rPr>
                <w:rFonts w:hint="eastAsia" w:ascii="宋体" w:hAnsi="宋体" w:cs="宋体"/>
                <w:color w:val="auto"/>
                <w:highlight w:val="none"/>
                <w:lang w:eastAsia="zh-CN"/>
              </w:rPr>
              <w:t>。</w:t>
            </w:r>
          </w:p>
        </w:tc>
      </w:tr>
      <w:tr w14:paraId="2F2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7A5F5555">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8035894">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）具备法律、行政法规规定的其他要求</w:t>
            </w:r>
          </w:p>
        </w:tc>
        <w:tc>
          <w:tcPr>
            <w:tcW w:w="6305" w:type="dxa"/>
            <w:vAlign w:val="center"/>
          </w:tcPr>
          <w:p w14:paraId="50CDCEC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1DF7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restart"/>
            <w:vAlign w:val="center"/>
          </w:tcPr>
          <w:p w14:paraId="33B75663">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供应商应符合的特定资格要</w:t>
            </w:r>
            <w:r>
              <w:rPr>
                <w:rFonts w:ascii="宋体" w:hAnsi="宋体" w:cs="宋体"/>
                <w:color w:val="auto"/>
                <w:highlight w:val="none"/>
              </w:rPr>
              <w:t xml:space="preserve"> </w:t>
            </w:r>
            <w:r>
              <w:rPr>
                <w:rFonts w:hint="eastAsia" w:ascii="宋体" w:hAnsi="宋体" w:cs="宋体"/>
                <w:color w:val="auto"/>
                <w:highlight w:val="none"/>
              </w:rPr>
              <w:t>求</w:t>
            </w:r>
          </w:p>
        </w:tc>
        <w:tc>
          <w:tcPr>
            <w:tcW w:w="2132" w:type="dxa"/>
            <w:vAlign w:val="center"/>
          </w:tcPr>
          <w:p w14:paraId="5982367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）资质要求</w:t>
            </w:r>
          </w:p>
        </w:tc>
        <w:tc>
          <w:tcPr>
            <w:tcW w:w="6305" w:type="dxa"/>
            <w:vAlign w:val="center"/>
          </w:tcPr>
          <w:p w14:paraId="25FA62EE">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须符合“征集公告”的要求。</w:t>
            </w:r>
          </w:p>
        </w:tc>
      </w:tr>
      <w:tr w14:paraId="5D9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3A67BE78">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0AFA3D5D">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）业绩要求</w:t>
            </w:r>
          </w:p>
        </w:tc>
        <w:tc>
          <w:tcPr>
            <w:tcW w:w="6305" w:type="dxa"/>
            <w:vAlign w:val="center"/>
          </w:tcPr>
          <w:p w14:paraId="436C310A">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4F3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7" w:hRule="atLeast"/>
          <w:jc w:val="center"/>
        </w:trPr>
        <w:tc>
          <w:tcPr>
            <w:tcW w:w="1101" w:type="dxa"/>
            <w:vMerge w:val="continue"/>
            <w:vAlign w:val="center"/>
          </w:tcPr>
          <w:p w14:paraId="74FFFE96">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2FF9B30">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）供应商不得参加响应的情形</w:t>
            </w:r>
          </w:p>
        </w:tc>
        <w:tc>
          <w:tcPr>
            <w:tcW w:w="6305" w:type="dxa"/>
            <w:vAlign w:val="center"/>
          </w:tcPr>
          <w:p w14:paraId="5D999BC1">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76FD671">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须提供，格式见第七章响应文件格式“供应商直接控股股东、管理关系信息表”。</w:t>
            </w:r>
          </w:p>
        </w:tc>
      </w:tr>
    </w:tbl>
    <w:p w14:paraId="2ACC9EC8">
      <w:pPr>
        <w:tabs>
          <w:tab w:val="left" w:pos="2155"/>
        </w:tabs>
        <w:kinsoku/>
        <w:topLinePunct/>
        <w:autoSpaceDE/>
        <w:autoSpaceDN/>
        <w:ind w:right="86" w:rightChars="41" w:firstLine="422" w:firstLineChars="200"/>
        <w:rPr>
          <w:rFonts w:ascii="宋体" w:cs="宋体"/>
          <w:b/>
          <w:bCs/>
          <w:color w:val="auto"/>
          <w:highlight w:val="none"/>
        </w:rPr>
        <w:sectPr>
          <w:headerReference r:id="rId8" w:type="default"/>
          <w:footerReference r:id="rId9" w:type="default"/>
          <w:pgSz w:w="11906" w:h="16838"/>
          <w:pgMar w:top="1440" w:right="1080" w:bottom="1440" w:left="1080" w:header="879" w:footer="986" w:gutter="0"/>
          <w:pgBorders>
            <w:top w:val="none" w:sz="0" w:space="0"/>
            <w:left w:val="none" w:sz="0" w:space="0"/>
            <w:bottom w:val="none" w:sz="0" w:space="0"/>
            <w:right w:val="none" w:sz="0" w:space="0"/>
          </w:pgBorders>
          <w:pgNumType w:fmt="decimal"/>
          <w:cols w:space="720" w:num="1"/>
          <w:docGrid w:type="lines" w:linePitch="331" w:charSpace="0"/>
        </w:sectPr>
      </w:pPr>
    </w:p>
    <w:p w14:paraId="58B6C8BE">
      <w:pPr>
        <w:tabs>
          <w:tab w:val="left" w:pos="2155"/>
        </w:tabs>
        <w:kinsoku/>
        <w:topLinePunct/>
        <w:autoSpaceDE/>
        <w:autoSpaceDN/>
        <w:ind w:right="86" w:rightChars="41" w:firstLine="422" w:firstLineChars="200"/>
        <w:rPr>
          <w:rFonts w:ascii="宋体" w:hAnsi="宋体" w:cs="宋体"/>
          <w:b/>
          <w:bCs/>
          <w:color w:val="auto"/>
          <w:highlight w:val="none"/>
        </w:rPr>
      </w:pPr>
      <w:r>
        <w:rPr>
          <w:rFonts w:ascii="宋体" w:hAnsi="宋体" w:cs="宋体"/>
          <w:b/>
          <w:bCs/>
          <w:color w:val="auto"/>
          <w:highlight w:val="none"/>
        </w:rPr>
        <w:t>7.</w:t>
      </w:r>
      <w:r>
        <w:rPr>
          <w:rFonts w:hint="eastAsia" w:ascii="宋体" w:hAnsi="宋体" w:cs="宋体"/>
          <w:b/>
          <w:bCs/>
          <w:color w:val="auto"/>
          <w:highlight w:val="none"/>
        </w:rPr>
        <w:t>符合性审查标准</w:t>
      </w:r>
      <w:r>
        <w:rPr>
          <w:rFonts w:ascii="宋体" w:hAnsi="宋体" w:cs="宋体"/>
          <w:b/>
          <w:bCs/>
          <w:color w:val="auto"/>
          <w:highlight w:val="none"/>
        </w:rPr>
        <w:t>(</w:t>
      </w:r>
      <w:r>
        <w:rPr>
          <w:rFonts w:hint="eastAsia" w:ascii="宋体" w:hAnsi="宋体" w:cs="宋体"/>
          <w:b/>
          <w:bCs/>
          <w:color w:val="auto"/>
          <w:highlight w:val="none"/>
        </w:rPr>
        <w:t>不满足任何一项审查内容要求，符合性审查即为不合格</w:t>
      </w:r>
      <w:r>
        <w:rPr>
          <w:rFonts w:ascii="宋体" w:hAnsi="宋体" w:cs="宋体"/>
          <w:b/>
          <w:bCs/>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88"/>
        <w:gridCol w:w="6328"/>
      </w:tblGrid>
      <w:tr w14:paraId="414F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88" w:type="dxa"/>
            <w:vAlign w:val="center"/>
          </w:tcPr>
          <w:p w14:paraId="176F0F29">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审查因素</w:t>
            </w:r>
          </w:p>
        </w:tc>
        <w:tc>
          <w:tcPr>
            <w:tcW w:w="1788" w:type="dxa"/>
            <w:vAlign w:val="center"/>
          </w:tcPr>
          <w:p w14:paraId="29C83A7E">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审查内容</w:t>
            </w:r>
          </w:p>
        </w:tc>
        <w:tc>
          <w:tcPr>
            <w:tcW w:w="6328" w:type="dxa"/>
            <w:vAlign w:val="center"/>
          </w:tcPr>
          <w:p w14:paraId="3D8A5A6E">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说明</w:t>
            </w:r>
          </w:p>
        </w:tc>
      </w:tr>
      <w:tr w14:paraId="392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68B8D75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商务资信</w:t>
            </w:r>
          </w:p>
        </w:tc>
        <w:tc>
          <w:tcPr>
            <w:tcW w:w="1788" w:type="dxa"/>
            <w:vAlign w:val="center"/>
          </w:tcPr>
          <w:p w14:paraId="6C9A6E6F">
            <w:pPr>
              <w:kinsoku/>
              <w:topLinePunct/>
              <w:autoSpaceDE/>
              <w:autoSpaceDN/>
              <w:spacing w:line="360" w:lineRule="auto"/>
              <w:ind w:right="86" w:rightChars="41"/>
              <w:jc w:val="center"/>
              <w:rPr>
                <w:rFonts w:ascii="宋体" w:cs="宋体"/>
                <w:color w:val="auto"/>
                <w:highlight w:val="none"/>
              </w:rPr>
            </w:pPr>
          </w:p>
          <w:p w14:paraId="11FA1385">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法定代表人身份证明及授权委托书</w:t>
            </w:r>
          </w:p>
        </w:tc>
        <w:tc>
          <w:tcPr>
            <w:tcW w:w="6328" w:type="dxa"/>
            <w:vAlign w:val="center"/>
          </w:tcPr>
          <w:p w14:paraId="5DB4D354">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授权代表参加响应时审查：法定代表人授权委托书及附件</w:t>
            </w:r>
          </w:p>
          <w:p w14:paraId="26D9746F">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法定代表人直接参加响应时审查：法定代表人身份证明及附件</w:t>
            </w:r>
          </w:p>
          <w:p w14:paraId="6C9E4AD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格式及附件见第七章响应文件格式要求。</w:t>
            </w:r>
          </w:p>
        </w:tc>
      </w:tr>
      <w:tr w14:paraId="3E49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88" w:type="dxa"/>
            <w:vMerge w:val="continue"/>
            <w:vAlign w:val="center"/>
          </w:tcPr>
          <w:p w14:paraId="6E525E53">
            <w:pPr>
              <w:kinsoku/>
              <w:topLinePunct/>
              <w:autoSpaceDE/>
              <w:autoSpaceDN/>
              <w:spacing w:line="360" w:lineRule="auto"/>
              <w:ind w:right="86" w:rightChars="41"/>
              <w:jc w:val="center"/>
              <w:rPr>
                <w:rFonts w:ascii="宋体" w:cs="宋体"/>
                <w:color w:val="auto"/>
                <w:highlight w:val="none"/>
              </w:rPr>
            </w:pPr>
          </w:p>
        </w:tc>
        <w:tc>
          <w:tcPr>
            <w:tcW w:w="1788" w:type="dxa"/>
            <w:vAlign w:val="center"/>
          </w:tcPr>
          <w:p w14:paraId="7591CBD5">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串通响应</w:t>
            </w:r>
          </w:p>
        </w:tc>
        <w:tc>
          <w:tcPr>
            <w:tcW w:w="6328" w:type="dxa"/>
            <w:vAlign w:val="center"/>
          </w:tcPr>
          <w:p w14:paraId="7D5DAB1D">
            <w:pPr>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不属于供应商须知正文第</w:t>
            </w:r>
            <w:r>
              <w:rPr>
                <w:rFonts w:ascii="宋体" w:hAnsi="宋体" w:cs="宋体"/>
                <w:color w:val="auto"/>
                <w:highlight w:val="none"/>
              </w:rPr>
              <w:t xml:space="preserve"> 2.5.3.4 </w:t>
            </w:r>
            <w:r>
              <w:rPr>
                <w:rFonts w:hint="eastAsia" w:ascii="宋体" w:hAnsi="宋体" w:cs="宋体"/>
                <w:color w:val="auto"/>
                <w:highlight w:val="none"/>
              </w:rPr>
              <w:t>规定的串通响应情形。</w:t>
            </w:r>
          </w:p>
        </w:tc>
      </w:tr>
      <w:tr w14:paraId="27E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3C3DF2FA">
            <w:pPr>
              <w:kinsoku/>
              <w:topLinePunct/>
              <w:autoSpaceDE/>
              <w:autoSpaceDN/>
              <w:spacing w:line="360" w:lineRule="auto"/>
              <w:ind w:right="86" w:rightChars="41"/>
              <w:jc w:val="center"/>
              <w:rPr>
                <w:rFonts w:ascii="宋体" w:cs="宋体"/>
                <w:color w:val="auto"/>
                <w:highlight w:val="none"/>
              </w:rPr>
            </w:pPr>
          </w:p>
        </w:tc>
        <w:tc>
          <w:tcPr>
            <w:tcW w:w="1788" w:type="dxa"/>
            <w:vAlign w:val="center"/>
          </w:tcPr>
          <w:p w14:paraId="2EA7E99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响应有效性认定</w:t>
            </w:r>
          </w:p>
        </w:tc>
        <w:tc>
          <w:tcPr>
            <w:tcW w:w="6328" w:type="dxa"/>
            <w:vAlign w:val="center"/>
          </w:tcPr>
          <w:p w14:paraId="3532ABCD">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无征集文件所规定的响应无效的情形。</w:t>
            </w:r>
          </w:p>
        </w:tc>
      </w:tr>
      <w:tr w14:paraId="2E0C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88" w:type="dxa"/>
            <w:vAlign w:val="center"/>
          </w:tcPr>
          <w:p w14:paraId="61EB6BB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报价</w:t>
            </w:r>
          </w:p>
        </w:tc>
        <w:tc>
          <w:tcPr>
            <w:tcW w:w="1788" w:type="dxa"/>
            <w:vAlign w:val="center"/>
          </w:tcPr>
          <w:p w14:paraId="4C805C8C">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报价唯一性</w:t>
            </w:r>
          </w:p>
        </w:tc>
        <w:tc>
          <w:tcPr>
            <w:tcW w:w="6328" w:type="dxa"/>
            <w:vAlign w:val="center"/>
          </w:tcPr>
          <w:p w14:paraId="703D856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同一供应商不得提交两个以上不同的响应报价。</w:t>
            </w:r>
          </w:p>
        </w:tc>
      </w:tr>
      <w:tr w14:paraId="5D6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188" w:type="dxa"/>
            <w:vAlign w:val="center"/>
          </w:tcPr>
          <w:p w14:paraId="2646EEE0">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技术</w:t>
            </w:r>
          </w:p>
        </w:tc>
        <w:tc>
          <w:tcPr>
            <w:tcW w:w="1788" w:type="dxa"/>
            <w:vAlign w:val="center"/>
          </w:tcPr>
          <w:p w14:paraId="782EE217">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采购需求响应</w:t>
            </w:r>
          </w:p>
        </w:tc>
        <w:tc>
          <w:tcPr>
            <w:tcW w:w="6328" w:type="dxa"/>
            <w:vAlign w:val="center"/>
          </w:tcPr>
          <w:p w14:paraId="171CA9A2">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供应商响应的服务的技术、商务等条件不得低于采购需求所有要求。</w:t>
            </w:r>
          </w:p>
        </w:tc>
      </w:tr>
    </w:tbl>
    <w:p w14:paraId="208AE853">
      <w:pPr>
        <w:kinsoku/>
        <w:topLinePunct/>
        <w:autoSpaceDE/>
        <w:autoSpaceDN/>
        <w:spacing w:line="360" w:lineRule="auto"/>
        <w:ind w:right="86" w:rightChars="41" w:firstLine="417" w:firstLineChars="198"/>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响应有效性的认定</w:t>
      </w:r>
    </w:p>
    <w:p w14:paraId="432F5A4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）资格审查时，如发现下列情形之一的，响应文件将被视为无效：</w:t>
      </w:r>
    </w:p>
    <w:p w14:paraId="69B1F148">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①不具备征集文件中规定的资格要求的；</w:t>
      </w:r>
    </w:p>
    <w:p w14:paraId="7805CC1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②响应文件签署</w:t>
      </w:r>
      <w:r>
        <w:rPr>
          <w:rFonts w:ascii="宋体" w:hAnsi="宋体" w:cs="宋体"/>
          <w:color w:val="auto"/>
          <w:highlight w:val="none"/>
        </w:rPr>
        <w:t>(</w:t>
      </w:r>
      <w:r>
        <w:rPr>
          <w:rFonts w:hint="eastAsia" w:ascii="宋体" w:hAnsi="宋体" w:cs="宋体"/>
          <w:color w:val="auto"/>
          <w:highlight w:val="none"/>
        </w:rPr>
        <w:t>签名</w:t>
      </w:r>
      <w:r>
        <w:rPr>
          <w:rFonts w:ascii="宋体" w:hAnsi="宋体" w:cs="宋体"/>
          <w:color w:val="auto"/>
          <w:highlight w:val="none"/>
        </w:rPr>
        <w:t>)</w:t>
      </w:r>
      <w:r>
        <w:rPr>
          <w:rFonts w:hint="eastAsia" w:ascii="宋体" w:hAnsi="宋体" w:cs="宋体"/>
          <w:color w:val="auto"/>
          <w:highlight w:val="none"/>
        </w:rPr>
        <w:t>、盖章不符合征集文件要求的。</w:t>
      </w:r>
    </w:p>
    <w:p w14:paraId="0BD278C0">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）在评审过程中，如发现下列情形之一的，响应文件将被视为无效：</w:t>
      </w:r>
    </w:p>
    <w:p w14:paraId="72059856">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①响应文件上法定代表人或其授权代表人未按要求签字；</w:t>
      </w:r>
    </w:p>
    <w:p w14:paraId="12D2419C">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②报价超出采购预算金额或最高限价</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的；</w:t>
      </w:r>
    </w:p>
    <w:p w14:paraId="012F00D4">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③响应文件含有采购人不能接受的附加条件的；</w:t>
      </w:r>
    </w:p>
    <w:p w14:paraId="1CDD552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④评审过程中发现响应文件中提供虚假材料的；</w:t>
      </w:r>
    </w:p>
    <w:p w14:paraId="69093E6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⑤不具备征集文件中规定的商务资信、报价、技术要求的；</w:t>
      </w:r>
    </w:p>
    <w:p w14:paraId="29117E4C">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⑥商务条款、技术条款评审允许负偏离的条款数超过“供应商须知前附表”规定项数的；</w:t>
      </w:r>
    </w:p>
    <w:p w14:paraId="4F0020B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⑦响应文件的实质性内容未使用中文表述、使用计量单位不符合征集文件要求的；</w:t>
      </w:r>
    </w:p>
    <w:p w14:paraId="063C353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⑧响应文件中的文件资料因填写不齐全、无效或者内容虚假或者出现其他情形而导致被评委认定无效的；</w:t>
      </w:r>
    </w:p>
    <w:p w14:paraId="590C89C0">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⑨响应文件含有采购人不能接受的附加条件的；</w:t>
      </w:r>
    </w:p>
    <w:p w14:paraId="414938B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⑩未响应征集文件实质性要求的；</w:t>
      </w:r>
    </w:p>
    <w:p w14:paraId="2A7C318D">
      <w:pPr>
        <w:kinsoku/>
        <w:topLinePunct/>
        <w:autoSpaceDE/>
        <w:autoSpaceDN/>
        <w:spacing w:line="360" w:lineRule="auto"/>
        <w:ind w:right="86" w:rightChars="41" w:firstLine="415" w:firstLineChars="198"/>
        <w:rPr>
          <w:rFonts w:ascii="宋体" w:cs="宋体"/>
          <w:color w:val="auto"/>
          <w:highlight w:val="none"/>
        </w:rPr>
      </w:pPr>
      <w:r>
        <w:rPr>
          <w:rFonts w:hint="eastAsia" w:ascii="MS Mincho" w:hAnsi="MS Mincho" w:eastAsia="MS Mincho" w:cs="MS Mincho"/>
          <w:color w:val="auto"/>
          <w:highlight w:val="none"/>
        </w:rPr>
        <w:t>⑪</w:t>
      </w:r>
      <w:r>
        <w:rPr>
          <w:rFonts w:hint="eastAsia" w:ascii="宋体" w:hAnsi="宋体" w:cs="宋体"/>
          <w:color w:val="auto"/>
          <w:highlight w:val="none"/>
        </w:rPr>
        <w:t>投标技术方案不明确，征集文件未允许但存在一个或者一个以上备选（替代）投标方案的；</w:t>
      </w:r>
    </w:p>
    <w:p w14:paraId="12DFD556">
      <w:pPr>
        <w:kinsoku/>
        <w:topLinePunct/>
        <w:autoSpaceDE/>
        <w:autoSpaceDN/>
        <w:spacing w:line="360" w:lineRule="auto"/>
        <w:ind w:right="86" w:rightChars="41" w:firstLine="415" w:firstLineChars="198"/>
        <w:rPr>
          <w:rFonts w:ascii="宋体" w:cs="宋体"/>
          <w:color w:val="auto"/>
          <w:highlight w:val="none"/>
        </w:rPr>
      </w:pPr>
      <w:r>
        <w:rPr>
          <w:rFonts w:hint="eastAsia" w:ascii="MS Mincho" w:hAnsi="MS Mincho" w:eastAsia="MS Mincho" w:cs="MS Mincho"/>
          <w:color w:val="auto"/>
          <w:highlight w:val="none"/>
        </w:rPr>
        <w:t>⑫</w:t>
      </w:r>
      <w:r>
        <w:rPr>
          <w:rFonts w:hint="eastAsia" w:ascii="宋体" w:hAnsi="宋体" w:cs="宋体"/>
          <w:color w:val="auto"/>
          <w:highlight w:val="none"/>
        </w:rPr>
        <w:t>法律、法规和招标文件规定的其他无效情形。</w:t>
      </w:r>
    </w:p>
    <w:p w14:paraId="6A8FC21E">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）根据财库〔</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38</w:t>
      </w:r>
      <w:r>
        <w:rPr>
          <w:rFonts w:hint="eastAsia" w:ascii="宋体" w:hAnsi="宋体" w:cs="宋体"/>
          <w:color w:val="auto"/>
          <w:highlight w:val="none"/>
        </w:rPr>
        <w:t>号《关于促进政府采购公平竞争优化营商环境的通知》以及桂财采〔</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号《广西壮族自治区财政厅转发财政部关于促进政府采购公平竞争优化营商环境的通知》规定，</w:t>
      </w:r>
      <w:r>
        <w:rPr>
          <w:rFonts w:hint="eastAsia" w:ascii="宋体" w:hAnsi="宋体" w:cs="宋体"/>
          <w:color w:val="auto"/>
          <w:highlight w:val="none"/>
          <w:lang w:eastAsia="zh-CN"/>
        </w:rPr>
        <w:t>评审委员会</w:t>
      </w:r>
      <w:r>
        <w:rPr>
          <w:rFonts w:hint="eastAsia" w:ascii="宋体" w:hAnsi="宋体" w:cs="宋体"/>
          <w:color w:val="auto"/>
          <w:highlight w:val="none"/>
        </w:rPr>
        <w:t>认定投标有效性时不得因装订、纸张、文件排序等非实质性的格式、形式问题否决投标，从而限制和影响供应商投标</w:t>
      </w:r>
      <w:r>
        <w:rPr>
          <w:rFonts w:ascii="宋体" w:hAnsi="宋体" w:cs="宋体"/>
          <w:color w:val="auto"/>
          <w:highlight w:val="none"/>
        </w:rPr>
        <w:t>(</w:t>
      </w:r>
      <w:r>
        <w:rPr>
          <w:rFonts w:hint="eastAsia" w:ascii="宋体" w:hAnsi="宋体" w:cs="宋体"/>
          <w:color w:val="auto"/>
          <w:highlight w:val="none"/>
        </w:rPr>
        <w:t>响应</w:t>
      </w:r>
      <w:r>
        <w:rPr>
          <w:rFonts w:ascii="宋体" w:hAnsi="宋体" w:cs="宋体"/>
          <w:color w:val="auto"/>
          <w:highlight w:val="none"/>
        </w:rPr>
        <w:t>)</w:t>
      </w:r>
      <w:r>
        <w:rPr>
          <w:rFonts w:hint="eastAsia" w:ascii="宋体" w:hAnsi="宋体" w:cs="宋体"/>
          <w:color w:val="auto"/>
          <w:highlight w:val="none"/>
        </w:rPr>
        <w:t>。</w:t>
      </w:r>
    </w:p>
    <w:p w14:paraId="0A33467F">
      <w:pPr>
        <w:kinsoku/>
        <w:topLinePunct/>
        <w:autoSpaceDE/>
        <w:autoSpaceDN/>
        <w:spacing w:line="360" w:lineRule="auto"/>
        <w:ind w:right="86" w:rightChars="41" w:firstLine="417" w:firstLineChars="198"/>
        <w:rPr>
          <w:rFonts w:ascii="宋体" w:cs="宋体"/>
          <w:color w:val="auto"/>
          <w:highlight w:val="none"/>
        </w:rPr>
      </w:pPr>
      <w:r>
        <w:rPr>
          <w:rFonts w:ascii="宋体" w:hAnsi="宋体" w:cs="宋体"/>
          <w:b/>
          <w:bCs/>
          <w:color w:val="auto"/>
          <w:highlight w:val="none"/>
        </w:rPr>
        <w:t>9.</w:t>
      </w:r>
      <w:r>
        <w:rPr>
          <w:rFonts w:hint="eastAsia" w:ascii="宋体" w:hAnsi="宋体" w:cs="宋体"/>
          <w:color w:val="auto"/>
          <w:highlight w:val="none"/>
        </w:rPr>
        <w:t>比较与评价</w:t>
      </w:r>
    </w:p>
    <w:p w14:paraId="6FC8529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按征集文件中规定的评审方法和标准，对符合性审查合格的响应文件进行综合比较与评价。</w:t>
      </w:r>
    </w:p>
    <w:p w14:paraId="7800406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各成员独立对每个有效供应商的响应文件进行评价。评价有误的应及时进行修正。</w:t>
      </w:r>
      <w:r>
        <w:rPr>
          <w:rFonts w:hint="eastAsia" w:ascii="宋体" w:hAnsi="宋体" w:cs="宋体"/>
          <w:color w:val="auto"/>
          <w:highlight w:val="none"/>
          <w:lang w:eastAsia="zh-CN"/>
        </w:rPr>
        <w:t>评分标准</w:t>
      </w:r>
      <w:r>
        <w:rPr>
          <w:rFonts w:hint="eastAsia" w:ascii="宋体" w:hAnsi="宋体" w:cs="宋体"/>
          <w:color w:val="auto"/>
          <w:highlight w:val="none"/>
        </w:rPr>
        <w:t>如有客观分定义，</w:t>
      </w:r>
      <w:r>
        <w:rPr>
          <w:rFonts w:hint="eastAsia" w:ascii="宋体" w:hAnsi="宋体" w:cs="宋体"/>
          <w:color w:val="auto"/>
          <w:highlight w:val="none"/>
          <w:lang w:eastAsia="zh-CN"/>
        </w:rPr>
        <w:t>评审委员会</w:t>
      </w:r>
      <w:r>
        <w:rPr>
          <w:rFonts w:hint="eastAsia" w:ascii="宋体" w:hAnsi="宋体" w:cs="宋体"/>
          <w:color w:val="auto"/>
          <w:highlight w:val="none"/>
        </w:rPr>
        <w:t>所有成员的客观分评分分值应当一致。</w:t>
      </w:r>
    </w:p>
    <w:p w14:paraId="01AD204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按质量综合评分由高到低的排列顺序以及评审方法及标准规定的入围供应商数量上限或淘汰率推荐入围供应商。</w:t>
      </w:r>
    </w:p>
    <w:p w14:paraId="18130F7A">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根据评审记录及评审结果编写评审报告，</w:t>
      </w:r>
      <w:r>
        <w:rPr>
          <w:rFonts w:hint="eastAsia" w:ascii="宋体" w:hAnsi="宋体" w:cs="宋体"/>
          <w:color w:val="auto"/>
          <w:highlight w:val="none"/>
          <w:lang w:eastAsia="zh-CN"/>
        </w:rPr>
        <w:t>评审委员会</w:t>
      </w:r>
      <w:r>
        <w:rPr>
          <w:rFonts w:hint="eastAsia" w:ascii="宋体" w:hAnsi="宋体" w:cs="宋体"/>
          <w:color w:val="auto"/>
          <w:highlight w:val="none"/>
        </w:rPr>
        <w:t>成员均应当在评审报告上签字，对自己的评审意见承担法律责任。评审报告签署前，经复核发现存在以下情形之一的，</w:t>
      </w:r>
      <w:r>
        <w:rPr>
          <w:rFonts w:hint="eastAsia" w:ascii="宋体" w:hAnsi="宋体" w:cs="宋体"/>
          <w:color w:val="auto"/>
          <w:highlight w:val="none"/>
          <w:lang w:eastAsia="zh-CN"/>
        </w:rPr>
        <w:t>评审委员会</w:t>
      </w:r>
      <w:r>
        <w:rPr>
          <w:rFonts w:hint="eastAsia" w:ascii="宋体" w:hAnsi="宋体" w:cs="宋体"/>
          <w:color w:val="auto"/>
          <w:highlight w:val="none"/>
        </w:rPr>
        <w:t>应当当场修改评审结果，并在评审报告中记载；评审报告签署后，征集人发现存在以下情形之一的，应当组织原</w:t>
      </w:r>
      <w:r>
        <w:rPr>
          <w:rFonts w:hint="eastAsia" w:ascii="宋体" w:hAnsi="宋体" w:cs="宋体"/>
          <w:color w:val="auto"/>
          <w:highlight w:val="none"/>
          <w:lang w:eastAsia="zh-CN"/>
        </w:rPr>
        <w:t>评审委员会</w:t>
      </w:r>
      <w:r>
        <w:rPr>
          <w:rFonts w:hint="eastAsia" w:ascii="宋体" w:hAnsi="宋体" w:cs="宋体"/>
          <w:color w:val="auto"/>
          <w:highlight w:val="none"/>
        </w:rPr>
        <w:t>进行重新评审。</w:t>
      </w:r>
    </w:p>
    <w:p w14:paraId="18E7F00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分值汇总计算错误的；分项评分超出</w:t>
      </w:r>
      <w:r>
        <w:rPr>
          <w:rFonts w:hint="eastAsia" w:ascii="宋体" w:hAnsi="宋体" w:cs="宋体"/>
          <w:color w:val="auto"/>
          <w:highlight w:val="none"/>
          <w:lang w:eastAsia="zh-CN"/>
        </w:rPr>
        <w:t>评分标准</w:t>
      </w:r>
      <w:r>
        <w:rPr>
          <w:rFonts w:hint="eastAsia" w:ascii="宋体" w:hAnsi="宋体" w:cs="宋体"/>
          <w:color w:val="auto"/>
          <w:highlight w:val="none"/>
        </w:rPr>
        <w:t>范围的；</w:t>
      </w:r>
      <w:r>
        <w:rPr>
          <w:rFonts w:hint="eastAsia" w:ascii="宋体" w:hAnsi="宋体" w:cs="宋体"/>
          <w:color w:val="auto"/>
          <w:highlight w:val="none"/>
          <w:lang w:eastAsia="zh-CN"/>
        </w:rPr>
        <w:t>评审委员会</w:t>
      </w:r>
      <w:r>
        <w:rPr>
          <w:rFonts w:hint="eastAsia" w:ascii="宋体" w:hAnsi="宋体" w:cs="宋体"/>
          <w:color w:val="auto"/>
          <w:highlight w:val="none"/>
        </w:rPr>
        <w:t>成员对客观评审因素评分不一致的；经</w:t>
      </w:r>
      <w:r>
        <w:rPr>
          <w:rFonts w:hint="eastAsia" w:ascii="宋体" w:hAnsi="宋体" w:cs="宋体"/>
          <w:color w:val="auto"/>
          <w:highlight w:val="none"/>
          <w:lang w:eastAsia="zh-CN"/>
        </w:rPr>
        <w:t>评审委员会</w:t>
      </w:r>
      <w:r>
        <w:rPr>
          <w:rFonts w:hint="eastAsia" w:ascii="宋体" w:hAnsi="宋体" w:cs="宋体"/>
          <w:color w:val="auto"/>
          <w:highlight w:val="none"/>
        </w:rPr>
        <w:t>认定评分畸高、畸低的。</w:t>
      </w:r>
    </w:p>
    <w:p w14:paraId="5A5C744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评审报告签署前，经复核发现存在以上情形之一的，</w:t>
      </w:r>
      <w:r>
        <w:rPr>
          <w:rFonts w:hint="eastAsia" w:ascii="宋体" w:hAnsi="宋体" w:cs="宋体"/>
          <w:color w:val="auto"/>
          <w:highlight w:val="none"/>
          <w:lang w:eastAsia="zh-CN"/>
        </w:rPr>
        <w:t>评审委员会</w:t>
      </w:r>
      <w:r>
        <w:rPr>
          <w:rFonts w:hint="eastAsia" w:ascii="宋体" w:hAnsi="宋体" w:cs="宋体"/>
          <w:color w:val="auto"/>
          <w:highlight w:val="none"/>
        </w:rPr>
        <w:t>应当当场修改评审结果，并在评审报告中记载；评审报告签署后，采购人或者采购代理机构发现存在以上情形之一的，应当组织原</w:t>
      </w:r>
      <w:r>
        <w:rPr>
          <w:rFonts w:hint="eastAsia" w:ascii="宋体" w:hAnsi="宋体" w:cs="宋体"/>
          <w:color w:val="auto"/>
          <w:highlight w:val="none"/>
          <w:lang w:eastAsia="zh-CN"/>
        </w:rPr>
        <w:t>评审委员会</w:t>
      </w:r>
      <w:r>
        <w:rPr>
          <w:rFonts w:hint="eastAsia" w:ascii="宋体" w:hAnsi="宋体" w:cs="宋体"/>
          <w:color w:val="auto"/>
          <w:highlight w:val="none"/>
        </w:rPr>
        <w:t>进行重新评审。</w:t>
      </w:r>
    </w:p>
    <w:p w14:paraId="0F675E16">
      <w:pPr>
        <w:kinsoku/>
        <w:topLinePunct/>
        <w:autoSpaceDE/>
        <w:autoSpaceDN/>
        <w:spacing w:line="360" w:lineRule="auto"/>
        <w:ind w:right="86" w:rightChars="41" w:firstLine="417" w:firstLineChars="198"/>
        <w:rPr>
          <w:rFonts w:ascii="宋体" w:cs="宋体"/>
          <w:color w:val="auto"/>
          <w:highlight w:val="none"/>
        </w:rPr>
      </w:pPr>
      <w:r>
        <w:rPr>
          <w:rFonts w:ascii="宋体" w:hAnsi="宋体" w:cs="宋体"/>
          <w:b/>
          <w:bCs/>
          <w:color w:val="auto"/>
          <w:highlight w:val="none"/>
        </w:rPr>
        <w:t>10.</w:t>
      </w:r>
      <w:r>
        <w:rPr>
          <w:rFonts w:hint="eastAsia" w:ascii="宋体" w:hAnsi="宋体" w:cs="宋体"/>
          <w:color w:val="auto"/>
          <w:highlight w:val="none"/>
        </w:rPr>
        <w:t>评审争议处理</w:t>
      </w:r>
    </w:p>
    <w:p w14:paraId="581B7E2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lang w:eastAsia="zh-CN"/>
        </w:rPr>
        <w:t>评审委员会</w:t>
      </w:r>
      <w:r>
        <w:rPr>
          <w:rFonts w:hint="eastAsia" w:ascii="宋体" w:hAnsi="宋体" w:cs="宋体"/>
          <w:color w:val="auto"/>
          <w:highlight w:val="none"/>
        </w:rPr>
        <w:t>成员对需要共同认定的事项存在争议的，应当按照少数服从多数的原则</w:t>
      </w:r>
      <w:r>
        <w:rPr>
          <w:rFonts w:hint="eastAsia" w:ascii="宋体" w:hAnsi="宋体" w:cs="宋体"/>
          <w:color w:val="auto"/>
          <w:highlight w:val="none"/>
          <w:lang w:eastAsia="zh-CN"/>
        </w:rPr>
        <w:t>作出</w:t>
      </w:r>
      <w:r>
        <w:rPr>
          <w:rFonts w:hint="eastAsia" w:ascii="宋体" w:hAnsi="宋体" w:cs="宋体"/>
          <w:color w:val="auto"/>
          <w:highlight w:val="none"/>
        </w:rPr>
        <w:t>结论。持不同意见的</w:t>
      </w:r>
      <w:r>
        <w:rPr>
          <w:rFonts w:hint="eastAsia" w:ascii="宋体" w:hAnsi="宋体" w:cs="宋体"/>
          <w:color w:val="auto"/>
          <w:highlight w:val="none"/>
          <w:lang w:eastAsia="zh-CN"/>
        </w:rPr>
        <w:t>评审委员会</w:t>
      </w:r>
      <w:r>
        <w:rPr>
          <w:rFonts w:hint="eastAsia" w:ascii="宋体" w:hAnsi="宋体" w:cs="宋体"/>
          <w:color w:val="auto"/>
          <w:highlight w:val="none"/>
        </w:rPr>
        <w:t>成员应当在评审报告上签署不同意见及理由，否则视为同意评审报告。</w:t>
      </w:r>
    </w:p>
    <w:p w14:paraId="1D92CACA">
      <w:pPr>
        <w:kinsoku/>
        <w:topLinePunct/>
        <w:autoSpaceDE/>
        <w:autoSpaceDN/>
        <w:spacing w:line="360" w:lineRule="auto"/>
        <w:ind w:right="86" w:rightChars="41" w:firstLine="417" w:firstLineChars="198"/>
        <w:rPr>
          <w:rFonts w:hint="eastAsia" w:ascii="宋体" w:hAnsi="宋体" w:cs="宋体"/>
          <w:color w:val="auto"/>
          <w:highlight w:val="none"/>
          <w:lang w:eastAsia="zh-CN"/>
        </w:rPr>
      </w:pPr>
      <w:r>
        <w:rPr>
          <w:rFonts w:ascii="宋体" w:hAnsi="宋体" w:cs="宋体"/>
          <w:b/>
          <w:bCs/>
          <w:color w:val="auto"/>
          <w:highlight w:val="none"/>
        </w:rPr>
        <w:t>11.</w:t>
      </w:r>
      <w:r>
        <w:rPr>
          <w:rFonts w:hint="eastAsia" w:ascii="宋体" w:hAnsi="宋体" w:cs="宋体"/>
          <w:color w:val="auto"/>
          <w:highlight w:val="none"/>
          <w:lang w:eastAsia="zh-CN"/>
        </w:rPr>
        <w:t>评分标准</w:t>
      </w:r>
    </w:p>
    <w:tbl>
      <w:tblPr>
        <w:tblStyle w:val="14"/>
        <w:tblW w:w="10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394"/>
        <w:gridCol w:w="584"/>
        <w:gridCol w:w="6346"/>
        <w:gridCol w:w="612"/>
        <w:gridCol w:w="2076"/>
      </w:tblGrid>
      <w:tr w14:paraId="06918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27" w:hRule="atLeast"/>
        </w:trPr>
        <w:tc>
          <w:tcPr>
            <w:tcW w:w="394" w:type="dxa"/>
            <w:vAlign w:val="center"/>
          </w:tcPr>
          <w:p w14:paraId="14BECD46">
            <w:pPr>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序号</w:t>
            </w:r>
          </w:p>
        </w:tc>
        <w:tc>
          <w:tcPr>
            <w:tcW w:w="584" w:type="dxa"/>
            <w:vAlign w:val="center"/>
          </w:tcPr>
          <w:p w14:paraId="18E97D0F">
            <w:pPr>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类型</w:t>
            </w:r>
          </w:p>
        </w:tc>
        <w:tc>
          <w:tcPr>
            <w:tcW w:w="6346" w:type="dxa"/>
            <w:vAlign w:val="center"/>
          </w:tcPr>
          <w:p w14:paraId="607688C7">
            <w:pPr>
              <w:kinsoku/>
              <w:topLinePunct/>
              <w:autoSpaceDE/>
              <w:autoSpaceDN/>
              <w:spacing w:line="360" w:lineRule="auto"/>
              <w:jc w:val="center"/>
              <w:rPr>
                <w:rFonts w:hint="eastAsia" w:ascii="宋体" w:eastAsia="宋体" w:cs="宋体"/>
                <w:color w:val="auto"/>
                <w:highlight w:val="none"/>
                <w:lang w:eastAsia="zh-CN"/>
              </w:rPr>
            </w:pPr>
            <w:r>
              <w:rPr>
                <w:rFonts w:hint="eastAsia" w:ascii="宋体" w:hAnsi="宋体" w:cs="宋体"/>
                <w:color w:val="auto"/>
                <w:highlight w:val="none"/>
                <w:lang w:eastAsia="zh-CN"/>
              </w:rPr>
              <w:t>评分标准</w:t>
            </w:r>
          </w:p>
        </w:tc>
        <w:tc>
          <w:tcPr>
            <w:tcW w:w="612" w:type="dxa"/>
            <w:vAlign w:val="center"/>
          </w:tcPr>
          <w:p w14:paraId="3AD4D292">
            <w:pPr>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分值</w:t>
            </w:r>
          </w:p>
          <w:p w14:paraId="6629EF83">
            <w:pPr>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权重</w:t>
            </w:r>
          </w:p>
        </w:tc>
        <w:tc>
          <w:tcPr>
            <w:tcW w:w="2076" w:type="dxa"/>
            <w:vAlign w:val="center"/>
          </w:tcPr>
          <w:p w14:paraId="01B0A85F">
            <w:pPr>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说明</w:t>
            </w:r>
          </w:p>
        </w:tc>
      </w:tr>
      <w:tr w14:paraId="2D5E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48" w:hRule="atLeast"/>
        </w:trPr>
        <w:tc>
          <w:tcPr>
            <w:tcW w:w="394" w:type="dxa"/>
            <w:vMerge w:val="restart"/>
            <w:vAlign w:val="center"/>
          </w:tcPr>
          <w:p w14:paraId="137D677B">
            <w:pPr>
              <w:kinsoku/>
              <w:topLinePunct/>
              <w:autoSpaceDE/>
              <w:autoSpaceDN/>
              <w:spacing w:line="360" w:lineRule="auto"/>
              <w:jc w:val="center"/>
              <w:rPr>
                <w:rFonts w:ascii="宋体" w:hAnsi="宋体" w:cs="宋体"/>
                <w:color w:val="auto"/>
                <w:highlight w:val="none"/>
              </w:rPr>
            </w:pPr>
            <w:r>
              <w:rPr>
                <w:rFonts w:ascii="宋体" w:hAnsi="宋体" w:cs="宋体"/>
                <w:color w:val="auto"/>
                <w:highlight w:val="none"/>
              </w:rPr>
              <w:t>1</w:t>
            </w:r>
          </w:p>
        </w:tc>
        <w:tc>
          <w:tcPr>
            <w:tcW w:w="584" w:type="dxa"/>
            <w:vMerge w:val="restart"/>
            <w:vAlign w:val="center"/>
          </w:tcPr>
          <w:p w14:paraId="31B61931">
            <w:pPr>
              <w:kinsoku/>
              <w:topLinePunct/>
              <w:autoSpaceDE/>
              <w:autoSpaceDN/>
              <w:spacing w:line="360" w:lineRule="auto"/>
              <w:jc w:val="center"/>
              <w:rPr>
                <w:rFonts w:ascii="宋体" w:hAnsi="宋体" w:cs="宋体"/>
                <w:color w:val="auto"/>
                <w:highlight w:val="none"/>
              </w:rPr>
            </w:pPr>
            <w:r>
              <w:rPr>
                <w:rFonts w:hint="eastAsia" w:ascii="宋体" w:hAnsi="宋体" w:cs="宋体"/>
                <w:color w:val="auto"/>
                <w:highlight w:val="none"/>
              </w:rPr>
              <w:t>技术分</w:t>
            </w:r>
            <w:r>
              <w:rPr>
                <w:rFonts w:ascii="宋体" w:hAnsi="宋体" w:cs="宋体"/>
                <w:color w:val="auto"/>
                <w:highlight w:val="none"/>
              </w:rPr>
              <w:t>(</w:t>
            </w:r>
            <w:r>
              <w:rPr>
                <w:rFonts w:hint="eastAsia" w:ascii="宋体" w:hAnsi="宋体" w:cs="宋体"/>
                <w:color w:val="auto"/>
                <w:highlight w:val="none"/>
                <w:lang w:val="en-US" w:eastAsia="zh-CN"/>
              </w:rPr>
              <w:t>82</w:t>
            </w:r>
            <w:r>
              <w:rPr>
                <w:rFonts w:hint="eastAsia" w:ascii="宋体" w:hAnsi="宋体" w:cs="宋体"/>
                <w:color w:val="auto"/>
                <w:highlight w:val="none"/>
              </w:rPr>
              <w:t>分</w:t>
            </w:r>
            <w:r>
              <w:rPr>
                <w:rFonts w:ascii="宋体" w:hAnsi="宋体" w:cs="宋体"/>
                <w:color w:val="auto"/>
                <w:highlight w:val="none"/>
              </w:rPr>
              <w:t>)</w:t>
            </w:r>
          </w:p>
        </w:tc>
        <w:tc>
          <w:tcPr>
            <w:tcW w:w="6346" w:type="dxa"/>
            <w:vAlign w:val="center"/>
          </w:tcPr>
          <w:p w14:paraId="29E4D9BA">
            <w:pPr>
              <w:kinsoku/>
              <w:topLinePunct/>
              <w:autoSpaceDE/>
              <w:autoSpaceDN/>
              <w:spacing w:line="360" w:lineRule="auto"/>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、拟投入评审人员资格（客观分）</w:t>
            </w:r>
          </w:p>
          <w:p w14:paraId="424209CA">
            <w:pPr>
              <w:kinsoku/>
              <w:topLinePunct/>
              <w:autoSpaceDE/>
              <w:autoSpaceDN/>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）人员中具有一级造价工程师资格，每有</w:t>
            </w:r>
            <w:r>
              <w:rPr>
                <w:rFonts w:ascii="宋体" w:hAnsi="宋体" w:cs="宋体"/>
                <w:color w:val="auto"/>
                <w:highlight w:val="none"/>
              </w:rPr>
              <w:t>1</w:t>
            </w:r>
            <w:r>
              <w:rPr>
                <w:rFonts w:hint="eastAsia" w:ascii="宋体" w:hAnsi="宋体" w:cs="宋体"/>
                <w:color w:val="auto"/>
                <w:highlight w:val="none"/>
              </w:rPr>
              <w:t>人得</w:t>
            </w:r>
            <w:r>
              <w:rPr>
                <w:rFonts w:ascii="宋体" w:hAnsi="宋体" w:cs="宋体"/>
                <w:color w:val="auto"/>
                <w:highlight w:val="none"/>
              </w:rPr>
              <w:t>1</w:t>
            </w:r>
            <w:r>
              <w:rPr>
                <w:rFonts w:hint="eastAsia" w:ascii="宋体" w:hAnsi="宋体" w:cs="宋体"/>
                <w:color w:val="auto"/>
                <w:highlight w:val="none"/>
              </w:rPr>
              <w:t>分，同时具备多个专业造价师资格的，加</w:t>
            </w:r>
            <w:r>
              <w:rPr>
                <w:rFonts w:ascii="宋体" w:hAnsi="宋体" w:cs="宋体"/>
                <w:color w:val="auto"/>
                <w:highlight w:val="none"/>
              </w:rPr>
              <w:t>0.5</w:t>
            </w:r>
            <w:r>
              <w:rPr>
                <w:rFonts w:hint="eastAsia" w:ascii="宋体" w:hAnsi="宋体" w:cs="宋体"/>
                <w:color w:val="auto"/>
                <w:highlight w:val="none"/>
              </w:rPr>
              <w:t>分。（此项满分</w:t>
            </w:r>
            <w:r>
              <w:rPr>
                <w:rFonts w:hint="eastAsia" w:ascii="宋体" w:hAnsi="宋体" w:cs="宋体"/>
                <w:color w:val="auto"/>
                <w:highlight w:val="none"/>
                <w:lang w:val="en-US" w:eastAsia="zh-CN"/>
              </w:rPr>
              <w:t>1</w:t>
            </w:r>
            <w:r>
              <w:rPr>
                <w:rFonts w:ascii="宋体" w:hAnsi="宋体" w:cs="宋体"/>
                <w:color w:val="auto"/>
                <w:highlight w:val="none"/>
              </w:rPr>
              <w:t>0</w:t>
            </w:r>
            <w:r>
              <w:rPr>
                <w:rFonts w:hint="eastAsia" w:ascii="宋体" w:hAnsi="宋体" w:cs="宋体"/>
                <w:color w:val="auto"/>
                <w:highlight w:val="none"/>
              </w:rPr>
              <w:t>分）</w:t>
            </w:r>
          </w:p>
          <w:p w14:paraId="6B40E748">
            <w:pPr>
              <w:kinsoku/>
              <w:topLinePunct/>
              <w:autoSpaceDE/>
              <w:autoSpaceDN/>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）人员中具有二级造价工程师，每有</w:t>
            </w:r>
            <w:r>
              <w:rPr>
                <w:rFonts w:ascii="宋体" w:hAnsi="宋体" w:cs="宋体"/>
                <w:color w:val="auto"/>
                <w:highlight w:val="none"/>
              </w:rPr>
              <w:t>1</w:t>
            </w:r>
            <w:r>
              <w:rPr>
                <w:rFonts w:hint="eastAsia" w:ascii="宋体" w:hAnsi="宋体" w:cs="宋体"/>
                <w:color w:val="auto"/>
                <w:highlight w:val="none"/>
              </w:rPr>
              <w:t>人得</w:t>
            </w:r>
            <w:r>
              <w:rPr>
                <w:rFonts w:ascii="宋体" w:hAnsi="宋体" w:cs="宋体"/>
                <w:color w:val="auto"/>
                <w:highlight w:val="none"/>
              </w:rPr>
              <w:t>0.5</w:t>
            </w:r>
            <w:r>
              <w:rPr>
                <w:rFonts w:hint="eastAsia" w:ascii="宋体" w:hAnsi="宋体" w:cs="宋体"/>
                <w:color w:val="auto"/>
                <w:highlight w:val="none"/>
              </w:rPr>
              <w:t>分，同时具备多个专业造价师资格的，加</w:t>
            </w:r>
            <w:r>
              <w:rPr>
                <w:rFonts w:ascii="宋体" w:hAnsi="宋体" w:cs="宋体"/>
                <w:color w:val="auto"/>
                <w:highlight w:val="none"/>
              </w:rPr>
              <w:t>0.2</w:t>
            </w:r>
            <w:r>
              <w:rPr>
                <w:rFonts w:hint="eastAsia" w:ascii="宋体" w:hAnsi="宋体" w:cs="宋体"/>
                <w:color w:val="auto"/>
                <w:highlight w:val="none"/>
              </w:rPr>
              <w:t>分。（此项满分</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670BF9AA">
            <w:pPr>
              <w:kinsoku/>
              <w:topLinePunct/>
              <w:autoSpaceDE/>
              <w:autoSpaceDN/>
              <w:spacing w:line="360" w:lineRule="auto"/>
              <w:rPr>
                <w:rFonts w:ascii="宋体" w:cs="宋体"/>
                <w:color w:val="auto"/>
                <w:highlight w:val="none"/>
              </w:rPr>
            </w:pPr>
            <w:r>
              <w:rPr>
                <w:rFonts w:hint="eastAsia" w:ascii="宋体" w:hAnsi="宋体" w:cs="宋体"/>
                <w:color w:val="auto"/>
                <w:highlight w:val="none"/>
              </w:rPr>
              <w:t>注：</w:t>
            </w:r>
          </w:p>
          <w:p w14:paraId="05006252">
            <w:pPr>
              <w:kinsoku/>
              <w:topLinePunct/>
              <w:autoSpaceDE/>
              <w:autoSpaceDN/>
              <w:spacing w:line="360" w:lineRule="auto"/>
              <w:rPr>
                <w:rFonts w:ascii="宋体" w:cs="宋体"/>
                <w:color w:val="auto"/>
                <w:highlight w:val="none"/>
              </w:rPr>
            </w:pPr>
            <w:r>
              <w:rPr>
                <w:rFonts w:hint="eastAsia" w:ascii="宋体" w:hAnsi="宋体" w:cs="宋体"/>
                <w:color w:val="auto"/>
                <w:highlight w:val="none"/>
              </w:rPr>
              <w:t>①已有一级造价工程师按（</w:t>
            </w:r>
            <w:r>
              <w:rPr>
                <w:rFonts w:ascii="宋体" w:hAnsi="宋体" w:cs="宋体"/>
                <w:color w:val="auto"/>
                <w:highlight w:val="none"/>
              </w:rPr>
              <w:t>1</w:t>
            </w:r>
            <w:r>
              <w:rPr>
                <w:rFonts w:hint="eastAsia" w:ascii="宋体" w:hAnsi="宋体" w:cs="宋体"/>
                <w:color w:val="auto"/>
                <w:highlight w:val="none"/>
              </w:rPr>
              <w:t>）计分的人员，不再计入二级造价工程师（</w:t>
            </w:r>
            <w:r>
              <w:rPr>
                <w:rFonts w:ascii="宋体" w:hAnsi="宋体" w:cs="宋体"/>
                <w:color w:val="auto"/>
                <w:highlight w:val="none"/>
              </w:rPr>
              <w:t>2</w:t>
            </w:r>
            <w:r>
              <w:rPr>
                <w:rFonts w:hint="eastAsia" w:ascii="宋体" w:hAnsi="宋体" w:cs="宋体"/>
                <w:color w:val="auto"/>
                <w:highlight w:val="none"/>
              </w:rPr>
              <w:t>）得分。</w:t>
            </w:r>
          </w:p>
          <w:p w14:paraId="7A394B71">
            <w:pPr>
              <w:kinsoku/>
              <w:topLinePunct/>
              <w:autoSpaceDE/>
              <w:autoSpaceDN/>
              <w:spacing w:line="360" w:lineRule="auto"/>
              <w:rPr>
                <w:rFonts w:ascii="宋体" w:cs="宋体"/>
                <w:color w:val="auto"/>
                <w:highlight w:val="none"/>
              </w:rPr>
            </w:pPr>
            <w:r>
              <w:rPr>
                <w:rFonts w:hint="eastAsia" w:ascii="宋体" w:hAnsi="宋体" w:cs="宋体"/>
                <w:color w:val="auto"/>
                <w:highlight w:val="none"/>
              </w:rPr>
              <w:t>②如（</w:t>
            </w:r>
            <w:r>
              <w:rPr>
                <w:rFonts w:ascii="宋体" w:hAnsi="宋体" w:cs="宋体"/>
                <w:color w:val="auto"/>
                <w:highlight w:val="none"/>
              </w:rPr>
              <w:t>1</w:t>
            </w:r>
            <w:r>
              <w:rPr>
                <w:rFonts w:hint="eastAsia" w:ascii="宋体" w:hAnsi="宋体" w:cs="宋体"/>
                <w:color w:val="auto"/>
                <w:highlight w:val="none"/>
              </w:rPr>
              <w:t>）已得满分情况下，未计入（</w:t>
            </w:r>
            <w:r>
              <w:rPr>
                <w:rFonts w:ascii="宋体" w:hAnsi="宋体" w:cs="宋体"/>
                <w:color w:val="auto"/>
                <w:highlight w:val="none"/>
              </w:rPr>
              <w:t>1</w:t>
            </w:r>
            <w:r>
              <w:rPr>
                <w:rFonts w:hint="eastAsia" w:ascii="宋体" w:hAnsi="宋体" w:cs="宋体"/>
                <w:color w:val="auto"/>
                <w:highlight w:val="none"/>
              </w:rPr>
              <w:t>）的一级造价工程师可替代二级造价工程师，但按（</w:t>
            </w:r>
            <w:r>
              <w:rPr>
                <w:rFonts w:ascii="宋体" w:hAnsi="宋体" w:cs="宋体"/>
                <w:color w:val="auto"/>
                <w:highlight w:val="none"/>
              </w:rPr>
              <w:t>2</w:t>
            </w:r>
            <w:r>
              <w:rPr>
                <w:rFonts w:hint="eastAsia" w:ascii="宋体" w:hAnsi="宋体" w:cs="宋体"/>
                <w:color w:val="auto"/>
                <w:highlight w:val="none"/>
              </w:rPr>
              <w:t>）得分。</w:t>
            </w:r>
          </w:p>
        </w:tc>
        <w:tc>
          <w:tcPr>
            <w:tcW w:w="612" w:type="dxa"/>
            <w:vAlign w:val="center"/>
          </w:tcPr>
          <w:p w14:paraId="633298F5">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2076" w:type="dxa"/>
            <w:vAlign w:val="center"/>
          </w:tcPr>
          <w:p w14:paraId="13017B7F">
            <w:pPr>
              <w:kinsoku/>
              <w:topLinePunct/>
              <w:autoSpaceDE/>
              <w:autoSpaceDN/>
              <w:spacing w:line="360" w:lineRule="auto"/>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有效期以执业印章上或证书注明的</w:t>
            </w:r>
          </w:p>
          <w:p w14:paraId="0036C24F">
            <w:pPr>
              <w:kinsoku/>
              <w:topLinePunct/>
              <w:autoSpaceDE/>
              <w:autoSpaceDN/>
              <w:spacing w:line="360" w:lineRule="auto"/>
              <w:rPr>
                <w:rFonts w:ascii="宋体" w:cs="宋体"/>
                <w:color w:val="auto"/>
                <w:highlight w:val="none"/>
              </w:rPr>
            </w:pPr>
            <w:r>
              <w:rPr>
                <w:rFonts w:hint="eastAsia" w:ascii="宋体" w:hAnsi="宋体" w:cs="宋体"/>
                <w:color w:val="auto"/>
                <w:highlight w:val="none"/>
              </w:rPr>
              <w:t>期限为准，逾期无效不得分。</w:t>
            </w:r>
          </w:p>
          <w:p w14:paraId="3EC1A989">
            <w:pPr>
              <w:kinsoku/>
              <w:topLinePunct/>
              <w:autoSpaceDE/>
              <w:autoSpaceDN/>
              <w:spacing w:line="360" w:lineRule="auto"/>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附资格证或专业证明。</w:t>
            </w:r>
          </w:p>
          <w:p w14:paraId="537228E0">
            <w:pPr>
              <w:kinsoku/>
              <w:topLinePunct/>
              <w:autoSpaceDE/>
              <w:autoSpaceDN/>
              <w:spacing w:line="360" w:lineRule="auto"/>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公路甲级造价师、水利工程造价工程师按一级造价师计分；公路乙级造价师、造价员按二级造价师计分。下同。</w:t>
            </w:r>
          </w:p>
        </w:tc>
      </w:tr>
      <w:tr w14:paraId="3C20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3" w:hRule="atLeast"/>
        </w:trPr>
        <w:tc>
          <w:tcPr>
            <w:tcW w:w="394" w:type="dxa"/>
            <w:vMerge w:val="continue"/>
            <w:vAlign w:val="center"/>
          </w:tcPr>
          <w:p w14:paraId="6D623396">
            <w:pPr>
              <w:kinsoku/>
              <w:topLinePunct/>
              <w:autoSpaceDE/>
              <w:autoSpaceDN/>
              <w:spacing w:line="360" w:lineRule="auto"/>
              <w:jc w:val="center"/>
              <w:rPr>
                <w:rFonts w:ascii="宋体" w:cs="宋体"/>
                <w:color w:val="auto"/>
                <w:highlight w:val="none"/>
              </w:rPr>
            </w:pPr>
          </w:p>
        </w:tc>
        <w:tc>
          <w:tcPr>
            <w:tcW w:w="584" w:type="dxa"/>
            <w:vMerge w:val="continue"/>
            <w:vAlign w:val="center"/>
          </w:tcPr>
          <w:p w14:paraId="6486FE22">
            <w:pPr>
              <w:kinsoku/>
              <w:topLinePunct/>
              <w:autoSpaceDE/>
              <w:autoSpaceDN/>
              <w:spacing w:line="360" w:lineRule="auto"/>
              <w:jc w:val="center"/>
              <w:rPr>
                <w:rFonts w:ascii="宋体" w:cs="宋体"/>
                <w:color w:val="auto"/>
                <w:highlight w:val="none"/>
              </w:rPr>
            </w:pPr>
          </w:p>
        </w:tc>
        <w:tc>
          <w:tcPr>
            <w:tcW w:w="6346" w:type="dxa"/>
            <w:vAlign w:val="center"/>
          </w:tcPr>
          <w:p w14:paraId="0DE550B9">
            <w:pPr>
              <w:kinsoku/>
              <w:topLinePunct/>
              <w:autoSpaceDE/>
              <w:autoSpaceDN/>
              <w:spacing w:line="360" w:lineRule="auto"/>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、拟投入评审人员职称（客观分）</w:t>
            </w:r>
          </w:p>
          <w:p w14:paraId="46274B99">
            <w:pPr>
              <w:kinsoku/>
              <w:topLinePunct/>
              <w:autoSpaceDE/>
              <w:autoSpaceDN/>
              <w:spacing w:line="360" w:lineRule="auto"/>
              <w:rPr>
                <w:rFonts w:ascii="宋体" w:cs="宋体"/>
                <w:color w:val="auto"/>
                <w:highlight w:val="none"/>
              </w:rPr>
            </w:pPr>
            <w:r>
              <w:rPr>
                <w:rFonts w:hint="eastAsia" w:ascii="宋体" w:hAnsi="宋体" w:cs="宋体"/>
                <w:color w:val="auto"/>
                <w:highlight w:val="none"/>
              </w:rPr>
              <w:t>拟投入评审人员具有工程或工程经济类中级职称的每人得</w:t>
            </w:r>
            <w:r>
              <w:rPr>
                <w:rFonts w:ascii="宋体" w:hAnsi="宋体" w:cs="宋体"/>
                <w:color w:val="auto"/>
                <w:highlight w:val="none"/>
              </w:rPr>
              <w:t>0.5</w:t>
            </w:r>
            <w:r>
              <w:rPr>
                <w:rFonts w:hint="eastAsia" w:ascii="宋体" w:hAnsi="宋体" w:cs="宋体"/>
                <w:color w:val="auto"/>
                <w:highlight w:val="none"/>
              </w:rPr>
              <w:t>分，高级职称的每人得</w:t>
            </w:r>
            <w:r>
              <w:rPr>
                <w:rFonts w:ascii="宋体" w:hAnsi="宋体" w:cs="宋体"/>
                <w:color w:val="auto"/>
                <w:highlight w:val="none"/>
              </w:rPr>
              <w:t>1</w:t>
            </w:r>
            <w:r>
              <w:rPr>
                <w:rFonts w:hint="eastAsia" w:ascii="宋体" w:hAnsi="宋体" w:cs="宋体"/>
                <w:color w:val="auto"/>
                <w:highlight w:val="none"/>
              </w:rPr>
              <w:t>分。</w:t>
            </w:r>
          </w:p>
        </w:tc>
        <w:tc>
          <w:tcPr>
            <w:tcW w:w="612" w:type="dxa"/>
            <w:vAlign w:val="center"/>
          </w:tcPr>
          <w:p w14:paraId="2FAFBF09">
            <w:pPr>
              <w:kinsoku/>
              <w:topLinePunct/>
              <w:autoSpaceDE/>
              <w:autoSpaceDN/>
              <w:spacing w:line="360" w:lineRule="auto"/>
              <w:jc w:val="center"/>
              <w:rPr>
                <w:rFonts w:ascii="宋体" w:cs="宋体"/>
                <w:color w:val="auto"/>
                <w:highlight w:val="none"/>
              </w:rPr>
            </w:pPr>
          </w:p>
          <w:p w14:paraId="2D5E29BE">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0-6</w:t>
            </w:r>
            <w:r>
              <w:rPr>
                <w:rFonts w:hint="eastAsia" w:ascii="宋体" w:hAnsi="宋体" w:cs="宋体"/>
                <w:color w:val="auto"/>
                <w:highlight w:val="none"/>
              </w:rPr>
              <w:t>分</w:t>
            </w:r>
          </w:p>
        </w:tc>
        <w:tc>
          <w:tcPr>
            <w:tcW w:w="2076" w:type="dxa"/>
            <w:vAlign w:val="center"/>
          </w:tcPr>
          <w:p w14:paraId="25A4A79F">
            <w:pPr>
              <w:kinsoku/>
              <w:topLinePunct/>
              <w:autoSpaceDE/>
              <w:autoSpaceDN/>
              <w:spacing w:line="360" w:lineRule="auto"/>
              <w:rPr>
                <w:rFonts w:ascii="宋体" w:cs="宋体"/>
                <w:color w:val="auto"/>
                <w:highlight w:val="none"/>
              </w:rPr>
            </w:pPr>
            <w:r>
              <w:rPr>
                <w:rFonts w:hint="eastAsia" w:ascii="宋体" w:hAnsi="宋体" w:cs="宋体"/>
                <w:color w:val="auto"/>
                <w:highlight w:val="none"/>
              </w:rPr>
              <w:t>附职称证。</w:t>
            </w:r>
          </w:p>
        </w:tc>
      </w:tr>
      <w:tr w14:paraId="29693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0" w:hRule="atLeast"/>
        </w:trPr>
        <w:tc>
          <w:tcPr>
            <w:tcW w:w="394" w:type="dxa"/>
            <w:vMerge w:val="continue"/>
            <w:vAlign w:val="center"/>
          </w:tcPr>
          <w:p w14:paraId="32D3AD47">
            <w:pPr>
              <w:kinsoku/>
              <w:topLinePunct/>
              <w:autoSpaceDE/>
              <w:autoSpaceDN/>
              <w:spacing w:line="360" w:lineRule="auto"/>
              <w:jc w:val="center"/>
              <w:rPr>
                <w:rFonts w:ascii="宋体" w:cs="宋体"/>
                <w:color w:val="auto"/>
                <w:highlight w:val="none"/>
              </w:rPr>
            </w:pPr>
          </w:p>
        </w:tc>
        <w:tc>
          <w:tcPr>
            <w:tcW w:w="584" w:type="dxa"/>
            <w:vMerge w:val="continue"/>
            <w:vAlign w:val="center"/>
          </w:tcPr>
          <w:p w14:paraId="301B8F5C">
            <w:pPr>
              <w:kinsoku/>
              <w:topLinePunct/>
              <w:autoSpaceDE/>
              <w:autoSpaceDN/>
              <w:spacing w:line="360" w:lineRule="auto"/>
              <w:jc w:val="center"/>
              <w:rPr>
                <w:rFonts w:ascii="宋体" w:cs="宋体"/>
                <w:color w:val="auto"/>
                <w:highlight w:val="none"/>
              </w:rPr>
            </w:pPr>
          </w:p>
        </w:tc>
        <w:tc>
          <w:tcPr>
            <w:tcW w:w="6346" w:type="dxa"/>
            <w:vAlign w:val="center"/>
          </w:tcPr>
          <w:p w14:paraId="0D0966B5">
            <w:pPr>
              <w:numPr>
                <w:ilvl w:val="0"/>
                <w:numId w:val="10"/>
              </w:numPr>
              <w:kinsoku/>
              <w:topLinePunct/>
              <w:autoSpaceDE/>
              <w:autoSpaceDN/>
              <w:spacing w:line="360" w:lineRule="auto"/>
              <w:rPr>
                <w:rFonts w:hint="eastAsia" w:ascii="宋体" w:hAnsi="宋体" w:cs="宋体"/>
                <w:color w:val="auto"/>
                <w:highlight w:val="none"/>
              </w:rPr>
            </w:pPr>
            <w:r>
              <w:rPr>
                <w:rFonts w:hint="eastAsia" w:ascii="宋体" w:hAnsi="宋体" w:cs="宋体"/>
                <w:color w:val="auto"/>
                <w:highlight w:val="none"/>
              </w:rPr>
              <w:t>拟投入评审人员从业经验（客观分）</w:t>
            </w:r>
          </w:p>
          <w:p w14:paraId="2E355733">
            <w:pPr>
              <w:numPr>
                <w:ilvl w:val="0"/>
                <w:numId w:val="0"/>
              </w:numPr>
              <w:kinsoku/>
              <w:topLinePunct/>
              <w:autoSpaceDE/>
              <w:autoSpaceDN/>
              <w:spacing w:line="360" w:lineRule="auto"/>
              <w:ind w:firstLine="210" w:firstLineChars="100"/>
              <w:rPr>
                <w:rFonts w:ascii="宋体" w:cs="宋体"/>
                <w:color w:val="auto"/>
                <w:highlight w:val="none"/>
              </w:rPr>
            </w:pPr>
            <w:r>
              <w:rPr>
                <w:rFonts w:hint="eastAsia" w:ascii="宋体" w:hAnsi="宋体" w:cs="宋体"/>
                <w:color w:val="auto"/>
                <w:highlight w:val="none"/>
              </w:rPr>
              <w:t>取得注册造价师或造价员资格</w:t>
            </w:r>
            <w:r>
              <w:rPr>
                <w:rFonts w:hint="eastAsia" w:ascii="宋体" w:hAnsi="宋体" w:cs="宋体"/>
                <w:color w:val="auto"/>
                <w:highlight w:val="none"/>
                <w:lang w:val="en-US" w:eastAsia="zh-CN"/>
              </w:rPr>
              <w:t>3</w:t>
            </w:r>
            <w:r>
              <w:rPr>
                <w:rFonts w:hint="eastAsia" w:ascii="宋体" w:hAnsi="宋体" w:cs="宋体"/>
                <w:color w:val="auto"/>
                <w:highlight w:val="none"/>
              </w:rPr>
              <w:t>年及以上，且从事工程造价咨询工作</w:t>
            </w:r>
            <w:r>
              <w:rPr>
                <w:rFonts w:hint="eastAsia" w:ascii="宋体" w:hAnsi="宋体" w:cs="宋体"/>
                <w:color w:val="auto"/>
                <w:highlight w:val="none"/>
                <w:lang w:val="en-US" w:eastAsia="zh-CN"/>
              </w:rPr>
              <w:t>5</w:t>
            </w:r>
            <w:r>
              <w:rPr>
                <w:rFonts w:hint="eastAsia" w:ascii="宋体" w:hAnsi="宋体" w:cs="宋体"/>
                <w:color w:val="auto"/>
                <w:highlight w:val="none"/>
              </w:rPr>
              <w:t>年及以上经验的，每人得</w:t>
            </w:r>
            <w:r>
              <w:rPr>
                <w:rFonts w:ascii="宋体" w:hAnsi="宋体" w:cs="宋体"/>
                <w:color w:val="auto"/>
                <w:highlight w:val="none"/>
              </w:rPr>
              <w:t>1</w:t>
            </w:r>
            <w:r>
              <w:rPr>
                <w:rFonts w:hint="eastAsia" w:ascii="宋体" w:hAnsi="宋体" w:cs="宋体"/>
                <w:color w:val="auto"/>
                <w:highlight w:val="none"/>
              </w:rPr>
              <w:t>分。</w:t>
            </w:r>
          </w:p>
        </w:tc>
        <w:tc>
          <w:tcPr>
            <w:tcW w:w="612" w:type="dxa"/>
            <w:vAlign w:val="center"/>
          </w:tcPr>
          <w:p w14:paraId="3324CFCC">
            <w:pPr>
              <w:kinsoku/>
              <w:topLinePunct/>
              <w:autoSpaceDE/>
              <w:autoSpaceDN/>
              <w:spacing w:line="360" w:lineRule="auto"/>
              <w:jc w:val="center"/>
              <w:rPr>
                <w:rFonts w:ascii="宋体" w:cs="宋体"/>
                <w:color w:val="auto"/>
                <w:highlight w:val="none"/>
              </w:rPr>
            </w:pPr>
          </w:p>
          <w:p w14:paraId="5DD2B572">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0-9</w:t>
            </w:r>
            <w:r>
              <w:rPr>
                <w:rFonts w:hint="eastAsia" w:ascii="宋体" w:hAnsi="宋体" w:cs="宋体"/>
                <w:color w:val="auto"/>
                <w:highlight w:val="none"/>
              </w:rPr>
              <w:t>分</w:t>
            </w:r>
          </w:p>
        </w:tc>
        <w:tc>
          <w:tcPr>
            <w:tcW w:w="2076" w:type="dxa"/>
            <w:vAlign w:val="center"/>
          </w:tcPr>
          <w:p w14:paraId="61DA063F">
            <w:pPr>
              <w:kinsoku/>
              <w:topLinePunct/>
              <w:autoSpaceDE/>
              <w:autoSpaceDN/>
              <w:spacing w:line="360" w:lineRule="auto"/>
              <w:rPr>
                <w:rFonts w:ascii="宋体" w:cs="宋体"/>
                <w:color w:val="auto"/>
                <w:highlight w:val="none"/>
              </w:rPr>
            </w:pPr>
            <w:r>
              <w:rPr>
                <w:rFonts w:hint="eastAsia" w:ascii="宋体" w:hAnsi="宋体" w:cs="宋体"/>
                <w:color w:val="auto"/>
                <w:highlight w:val="none"/>
              </w:rPr>
              <w:t>附资格证及供应商盖章履历证明。</w:t>
            </w:r>
          </w:p>
        </w:tc>
      </w:tr>
      <w:tr w14:paraId="64CE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0" w:hRule="atLeast"/>
        </w:trPr>
        <w:tc>
          <w:tcPr>
            <w:tcW w:w="394" w:type="dxa"/>
            <w:vMerge w:val="continue"/>
            <w:vAlign w:val="center"/>
          </w:tcPr>
          <w:p w14:paraId="2399F964">
            <w:pPr>
              <w:kinsoku/>
              <w:topLinePunct/>
              <w:autoSpaceDE/>
              <w:autoSpaceDN/>
              <w:spacing w:line="360" w:lineRule="auto"/>
              <w:jc w:val="center"/>
              <w:rPr>
                <w:rFonts w:ascii="宋体" w:cs="宋体"/>
                <w:color w:val="auto"/>
                <w:highlight w:val="none"/>
              </w:rPr>
            </w:pPr>
          </w:p>
        </w:tc>
        <w:tc>
          <w:tcPr>
            <w:tcW w:w="584" w:type="dxa"/>
            <w:vMerge w:val="continue"/>
            <w:vAlign w:val="center"/>
          </w:tcPr>
          <w:p w14:paraId="0ADD8C51">
            <w:pPr>
              <w:kinsoku/>
              <w:topLinePunct/>
              <w:autoSpaceDE/>
              <w:autoSpaceDN/>
              <w:spacing w:line="360" w:lineRule="auto"/>
              <w:jc w:val="center"/>
              <w:rPr>
                <w:rFonts w:ascii="宋体" w:cs="宋体"/>
                <w:color w:val="auto"/>
                <w:highlight w:val="none"/>
              </w:rPr>
            </w:pPr>
          </w:p>
        </w:tc>
        <w:tc>
          <w:tcPr>
            <w:tcW w:w="6346" w:type="dxa"/>
            <w:vAlign w:val="center"/>
          </w:tcPr>
          <w:p w14:paraId="609B72D3">
            <w:pPr>
              <w:kinsoku/>
              <w:topLinePunct/>
              <w:autoSpaceDE/>
              <w:autoSpaceDN/>
              <w:spacing w:line="360" w:lineRule="auto"/>
              <w:rPr>
                <w:rFonts w:hint="eastAsia" w:eastAsia="宋体"/>
                <w:color w:val="auto"/>
                <w:lang w:eastAsia="zh-CN"/>
              </w:rPr>
            </w:pPr>
            <w:r>
              <w:rPr>
                <w:rFonts w:hint="eastAsia" w:ascii="宋体" w:hAnsi="宋体" w:eastAsia="宋体" w:cs="宋体"/>
                <w:color w:val="auto"/>
                <w:highlight w:val="none"/>
                <w:lang w:val="en-US" w:eastAsia="zh-CN"/>
              </w:rPr>
              <w:t>4</w:t>
            </w:r>
            <w:r>
              <w:rPr>
                <w:rFonts w:hint="eastAsia"/>
                <w:color w:val="auto"/>
                <w:lang w:val="en-US" w:eastAsia="zh-CN"/>
              </w:rPr>
              <w:t>、</w:t>
            </w:r>
            <w:r>
              <w:rPr>
                <w:color w:val="auto"/>
              </w:rPr>
              <w:t>规章制度管理</w:t>
            </w:r>
            <w:r>
              <w:rPr>
                <w:rFonts w:hint="eastAsia"/>
                <w:color w:val="auto"/>
                <w:lang w:eastAsia="zh-CN"/>
              </w:rPr>
              <w:t>（主观分）</w:t>
            </w:r>
          </w:p>
          <w:p w14:paraId="753E71AA">
            <w:pPr>
              <w:pStyle w:val="35"/>
              <w:spacing w:before="148" w:line="312" w:lineRule="auto"/>
              <w:ind w:left="111" w:right="225" w:firstLine="264"/>
              <w:rPr>
                <w:rFonts w:hint="eastAsia" w:eastAsia="宋体"/>
                <w:color w:val="auto"/>
                <w:sz w:val="21"/>
                <w:lang w:eastAsia="zh-CN"/>
              </w:rPr>
            </w:pPr>
            <w:r>
              <w:rPr>
                <w:rFonts w:hint="eastAsia" w:ascii="Calibri" w:hAnsi="Calibri"/>
                <w:color w:val="auto"/>
                <w:sz w:val="21"/>
                <w:lang w:eastAsia="zh-CN"/>
              </w:rPr>
              <w:t>一档（</w:t>
            </w:r>
            <w:r>
              <w:rPr>
                <w:color w:val="auto"/>
                <w:sz w:val="21"/>
              </w:rPr>
              <w:t>0分</w:t>
            </w:r>
            <w:r>
              <w:rPr>
                <w:rFonts w:hint="eastAsia" w:ascii="Calibri" w:hAnsi="Calibri"/>
                <w:color w:val="auto"/>
                <w:sz w:val="21"/>
                <w:lang w:eastAsia="zh-CN"/>
              </w:rPr>
              <w:t>）</w:t>
            </w:r>
            <w:r>
              <w:rPr>
                <w:color w:val="auto"/>
                <w:sz w:val="21"/>
              </w:rPr>
              <w:t>未提供有管理规章制度、操作规程、应急处置方案预案，或虽提供有但不满足征集文件要求的</w:t>
            </w:r>
            <w:r>
              <w:rPr>
                <w:rFonts w:hint="eastAsia"/>
                <w:color w:val="auto"/>
                <w:sz w:val="21"/>
                <w:lang w:eastAsia="zh-CN"/>
              </w:rPr>
              <w:t>。</w:t>
            </w:r>
          </w:p>
          <w:p w14:paraId="5A2F2EFA">
            <w:pPr>
              <w:pStyle w:val="35"/>
              <w:spacing w:before="148" w:line="312" w:lineRule="auto"/>
              <w:ind w:left="114" w:right="103" w:firstLine="232"/>
              <w:rPr>
                <w:rFonts w:hint="eastAsia" w:eastAsia="宋体"/>
                <w:color w:val="auto"/>
                <w:sz w:val="21"/>
                <w:lang w:eastAsia="zh-CN"/>
              </w:rPr>
            </w:pPr>
            <w:r>
              <w:rPr>
                <w:rFonts w:hint="eastAsia" w:ascii="宋体" w:hAnsi="宋体" w:cs="宋体"/>
                <w:color w:val="auto"/>
                <w:highlight w:val="none"/>
              </w:rPr>
              <w:t>二档（</w:t>
            </w:r>
            <w:r>
              <w:rPr>
                <w:rFonts w:hint="eastAsia" w:ascii="宋体" w:hAnsi="宋体" w:cs="宋体"/>
                <w:color w:val="auto"/>
                <w:highlight w:val="none"/>
                <w:lang w:val="en-US" w:eastAsia="zh-CN"/>
              </w:rPr>
              <w:t>2</w:t>
            </w:r>
            <w:r>
              <w:rPr>
                <w:rFonts w:hint="eastAsia" w:ascii="宋体" w:hAnsi="宋体" w:cs="宋体"/>
                <w:color w:val="auto"/>
                <w:highlight w:val="none"/>
              </w:rPr>
              <w:t>分）</w:t>
            </w:r>
            <w:r>
              <w:rPr>
                <w:color w:val="auto"/>
                <w:sz w:val="21"/>
              </w:rPr>
              <w:t>提供的管理规章制度、操作规程、应急处置方案预案内容简单， 可行性差， 针对性不强的</w:t>
            </w:r>
            <w:r>
              <w:rPr>
                <w:rFonts w:hint="eastAsia"/>
                <w:color w:val="auto"/>
                <w:sz w:val="21"/>
                <w:lang w:eastAsia="zh-CN"/>
              </w:rPr>
              <w:t>。</w:t>
            </w:r>
          </w:p>
          <w:p w14:paraId="0AE3AB89">
            <w:pPr>
              <w:pStyle w:val="35"/>
              <w:spacing w:before="149" w:line="312" w:lineRule="auto"/>
              <w:ind w:left="114" w:right="239" w:firstLine="247"/>
              <w:rPr>
                <w:rFonts w:hint="eastAsia" w:eastAsia="宋体"/>
                <w:color w:val="auto"/>
                <w:sz w:val="21"/>
                <w:lang w:eastAsia="zh-CN"/>
              </w:rPr>
            </w:pPr>
            <w:r>
              <w:rPr>
                <w:rFonts w:hint="eastAsia" w:ascii="宋体" w:hAnsi="宋体" w:cs="宋体"/>
                <w:color w:val="auto"/>
                <w:highlight w:val="none"/>
              </w:rPr>
              <w:t>三档（</w:t>
            </w:r>
            <w:r>
              <w:rPr>
                <w:rFonts w:hint="eastAsia" w:ascii="宋体" w:hAnsi="宋体" w:cs="宋体"/>
                <w:color w:val="auto"/>
                <w:highlight w:val="none"/>
                <w:lang w:val="en-US" w:eastAsia="zh-CN"/>
              </w:rPr>
              <w:t>4</w:t>
            </w:r>
            <w:r>
              <w:rPr>
                <w:rFonts w:hint="eastAsia" w:ascii="宋体" w:hAnsi="宋体" w:cs="宋体"/>
                <w:color w:val="auto"/>
                <w:highlight w:val="none"/>
              </w:rPr>
              <w:t>分）</w:t>
            </w:r>
            <w:r>
              <w:rPr>
                <w:color w:val="auto"/>
                <w:sz w:val="21"/>
              </w:rPr>
              <w:t>提供的管理规章制度、操作规程、应急处置方案预案内容简单， 可行性较差， 针对性不强的</w:t>
            </w:r>
            <w:r>
              <w:rPr>
                <w:rFonts w:hint="eastAsia"/>
                <w:color w:val="auto"/>
                <w:sz w:val="21"/>
                <w:lang w:eastAsia="zh-CN"/>
              </w:rPr>
              <w:t>。</w:t>
            </w:r>
          </w:p>
          <w:p w14:paraId="7B5EA44C">
            <w:pPr>
              <w:pStyle w:val="35"/>
              <w:spacing w:before="150" w:line="309" w:lineRule="auto"/>
              <w:ind w:left="114" w:right="309" w:firstLine="247"/>
              <w:jc w:val="both"/>
              <w:rPr>
                <w:rFonts w:hint="eastAsia" w:eastAsia="宋体"/>
                <w:color w:val="auto"/>
                <w:sz w:val="21"/>
                <w:lang w:eastAsia="zh-CN"/>
              </w:rPr>
            </w:pPr>
            <w:r>
              <w:rPr>
                <w:rFonts w:hint="eastAsia" w:ascii="宋体" w:hAnsi="宋体" w:eastAsia="宋体" w:cs="宋体"/>
                <w:bCs w:val="0"/>
                <w:color w:val="auto"/>
                <w:spacing w:val="0"/>
                <w:kern w:val="0"/>
                <w:sz w:val="21"/>
                <w:szCs w:val="21"/>
                <w:highlight w:val="none"/>
                <w:lang w:val="en-US" w:eastAsia="zh-CN" w:bidi="ar-SA"/>
              </w:rPr>
              <w:t>四档（7分）</w:t>
            </w:r>
            <w:r>
              <w:rPr>
                <w:color w:val="auto"/>
                <w:sz w:val="21"/>
              </w:rPr>
              <w:t>提供的管理规章制度、操作规程、应急处置方案预案内容可行合理，有一定针对性， 作业流程较为简单的</w:t>
            </w:r>
            <w:r>
              <w:rPr>
                <w:rFonts w:hint="eastAsia"/>
                <w:color w:val="auto"/>
                <w:sz w:val="21"/>
                <w:lang w:eastAsia="zh-CN"/>
              </w:rPr>
              <w:t>。</w:t>
            </w:r>
          </w:p>
          <w:p w14:paraId="45A18CE5">
            <w:pPr>
              <w:pStyle w:val="35"/>
              <w:spacing w:before="154" w:line="288" w:lineRule="auto"/>
              <w:ind w:left="116" w:right="309" w:firstLine="244"/>
              <w:rPr>
                <w:color w:val="auto"/>
              </w:rPr>
            </w:pPr>
            <w:r>
              <w:rPr>
                <w:rFonts w:hint="eastAsia"/>
                <w:color w:val="auto"/>
                <w:sz w:val="21"/>
                <w:lang w:eastAsia="zh-CN"/>
              </w:rPr>
              <w:t>五档（</w:t>
            </w:r>
            <w:r>
              <w:rPr>
                <w:rFonts w:hint="eastAsia"/>
                <w:color w:val="auto"/>
                <w:sz w:val="21"/>
                <w:lang w:val="en-US" w:eastAsia="zh-CN"/>
              </w:rPr>
              <w:t>10分</w:t>
            </w:r>
            <w:r>
              <w:rPr>
                <w:rFonts w:hint="eastAsia"/>
                <w:color w:val="auto"/>
                <w:sz w:val="21"/>
                <w:lang w:eastAsia="zh-CN"/>
              </w:rPr>
              <w:t>）</w:t>
            </w:r>
            <w:r>
              <w:rPr>
                <w:color w:val="auto"/>
                <w:sz w:val="21"/>
              </w:rPr>
              <w:t>提供的管理规章制度、操作规程、应急处置方案预案内容可行性、针对性强，有具体的作业流程的。</w:t>
            </w:r>
          </w:p>
        </w:tc>
        <w:tc>
          <w:tcPr>
            <w:tcW w:w="612" w:type="dxa"/>
            <w:vAlign w:val="center"/>
          </w:tcPr>
          <w:p w14:paraId="19B45389">
            <w:pPr>
              <w:kinsoku/>
              <w:topLinePunct/>
              <w:autoSpaceDE/>
              <w:autoSpaceDN/>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0-10分</w:t>
            </w:r>
          </w:p>
        </w:tc>
        <w:tc>
          <w:tcPr>
            <w:tcW w:w="2076" w:type="dxa"/>
            <w:vAlign w:val="center"/>
          </w:tcPr>
          <w:p w14:paraId="673AE1A3">
            <w:pPr>
              <w:kinsoku/>
              <w:topLinePunct/>
              <w:autoSpaceDE/>
              <w:autoSpaceDN/>
              <w:spacing w:line="360" w:lineRule="auto"/>
              <w:rPr>
                <w:rFonts w:hint="eastAsia" w:ascii="宋体" w:hAnsi="宋体" w:cs="宋体"/>
                <w:color w:val="auto"/>
                <w:highlight w:val="none"/>
              </w:rPr>
            </w:pPr>
            <w:r>
              <w:rPr>
                <w:color w:val="auto"/>
                <w:sz w:val="21"/>
              </w:rPr>
              <w:t>附项目实施方案(包含组织实施方案</w:t>
            </w:r>
            <w:r>
              <w:rPr>
                <w:rFonts w:hint="eastAsia"/>
                <w:color w:val="auto"/>
                <w:sz w:val="21"/>
                <w:lang w:eastAsia="zh-CN"/>
              </w:rPr>
              <w:t>、</w:t>
            </w:r>
            <w:r>
              <w:rPr>
                <w:rFonts w:hint="eastAsia" w:ascii="宋体" w:hAnsi="宋体" w:cs="宋体"/>
                <w:color w:val="auto"/>
                <w:highlight w:val="none"/>
              </w:rPr>
              <w:t>服务便利性</w:t>
            </w:r>
            <w:r>
              <w:rPr>
                <w:rFonts w:hint="eastAsia" w:ascii="宋体" w:hAnsi="宋体" w:cs="宋体"/>
                <w:color w:val="auto"/>
                <w:highlight w:val="none"/>
                <w:lang w:eastAsia="zh-CN"/>
              </w:rPr>
              <w:t>、</w:t>
            </w:r>
            <w:r>
              <w:rPr>
                <w:color w:val="auto"/>
                <w:sz w:val="21"/>
              </w:rPr>
              <w:t>项目管理及分工、规章制度管理)</w:t>
            </w:r>
          </w:p>
        </w:tc>
      </w:tr>
      <w:tr w14:paraId="6352B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9" w:hRule="atLeast"/>
        </w:trPr>
        <w:tc>
          <w:tcPr>
            <w:tcW w:w="394" w:type="dxa"/>
            <w:vMerge w:val="continue"/>
            <w:vAlign w:val="center"/>
          </w:tcPr>
          <w:p w14:paraId="1CF834A6">
            <w:pPr>
              <w:kinsoku/>
              <w:topLinePunct/>
              <w:autoSpaceDE/>
              <w:autoSpaceDN/>
              <w:spacing w:line="360" w:lineRule="auto"/>
              <w:jc w:val="center"/>
              <w:rPr>
                <w:rFonts w:ascii="宋体" w:cs="宋体"/>
                <w:color w:val="auto"/>
                <w:highlight w:val="none"/>
              </w:rPr>
            </w:pPr>
          </w:p>
        </w:tc>
        <w:tc>
          <w:tcPr>
            <w:tcW w:w="584" w:type="dxa"/>
            <w:vMerge w:val="continue"/>
            <w:vAlign w:val="center"/>
          </w:tcPr>
          <w:p w14:paraId="2C5AE4EA">
            <w:pPr>
              <w:kinsoku/>
              <w:topLinePunct/>
              <w:autoSpaceDE/>
              <w:autoSpaceDN/>
              <w:spacing w:line="360" w:lineRule="auto"/>
              <w:jc w:val="center"/>
              <w:rPr>
                <w:rFonts w:ascii="宋体" w:cs="宋体"/>
                <w:color w:val="auto"/>
                <w:highlight w:val="none"/>
              </w:rPr>
            </w:pPr>
          </w:p>
        </w:tc>
        <w:tc>
          <w:tcPr>
            <w:tcW w:w="6346" w:type="dxa"/>
            <w:vAlign w:val="center"/>
          </w:tcPr>
          <w:p w14:paraId="71AF4033">
            <w:pPr>
              <w:kinsoku/>
              <w:topLinePunct/>
              <w:autoSpaceDE/>
              <w:autoSpaceDN/>
              <w:spacing w:line="360" w:lineRule="auto"/>
              <w:rPr>
                <w:rFonts w:asci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、服务便利性（主观分）</w:t>
            </w:r>
          </w:p>
          <w:p w14:paraId="6EFD8AED">
            <w:pPr>
              <w:kinsoku/>
              <w:topLinePunct/>
              <w:autoSpaceDE/>
              <w:autoSpaceDN/>
              <w:spacing w:line="360" w:lineRule="auto"/>
              <w:rPr>
                <w:rFonts w:hint="eastAsia" w:ascii="宋体" w:hAnsi="宋体" w:cs="宋体"/>
                <w:color w:val="auto"/>
                <w:highlight w:val="none"/>
              </w:rPr>
            </w:pPr>
            <w:r>
              <w:rPr>
                <w:rFonts w:hint="eastAsia" w:ascii="宋体" w:hAnsi="宋体" w:cs="宋体"/>
                <w:color w:val="auto"/>
                <w:highlight w:val="none"/>
              </w:rPr>
              <w:t>一档（0分）：未提供服务便利性实施方案或未提供本地化服务人员。</w:t>
            </w:r>
          </w:p>
          <w:p w14:paraId="5E6955D9">
            <w:pPr>
              <w:kinsoku/>
              <w:topLinePunct/>
              <w:autoSpaceDE/>
              <w:autoSpaceDN/>
              <w:spacing w:line="360" w:lineRule="auto"/>
              <w:rPr>
                <w:rFonts w:hint="eastAsia" w:ascii="宋体" w:hAnsi="宋体" w:cs="宋体"/>
                <w:color w:val="auto"/>
                <w:highlight w:val="none"/>
              </w:rPr>
            </w:pPr>
            <w:r>
              <w:rPr>
                <w:rFonts w:hint="eastAsia" w:ascii="宋体" w:hAnsi="宋体" w:cs="宋体"/>
                <w:color w:val="auto"/>
                <w:highlight w:val="none"/>
              </w:rPr>
              <w:t>二档（</w:t>
            </w:r>
            <w:r>
              <w:rPr>
                <w:rFonts w:hint="eastAsia" w:ascii="宋体" w:hAnsi="宋体" w:cs="宋体"/>
                <w:color w:val="auto"/>
                <w:highlight w:val="none"/>
                <w:lang w:val="en-US" w:eastAsia="zh-CN"/>
              </w:rPr>
              <w:t>5</w:t>
            </w:r>
            <w:r>
              <w:rPr>
                <w:rFonts w:hint="eastAsia" w:ascii="宋体" w:hAnsi="宋体" w:cs="宋体"/>
                <w:color w:val="auto"/>
                <w:highlight w:val="none"/>
              </w:rPr>
              <w:t xml:space="preserve">分）：提供的服务便利性实施方案基本可行，并有本地化办公场所设施，人力资源、企业管理制度等方面有便利性、稳定性具体措施。主审人员 1 人、复核人员 1 人得 </w:t>
            </w:r>
            <w:r>
              <w:rPr>
                <w:rFonts w:hint="eastAsia" w:ascii="宋体" w:hAnsi="宋体" w:cs="宋体"/>
                <w:color w:val="auto"/>
                <w:highlight w:val="none"/>
                <w:lang w:val="en-US" w:eastAsia="zh-CN"/>
              </w:rPr>
              <w:t>3</w:t>
            </w:r>
            <w:r>
              <w:rPr>
                <w:rFonts w:hint="eastAsia" w:ascii="宋体" w:hAnsi="宋体" w:cs="宋体"/>
                <w:color w:val="auto"/>
                <w:highlight w:val="none"/>
              </w:rPr>
              <w:t xml:space="preserve"> 分；常驻防城港市协审人员每增加一人加1 分，此项满分 </w:t>
            </w:r>
            <w:r>
              <w:rPr>
                <w:rFonts w:hint="eastAsia" w:ascii="宋体" w:hAnsi="宋体" w:cs="宋体"/>
                <w:color w:val="auto"/>
                <w:highlight w:val="none"/>
                <w:lang w:val="en-US" w:eastAsia="zh-CN"/>
              </w:rPr>
              <w:t>5</w:t>
            </w:r>
            <w:r>
              <w:rPr>
                <w:rFonts w:hint="eastAsia" w:ascii="宋体" w:hAnsi="宋体" w:cs="宋体"/>
                <w:color w:val="auto"/>
                <w:highlight w:val="none"/>
              </w:rPr>
              <w:t xml:space="preserve"> 分。</w:t>
            </w:r>
          </w:p>
          <w:p w14:paraId="2A16F392">
            <w:pPr>
              <w:kinsoku/>
              <w:topLinePunct/>
              <w:autoSpaceDE/>
              <w:autoSpaceDN/>
              <w:spacing w:line="360" w:lineRule="auto"/>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val="en-US" w:eastAsia="zh-CN"/>
              </w:rPr>
              <w:t>10</w:t>
            </w:r>
            <w:r>
              <w:rPr>
                <w:rFonts w:hint="eastAsia" w:ascii="宋体" w:hAnsi="宋体" w:cs="宋体"/>
                <w:color w:val="auto"/>
                <w:highlight w:val="none"/>
              </w:rPr>
              <w:t>分）：在满足二档基础上，本地化办公场所设施、人力资源充足，可提供有效本地化便捷服务。其中本地化服务人员的一级造价工程师不少于2人，二级造价工程师不少于</w:t>
            </w:r>
            <w:r>
              <w:rPr>
                <w:rFonts w:hint="eastAsia" w:ascii="宋体" w:hAnsi="宋体" w:cs="宋体"/>
                <w:color w:val="auto"/>
                <w:highlight w:val="none"/>
                <w:lang w:val="en-US" w:eastAsia="zh-CN"/>
              </w:rPr>
              <w:t>3</w:t>
            </w:r>
            <w:r>
              <w:rPr>
                <w:rFonts w:hint="eastAsia" w:ascii="宋体" w:hAnsi="宋体" w:cs="宋体"/>
                <w:color w:val="auto"/>
                <w:highlight w:val="none"/>
              </w:rPr>
              <w:t>人。</w:t>
            </w:r>
          </w:p>
          <w:p w14:paraId="47861327">
            <w:pPr>
              <w:kinsoku/>
              <w:topLinePunct/>
              <w:autoSpaceDE/>
              <w:autoSpaceDN/>
              <w:spacing w:line="360" w:lineRule="auto"/>
              <w:rPr>
                <w:rFonts w:ascii="宋体" w:cs="宋体"/>
                <w:color w:val="auto"/>
                <w:highlight w:val="none"/>
              </w:rPr>
            </w:pPr>
            <w:r>
              <w:rPr>
                <w:rFonts w:hint="eastAsia" w:ascii="宋体" w:hAnsi="宋体" w:cs="宋体"/>
                <w:color w:val="auto"/>
                <w:highlight w:val="none"/>
              </w:rPr>
              <w:t>注：拟投入的一级造价工程师人数超出</w:t>
            </w:r>
            <w:r>
              <w:rPr>
                <w:rFonts w:hint="eastAsia" w:ascii="宋体" w:hAnsi="宋体" w:cs="宋体"/>
                <w:color w:val="auto"/>
                <w:highlight w:val="none"/>
                <w:lang w:eastAsia="zh-CN"/>
              </w:rPr>
              <w:t>评分标准</w:t>
            </w:r>
            <w:r>
              <w:rPr>
                <w:rFonts w:hint="eastAsia" w:ascii="宋体" w:hAnsi="宋体" w:cs="宋体"/>
                <w:color w:val="auto"/>
                <w:highlight w:val="none"/>
              </w:rPr>
              <w:t>时，可用超出的一级造价工程师替代二级造价工程师。</w:t>
            </w:r>
          </w:p>
        </w:tc>
        <w:tc>
          <w:tcPr>
            <w:tcW w:w="612" w:type="dxa"/>
            <w:vAlign w:val="center"/>
          </w:tcPr>
          <w:p w14:paraId="4F196671">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2076" w:type="dxa"/>
            <w:vAlign w:val="center"/>
          </w:tcPr>
          <w:p w14:paraId="17881A31">
            <w:pPr>
              <w:kinsoku/>
              <w:topLinePunct/>
              <w:autoSpaceDE/>
              <w:autoSpaceDN/>
              <w:spacing w:line="360" w:lineRule="auto"/>
              <w:rPr>
                <w:rFonts w:ascii="宋体" w:cs="宋体"/>
                <w:color w:val="auto"/>
                <w:highlight w:val="none"/>
              </w:rPr>
            </w:pPr>
          </w:p>
          <w:p w14:paraId="1436379E">
            <w:pPr>
              <w:kinsoku/>
              <w:topLinePunct/>
              <w:autoSpaceDE/>
              <w:autoSpaceDN/>
              <w:spacing w:line="360" w:lineRule="auto"/>
              <w:rPr>
                <w:rFonts w:ascii="宋体" w:cs="宋体"/>
                <w:color w:val="auto"/>
                <w:highlight w:val="none"/>
              </w:rPr>
            </w:pPr>
            <w:r>
              <w:rPr>
                <w:color w:val="auto"/>
                <w:sz w:val="21"/>
              </w:rPr>
              <w:t>附项目实施方案(包含组织实施方案</w:t>
            </w:r>
            <w:r>
              <w:rPr>
                <w:rFonts w:hint="eastAsia"/>
                <w:color w:val="auto"/>
                <w:sz w:val="21"/>
                <w:lang w:eastAsia="zh-CN"/>
              </w:rPr>
              <w:t>、</w:t>
            </w:r>
            <w:r>
              <w:rPr>
                <w:rFonts w:hint="eastAsia" w:ascii="宋体" w:hAnsi="宋体" w:cs="宋体"/>
                <w:color w:val="auto"/>
                <w:highlight w:val="none"/>
              </w:rPr>
              <w:t>服务便利性</w:t>
            </w:r>
            <w:r>
              <w:rPr>
                <w:rFonts w:hint="eastAsia" w:ascii="宋体" w:hAnsi="宋体" w:cs="宋体"/>
                <w:color w:val="auto"/>
                <w:highlight w:val="none"/>
                <w:lang w:eastAsia="zh-CN"/>
              </w:rPr>
              <w:t>、</w:t>
            </w:r>
            <w:r>
              <w:rPr>
                <w:color w:val="auto"/>
                <w:sz w:val="21"/>
              </w:rPr>
              <w:t>项目管理及分工、规章制度管理)</w:t>
            </w:r>
            <w:r>
              <w:rPr>
                <w:rFonts w:hint="eastAsia" w:ascii="宋体" w:hAnsi="宋体" w:cs="宋体"/>
                <w:color w:val="auto"/>
                <w:highlight w:val="none"/>
              </w:rPr>
              <w:t>及本地化服务人员的资格证书个人注册信息或社保缴纳地</w:t>
            </w:r>
            <w:r>
              <w:rPr>
                <w:rFonts w:hint="eastAsia" w:ascii="宋体" w:hAnsi="宋体" w:cs="宋体"/>
                <w:color w:val="auto"/>
                <w:highlight w:val="none"/>
                <w:lang w:eastAsia="zh-CN"/>
              </w:rPr>
              <w:t>信息或拟投入人员的承诺函</w:t>
            </w:r>
            <w:r>
              <w:rPr>
                <w:rFonts w:hint="eastAsia" w:ascii="宋体" w:hAnsi="宋体" w:cs="宋体"/>
                <w:color w:val="auto"/>
                <w:highlight w:val="none"/>
              </w:rPr>
              <w:t>。</w:t>
            </w:r>
          </w:p>
        </w:tc>
      </w:tr>
      <w:tr w14:paraId="18210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46" w:hRule="atLeast"/>
        </w:trPr>
        <w:tc>
          <w:tcPr>
            <w:tcW w:w="394" w:type="dxa"/>
            <w:vMerge w:val="continue"/>
            <w:vAlign w:val="center"/>
          </w:tcPr>
          <w:p w14:paraId="4A86340A">
            <w:pPr>
              <w:kinsoku/>
              <w:topLinePunct/>
              <w:autoSpaceDE/>
              <w:autoSpaceDN/>
              <w:spacing w:line="360" w:lineRule="auto"/>
              <w:jc w:val="center"/>
              <w:rPr>
                <w:rFonts w:ascii="宋体" w:cs="宋体"/>
                <w:color w:val="auto"/>
                <w:highlight w:val="none"/>
              </w:rPr>
            </w:pPr>
          </w:p>
        </w:tc>
        <w:tc>
          <w:tcPr>
            <w:tcW w:w="584" w:type="dxa"/>
            <w:vMerge w:val="continue"/>
            <w:vAlign w:val="center"/>
          </w:tcPr>
          <w:p w14:paraId="2EA30638">
            <w:pPr>
              <w:kinsoku/>
              <w:topLinePunct/>
              <w:autoSpaceDE/>
              <w:autoSpaceDN/>
              <w:spacing w:line="360" w:lineRule="auto"/>
              <w:jc w:val="center"/>
              <w:rPr>
                <w:rFonts w:ascii="宋体" w:cs="宋体"/>
                <w:color w:val="auto"/>
                <w:highlight w:val="none"/>
              </w:rPr>
            </w:pPr>
          </w:p>
        </w:tc>
        <w:tc>
          <w:tcPr>
            <w:tcW w:w="6346" w:type="dxa"/>
            <w:vAlign w:val="center"/>
          </w:tcPr>
          <w:p w14:paraId="7A5CAB78">
            <w:pPr>
              <w:pStyle w:val="35"/>
              <w:spacing w:before="148" w:line="312" w:lineRule="auto"/>
              <w:ind w:right="225"/>
              <w:rPr>
                <w:rFonts w:ascii="宋体" w:hAnsi="宋体" w:eastAsia="宋体" w:cs="宋体"/>
                <w:color w:val="auto"/>
                <w:sz w:val="21"/>
                <w:highlight w:val="none"/>
              </w:rPr>
            </w:pPr>
            <w:r>
              <w:rPr>
                <w:rFonts w:hint="eastAsia" w:ascii="宋体" w:hAnsi="宋体" w:eastAsia="宋体" w:cs="宋体"/>
                <w:color w:val="auto"/>
                <w:sz w:val="21"/>
                <w:highlight w:val="none"/>
                <w:lang w:val="en-US" w:eastAsia="zh-CN"/>
              </w:rPr>
              <w:t>6、</w:t>
            </w:r>
            <w:r>
              <w:rPr>
                <w:rFonts w:ascii="宋体" w:hAnsi="宋体" w:eastAsia="宋体" w:cs="宋体"/>
                <w:color w:val="auto"/>
                <w:sz w:val="21"/>
                <w:highlight w:val="none"/>
              </w:rPr>
              <w:t>质量控制复核方案（主观分）</w:t>
            </w:r>
          </w:p>
          <w:p w14:paraId="457C7229">
            <w:pPr>
              <w:pStyle w:val="35"/>
              <w:spacing w:before="148" w:line="312" w:lineRule="auto"/>
              <w:ind w:left="114" w:right="225" w:firstLine="261"/>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一档（0 分）：无质量控制制度和复核人员。</w:t>
            </w:r>
          </w:p>
          <w:p w14:paraId="547DED52">
            <w:pPr>
              <w:pStyle w:val="35"/>
              <w:spacing w:before="148" w:line="312" w:lineRule="auto"/>
              <w:ind w:left="114" w:right="225" w:firstLine="261"/>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二档（5 分）：具有质量控制制度和复核人员，复核流</w:t>
            </w:r>
          </w:p>
          <w:p w14:paraId="6A7B9C57">
            <w:pPr>
              <w:pStyle w:val="35"/>
              <w:spacing w:before="148" w:line="312" w:lineRule="auto"/>
              <w:ind w:left="114" w:right="225" w:firstLine="261"/>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程标准且有质量保证措施，承诺单项工程的审核成果</w:t>
            </w:r>
          </w:p>
          <w:p w14:paraId="4BF3F4E1">
            <w:pPr>
              <w:pStyle w:val="35"/>
              <w:spacing w:before="148" w:line="312" w:lineRule="auto"/>
              <w:ind w:left="114" w:right="225" w:firstLine="261"/>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经复核后误差率＜5%。</w:t>
            </w:r>
          </w:p>
          <w:p w14:paraId="4353DDC6">
            <w:pPr>
              <w:pStyle w:val="35"/>
              <w:spacing w:before="148" w:line="312" w:lineRule="auto"/>
              <w:ind w:left="114" w:right="225" w:firstLine="261"/>
              <w:rPr>
                <w:rFonts w:hint="eastAsia" w:ascii="宋体" w:hAnsi="宋体" w:cs="宋体"/>
                <w:color w:val="auto"/>
                <w:highlight w:val="none"/>
              </w:rPr>
            </w:pPr>
            <w:r>
              <w:rPr>
                <w:rFonts w:hint="eastAsia" w:ascii="宋体" w:hAnsi="宋体" w:eastAsia="宋体" w:cs="宋体"/>
                <w:color w:val="auto"/>
                <w:sz w:val="21"/>
                <w:highlight w:val="none"/>
                <w:lang w:val="en-US" w:eastAsia="zh-CN"/>
              </w:rPr>
              <w:t>三档（7分）：满足二档情况下，复核人员配备合理，经验丰富，高级职称，造价专业资格高。质量控制制度健全，误差率保证措施具体有效。</w:t>
            </w:r>
          </w:p>
        </w:tc>
        <w:tc>
          <w:tcPr>
            <w:tcW w:w="612" w:type="dxa"/>
            <w:vAlign w:val="center"/>
          </w:tcPr>
          <w:p w14:paraId="49D8D646">
            <w:pPr>
              <w:kinsoku/>
              <w:topLinePunct/>
              <w:autoSpaceDE/>
              <w:autoSpaceDN/>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0-7分</w:t>
            </w:r>
          </w:p>
        </w:tc>
        <w:tc>
          <w:tcPr>
            <w:tcW w:w="2076" w:type="dxa"/>
            <w:vAlign w:val="center"/>
          </w:tcPr>
          <w:p w14:paraId="39307DBE">
            <w:pPr>
              <w:kinsoku/>
              <w:topLinePunct/>
              <w:autoSpaceDE/>
              <w:autoSpaceDN/>
              <w:spacing w:line="360" w:lineRule="auto"/>
              <w:rPr>
                <w:color w:val="auto"/>
                <w:sz w:val="21"/>
                <w:highlight w:val="none"/>
              </w:rPr>
            </w:pPr>
          </w:p>
        </w:tc>
      </w:tr>
      <w:tr w14:paraId="43CA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9" w:hRule="atLeast"/>
        </w:trPr>
        <w:tc>
          <w:tcPr>
            <w:tcW w:w="394" w:type="dxa"/>
            <w:vMerge w:val="continue"/>
            <w:vAlign w:val="center"/>
          </w:tcPr>
          <w:p w14:paraId="0C4A9A59">
            <w:pPr>
              <w:kinsoku/>
              <w:topLinePunct/>
              <w:autoSpaceDE/>
              <w:autoSpaceDN/>
              <w:spacing w:line="360" w:lineRule="auto"/>
              <w:jc w:val="center"/>
              <w:rPr>
                <w:rFonts w:ascii="宋体" w:cs="宋体"/>
                <w:color w:val="auto"/>
                <w:highlight w:val="none"/>
              </w:rPr>
            </w:pPr>
          </w:p>
        </w:tc>
        <w:tc>
          <w:tcPr>
            <w:tcW w:w="584" w:type="dxa"/>
            <w:vMerge w:val="continue"/>
            <w:vAlign w:val="center"/>
          </w:tcPr>
          <w:p w14:paraId="7C5E5289">
            <w:pPr>
              <w:kinsoku/>
              <w:topLinePunct/>
              <w:autoSpaceDE/>
              <w:autoSpaceDN/>
              <w:spacing w:line="360" w:lineRule="auto"/>
              <w:jc w:val="center"/>
              <w:rPr>
                <w:rFonts w:ascii="宋体" w:cs="宋体"/>
                <w:color w:val="auto"/>
                <w:highlight w:val="none"/>
              </w:rPr>
            </w:pPr>
          </w:p>
        </w:tc>
        <w:tc>
          <w:tcPr>
            <w:tcW w:w="6346" w:type="dxa"/>
            <w:vAlign w:val="center"/>
          </w:tcPr>
          <w:p w14:paraId="0C49577B">
            <w:pPr>
              <w:pStyle w:val="35"/>
              <w:spacing w:before="132"/>
              <w:ind w:left="121"/>
              <w:rPr>
                <w:rFonts w:hint="eastAsia" w:eastAsia="宋体"/>
                <w:b w:val="0"/>
                <w:bCs/>
                <w:color w:val="auto"/>
                <w:sz w:val="21"/>
                <w:highlight w:val="none"/>
                <w:lang w:eastAsia="zh-CN"/>
              </w:rPr>
            </w:pPr>
            <w:r>
              <w:rPr>
                <w:rFonts w:hint="eastAsia"/>
                <w:b w:val="0"/>
                <w:bCs/>
                <w:color w:val="auto"/>
                <w:sz w:val="21"/>
                <w:highlight w:val="none"/>
                <w:lang w:val="en-US" w:eastAsia="zh-CN"/>
              </w:rPr>
              <w:t>7、</w:t>
            </w:r>
            <w:r>
              <w:rPr>
                <w:b w:val="0"/>
                <w:bCs/>
                <w:color w:val="auto"/>
                <w:sz w:val="21"/>
                <w:highlight w:val="none"/>
              </w:rPr>
              <w:t>项目管理及分工</w:t>
            </w:r>
            <w:r>
              <w:rPr>
                <w:rFonts w:hint="eastAsia"/>
                <w:b w:val="0"/>
                <w:bCs/>
                <w:color w:val="auto"/>
                <w:sz w:val="21"/>
                <w:highlight w:val="none"/>
                <w:lang w:eastAsia="zh-CN"/>
              </w:rPr>
              <w:t>（主观分）</w:t>
            </w:r>
          </w:p>
          <w:p w14:paraId="07D01706">
            <w:pPr>
              <w:pStyle w:val="35"/>
              <w:spacing w:before="148" w:line="312" w:lineRule="auto"/>
              <w:ind w:left="114" w:right="225" w:firstLine="261"/>
              <w:rPr>
                <w:color w:val="auto"/>
                <w:sz w:val="21"/>
                <w:highlight w:val="none"/>
              </w:rPr>
            </w:pPr>
            <w:r>
              <w:rPr>
                <w:rFonts w:hint="eastAsia" w:ascii="宋体" w:hAnsi="宋体" w:cs="宋体"/>
                <w:color w:val="auto"/>
                <w:highlight w:val="none"/>
              </w:rPr>
              <w:t>一档（</w:t>
            </w:r>
            <w:r>
              <w:rPr>
                <w:rFonts w:ascii="宋体" w:cs="宋体"/>
                <w:color w:val="auto"/>
                <w:highlight w:val="none"/>
              </w:rPr>
              <w:t>0</w:t>
            </w:r>
            <w:r>
              <w:rPr>
                <w:rFonts w:hint="eastAsia" w:ascii="宋体" w:hAnsi="宋体" w:cs="宋体"/>
                <w:color w:val="auto"/>
                <w:highlight w:val="none"/>
              </w:rPr>
              <w:t>分）：</w:t>
            </w:r>
            <w:r>
              <w:rPr>
                <w:color w:val="auto"/>
                <w:sz w:val="21"/>
                <w:highlight w:val="none"/>
              </w:rPr>
              <w:t>供应商对项目管理机构、拟投入的项人员队伍及技术水平、详细的分工配合及职能等方面阐述内容无得0分；</w:t>
            </w:r>
          </w:p>
          <w:p w14:paraId="5CA9E6D1">
            <w:pPr>
              <w:pStyle w:val="35"/>
              <w:spacing w:before="146" w:line="312" w:lineRule="auto"/>
              <w:ind w:left="114" w:right="259" w:firstLine="232"/>
              <w:rPr>
                <w:color w:val="auto"/>
                <w:sz w:val="21"/>
                <w:highlight w:val="none"/>
              </w:rPr>
            </w:pPr>
            <w:r>
              <w:rPr>
                <w:rFonts w:hint="eastAsia" w:ascii="宋体" w:hAnsi="宋体" w:cs="宋体"/>
                <w:color w:val="auto"/>
                <w:highlight w:val="none"/>
              </w:rPr>
              <w:t>二档（</w:t>
            </w:r>
            <w:r>
              <w:rPr>
                <w:rFonts w:hint="eastAsia" w:ascii="宋体" w:hAnsi="宋体" w:cs="宋体"/>
                <w:color w:val="auto"/>
                <w:highlight w:val="none"/>
                <w:lang w:val="en-US" w:eastAsia="zh-CN"/>
              </w:rPr>
              <w:t>2</w:t>
            </w:r>
            <w:r>
              <w:rPr>
                <w:rFonts w:hint="eastAsia" w:ascii="宋体" w:hAnsi="宋体" w:cs="宋体"/>
                <w:color w:val="auto"/>
                <w:highlight w:val="none"/>
              </w:rPr>
              <w:t>分）：</w:t>
            </w:r>
            <w:r>
              <w:rPr>
                <w:color w:val="auto"/>
                <w:sz w:val="21"/>
                <w:highlight w:val="none"/>
              </w:rPr>
              <w:t>供应商对项目管理机构、拟投入的项人员队伍及技术水平、详细的分工配合及职能等方面阐述内容较差或无得</w:t>
            </w:r>
            <w:r>
              <w:rPr>
                <w:rFonts w:hint="eastAsia"/>
                <w:color w:val="auto"/>
                <w:sz w:val="21"/>
                <w:highlight w:val="none"/>
                <w:lang w:val="en-US" w:eastAsia="zh-CN"/>
              </w:rPr>
              <w:t>2</w:t>
            </w:r>
            <w:r>
              <w:rPr>
                <w:color w:val="auto"/>
                <w:sz w:val="21"/>
                <w:highlight w:val="none"/>
              </w:rPr>
              <w:t>分；</w:t>
            </w:r>
          </w:p>
          <w:p w14:paraId="5E42B9AB">
            <w:pPr>
              <w:pStyle w:val="35"/>
              <w:spacing w:before="151" w:line="321" w:lineRule="auto"/>
              <w:ind w:left="114" w:right="237" w:firstLine="249"/>
              <w:rPr>
                <w:color w:val="auto"/>
                <w:sz w:val="21"/>
                <w:highlight w:val="none"/>
              </w:rPr>
            </w:pPr>
            <w:r>
              <w:rPr>
                <w:rFonts w:hint="eastAsia" w:ascii="宋体" w:hAnsi="宋体" w:cs="宋体"/>
                <w:color w:val="auto"/>
                <w:highlight w:val="none"/>
              </w:rPr>
              <w:t>三档（</w:t>
            </w:r>
            <w:r>
              <w:rPr>
                <w:rFonts w:hint="eastAsia" w:ascii="宋体" w:hAnsi="宋体" w:cs="宋体"/>
                <w:color w:val="auto"/>
                <w:highlight w:val="none"/>
                <w:lang w:val="en-US" w:eastAsia="zh-CN"/>
              </w:rPr>
              <w:t>4</w:t>
            </w:r>
            <w:r>
              <w:rPr>
                <w:rFonts w:hint="eastAsia" w:ascii="宋体" w:hAnsi="宋体" w:cs="宋体"/>
                <w:color w:val="auto"/>
                <w:highlight w:val="none"/>
              </w:rPr>
              <w:t>分）：</w:t>
            </w:r>
            <w:r>
              <w:rPr>
                <w:color w:val="auto"/>
                <w:sz w:val="21"/>
                <w:highlight w:val="none"/>
              </w:rPr>
              <w:t>供应商对项目管理机构、拟投入的项人员队伍及技术水平、详细的分工配合及职能等方面内容阐述简单， 针对性、操作性不强的， 得</w:t>
            </w:r>
            <w:r>
              <w:rPr>
                <w:rFonts w:hint="eastAsia"/>
                <w:color w:val="auto"/>
                <w:sz w:val="21"/>
                <w:highlight w:val="none"/>
                <w:lang w:val="en-US" w:eastAsia="zh-CN"/>
              </w:rPr>
              <w:t>4</w:t>
            </w:r>
            <w:r>
              <w:rPr>
                <w:color w:val="auto"/>
                <w:sz w:val="21"/>
                <w:highlight w:val="none"/>
              </w:rPr>
              <w:t>分；</w:t>
            </w:r>
          </w:p>
          <w:p w14:paraId="5A0937F2">
            <w:pPr>
              <w:pStyle w:val="35"/>
              <w:spacing w:line="312" w:lineRule="auto"/>
              <w:ind w:left="114" w:right="328" w:firstLine="210" w:firstLineChars="100"/>
              <w:jc w:val="both"/>
              <w:rPr>
                <w:color w:val="auto"/>
                <w:sz w:val="21"/>
                <w:highlight w:val="none"/>
              </w:rPr>
            </w:pPr>
            <w:r>
              <w:rPr>
                <w:rFonts w:hint="eastAsia" w:ascii="宋体" w:hAnsi="宋体" w:eastAsia="宋体" w:cs="宋体"/>
                <w:bCs w:val="0"/>
                <w:color w:val="auto"/>
                <w:spacing w:val="0"/>
                <w:kern w:val="0"/>
                <w:sz w:val="21"/>
                <w:szCs w:val="21"/>
                <w:highlight w:val="none"/>
                <w:lang w:val="en-US" w:eastAsia="zh-CN" w:bidi="ar-SA"/>
              </w:rPr>
              <w:t>四档（</w:t>
            </w:r>
            <w:r>
              <w:rPr>
                <w:rFonts w:hint="eastAsia" w:cs="宋体"/>
                <w:bCs w:val="0"/>
                <w:color w:val="auto"/>
                <w:spacing w:val="0"/>
                <w:kern w:val="0"/>
                <w:sz w:val="21"/>
                <w:szCs w:val="21"/>
                <w:highlight w:val="none"/>
                <w:lang w:val="en-US" w:eastAsia="zh-CN" w:bidi="ar-SA"/>
              </w:rPr>
              <w:t>6</w:t>
            </w:r>
            <w:r>
              <w:rPr>
                <w:rFonts w:hint="eastAsia" w:ascii="宋体" w:hAnsi="宋体" w:eastAsia="宋体" w:cs="宋体"/>
                <w:bCs w:val="0"/>
                <w:color w:val="auto"/>
                <w:spacing w:val="0"/>
                <w:kern w:val="0"/>
                <w:sz w:val="21"/>
                <w:szCs w:val="21"/>
                <w:highlight w:val="none"/>
                <w:lang w:val="en-US" w:eastAsia="zh-CN" w:bidi="ar-SA"/>
              </w:rPr>
              <w:t>分）：</w:t>
            </w:r>
            <w:r>
              <w:rPr>
                <w:color w:val="auto"/>
                <w:sz w:val="21"/>
                <w:highlight w:val="none"/>
              </w:rPr>
              <w:t>供应商对项目管理机构、拟投入的项人员队伍及技术水平、详细的分工配合及职能等方面内容阐述较详细， 针对性、操作性较好的，得</w:t>
            </w:r>
            <w:r>
              <w:rPr>
                <w:rFonts w:hint="eastAsia"/>
                <w:color w:val="auto"/>
                <w:sz w:val="21"/>
                <w:highlight w:val="none"/>
                <w:lang w:val="en-US" w:eastAsia="zh-CN"/>
              </w:rPr>
              <w:t>6</w:t>
            </w:r>
            <w:r>
              <w:rPr>
                <w:color w:val="auto"/>
                <w:sz w:val="21"/>
                <w:highlight w:val="none"/>
              </w:rPr>
              <w:t>分；</w:t>
            </w:r>
          </w:p>
          <w:p w14:paraId="2AD6233C">
            <w:pPr>
              <w:kinsoku/>
              <w:topLinePunct/>
              <w:autoSpaceDE/>
              <w:autoSpaceDN/>
              <w:spacing w:line="360" w:lineRule="auto"/>
              <w:rPr>
                <w:rFonts w:hint="eastAsia" w:ascii="宋体" w:hAnsi="宋体" w:cs="宋体"/>
                <w:color w:val="auto"/>
                <w:highlight w:val="none"/>
              </w:rPr>
            </w:pPr>
            <w:r>
              <w:rPr>
                <w:rFonts w:hint="eastAsia"/>
                <w:color w:val="auto"/>
                <w:sz w:val="21"/>
                <w:highlight w:val="none"/>
                <w:lang w:val="en-US" w:eastAsia="zh-CN"/>
              </w:rPr>
              <w:t xml:space="preserve">   </w:t>
            </w:r>
            <w:r>
              <w:rPr>
                <w:rFonts w:hint="eastAsia"/>
                <w:color w:val="auto"/>
                <w:sz w:val="21"/>
                <w:highlight w:val="none"/>
                <w:lang w:eastAsia="zh-CN"/>
              </w:rPr>
              <w:t>五档（</w:t>
            </w:r>
            <w:r>
              <w:rPr>
                <w:rFonts w:hint="eastAsia"/>
                <w:color w:val="auto"/>
                <w:sz w:val="21"/>
                <w:highlight w:val="none"/>
                <w:lang w:val="en-US" w:eastAsia="zh-CN"/>
              </w:rPr>
              <w:t>8分</w:t>
            </w:r>
            <w:r>
              <w:rPr>
                <w:rFonts w:hint="eastAsia"/>
                <w:color w:val="auto"/>
                <w:sz w:val="21"/>
                <w:highlight w:val="none"/>
                <w:lang w:eastAsia="zh-CN"/>
              </w:rPr>
              <w:t>）</w:t>
            </w:r>
            <w:r>
              <w:rPr>
                <w:color w:val="auto"/>
                <w:sz w:val="21"/>
                <w:highlight w:val="none"/>
              </w:rPr>
              <w:t>供应商对项目管理机构、拟投入的项人员队伍及技术水平、详细的分工配合及职能等方面内容阐述详细， 针对性、操作性强且科学合理的得</w:t>
            </w:r>
            <w:r>
              <w:rPr>
                <w:rFonts w:hint="eastAsia"/>
                <w:color w:val="auto"/>
                <w:sz w:val="21"/>
                <w:highlight w:val="none"/>
                <w:lang w:val="en-US" w:eastAsia="zh-CN"/>
              </w:rPr>
              <w:t>8</w:t>
            </w:r>
            <w:r>
              <w:rPr>
                <w:color w:val="auto"/>
                <w:sz w:val="21"/>
                <w:highlight w:val="none"/>
              </w:rPr>
              <w:t>分。</w:t>
            </w:r>
          </w:p>
        </w:tc>
        <w:tc>
          <w:tcPr>
            <w:tcW w:w="612" w:type="dxa"/>
            <w:vAlign w:val="center"/>
          </w:tcPr>
          <w:p w14:paraId="21537616">
            <w:pPr>
              <w:kinsoku/>
              <w:topLinePunct/>
              <w:autoSpaceDE/>
              <w:autoSpaceDN/>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0-8分</w:t>
            </w:r>
          </w:p>
        </w:tc>
        <w:tc>
          <w:tcPr>
            <w:tcW w:w="2076" w:type="dxa"/>
            <w:vAlign w:val="center"/>
          </w:tcPr>
          <w:p w14:paraId="4C0DBC2E">
            <w:pPr>
              <w:kinsoku/>
              <w:topLinePunct/>
              <w:autoSpaceDE/>
              <w:autoSpaceDN/>
              <w:spacing w:line="360" w:lineRule="auto"/>
              <w:rPr>
                <w:rFonts w:hint="eastAsia" w:ascii="宋体" w:hAnsi="宋体" w:cs="宋体"/>
                <w:color w:val="auto"/>
                <w:highlight w:val="none"/>
              </w:rPr>
            </w:pPr>
            <w:r>
              <w:rPr>
                <w:color w:val="auto"/>
                <w:sz w:val="21"/>
                <w:highlight w:val="none"/>
              </w:rPr>
              <w:t>附项目实施方案(包含组织实施方案</w:t>
            </w:r>
            <w:r>
              <w:rPr>
                <w:rFonts w:hint="eastAsia"/>
                <w:color w:val="auto"/>
                <w:sz w:val="21"/>
                <w:highlight w:val="none"/>
                <w:lang w:eastAsia="zh-CN"/>
              </w:rPr>
              <w:t>、</w:t>
            </w:r>
            <w:r>
              <w:rPr>
                <w:rFonts w:hint="eastAsia" w:ascii="宋体" w:hAnsi="宋体" w:cs="宋体"/>
                <w:color w:val="auto"/>
                <w:highlight w:val="none"/>
              </w:rPr>
              <w:t>服务便利性</w:t>
            </w:r>
            <w:r>
              <w:rPr>
                <w:rFonts w:hint="eastAsia" w:ascii="宋体" w:hAnsi="宋体" w:cs="宋体"/>
                <w:color w:val="auto"/>
                <w:highlight w:val="none"/>
                <w:lang w:eastAsia="zh-CN"/>
              </w:rPr>
              <w:t>、</w:t>
            </w:r>
            <w:r>
              <w:rPr>
                <w:color w:val="auto"/>
                <w:sz w:val="21"/>
                <w:highlight w:val="none"/>
              </w:rPr>
              <w:t>项目管理及分工、规章制度管理)</w:t>
            </w:r>
          </w:p>
        </w:tc>
      </w:tr>
      <w:tr w14:paraId="1BB90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20" w:hRule="atLeast"/>
        </w:trPr>
        <w:tc>
          <w:tcPr>
            <w:tcW w:w="394" w:type="dxa"/>
            <w:vMerge w:val="continue"/>
            <w:vAlign w:val="center"/>
          </w:tcPr>
          <w:p w14:paraId="3E5C4E03">
            <w:pPr>
              <w:kinsoku/>
              <w:topLinePunct/>
              <w:autoSpaceDE/>
              <w:autoSpaceDN/>
              <w:spacing w:line="360" w:lineRule="auto"/>
              <w:jc w:val="center"/>
              <w:rPr>
                <w:rFonts w:ascii="宋体" w:cs="宋体"/>
                <w:color w:val="auto"/>
                <w:highlight w:val="none"/>
              </w:rPr>
            </w:pPr>
          </w:p>
        </w:tc>
        <w:tc>
          <w:tcPr>
            <w:tcW w:w="584" w:type="dxa"/>
            <w:vMerge w:val="continue"/>
            <w:vAlign w:val="center"/>
          </w:tcPr>
          <w:p w14:paraId="54183155">
            <w:pPr>
              <w:kinsoku/>
              <w:topLinePunct/>
              <w:autoSpaceDE/>
              <w:autoSpaceDN/>
              <w:spacing w:line="360" w:lineRule="auto"/>
              <w:jc w:val="center"/>
              <w:rPr>
                <w:rFonts w:ascii="宋体" w:cs="宋体"/>
                <w:color w:val="auto"/>
                <w:highlight w:val="none"/>
              </w:rPr>
            </w:pPr>
          </w:p>
        </w:tc>
        <w:tc>
          <w:tcPr>
            <w:tcW w:w="6346" w:type="dxa"/>
            <w:vAlign w:val="center"/>
          </w:tcPr>
          <w:p w14:paraId="668A806D">
            <w:pPr>
              <w:kinsoku/>
              <w:topLinePunct/>
              <w:autoSpaceDE/>
              <w:autoSpaceDN/>
              <w:spacing w:line="360" w:lineRule="auto"/>
              <w:rPr>
                <w:rFonts w:asci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、售后服务承诺（客观分）</w:t>
            </w:r>
          </w:p>
          <w:p w14:paraId="1C0BA915">
            <w:pPr>
              <w:kinsoku/>
              <w:topLinePunct/>
              <w:autoSpaceDE/>
              <w:autoSpaceDN/>
              <w:spacing w:line="360" w:lineRule="auto"/>
              <w:rPr>
                <w:rFonts w:ascii="宋体" w:cs="宋体"/>
                <w:color w:val="auto"/>
                <w:highlight w:val="none"/>
              </w:rPr>
            </w:pPr>
            <w:r>
              <w:rPr>
                <w:rFonts w:hint="eastAsia" w:ascii="宋体" w:hAnsi="宋体" w:cs="宋体"/>
                <w:color w:val="auto"/>
                <w:highlight w:val="none"/>
              </w:rPr>
              <w:t>供应商承诺在采购人下达委托任务后，</w:t>
            </w:r>
            <w:r>
              <w:rPr>
                <w:rFonts w:ascii="宋体" w:hAnsi="宋体" w:cs="宋体"/>
                <w:color w:val="auto"/>
                <w:highlight w:val="none"/>
              </w:rPr>
              <w:t>1</w:t>
            </w:r>
            <w:r>
              <w:rPr>
                <w:rFonts w:hint="eastAsia" w:ascii="宋体" w:hAnsi="宋体" w:cs="宋体"/>
                <w:color w:val="auto"/>
                <w:highlight w:val="none"/>
              </w:rPr>
              <w:t>小时内响应并在</w:t>
            </w:r>
            <w:r>
              <w:rPr>
                <w:rFonts w:ascii="宋体" w:hAnsi="宋体" w:cs="宋体"/>
                <w:color w:val="auto"/>
                <w:highlight w:val="none"/>
              </w:rPr>
              <w:t>1</w:t>
            </w:r>
            <w:r>
              <w:rPr>
                <w:rFonts w:hint="eastAsia" w:ascii="宋体" w:hAnsi="宋体" w:cs="宋体"/>
                <w:color w:val="auto"/>
                <w:highlight w:val="none"/>
                <w:lang w:eastAsia="zh-CN"/>
              </w:rPr>
              <w:t>个工作日</w:t>
            </w:r>
            <w:r>
              <w:rPr>
                <w:rFonts w:hint="eastAsia" w:ascii="宋体" w:hAnsi="宋体" w:cs="宋体"/>
                <w:color w:val="auto"/>
                <w:highlight w:val="none"/>
              </w:rPr>
              <w:t>内到达指定地点提供相应服务；针对项目具体情况，承诺按时保质为采购人提供专业化服务，得</w:t>
            </w:r>
            <w:r>
              <w:rPr>
                <w:rFonts w:ascii="宋体" w:hAnsi="宋体" w:cs="宋体"/>
                <w:color w:val="auto"/>
                <w:highlight w:val="none"/>
              </w:rPr>
              <w:t>2</w:t>
            </w:r>
            <w:r>
              <w:rPr>
                <w:rFonts w:hint="eastAsia" w:ascii="宋体" w:hAnsi="宋体" w:cs="宋体"/>
                <w:color w:val="auto"/>
                <w:highlight w:val="none"/>
              </w:rPr>
              <w:t>分。</w:t>
            </w:r>
          </w:p>
        </w:tc>
        <w:tc>
          <w:tcPr>
            <w:tcW w:w="612" w:type="dxa"/>
            <w:vAlign w:val="center"/>
          </w:tcPr>
          <w:p w14:paraId="28CF23B6">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0-2</w:t>
            </w:r>
            <w:r>
              <w:rPr>
                <w:rFonts w:hint="eastAsia" w:ascii="宋体" w:hAnsi="宋体" w:cs="宋体"/>
                <w:color w:val="auto"/>
                <w:highlight w:val="none"/>
              </w:rPr>
              <w:t>分</w:t>
            </w:r>
          </w:p>
        </w:tc>
        <w:tc>
          <w:tcPr>
            <w:tcW w:w="2076" w:type="dxa"/>
            <w:vAlign w:val="center"/>
          </w:tcPr>
          <w:p w14:paraId="252E0DEA">
            <w:pPr>
              <w:kinsoku/>
              <w:topLinePunct/>
              <w:autoSpaceDE/>
              <w:autoSpaceDN/>
              <w:spacing w:line="360" w:lineRule="auto"/>
              <w:rPr>
                <w:rFonts w:ascii="宋体" w:cs="宋体"/>
                <w:color w:val="auto"/>
                <w:highlight w:val="none"/>
              </w:rPr>
            </w:pPr>
            <w:r>
              <w:rPr>
                <w:rFonts w:hint="eastAsia" w:ascii="宋体" w:hAnsi="宋体" w:cs="宋体"/>
                <w:color w:val="auto"/>
                <w:highlight w:val="none"/>
              </w:rPr>
              <w:t>附承诺书。</w:t>
            </w:r>
          </w:p>
        </w:tc>
      </w:tr>
      <w:tr w14:paraId="20C4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254" w:hRule="atLeast"/>
        </w:trPr>
        <w:tc>
          <w:tcPr>
            <w:tcW w:w="394" w:type="dxa"/>
            <w:vMerge w:val="continue"/>
            <w:vAlign w:val="center"/>
          </w:tcPr>
          <w:p w14:paraId="782E2472">
            <w:pPr>
              <w:kinsoku/>
              <w:topLinePunct/>
              <w:autoSpaceDE/>
              <w:autoSpaceDN/>
              <w:spacing w:line="360" w:lineRule="auto"/>
              <w:jc w:val="center"/>
              <w:rPr>
                <w:rFonts w:ascii="宋体" w:cs="宋体"/>
                <w:color w:val="auto"/>
                <w:highlight w:val="none"/>
              </w:rPr>
            </w:pPr>
          </w:p>
        </w:tc>
        <w:tc>
          <w:tcPr>
            <w:tcW w:w="584" w:type="dxa"/>
            <w:vMerge w:val="continue"/>
            <w:vAlign w:val="center"/>
          </w:tcPr>
          <w:p w14:paraId="10E695D9">
            <w:pPr>
              <w:kinsoku/>
              <w:topLinePunct/>
              <w:autoSpaceDE/>
              <w:autoSpaceDN/>
              <w:spacing w:line="360" w:lineRule="auto"/>
              <w:jc w:val="center"/>
              <w:rPr>
                <w:rFonts w:ascii="宋体" w:cs="宋体"/>
                <w:color w:val="auto"/>
                <w:highlight w:val="none"/>
              </w:rPr>
            </w:pPr>
          </w:p>
        </w:tc>
        <w:tc>
          <w:tcPr>
            <w:tcW w:w="6346" w:type="dxa"/>
            <w:vAlign w:val="center"/>
          </w:tcPr>
          <w:p w14:paraId="50E2CB2B">
            <w:pPr>
              <w:kinsoku/>
              <w:topLinePunct/>
              <w:autoSpaceDE/>
              <w:autoSpaceDN/>
              <w:spacing w:line="360" w:lineRule="auto"/>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、评审报告编制水平</w:t>
            </w:r>
            <w:r>
              <w:rPr>
                <w:rFonts w:ascii="宋体" w:hAnsi="宋体" w:cs="宋体"/>
                <w:color w:val="auto"/>
                <w:highlight w:val="none"/>
              </w:rPr>
              <w:t>(</w:t>
            </w:r>
            <w:r>
              <w:rPr>
                <w:rFonts w:hint="eastAsia" w:ascii="宋体" w:hAnsi="宋体" w:cs="宋体"/>
                <w:color w:val="auto"/>
                <w:highlight w:val="none"/>
              </w:rPr>
              <w:t>主观分</w:t>
            </w:r>
            <w:r>
              <w:rPr>
                <w:rFonts w:ascii="宋体" w:hAnsi="宋体" w:cs="宋体"/>
                <w:color w:val="auto"/>
                <w:highlight w:val="none"/>
              </w:rPr>
              <w:t>)</w:t>
            </w:r>
          </w:p>
          <w:p w14:paraId="2E4E2F40">
            <w:pPr>
              <w:kinsoku/>
              <w:topLinePunct/>
              <w:autoSpaceDE/>
              <w:autoSpaceDN/>
              <w:spacing w:line="360" w:lineRule="auto"/>
              <w:rPr>
                <w:rFonts w:ascii="宋体" w:cs="宋体"/>
                <w:color w:val="auto"/>
                <w:highlight w:val="none"/>
              </w:rPr>
            </w:pPr>
            <w:r>
              <w:rPr>
                <w:rFonts w:hint="eastAsia" w:ascii="宋体" w:hAnsi="宋体" w:cs="宋体"/>
                <w:color w:val="auto"/>
                <w:highlight w:val="none"/>
              </w:rPr>
              <w:t>一档（</w:t>
            </w:r>
            <w:r>
              <w:rPr>
                <w:rFonts w:ascii="宋体" w:cs="宋体"/>
                <w:color w:val="auto"/>
                <w:highlight w:val="none"/>
              </w:rPr>
              <w:t>0</w:t>
            </w:r>
            <w:r>
              <w:rPr>
                <w:rFonts w:hint="eastAsia" w:ascii="宋体" w:hAnsi="宋体" w:cs="宋体"/>
                <w:color w:val="auto"/>
                <w:highlight w:val="none"/>
              </w:rPr>
              <w:t>分）：未提供符合要求的评审报告。</w:t>
            </w:r>
          </w:p>
          <w:p w14:paraId="100C8789">
            <w:pPr>
              <w:kinsoku/>
              <w:topLinePunct/>
              <w:autoSpaceDE/>
              <w:autoSpaceDN/>
              <w:spacing w:line="360" w:lineRule="auto"/>
              <w:rPr>
                <w:rFonts w:asci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val="en-US" w:eastAsia="zh-CN"/>
              </w:rPr>
              <w:t>：</w:t>
            </w:r>
            <w:r>
              <w:rPr>
                <w:rFonts w:hint="eastAsia" w:ascii="宋体" w:hAnsi="宋体" w:cs="宋体"/>
                <w:color w:val="auto"/>
                <w:highlight w:val="none"/>
              </w:rPr>
              <w:t>评审报告内容基本完整、数据准确、依据基本充分。评审内容基本全面、完整，评审结论定性基本客观，定量基本准确。</w:t>
            </w:r>
          </w:p>
          <w:p w14:paraId="00D5D8F4">
            <w:pPr>
              <w:kinsoku/>
              <w:topLinePunct/>
              <w:autoSpaceDE/>
              <w:autoSpaceDN/>
              <w:spacing w:line="360" w:lineRule="auto"/>
              <w:rPr>
                <w:rFonts w:ascii="宋体" w:cs="宋体"/>
                <w:color w:val="auto"/>
                <w:highlight w:val="none"/>
              </w:rPr>
            </w:pPr>
            <w:r>
              <w:rPr>
                <w:rFonts w:hint="eastAsia" w:ascii="宋体" w:hAnsi="宋体" w:cs="宋体"/>
                <w:color w:val="auto"/>
                <w:highlight w:val="none"/>
              </w:rPr>
              <w:t>三档（</w:t>
            </w:r>
            <w:r>
              <w:rPr>
                <w:rFonts w:ascii="宋体" w:hAnsi="宋体" w:cs="宋体"/>
                <w:color w:val="auto"/>
                <w:highlight w:val="none"/>
              </w:rPr>
              <w:t>10</w:t>
            </w:r>
            <w:r>
              <w:rPr>
                <w:rFonts w:hint="eastAsia" w:ascii="宋体" w:hAnsi="宋体" w:cs="宋体"/>
                <w:color w:val="auto"/>
                <w:highlight w:val="none"/>
              </w:rPr>
              <w:t>分）：评审报告内容完整、数据准确、依据充分，评审结论定性客观，定量准确，依据充分，表达清楚、完整。</w:t>
            </w:r>
          </w:p>
          <w:p w14:paraId="7899F3C6">
            <w:pPr>
              <w:kinsoku/>
              <w:topLinePunct/>
              <w:autoSpaceDE/>
              <w:autoSpaceDN/>
              <w:spacing w:line="360" w:lineRule="auto"/>
              <w:rPr>
                <w:rFonts w:ascii="宋体" w:cs="宋体"/>
                <w:color w:val="auto"/>
                <w:highlight w:val="none"/>
              </w:rPr>
            </w:pPr>
            <w:r>
              <w:rPr>
                <w:rFonts w:hint="eastAsia" w:ascii="宋体" w:hAnsi="宋体" w:cs="宋体"/>
                <w:color w:val="auto"/>
                <w:highlight w:val="none"/>
              </w:rPr>
              <w:t>四档（</w:t>
            </w:r>
            <w:r>
              <w:rPr>
                <w:rFonts w:ascii="宋体" w:hAnsi="宋体" w:cs="宋体"/>
                <w:color w:val="auto"/>
                <w:highlight w:val="none"/>
              </w:rPr>
              <w:t>15</w:t>
            </w:r>
            <w:r>
              <w:rPr>
                <w:rFonts w:hint="eastAsia" w:ascii="宋体" w:hAnsi="宋体" w:cs="宋体"/>
                <w:color w:val="auto"/>
                <w:highlight w:val="none"/>
              </w:rPr>
              <w:t>分）：满足三档的基础上，核增核减原因定性准确、条理清晰，披露评审问题有理有据、分析透彻，提出评审建议措施具体、针对性强。</w:t>
            </w:r>
          </w:p>
        </w:tc>
        <w:tc>
          <w:tcPr>
            <w:tcW w:w="612" w:type="dxa"/>
            <w:vAlign w:val="center"/>
          </w:tcPr>
          <w:p w14:paraId="70851550">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0-15</w:t>
            </w:r>
            <w:r>
              <w:rPr>
                <w:rFonts w:hint="eastAsia" w:ascii="宋体" w:hAnsi="宋体" w:cs="宋体"/>
                <w:color w:val="auto"/>
                <w:highlight w:val="none"/>
              </w:rPr>
              <w:t>分</w:t>
            </w:r>
          </w:p>
        </w:tc>
        <w:tc>
          <w:tcPr>
            <w:tcW w:w="2076" w:type="dxa"/>
            <w:vAlign w:val="center"/>
          </w:tcPr>
          <w:p w14:paraId="2A405413">
            <w:pPr>
              <w:kinsoku/>
              <w:topLinePunct/>
              <w:autoSpaceDE/>
              <w:autoSpaceDN/>
              <w:spacing w:line="360" w:lineRule="auto"/>
              <w:rPr>
                <w:rFonts w:ascii="宋体" w:cs="宋体"/>
                <w:color w:val="auto"/>
                <w:highlight w:val="none"/>
              </w:rPr>
            </w:pPr>
            <w:r>
              <w:rPr>
                <w:rFonts w:ascii="宋体" w:hAnsi="宋体" w:cs="宋体"/>
                <w:color w:val="auto"/>
                <w:highlight w:val="none"/>
              </w:rPr>
              <w:t>1.2019</w:t>
            </w:r>
            <w:r>
              <w:rPr>
                <w:rFonts w:hint="eastAsia" w:ascii="宋体" w:hAnsi="宋体" w:cs="宋体"/>
                <w:color w:val="auto"/>
                <w:highlight w:val="none"/>
              </w:rPr>
              <w:t>年至今，供应商承接的财政、审计部门评审业务的一份工程类项目评审报告（只提供正文部分，不需要提供附件）为评分依据。</w:t>
            </w:r>
          </w:p>
          <w:p w14:paraId="759FC997">
            <w:pPr>
              <w:kinsoku/>
              <w:topLinePunct/>
              <w:autoSpaceDE/>
              <w:autoSpaceDN/>
              <w:spacing w:line="360" w:lineRule="auto"/>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如附多份评审报告，仅以第一份为评分依据。</w:t>
            </w:r>
          </w:p>
        </w:tc>
      </w:tr>
      <w:tr w14:paraId="77A7D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trPr>
        <w:tc>
          <w:tcPr>
            <w:tcW w:w="394" w:type="dxa"/>
            <w:vMerge w:val="restart"/>
            <w:vAlign w:val="center"/>
          </w:tcPr>
          <w:p w14:paraId="6B0F2271">
            <w:pPr>
              <w:kinsoku/>
              <w:topLinePunct/>
              <w:autoSpaceDE/>
              <w:autoSpaceDN/>
              <w:spacing w:line="360" w:lineRule="auto"/>
              <w:jc w:val="center"/>
              <w:rPr>
                <w:rFonts w:ascii="宋体" w:hAnsi="宋体" w:cs="宋体"/>
                <w:color w:val="auto"/>
                <w:highlight w:val="none"/>
              </w:rPr>
            </w:pPr>
            <w:r>
              <w:rPr>
                <w:rFonts w:ascii="宋体" w:hAnsi="宋体" w:cs="宋体"/>
                <w:color w:val="auto"/>
                <w:highlight w:val="none"/>
              </w:rPr>
              <w:t>2</w:t>
            </w:r>
          </w:p>
        </w:tc>
        <w:tc>
          <w:tcPr>
            <w:tcW w:w="584" w:type="dxa"/>
            <w:vMerge w:val="restart"/>
            <w:vAlign w:val="center"/>
          </w:tcPr>
          <w:p w14:paraId="6F5ECB4F">
            <w:pPr>
              <w:tabs>
                <w:tab w:val="left" w:pos="330"/>
              </w:tabs>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商务资信分</w:t>
            </w:r>
          </w:p>
          <w:p w14:paraId="3CC84F50">
            <w:pPr>
              <w:tabs>
                <w:tab w:val="left" w:pos="330"/>
              </w:tabs>
              <w:kinsoku/>
              <w:topLinePunct/>
              <w:autoSpaceDE/>
              <w:autoSpaceDN/>
              <w:spacing w:line="360" w:lineRule="auto"/>
              <w:jc w:val="center"/>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18</w:t>
            </w:r>
            <w:r>
              <w:rPr>
                <w:rFonts w:hint="eastAsia" w:ascii="宋体" w:hAnsi="宋体" w:cs="宋体"/>
                <w:color w:val="auto"/>
                <w:highlight w:val="none"/>
              </w:rPr>
              <w:t>分</w:t>
            </w:r>
            <w:r>
              <w:rPr>
                <w:rFonts w:ascii="宋体" w:hAnsi="宋体" w:cs="宋体"/>
                <w:color w:val="auto"/>
                <w:highlight w:val="none"/>
              </w:rPr>
              <w:t>)</w:t>
            </w:r>
          </w:p>
        </w:tc>
        <w:tc>
          <w:tcPr>
            <w:tcW w:w="6346" w:type="dxa"/>
            <w:vAlign w:val="center"/>
          </w:tcPr>
          <w:p w14:paraId="00A8E7EE">
            <w:pPr>
              <w:kinsoku/>
              <w:topLinePunct/>
              <w:autoSpaceDE/>
              <w:autoSpaceDN/>
              <w:spacing w:line="360" w:lineRule="auto"/>
              <w:rPr>
                <w:rFonts w:asci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、业绩（客观分）</w:t>
            </w:r>
          </w:p>
          <w:p w14:paraId="51142DB7">
            <w:pPr>
              <w:kinsoku/>
              <w:topLinePunct/>
              <w:autoSpaceDE/>
              <w:autoSpaceDN/>
              <w:spacing w:line="360" w:lineRule="auto"/>
              <w:rPr>
                <w:rFonts w:ascii="宋体" w:cs="宋体"/>
                <w:color w:val="auto"/>
                <w:highlight w:val="none"/>
              </w:rPr>
            </w:pPr>
            <w:r>
              <w:rPr>
                <w:rFonts w:hint="eastAsia" w:ascii="宋体" w:hAnsi="宋体" w:cs="宋体"/>
                <w:color w:val="auto"/>
                <w:highlight w:val="none"/>
                <w:lang w:val="en-US" w:eastAsia="zh-CN"/>
              </w:rPr>
              <w:t>2022</w:t>
            </w:r>
            <w:r>
              <w:rPr>
                <w:rFonts w:hint="eastAsia" w:ascii="宋体" w:hAnsi="宋体" w:cs="宋体"/>
                <w:color w:val="auto"/>
                <w:highlight w:val="none"/>
              </w:rPr>
              <w:t>年至今，承接过财政、审计部门委托评审的土建</w:t>
            </w:r>
            <w:r>
              <w:rPr>
                <w:rFonts w:hint="eastAsia" w:ascii="宋体" w:hAnsi="宋体" w:cs="宋体"/>
                <w:color w:val="auto"/>
                <w:highlight w:val="none"/>
                <w:lang w:val="en-US" w:eastAsia="zh-CN"/>
              </w:rPr>
              <w:t>/</w:t>
            </w:r>
            <w:r>
              <w:rPr>
                <w:rFonts w:hint="eastAsia" w:ascii="宋体" w:hAnsi="宋体" w:cs="宋体"/>
                <w:color w:val="auto"/>
                <w:highlight w:val="none"/>
              </w:rPr>
              <w:t>水利</w:t>
            </w:r>
            <w:r>
              <w:rPr>
                <w:rFonts w:hint="eastAsia" w:ascii="宋体" w:hAnsi="宋体" w:cs="宋体"/>
                <w:color w:val="auto"/>
                <w:highlight w:val="none"/>
                <w:lang w:val="en-US" w:eastAsia="zh-CN"/>
              </w:rPr>
              <w:t>/</w:t>
            </w:r>
            <w:r>
              <w:rPr>
                <w:rFonts w:hint="eastAsia" w:ascii="宋体" w:hAnsi="宋体" w:cs="宋体"/>
                <w:color w:val="auto"/>
                <w:highlight w:val="none"/>
              </w:rPr>
              <w:t>交通</w:t>
            </w:r>
            <w:r>
              <w:rPr>
                <w:rFonts w:hint="eastAsia" w:ascii="宋体" w:hAnsi="宋体" w:cs="宋体"/>
                <w:color w:val="auto"/>
                <w:highlight w:val="none"/>
                <w:lang w:val="en-US" w:eastAsia="zh-CN"/>
              </w:rPr>
              <w:t>/</w:t>
            </w:r>
            <w:r>
              <w:rPr>
                <w:rFonts w:hint="eastAsia" w:ascii="宋体" w:hAnsi="宋体" w:cs="宋体"/>
                <w:color w:val="auto"/>
                <w:highlight w:val="none"/>
              </w:rPr>
              <w:t>市政工程项目，且有本次拟投入评审人员参与过的评审项目：</w:t>
            </w:r>
          </w:p>
          <w:p w14:paraId="57C0438D">
            <w:pPr>
              <w:kinsoku/>
              <w:topLinePunct/>
              <w:autoSpaceDE/>
              <w:autoSpaceDN/>
              <w:spacing w:line="360" w:lineRule="auto"/>
              <w:rPr>
                <w:rFonts w:ascii="宋体" w:cs="宋体"/>
                <w:color w:val="auto"/>
                <w:highlight w:val="none"/>
              </w:rPr>
            </w:pPr>
            <w:r>
              <w:rPr>
                <w:rFonts w:hint="eastAsia" w:ascii="宋体" w:hAnsi="宋体" w:cs="宋体"/>
                <w:color w:val="auto"/>
                <w:highlight w:val="none"/>
              </w:rPr>
              <w:t>①施工总承包招标控制价、工程总承包（</w:t>
            </w:r>
            <w:r>
              <w:rPr>
                <w:rFonts w:ascii="宋体" w:hAnsi="宋体" w:cs="宋体"/>
                <w:color w:val="auto"/>
                <w:highlight w:val="none"/>
              </w:rPr>
              <w:t>EPC</w:t>
            </w:r>
            <w:r>
              <w:rPr>
                <w:rFonts w:hint="eastAsia" w:ascii="宋体" w:hAnsi="宋体" w:cs="宋体"/>
                <w:color w:val="auto"/>
                <w:highlight w:val="none"/>
              </w:rPr>
              <w:t>）施工图预算，每个项目得</w:t>
            </w:r>
            <w:r>
              <w:rPr>
                <w:rFonts w:ascii="宋体" w:hAnsi="宋体" w:cs="宋体"/>
                <w:color w:val="auto"/>
                <w:highlight w:val="none"/>
              </w:rPr>
              <w:t>2</w:t>
            </w:r>
            <w:r>
              <w:rPr>
                <w:rFonts w:hint="eastAsia" w:ascii="宋体" w:hAnsi="宋体" w:cs="宋体"/>
                <w:color w:val="auto"/>
                <w:highlight w:val="none"/>
              </w:rPr>
              <w:t>分；</w:t>
            </w:r>
          </w:p>
          <w:p w14:paraId="33B0DD97">
            <w:pPr>
              <w:kinsoku/>
              <w:topLinePunct/>
              <w:autoSpaceDE/>
              <w:autoSpaceDN/>
              <w:spacing w:line="360" w:lineRule="auto"/>
              <w:rPr>
                <w:rFonts w:ascii="宋体" w:cs="宋体"/>
                <w:color w:val="auto"/>
                <w:highlight w:val="none"/>
              </w:rPr>
            </w:pPr>
            <w:r>
              <w:rPr>
                <w:rFonts w:hint="eastAsia" w:ascii="宋体" w:hAnsi="宋体" w:cs="宋体"/>
                <w:color w:val="auto"/>
                <w:highlight w:val="none"/>
              </w:rPr>
              <w:t>②概（预）算（不含</w:t>
            </w:r>
            <w:r>
              <w:rPr>
                <w:rFonts w:ascii="宋体" w:hAnsi="宋体" w:cs="宋体"/>
                <w:color w:val="auto"/>
                <w:highlight w:val="none"/>
              </w:rPr>
              <w:t>EPC</w:t>
            </w:r>
            <w:r>
              <w:rPr>
                <w:rFonts w:hint="eastAsia" w:ascii="宋体" w:hAnsi="宋体" w:cs="宋体"/>
                <w:color w:val="auto"/>
                <w:highlight w:val="none"/>
              </w:rPr>
              <w:t>项目）、工程总承包（</w:t>
            </w:r>
            <w:r>
              <w:rPr>
                <w:rFonts w:ascii="宋体" w:hAnsi="宋体" w:cs="宋体"/>
                <w:color w:val="auto"/>
                <w:highlight w:val="none"/>
              </w:rPr>
              <w:t>EPC</w:t>
            </w:r>
            <w:r>
              <w:rPr>
                <w:rFonts w:hint="eastAsia" w:ascii="宋体" w:hAnsi="宋体" w:cs="宋体"/>
                <w:color w:val="auto"/>
                <w:highlight w:val="none"/>
              </w:rPr>
              <w:t>）招标控制价，每个项目得</w:t>
            </w:r>
            <w:r>
              <w:rPr>
                <w:rFonts w:ascii="宋体" w:hAnsi="宋体" w:cs="宋体"/>
                <w:color w:val="auto"/>
                <w:highlight w:val="none"/>
              </w:rPr>
              <w:t>1.5</w:t>
            </w:r>
            <w:r>
              <w:rPr>
                <w:rFonts w:hint="eastAsia" w:ascii="宋体" w:hAnsi="宋体" w:cs="宋体"/>
                <w:color w:val="auto"/>
                <w:highlight w:val="none"/>
              </w:rPr>
              <w:t>分。</w:t>
            </w:r>
          </w:p>
        </w:tc>
        <w:tc>
          <w:tcPr>
            <w:tcW w:w="612" w:type="dxa"/>
            <w:vAlign w:val="center"/>
          </w:tcPr>
          <w:p w14:paraId="3B63B9C2">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2076" w:type="dxa"/>
            <w:vAlign w:val="center"/>
          </w:tcPr>
          <w:p w14:paraId="3FF63987">
            <w:pPr>
              <w:kinsoku/>
              <w:topLinePunct/>
              <w:autoSpaceDE/>
              <w:autoSpaceDN/>
              <w:spacing w:line="360" w:lineRule="auto"/>
              <w:rPr>
                <w:rFonts w:ascii="宋体" w:cs="宋体"/>
                <w:color w:val="auto"/>
                <w:highlight w:val="none"/>
              </w:rPr>
            </w:pPr>
          </w:p>
          <w:p w14:paraId="7934EDF1">
            <w:pPr>
              <w:kinsoku/>
              <w:topLinePunct/>
              <w:autoSpaceDE/>
              <w:autoSpaceDN/>
              <w:spacing w:line="360" w:lineRule="auto"/>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附单位委托文件或合同或审定单。</w:t>
            </w:r>
          </w:p>
          <w:p w14:paraId="25EE5A08">
            <w:pPr>
              <w:kinsoku/>
              <w:topLinePunct/>
              <w:autoSpaceDE/>
              <w:autoSpaceDN/>
              <w:spacing w:line="360" w:lineRule="auto"/>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人员以供应商真实性承诺函为准。</w:t>
            </w:r>
          </w:p>
        </w:tc>
      </w:tr>
      <w:tr w14:paraId="3671E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510" w:hRule="atLeast"/>
        </w:trPr>
        <w:tc>
          <w:tcPr>
            <w:tcW w:w="394" w:type="dxa"/>
            <w:vMerge w:val="continue"/>
            <w:vAlign w:val="center"/>
          </w:tcPr>
          <w:p w14:paraId="7E751DF4">
            <w:pPr>
              <w:kinsoku/>
              <w:topLinePunct/>
              <w:autoSpaceDE/>
              <w:autoSpaceDN/>
              <w:spacing w:line="360" w:lineRule="auto"/>
              <w:jc w:val="center"/>
              <w:rPr>
                <w:rFonts w:ascii="宋体" w:cs="宋体"/>
                <w:color w:val="auto"/>
                <w:highlight w:val="none"/>
              </w:rPr>
            </w:pPr>
          </w:p>
        </w:tc>
        <w:tc>
          <w:tcPr>
            <w:tcW w:w="584" w:type="dxa"/>
            <w:vMerge w:val="continue"/>
            <w:vAlign w:val="center"/>
          </w:tcPr>
          <w:p w14:paraId="0E190A1E">
            <w:pPr>
              <w:kinsoku/>
              <w:topLinePunct/>
              <w:autoSpaceDE/>
              <w:autoSpaceDN/>
              <w:spacing w:line="360" w:lineRule="auto"/>
              <w:jc w:val="center"/>
              <w:rPr>
                <w:rFonts w:ascii="宋体" w:cs="宋体"/>
                <w:color w:val="auto"/>
                <w:highlight w:val="none"/>
              </w:rPr>
            </w:pPr>
          </w:p>
        </w:tc>
        <w:tc>
          <w:tcPr>
            <w:tcW w:w="6346" w:type="dxa"/>
            <w:vAlign w:val="center"/>
          </w:tcPr>
          <w:p w14:paraId="551921A7">
            <w:pPr>
              <w:kinsoku/>
              <w:topLinePunct/>
              <w:autoSpaceDE/>
              <w:autoSpaceDN/>
              <w:spacing w:line="360" w:lineRule="auto"/>
              <w:rPr>
                <w:rFonts w:ascii="宋体" w:hAnsi="宋体" w:cs="宋体"/>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、年度考评</w:t>
            </w:r>
            <w:r>
              <w:rPr>
                <w:rFonts w:ascii="宋体" w:hAnsi="宋体" w:cs="宋体"/>
                <w:color w:val="auto"/>
                <w:highlight w:val="none"/>
              </w:rPr>
              <w:t>(</w:t>
            </w:r>
            <w:r>
              <w:rPr>
                <w:rFonts w:hint="eastAsia" w:ascii="宋体" w:hAnsi="宋体" w:cs="宋体"/>
                <w:color w:val="auto"/>
                <w:highlight w:val="none"/>
              </w:rPr>
              <w:t>客观分</w:t>
            </w:r>
            <w:r>
              <w:rPr>
                <w:rFonts w:ascii="宋体" w:hAnsi="宋体" w:cs="宋体"/>
                <w:color w:val="auto"/>
                <w:highlight w:val="none"/>
              </w:rPr>
              <w:t>)</w:t>
            </w:r>
          </w:p>
          <w:p w14:paraId="06F404CB">
            <w:pPr>
              <w:kinsoku/>
              <w:topLinePunct/>
              <w:autoSpaceDE/>
              <w:autoSpaceDN/>
              <w:spacing w:line="360" w:lineRule="auto"/>
              <w:rPr>
                <w:rFonts w:ascii="宋体" w:cs="宋体"/>
                <w:color w:val="auto"/>
                <w:highlight w:val="none"/>
              </w:rPr>
            </w:pPr>
            <w:r>
              <w:rPr>
                <w:rFonts w:ascii="宋体" w:hAnsi="宋体" w:cs="宋体"/>
                <w:color w:val="auto"/>
                <w:highlight w:val="none"/>
              </w:rPr>
              <w:t>20</w:t>
            </w:r>
            <w:r>
              <w:rPr>
                <w:rFonts w:hint="eastAsia" w:ascii="宋体" w:hAnsi="宋体" w:cs="宋体"/>
                <w:color w:val="auto"/>
                <w:highlight w:val="none"/>
                <w:lang w:val="en-US" w:eastAsia="zh-CN"/>
              </w:rPr>
              <w:t>22</w:t>
            </w:r>
            <w:r>
              <w:rPr>
                <w:rFonts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年度，供应商在财政或审计部门年度考评获得优秀或先进的，按年度计分不限地区，每一次得</w:t>
            </w:r>
            <w:r>
              <w:rPr>
                <w:rFonts w:ascii="宋体" w:hAnsi="宋体" w:cs="宋体"/>
                <w:color w:val="auto"/>
                <w:highlight w:val="none"/>
              </w:rPr>
              <w:t>1</w:t>
            </w:r>
            <w:r>
              <w:rPr>
                <w:rFonts w:hint="eastAsia" w:ascii="宋体" w:hAnsi="宋体" w:cs="宋体"/>
                <w:color w:val="auto"/>
                <w:highlight w:val="none"/>
              </w:rPr>
              <w:t>分。</w:t>
            </w:r>
          </w:p>
        </w:tc>
        <w:tc>
          <w:tcPr>
            <w:tcW w:w="612" w:type="dxa"/>
            <w:vAlign w:val="center"/>
          </w:tcPr>
          <w:p w14:paraId="6E1D5655">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3</w:t>
            </w:r>
            <w:r>
              <w:rPr>
                <w:rFonts w:hint="eastAsia" w:ascii="宋体" w:hAnsi="宋体" w:cs="宋体"/>
                <w:color w:val="auto"/>
                <w:highlight w:val="none"/>
              </w:rPr>
              <w:t>分</w:t>
            </w:r>
          </w:p>
        </w:tc>
        <w:tc>
          <w:tcPr>
            <w:tcW w:w="2076" w:type="dxa"/>
            <w:vAlign w:val="center"/>
          </w:tcPr>
          <w:p w14:paraId="5706B036">
            <w:pPr>
              <w:kinsoku/>
              <w:topLinePunct/>
              <w:autoSpaceDE/>
              <w:autoSpaceDN/>
              <w:spacing w:line="360" w:lineRule="auto"/>
              <w:rPr>
                <w:rFonts w:ascii="宋体" w:cs="宋体"/>
                <w:color w:val="auto"/>
                <w:highlight w:val="none"/>
              </w:rPr>
            </w:pPr>
            <w:r>
              <w:rPr>
                <w:rFonts w:hint="eastAsia" w:ascii="宋体" w:hAnsi="宋体" w:cs="宋体"/>
                <w:color w:val="auto"/>
                <w:highlight w:val="none"/>
              </w:rPr>
              <w:t>附考核结果文件或证书。</w:t>
            </w:r>
          </w:p>
        </w:tc>
      </w:tr>
    </w:tbl>
    <w:p w14:paraId="048ACEDA">
      <w:pPr>
        <w:kinsoku/>
        <w:topLinePunct/>
        <w:autoSpaceDE/>
        <w:autoSpaceDN/>
        <w:ind w:right="86" w:rightChars="41"/>
        <w:rPr>
          <w:rFonts w:ascii="宋体" w:cs="宋体"/>
          <w:color w:val="auto"/>
          <w:highlight w:val="none"/>
        </w:rPr>
      </w:pPr>
    </w:p>
    <w:p w14:paraId="39CDCC8D">
      <w:pPr>
        <w:pStyle w:val="5"/>
        <w:spacing w:before="72" w:line="242" w:lineRule="auto"/>
        <w:ind w:left="0" w:leftChars="0" w:right="553" w:firstLine="0" w:firstLineChars="0"/>
        <w:jc w:val="both"/>
        <w:rPr>
          <w:color w:val="auto"/>
          <w:spacing w:val="0"/>
        </w:rPr>
      </w:pPr>
      <w:bookmarkStart w:id="7" w:name="_Toc1471"/>
      <w:r>
        <w:rPr>
          <w:rFonts w:hint="eastAsia"/>
          <w:color w:val="auto"/>
          <w:spacing w:val="0"/>
          <w:lang w:val="en-US" w:eastAsia="zh-CN"/>
        </w:rPr>
        <w:t xml:space="preserve">   </w:t>
      </w:r>
      <w:r>
        <w:rPr>
          <w:color w:val="auto"/>
          <w:spacing w:val="0"/>
        </w:rPr>
        <w:t>注：征集人可要求入围供应商提供上表中所附证明材料的原件进行核查，如原件与响应文件中提供的不一致或虚假的或未提供的，征集人可取消其入围资格并报告财政监管部门，另行确定入围供应商。</w:t>
      </w:r>
    </w:p>
    <w:p w14:paraId="5F5E2F47">
      <w:pPr>
        <w:pStyle w:val="7"/>
        <w:rPr>
          <w:b/>
          <w:color w:val="auto"/>
          <w:spacing w:val="0"/>
          <w:sz w:val="19"/>
        </w:rPr>
      </w:pPr>
    </w:p>
    <w:p w14:paraId="00B76A36">
      <w:pPr>
        <w:pStyle w:val="7"/>
        <w:rPr>
          <w:color w:val="auto"/>
          <w:spacing w:val="0"/>
        </w:rPr>
      </w:pPr>
      <w:r>
        <w:rPr>
          <w:color w:val="auto"/>
          <w:spacing w:val="0"/>
        </w:rPr>
        <w:t>（</w:t>
      </w:r>
      <w:r>
        <w:rPr>
          <w:rFonts w:hint="eastAsia" w:ascii="Times New Roman" w:eastAsia="宋体"/>
          <w:color w:val="auto"/>
          <w:spacing w:val="0"/>
          <w:lang w:val="en-US" w:eastAsia="zh-CN"/>
        </w:rPr>
        <w:t>三</w:t>
      </w:r>
      <w:r>
        <w:rPr>
          <w:color w:val="auto"/>
          <w:spacing w:val="0"/>
        </w:rPr>
        <w:t>）政策性扣除计算方法</w:t>
      </w:r>
    </w:p>
    <w:p w14:paraId="1336F909">
      <w:pPr>
        <w:pStyle w:val="7"/>
        <w:spacing w:before="4"/>
        <w:ind w:firstLine="420" w:firstLineChars="200"/>
        <w:rPr>
          <w:rFonts w:hint="eastAsia" w:ascii="宋体" w:hAnsi="宋体" w:cs="宋体"/>
          <w:color w:val="auto"/>
          <w:highlight w:val="none"/>
        </w:rPr>
      </w:pPr>
      <w:r>
        <w:rPr>
          <w:color w:val="auto"/>
          <w:spacing w:val="0"/>
        </w:rPr>
        <w:t>本项目评审方法为质量优先法，不涉及价格评审，故不对小微企业报价给予价格扣除。</w:t>
      </w:r>
    </w:p>
    <w:p w14:paraId="4EE0E721">
      <w:pPr>
        <w:pStyle w:val="2"/>
        <w:kinsoku/>
        <w:topLinePunct/>
        <w:autoSpaceDE/>
        <w:autoSpaceDN/>
        <w:ind w:right="86" w:rightChars="41"/>
        <w:rPr>
          <w:rFonts w:hint="eastAsia" w:ascii="宋体" w:hAnsi="宋体" w:cs="宋体"/>
          <w:color w:val="auto"/>
          <w:highlight w:val="none"/>
        </w:rPr>
      </w:pPr>
    </w:p>
    <w:p w14:paraId="1E360A2C">
      <w:pPr>
        <w:pStyle w:val="2"/>
        <w:kinsoku/>
        <w:topLinePunct/>
        <w:autoSpaceDE/>
        <w:autoSpaceDN/>
        <w:ind w:right="86" w:rightChars="41"/>
        <w:rPr>
          <w:rFonts w:hint="eastAsia" w:ascii="宋体" w:hAnsi="宋体" w:cs="宋体"/>
          <w:color w:val="auto"/>
          <w:highlight w:val="none"/>
        </w:rPr>
      </w:pPr>
    </w:p>
    <w:p w14:paraId="73B13BE9">
      <w:pPr>
        <w:rPr>
          <w:rFonts w:hint="eastAsia" w:ascii="宋体" w:hAnsi="宋体" w:cs="宋体"/>
          <w:color w:val="auto"/>
          <w:highlight w:val="none"/>
        </w:rPr>
      </w:pPr>
    </w:p>
    <w:p w14:paraId="6A153C29">
      <w:pPr>
        <w:rPr>
          <w:rFonts w:hint="eastAsia" w:ascii="宋体" w:hAnsi="宋体" w:cs="宋体"/>
          <w:color w:val="auto"/>
          <w:highlight w:val="none"/>
        </w:rPr>
      </w:pPr>
    </w:p>
    <w:p w14:paraId="34EAB8F4">
      <w:pPr>
        <w:pStyle w:val="2"/>
        <w:kinsoku/>
        <w:topLinePunct/>
        <w:autoSpaceDE/>
        <w:autoSpaceDN/>
        <w:ind w:right="86" w:rightChars="41"/>
        <w:rPr>
          <w:rFonts w:ascii="宋体" w:cs="宋体"/>
          <w:color w:val="auto"/>
          <w:highlight w:val="none"/>
        </w:rPr>
      </w:pPr>
      <w:r>
        <w:rPr>
          <w:rFonts w:hint="eastAsia" w:ascii="宋体" w:hAnsi="宋体" w:cs="宋体"/>
          <w:color w:val="auto"/>
          <w:highlight w:val="none"/>
        </w:rPr>
        <w:t>第五章框架协议</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bookmarkEnd w:id="7"/>
    </w:p>
    <w:p w14:paraId="1A4A3E82">
      <w:pPr>
        <w:kinsoku/>
        <w:topLinePunct/>
        <w:autoSpaceDE/>
        <w:autoSpaceDN/>
        <w:spacing w:before="91" w:line="220" w:lineRule="auto"/>
        <w:ind w:left="3665" w:right="86" w:rightChars="41"/>
        <w:rPr>
          <w:rFonts w:ascii="宋体" w:cs="宋体"/>
          <w:color w:val="auto"/>
          <w:sz w:val="28"/>
          <w:szCs w:val="28"/>
          <w:highlight w:val="none"/>
        </w:rPr>
      </w:pPr>
      <w:bookmarkStart w:id="8" w:name="_Toc15593"/>
      <w:r>
        <w:rPr>
          <w:rFonts w:hint="eastAsia" w:ascii="宋体" w:hAnsi="宋体" w:cs="宋体"/>
          <w:color w:val="auto"/>
          <w:sz w:val="28"/>
          <w:szCs w:val="28"/>
          <w:highlight w:val="none"/>
        </w:rPr>
        <w:t>框架协议</w:t>
      </w:r>
    </w:p>
    <w:p w14:paraId="1FB86A73">
      <w:pPr>
        <w:widowControl w:val="0"/>
        <w:kinsoku/>
        <w:topLinePunct/>
        <w:autoSpaceDE/>
        <w:autoSpaceDN/>
        <w:adjustRightInd/>
        <w:snapToGrid/>
        <w:spacing w:line="360" w:lineRule="auto"/>
        <w:ind w:right="86" w:rightChars="41" w:firstLine="367" w:firstLineChars="175"/>
        <w:textAlignment w:val="auto"/>
        <w:rPr>
          <w:rFonts w:ascii="宋体" w:cs="宋体"/>
          <w:color w:val="auto"/>
          <w:highlight w:val="none"/>
        </w:rPr>
      </w:pPr>
    </w:p>
    <w:p w14:paraId="6068D93C">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征集人</w:t>
      </w:r>
      <w:r>
        <w:rPr>
          <w:rFonts w:ascii="宋体" w:hAns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u w:val="single"/>
          <w:lang w:eastAsia="zh-CN"/>
        </w:rPr>
        <w:t>防城港市防城区财政局</w:t>
      </w:r>
    </w:p>
    <w:p w14:paraId="238C0CA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入围供应商</w:t>
      </w:r>
      <w:r>
        <w:rPr>
          <w:rFonts w:ascii="宋体" w:hAnsi="宋体" w:cs="宋体"/>
          <w:color w:val="auto"/>
          <w:highlight w:val="none"/>
        </w:rPr>
        <w:t>)</w:t>
      </w:r>
      <w:r>
        <w:rPr>
          <w:rFonts w:hint="eastAsia" w:ascii="宋体" w:hAnsi="宋体" w:cs="宋体"/>
          <w:color w:val="auto"/>
          <w:highlight w:val="none"/>
        </w:rPr>
        <w:t>：</w:t>
      </w:r>
    </w:p>
    <w:p w14:paraId="29580BD7">
      <w:pPr>
        <w:widowControl w:val="0"/>
        <w:kinsoku/>
        <w:topLinePunct/>
        <w:autoSpaceDE/>
        <w:autoSpaceDN/>
        <w:adjustRightInd/>
        <w:snapToGrid/>
        <w:spacing w:line="360" w:lineRule="auto"/>
        <w:ind w:firstLine="420" w:firstLineChars="200"/>
        <w:textAlignment w:val="auto"/>
        <w:rPr>
          <w:rFonts w:ascii="宋体" w:cs="宋体"/>
          <w:color w:val="auto"/>
          <w:highlight w:val="none"/>
        </w:rPr>
      </w:pPr>
      <w:r>
        <w:rPr>
          <w:rFonts w:hint="eastAsia" w:ascii="宋体" w:hAnsi="宋体" w:cs="宋体"/>
          <w:color w:val="auto"/>
          <w:highlight w:val="none"/>
        </w:rPr>
        <w:t>根据《中华人民共和国政府采购法》《政府采购框架协议采购方式管理暂行办法》等相关法律，按照征集文件约定的事项以及协议乙方的响应文件及其承诺，协议甲乙双方签订框架协议。</w:t>
      </w:r>
    </w:p>
    <w:p w14:paraId="19EB4923">
      <w:pPr>
        <w:widowControl w:val="0"/>
        <w:kinsoku/>
        <w:topLinePunct/>
        <w:autoSpaceDE/>
        <w:autoSpaceDN/>
        <w:adjustRightInd/>
        <w:snapToGrid/>
        <w:spacing w:line="360" w:lineRule="auto"/>
        <w:ind w:firstLine="420" w:firstLineChars="200"/>
        <w:textAlignment w:val="auto"/>
        <w:rPr>
          <w:rFonts w:ascii="宋体" w:cs="宋体"/>
          <w:color w:val="auto"/>
          <w:highlight w:val="none"/>
        </w:rPr>
      </w:pPr>
      <w:r>
        <w:rPr>
          <w:rFonts w:hint="eastAsia" w:ascii="宋体" w:hAnsi="宋体" w:cs="宋体"/>
          <w:color w:val="auto"/>
          <w:highlight w:val="none"/>
        </w:rPr>
        <w:t>第一条项目基本信息</w:t>
      </w:r>
    </w:p>
    <w:p w14:paraId="61283140">
      <w:pPr>
        <w:kinsoku/>
        <w:topLinePunct/>
        <w:autoSpaceDE/>
        <w:autoSpaceDN/>
        <w:spacing w:line="360" w:lineRule="auto"/>
        <w:ind w:firstLine="420" w:firstLineChars="200"/>
        <w:rPr>
          <w:rFonts w:hint="eastAsia" w:ascii="宋体" w:eastAsia="宋体" w:cs="宋体"/>
          <w:color w:val="auto"/>
          <w:highlight w:val="none"/>
          <w:lang w:eastAsia="zh-CN"/>
        </w:rPr>
      </w:pPr>
      <w:r>
        <w:rPr>
          <w:rFonts w:ascii="宋体" w:hAnsi="宋体" w:cs="宋体"/>
          <w:color w:val="auto"/>
          <w:highlight w:val="none"/>
        </w:rPr>
        <w:t>1</w:t>
      </w:r>
      <w:r>
        <w:rPr>
          <w:rFonts w:hint="eastAsia" w:ascii="宋体" w:hAnsi="宋体" w:cs="宋体"/>
          <w:color w:val="auto"/>
          <w:highlight w:val="none"/>
        </w:rPr>
        <w:t>、项目名称：</w:t>
      </w:r>
      <w:r>
        <w:rPr>
          <w:rFonts w:hint="eastAsia" w:ascii="宋体" w:hAnsi="宋体" w:cs="宋体"/>
          <w:color w:val="auto"/>
          <w:highlight w:val="none"/>
          <w:u w:val="single"/>
          <w:lang w:eastAsia="zh-CN"/>
        </w:rPr>
        <w:t>防城港市防城区财政投资评审框架协议服务采购</w:t>
      </w:r>
    </w:p>
    <w:p w14:paraId="44AA1B5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、项目编号：</w:t>
      </w:r>
    </w:p>
    <w:p w14:paraId="55C7150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、标段：</w:t>
      </w:r>
      <w:r>
        <w:rPr>
          <w:rFonts w:hint="eastAsia" w:ascii="宋体" w:hAnsi="宋体" w:cs="宋体"/>
          <w:color w:val="auto"/>
          <w:highlight w:val="none"/>
          <w:u w:val="single"/>
        </w:rPr>
        <w:t>标项</w:t>
      </w:r>
      <w:r>
        <w:rPr>
          <w:rFonts w:ascii="宋体" w:hAnsi="宋体" w:cs="宋体"/>
          <w:color w:val="auto"/>
          <w:highlight w:val="none"/>
          <w:u w:val="single"/>
        </w:rPr>
        <w:t>1</w:t>
      </w:r>
    </w:p>
    <w:p w14:paraId="6A6F177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、采购需求：</w:t>
      </w:r>
      <w:r>
        <w:rPr>
          <w:color w:val="auto"/>
          <w:spacing w:val="0"/>
          <w:highlight w:val="none"/>
          <w:u w:val="single"/>
        </w:rPr>
        <w:t>详见征集文件第二章采购需求</w:t>
      </w:r>
    </w:p>
    <w:p w14:paraId="6236D693">
      <w:pPr>
        <w:pStyle w:val="7"/>
        <w:tabs>
          <w:tab w:val="left" w:pos="3524"/>
          <w:tab w:val="left" w:pos="4050"/>
          <w:tab w:val="left" w:pos="4576"/>
          <w:tab w:val="left" w:pos="5519"/>
          <w:tab w:val="left" w:pos="6150"/>
          <w:tab w:val="left" w:pos="6674"/>
        </w:tabs>
        <w:spacing w:before="171"/>
        <w:ind w:firstLine="420" w:firstLineChars="200"/>
        <w:rPr>
          <w:color w:val="auto"/>
          <w:spacing w:val="0"/>
          <w:highlight w:val="none"/>
        </w:rPr>
      </w:pPr>
      <w:r>
        <w:rPr>
          <w:rFonts w:ascii="宋体" w:hAnsi="宋体" w:cs="宋体"/>
          <w:color w:val="auto"/>
          <w:highlight w:val="none"/>
        </w:rPr>
        <w:t>5</w:t>
      </w:r>
      <w:r>
        <w:rPr>
          <w:rFonts w:hint="eastAsia" w:ascii="宋体" w:hAnsi="宋体" w:cs="宋体"/>
          <w:color w:val="auto"/>
          <w:highlight w:val="none"/>
        </w:rPr>
        <w:t>、框架协议期限：</w:t>
      </w:r>
      <w:r>
        <w:rPr>
          <w:rFonts w:hint="eastAsia" w:cs="宋体"/>
          <w:color w:val="auto"/>
          <w:highlight w:val="none"/>
          <w:u w:val="single"/>
          <w:lang w:val="en-US" w:eastAsia="zh-CN"/>
        </w:rPr>
        <w:t>24个月</w:t>
      </w:r>
      <w:r>
        <w:rPr>
          <w:color w:val="auto"/>
          <w:spacing w:val="0"/>
          <w:highlight w:val="none"/>
          <w:u w:val="single"/>
        </w:rPr>
        <w:t>，自</w:t>
      </w:r>
      <w:r>
        <w:rPr>
          <w:color w:val="auto"/>
          <w:spacing w:val="0"/>
          <w:highlight w:val="none"/>
          <w:u w:val="single"/>
        </w:rPr>
        <w:tab/>
      </w:r>
      <w:r>
        <w:rPr>
          <w:color w:val="auto"/>
          <w:spacing w:val="0"/>
          <w:highlight w:val="none"/>
          <w:u w:val="single"/>
        </w:rPr>
        <w:t>年</w:t>
      </w:r>
      <w:r>
        <w:rPr>
          <w:color w:val="auto"/>
          <w:spacing w:val="0"/>
          <w:highlight w:val="none"/>
          <w:u w:val="single"/>
        </w:rPr>
        <w:tab/>
      </w:r>
      <w:r>
        <w:rPr>
          <w:color w:val="auto"/>
          <w:spacing w:val="0"/>
          <w:highlight w:val="none"/>
          <w:u w:val="single"/>
        </w:rPr>
        <w:t>月</w:t>
      </w:r>
      <w:r>
        <w:rPr>
          <w:color w:val="auto"/>
          <w:spacing w:val="0"/>
          <w:highlight w:val="none"/>
          <w:u w:val="single"/>
        </w:rPr>
        <w:tab/>
      </w:r>
      <w:r>
        <w:rPr>
          <w:color w:val="auto"/>
          <w:spacing w:val="0"/>
          <w:highlight w:val="none"/>
          <w:u w:val="single"/>
        </w:rPr>
        <w:t>日至</w:t>
      </w:r>
      <w:r>
        <w:rPr>
          <w:color w:val="auto"/>
          <w:spacing w:val="0"/>
          <w:highlight w:val="none"/>
          <w:u w:val="single"/>
        </w:rPr>
        <w:tab/>
      </w:r>
      <w:r>
        <w:rPr>
          <w:color w:val="auto"/>
          <w:spacing w:val="0"/>
          <w:highlight w:val="none"/>
          <w:u w:val="single"/>
        </w:rPr>
        <w:t>年</w:t>
      </w:r>
      <w:r>
        <w:rPr>
          <w:color w:val="auto"/>
          <w:spacing w:val="0"/>
          <w:highlight w:val="none"/>
          <w:u w:val="single"/>
        </w:rPr>
        <w:tab/>
      </w:r>
      <w:r>
        <w:rPr>
          <w:color w:val="auto"/>
          <w:spacing w:val="0"/>
          <w:highlight w:val="none"/>
          <w:u w:val="single"/>
        </w:rPr>
        <w:t>月</w:t>
      </w:r>
      <w:r>
        <w:rPr>
          <w:color w:val="auto"/>
          <w:spacing w:val="0"/>
          <w:highlight w:val="none"/>
          <w:u w:val="single"/>
        </w:rPr>
        <w:tab/>
      </w:r>
      <w:r>
        <w:rPr>
          <w:color w:val="auto"/>
          <w:spacing w:val="0"/>
          <w:highlight w:val="none"/>
          <w:u w:val="single"/>
        </w:rPr>
        <w:t>日止。</w:t>
      </w:r>
    </w:p>
    <w:p w14:paraId="3E3EDE3C">
      <w:pPr>
        <w:kinsoku/>
        <w:topLinePunct/>
        <w:autoSpaceDE/>
        <w:autoSpaceDN/>
        <w:spacing w:line="360" w:lineRule="auto"/>
        <w:ind w:firstLine="420" w:firstLineChars="200"/>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、最高限制单价：</w:t>
      </w:r>
    </w:p>
    <w:p w14:paraId="5B75B8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highlight w:val="none"/>
          <w:lang w:val="zh-CN"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（一）评审服务费=</w:t>
      </w:r>
      <w:r>
        <w:rPr>
          <w:rFonts w:hint="eastAsia" w:asciiTheme="minorEastAsia" w:hAnsiTheme="minorEastAsia" w:eastAsiaTheme="minorEastAsia" w:cstheme="minorEastAsia"/>
          <w:bCs w:val="0"/>
          <w:color w:val="auto"/>
          <w:spacing w:val="0"/>
          <w:kern w:val="2"/>
          <w:sz w:val="21"/>
          <w:szCs w:val="21"/>
          <w:highlight w:val="none"/>
          <w:lang w:val="zh-CN" w:eastAsia="zh-CN" w:bidi="ar-SA"/>
        </w:rPr>
        <w:t>基本费或效益费（二者选高值）</w:t>
      </w:r>
    </w:p>
    <w:p w14:paraId="417E76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highlight w:val="none"/>
          <w:lang w:val="zh-CN" w:eastAsia="zh-CN" w:bidi="ar-SA"/>
        </w:rPr>
      </w:pPr>
      <w:r>
        <w:rPr>
          <w:rFonts w:hint="eastAsia" w:asciiTheme="minorEastAsia" w:hAnsiTheme="minorEastAsia" w:eastAsiaTheme="minorEastAsia" w:cstheme="minorEastAsia"/>
          <w:bCs w:val="0"/>
          <w:color w:val="auto"/>
          <w:spacing w:val="0"/>
          <w:kern w:val="2"/>
          <w:sz w:val="21"/>
          <w:szCs w:val="21"/>
          <w:highlight w:val="none"/>
          <w:lang w:val="zh-CN" w:eastAsia="zh-CN" w:bidi="ar-SA"/>
        </w:rPr>
        <w:t>（二）基本费、效益费的计算</w:t>
      </w:r>
    </w:p>
    <w:p w14:paraId="575EA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1.基本费按经财政部门确认的审定造价实行分段累进计算，基本费=∑（工程项目审定造价（不含暂列金额）×基本费费率×难度系数）：</w:t>
      </w:r>
    </w:p>
    <w:tbl>
      <w:tblPr>
        <w:tblStyle w:val="14"/>
        <w:tblW w:w="8130"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60"/>
        <w:gridCol w:w="1890"/>
        <w:gridCol w:w="2880"/>
      </w:tblGrid>
      <w:tr w14:paraId="6AF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trPr>
        <w:tc>
          <w:tcPr>
            <w:tcW w:w="3360" w:type="dxa"/>
            <w:noWrap w:val="0"/>
            <w:vAlign w:val="center"/>
          </w:tcPr>
          <w:p w14:paraId="22C9F583">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审定单项造价M（万元）</w:t>
            </w:r>
          </w:p>
        </w:tc>
        <w:tc>
          <w:tcPr>
            <w:tcW w:w="1890" w:type="dxa"/>
            <w:noWrap w:val="0"/>
            <w:vAlign w:val="center"/>
          </w:tcPr>
          <w:p w14:paraId="1AECA247">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审服务费计费标准（费率）‰</w:t>
            </w:r>
          </w:p>
        </w:tc>
        <w:tc>
          <w:tcPr>
            <w:tcW w:w="2880" w:type="dxa"/>
            <w:noWrap w:val="0"/>
            <w:vAlign w:val="center"/>
          </w:tcPr>
          <w:p w14:paraId="374CC307">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预算基本费最高值</w:t>
            </w:r>
          </w:p>
        </w:tc>
      </w:tr>
      <w:tr w14:paraId="521C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73954268">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500</w:t>
            </w:r>
          </w:p>
        </w:tc>
        <w:tc>
          <w:tcPr>
            <w:tcW w:w="1890" w:type="dxa"/>
            <w:noWrap w:val="0"/>
            <w:vAlign w:val="center"/>
          </w:tcPr>
          <w:p w14:paraId="4AEFDC9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461</w:t>
            </w:r>
          </w:p>
        </w:tc>
        <w:tc>
          <w:tcPr>
            <w:tcW w:w="2880" w:type="dxa"/>
            <w:vMerge w:val="restart"/>
            <w:noWrap w:val="0"/>
            <w:vAlign w:val="center"/>
          </w:tcPr>
          <w:p w14:paraId="78ACC4C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单笔评审费不得超过审定额的4‰</w:t>
            </w:r>
            <w:r>
              <w:rPr>
                <w:rFonts w:hint="eastAsia" w:ascii="宋体" w:hAnsi="宋体" w:eastAsia="宋体" w:cs="宋体"/>
                <w:color w:val="auto"/>
                <w:sz w:val="21"/>
                <w:szCs w:val="21"/>
                <w:highlight w:val="none"/>
                <w:lang w:val="en-US" w:eastAsia="zh-CN"/>
              </w:rPr>
              <w:t>,且不能超过50万元上限。</w:t>
            </w:r>
          </w:p>
        </w:tc>
      </w:tr>
      <w:tr w14:paraId="0D8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1C429BC0">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00&lt;M≤</w:t>
            </w:r>
            <w:r>
              <w:rPr>
                <w:rFonts w:hint="eastAsia" w:ascii="宋体" w:hAnsi="宋体" w:eastAsia="宋体" w:cs="宋体"/>
                <w:color w:val="auto"/>
                <w:sz w:val="21"/>
                <w:szCs w:val="21"/>
                <w:highlight w:val="none"/>
                <w:lang w:val="en-US" w:eastAsia="zh-CN"/>
              </w:rPr>
              <w:t>3000</w:t>
            </w:r>
          </w:p>
        </w:tc>
        <w:tc>
          <w:tcPr>
            <w:tcW w:w="1890" w:type="dxa"/>
            <w:noWrap w:val="0"/>
            <w:vAlign w:val="center"/>
          </w:tcPr>
          <w:p w14:paraId="73DB9EE7">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2880" w:type="dxa"/>
            <w:vMerge w:val="continue"/>
            <w:noWrap w:val="0"/>
            <w:vAlign w:val="center"/>
          </w:tcPr>
          <w:p w14:paraId="766D9D43">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p>
        </w:tc>
      </w:tr>
      <w:tr w14:paraId="51D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714C222F">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000&lt;M≤10000</w:t>
            </w:r>
          </w:p>
        </w:tc>
        <w:tc>
          <w:tcPr>
            <w:tcW w:w="1890" w:type="dxa"/>
            <w:noWrap w:val="0"/>
            <w:vAlign w:val="center"/>
          </w:tcPr>
          <w:p w14:paraId="70C1A23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73</w:t>
            </w:r>
          </w:p>
        </w:tc>
        <w:tc>
          <w:tcPr>
            <w:tcW w:w="2880" w:type="dxa"/>
            <w:vMerge w:val="continue"/>
            <w:noWrap w:val="0"/>
            <w:vAlign w:val="center"/>
          </w:tcPr>
          <w:p w14:paraId="2665294A">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p>
        </w:tc>
      </w:tr>
      <w:tr w14:paraId="397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45E4C4A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10000&lt;M≤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1890" w:type="dxa"/>
            <w:noWrap w:val="0"/>
            <w:vAlign w:val="center"/>
          </w:tcPr>
          <w:p w14:paraId="1DC76DBA">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37</w:t>
            </w:r>
          </w:p>
        </w:tc>
        <w:tc>
          <w:tcPr>
            <w:tcW w:w="2880" w:type="dxa"/>
            <w:vMerge w:val="continue"/>
            <w:noWrap w:val="0"/>
            <w:vAlign w:val="center"/>
          </w:tcPr>
          <w:p w14:paraId="22AB9BA7">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p>
        </w:tc>
      </w:tr>
      <w:tr w14:paraId="0C4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360" w:type="dxa"/>
            <w:noWrap w:val="0"/>
            <w:vAlign w:val="center"/>
          </w:tcPr>
          <w:p w14:paraId="752969E7">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0000&lt;M</w:t>
            </w:r>
          </w:p>
        </w:tc>
        <w:tc>
          <w:tcPr>
            <w:tcW w:w="1890" w:type="dxa"/>
            <w:noWrap w:val="0"/>
            <w:vAlign w:val="center"/>
          </w:tcPr>
          <w:p w14:paraId="415C1A21">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143</w:t>
            </w:r>
          </w:p>
        </w:tc>
        <w:tc>
          <w:tcPr>
            <w:tcW w:w="2880" w:type="dxa"/>
            <w:vMerge w:val="continue"/>
            <w:noWrap w:val="0"/>
            <w:vAlign w:val="center"/>
          </w:tcPr>
          <w:p w14:paraId="7D4BC688">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p>
        </w:tc>
      </w:tr>
    </w:tbl>
    <w:p w14:paraId="7281FB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p>
    <w:p w14:paraId="39D77D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2.效益费按经财政部门确认的净核减值实行分段累进计算，效益费=∑（净核</w:t>
      </w:r>
      <w:r>
        <w:rPr>
          <w:rFonts w:hint="eastAsia" w:asciiTheme="minorEastAsia" w:hAnsiTheme="minorEastAsia" w:eastAsiaTheme="minorEastAsia" w:cstheme="minorEastAsia"/>
          <w:color w:val="auto"/>
          <w:sz w:val="21"/>
          <w:szCs w:val="21"/>
          <w:highlight w:val="none"/>
          <w:lang w:val="zh-CN" w:eastAsia="zh-CN"/>
        </w:rPr>
        <w:t>减值</w:t>
      </w:r>
      <w:r>
        <w:rPr>
          <w:rFonts w:hint="eastAsia" w:asciiTheme="minorEastAsia" w:hAnsiTheme="minorEastAsia" w:eastAsiaTheme="minorEastAsia" w:cstheme="minorEastAsia"/>
          <w:color w:val="auto"/>
          <w:sz w:val="21"/>
          <w:szCs w:val="21"/>
          <w:highlight w:val="none"/>
          <w:lang w:val="en-US" w:eastAsia="zh-CN"/>
        </w:rPr>
        <w:t>×效率费费率×难度系数），净核减值（不含暂列金额、暂估价部分的核减），</w:t>
      </w:r>
      <w:r>
        <w:rPr>
          <w:rFonts w:hint="eastAsia" w:asciiTheme="minorEastAsia" w:hAnsiTheme="minorEastAsia" w:eastAsiaTheme="minorEastAsia" w:cstheme="minorEastAsia"/>
          <w:color w:val="auto"/>
          <w:sz w:val="21"/>
          <w:szCs w:val="21"/>
          <w:highlight w:val="none"/>
          <w:lang w:val="zh-CN" w:eastAsia="zh-CN"/>
        </w:rPr>
        <w:t>具体如下：</w:t>
      </w:r>
    </w:p>
    <w:tbl>
      <w:tblPr>
        <w:tblStyle w:val="14"/>
        <w:tblpPr w:leftFromText="180" w:rightFromText="180" w:vertAnchor="text" w:horzAnchor="page" w:tblpX="177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415"/>
        <w:gridCol w:w="1850"/>
        <w:gridCol w:w="2916"/>
      </w:tblGrid>
      <w:tr w14:paraId="79B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5" w:type="dxa"/>
            <w:noWrap w:val="0"/>
            <w:vAlign w:val="center"/>
          </w:tcPr>
          <w:p w14:paraId="742F05E0">
            <w:pPr>
              <w:pageBreakBefore w:val="0"/>
              <w:kinsoku/>
              <w:wordWrap/>
              <w:overflowPunct/>
              <w:topLinePunct w:val="0"/>
              <w:autoSpaceDE/>
              <w:autoSpaceDN w:val="0"/>
              <w:bidi w:val="0"/>
              <w:adjustRightInd/>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2415" w:type="dxa"/>
            <w:noWrap w:val="0"/>
            <w:vAlign w:val="center"/>
          </w:tcPr>
          <w:p w14:paraId="15A825C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净核减值</w:t>
            </w:r>
          </w:p>
        </w:tc>
        <w:tc>
          <w:tcPr>
            <w:tcW w:w="1850" w:type="dxa"/>
            <w:noWrap w:val="0"/>
            <w:vAlign w:val="center"/>
          </w:tcPr>
          <w:p w14:paraId="479E971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效率费率</w:t>
            </w:r>
          </w:p>
        </w:tc>
        <w:tc>
          <w:tcPr>
            <w:tcW w:w="2916" w:type="dxa"/>
            <w:noWrap w:val="0"/>
            <w:vAlign w:val="center"/>
          </w:tcPr>
          <w:p w14:paraId="7D1887C3">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预算基本费最高值</w:t>
            </w:r>
          </w:p>
        </w:tc>
      </w:tr>
      <w:tr w14:paraId="476D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5" w:type="dxa"/>
            <w:noWrap w:val="0"/>
            <w:vAlign w:val="center"/>
          </w:tcPr>
          <w:p w14:paraId="7F796FF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2415" w:type="dxa"/>
            <w:noWrap w:val="0"/>
            <w:vAlign w:val="center"/>
          </w:tcPr>
          <w:p w14:paraId="10C99629">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zh-CN"/>
              </w:rPr>
              <w:t>净核减值≤100万元</w:t>
            </w:r>
          </w:p>
        </w:tc>
        <w:tc>
          <w:tcPr>
            <w:tcW w:w="1850" w:type="dxa"/>
            <w:noWrap w:val="0"/>
            <w:vAlign w:val="center"/>
          </w:tcPr>
          <w:p w14:paraId="3816B9D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p>
        </w:tc>
        <w:tc>
          <w:tcPr>
            <w:tcW w:w="2916" w:type="dxa"/>
            <w:vMerge w:val="restart"/>
            <w:noWrap w:val="0"/>
            <w:vAlign w:val="center"/>
          </w:tcPr>
          <w:p w14:paraId="620A80D2">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p w14:paraId="7C5CFA13">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单笔评审费不得超过审定额的4‰</w:t>
            </w:r>
            <w:r>
              <w:rPr>
                <w:rFonts w:hint="eastAsia" w:ascii="宋体" w:hAnsi="宋体" w:eastAsia="宋体" w:cs="宋体"/>
                <w:color w:val="auto"/>
                <w:sz w:val="21"/>
                <w:szCs w:val="21"/>
                <w:highlight w:val="none"/>
                <w:lang w:val="en-US" w:eastAsia="zh-CN"/>
              </w:rPr>
              <w:t>,且不能超过50万元上限。</w:t>
            </w:r>
          </w:p>
        </w:tc>
      </w:tr>
      <w:tr w14:paraId="643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5" w:type="dxa"/>
            <w:noWrap w:val="0"/>
            <w:vAlign w:val="center"/>
          </w:tcPr>
          <w:p w14:paraId="311C511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2415" w:type="dxa"/>
            <w:noWrap w:val="0"/>
            <w:vAlign w:val="center"/>
          </w:tcPr>
          <w:p w14:paraId="37B12C9F">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100万元&lt;净核减值≤300万元</w:t>
            </w:r>
          </w:p>
        </w:tc>
        <w:tc>
          <w:tcPr>
            <w:tcW w:w="1850" w:type="dxa"/>
            <w:noWrap w:val="0"/>
            <w:vAlign w:val="center"/>
          </w:tcPr>
          <w:p w14:paraId="52FF163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7C87EFA4">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tc>
      </w:tr>
      <w:tr w14:paraId="0F55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5" w:type="dxa"/>
            <w:noWrap w:val="0"/>
            <w:vAlign w:val="center"/>
          </w:tcPr>
          <w:p w14:paraId="30ADB7D0">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p>
        </w:tc>
        <w:tc>
          <w:tcPr>
            <w:tcW w:w="2415" w:type="dxa"/>
            <w:noWrap w:val="0"/>
            <w:vAlign w:val="center"/>
          </w:tcPr>
          <w:p w14:paraId="0AF80C94">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300万元&lt;净核减值≤500万元</w:t>
            </w:r>
          </w:p>
        </w:tc>
        <w:tc>
          <w:tcPr>
            <w:tcW w:w="1850" w:type="dxa"/>
            <w:noWrap w:val="0"/>
            <w:vAlign w:val="center"/>
          </w:tcPr>
          <w:p w14:paraId="05B14A1F">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4%</w:t>
            </w:r>
          </w:p>
        </w:tc>
        <w:tc>
          <w:tcPr>
            <w:tcW w:w="2916" w:type="dxa"/>
            <w:vMerge w:val="continue"/>
            <w:noWrap w:val="0"/>
            <w:vAlign w:val="center"/>
          </w:tcPr>
          <w:p w14:paraId="34151EB0">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tc>
      </w:tr>
      <w:tr w14:paraId="4FBA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5" w:type="dxa"/>
            <w:noWrap w:val="0"/>
            <w:vAlign w:val="center"/>
          </w:tcPr>
          <w:p w14:paraId="17BDC1E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w:t>
            </w:r>
          </w:p>
        </w:tc>
        <w:tc>
          <w:tcPr>
            <w:tcW w:w="2415" w:type="dxa"/>
            <w:noWrap w:val="0"/>
            <w:vAlign w:val="center"/>
          </w:tcPr>
          <w:p w14:paraId="17BC450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500万元&lt;净核减值≤1000万元</w:t>
            </w:r>
          </w:p>
        </w:tc>
        <w:tc>
          <w:tcPr>
            <w:tcW w:w="1850" w:type="dxa"/>
            <w:noWrap w:val="0"/>
            <w:vAlign w:val="center"/>
          </w:tcPr>
          <w:p w14:paraId="6A2F9A1C">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2.18</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3C6EE93A">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tc>
      </w:tr>
      <w:tr w14:paraId="2BF6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5" w:type="dxa"/>
            <w:noWrap w:val="0"/>
            <w:vAlign w:val="center"/>
          </w:tcPr>
          <w:p w14:paraId="0A4ADC45">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w:t>
            </w:r>
          </w:p>
        </w:tc>
        <w:tc>
          <w:tcPr>
            <w:tcW w:w="2415" w:type="dxa"/>
            <w:noWrap w:val="0"/>
            <w:vAlign w:val="center"/>
          </w:tcPr>
          <w:p w14:paraId="16AD1CC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1000万元&lt;净核减值≤1500万元</w:t>
            </w:r>
          </w:p>
        </w:tc>
        <w:tc>
          <w:tcPr>
            <w:tcW w:w="1850" w:type="dxa"/>
            <w:noWrap w:val="0"/>
            <w:vAlign w:val="center"/>
          </w:tcPr>
          <w:p w14:paraId="53328FB6">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1.66</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6D6019D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p>
        </w:tc>
      </w:tr>
      <w:tr w14:paraId="68A6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55" w:type="dxa"/>
            <w:noWrap w:val="0"/>
            <w:vAlign w:val="center"/>
          </w:tcPr>
          <w:p w14:paraId="1C98BC50">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w:t>
            </w:r>
          </w:p>
        </w:tc>
        <w:tc>
          <w:tcPr>
            <w:tcW w:w="2415" w:type="dxa"/>
            <w:noWrap w:val="0"/>
            <w:vAlign w:val="center"/>
          </w:tcPr>
          <w:p w14:paraId="04FFB5C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r>
              <w:rPr>
                <w:rFonts w:hint="eastAsia" w:ascii="宋体" w:hAnsi="宋体" w:eastAsia="宋体" w:cs="宋体"/>
                <w:color w:val="auto"/>
                <w:sz w:val="21"/>
                <w:szCs w:val="21"/>
                <w:highlight w:val="none"/>
                <w:shd w:val="clear" w:color="auto" w:fill="FFFFFF"/>
                <w:lang w:val="en-US" w:eastAsia="zh-CN"/>
              </w:rPr>
              <w:t>500</w:t>
            </w:r>
            <w:r>
              <w:rPr>
                <w:rFonts w:hint="eastAsia" w:ascii="宋体" w:hAnsi="宋体" w:eastAsia="宋体" w:cs="宋体"/>
                <w:color w:val="auto"/>
                <w:sz w:val="21"/>
                <w:szCs w:val="21"/>
                <w:highlight w:val="none"/>
                <w:shd w:val="clear" w:color="auto" w:fill="FFFFFF"/>
                <w:lang w:val="zh-CN"/>
              </w:rPr>
              <w:t>万元&lt;净核减值</w:t>
            </w:r>
          </w:p>
        </w:tc>
        <w:tc>
          <w:tcPr>
            <w:tcW w:w="1850" w:type="dxa"/>
            <w:noWrap w:val="0"/>
            <w:vAlign w:val="center"/>
          </w:tcPr>
          <w:p w14:paraId="61788E1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0.33</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0A92592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p>
        </w:tc>
      </w:tr>
    </w:tbl>
    <w:p w14:paraId="4CF21379">
      <w:pPr>
        <w:pStyle w:val="21"/>
        <w:rPr>
          <w:color w:val="auto"/>
          <w:highlight w:val="none"/>
        </w:rPr>
      </w:pPr>
    </w:p>
    <w:p w14:paraId="776C860B">
      <w:pPr>
        <w:kinsoku/>
        <w:topLinePunct/>
        <w:autoSpaceDE/>
        <w:autoSpaceDN/>
        <w:spacing w:line="360" w:lineRule="auto"/>
        <w:ind w:firstLine="420" w:firstLineChars="200"/>
        <w:rPr>
          <w:rFonts w:ascii="宋体" w:hAnsi="宋体" w:cs="宋体"/>
          <w:color w:val="auto"/>
          <w:highlight w:val="none"/>
        </w:rPr>
      </w:pPr>
    </w:p>
    <w:p w14:paraId="7F31942C">
      <w:pPr>
        <w:kinsoku/>
        <w:topLinePunct/>
        <w:autoSpaceDE/>
        <w:autoSpaceDN/>
        <w:spacing w:line="360" w:lineRule="auto"/>
        <w:ind w:firstLine="420" w:firstLineChars="200"/>
        <w:rPr>
          <w:rFonts w:ascii="宋体" w:hAnsi="宋体" w:cs="宋体"/>
          <w:color w:val="auto"/>
          <w:highlight w:val="none"/>
        </w:rPr>
      </w:pPr>
    </w:p>
    <w:p w14:paraId="37D2DB67">
      <w:pPr>
        <w:kinsoku/>
        <w:topLinePunct/>
        <w:autoSpaceDE/>
        <w:autoSpaceDN/>
        <w:spacing w:line="360" w:lineRule="auto"/>
        <w:ind w:firstLine="420" w:firstLineChars="200"/>
        <w:rPr>
          <w:rFonts w:ascii="宋体" w:hAnsi="宋体" w:cs="宋体"/>
          <w:color w:val="auto"/>
          <w:highlight w:val="none"/>
        </w:rPr>
      </w:pPr>
    </w:p>
    <w:p w14:paraId="03E64A77">
      <w:pPr>
        <w:kinsoku/>
        <w:topLinePunct/>
        <w:autoSpaceDE/>
        <w:autoSpaceDN/>
        <w:spacing w:line="360" w:lineRule="auto"/>
        <w:ind w:firstLine="420" w:firstLineChars="200"/>
        <w:rPr>
          <w:rFonts w:ascii="宋体" w:hAnsi="宋体" w:cs="宋体"/>
          <w:color w:val="auto"/>
          <w:highlight w:val="none"/>
        </w:rPr>
      </w:pPr>
    </w:p>
    <w:p w14:paraId="55D563D3">
      <w:pPr>
        <w:kinsoku/>
        <w:topLinePunct/>
        <w:autoSpaceDE/>
        <w:autoSpaceDN/>
        <w:spacing w:line="360" w:lineRule="auto"/>
        <w:ind w:firstLine="420" w:firstLineChars="200"/>
        <w:rPr>
          <w:rFonts w:ascii="宋体" w:hAnsi="宋体" w:cs="宋体"/>
          <w:color w:val="auto"/>
          <w:highlight w:val="none"/>
        </w:rPr>
      </w:pPr>
    </w:p>
    <w:p w14:paraId="4878A9CB">
      <w:pPr>
        <w:kinsoku/>
        <w:topLinePunct/>
        <w:autoSpaceDE/>
        <w:autoSpaceDN/>
        <w:spacing w:line="360" w:lineRule="auto"/>
        <w:ind w:firstLine="420" w:firstLineChars="200"/>
        <w:rPr>
          <w:rFonts w:ascii="宋体" w:hAnsi="宋体" w:cs="宋体"/>
          <w:color w:val="auto"/>
          <w:highlight w:val="none"/>
        </w:rPr>
      </w:pPr>
    </w:p>
    <w:p w14:paraId="0A8FB750">
      <w:pPr>
        <w:kinsoku/>
        <w:topLinePunct/>
        <w:autoSpaceDE/>
        <w:autoSpaceDN/>
        <w:spacing w:line="360" w:lineRule="auto"/>
        <w:ind w:firstLine="420" w:firstLineChars="200"/>
        <w:rPr>
          <w:rFonts w:ascii="宋体" w:hAnsi="宋体" w:cs="宋体"/>
          <w:color w:val="auto"/>
          <w:highlight w:val="none"/>
        </w:rPr>
      </w:pPr>
    </w:p>
    <w:p w14:paraId="0BC27CD3">
      <w:pPr>
        <w:kinsoku/>
        <w:topLinePunct/>
        <w:autoSpaceDE/>
        <w:autoSpaceDN/>
        <w:spacing w:line="360" w:lineRule="auto"/>
        <w:ind w:firstLine="420" w:firstLineChars="200"/>
        <w:rPr>
          <w:rFonts w:ascii="宋体" w:hAnsi="宋体" w:cs="宋体"/>
          <w:color w:val="auto"/>
          <w:highlight w:val="none"/>
        </w:rPr>
      </w:pPr>
    </w:p>
    <w:p w14:paraId="68F46862">
      <w:pPr>
        <w:kinsoku/>
        <w:topLinePunct/>
        <w:autoSpaceDE/>
        <w:autoSpaceDN/>
        <w:spacing w:line="360" w:lineRule="auto"/>
        <w:ind w:firstLine="420" w:firstLineChars="200"/>
        <w:rPr>
          <w:rFonts w:ascii="宋体" w:hAnsi="宋体" w:cs="宋体"/>
          <w:color w:val="auto"/>
          <w:highlight w:val="none"/>
        </w:rPr>
      </w:pPr>
    </w:p>
    <w:p w14:paraId="67ECB81F">
      <w:pPr>
        <w:kinsoku/>
        <w:topLinePunct/>
        <w:autoSpaceDE/>
        <w:autoSpaceDN/>
        <w:spacing w:line="360" w:lineRule="auto"/>
        <w:ind w:firstLine="420" w:firstLineChars="200"/>
        <w:rPr>
          <w:rFonts w:ascii="宋体" w:hAnsi="宋体" w:cs="宋体"/>
          <w:color w:val="auto"/>
          <w:highlight w:val="none"/>
        </w:rPr>
      </w:pPr>
    </w:p>
    <w:p w14:paraId="5DA779DB">
      <w:pPr>
        <w:kinsoku/>
        <w:topLinePunct/>
        <w:autoSpaceDE/>
        <w:autoSpaceDN/>
        <w:spacing w:line="360" w:lineRule="auto"/>
        <w:ind w:firstLine="420" w:firstLineChars="200"/>
        <w:rPr>
          <w:rFonts w:ascii="宋体" w:hAnsi="宋体" w:cs="宋体"/>
          <w:color w:val="auto"/>
          <w:highlight w:val="none"/>
        </w:rPr>
      </w:pPr>
    </w:p>
    <w:p w14:paraId="5CFA1981">
      <w:pPr>
        <w:kinsoku/>
        <w:topLinePunct/>
        <w:autoSpaceDE/>
        <w:autoSpaceDN/>
        <w:spacing w:line="360" w:lineRule="auto"/>
        <w:ind w:firstLine="420" w:firstLineChars="200"/>
        <w:rPr>
          <w:rFonts w:ascii="宋体" w:hAnsi="宋体" w:cs="宋体"/>
          <w:color w:val="auto"/>
          <w:highlight w:val="none"/>
        </w:rPr>
      </w:pPr>
    </w:p>
    <w:p w14:paraId="417FF029">
      <w:pPr>
        <w:kinsoku/>
        <w:topLinePunct/>
        <w:autoSpaceDE/>
        <w:autoSpaceDN/>
        <w:spacing w:line="360" w:lineRule="auto"/>
        <w:ind w:firstLine="420" w:firstLineChars="200"/>
        <w:rPr>
          <w:rFonts w:ascii="宋体" w:hAnsi="宋体" w:cs="宋体"/>
          <w:color w:val="auto"/>
          <w:highlight w:val="none"/>
        </w:rPr>
      </w:pPr>
    </w:p>
    <w:p w14:paraId="5A1407CC">
      <w:pPr>
        <w:kinsoku/>
        <w:topLinePunct/>
        <w:autoSpaceDE/>
        <w:autoSpaceDN/>
        <w:spacing w:line="360" w:lineRule="auto"/>
        <w:ind w:firstLine="420" w:firstLineChars="200"/>
        <w:rPr>
          <w:rFonts w:hint="eastAsia" w:ascii="宋体" w:hAnsi="宋体" w:cs="宋体"/>
          <w:color w:val="auto"/>
          <w:highlight w:val="none"/>
        </w:rPr>
      </w:pPr>
    </w:p>
    <w:p w14:paraId="45FBF3C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第二条框架协议信息</w:t>
      </w:r>
    </w:p>
    <w:p w14:paraId="5D89DB9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、服务内容、服务标准、协议价格</w:t>
      </w:r>
    </w:p>
    <w:p w14:paraId="4D7FF69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服务内容：</w:t>
      </w:r>
    </w:p>
    <w:p w14:paraId="4A4B61DC">
      <w:pPr>
        <w:kinsoku/>
        <w:topLinePunct/>
        <w:autoSpaceDE/>
        <w:autoSpaceDN/>
        <w:spacing w:line="360" w:lineRule="auto"/>
        <w:ind w:firstLine="420" w:firstLineChars="200"/>
        <w:rPr>
          <w:rFonts w:ascii="宋体" w:cs="宋体"/>
          <w:color w:val="auto"/>
          <w:highlight w:val="none"/>
          <w:u w:val="none"/>
        </w:rPr>
      </w:pPr>
      <w:r>
        <w:rPr>
          <w:color w:val="auto"/>
          <w:spacing w:val="0"/>
          <w:sz w:val="21"/>
          <w:highlight w:val="none"/>
          <w:u w:val="none"/>
        </w:rPr>
        <w:t>协助</w:t>
      </w:r>
      <w:r>
        <w:rPr>
          <w:rFonts w:hint="eastAsia"/>
          <w:color w:val="auto"/>
          <w:spacing w:val="0"/>
          <w:sz w:val="21"/>
          <w:highlight w:val="none"/>
          <w:u w:val="none"/>
          <w:lang w:eastAsia="zh-CN"/>
        </w:rPr>
        <w:t>审核</w:t>
      </w:r>
      <w:r>
        <w:rPr>
          <w:rFonts w:hint="eastAsia" w:asciiTheme="minorEastAsia" w:hAnsiTheme="minorEastAsia" w:eastAsiaTheme="minorEastAsia" w:cstheme="minorEastAsia"/>
          <w:color w:val="auto"/>
          <w:sz w:val="21"/>
          <w:szCs w:val="21"/>
          <w:highlight w:val="none"/>
          <w:u w:val="none"/>
        </w:rPr>
        <w:t>政府</w:t>
      </w:r>
      <w:r>
        <w:rPr>
          <w:rFonts w:hint="eastAsia" w:asciiTheme="minorEastAsia" w:hAnsiTheme="minorEastAsia" w:eastAsiaTheme="minorEastAsia" w:cstheme="minorEastAsia"/>
          <w:color w:val="auto"/>
          <w:sz w:val="21"/>
          <w:szCs w:val="21"/>
          <w:highlight w:val="none"/>
          <w:u w:val="none"/>
          <w:lang w:eastAsia="zh-CN"/>
        </w:rPr>
        <w:t>性</w:t>
      </w:r>
      <w:r>
        <w:rPr>
          <w:rFonts w:hint="eastAsia" w:asciiTheme="minorEastAsia" w:hAnsiTheme="minorEastAsia" w:eastAsiaTheme="minorEastAsia" w:cstheme="minorEastAsia"/>
          <w:color w:val="auto"/>
          <w:sz w:val="21"/>
          <w:szCs w:val="21"/>
          <w:highlight w:val="none"/>
          <w:u w:val="none"/>
        </w:rPr>
        <w:t>投资项目工程</w:t>
      </w:r>
      <w:r>
        <w:rPr>
          <w:rFonts w:hint="eastAsia" w:asciiTheme="minorEastAsia" w:hAnsiTheme="minorEastAsia" w:eastAsiaTheme="minorEastAsia" w:cstheme="minorEastAsia"/>
          <w:color w:val="auto"/>
          <w:sz w:val="21"/>
          <w:szCs w:val="21"/>
          <w:highlight w:val="none"/>
          <w:u w:val="none"/>
          <w:lang w:val="en-US" w:eastAsia="zh-CN"/>
        </w:rPr>
        <w:t>概（预）算</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招标控制价</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含</w:t>
      </w:r>
      <w:r>
        <w:rPr>
          <w:rFonts w:hint="eastAsia" w:asciiTheme="minorEastAsia" w:hAnsiTheme="minorEastAsia" w:eastAsiaTheme="minorEastAsia" w:cstheme="minorEastAsia"/>
          <w:color w:val="auto"/>
          <w:sz w:val="21"/>
          <w:szCs w:val="21"/>
          <w:highlight w:val="none"/>
          <w:u w:val="none"/>
          <w:lang w:val="en-US" w:eastAsia="zh-CN"/>
        </w:rPr>
        <w:t>工程量清单）</w:t>
      </w:r>
      <w:r>
        <w:rPr>
          <w:rFonts w:hint="eastAsia" w:ascii="宋体" w:hAnsi="宋体" w:cs="宋体"/>
          <w:color w:val="auto"/>
          <w:highlight w:val="none"/>
          <w:u w:val="none"/>
        </w:rPr>
        <w:t>等工作。</w:t>
      </w:r>
    </w:p>
    <w:p w14:paraId="6B52CF7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服务标准：</w:t>
      </w:r>
    </w:p>
    <w:p w14:paraId="0E5AAA2A">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1</w:t>
      </w:r>
      <w:r>
        <w:rPr>
          <w:rFonts w:hint="eastAsia" w:ascii="宋体" w:hAnsi="宋体" w:cs="宋体"/>
          <w:color w:val="auto"/>
          <w:highlight w:val="none"/>
          <w:u w:val="single"/>
        </w:rPr>
        <w:t>）严格遵守国家的法律、法规和有关规章制度，严格遵守行为准则和职业道德，按现行的财政投资项目评审操作规程及质量控制办法规定的执行。</w:t>
      </w:r>
    </w:p>
    <w:p w14:paraId="3CA0DCC8">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2</w:t>
      </w:r>
      <w:r>
        <w:rPr>
          <w:rFonts w:hint="eastAsia" w:ascii="宋体" w:hAnsi="宋体" w:cs="宋体"/>
          <w:color w:val="auto"/>
          <w:highlight w:val="none"/>
          <w:u w:val="single"/>
        </w:rPr>
        <w:t>）严格按照现行的工程造价管理办法、工程结算编审规程等文件要求进行评审工作，依照相关依据发表专业意见出具成果文件，并对成果的真实性、完整性、准确性负责。</w:t>
      </w:r>
    </w:p>
    <w:p w14:paraId="4E04332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3</w:t>
      </w:r>
      <w:r>
        <w:rPr>
          <w:rFonts w:hint="eastAsia" w:ascii="宋体" w:hAnsi="宋体" w:cs="宋体"/>
          <w:color w:val="auto"/>
          <w:highlight w:val="none"/>
          <w:u w:val="single"/>
        </w:rPr>
        <w:t>）评审人员在项目评审工程中，应该恪守客观公正、实事求是的原则，确保评审工作的真实完整和准确，保证评审质量。</w:t>
      </w:r>
    </w:p>
    <w:p w14:paraId="4BC3645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4</w:t>
      </w:r>
      <w:r>
        <w:rPr>
          <w:rFonts w:hint="eastAsia" w:ascii="宋体" w:hAnsi="宋体" w:cs="宋体"/>
          <w:color w:val="auto"/>
          <w:highlight w:val="none"/>
          <w:u w:val="single"/>
        </w:rPr>
        <w:t>）评审报告编制标准</w:t>
      </w:r>
    </w:p>
    <w:p w14:paraId="61849154">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评审内容完整、数据准确、依据充分，评审结论定性客观、定量准确、依据充分，核增核减原因定性准确、条理清晰，披露评审问题有理有据、分析透彻，提出评审建议措施具体、针对性强。</w:t>
      </w:r>
    </w:p>
    <w:p w14:paraId="001911E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协议价格：</w:t>
      </w:r>
      <w:r>
        <w:rPr>
          <w:rFonts w:hint="eastAsia" w:ascii="宋体" w:hAnsi="宋体" w:cs="宋体"/>
          <w:color w:val="auto"/>
          <w:highlight w:val="none"/>
          <w:u w:val="single"/>
        </w:rPr>
        <w:t>同“最高限制单价”。</w:t>
      </w:r>
    </w:p>
    <w:p w14:paraId="72F8A2F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、合同价格形式：</w:t>
      </w:r>
      <w:r>
        <w:rPr>
          <w:color w:val="auto"/>
          <w:spacing w:val="0"/>
          <w:w w:val="100"/>
          <w:sz w:val="21"/>
          <w:highlight w:val="none"/>
          <w:u w:val="single"/>
        </w:rPr>
        <w:t>与最高限制单价一致</w:t>
      </w:r>
      <w:r>
        <w:rPr>
          <w:rFonts w:hint="eastAsia" w:ascii="宋体" w:hAnsi="宋体" w:cs="宋体"/>
          <w:color w:val="auto"/>
          <w:highlight w:val="none"/>
          <w:u w:val="single"/>
        </w:rPr>
        <w:t>。</w:t>
      </w:r>
    </w:p>
    <w:p w14:paraId="462F6CBE">
      <w:pPr>
        <w:kinsoku/>
        <w:topLinePunct/>
        <w:autoSpaceDE/>
        <w:autoSpaceDN/>
        <w:spacing w:line="360" w:lineRule="auto"/>
        <w:ind w:firstLine="420" w:firstLineChars="200"/>
        <w:rPr>
          <w:rFonts w:ascii="宋体" w:cs="宋体"/>
          <w:color w:val="auto"/>
          <w:highlight w:val="none"/>
          <w:u w:val="single"/>
        </w:rPr>
      </w:pPr>
      <w:r>
        <w:rPr>
          <w:rFonts w:ascii="宋体" w:hAnsi="宋体" w:cs="宋体"/>
          <w:color w:val="auto"/>
          <w:highlight w:val="none"/>
        </w:rPr>
        <w:t>3</w:t>
      </w:r>
      <w:r>
        <w:rPr>
          <w:rFonts w:hint="eastAsia" w:ascii="宋体" w:hAnsi="宋体" w:cs="宋体"/>
          <w:color w:val="auto"/>
          <w:highlight w:val="none"/>
        </w:rPr>
        <w:t>、适用框架协议的采购人：</w:t>
      </w:r>
      <w:r>
        <w:rPr>
          <w:rFonts w:hint="eastAsia" w:ascii="宋体" w:hAnsi="宋体" w:cs="宋体"/>
          <w:color w:val="auto"/>
          <w:highlight w:val="none"/>
          <w:u w:val="single"/>
          <w:lang w:eastAsia="zh-CN"/>
        </w:rPr>
        <w:t>防城港市防城区财政局</w:t>
      </w:r>
      <w:r>
        <w:rPr>
          <w:rFonts w:hint="eastAsia" w:ascii="宋体" w:hAnsi="宋体" w:cs="宋体"/>
          <w:color w:val="auto"/>
          <w:highlight w:val="none"/>
          <w:u w:val="single"/>
        </w:rPr>
        <w:t>。</w:t>
      </w:r>
    </w:p>
    <w:p w14:paraId="643AB526">
      <w:pPr>
        <w:kinsoku/>
        <w:topLinePunct/>
        <w:autoSpaceDE/>
        <w:autoSpaceDN/>
        <w:spacing w:line="360" w:lineRule="auto"/>
        <w:ind w:firstLine="420" w:firstLineChars="200"/>
        <w:rPr>
          <w:rFonts w:ascii="宋体" w:cs="宋体"/>
          <w:color w:val="auto"/>
          <w:highlight w:val="none"/>
          <w:u w:val="single"/>
        </w:rPr>
      </w:pPr>
      <w:r>
        <w:rPr>
          <w:rFonts w:ascii="宋体" w:hAnsi="宋体" w:cs="宋体"/>
          <w:color w:val="auto"/>
          <w:highlight w:val="none"/>
        </w:rPr>
        <w:t>4</w:t>
      </w:r>
      <w:r>
        <w:rPr>
          <w:rFonts w:hint="eastAsia" w:ascii="宋体" w:hAnsi="宋体" w:cs="宋体"/>
          <w:color w:val="auto"/>
          <w:highlight w:val="none"/>
        </w:rPr>
        <w:t>、履行合同的地域范围：</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防城港市防城区</w:t>
      </w:r>
      <w:r>
        <w:rPr>
          <w:rFonts w:hint="eastAsia" w:ascii="宋体" w:hAnsi="宋体" w:cs="宋体"/>
          <w:color w:val="auto"/>
          <w:highlight w:val="none"/>
          <w:u w:val="single"/>
        </w:rPr>
        <w:t>采购单位指定地点。</w:t>
      </w:r>
    </w:p>
    <w:p w14:paraId="0B480BA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第三条确定第二阶段成交供应商的方式</w:t>
      </w:r>
    </w:p>
    <w:p w14:paraId="121D2B1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、采购人在入围供应商中通过</w:t>
      </w:r>
      <w:r>
        <w:rPr>
          <w:rFonts w:hint="eastAsia" w:ascii="宋体" w:hAnsi="宋体" w:cs="宋体"/>
          <w:color w:val="auto"/>
          <w:highlight w:val="none"/>
          <w:u w:val="single"/>
        </w:rPr>
        <w:t>（</w:t>
      </w:r>
      <w:r>
        <w:rPr>
          <w:rFonts w:ascii="宋体" w:hAnsi="宋体" w:cs="宋体"/>
          <w:color w:val="auto"/>
          <w:highlight w:val="none"/>
          <w:u w:val="single"/>
        </w:rPr>
        <w:t>1</w:t>
      </w:r>
      <w:r>
        <w:rPr>
          <w:rFonts w:hint="eastAsia" w:ascii="宋体" w:hAnsi="宋体" w:cs="宋体"/>
          <w:color w:val="auto"/>
          <w:highlight w:val="none"/>
          <w:u w:val="single"/>
        </w:rPr>
        <w:t>）</w:t>
      </w:r>
      <w:r>
        <w:rPr>
          <w:rFonts w:hint="eastAsia" w:ascii="宋体" w:hAnsi="宋体" w:cs="宋体"/>
          <w:color w:val="auto"/>
          <w:highlight w:val="none"/>
        </w:rPr>
        <w:t>种方式确定成交供应商并签订合同。</w:t>
      </w:r>
    </w:p>
    <w:p w14:paraId="2C0DEB3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）直接选定，依据入围产品价格、质量以及服务便利性、用户评价等因素，从入围供应商中直接选定成交供应商。</w:t>
      </w:r>
    </w:p>
    <w:p w14:paraId="36D173E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）二次竞价</w:t>
      </w:r>
    </w:p>
    <w:p w14:paraId="24A09C1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二次竞价规则：协议方乙方以第一阶段的响应报价</w:t>
      </w:r>
      <w:r>
        <w:rPr>
          <w:rFonts w:ascii="宋体" w:hAnsi="宋体" w:cs="宋体"/>
          <w:color w:val="auto"/>
          <w:highlight w:val="none"/>
        </w:rPr>
        <w:t>(</w:t>
      </w:r>
      <w:r>
        <w:rPr>
          <w:rFonts w:hint="eastAsia" w:ascii="宋体" w:hAnsi="宋体" w:cs="宋体"/>
          <w:color w:val="auto"/>
          <w:highlight w:val="none"/>
        </w:rPr>
        <w:t>协议价格</w:t>
      </w:r>
      <w:r>
        <w:rPr>
          <w:rFonts w:ascii="宋体" w:hAnsi="宋体" w:cs="宋体"/>
          <w:color w:val="auto"/>
          <w:highlight w:val="none"/>
        </w:rPr>
        <w:t>)</w:t>
      </w:r>
      <w:r>
        <w:rPr>
          <w:rFonts w:hint="eastAsia" w:ascii="宋体" w:hAnsi="宋体" w:cs="宋体"/>
          <w:color w:val="auto"/>
          <w:highlight w:val="none"/>
        </w:rPr>
        <w:t>为最高限价，依照响应文件中承诺的入围产品</w:t>
      </w:r>
      <w:r>
        <w:rPr>
          <w:rFonts w:ascii="宋体" w:hAnsi="宋体" w:cs="宋体"/>
          <w:color w:val="auto"/>
          <w:highlight w:val="none"/>
        </w:rPr>
        <w:t>(</w:t>
      </w:r>
      <w:r>
        <w:rPr>
          <w:rFonts w:hint="eastAsia" w:ascii="宋体" w:hAnsi="宋体" w:cs="宋体"/>
          <w:color w:val="auto"/>
          <w:highlight w:val="none"/>
        </w:rPr>
        <w:t>服务</w:t>
      </w:r>
      <w:r>
        <w:rPr>
          <w:rFonts w:ascii="宋体" w:hAnsi="宋体" w:cs="宋体"/>
          <w:color w:val="auto"/>
          <w:highlight w:val="none"/>
        </w:rPr>
        <w:t>)</w:t>
      </w:r>
      <w:r>
        <w:rPr>
          <w:rFonts w:hint="eastAsia" w:ascii="宋体" w:hAnsi="宋体" w:cs="宋体"/>
          <w:color w:val="auto"/>
          <w:highlight w:val="none"/>
        </w:rPr>
        <w:t>、采购合同等事项，根据采购人明确的竞价需求，参与二次竞价，以报价最低的为成交供应商。</w:t>
      </w:r>
    </w:p>
    <w:p w14:paraId="50F653C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二次竞价截止时间：</w:t>
      </w:r>
      <w:r>
        <w:rPr>
          <w:rFonts w:ascii="宋体" w:hAnsi="宋体" w:cs="宋体"/>
          <w:color w:val="auto"/>
          <w:highlight w:val="none"/>
          <w:u w:val="single"/>
        </w:rPr>
        <w:t>/</w:t>
      </w:r>
    </w:p>
    <w:p w14:paraId="34B11A9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二次竞价需求：</w:t>
      </w:r>
      <w:r>
        <w:rPr>
          <w:rFonts w:ascii="宋体" w:hAnsi="宋体" w:cs="宋体"/>
          <w:color w:val="auto"/>
          <w:highlight w:val="none"/>
          <w:u w:val="single"/>
        </w:rPr>
        <w:t>/</w:t>
      </w:r>
    </w:p>
    <w:p w14:paraId="1B1BFF3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）顺序轮候</w:t>
      </w:r>
    </w:p>
    <w:p w14:paraId="6E9F166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顺序轮候规则：以入围供应商从高到低排名依次进行合同授予，每个入围供应商在一个顺序轮候期内，仅能获得一次合同授予的机会。</w:t>
      </w:r>
      <w:r>
        <w:rPr>
          <w:color w:val="auto"/>
          <w:spacing w:val="0"/>
          <w:highlight w:val="none"/>
        </w:rPr>
        <w:t>框架协议有效期截止后，轮候则终止，不保证所有供应商所承接的实际项目数量或金额均等。</w:t>
      </w:r>
    </w:p>
    <w:p w14:paraId="7FFE3B76">
      <w:pPr>
        <w:kinsoku/>
        <w:topLinePunct/>
        <w:autoSpaceDE/>
        <w:autoSpaceDN/>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顺序轮候期：</w:t>
      </w:r>
      <w:r>
        <w:rPr>
          <w:rFonts w:ascii="宋体" w:hAnsi="宋体" w:cs="宋体"/>
          <w:color w:val="auto"/>
          <w:highlight w:val="none"/>
          <w:u w:val="single"/>
        </w:rPr>
        <w:t>/</w:t>
      </w:r>
    </w:p>
    <w:p w14:paraId="5AF955D3">
      <w:pPr>
        <w:pStyle w:val="4"/>
        <w:numPr>
          <w:ilvl w:val="0"/>
          <w:numId w:val="0"/>
        </w:numPr>
        <w:ind w:leftChars="0"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第四条入围产品升级换代规则</w:t>
      </w:r>
    </w:p>
    <w:p w14:paraId="2C25ECCF">
      <w:pPr>
        <w:pStyle w:val="5"/>
        <w:spacing w:before="2" w:line="393" w:lineRule="auto"/>
        <w:ind w:right="7059"/>
        <w:rPr>
          <w:b w:val="0"/>
          <w:color w:val="auto"/>
          <w:spacing w:val="0"/>
          <w:highlight w:val="none"/>
        </w:rPr>
      </w:pPr>
      <w:r>
        <w:rPr>
          <w:b w:val="0"/>
          <w:color w:val="auto"/>
          <w:spacing w:val="0"/>
          <w:highlight w:val="none"/>
          <w:u w:val="single"/>
        </w:rPr>
        <w:t>无。</w:t>
      </w:r>
    </w:p>
    <w:p w14:paraId="22B0B66D">
      <w:pPr>
        <w:kinsoku/>
        <w:topLinePunct/>
        <w:autoSpaceDE/>
        <w:autoSpaceDN/>
        <w:spacing w:line="360" w:lineRule="auto"/>
        <w:ind w:firstLine="210" w:firstLineChars="1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条资金支付方式、时间、条件</w:t>
      </w:r>
    </w:p>
    <w:p w14:paraId="1B098A5B">
      <w:pPr>
        <w:keepNext w:val="0"/>
        <w:keepLines w:val="0"/>
        <w:widowControl/>
        <w:suppressLineNumbers w:val="0"/>
        <w:ind w:firstLine="420" w:firstLineChars="200"/>
        <w:jc w:val="left"/>
        <w:rPr>
          <w:color w:val="auto"/>
          <w:highlight w:val="none"/>
        </w:rPr>
      </w:pPr>
      <w:r>
        <w:rPr>
          <w:rFonts w:ascii="宋体" w:hAnsi="宋体" w:cs="宋体"/>
          <w:color w:val="auto"/>
          <w:highlight w:val="none"/>
        </w:rPr>
        <w:t>1</w:t>
      </w:r>
      <w:r>
        <w:rPr>
          <w:rFonts w:hint="eastAsia" w:ascii="宋体" w:hAnsi="宋体" w:cs="宋体"/>
          <w:color w:val="auto"/>
          <w:highlight w:val="none"/>
        </w:rPr>
        <w:t>、</w:t>
      </w:r>
      <w:r>
        <w:rPr>
          <w:color w:val="auto"/>
          <w:spacing w:val="0"/>
          <w:highlight w:val="none"/>
        </w:rPr>
        <w:t>协审服务费无预付款，供应商在完成协审工作</w:t>
      </w:r>
      <w:r>
        <w:rPr>
          <w:rFonts w:hint="eastAsia"/>
          <w:color w:val="auto"/>
          <w:spacing w:val="0"/>
          <w:highlight w:val="none"/>
          <w:lang w:eastAsia="zh-CN"/>
        </w:rPr>
        <w:t>后</w:t>
      </w:r>
      <w:r>
        <w:rPr>
          <w:color w:val="auto"/>
          <w:spacing w:val="0"/>
          <w:highlight w:val="none"/>
        </w:rPr>
        <w:t>，</w:t>
      </w:r>
      <w:r>
        <w:rPr>
          <w:rFonts w:hint="eastAsia"/>
          <w:color w:val="auto"/>
          <w:spacing w:val="0"/>
          <w:highlight w:val="none"/>
          <w:lang w:eastAsia="zh-CN"/>
        </w:rPr>
        <w:t>根据完成评审</w:t>
      </w:r>
      <w:r>
        <w:rPr>
          <w:rFonts w:hint="eastAsia"/>
          <w:color w:val="auto"/>
          <w:spacing w:val="0"/>
          <w:highlight w:val="none"/>
        </w:rPr>
        <w:t>项目申请支付</w:t>
      </w:r>
      <w:r>
        <w:rPr>
          <w:rFonts w:hint="eastAsia"/>
          <w:color w:val="auto"/>
          <w:spacing w:val="0"/>
          <w:highlight w:val="none"/>
          <w:lang w:eastAsia="zh-CN"/>
        </w:rPr>
        <w:t>（按征集</w:t>
      </w:r>
      <w:r>
        <w:rPr>
          <w:rFonts w:hint="eastAsia"/>
          <w:color w:val="auto"/>
          <w:spacing w:val="0"/>
          <w:highlight w:val="none"/>
          <w:lang w:val="en-US" w:eastAsia="zh-CN"/>
        </w:rPr>
        <w:t>人要求提供相关材料</w:t>
      </w:r>
      <w:r>
        <w:rPr>
          <w:rFonts w:hint="eastAsia"/>
          <w:color w:val="auto"/>
          <w:spacing w:val="0"/>
          <w:highlight w:val="none"/>
          <w:lang w:eastAsia="zh-CN"/>
        </w:rPr>
        <w:t>）</w:t>
      </w:r>
      <w:r>
        <w:rPr>
          <w:rFonts w:hint="eastAsia"/>
          <w:color w:val="auto"/>
          <w:spacing w:val="0"/>
          <w:highlight w:val="none"/>
        </w:rPr>
        <w:t>。</w:t>
      </w:r>
      <w:r>
        <w:rPr>
          <w:rFonts w:hint="eastAsia"/>
          <w:color w:val="auto"/>
          <w:spacing w:val="0"/>
          <w:highlight w:val="none"/>
          <w:lang w:eastAsia="zh-CN"/>
        </w:rPr>
        <w:t>征集</w:t>
      </w:r>
      <w:r>
        <w:rPr>
          <w:rFonts w:hint="eastAsia"/>
          <w:color w:val="auto"/>
          <w:spacing w:val="0"/>
          <w:highlight w:val="none"/>
          <w:lang w:val="en-US" w:eastAsia="zh-CN"/>
        </w:rPr>
        <w:t>人根据</w:t>
      </w:r>
      <w:r>
        <w:rPr>
          <w:color w:val="auto"/>
          <w:spacing w:val="0"/>
          <w:highlight w:val="none"/>
        </w:rPr>
        <w:t>供应商</w:t>
      </w:r>
      <w:r>
        <w:rPr>
          <w:rFonts w:hint="eastAsia"/>
          <w:color w:val="auto"/>
          <w:spacing w:val="0"/>
          <w:highlight w:val="none"/>
        </w:rPr>
        <w:t>完成项目评审工作，</w:t>
      </w:r>
      <w:r>
        <w:rPr>
          <w:rFonts w:hint="eastAsia" w:asciiTheme="minorEastAsia" w:hAnsiTheme="minorEastAsia" w:eastAsiaTheme="minorEastAsia" w:cstheme="minorEastAsia"/>
          <w:color w:val="auto"/>
          <w:sz w:val="21"/>
          <w:szCs w:val="21"/>
          <w:highlight w:val="none"/>
        </w:rPr>
        <w:t>出具评审报告后</w:t>
      </w:r>
      <w:r>
        <w:rPr>
          <w:rFonts w:hint="eastAsia" w:asciiTheme="minorEastAsia" w:hAnsiTheme="minorEastAsia" w:eastAsiaTheme="minorEastAsia" w:cstheme="minorEastAsia"/>
          <w:color w:val="auto"/>
          <w:sz w:val="21"/>
          <w:szCs w:val="21"/>
          <w:highlight w:val="none"/>
          <w:lang w:eastAsia="zh-CN"/>
        </w:rPr>
        <w:t>计费</w:t>
      </w:r>
      <w:r>
        <w:rPr>
          <w:rFonts w:hint="eastAsia"/>
          <w:color w:val="auto"/>
          <w:spacing w:val="0"/>
          <w:highlight w:val="none"/>
          <w:lang w:val="en-US" w:eastAsia="zh-CN"/>
        </w:rPr>
        <w:t>,</w:t>
      </w:r>
      <w:r>
        <w:rPr>
          <w:rFonts w:hint="eastAsia"/>
          <w:color w:val="auto"/>
          <w:spacing w:val="0"/>
          <w:highlight w:val="none"/>
        </w:rPr>
        <w:t>原则上每半年支付一次</w:t>
      </w:r>
      <w:r>
        <w:rPr>
          <w:rFonts w:hint="eastAsia"/>
          <w:color w:val="auto"/>
          <w:spacing w:val="0"/>
          <w:highlight w:val="none"/>
          <w:lang w:eastAsia="zh-CN"/>
        </w:rPr>
        <w:t>，征集</w:t>
      </w:r>
      <w:r>
        <w:rPr>
          <w:rFonts w:hint="eastAsia"/>
          <w:color w:val="auto"/>
          <w:spacing w:val="0"/>
          <w:highlight w:val="none"/>
          <w:lang w:val="en-US" w:eastAsia="zh-CN"/>
        </w:rPr>
        <w:t>人</w:t>
      </w:r>
      <w:r>
        <w:rPr>
          <w:rFonts w:hint="eastAsia" w:ascii="宋体" w:hAnsi="宋体" w:eastAsia="宋体" w:cs="宋体"/>
          <w:color w:val="auto"/>
          <w:kern w:val="0"/>
          <w:sz w:val="21"/>
          <w:szCs w:val="21"/>
          <w:highlight w:val="none"/>
          <w:lang w:val="en-US" w:eastAsia="zh-CN" w:bidi="ar"/>
        </w:rPr>
        <w:t>审核</w:t>
      </w:r>
      <w:r>
        <w:rPr>
          <w:rFonts w:hint="eastAsia"/>
          <w:color w:val="auto"/>
          <w:spacing w:val="0"/>
          <w:highlight w:val="none"/>
          <w:lang w:val="en-US" w:eastAsia="zh-CN"/>
        </w:rPr>
        <w:t>相关材料</w:t>
      </w:r>
      <w:r>
        <w:rPr>
          <w:rFonts w:hint="eastAsia" w:ascii="宋体" w:hAnsi="宋体" w:eastAsia="宋体" w:cs="宋体"/>
          <w:color w:val="auto"/>
          <w:kern w:val="0"/>
          <w:sz w:val="21"/>
          <w:szCs w:val="21"/>
          <w:highlight w:val="none"/>
          <w:lang w:val="en-US" w:eastAsia="zh-CN" w:bidi="ar"/>
        </w:rPr>
        <w:t>确认无误后通过转账方式支付。</w:t>
      </w:r>
    </w:p>
    <w:p w14:paraId="1CA551D9">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双方账户信息如下：</w:t>
      </w:r>
    </w:p>
    <w:p w14:paraId="65E10B26">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甲方名称：</w:t>
      </w:r>
      <w:r>
        <w:rPr>
          <w:rFonts w:hint="eastAsia" w:ascii="宋体" w:hAnsi="宋体" w:cs="宋体"/>
          <w:color w:val="auto"/>
          <w:highlight w:val="none"/>
          <w:u w:val="single"/>
          <w:lang w:eastAsia="zh-CN"/>
        </w:rPr>
        <w:t>防城港市防城区财政局</w:t>
      </w:r>
    </w:p>
    <w:p w14:paraId="4F6AA4D4">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国税纳税人识别号：</w:t>
      </w:r>
    </w:p>
    <w:p w14:paraId="5D214651">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户名</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防城港市防城区财政资金管理支付中心</w:t>
      </w:r>
    </w:p>
    <w:p w14:paraId="5618FA0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开户行：</w:t>
      </w:r>
      <w:r>
        <w:rPr>
          <w:rFonts w:hint="eastAsia" w:ascii="宋体" w:hAnsi="宋体" w:cs="宋体"/>
          <w:color w:val="auto"/>
          <w:highlight w:val="none"/>
          <w:lang w:val="en-US" w:eastAsia="zh-CN"/>
        </w:rPr>
        <w:t>中国工商银行防城支行</w:t>
      </w:r>
    </w:p>
    <w:p w14:paraId="5AACE35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帐号：</w:t>
      </w:r>
      <w:r>
        <w:rPr>
          <w:rFonts w:hint="eastAsia" w:ascii="宋体" w:hAnsi="宋体" w:cs="宋体"/>
          <w:color w:val="auto"/>
          <w:highlight w:val="none"/>
          <w:lang w:val="en-US" w:eastAsia="zh-CN"/>
        </w:rPr>
        <w:t>2107575009026400262</w:t>
      </w:r>
    </w:p>
    <w:p w14:paraId="368E3746">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地址：防城港市防城区金花茶大道辅路大坡路5号新城大厦防城区财政局</w:t>
      </w:r>
    </w:p>
    <w:p w14:paraId="7A806F74">
      <w:pPr>
        <w:kinsoku/>
        <w:topLinePunct/>
        <w:autoSpaceDE/>
        <w:autoSpaceDN/>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联系电话：0770-</w:t>
      </w:r>
      <w:r>
        <w:rPr>
          <w:rFonts w:hint="eastAsia" w:ascii="宋体" w:hAnsi="宋体" w:cs="宋体"/>
          <w:color w:val="auto"/>
          <w:highlight w:val="none"/>
          <w:lang w:eastAsia="zh-CN"/>
        </w:rPr>
        <w:t>2213638</w:t>
      </w:r>
    </w:p>
    <w:p w14:paraId="6A5FD9EB">
      <w:pPr>
        <w:pStyle w:val="4"/>
        <w:rPr>
          <w:color w:val="auto"/>
          <w:highlight w:val="none"/>
        </w:rPr>
      </w:pPr>
    </w:p>
    <w:p w14:paraId="1BC8824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乙方名称：</w:t>
      </w:r>
    </w:p>
    <w:p w14:paraId="234D939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国税纳税人识别号：</w:t>
      </w:r>
    </w:p>
    <w:p w14:paraId="37D0137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户名：</w:t>
      </w:r>
    </w:p>
    <w:p w14:paraId="40FF001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开户行：</w:t>
      </w:r>
    </w:p>
    <w:p w14:paraId="3D88DFF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帐号：</w:t>
      </w:r>
    </w:p>
    <w:p w14:paraId="44FF0A9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地址：</w:t>
      </w:r>
    </w:p>
    <w:p w14:paraId="0F9A4502">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联系电话：</w:t>
      </w:r>
    </w:p>
    <w:p w14:paraId="6E59DC3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乙方如需改变上述账户，应提前</w:t>
      </w:r>
      <w:r>
        <w:rPr>
          <w:rFonts w:ascii="宋体" w:hAnsi="宋体" w:cs="宋体"/>
          <w:color w:val="auto"/>
          <w:highlight w:val="none"/>
        </w:rPr>
        <w:t>10</w:t>
      </w:r>
      <w:r>
        <w:rPr>
          <w:rFonts w:hint="eastAsia" w:ascii="宋体" w:hAnsi="宋体" w:cs="宋体"/>
          <w:color w:val="auto"/>
          <w:highlight w:val="none"/>
        </w:rPr>
        <w:t>日以书面通知甲方。如乙方未按本合同规定通知导致甲方逾期付款，甲方不承担任何违约责任，乙方应承担因此产生的一切费用。</w:t>
      </w:r>
    </w:p>
    <w:p w14:paraId="6F641FA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、费率其他约定</w:t>
      </w:r>
    </w:p>
    <w:p w14:paraId="603ABC0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当成交供应商承接的项目评审存在特殊情况，采购人与成交供应商协商确定费率后，另行在</w:t>
      </w:r>
      <w:r>
        <w:rPr>
          <w:color w:val="auto"/>
          <w:spacing w:val="0"/>
          <w:sz w:val="21"/>
          <w:highlight w:val="none"/>
        </w:rPr>
        <w:t>《协审项目</w:t>
      </w:r>
      <w:r>
        <w:rPr>
          <w:rFonts w:hint="eastAsia"/>
          <w:color w:val="auto"/>
          <w:spacing w:val="0"/>
          <w:sz w:val="21"/>
          <w:highlight w:val="none"/>
          <w:lang w:eastAsia="zh-CN"/>
        </w:rPr>
        <w:t>审核委托协议书</w:t>
      </w:r>
      <w:r>
        <w:rPr>
          <w:color w:val="auto"/>
          <w:spacing w:val="0"/>
          <w:sz w:val="21"/>
          <w:highlight w:val="none"/>
        </w:rPr>
        <w:t>》</w:t>
      </w:r>
      <w:r>
        <w:rPr>
          <w:rFonts w:hint="eastAsia" w:ascii="宋体" w:hAnsi="宋体" w:cs="宋体"/>
          <w:color w:val="auto"/>
          <w:highlight w:val="none"/>
        </w:rPr>
        <w:t>中约定。</w:t>
      </w:r>
    </w:p>
    <w:p w14:paraId="1BA8279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、履约保证金</w:t>
      </w:r>
    </w:p>
    <w:p w14:paraId="50BC4980">
      <w:pPr>
        <w:kinsoku/>
        <w:topLinePunct/>
        <w:autoSpaceDE/>
        <w:autoSpaceDN/>
        <w:spacing w:line="360" w:lineRule="auto"/>
        <w:ind w:firstLine="420" w:firstLineChars="200"/>
        <w:rPr>
          <w:rFonts w:ascii="宋体" w:cs="宋体"/>
          <w:color w:val="auto"/>
          <w:highlight w:val="none"/>
        </w:rPr>
      </w:pPr>
      <w:r>
        <w:rPr>
          <w:color w:val="auto"/>
          <w:spacing w:val="0"/>
          <w:highlight w:val="none"/>
        </w:rPr>
        <w:t>入围供应商在与征集人签订框架协议</w:t>
      </w:r>
      <w:r>
        <w:rPr>
          <w:rFonts w:hint="eastAsia"/>
          <w:color w:val="auto"/>
          <w:spacing w:val="0"/>
          <w:highlight w:val="none"/>
          <w:lang w:eastAsia="zh-CN"/>
        </w:rPr>
        <w:t>前</w:t>
      </w:r>
      <w:r>
        <w:rPr>
          <w:color w:val="auto"/>
          <w:spacing w:val="0"/>
          <w:highlight w:val="none"/>
        </w:rPr>
        <w:t>，需向征集人一次性缴纳履约保证金壹万元整（10000 元）。框架协议有效期满后，入围供应商无违约行为，履约保证金由征集人无息退回。</w:t>
      </w:r>
    </w:p>
    <w:p w14:paraId="0BFCFD3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六</w:t>
      </w:r>
      <w:r>
        <w:rPr>
          <w:rFonts w:hint="eastAsia" w:ascii="宋体" w:hAnsi="宋体" w:cs="宋体"/>
          <w:color w:val="auto"/>
          <w:highlight w:val="none"/>
        </w:rPr>
        <w:t>条采购合同文本</w:t>
      </w:r>
    </w:p>
    <w:p w14:paraId="57DD7A0B">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u w:val="single"/>
        </w:rPr>
        <w:t>详见第六章采购合同</w:t>
      </w:r>
      <w:r>
        <w:rPr>
          <w:rFonts w:ascii="宋体" w:hAnsi="宋体" w:cs="宋体"/>
          <w:color w:val="auto"/>
          <w:highlight w:val="none"/>
          <w:u w:val="single"/>
        </w:rPr>
        <w:t>(</w:t>
      </w:r>
      <w:r>
        <w:rPr>
          <w:color w:val="auto"/>
          <w:spacing w:val="0"/>
          <w:sz w:val="21"/>
          <w:highlight w:val="none"/>
          <w:u w:val="single"/>
        </w:rPr>
        <w:t>《协审项目</w:t>
      </w:r>
      <w:r>
        <w:rPr>
          <w:rFonts w:hint="eastAsia"/>
          <w:color w:val="auto"/>
          <w:spacing w:val="0"/>
          <w:sz w:val="21"/>
          <w:highlight w:val="none"/>
          <w:u w:val="single"/>
          <w:lang w:eastAsia="zh-CN"/>
        </w:rPr>
        <w:t>审核委托协议书</w:t>
      </w:r>
      <w:r>
        <w:rPr>
          <w:color w:val="auto"/>
          <w:spacing w:val="0"/>
          <w:sz w:val="21"/>
          <w:highlight w:val="none"/>
          <w:u w:val="single"/>
        </w:rPr>
        <w:t>》</w:t>
      </w:r>
      <w:r>
        <w:rPr>
          <w:rFonts w:hint="eastAsia"/>
          <w:color w:val="auto"/>
          <w:spacing w:val="0"/>
          <w:sz w:val="21"/>
          <w:highlight w:val="none"/>
          <w:u w:val="single"/>
          <w:lang w:eastAsia="zh-CN"/>
        </w:rPr>
        <w:t>）</w:t>
      </w:r>
    </w:p>
    <w:p w14:paraId="02445D5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七</w:t>
      </w:r>
      <w:r>
        <w:rPr>
          <w:rFonts w:hint="eastAsia" w:ascii="宋体" w:hAnsi="宋体" w:cs="宋体"/>
          <w:color w:val="auto"/>
          <w:highlight w:val="none"/>
        </w:rPr>
        <w:t>条入围供应商清退和补充规则</w:t>
      </w:r>
    </w:p>
    <w:p w14:paraId="630867A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、乙方在签订本框架协议前出现以下情形之一的，甲方将取消其入围资格；乙方在签订本框架协议后出现以下情形之一的，甲方将解除与其签订的框架协议：</w:t>
      </w:r>
    </w:p>
    <w:p w14:paraId="037957C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）恶意串通谋取入围或者合同成交的；</w:t>
      </w:r>
    </w:p>
    <w:p w14:paraId="3E45B5D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）提供虚假材料谋取入围或者合同成交的；</w:t>
      </w:r>
    </w:p>
    <w:p w14:paraId="495FB5C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）无正当理由拒不接受合同授予的；</w:t>
      </w:r>
    </w:p>
    <w:p w14:paraId="65D6E31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）不履行合同义务或者履行合同义务不符合约定，经采购人请求履行后仍不履行或者仍未按约定履行的；</w:t>
      </w:r>
    </w:p>
    <w:p w14:paraId="177F138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）框架协议有效期内，因违法行为被禁止或限制参加政府采购活动的；</w:t>
      </w:r>
    </w:p>
    <w:p w14:paraId="5AC39F3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）入围供应商的组织机构、经营、财务状况发生较大变化，可能造成不能履行框架协议或合同的。</w:t>
      </w:r>
    </w:p>
    <w:p w14:paraId="0F617D9F">
      <w:pPr>
        <w:tabs>
          <w:tab w:val="left" w:pos="0"/>
        </w:tabs>
        <w:spacing w:line="348" w:lineRule="auto"/>
        <w:ind w:firstLine="480"/>
        <w:rPr>
          <w:rFonts w:ascii="Times New Roman" w:hAns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Times New Roman" w:hAnsi="宋体" w:cs="Times New Roman"/>
          <w:color w:val="auto"/>
          <w:highlight w:val="none"/>
        </w:rPr>
        <w:t>清退规则：</w:t>
      </w:r>
      <w:r>
        <w:rPr>
          <w:rFonts w:hint="eastAsia" w:ascii="Times New Roman" w:hAnsi="宋体" w:cs="Times New Roman"/>
          <w:color w:val="auto"/>
          <w:highlight w:val="none"/>
          <w:lang w:eastAsia="zh-CN"/>
        </w:rPr>
        <w:t>有</w:t>
      </w:r>
      <w:r>
        <w:rPr>
          <w:rFonts w:hint="eastAsia" w:ascii="Times New Roman" w:hAnsi="宋体" w:cs="Times New Roman"/>
          <w:color w:val="auto"/>
          <w:highlight w:val="none"/>
        </w:rPr>
        <w:t>下列情形征集人有权清退入围供应商，而不需要承担任何责任：</w:t>
      </w:r>
    </w:p>
    <w:p w14:paraId="1F514A8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rPr>
        <w:t>）违反工作纪律，廉政纪律、保密规定等，造成不良影响的；</w:t>
      </w:r>
    </w:p>
    <w:p w14:paraId="6E30A2B5">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2</w:t>
      </w:r>
      <w:r>
        <w:rPr>
          <w:rFonts w:hint="eastAsia" w:ascii="Times New Roman" w:hAnsi="宋体" w:cs="Times New Roman"/>
          <w:color w:val="auto"/>
          <w:highlight w:val="none"/>
        </w:rPr>
        <w:t>）违反法律法规及其实施条例，对审核质量问题负有直接责任的；</w:t>
      </w:r>
      <w:r>
        <w:rPr>
          <w:rFonts w:ascii="Times New Roman" w:hAnsi="宋体" w:cs="Times New Roman"/>
          <w:color w:val="auto"/>
          <w:highlight w:val="none"/>
        </w:rPr>
        <w:t xml:space="preserve"> </w:t>
      </w:r>
    </w:p>
    <w:p w14:paraId="0B09B1DC">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3</w:t>
      </w:r>
      <w:r>
        <w:rPr>
          <w:rFonts w:hint="eastAsia" w:ascii="Times New Roman" w:hAnsi="宋体" w:cs="Times New Roman"/>
          <w:color w:val="auto"/>
          <w:highlight w:val="none"/>
        </w:rPr>
        <w:t>）不严格执行实施方案，擅自减少审核内容或者扩大审核范围的；</w:t>
      </w:r>
      <w:r>
        <w:rPr>
          <w:rFonts w:ascii="Times New Roman" w:hAnsi="宋体" w:cs="Times New Roman"/>
          <w:color w:val="auto"/>
          <w:highlight w:val="none"/>
        </w:rPr>
        <w:t xml:space="preserve"> </w:t>
      </w:r>
    </w:p>
    <w:p w14:paraId="2F3E6D5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4</w:t>
      </w:r>
      <w:r>
        <w:rPr>
          <w:rFonts w:hint="eastAsia" w:ascii="Times New Roman" w:hAnsi="宋体" w:cs="Times New Roman"/>
          <w:color w:val="auto"/>
          <w:highlight w:val="none"/>
        </w:rPr>
        <w:t>）片面收集证据，涂改、伪造、隐匿审核证据的；</w:t>
      </w:r>
    </w:p>
    <w:p w14:paraId="50A7F49F">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5</w:t>
      </w:r>
      <w:r>
        <w:rPr>
          <w:rFonts w:hint="eastAsia" w:ascii="Times New Roman" w:hAnsi="宋体" w:cs="Times New Roman"/>
          <w:color w:val="auto"/>
          <w:highlight w:val="none"/>
        </w:rPr>
        <w:t>）须请示汇报事项隐瞒不报或者擅自处理的；</w:t>
      </w:r>
    </w:p>
    <w:p w14:paraId="6A71A3A1">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6</w:t>
      </w:r>
      <w:r>
        <w:rPr>
          <w:rFonts w:hint="eastAsia" w:ascii="Times New Roman" w:hAnsi="宋体" w:cs="Times New Roman"/>
          <w:color w:val="auto"/>
          <w:highlight w:val="none"/>
        </w:rPr>
        <w:t>）向</w:t>
      </w:r>
      <w:r>
        <w:rPr>
          <w:rFonts w:hint="eastAsia" w:ascii="Times New Roman" w:hAnsi="宋体" w:cs="Times New Roman"/>
          <w:color w:val="auto"/>
          <w:highlight w:val="none"/>
          <w:lang w:eastAsia="zh-CN"/>
        </w:rPr>
        <w:t>建设</w:t>
      </w:r>
      <w:r>
        <w:rPr>
          <w:rFonts w:hint="eastAsia" w:ascii="Times New Roman" w:hAnsi="宋体" w:cs="Times New Roman"/>
          <w:color w:val="auto"/>
          <w:highlight w:val="none"/>
        </w:rPr>
        <w:t>单位及无关人员通风报信、出谋划策，帮助其妨碍、干扰、拖延审核工作的；</w:t>
      </w:r>
    </w:p>
    <w:p w14:paraId="256C803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7</w:t>
      </w:r>
      <w:r>
        <w:rPr>
          <w:rFonts w:hint="eastAsia" w:ascii="Times New Roman" w:hAnsi="宋体" w:cs="Times New Roman"/>
          <w:color w:val="auto"/>
          <w:highlight w:val="none"/>
        </w:rPr>
        <w:t>）不按规定及时移交资料的，或审核资料、设备管理不善造成毁损或丢失的；</w:t>
      </w:r>
    </w:p>
    <w:p w14:paraId="53BCA4A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8</w:t>
      </w:r>
      <w:r>
        <w:rPr>
          <w:rFonts w:hint="eastAsia" w:ascii="Times New Roman" w:hAnsi="宋体" w:cs="Times New Roman"/>
          <w:color w:val="auto"/>
          <w:highlight w:val="none"/>
        </w:rPr>
        <w:t>）将资料和审核结果用于与项目无关的事项的。</w:t>
      </w:r>
      <w:r>
        <w:rPr>
          <w:rFonts w:ascii="Times New Roman" w:hAnsi="宋体" w:cs="Times New Roman"/>
          <w:color w:val="auto"/>
          <w:highlight w:val="none"/>
        </w:rPr>
        <w:t xml:space="preserve"> </w:t>
      </w:r>
    </w:p>
    <w:p w14:paraId="09D31C8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9</w:t>
      </w:r>
      <w:r>
        <w:rPr>
          <w:rFonts w:hint="eastAsia" w:ascii="Times New Roman" w:hAnsi="宋体" w:cs="Times New Roman"/>
          <w:color w:val="auto"/>
          <w:highlight w:val="none"/>
        </w:rPr>
        <w:t>）重大违纪违规问题应当披露而未披露的；</w:t>
      </w:r>
      <w:r>
        <w:rPr>
          <w:rFonts w:ascii="Times New Roman" w:hAnsi="宋体" w:cs="Times New Roman"/>
          <w:color w:val="auto"/>
          <w:highlight w:val="none"/>
        </w:rPr>
        <w:t xml:space="preserve"> </w:t>
      </w:r>
    </w:p>
    <w:p w14:paraId="26721932">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10</w:t>
      </w:r>
      <w:r>
        <w:rPr>
          <w:rFonts w:hint="eastAsia" w:ascii="Times New Roman" w:hAnsi="宋体" w:cs="Times New Roman"/>
          <w:color w:val="auto"/>
          <w:highlight w:val="none"/>
        </w:rPr>
        <w:t>）将受聘项目转包或分包给其他单位或个人的；</w:t>
      </w:r>
    </w:p>
    <w:p w14:paraId="3865F86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11</w:t>
      </w:r>
      <w:r>
        <w:rPr>
          <w:rFonts w:hint="eastAsia" w:ascii="Times New Roman" w:hAnsi="宋体" w:cs="Times New Roman"/>
          <w:color w:val="auto"/>
          <w:highlight w:val="none"/>
        </w:rPr>
        <w:t>）未</w:t>
      </w:r>
      <w:r>
        <w:rPr>
          <w:rFonts w:hint="eastAsia" w:ascii="宋体" w:hAnsi="宋体" w:cs="宋体"/>
          <w:color w:val="auto"/>
          <w:highlight w:val="none"/>
        </w:rPr>
        <w:t>真实地提供其机构的专业人员的资格证书；</w:t>
      </w:r>
    </w:p>
    <w:p w14:paraId="4D851C21">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）将评审项目转包第三方或非本公司人员的；</w:t>
      </w:r>
    </w:p>
    <w:p w14:paraId="1BAE43BF">
      <w:pPr>
        <w:widowControl w:val="0"/>
        <w:tabs>
          <w:tab w:val="left" w:pos="0"/>
        </w:tabs>
        <w:kinsoku/>
        <w:snapToGrid/>
        <w:spacing w:line="348" w:lineRule="auto"/>
        <w:ind w:firstLine="367" w:firstLineChars="175"/>
        <w:textAlignment w:val="auto"/>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13</w:t>
      </w:r>
      <w:r>
        <w:rPr>
          <w:rFonts w:hint="eastAsia" w:ascii="宋体" w:hAnsi="宋体" w:cs="宋体"/>
          <w:color w:val="auto"/>
          <w:highlight w:val="none"/>
        </w:rPr>
        <w:t>）未严格按国家有关标准提供相关咨询服务。</w:t>
      </w:r>
    </w:p>
    <w:p w14:paraId="24B84545">
      <w:pPr>
        <w:widowControl w:val="0"/>
        <w:tabs>
          <w:tab w:val="left" w:pos="0"/>
        </w:tabs>
        <w:kinsoku/>
        <w:snapToGrid/>
        <w:spacing w:line="348" w:lineRule="auto"/>
        <w:ind w:firstLine="367" w:firstLineChars="175"/>
        <w:textAlignment w:val="auto"/>
        <w:rPr>
          <w:color w:val="auto"/>
          <w:highlight w:val="none"/>
        </w:rPr>
      </w:pPr>
      <w:r>
        <w:rPr>
          <w:rFonts w:hint="eastAsia" w:ascii="宋体" w:hAnsi="宋体" w:cs="宋体"/>
          <w:color w:val="auto"/>
          <w:highlight w:val="none"/>
        </w:rPr>
        <w:t>（</w:t>
      </w:r>
      <w:r>
        <w:rPr>
          <w:rFonts w:ascii="宋体" w:hAnsi="宋体" w:cs="宋体"/>
          <w:color w:val="auto"/>
          <w:highlight w:val="none"/>
        </w:rPr>
        <w:t>14</w:t>
      </w:r>
      <w:r>
        <w:rPr>
          <w:rFonts w:hint="eastAsia" w:ascii="宋体" w:hAnsi="宋体" w:cs="宋体"/>
          <w:color w:val="auto"/>
          <w:highlight w:val="none"/>
        </w:rPr>
        <w:t>）未严格遵守保密纪律，遵守职业道德，将甲方安排的评审项目内容和结果透露给除甲方以外的任何人的；</w:t>
      </w:r>
    </w:p>
    <w:p w14:paraId="6EE1C668">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lang w:val="en-US" w:eastAsia="zh-CN"/>
        </w:rPr>
        <w:t>5</w:t>
      </w:r>
      <w:r>
        <w:rPr>
          <w:rFonts w:hint="eastAsia" w:ascii="Times New Roman" w:hAnsi="宋体" w:cs="Times New Roman"/>
          <w:color w:val="auto"/>
          <w:highlight w:val="none"/>
        </w:rPr>
        <w:t>）</w:t>
      </w:r>
      <w:r>
        <w:rPr>
          <w:rFonts w:hint="eastAsia" w:ascii="宋体" w:hAnsi="宋体" w:cs="宋体"/>
          <w:color w:val="auto"/>
          <w:highlight w:val="none"/>
        </w:rPr>
        <w:t>未经甲方同意，擅自更换响应时承诺的技术负责人和评审人员的；</w:t>
      </w:r>
    </w:p>
    <w:p w14:paraId="03887630">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lang w:val="en-US" w:eastAsia="zh-CN"/>
        </w:rPr>
        <w:t>6</w:t>
      </w:r>
      <w:r>
        <w:rPr>
          <w:rFonts w:hint="eastAsia" w:ascii="Times New Roman" w:hAnsi="宋体" w:cs="Times New Roman"/>
          <w:color w:val="auto"/>
          <w:highlight w:val="none"/>
        </w:rPr>
        <w:t>）无特殊理由不服从委托方安排的。</w:t>
      </w:r>
      <w:r>
        <w:rPr>
          <w:rFonts w:ascii="Times New Roman" w:hAnsi="宋体" w:cs="Times New Roman"/>
          <w:color w:val="auto"/>
          <w:highlight w:val="none"/>
        </w:rPr>
        <w:t xml:space="preserve"> </w:t>
      </w:r>
    </w:p>
    <w:p w14:paraId="102D5311">
      <w:pPr>
        <w:pStyle w:val="4"/>
        <w:ind w:left="0" w:leftChars="0" w:firstLine="420" w:firstLineChars="20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（17）</w:t>
      </w:r>
      <w:r>
        <w:rPr>
          <w:rFonts w:hint="eastAsia" w:asciiTheme="minorEastAsia" w:hAnsiTheme="minorEastAsia" w:eastAsiaTheme="minorEastAsia" w:cstheme="minorEastAsia"/>
          <w:color w:val="auto"/>
          <w:spacing w:val="0"/>
          <w:sz w:val="21"/>
          <w:szCs w:val="21"/>
          <w:highlight w:val="none"/>
        </w:rPr>
        <w:t>其他违反法律法规的情形。</w:t>
      </w:r>
    </w:p>
    <w:p w14:paraId="7A97F545">
      <w:pPr>
        <w:pStyle w:val="7"/>
        <w:spacing w:before="125"/>
        <w:ind w:left="481"/>
        <w:rPr>
          <w:rFonts w:hint="eastAsia" w:eastAsia="宋体"/>
          <w:color w:val="auto"/>
          <w:spacing w:val="0"/>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3、</w:t>
      </w:r>
      <w:r>
        <w:rPr>
          <w:color w:val="auto"/>
          <w:spacing w:val="0"/>
          <w:highlight w:val="none"/>
        </w:rPr>
        <w:t>用户反馈和评价机制</w:t>
      </w:r>
    </w:p>
    <w:p w14:paraId="1BEFE420">
      <w:pPr>
        <w:pStyle w:val="7"/>
        <w:spacing w:before="134" w:line="367" w:lineRule="auto"/>
        <w:ind w:right="544" w:firstLine="420" w:firstLineChars="200"/>
        <w:rPr>
          <w:color w:val="auto"/>
          <w:spacing w:val="0"/>
          <w:highlight w:val="none"/>
        </w:rPr>
      </w:pPr>
      <w:r>
        <w:rPr>
          <w:rFonts w:hint="eastAsia"/>
          <w:color w:val="auto"/>
          <w:spacing w:val="0"/>
          <w:highlight w:val="none"/>
          <w:lang w:eastAsia="zh-CN"/>
        </w:rPr>
        <w:t>甲方</w:t>
      </w:r>
      <w:r>
        <w:rPr>
          <w:color w:val="auto"/>
          <w:spacing w:val="0"/>
          <w:highlight w:val="none"/>
        </w:rPr>
        <w:t>将对</w:t>
      </w:r>
      <w:r>
        <w:rPr>
          <w:rFonts w:hint="eastAsia"/>
          <w:color w:val="auto"/>
          <w:spacing w:val="0"/>
          <w:highlight w:val="none"/>
          <w:lang w:eastAsia="zh-CN"/>
        </w:rPr>
        <w:t>乙方</w:t>
      </w:r>
      <w:r>
        <w:rPr>
          <w:color w:val="auto"/>
          <w:spacing w:val="0"/>
          <w:highlight w:val="none"/>
        </w:rPr>
        <w:t>每次受委托</w:t>
      </w:r>
      <w:r>
        <w:rPr>
          <w:rFonts w:hint="eastAsia"/>
          <w:color w:val="auto"/>
          <w:spacing w:val="0"/>
          <w:sz w:val="21"/>
          <w:highlight w:val="none"/>
          <w:lang w:eastAsia="zh-CN"/>
        </w:rPr>
        <w:t>审核</w:t>
      </w:r>
      <w:r>
        <w:rPr>
          <w:color w:val="auto"/>
          <w:spacing w:val="0"/>
          <w:highlight w:val="none"/>
        </w:rPr>
        <w:t>项目的完成情况进行考核评价，因</w:t>
      </w:r>
      <w:r>
        <w:rPr>
          <w:rFonts w:hint="eastAsia"/>
          <w:color w:val="auto"/>
          <w:spacing w:val="0"/>
          <w:highlight w:val="none"/>
          <w:lang w:eastAsia="zh-CN"/>
        </w:rPr>
        <w:t>乙方</w:t>
      </w:r>
      <w:r>
        <w:rPr>
          <w:color w:val="auto"/>
          <w:spacing w:val="0"/>
          <w:highlight w:val="none"/>
        </w:rPr>
        <w:t xml:space="preserve">原因导致年内累计考核 </w:t>
      </w:r>
      <w:r>
        <w:rPr>
          <w:rFonts w:ascii="Times New Roman" w:eastAsia="Times New Roman"/>
          <w:color w:val="auto"/>
          <w:spacing w:val="0"/>
          <w:highlight w:val="none"/>
        </w:rPr>
        <w:t xml:space="preserve">3 </w:t>
      </w:r>
      <w:r>
        <w:rPr>
          <w:color w:val="auto"/>
          <w:spacing w:val="0"/>
          <w:highlight w:val="none"/>
        </w:rPr>
        <w:t>次不合格的，</w:t>
      </w:r>
      <w:r>
        <w:rPr>
          <w:rFonts w:hint="eastAsia"/>
          <w:color w:val="auto"/>
          <w:spacing w:val="0"/>
          <w:highlight w:val="none"/>
          <w:lang w:eastAsia="zh-CN"/>
        </w:rPr>
        <w:t>甲方</w:t>
      </w:r>
      <w:r>
        <w:rPr>
          <w:color w:val="auto"/>
          <w:spacing w:val="0"/>
          <w:highlight w:val="none"/>
        </w:rPr>
        <w:t>对</w:t>
      </w:r>
      <w:r>
        <w:rPr>
          <w:rFonts w:hint="eastAsia"/>
          <w:color w:val="auto"/>
          <w:spacing w:val="0"/>
          <w:highlight w:val="none"/>
          <w:lang w:eastAsia="zh-CN"/>
        </w:rPr>
        <w:t>乙方</w:t>
      </w:r>
      <w:r>
        <w:rPr>
          <w:color w:val="auto"/>
          <w:spacing w:val="0"/>
          <w:highlight w:val="none"/>
        </w:rPr>
        <w:t xml:space="preserve">停止分配项目 </w:t>
      </w:r>
      <w:r>
        <w:rPr>
          <w:rFonts w:ascii="Times New Roman" w:eastAsia="Times New Roman"/>
          <w:color w:val="auto"/>
          <w:spacing w:val="0"/>
          <w:highlight w:val="none"/>
        </w:rPr>
        <w:t xml:space="preserve">3 </w:t>
      </w:r>
      <w:r>
        <w:rPr>
          <w:color w:val="auto"/>
          <w:spacing w:val="0"/>
          <w:highlight w:val="none"/>
        </w:rPr>
        <w:t>个月，</w:t>
      </w:r>
      <w:r>
        <w:rPr>
          <w:rFonts w:hint="eastAsia"/>
          <w:color w:val="auto"/>
          <w:spacing w:val="0"/>
          <w:highlight w:val="none"/>
          <w:lang w:eastAsia="zh-CN"/>
        </w:rPr>
        <w:t>乙方</w:t>
      </w:r>
      <w:r>
        <w:rPr>
          <w:color w:val="auto"/>
          <w:spacing w:val="0"/>
          <w:highlight w:val="none"/>
        </w:rPr>
        <w:t xml:space="preserve">应当书面陈述原因并提出改进措施。框架协议服务期间累计 </w:t>
      </w:r>
      <w:r>
        <w:rPr>
          <w:rFonts w:ascii="Times New Roman" w:eastAsia="Times New Roman"/>
          <w:color w:val="auto"/>
          <w:spacing w:val="0"/>
          <w:highlight w:val="none"/>
        </w:rPr>
        <w:t xml:space="preserve">3 </w:t>
      </w:r>
      <w:r>
        <w:rPr>
          <w:color w:val="auto"/>
          <w:spacing w:val="0"/>
          <w:highlight w:val="none"/>
        </w:rPr>
        <w:t>次停止服务的，</w:t>
      </w:r>
      <w:r>
        <w:rPr>
          <w:rFonts w:hint="eastAsia"/>
          <w:color w:val="auto"/>
          <w:spacing w:val="0"/>
          <w:highlight w:val="none"/>
          <w:lang w:eastAsia="zh-CN"/>
        </w:rPr>
        <w:t>乙方</w:t>
      </w:r>
      <w:r>
        <w:rPr>
          <w:color w:val="auto"/>
          <w:spacing w:val="0"/>
          <w:highlight w:val="none"/>
        </w:rPr>
        <w:t>将列入黑名单，</w:t>
      </w:r>
      <w:r>
        <w:rPr>
          <w:rFonts w:hint="eastAsia"/>
          <w:color w:val="auto"/>
          <w:spacing w:val="0"/>
          <w:highlight w:val="none"/>
          <w:lang w:eastAsia="zh-CN"/>
        </w:rPr>
        <w:t>甲方</w:t>
      </w:r>
      <w:r>
        <w:rPr>
          <w:color w:val="auto"/>
          <w:spacing w:val="0"/>
          <w:highlight w:val="none"/>
        </w:rPr>
        <w:t>可取消</w:t>
      </w:r>
      <w:r>
        <w:rPr>
          <w:rFonts w:hint="eastAsia"/>
          <w:color w:val="auto"/>
          <w:spacing w:val="0"/>
          <w:highlight w:val="none"/>
          <w:lang w:eastAsia="zh-CN"/>
        </w:rPr>
        <w:t>乙方</w:t>
      </w:r>
      <w:r>
        <w:rPr>
          <w:color w:val="auto"/>
          <w:spacing w:val="0"/>
          <w:highlight w:val="none"/>
        </w:rPr>
        <w:t>本项目框架协议入围供应商资格。</w:t>
      </w:r>
    </w:p>
    <w:p w14:paraId="3C58477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、入围供应商的补充</w:t>
      </w:r>
    </w:p>
    <w:p w14:paraId="7B1E1C8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Wingdings" w:cs="宋体"/>
          <w:color w:val="auto"/>
          <w:szCs w:val="20"/>
          <w:highlight w:val="none"/>
        </w:rPr>
        <w:sym w:font="Wingdings" w:char="F0FE"/>
      </w:r>
      <w:r>
        <w:rPr>
          <w:rFonts w:hint="eastAsia" w:ascii="宋体" w:hAnsi="宋体" w:cs="宋体"/>
          <w:color w:val="auto"/>
          <w:highlight w:val="none"/>
        </w:rPr>
        <w:t>是</w:t>
      </w:r>
      <w:r>
        <w:rPr>
          <w:rFonts w:ascii="宋体" w:hAnsi="宋体" w:cs="宋体"/>
          <w:color w:val="auto"/>
          <w:highlight w:val="none"/>
        </w:rPr>
        <w:t>/</w:t>
      </w:r>
      <w:r>
        <w:rPr>
          <w:rFonts w:hint="eastAsia" w:ascii="宋体" w:hAnsi="Wingdings" w:cs="宋体"/>
          <w:color w:val="auto"/>
          <w:szCs w:val="20"/>
          <w:highlight w:val="none"/>
        </w:rPr>
        <w:sym w:font="Wingdings" w:char="F0A8"/>
      </w:r>
      <w:r>
        <w:rPr>
          <w:rFonts w:hint="eastAsia" w:ascii="宋体" w:hAnsi="宋体" w:cs="宋体"/>
          <w:color w:val="auto"/>
          <w:highlight w:val="none"/>
        </w:rPr>
        <w:t>否</w:t>
      </w:r>
      <w:r>
        <w:rPr>
          <w:rFonts w:ascii="宋体" w:hAnsi="宋体" w:cs="宋体"/>
          <w:color w:val="auto"/>
          <w:highlight w:val="none"/>
        </w:rPr>
        <w:t>)</w:t>
      </w:r>
      <w:r>
        <w:rPr>
          <w:rFonts w:hint="eastAsia" w:ascii="宋体" w:hAnsi="宋体" w:cs="宋体"/>
          <w:color w:val="auto"/>
          <w:highlight w:val="none"/>
        </w:rPr>
        <w:t>启动补充征集程序。</w:t>
      </w:r>
    </w:p>
    <w:p w14:paraId="19992E3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补充征集的条件：</w:t>
      </w:r>
      <w:r>
        <w:rPr>
          <w:rFonts w:hint="eastAsia" w:ascii="宋体" w:hAnsi="宋体" w:cs="宋体"/>
          <w:color w:val="auto"/>
          <w:highlight w:val="none"/>
          <w:u w:val="single"/>
        </w:rPr>
        <w:t>当出现入围供应商被清退或剩余入围供应商不足入围供应商总数</w:t>
      </w:r>
      <w:r>
        <w:rPr>
          <w:rFonts w:ascii="宋体" w:hAnsi="宋体" w:cs="宋体"/>
          <w:color w:val="auto"/>
          <w:highlight w:val="none"/>
          <w:u w:val="single"/>
        </w:rPr>
        <w:t>70%</w:t>
      </w:r>
      <w:r>
        <w:rPr>
          <w:rFonts w:hint="eastAsia" w:ascii="宋体" w:hAnsi="宋体" w:cs="宋体"/>
          <w:color w:val="auto"/>
          <w:highlight w:val="none"/>
          <w:u w:val="single"/>
        </w:rPr>
        <w:t>且影响框架协议执行的情形。</w:t>
      </w:r>
    </w:p>
    <w:p w14:paraId="003AA7D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补充征集的程序：</w:t>
      </w:r>
      <w:r>
        <w:rPr>
          <w:rFonts w:hint="eastAsia" w:ascii="宋体" w:hAnsi="宋体" w:cs="宋体"/>
          <w:color w:val="auto"/>
          <w:highlight w:val="none"/>
          <w:u w:val="single"/>
        </w:rPr>
        <w:t>同原征集文件</w:t>
      </w:r>
    </w:p>
    <w:p w14:paraId="0D81EAE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补充征集的评审方法：</w:t>
      </w:r>
      <w:r>
        <w:rPr>
          <w:rFonts w:hint="eastAsia" w:ascii="宋体" w:hAnsi="宋体" w:cs="宋体"/>
          <w:color w:val="auto"/>
          <w:highlight w:val="none"/>
          <w:u w:val="single"/>
        </w:rPr>
        <w:t>同原征集文件</w:t>
      </w:r>
    </w:p>
    <w:p w14:paraId="5EB94E5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补充征集的淘汰比例：</w:t>
      </w:r>
      <w:r>
        <w:rPr>
          <w:rFonts w:hint="eastAsia" w:ascii="宋体" w:hAnsi="宋体" w:cs="宋体"/>
          <w:color w:val="auto"/>
          <w:highlight w:val="none"/>
          <w:u w:val="single"/>
        </w:rPr>
        <w:t>同原征集文件</w:t>
      </w:r>
    </w:p>
    <w:p w14:paraId="3079494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补充征集的框架协议有效期：</w:t>
      </w:r>
      <w:r>
        <w:rPr>
          <w:rFonts w:hint="eastAsia" w:ascii="宋体" w:hAnsi="宋体" w:cs="宋体"/>
          <w:color w:val="auto"/>
          <w:highlight w:val="none"/>
          <w:u w:val="single"/>
        </w:rPr>
        <w:t>同本协议有效期</w:t>
      </w:r>
    </w:p>
    <w:p w14:paraId="4E93A36A">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补充征集期间，本框架协议继续履行。被取消入围资格或者被解除框架协议的供应商不得参加同一封闭式框架协议补充征集。</w:t>
      </w:r>
    </w:p>
    <w:p w14:paraId="31D76CA4">
      <w:pPr>
        <w:pStyle w:val="4"/>
        <w:rPr>
          <w:color w:val="auto"/>
          <w:highlight w:val="none"/>
        </w:rPr>
      </w:pPr>
    </w:p>
    <w:p w14:paraId="6BF8E0A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八</w:t>
      </w:r>
      <w:r>
        <w:rPr>
          <w:rFonts w:hint="eastAsia" w:ascii="宋体" w:hAnsi="宋体" w:cs="宋体"/>
          <w:color w:val="auto"/>
          <w:highlight w:val="none"/>
        </w:rPr>
        <w:t>条甲方权利和义务</w:t>
      </w:r>
    </w:p>
    <w:p w14:paraId="05965EC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、甲方将依照有关法规、规章的规定，按照本项目征集文件采购需求及本框架协议约定的事项从入围供应商中选定成交供应商。</w:t>
      </w:r>
    </w:p>
    <w:p w14:paraId="04E62B3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、甲方负责管理乙方的服务活动，使其符合采购价格不高于响应报价的价格，采购质量优良和服务良好的要求。</w:t>
      </w:r>
    </w:p>
    <w:p w14:paraId="06A52F1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甲方有权按照本项目征集文件以及本框架协议和采购合同等文件对乙方履约行为进行监督和检查，收集并公开采购人对入围供应商履行框架协议和采购合同情况的反馈与评价。如发现乙方违反征集文件或本协议或采购合同的有关规定和承诺，甲方有权暂停或解除乙方的框架协议。</w:t>
      </w:r>
    </w:p>
    <w:p w14:paraId="186E87A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、甲方按规定公开框架协议有效期内入围供应商成交结果情况。</w:t>
      </w:r>
    </w:p>
    <w:p w14:paraId="2BFE748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、甲方有权对入围供应商进行清退或补充等相关事宜。</w:t>
      </w:r>
    </w:p>
    <w:p w14:paraId="560E650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、如征集文件有要求需要在框架协议中另行确定的事项，甲方有权按征集文件要求执行。</w:t>
      </w:r>
    </w:p>
    <w:p w14:paraId="11F9E01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甲方有权要求乙方按时、按质、按量、按计划与合同协议约定完成本项目，并有权对乙方工作情况进行监督。如发现乙方与项目有关人员有意串通增大工程量或弄虚作假增加评审金额的，经查实按违约责任处理。</w:t>
      </w:r>
    </w:p>
    <w:p w14:paraId="38F7DA9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、根据项目进度，甲方有权及时对乙方提交的方案提出修改意见，并要求乙方按修改意见完成服务工作。</w:t>
      </w:r>
    </w:p>
    <w:p w14:paraId="3997AF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、乙方配备的项目投入人员应得到甲方的认可；对派遣到甲方的评审人员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进行管理、考核、检查与奖惩。</w:t>
      </w:r>
    </w:p>
    <w:p w14:paraId="1A52584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、甲方有权要求乙方更换不合格的工作人员。</w:t>
      </w:r>
    </w:p>
    <w:p w14:paraId="779DCF3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、按合同要求及时向乙方支付产品和服务费用。</w:t>
      </w:r>
    </w:p>
    <w:p w14:paraId="7087032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、如采购项目涉及采购标的的知识产权归属的，产权归属为甲方。</w:t>
      </w:r>
    </w:p>
    <w:p w14:paraId="623CB66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、处理方式：采购人在中华人民共和国境内使用供应商提供的产品及服务时免受第三方提出的侵犯其专利权或其</w:t>
      </w:r>
      <w:r>
        <w:rPr>
          <w:rFonts w:hint="eastAsia" w:ascii="宋体" w:hAnsi="宋体" w:cs="宋体"/>
          <w:color w:val="auto"/>
          <w:highlight w:val="none"/>
          <w:lang w:eastAsia="zh-CN"/>
        </w:rPr>
        <w:t>他</w:t>
      </w:r>
      <w:r>
        <w:rPr>
          <w:rFonts w:hint="eastAsia" w:ascii="宋体" w:hAnsi="宋体" w:cs="宋体"/>
          <w:color w:val="auto"/>
          <w:highlight w:val="none"/>
        </w:rPr>
        <w:t>知识产权的起诉。如果第三方提出侵权指控，乙方应承担由此而引起的一切法律责任和费用。</w:t>
      </w:r>
    </w:p>
    <w:p w14:paraId="7246F04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九</w:t>
      </w:r>
      <w:r>
        <w:rPr>
          <w:rFonts w:hint="eastAsia" w:ascii="宋体" w:hAnsi="宋体" w:cs="宋体"/>
          <w:color w:val="auto"/>
          <w:highlight w:val="none"/>
        </w:rPr>
        <w:t>条乙方权利和义务</w:t>
      </w:r>
    </w:p>
    <w:p w14:paraId="023AED9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、乙方应当遵守采购人按照本协议规定的选定成交供应商的方式获得成交供应商资格。</w:t>
      </w:r>
    </w:p>
    <w:p w14:paraId="3CBF317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、乙方提供的产品或服务应符合国家标准和征集文件中要求的标准。</w:t>
      </w:r>
    </w:p>
    <w:p w14:paraId="111A536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、乙方应保证依据征集文件要求及响应承诺，向采购人提供质量不降低，价格不提高的产品、以及与之配套的耗材、配件。</w:t>
      </w:r>
    </w:p>
    <w:p w14:paraId="337250B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、乙方应接受并配合甲方的评价及反馈机制，严格履行服务承诺。</w:t>
      </w:r>
    </w:p>
    <w:p w14:paraId="2E94E4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、乙方无正当理由，不得主动放弃入围资格或者退出框架协议，否则，乙方不得参加同一封闭式框架协议补充征集，或者重新申请加入同一开放式框架协议。甲方保留对乙方追究责任的权利。</w:t>
      </w:r>
    </w:p>
    <w:p w14:paraId="6F4FBD3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、乙方应按照征集文件评审办法要求提供需要核查的原件，如原件与响应文件中提供的不一致或虚假的或未提供的，甲方有权取消乙方入围资格，另行确定入围供应商。</w:t>
      </w:r>
    </w:p>
    <w:p w14:paraId="5E28FB2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、严格履行合同文件</w:t>
      </w:r>
      <w:r>
        <w:rPr>
          <w:rFonts w:ascii="宋体" w:hAnsi="宋体" w:cs="宋体"/>
          <w:color w:val="auto"/>
          <w:highlight w:val="none"/>
        </w:rPr>
        <w:t>(</w:t>
      </w:r>
      <w:r>
        <w:rPr>
          <w:rFonts w:hint="eastAsia" w:ascii="宋体" w:hAnsi="宋体" w:cs="宋体"/>
          <w:color w:val="auto"/>
          <w:highlight w:val="none"/>
        </w:rPr>
        <w:t>含征集文件、响应文件等</w:t>
      </w:r>
      <w:r>
        <w:rPr>
          <w:rFonts w:ascii="宋体" w:hAnsi="宋体" w:cs="宋体"/>
          <w:color w:val="auto"/>
          <w:highlight w:val="none"/>
        </w:rPr>
        <w:t>)</w:t>
      </w:r>
      <w:r>
        <w:rPr>
          <w:rFonts w:hint="eastAsia" w:ascii="宋体" w:hAnsi="宋体" w:cs="宋体"/>
          <w:color w:val="auto"/>
          <w:highlight w:val="none"/>
        </w:rPr>
        <w:t>约定和承诺的服务内容和质量标准，保证甲方项目的相关工作质量和进度。</w:t>
      </w:r>
    </w:p>
    <w:p w14:paraId="1F601AA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、必须严格实施乙方响应文件中承诺的人力资源配置。在必须补充或更换人员时，必须补充或更换优于或等同于响应文件所承诺资质的评审人员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，并</w:t>
      </w:r>
      <w:r>
        <w:rPr>
          <w:rFonts w:hint="eastAsia" w:ascii="宋体" w:hAnsi="宋体" w:cs="宋体"/>
          <w:color w:val="auto"/>
          <w:highlight w:val="none"/>
          <w:lang w:eastAsia="zh-CN"/>
        </w:rPr>
        <w:t>须</w:t>
      </w:r>
      <w:r>
        <w:rPr>
          <w:rFonts w:hint="eastAsia" w:ascii="宋体" w:hAnsi="宋体" w:cs="宋体"/>
          <w:color w:val="auto"/>
          <w:highlight w:val="none"/>
        </w:rPr>
        <w:t>取得甲方书面同意。</w:t>
      </w:r>
    </w:p>
    <w:p w14:paraId="6AF121A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在框架协议有效期内，如乙方在第二阶段签订合同时需要调整人员，调整的人员应当是响应文件中承诺的拟投入人员，且签订合同前须提供人员名单送甲方审核。</w:t>
      </w:r>
    </w:p>
    <w:p w14:paraId="44D681B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7E38694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55A37F9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、乙方评审人员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应履行保密义务。如乙方因违反本条约定给甲方造成损失的，乙方应当承担相应的法律责任，并赔偿由此给甲方造成的一切损失。</w:t>
      </w:r>
    </w:p>
    <w:p w14:paraId="34BB568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、乙方应履行回避义务。乙方以及乙方评审人员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如存在可能影响本合同所安排项目评审公正性的情形，应主动告知甲方，并终止本合同或更换存在利益关联的评审人员。如果乙方与所评审项目</w:t>
      </w:r>
      <w:r>
        <w:rPr>
          <w:rFonts w:ascii="宋体" w:hAnsi="宋体" w:cs="宋体"/>
          <w:color w:val="auto"/>
          <w:highlight w:val="none"/>
        </w:rPr>
        <w:t>(</w:t>
      </w:r>
      <w:r>
        <w:rPr>
          <w:rFonts w:hint="eastAsia" w:ascii="宋体" w:hAnsi="宋体" w:cs="宋体"/>
          <w:color w:val="auto"/>
          <w:highlight w:val="none"/>
        </w:rPr>
        <w:t>或该项目的送审单位</w:t>
      </w:r>
      <w:r>
        <w:rPr>
          <w:rFonts w:ascii="宋体" w:hAnsi="宋体" w:cs="宋体"/>
          <w:color w:val="auto"/>
          <w:highlight w:val="none"/>
        </w:rPr>
        <w:t>)</w:t>
      </w:r>
      <w:r>
        <w:rPr>
          <w:rFonts w:hint="eastAsia" w:ascii="宋体" w:hAnsi="宋体" w:cs="宋体"/>
          <w:color w:val="auto"/>
          <w:highlight w:val="none"/>
        </w:rPr>
        <w:t>存在利益关联，应主动告知甲方并终止本合同；如果所安排评审人员与所评审项目</w:t>
      </w:r>
      <w:r>
        <w:rPr>
          <w:rFonts w:ascii="宋体" w:hAnsi="宋体" w:cs="宋体"/>
          <w:color w:val="auto"/>
          <w:highlight w:val="none"/>
        </w:rPr>
        <w:t>(</w:t>
      </w:r>
      <w:r>
        <w:rPr>
          <w:rFonts w:hint="eastAsia" w:ascii="宋体" w:hAnsi="宋体" w:cs="宋体"/>
          <w:color w:val="auto"/>
          <w:highlight w:val="none"/>
        </w:rPr>
        <w:t>或该项目的送审单位</w:t>
      </w:r>
      <w:r>
        <w:rPr>
          <w:rFonts w:ascii="宋体" w:hAnsi="宋体" w:cs="宋体"/>
          <w:color w:val="auto"/>
          <w:highlight w:val="none"/>
        </w:rPr>
        <w:t>)</w:t>
      </w:r>
      <w:r>
        <w:rPr>
          <w:rFonts w:hint="eastAsia" w:ascii="宋体" w:hAnsi="宋体" w:cs="宋体"/>
          <w:color w:val="auto"/>
          <w:highlight w:val="none"/>
        </w:rPr>
        <w:t>存在利益关联，应主动告知甲方并更换评审人员。</w:t>
      </w:r>
    </w:p>
    <w:p w14:paraId="7B920C4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、按照合同约定收取服务费，当甲方出现无故拖欠费用时，乙方有权采取适当方式进行催缴，若甲方仍未支付费用，乙方有权停止工作。</w:t>
      </w:r>
    </w:p>
    <w:p w14:paraId="1E4A840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14</w:t>
      </w:r>
      <w:r>
        <w:rPr>
          <w:rFonts w:hint="eastAsia" w:ascii="宋体" w:hAnsi="宋体" w:cs="宋体"/>
          <w:color w:val="auto"/>
          <w:highlight w:val="none"/>
        </w:rPr>
        <w:t>、有义务妥善保管甲方提供的资料，并在审核工作完成后，完整交回甲方。</w:t>
      </w:r>
    </w:p>
    <w:p w14:paraId="6F2A6D0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15</w:t>
      </w:r>
      <w:r>
        <w:rPr>
          <w:rFonts w:hint="eastAsia" w:ascii="宋体" w:hAnsi="宋体" w:cs="宋体"/>
          <w:color w:val="auto"/>
          <w:highlight w:val="none"/>
        </w:rPr>
        <w:t>、乙方应服从甲方对可能委托项目的指派及分配，并了解本项目签订框架协议后仅代表取得入围</w:t>
      </w:r>
      <w:r>
        <w:rPr>
          <w:rFonts w:hint="eastAsia" w:ascii="宋体" w:hAnsi="宋体" w:cs="宋体"/>
          <w:color w:val="auto"/>
          <w:highlight w:val="none"/>
          <w:lang w:eastAsia="zh-CN"/>
        </w:rPr>
        <w:t>防城港市防城区财政投资评审框架协议服务采购</w:t>
      </w:r>
      <w:r>
        <w:rPr>
          <w:rFonts w:hint="eastAsia" w:ascii="宋体" w:hAnsi="宋体" w:cs="宋体"/>
          <w:color w:val="auto"/>
          <w:highlight w:val="none"/>
        </w:rPr>
        <w:t>资格，不等同于可确保直接承接相应数量的项目评审工作并获得相应项目的服务费用。</w:t>
      </w:r>
    </w:p>
    <w:p w14:paraId="460FD53B">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第</w:t>
      </w:r>
      <w:r>
        <w:rPr>
          <w:rFonts w:hint="eastAsia" w:ascii="宋体" w:hAnsi="宋体" w:cs="宋体"/>
          <w:color w:val="auto"/>
          <w:highlight w:val="none"/>
          <w:lang w:eastAsia="zh-CN"/>
        </w:rPr>
        <w:t>十</w:t>
      </w:r>
      <w:r>
        <w:rPr>
          <w:rFonts w:hint="eastAsia" w:ascii="宋体" w:hAnsi="宋体" w:cs="宋体"/>
          <w:color w:val="auto"/>
          <w:highlight w:val="none"/>
        </w:rPr>
        <w:t>条履约验收</w:t>
      </w:r>
    </w:p>
    <w:p w14:paraId="385D160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、乙方提供不符合征集文件、响应文件和本合同规定的服务的，甲方有权拒绝接受。</w:t>
      </w:r>
    </w:p>
    <w:p w14:paraId="28E0602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、甲方应当在服务成果提交完后</w:t>
      </w:r>
      <w:r>
        <w:rPr>
          <w:rFonts w:hint="eastAsia" w:ascii="宋体" w:hAnsi="宋体" w:cs="宋体"/>
          <w:color w:val="auto"/>
          <w:highlight w:val="none"/>
          <w:lang w:val="en-US" w:eastAsia="zh-CN"/>
        </w:rPr>
        <w:t>5</w:t>
      </w:r>
      <w:r>
        <w:rPr>
          <w:rFonts w:hint="eastAsia" w:ascii="宋体" w:hAnsi="宋体" w:cs="宋体"/>
          <w:color w:val="auto"/>
          <w:highlight w:val="none"/>
        </w:rPr>
        <w:t>个工作日内进行验收，逾期不验收的，乙方可视同验收合格。验收合格后由甲乙双方签署验收单并加盖采购单位公章，甲乙双方各执一份。</w:t>
      </w:r>
    </w:p>
    <w:p w14:paraId="27382FB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、在验收过程中发现乙方有违约问题，可暂缓资金结算，待违约问题解决后，方可办理资金结算事宜。</w:t>
      </w:r>
    </w:p>
    <w:p w14:paraId="1E2A53F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、甲方对验收有异议的，在验收后五个工作日内以书面形式向乙方提出，乙方应自收到甲方书面异议后</w:t>
      </w:r>
      <w:r>
        <w:rPr>
          <w:rFonts w:ascii="宋体" w:hAnsi="宋体" w:cs="宋体"/>
          <w:color w:val="auto"/>
          <w:highlight w:val="none"/>
        </w:rPr>
        <w:t>7</w:t>
      </w:r>
      <w:r>
        <w:rPr>
          <w:rFonts w:hint="eastAsia" w:ascii="宋体" w:hAnsi="宋体" w:cs="宋体"/>
          <w:color w:val="auto"/>
          <w:highlight w:val="none"/>
        </w:rPr>
        <w:t>日内及时予以解决。</w:t>
      </w:r>
    </w:p>
    <w:p w14:paraId="04DB9AC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、其他未尽事宜应严格按照《关于印发广西壮族自治区政府采购项目履约验收管理办法的通知》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22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以及《财政部关于进一步加强政府采购需求和履约验收管理的指导意见》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205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规定执行。</w:t>
      </w:r>
    </w:p>
    <w:p w14:paraId="65DCCE68">
      <w:pPr>
        <w:kinsoku/>
        <w:topLinePunct/>
        <w:autoSpaceDE/>
        <w:autoSpaceDN/>
        <w:spacing w:line="360" w:lineRule="auto"/>
        <w:ind w:firstLine="420" w:firstLineChars="200"/>
        <w:rPr>
          <w:rFonts w:hint="eastAsia" w:ascii="宋体" w:eastAsia="宋体" w:cs="宋体"/>
          <w:color w:val="auto"/>
          <w:highlight w:val="none"/>
          <w:lang w:val="en-US" w:eastAsia="zh-CN"/>
        </w:rPr>
      </w:pPr>
      <w:r>
        <w:rPr>
          <w:rFonts w:ascii="宋体" w:hAnsi="宋体" w:cs="宋体"/>
          <w:color w:val="auto"/>
          <w:highlight w:val="none"/>
        </w:rPr>
        <w:t>6</w:t>
      </w:r>
      <w:r>
        <w:rPr>
          <w:rFonts w:hint="eastAsia" w:ascii="宋体" w:hAnsi="宋体" w:cs="宋体"/>
          <w:color w:val="auto"/>
          <w:highlight w:val="none"/>
        </w:rPr>
        <w:t>、履约验收</w:t>
      </w:r>
      <w:r>
        <w:rPr>
          <w:rFonts w:hint="eastAsia" w:ascii="宋体" w:hAnsi="宋体" w:cs="宋体"/>
          <w:color w:val="auto"/>
          <w:highlight w:val="none"/>
          <w:lang w:eastAsia="zh-CN"/>
        </w:rPr>
        <w:t>以双方约定及征集文件约定的为准。</w:t>
      </w:r>
    </w:p>
    <w:p w14:paraId="3BA3C5A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一</w:t>
      </w:r>
      <w:r>
        <w:rPr>
          <w:rFonts w:hint="eastAsia" w:ascii="宋体" w:hAnsi="宋体" w:cs="宋体"/>
          <w:color w:val="auto"/>
          <w:highlight w:val="none"/>
        </w:rPr>
        <w:t>条违约责任</w:t>
      </w:r>
    </w:p>
    <w:p w14:paraId="5E12764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若因乙方原因而未能履行合同或未达到合同约定的要求，甲方有权书面督促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14:paraId="2CA9E5F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75014E6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7429E1B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、乙方提供的服务如侵犯了第三方合法权益而引发的任何纠纷或诉讼，均由乙方负责交涉并承担全部责任。</w:t>
      </w:r>
    </w:p>
    <w:p w14:paraId="2B39F4B6">
      <w:pPr>
        <w:kinsoku/>
        <w:topLinePunct/>
        <w:autoSpaceDE/>
        <w:autoSpaceDN/>
        <w:spacing w:line="360" w:lineRule="auto"/>
        <w:ind w:firstLine="420" w:firstLineChars="200"/>
        <w:rPr>
          <w:color w:val="auto"/>
          <w:spacing w:val="0"/>
        </w:rPr>
      </w:pPr>
      <w:r>
        <w:rPr>
          <w:rFonts w:ascii="宋体" w:hAnsi="宋体" w:cs="宋体"/>
          <w:color w:val="auto"/>
          <w:highlight w:val="none"/>
        </w:rPr>
        <w:t>5</w:t>
      </w:r>
      <w:r>
        <w:rPr>
          <w:rFonts w:hint="eastAsia" w:ascii="宋体" w:hAnsi="宋体" w:cs="宋体"/>
          <w:color w:val="auto"/>
          <w:highlight w:val="none"/>
        </w:rPr>
        <w:t>、乙方出现</w:t>
      </w:r>
      <w:r>
        <w:rPr>
          <w:rFonts w:ascii="宋体" w:hAnsi="宋体" w:cs="宋体"/>
          <w:color w:val="auto"/>
          <w:highlight w:val="none"/>
          <w:u w:val="single"/>
        </w:rPr>
        <w:t>1</w:t>
      </w:r>
      <w:r>
        <w:rPr>
          <w:rFonts w:hint="eastAsia" w:ascii="宋体" w:hAnsi="宋体" w:cs="宋体"/>
          <w:color w:val="auto"/>
          <w:highlight w:val="none"/>
        </w:rPr>
        <w:t>次损坏审核资料的，给予警告一次；出现</w:t>
      </w:r>
      <w:r>
        <w:rPr>
          <w:rFonts w:ascii="宋体" w:hAnsi="宋体" w:cs="宋体"/>
          <w:color w:val="auto"/>
          <w:highlight w:val="none"/>
          <w:u w:val="single"/>
        </w:rPr>
        <w:t>2</w:t>
      </w:r>
      <w:r>
        <w:rPr>
          <w:rFonts w:hint="eastAsia" w:ascii="宋体" w:hAnsi="宋体" w:cs="宋体"/>
          <w:color w:val="auto"/>
          <w:highlight w:val="none"/>
        </w:rPr>
        <w:t>次损坏审核资料或</w:t>
      </w:r>
      <w:r>
        <w:rPr>
          <w:rFonts w:ascii="宋体" w:hAnsi="宋体" w:cs="宋体"/>
          <w:color w:val="auto"/>
          <w:highlight w:val="none"/>
          <w:u w:val="single"/>
        </w:rPr>
        <w:t>1</w:t>
      </w:r>
      <w:r>
        <w:rPr>
          <w:rFonts w:hint="eastAsia" w:ascii="宋体" w:hAnsi="宋体" w:cs="宋体"/>
          <w:color w:val="auto"/>
          <w:highlight w:val="none"/>
        </w:rPr>
        <w:t>次丢失审核资料，</w:t>
      </w:r>
      <w:r>
        <w:rPr>
          <w:color w:val="auto"/>
          <w:spacing w:val="0"/>
        </w:rPr>
        <w:t>甲方扣减 50%的协审服务费并终止合同，并按情节轻重究其责任。</w:t>
      </w:r>
    </w:p>
    <w:p w14:paraId="66291AC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、乙方逾期交付成果文件的，每天向甲方偿付违约服务费用金额的</w:t>
      </w:r>
      <w:r>
        <w:rPr>
          <w:rFonts w:ascii="宋体" w:hAnsi="宋体" w:cs="宋体"/>
          <w:color w:val="auto"/>
          <w:highlight w:val="none"/>
          <w:u w:val="single"/>
        </w:rPr>
        <w:t>3</w:t>
      </w:r>
      <w:r>
        <w:rPr>
          <w:rFonts w:hint="eastAsia" w:ascii="宋体" w:hAnsi="宋体" w:cs="宋体"/>
          <w:color w:val="auto"/>
          <w:highlight w:val="none"/>
          <w:u w:val="single"/>
        </w:rPr>
        <w:t>‰</w:t>
      </w:r>
      <w:r>
        <w:rPr>
          <w:rFonts w:hint="eastAsia" w:ascii="宋体" w:hAnsi="宋体" w:cs="宋体"/>
          <w:color w:val="auto"/>
          <w:highlight w:val="none"/>
        </w:rPr>
        <w:t>违约金，但违约金累计不得超过违约服务费用金额的</w:t>
      </w:r>
      <w:r>
        <w:rPr>
          <w:rFonts w:ascii="宋体" w:hAnsi="宋体" w:cs="宋体"/>
          <w:color w:val="auto"/>
          <w:highlight w:val="none"/>
          <w:u w:val="single"/>
        </w:rPr>
        <w:t>5%</w:t>
      </w:r>
      <w:r>
        <w:rPr>
          <w:rFonts w:hint="eastAsia" w:ascii="宋体" w:hAnsi="宋体" w:cs="宋体"/>
          <w:color w:val="auto"/>
          <w:highlight w:val="none"/>
        </w:rPr>
        <w:t>，超过</w:t>
      </w:r>
      <w:r>
        <w:rPr>
          <w:rFonts w:ascii="宋体" w:hAnsi="宋体" w:cs="宋体"/>
          <w:color w:val="auto"/>
          <w:highlight w:val="none"/>
          <w:u w:val="single"/>
        </w:rPr>
        <w:t>30</w:t>
      </w:r>
      <w:r>
        <w:rPr>
          <w:rFonts w:hint="eastAsia" w:ascii="宋体" w:hAnsi="宋体" w:cs="宋体"/>
          <w:color w:val="auto"/>
          <w:highlight w:val="none"/>
        </w:rPr>
        <w:t>天对方有权解除合同，乙方承担因此给甲方造成经济损失。</w:t>
      </w:r>
    </w:p>
    <w:p w14:paraId="298F8D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、乙方未按本合同和响应文件中规定的服务承诺提供售后服务的，乙方应按本合同合计金额</w:t>
      </w:r>
      <w:r>
        <w:rPr>
          <w:rFonts w:ascii="宋体" w:hAnsi="宋体" w:cs="宋体"/>
          <w:color w:val="auto"/>
          <w:highlight w:val="none"/>
          <w:u w:val="single"/>
        </w:rPr>
        <w:t>5%</w:t>
      </w:r>
      <w:r>
        <w:rPr>
          <w:rFonts w:hint="eastAsia" w:ascii="宋体" w:hAnsi="宋体" w:cs="宋体"/>
          <w:color w:val="auto"/>
          <w:highlight w:val="none"/>
        </w:rPr>
        <w:t>向甲方支付违约金。</w:t>
      </w:r>
    </w:p>
    <w:p w14:paraId="6010A59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、乙方其</w:t>
      </w:r>
      <w:r>
        <w:rPr>
          <w:rFonts w:hint="eastAsia" w:ascii="宋体" w:hAnsi="宋体" w:cs="宋体"/>
          <w:color w:val="auto"/>
          <w:highlight w:val="none"/>
          <w:lang w:eastAsia="zh-CN"/>
        </w:rPr>
        <w:t>他</w:t>
      </w:r>
      <w:r>
        <w:rPr>
          <w:rFonts w:hint="eastAsia" w:ascii="宋体" w:hAnsi="宋体" w:cs="宋体"/>
          <w:color w:val="auto"/>
          <w:highlight w:val="none"/>
        </w:rPr>
        <w:t>违约行为按违约服务成果费用金额</w:t>
      </w:r>
      <w:r>
        <w:rPr>
          <w:rFonts w:ascii="宋体" w:hAnsi="宋体" w:cs="宋体"/>
          <w:color w:val="auto"/>
          <w:highlight w:val="none"/>
        </w:rPr>
        <w:t>5%</w:t>
      </w:r>
      <w:r>
        <w:rPr>
          <w:rFonts w:hint="eastAsia" w:ascii="宋体" w:hAnsi="宋体" w:cs="宋体"/>
          <w:color w:val="auto"/>
          <w:highlight w:val="none"/>
        </w:rPr>
        <w:t>收取违约金并赔偿经济损失。</w:t>
      </w:r>
    </w:p>
    <w:p w14:paraId="138ED02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二</w:t>
      </w:r>
      <w:r>
        <w:rPr>
          <w:rFonts w:hint="eastAsia" w:ascii="宋体" w:hAnsi="宋体" w:cs="宋体"/>
          <w:color w:val="auto"/>
          <w:highlight w:val="none"/>
        </w:rPr>
        <w:t>条不可抗力事件处理</w:t>
      </w:r>
    </w:p>
    <w:p w14:paraId="61C3ACB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、在合同有效期内，任何一方因不可抗力事件导致不能履行合同，则合同履行期可延长，其延长期与不可抗力影响期相同。</w:t>
      </w:r>
    </w:p>
    <w:p w14:paraId="4C0047E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、不可抗力事件发生后，应立即通知对方，并寄送有关权威机构出具的证明。</w:t>
      </w:r>
    </w:p>
    <w:p w14:paraId="495A9B8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、不可抗力事件延续三十天以上，双方应通过友好协商，确定是否继续履行合同。</w:t>
      </w:r>
    </w:p>
    <w:p w14:paraId="05A2A4E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三</w:t>
      </w:r>
      <w:r>
        <w:rPr>
          <w:rFonts w:hint="eastAsia" w:ascii="宋体" w:hAnsi="宋体" w:cs="宋体"/>
          <w:color w:val="auto"/>
          <w:highlight w:val="none"/>
        </w:rPr>
        <w:t>条争议解决</w:t>
      </w:r>
    </w:p>
    <w:p w14:paraId="5B3DAAA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、因服务成果质量问题发生争议的，应邀请国家认定的评估机构按照标准对服务成果质量进行验收。服务成果符合标准的，鉴定费由甲方承担；服务成果不符合标准的，鉴定费由乙方承担。</w:t>
      </w:r>
    </w:p>
    <w:p w14:paraId="300AFAC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、因履行本合同引起的或与本合同有关的争议，甲乙双方应首先通过友好协商解决，如果协商不能解决，可向甲方所在地人民法院提起诉讼。</w:t>
      </w:r>
    </w:p>
    <w:p w14:paraId="037C27A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、诉讼期间，本合同继续履行。</w:t>
      </w:r>
    </w:p>
    <w:p w14:paraId="6A577BD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四</w:t>
      </w:r>
      <w:r>
        <w:rPr>
          <w:rFonts w:hint="eastAsia" w:ascii="宋体" w:hAnsi="宋体" w:cs="宋体"/>
          <w:color w:val="auto"/>
          <w:highlight w:val="none"/>
        </w:rPr>
        <w:t>条其他</w:t>
      </w:r>
    </w:p>
    <w:p w14:paraId="53ED2DB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、本协议原则上由双方代表人签订并加盖单位公章后生效。</w:t>
      </w:r>
    </w:p>
    <w:p w14:paraId="72E8320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、本协议为框架协议，具体项目具体事宜需在采购合同中进一步予以明确。框架协议与采购合同构成不可分割的整体。</w:t>
      </w:r>
    </w:p>
    <w:p w14:paraId="3BFF934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、本协议一式五份，双方各执二份，采购代理机构一份，具有同等法律效力。</w:t>
      </w:r>
    </w:p>
    <w:tbl>
      <w:tblPr>
        <w:tblStyle w:val="14"/>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609"/>
      </w:tblGrid>
      <w:tr w14:paraId="1F37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472" w:type="dxa"/>
            <w:vAlign w:val="center"/>
          </w:tcPr>
          <w:p w14:paraId="0F40A6F7">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协议甲方名称</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tc>
        <w:tc>
          <w:tcPr>
            <w:tcW w:w="4609" w:type="dxa"/>
            <w:vAlign w:val="center"/>
          </w:tcPr>
          <w:p w14:paraId="1C46C5E9">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协议乙方名称</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tc>
      </w:tr>
      <w:tr w14:paraId="6738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72" w:type="dxa"/>
            <w:vAlign w:val="center"/>
          </w:tcPr>
          <w:p w14:paraId="3AEFAD86">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地址：</w:t>
            </w:r>
          </w:p>
        </w:tc>
        <w:tc>
          <w:tcPr>
            <w:tcW w:w="4609" w:type="dxa"/>
            <w:vAlign w:val="center"/>
          </w:tcPr>
          <w:p w14:paraId="1BAA08F5">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地址：</w:t>
            </w:r>
          </w:p>
        </w:tc>
      </w:tr>
      <w:tr w14:paraId="570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472" w:type="dxa"/>
            <w:vAlign w:val="center"/>
          </w:tcPr>
          <w:p w14:paraId="3A49B702">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联系方式：</w:t>
            </w:r>
          </w:p>
        </w:tc>
        <w:tc>
          <w:tcPr>
            <w:tcW w:w="4609" w:type="dxa"/>
            <w:vAlign w:val="center"/>
          </w:tcPr>
          <w:p w14:paraId="2BE4C7FC">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联系方式：</w:t>
            </w:r>
          </w:p>
        </w:tc>
      </w:tr>
      <w:tr w14:paraId="0781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472" w:type="dxa"/>
            <w:vAlign w:val="center"/>
          </w:tcPr>
          <w:p w14:paraId="44A18F2D">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代表签字：</w:t>
            </w:r>
          </w:p>
        </w:tc>
        <w:tc>
          <w:tcPr>
            <w:tcW w:w="4609" w:type="dxa"/>
            <w:vAlign w:val="center"/>
          </w:tcPr>
          <w:p w14:paraId="59A1FA0D">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代表签字：</w:t>
            </w:r>
          </w:p>
        </w:tc>
      </w:tr>
      <w:tr w14:paraId="2640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472" w:type="dxa"/>
            <w:vAlign w:val="center"/>
          </w:tcPr>
          <w:p w14:paraId="2C562231">
            <w:pPr>
              <w:widowControl w:val="0"/>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609" w:type="dxa"/>
            <w:vAlign w:val="center"/>
          </w:tcPr>
          <w:p w14:paraId="1B8D9ECA">
            <w:pPr>
              <w:widowControl w:val="0"/>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290B3983">
      <w:pPr>
        <w:kinsoku/>
        <w:topLinePunct/>
        <w:autoSpaceDE/>
        <w:autoSpaceDN/>
        <w:spacing w:line="360" w:lineRule="auto"/>
        <w:ind w:right="86" w:rightChars="41"/>
        <w:rPr>
          <w:rFonts w:ascii="宋体" w:cs="宋体"/>
          <w:color w:val="auto"/>
          <w:highlight w:val="none"/>
        </w:rPr>
      </w:pPr>
    </w:p>
    <w:p w14:paraId="3DBAFBB6">
      <w:pPr>
        <w:kinsoku/>
        <w:topLinePunct/>
        <w:autoSpaceDE/>
        <w:autoSpaceDN/>
        <w:spacing w:line="360" w:lineRule="auto"/>
        <w:ind w:right="86" w:rightChars="41"/>
        <w:rPr>
          <w:rFonts w:ascii="宋体" w:cs="宋体"/>
          <w:color w:val="auto"/>
          <w:highlight w:val="none"/>
        </w:rPr>
      </w:pPr>
    </w:p>
    <w:p w14:paraId="77C95F47">
      <w:pPr>
        <w:kinsoku/>
        <w:topLinePunct/>
        <w:autoSpaceDE/>
        <w:autoSpaceDN/>
        <w:spacing w:line="360" w:lineRule="auto"/>
        <w:ind w:right="86" w:rightChars="41"/>
        <w:rPr>
          <w:rFonts w:ascii="宋体" w:cs="宋体"/>
          <w:b/>
          <w:color w:val="auto"/>
          <w:highlight w:val="none"/>
        </w:rPr>
      </w:pPr>
    </w:p>
    <w:p w14:paraId="7AF619E4">
      <w:pPr>
        <w:kinsoku/>
        <w:topLinePunct/>
        <w:autoSpaceDE/>
        <w:autoSpaceDN/>
        <w:spacing w:line="360" w:lineRule="auto"/>
        <w:ind w:right="86" w:rightChars="41"/>
        <w:rPr>
          <w:rFonts w:ascii="宋体" w:cs="宋体"/>
          <w:color w:val="auto"/>
          <w:highlight w:val="none"/>
        </w:rPr>
      </w:pPr>
    </w:p>
    <w:p w14:paraId="0277D6BA">
      <w:pPr>
        <w:pStyle w:val="2"/>
        <w:kinsoku/>
        <w:topLinePunct/>
        <w:autoSpaceDE/>
        <w:autoSpaceDN/>
        <w:spacing w:line="360" w:lineRule="auto"/>
        <w:ind w:right="86" w:rightChars="41"/>
        <w:rPr>
          <w:rFonts w:ascii="宋体" w:cs="宋体"/>
          <w:color w:val="auto"/>
          <w:sz w:val="21"/>
          <w:szCs w:val="21"/>
          <w:highlight w:val="none"/>
        </w:rPr>
        <w:sectPr>
          <w:headerReference r:id="rId10" w:type="default"/>
          <w:footerReference r:id="rId11" w:type="default"/>
          <w:pgSz w:w="11906" w:h="16838"/>
          <w:pgMar w:top="1440" w:right="1080" w:bottom="1440" w:left="1080" w:header="879" w:footer="986" w:gutter="0"/>
          <w:cols w:space="720" w:num="1"/>
          <w:docGrid w:type="lines" w:linePitch="331" w:charSpace="0"/>
        </w:sectPr>
      </w:pPr>
    </w:p>
    <w:p w14:paraId="5F1446F8">
      <w:pPr>
        <w:kinsoku/>
        <w:topLinePunct/>
        <w:autoSpaceDE/>
        <w:autoSpaceDN/>
        <w:spacing w:before="69" w:line="220" w:lineRule="auto"/>
        <w:ind w:left="53"/>
        <w:rPr>
          <w:rFonts w:ascii="宋体" w:cs="宋体"/>
          <w:color w:val="auto"/>
          <w:highlight w:val="none"/>
        </w:rPr>
      </w:pPr>
      <w:r>
        <w:rPr>
          <w:rFonts w:hint="eastAsia" w:ascii="宋体" w:hAnsi="宋体" w:cs="宋体"/>
          <w:color w:val="auto"/>
          <w:highlight w:val="none"/>
        </w:rPr>
        <w:t>附件</w:t>
      </w:r>
      <w:r>
        <w:rPr>
          <w:rFonts w:ascii="宋体" w:hAnsi="宋体" w:cs="宋体"/>
          <w:b/>
          <w:bCs/>
          <w:color w:val="auto"/>
          <w:highlight w:val="none"/>
        </w:rPr>
        <w:t>1</w:t>
      </w:r>
    </w:p>
    <w:p w14:paraId="35C1347F">
      <w:pPr>
        <w:kinsoku/>
        <w:topLinePunct/>
        <w:autoSpaceDE/>
        <w:autoSpaceDN/>
        <w:spacing w:before="239" w:line="360" w:lineRule="auto"/>
        <w:ind w:left="4143"/>
        <w:rPr>
          <w:rFonts w:ascii="宋体" w:cs="宋体"/>
          <w:color w:val="auto"/>
          <w:sz w:val="28"/>
          <w:szCs w:val="28"/>
          <w:highlight w:val="none"/>
        </w:rPr>
      </w:pPr>
      <w:r>
        <w:rPr>
          <w:rFonts w:hint="eastAsia" w:ascii="宋体" w:hAnsi="宋体" w:cs="宋体"/>
          <w:color w:val="auto"/>
          <w:sz w:val="28"/>
          <w:szCs w:val="28"/>
          <w:highlight w:val="none"/>
        </w:rPr>
        <w:t>廉洁诚信协议</w:t>
      </w:r>
    </w:p>
    <w:p w14:paraId="6056635D">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甲方：</w:t>
      </w:r>
      <w:r>
        <w:rPr>
          <w:rFonts w:hint="eastAsia" w:ascii="宋体" w:hAnsi="宋体" w:cs="宋体"/>
          <w:color w:val="auto"/>
          <w:highlight w:val="none"/>
          <w:u w:val="single"/>
          <w:lang w:eastAsia="zh-CN"/>
        </w:rPr>
        <w:t>防城港市防城区财政局</w:t>
      </w:r>
    </w:p>
    <w:p w14:paraId="00302DE3">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乙方：</w:t>
      </w:r>
    </w:p>
    <w:p w14:paraId="30E06DC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为保障甲方与乙方在业务来往的合法权益，推进甲、乙双方及其工作人员的廉洁诚信建设，使甲、乙双方的业务往来充分体现廉洁、诚信的原则，预防商业贿赂和不正当竞争，甲、乙双方在自愿的基础上签署本协议。</w:t>
      </w:r>
    </w:p>
    <w:p w14:paraId="4A57490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第一条本协议作为框架协议的附件，经甲、乙双方签署后生效。</w:t>
      </w:r>
    </w:p>
    <w:p w14:paraId="11A79FB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本协议所指利害关系人是指评审项目有关工作人员、有关工作人员亲属及其他共同利益关系人。</w:t>
      </w:r>
    </w:p>
    <w:p w14:paraId="1006E5E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第二条甲、乙双方应共同遵守下列条款：</w:t>
      </w:r>
    </w:p>
    <w:p w14:paraId="5B37201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严格遵守国家法律法规，坚持廉洁、诚信的原则，恪守公认的商业道德和职业道德规范，不从事并抵制不廉洁、不诚信行为；</w:t>
      </w:r>
    </w:p>
    <w:p w14:paraId="2D61678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对各自工作人员开展廉政教育，增强相关人员廉洁自律的意识。</w:t>
      </w:r>
    </w:p>
    <w:p w14:paraId="7460EA5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第三条甲方应遵守下列条款：</w:t>
      </w:r>
    </w:p>
    <w:p w14:paraId="6B54243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利害关系人不得接受或以借用等名义占用乙方或乙方工作人员的财物；</w:t>
      </w:r>
    </w:p>
    <w:p w14:paraId="234570A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利害关系人不得接受乙方提供的礼品、宴请以及旅游、健身、娱乐等活动安排；</w:t>
      </w:r>
    </w:p>
    <w:p w14:paraId="564CD5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利害关系人不得接受乙方提供的礼金和各种有价证券、支付凭证；</w:t>
      </w:r>
    </w:p>
    <w:p w14:paraId="07AC1D7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四</w:t>
      </w:r>
      <w:r>
        <w:rPr>
          <w:rFonts w:ascii="宋体" w:hAnsi="宋体" w:cs="宋体"/>
          <w:color w:val="auto"/>
          <w:highlight w:val="none"/>
        </w:rPr>
        <w:t>)</w:t>
      </w:r>
      <w:r>
        <w:rPr>
          <w:rFonts w:hint="eastAsia" w:ascii="宋体" w:hAnsi="宋体" w:cs="宋体"/>
          <w:color w:val="auto"/>
          <w:highlight w:val="none"/>
        </w:rPr>
        <w:t>利害关系人不得要求乙方支付应由本人负担的费用或报销票据；</w:t>
      </w:r>
    </w:p>
    <w:p w14:paraId="5FECF7E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利害关系人不得接受由乙方提供的其他任何可能影响本人公正执行公务的财物或服务；</w:t>
      </w:r>
    </w:p>
    <w:p w14:paraId="56AF27A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当乙方提供本条第</w:t>
      </w: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至</w:t>
      </w: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款所指的内容，或实施其他不廉洁、不诚信行为时，利害关系人应予以拒绝；对于无法拒绝的，应及时向甲方或监督检查部门举报并上缴相关财物。</w:t>
      </w:r>
    </w:p>
    <w:p w14:paraId="503EDCF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第四条乙方应遵守下列条款：</w:t>
      </w:r>
    </w:p>
    <w:p w14:paraId="575D8BE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不得给予或以借用等名义向利害关系人提供财物；</w:t>
      </w:r>
    </w:p>
    <w:p w14:paraId="2983A3A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不得向利害关系人提供礼品、宴请以及旅游、健身、娱乐等活动安排；</w:t>
      </w:r>
    </w:p>
    <w:p w14:paraId="181DB0B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不得向利害关系人提供礼金和各种有价证券、支付凭证；</w:t>
      </w:r>
    </w:p>
    <w:p w14:paraId="0ED01E3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四</w:t>
      </w:r>
      <w:r>
        <w:rPr>
          <w:rFonts w:ascii="宋体" w:hAnsi="宋体" w:cs="宋体"/>
          <w:color w:val="auto"/>
          <w:highlight w:val="none"/>
        </w:rPr>
        <w:t>)</w:t>
      </w:r>
      <w:r>
        <w:rPr>
          <w:rFonts w:hint="eastAsia" w:ascii="宋体" w:hAnsi="宋体" w:cs="宋体"/>
          <w:color w:val="auto"/>
          <w:highlight w:val="none"/>
        </w:rPr>
        <w:t>不得为利害关系人支付应由其本人承担的费用或报销票据；</w:t>
      </w:r>
    </w:p>
    <w:p w14:paraId="370DE2E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不得向利害关系人提供其他任何可能影响其公正执行公务的财物或服务；</w:t>
      </w:r>
    </w:p>
    <w:p w14:paraId="534F5C0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利害关系人主动索取和要求本条</w:t>
      </w: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至</w:t>
      </w: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款所指的内容，或实施其他不廉洁、不诚信行为时，乙方应拒绝，并有义务向甲方或监督检查部门举报或投诉，也可向有关部门举报。甲方应保护乙方当事人的合法权益。</w:t>
      </w:r>
    </w:p>
    <w:p w14:paraId="658FC06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第五条违约责任</w:t>
      </w:r>
    </w:p>
    <w:p w14:paraId="2D46F30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乙双方工作人员如违反本协议规定，由甲、乙双方依据有关规定严肃处理。如乙方违反本协议规定，甲方有权依据征集文件及相关规定，对乙方进行严肃处理。乙方不廉洁、不诚信行为造成甲方经济损失或有损甲方形象和声誉的，由乙方予以赔偿。</w:t>
      </w:r>
    </w:p>
    <w:p w14:paraId="2553A55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第六条甲、乙双方的监督检查部门对本廉洁诚信协议的执行情况进行监督检查，接受有关投诉和举报。</w:t>
      </w:r>
    </w:p>
    <w:p w14:paraId="18BCC08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0CEF235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第七条本协议为采购合同附件，与采购合同一并签署。</w:t>
      </w:r>
    </w:p>
    <w:p w14:paraId="512786A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第八条本协议由甲方负责解释。</w:t>
      </w:r>
    </w:p>
    <w:p w14:paraId="7853D55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第九条监督检查部门举报及投诉渠道。</w:t>
      </w:r>
    </w:p>
    <w:p w14:paraId="6A39C842">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名称：</w:t>
      </w:r>
    </w:p>
    <w:p w14:paraId="21D2F0E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地址：</w:t>
      </w:r>
    </w:p>
    <w:p w14:paraId="3E0879E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电话：</w:t>
      </w:r>
    </w:p>
    <w:p w14:paraId="167EA0A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邮箱：</w:t>
      </w:r>
    </w:p>
    <w:p w14:paraId="389526DE">
      <w:pPr>
        <w:kinsoku/>
        <w:topLinePunct/>
        <w:autoSpaceDE/>
        <w:autoSpaceDN/>
        <w:rPr>
          <w:rFonts w:ascii="宋体" w:cs="宋体"/>
          <w:color w:val="auto"/>
          <w:highlight w:val="none"/>
        </w:rPr>
      </w:pPr>
    </w:p>
    <w:tbl>
      <w:tblPr>
        <w:tblStyle w:val="14"/>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3799"/>
        <w:gridCol w:w="4782"/>
      </w:tblGrid>
      <w:tr w14:paraId="03AA7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87" w:hRule="atLeast"/>
          <w:jc w:val="center"/>
        </w:trPr>
        <w:tc>
          <w:tcPr>
            <w:tcW w:w="3799" w:type="dxa"/>
            <w:vAlign w:val="center"/>
          </w:tcPr>
          <w:p w14:paraId="78B79C9C">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4703E627">
            <w:pPr>
              <w:kinsoku/>
              <w:topLinePunct/>
              <w:autoSpaceDE/>
              <w:autoSpaceDN/>
              <w:spacing w:line="398" w:lineRule="auto"/>
              <w:rPr>
                <w:rFonts w:ascii="宋体" w:cs="宋体"/>
                <w:color w:val="auto"/>
                <w:highlight w:val="none"/>
              </w:rPr>
            </w:pPr>
          </w:p>
          <w:p w14:paraId="3EFF9950">
            <w:pPr>
              <w:kinsoku/>
              <w:topLinePunct/>
              <w:autoSpaceDE/>
              <w:autoSpaceDN/>
              <w:spacing w:before="68" w:line="221" w:lineRule="auto"/>
              <w:ind w:right="59"/>
              <w:rPr>
                <w:rFonts w:ascii="宋体" w:cs="宋体"/>
                <w:color w:val="auto"/>
                <w:highlight w:val="none"/>
              </w:rPr>
            </w:pPr>
          </w:p>
        </w:tc>
        <w:tc>
          <w:tcPr>
            <w:tcW w:w="4782" w:type="dxa"/>
            <w:vAlign w:val="center"/>
          </w:tcPr>
          <w:p w14:paraId="289771CB">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7AA5D109">
            <w:pPr>
              <w:kinsoku/>
              <w:topLinePunct/>
              <w:autoSpaceDE/>
              <w:autoSpaceDN/>
              <w:spacing w:line="398" w:lineRule="auto"/>
              <w:rPr>
                <w:rFonts w:ascii="宋体" w:cs="宋体"/>
                <w:color w:val="auto"/>
                <w:highlight w:val="none"/>
              </w:rPr>
            </w:pPr>
          </w:p>
          <w:p w14:paraId="41C56E81">
            <w:pPr>
              <w:kinsoku/>
              <w:topLinePunct/>
              <w:autoSpaceDE/>
              <w:autoSpaceDN/>
              <w:spacing w:before="68" w:line="221" w:lineRule="auto"/>
              <w:ind w:right="64"/>
              <w:rPr>
                <w:rFonts w:ascii="宋体" w:cs="宋体"/>
                <w:color w:val="auto"/>
                <w:highlight w:val="none"/>
              </w:rPr>
            </w:pPr>
          </w:p>
        </w:tc>
      </w:tr>
      <w:tr w14:paraId="3300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33" w:hRule="atLeast"/>
          <w:jc w:val="center"/>
        </w:trPr>
        <w:tc>
          <w:tcPr>
            <w:tcW w:w="3799" w:type="dxa"/>
            <w:vAlign w:val="center"/>
          </w:tcPr>
          <w:p w14:paraId="7E28CFD9">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vAlign w:val="center"/>
          </w:tcPr>
          <w:p w14:paraId="183D30DA">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r w14:paraId="1716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19" w:hRule="atLeast"/>
          <w:jc w:val="center"/>
        </w:trPr>
        <w:tc>
          <w:tcPr>
            <w:tcW w:w="3799" w:type="dxa"/>
            <w:vAlign w:val="center"/>
          </w:tcPr>
          <w:p w14:paraId="559124A8">
            <w:pPr>
              <w:kinsoku/>
              <w:topLinePunct/>
              <w:autoSpaceDE/>
              <w:autoSpaceDN/>
              <w:spacing w:before="68" w:line="217" w:lineRule="auto"/>
              <w:ind w:left="116"/>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782" w:type="dxa"/>
            <w:vAlign w:val="center"/>
          </w:tcPr>
          <w:p w14:paraId="3A3CF2EC">
            <w:pPr>
              <w:kinsoku/>
              <w:topLinePunct/>
              <w:autoSpaceDE/>
              <w:autoSpaceDN/>
              <w:spacing w:before="68" w:line="217" w:lineRule="auto"/>
              <w:ind w:left="115"/>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7CCB8CA0">
      <w:pPr>
        <w:kinsoku/>
        <w:topLinePunct/>
        <w:autoSpaceDE/>
        <w:autoSpaceDN/>
        <w:rPr>
          <w:rFonts w:ascii="宋体" w:cs="宋体"/>
          <w:color w:val="auto"/>
          <w:highlight w:val="none"/>
        </w:rPr>
        <w:sectPr>
          <w:headerReference r:id="rId12" w:type="default"/>
          <w:footerReference r:id="rId13" w:type="default"/>
          <w:pgSz w:w="11907" w:h="16839"/>
          <w:pgMar w:top="1440" w:right="1080" w:bottom="1440" w:left="1080" w:header="879" w:footer="988" w:gutter="0"/>
          <w:cols w:equalWidth="0" w:num="1">
            <w:col w:w="9415"/>
          </w:cols>
        </w:sectPr>
      </w:pPr>
    </w:p>
    <w:p w14:paraId="3B85E37D">
      <w:pPr>
        <w:kinsoku/>
        <w:topLinePunct/>
        <w:autoSpaceDE/>
        <w:autoSpaceDN/>
        <w:spacing w:before="68" w:line="220" w:lineRule="auto"/>
        <w:ind w:left="53"/>
        <w:rPr>
          <w:rFonts w:ascii="宋体" w:cs="宋体"/>
          <w:color w:val="auto"/>
          <w:highlight w:val="none"/>
        </w:rPr>
      </w:pPr>
      <w:r>
        <w:rPr>
          <w:rFonts w:hint="eastAsia" w:ascii="宋体" w:hAnsi="宋体" w:cs="宋体"/>
          <w:color w:val="auto"/>
          <w:highlight w:val="none"/>
        </w:rPr>
        <w:t>附件</w:t>
      </w:r>
      <w:r>
        <w:rPr>
          <w:rFonts w:ascii="宋体" w:hAnsi="宋体" w:cs="宋体"/>
          <w:b/>
          <w:bCs/>
          <w:color w:val="auto"/>
          <w:highlight w:val="none"/>
        </w:rPr>
        <w:t>2</w:t>
      </w:r>
    </w:p>
    <w:p w14:paraId="08F4E1A2">
      <w:pPr>
        <w:kinsoku/>
        <w:topLinePunct/>
        <w:autoSpaceDE/>
        <w:autoSpaceDN/>
        <w:spacing w:line="352" w:lineRule="auto"/>
        <w:rPr>
          <w:rFonts w:ascii="宋体" w:cs="宋体"/>
          <w:color w:val="auto"/>
          <w:highlight w:val="none"/>
        </w:rPr>
      </w:pPr>
    </w:p>
    <w:p w14:paraId="5D36EACD">
      <w:pPr>
        <w:kinsoku/>
        <w:topLinePunct/>
        <w:autoSpaceDE/>
        <w:autoSpaceDN/>
        <w:spacing w:before="78" w:line="220" w:lineRule="auto"/>
        <w:ind w:left="3997"/>
        <w:rPr>
          <w:rFonts w:ascii="宋体" w:cs="宋体"/>
          <w:color w:val="auto"/>
          <w:sz w:val="24"/>
          <w:szCs w:val="24"/>
          <w:highlight w:val="none"/>
        </w:rPr>
      </w:pPr>
      <w:r>
        <w:rPr>
          <w:rFonts w:hint="eastAsia" w:ascii="宋体" w:hAnsi="宋体" w:cs="宋体"/>
          <w:color w:val="auto"/>
          <w:sz w:val="24"/>
          <w:szCs w:val="24"/>
          <w:highlight w:val="none"/>
        </w:rPr>
        <w:t>履约验收方案</w:t>
      </w:r>
    </w:p>
    <w:p w14:paraId="69FE4A04">
      <w:pPr>
        <w:kinsoku/>
        <w:topLinePunct/>
        <w:autoSpaceDE/>
        <w:autoSpaceDN/>
        <w:spacing w:line="357" w:lineRule="auto"/>
        <w:rPr>
          <w:rFonts w:ascii="宋体" w:cs="宋体"/>
          <w:color w:val="auto"/>
          <w:highlight w:val="none"/>
        </w:rPr>
      </w:pPr>
    </w:p>
    <w:p w14:paraId="4A99BC8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履约验收工作参加人员</w:t>
      </w:r>
    </w:p>
    <w:p w14:paraId="426AB58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履约验收主体单位</w:t>
      </w:r>
    </w:p>
    <w:p w14:paraId="230E9E0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采购人或采购人委托的机构</w:t>
      </w:r>
    </w:p>
    <w:p w14:paraId="2D9C4A8F">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履约验收参加人员</w:t>
      </w:r>
    </w:p>
    <w:p w14:paraId="755627C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采购人代表、委托机构代表、成交供应商代表及采购人邀请的其他人员</w:t>
      </w:r>
    </w:p>
    <w:p w14:paraId="35CFDC17">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履约验收时间</w:t>
      </w:r>
    </w:p>
    <w:p w14:paraId="2BA7ECB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20XX</w:t>
      </w:r>
      <w:r>
        <w:rPr>
          <w:rFonts w:hint="eastAsia" w:ascii="宋体" w:hAnsi="宋体" w:cs="宋体"/>
          <w:color w:val="auto"/>
          <w:highlight w:val="none"/>
        </w:rPr>
        <w:t>年</w:t>
      </w:r>
      <w:r>
        <w:rPr>
          <w:rFonts w:ascii="宋体" w:hAnsi="宋体" w:cs="宋体"/>
          <w:color w:val="auto"/>
          <w:highlight w:val="none"/>
        </w:rPr>
        <w:t>XX</w:t>
      </w:r>
      <w:r>
        <w:rPr>
          <w:rFonts w:hint="eastAsia" w:ascii="宋体" w:hAnsi="宋体" w:cs="宋体"/>
          <w:color w:val="auto"/>
          <w:highlight w:val="none"/>
        </w:rPr>
        <w:t>月</w:t>
      </w:r>
      <w:r>
        <w:rPr>
          <w:rFonts w:ascii="宋体" w:hAnsi="宋体" w:cs="宋体"/>
          <w:color w:val="auto"/>
          <w:highlight w:val="none"/>
        </w:rPr>
        <w:t>XX</w:t>
      </w:r>
      <w:r>
        <w:rPr>
          <w:rFonts w:hint="eastAsia" w:ascii="宋体" w:hAnsi="宋体" w:cs="宋体"/>
          <w:color w:val="auto"/>
          <w:highlight w:val="none"/>
        </w:rPr>
        <w:t>日</w:t>
      </w:r>
    </w:p>
    <w:p w14:paraId="4EBBB9A2">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履约验收地点</w:t>
      </w:r>
    </w:p>
    <w:p w14:paraId="70D5957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XX</w:t>
      </w:r>
      <w:r>
        <w:rPr>
          <w:rFonts w:hint="eastAsia" w:ascii="宋体" w:hAnsi="宋体" w:cs="宋体"/>
          <w:color w:val="auto"/>
          <w:highlight w:val="none"/>
        </w:rPr>
        <w:t>市</w:t>
      </w:r>
      <w:r>
        <w:rPr>
          <w:rFonts w:ascii="宋体" w:hAnsi="宋体" w:cs="宋体"/>
          <w:color w:val="auto"/>
          <w:highlight w:val="none"/>
        </w:rPr>
        <w:t>XX</w:t>
      </w:r>
      <w:r>
        <w:rPr>
          <w:rFonts w:hint="eastAsia" w:ascii="宋体" w:hAnsi="宋体" w:cs="宋体"/>
          <w:color w:val="auto"/>
          <w:highlight w:val="none"/>
        </w:rPr>
        <w:t>区</w:t>
      </w:r>
      <w:r>
        <w:rPr>
          <w:rFonts w:ascii="宋体" w:hAnsi="宋体" w:cs="宋体"/>
          <w:color w:val="auto"/>
          <w:highlight w:val="none"/>
        </w:rPr>
        <w:t>XX</w:t>
      </w:r>
      <w:r>
        <w:rPr>
          <w:rFonts w:hint="eastAsia" w:ascii="宋体" w:hAnsi="宋体" w:cs="宋体"/>
          <w:color w:val="auto"/>
          <w:highlight w:val="none"/>
        </w:rPr>
        <w:t>路</w:t>
      </w:r>
      <w:r>
        <w:rPr>
          <w:rFonts w:ascii="宋体" w:hAnsi="宋体" w:cs="宋体"/>
          <w:color w:val="auto"/>
          <w:highlight w:val="none"/>
        </w:rPr>
        <w:t>XX</w:t>
      </w:r>
      <w:r>
        <w:rPr>
          <w:rFonts w:hint="eastAsia" w:ascii="宋体" w:hAnsi="宋体" w:cs="宋体"/>
          <w:color w:val="auto"/>
          <w:highlight w:val="none"/>
        </w:rPr>
        <w:t>号</w:t>
      </w:r>
    </w:p>
    <w:p w14:paraId="096DDAD3">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履约验收方式</w:t>
      </w:r>
    </w:p>
    <w:p w14:paraId="75A29BF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采购人自行验收</w:t>
      </w:r>
    </w:p>
    <w:p w14:paraId="2EA20589">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履约验收程序</w:t>
      </w:r>
    </w:p>
    <w:p w14:paraId="2686F3B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5.1</w:t>
      </w:r>
      <w:r>
        <w:rPr>
          <w:rFonts w:hint="eastAsia" w:ascii="宋体" w:hAnsi="宋体" w:cs="宋体"/>
          <w:color w:val="auto"/>
          <w:highlight w:val="none"/>
        </w:rPr>
        <w:t>成立验收小组</w:t>
      </w:r>
    </w:p>
    <w:p w14:paraId="0068EC4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5.2</w:t>
      </w:r>
      <w:r>
        <w:rPr>
          <w:rFonts w:hint="eastAsia" w:ascii="宋体" w:hAnsi="宋体" w:cs="宋体"/>
          <w:color w:val="auto"/>
          <w:highlight w:val="none"/>
        </w:rPr>
        <w:t>量化验收标准</w:t>
      </w:r>
    </w:p>
    <w:p w14:paraId="6BCB4A2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5.3</w:t>
      </w:r>
      <w:r>
        <w:rPr>
          <w:rFonts w:hint="eastAsia" w:ascii="宋体" w:hAnsi="宋体" w:cs="宋体"/>
          <w:color w:val="auto"/>
          <w:highlight w:val="none"/>
        </w:rPr>
        <w:t>组织验收</w:t>
      </w:r>
    </w:p>
    <w:p w14:paraId="3FE1967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5.4</w:t>
      </w:r>
      <w:r>
        <w:rPr>
          <w:rFonts w:hint="eastAsia" w:ascii="宋体" w:hAnsi="宋体" w:cs="宋体"/>
          <w:color w:val="auto"/>
          <w:highlight w:val="none"/>
        </w:rPr>
        <w:t>出具验收报告</w:t>
      </w:r>
    </w:p>
    <w:p w14:paraId="639F1E1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5.5</w:t>
      </w:r>
      <w:r>
        <w:rPr>
          <w:rFonts w:hint="eastAsia" w:ascii="宋体" w:hAnsi="宋体" w:cs="宋体"/>
          <w:color w:val="auto"/>
          <w:highlight w:val="none"/>
        </w:rPr>
        <w:t>验收结果公告</w:t>
      </w:r>
    </w:p>
    <w:p w14:paraId="214D729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5.6</w:t>
      </w:r>
      <w:r>
        <w:rPr>
          <w:rFonts w:hint="eastAsia" w:ascii="宋体" w:hAnsi="宋体" w:cs="宋体"/>
          <w:color w:val="auto"/>
          <w:highlight w:val="none"/>
        </w:rPr>
        <w:t>验收资料归档</w:t>
      </w:r>
    </w:p>
    <w:p w14:paraId="5FA285D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采购合同项目完成验收后，采购人整理好验收原始记录等资料后妥善保管，不得变造、隐匿或者销毁，验收资料保存期为采购结束之日起至少保存</w:t>
      </w:r>
      <w:r>
        <w:rPr>
          <w:rFonts w:ascii="宋体" w:hAnsi="宋体" w:cs="宋体"/>
          <w:color w:val="auto"/>
          <w:highlight w:val="none"/>
        </w:rPr>
        <w:t>15</w:t>
      </w:r>
      <w:r>
        <w:rPr>
          <w:rFonts w:hint="eastAsia" w:ascii="宋体" w:hAnsi="宋体" w:cs="宋体"/>
          <w:color w:val="auto"/>
          <w:highlight w:val="none"/>
        </w:rPr>
        <w:t>年。</w:t>
      </w:r>
    </w:p>
    <w:p w14:paraId="3ACB49D0">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履约验收内容</w:t>
      </w:r>
    </w:p>
    <w:p w14:paraId="7800399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对采购服务的人员选派及工作配合情况、评审时效、评审质量、评审报告编写及文本情况、急件项目加分、质量时效问题、廉政职业道德等进行验收，按《广西壮族自治区财政投资评审中心协作机构考评办法》执行。</w:t>
      </w:r>
    </w:p>
    <w:p w14:paraId="5EAC297B">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履约验收标准</w:t>
      </w:r>
    </w:p>
    <w:p w14:paraId="43E93F9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验收标准：</w:t>
      </w:r>
    </w:p>
    <w:p w14:paraId="340CB02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成交供应商应提供完备的技术或服务资料等，并派遣坐班人员进行驻场服务。验收合格条件如下：服务技术参数与响应文件中响应表或证明材料一致，性能或指标达到规定的标准。否则，以实际服务技术参数与响应文件响应表参数或证明材料比较，按如下情况处理：</w:t>
      </w:r>
    </w:p>
    <w:p w14:paraId="2080257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①供应商响应文件响应表或证明材料中满足或优于的技术参数，在验收时实际不满足技术参数要求的，视为供货商违约，采购人有权终止合同，并追究供应商责任，同时报财政部门备案。</w:t>
      </w:r>
    </w:p>
    <w:p w14:paraId="7688586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②供应商响应文件响应表或证明材料中优于的技术参数，在验收时实际仅满足并未优于技术参数要求的，视为供货商违约，采购人有权终止合同，并追究供应商责任，同时报财政部门备案。</w:t>
      </w:r>
    </w:p>
    <w:p w14:paraId="0E7AA0B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③供应商响应文件响应表或证明材料中不满足的技术参数，在验收时实际满足技术参数的要求，以满足技术参数的要求验收。</w:t>
      </w:r>
    </w:p>
    <w:p w14:paraId="0F772E2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④供应商响应文件响应表或证明材料中满足的技术参数，在验收时实际优于技术参数的要求，以满足技术参数的要求验收。</w:t>
      </w:r>
    </w:p>
    <w:p w14:paraId="38D4555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713A11C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14:paraId="338D77D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技术资料、评审报告等资料齐全。</w:t>
      </w:r>
    </w:p>
    <w:p w14:paraId="7A3194C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在服务期间所出现的问题得到解决，并工作正常。</w:t>
      </w:r>
    </w:p>
    <w:p w14:paraId="47262FF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在规定时间内完成服务及验收，并经采购人确认。</w:t>
      </w:r>
    </w:p>
    <w:p w14:paraId="3FB16EF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服务在符合采购人要求后，才作为最终验收。</w:t>
      </w:r>
    </w:p>
    <w:p w14:paraId="445D9ED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成交供应商提供的服务未达到征集文件规定要求，且对采购人造成损失的，由成交供应商承</w:t>
      </w:r>
    </w:p>
    <w:p w14:paraId="263FD7C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担一切责任，并赔偿所造成的损失。</w:t>
      </w:r>
    </w:p>
    <w:p w14:paraId="198F772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采购人需要其他有关单位对成交供应商交付的产品或服务进行确认的，相关配合事项由成交供应商与其他有关单位协调。</w:t>
      </w:r>
    </w:p>
    <w:p w14:paraId="691BDA0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政府采购合同约定的其他要求及响应文件响应的其他标准。</w:t>
      </w:r>
    </w:p>
    <w:p w14:paraId="2A0FA8FE">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履约验收其他事项</w:t>
      </w:r>
    </w:p>
    <w:p w14:paraId="11BB7EC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无。</w:t>
      </w:r>
    </w:p>
    <w:p w14:paraId="2B255ADD">
      <w:pPr>
        <w:kinsoku/>
        <w:topLinePunct/>
        <w:autoSpaceDE/>
        <w:autoSpaceDN/>
        <w:spacing w:line="360" w:lineRule="auto"/>
        <w:ind w:firstLine="420" w:firstLineChars="200"/>
        <w:rPr>
          <w:rFonts w:ascii="宋体" w:cs="宋体"/>
          <w:color w:val="auto"/>
          <w:highlight w:val="none"/>
        </w:rPr>
        <w:sectPr>
          <w:headerReference r:id="rId14" w:type="default"/>
          <w:footerReference r:id="rId15" w:type="default"/>
          <w:pgSz w:w="11907" w:h="16839"/>
          <w:pgMar w:top="1440" w:right="1080" w:bottom="1440" w:left="1080" w:header="879" w:footer="988" w:gutter="0"/>
          <w:cols w:space="720" w:num="1"/>
        </w:sectPr>
      </w:pPr>
    </w:p>
    <w:p w14:paraId="35CE64F6">
      <w:pPr>
        <w:kinsoku/>
        <w:topLinePunct/>
        <w:autoSpaceDE/>
        <w:autoSpaceDN/>
        <w:spacing w:before="68" w:line="220" w:lineRule="auto"/>
        <w:ind w:left="53"/>
        <w:rPr>
          <w:rFonts w:hint="eastAsia" w:ascii="宋体" w:eastAsia="宋体" w:cs="宋体"/>
          <w:color w:val="auto"/>
          <w:highlight w:val="none"/>
          <w:lang w:eastAsia="zh-CN"/>
        </w:rPr>
      </w:pPr>
      <w:r>
        <w:rPr>
          <w:rFonts w:hint="eastAsia" w:ascii="宋体" w:hAnsi="宋体" w:cs="宋体"/>
          <w:color w:val="auto"/>
          <w:highlight w:val="none"/>
        </w:rPr>
        <w:t>附件</w:t>
      </w:r>
      <w:r>
        <w:rPr>
          <w:rFonts w:hint="eastAsia" w:ascii="宋体" w:hAnsi="宋体" w:cs="宋体"/>
          <w:b/>
          <w:bCs/>
          <w:color w:val="auto"/>
          <w:highlight w:val="none"/>
          <w:lang w:val="en-US" w:eastAsia="zh-CN"/>
        </w:rPr>
        <w:t>3</w:t>
      </w:r>
    </w:p>
    <w:p w14:paraId="4E856114">
      <w:pPr>
        <w:keepNext w:val="0"/>
        <w:keepLines w:val="0"/>
        <w:pageBreakBefore w:val="0"/>
        <w:widowControl/>
        <w:kinsoku/>
        <w:wordWrap/>
        <w:overflowPunct/>
        <w:topLinePunct/>
        <w:autoSpaceDE/>
        <w:autoSpaceDN/>
        <w:bidi w:val="0"/>
        <w:adjustRightInd w:val="0"/>
        <w:snapToGrid w:val="0"/>
        <w:spacing w:line="221" w:lineRule="auto"/>
        <w:ind w:left="0"/>
        <w:jc w:val="center"/>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保密协议</w:t>
      </w:r>
    </w:p>
    <w:p w14:paraId="5693E148">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p>
    <w:p w14:paraId="3A07B60B">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rPr>
        <w:t>甲方：</w:t>
      </w:r>
      <w:r>
        <w:rPr>
          <w:rFonts w:hint="eastAsia" w:asciiTheme="minorEastAsia" w:hAnsiTheme="minorEastAsia"/>
          <w:color w:val="auto"/>
          <w:szCs w:val="21"/>
          <w:highlight w:val="none"/>
          <w:lang w:eastAsia="zh-CN"/>
        </w:rPr>
        <w:t>防城港市防城区财政局</w:t>
      </w:r>
    </w:p>
    <w:p w14:paraId="43BA322C">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乙方：</w:t>
      </w:r>
    </w:p>
    <w:p w14:paraId="2FAC7878">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乙方作为</w:t>
      </w:r>
      <w:r>
        <w:rPr>
          <w:rFonts w:hint="eastAsia" w:asciiTheme="minorEastAsia" w:hAnsiTheme="minorEastAsia"/>
          <w:color w:val="auto"/>
          <w:szCs w:val="21"/>
          <w:highlight w:val="none"/>
          <w:u w:val="single"/>
          <w:lang w:eastAsia="zh-CN"/>
        </w:rPr>
        <w:t>防城港市防城区财政投资评审框架协议服务采购</w:t>
      </w:r>
      <w:r>
        <w:rPr>
          <w:rFonts w:hint="eastAsia" w:asciiTheme="minorEastAsia" w:hAnsiTheme="minorEastAsia"/>
          <w:color w:val="auto"/>
          <w:szCs w:val="21"/>
          <w:highlight w:val="none"/>
        </w:rPr>
        <w:t>项目的工作人员，应严格遵守国家保密法律、法规和相关规定，保守国家秘密和财政投资评审工作秘密，遵守以下协议:</w:t>
      </w:r>
    </w:p>
    <w:p w14:paraId="13A91311">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一、乙方在签订和履行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中知悉的甲方的全部信息均为甲方的秘密。</w:t>
      </w:r>
    </w:p>
    <w:p w14:paraId="4CEF255A">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二、乙方严格遵守财政投资评审工作相关法律、法规，保守在工作中所涉及的秘密，不该说的秘密不说，不该知悉的秘密不问，不该看的秘密不看。</w:t>
      </w:r>
    </w:p>
    <w:p w14:paraId="7E1C61A3">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三、乙方不得擅自向第三人公开、展示、泄露有关项目成果及相关的软件、文档资料、数据、内部信息、管理制度等内容。</w:t>
      </w:r>
    </w:p>
    <w:p w14:paraId="33329EEB">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四、乙方不得将项目的数据或文档资料用于履行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之外的其他用途，即便提供给与履行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有关的人员，也应该保密并限于合同所需范围内使用。</w:t>
      </w:r>
    </w:p>
    <w:p w14:paraId="22C4EBF7">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五、乙方不得擅自记录、复制、拍摄、摘抄，收藏在工作中涉及的工作秘密和敏感信息；严禁将内部会议、谈话内容泄露给无关人员；严禁将工作中涉及的相关项目</w:t>
      </w:r>
      <w:r>
        <w:rPr>
          <w:rFonts w:hint="eastAsia" w:asciiTheme="minorEastAsia" w:hAnsiTheme="minorEastAsia"/>
          <w:color w:val="auto"/>
          <w:szCs w:val="21"/>
          <w:highlight w:val="none"/>
          <w:lang w:eastAsia="zh-CN"/>
        </w:rPr>
        <w:t>信息、资料</w:t>
      </w:r>
      <w:r>
        <w:rPr>
          <w:rFonts w:hint="eastAsia" w:asciiTheme="minorEastAsia" w:hAnsiTheme="minorEastAsia"/>
          <w:color w:val="auto"/>
          <w:szCs w:val="21"/>
          <w:highlight w:val="none"/>
        </w:rPr>
        <w:t>透露给无关人员。</w:t>
      </w:r>
    </w:p>
    <w:p w14:paraId="327EC7D3">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六、乙方不得将机关文件（包括内部发文、各类通知及会议记录等）的内容泄露给无关人员；不得随便翻阅与工作无关的文件和资料。</w:t>
      </w:r>
    </w:p>
    <w:p w14:paraId="0E9EB897">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七、乙方认真学习和遵守财政投资评审相关规定</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严禁私下下载、拷贝计算机内的秘密和敏感内容、内部程序、口令、密钥等泄露给无关人员。</w:t>
      </w:r>
    </w:p>
    <w:p w14:paraId="6F3C70E5">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八、乙方严禁泄露</w:t>
      </w:r>
      <w:r>
        <w:rPr>
          <w:rFonts w:hint="eastAsia" w:asciiTheme="minorEastAsia" w:hAnsiTheme="minorEastAsia"/>
          <w:color w:val="auto"/>
          <w:szCs w:val="21"/>
          <w:highlight w:val="none"/>
          <w:lang w:eastAsia="zh-CN"/>
        </w:rPr>
        <w:t>项目</w:t>
      </w:r>
      <w:r>
        <w:rPr>
          <w:rFonts w:hint="eastAsia" w:asciiTheme="minorEastAsia" w:hAnsiTheme="minorEastAsia"/>
          <w:color w:val="auto"/>
          <w:szCs w:val="21"/>
          <w:highlight w:val="none"/>
        </w:rPr>
        <w:t>技术</w:t>
      </w:r>
      <w:r>
        <w:rPr>
          <w:rFonts w:hint="eastAsia" w:asciiTheme="minorEastAsia" w:hAnsiTheme="minorEastAsia"/>
          <w:color w:val="auto"/>
          <w:szCs w:val="21"/>
          <w:highlight w:val="none"/>
          <w:lang w:eastAsia="zh-CN"/>
        </w:rPr>
        <w:t>资料</w:t>
      </w:r>
      <w:r>
        <w:rPr>
          <w:rFonts w:hint="eastAsia" w:asciiTheme="minorEastAsia" w:hAnsiTheme="minorEastAsia"/>
          <w:color w:val="auto"/>
          <w:szCs w:val="21"/>
          <w:highlight w:val="none"/>
        </w:rPr>
        <w:t>，在对外交流中，不得泄露和发表涉及政</w:t>
      </w:r>
      <w:r>
        <w:rPr>
          <w:rFonts w:hint="eastAsia" w:asciiTheme="minorEastAsia" w:hAnsiTheme="minorEastAsia"/>
          <w:color w:val="auto"/>
          <w:szCs w:val="21"/>
          <w:highlight w:val="none"/>
          <w:lang w:eastAsia="zh-CN"/>
        </w:rPr>
        <w:t>府性</w:t>
      </w:r>
      <w:r>
        <w:rPr>
          <w:rFonts w:hint="eastAsia" w:asciiTheme="minorEastAsia" w:hAnsiTheme="minorEastAsia"/>
          <w:color w:val="auto"/>
          <w:szCs w:val="21"/>
          <w:highlight w:val="none"/>
        </w:rPr>
        <w:t>投资评审工作国家秘密的技术文档。</w:t>
      </w:r>
    </w:p>
    <w:p w14:paraId="0742B3D2">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九、乙方不得带领无关人员进入涉密办公场所。</w:t>
      </w:r>
    </w:p>
    <w:p w14:paraId="3BDFDCF2">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十、乙方如有员工离职，不得泄露所知悉的国家秘密和财政投资评审秘密。</w:t>
      </w:r>
    </w:p>
    <w:p w14:paraId="426A6681">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十一、</w:t>
      </w:r>
      <w:r>
        <w:rPr>
          <w:rFonts w:cs="宋体" w:asciiTheme="minorEastAsia" w:hAnsiTheme="minorEastAsia"/>
          <w:color w:val="auto"/>
          <w:kern w:val="0"/>
          <w:szCs w:val="21"/>
          <w:highlight w:val="none"/>
        </w:rPr>
        <w:t>无论</w:t>
      </w:r>
      <w:r>
        <w:rPr>
          <w:rFonts w:hint="eastAsia" w:cs="宋体" w:asciiTheme="minorEastAsia" w:hAnsiTheme="minorEastAsia"/>
          <w:color w:val="auto"/>
          <w:kern w:val="0"/>
          <w:szCs w:val="21"/>
          <w:highlight w:val="none"/>
          <w:lang w:eastAsia="zh-CN"/>
        </w:rPr>
        <w:t>本协议</w:t>
      </w:r>
      <w:r>
        <w:rPr>
          <w:rFonts w:hint="eastAsia" w:cs="宋体" w:asciiTheme="minorEastAsia" w:hAnsiTheme="minorEastAsia"/>
          <w:color w:val="auto"/>
          <w:kern w:val="0"/>
          <w:szCs w:val="21"/>
          <w:highlight w:val="none"/>
        </w:rPr>
        <w:t>是否变更</w:t>
      </w:r>
      <w:r>
        <w:rPr>
          <w:rFonts w:cs="宋体" w:asciiTheme="minorEastAsia" w:hAnsiTheme="minorEastAsia"/>
          <w:color w:val="auto"/>
          <w:kern w:val="0"/>
          <w:szCs w:val="21"/>
          <w:highlight w:val="none"/>
        </w:rPr>
        <w:t>、解除，终止</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条款均持续</w:t>
      </w:r>
      <w:r>
        <w:rPr>
          <w:rFonts w:hint="eastAsia" w:cs="宋体" w:asciiTheme="minorEastAsia" w:hAnsiTheme="minorEastAsia"/>
          <w:color w:val="auto"/>
          <w:kern w:val="0"/>
          <w:szCs w:val="21"/>
          <w:highlight w:val="none"/>
        </w:rPr>
        <w:t>、长期有效。</w:t>
      </w:r>
      <w:r>
        <w:rPr>
          <w:rFonts w:cs="宋体" w:asciiTheme="minorEastAsia" w:hAnsiTheme="minorEastAsia"/>
          <w:color w:val="auto"/>
          <w:kern w:val="0"/>
          <w:szCs w:val="21"/>
          <w:highlight w:val="none"/>
        </w:rPr>
        <w:t>乙方如未能</w:t>
      </w:r>
      <w:r>
        <w:rPr>
          <w:rFonts w:hint="eastAsia" w:cs="宋体" w:asciiTheme="minorEastAsia" w:hAnsiTheme="minorEastAsia"/>
          <w:color w:val="auto"/>
          <w:kern w:val="0"/>
          <w:szCs w:val="21"/>
          <w:highlight w:val="none"/>
        </w:rPr>
        <w:t>遵守</w:t>
      </w:r>
      <w:r>
        <w:rPr>
          <w:rFonts w:cs="宋体" w:asciiTheme="minorEastAsia" w:hAnsiTheme="minorEastAsia"/>
          <w:color w:val="auto"/>
          <w:kern w:val="0"/>
          <w:szCs w:val="21"/>
          <w:highlight w:val="none"/>
        </w:rPr>
        <w:t>上述协议，有违反保密规定行为而</w:t>
      </w:r>
      <w:r>
        <w:rPr>
          <w:rFonts w:hint="eastAsia" w:cs="宋体" w:asciiTheme="minorEastAsia" w:hAnsiTheme="minorEastAsia"/>
          <w:color w:val="auto"/>
          <w:kern w:val="0"/>
          <w:szCs w:val="21"/>
          <w:highlight w:val="none"/>
        </w:rPr>
        <w:t>造成泄密的，甲方可依据有关规定追究乙方的责任，并视情作出处理；</w:t>
      </w:r>
      <w:r>
        <w:rPr>
          <w:rFonts w:cs="宋体" w:asciiTheme="minorEastAsia" w:hAnsiTheme="minorEastAsia"/>
          <w:color w:val="auto"/>
          <w:kern w:val="0"/>
          <w:szCs w:val="21"/>
          <w:highlight w:val="none"/>
        </w:rPr>
        <w:t>构成犯罪的，</w:t>
      </w:r>
      <w:r>
        <w:rPr>
          <w:rFonts w:hint="eastAsia" w:cs="宋体" w:asciiTheme="minorEastAsia" w:hAnsiTheme="minorEastAsia"/>
          <w:color w:val="auto"/>
          <w:kern w:val="0"/>
          <w:szCs w:val="21"/>
          <w:highlight w:val="none"/>
        </w:rPr>
        <w:t>将依法追究刑事责任。</w:t>
      </w:r>
    </w:p>
    <w:p w14:paraId="168BC368">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十二、本协议为主合同的附件。</w:t>
      </w:r>
    </w:p>
    <w:p w14:paraId="7EDEB576">
      <w:pPr>
        <w:keepNext w:val="0"/>
        <w:keepLines w:val="0"/>
        <w:pageBreakBefore w:val="0"/>
        <w:widowControl/>
        <w:kinsoku/>
        <w:wordWrap/>
        <w:overflowPunct/>
        <w:topLinePunct/>
        <w:autoSpaceDE/>
        <w:autoSpaceDN/>
        <w:bidi w:val="0"/>
        <w:adjustRightInd w:val="0"/>
        <w:snapToGrid w:val="0"/>
        <w:spacing w:line="360" w:lineRule="auto"/>
        <w:ind w:firstLine="420" w:firstLineChars="200"/>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本协议未尽事宜，双方可签订补充协议。</w:t>
      </w:r>
    </w:p>
    <w:p w14:paraId="34F6223A">
      <w:pPr>
        <w:keepNext w:val="0"/>
        <w:keepLines w:val="0"/>
        <w:pageBreakBefore w:val="0"/>
        <w:widowControl/>
        <w:kinsoku/>
        <w:wordWrap/>
        <w:overflowPunct/>
        <w:topLinePunct/>
        <w:autoSpaceDE/>
        <w:autoSpaceDN/>
        <w:bidi w:val="0"/>
        <w:adjustRightInd w:val="0"/>
        <w:snapToGrid w:val="0"/>
        <w:spacing w:line="360" w:lineRule="auto"/>
        <w:ind w:firstLine="420" w:firstLineChars="200"/>
        <w:jc w:val="left"/>
        <w:textAlignment w:val="baseline"/>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十三、协议的生效</w:t>
      </w:r>
    </w:p>
    <w:p w14:paraId="5D65A2EE">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本协议由双方授权代表签名盖章后生效。</w:t>
      </w:r>
    </w:p>
    <w:p w14:paraId="45037BF5">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本协议一式两份，甲方执一份，乙方执一份，每份具有同等的法律效力。</w:t>
      </w:r>
    </w:p>
    <w:p w14:paraId="518C5D1A">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十四、协议签署</w:t>
      </w:r>
    </w:p>
    <w:tbl>
      <w:tblPr>
        <w:tblStyle w:val="14"/>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3799"/>
        <w:gridCol w:w="4782"/>
      </w:tblGrid>
      <w:tr w14:paraId="15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87" w:hRule="atLeast"/>
          <w:jc w:val="center"/>
        </w:trPr>
        <w:tc>
          <w:tcPr>
            <w:tcW w:w="3799" w:type="dxa"/>
            <w:vAlign w:val="center"/>
          </w:tcPr>
          <w:p w14:paraId="1C498764">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7F398B86">
            <w:pPr>
              <w:kinsoku/>
              <w:topLinePunct/>
              <w:autoSpaceDE/>
              <w:autoSpaceDN/>
              <w:spacing w:line="398" w:lineRule="auto"/>
              <w:rPr>
                <w:rFonts w:ascii="宋体" w:cs="宋体"/>
                <w:color w:val="auto"/>
                <w:highlight w:val="none"/>
              </w:rPr>
            </w:pPr>
          </w:p>
          <w:p w14:paraId="1EC9FEA5">
            <w:pPr>
              <w:kinsoku/>
              <w:topLinePunct/>
              <w:autoSpaceDE/>
              <w:autoSpaceDN/>
              <w:spacing w:before="68" w:line="221" w:lineRule="auto"/>
              <w:ind w:right="59"/>
              <w:rPr>
                <w:rFonts w:ascii="宋体" w:cs="宋体"/>
                <w:color w:val="auto"/>
                <w:highlight w:val="none"/>
              </w:rPr>
            </w:pPr>
          </w:p>
        </w:tc>
        <w:tc>
          <w:tcPr>
            <w:tcW w:w="4782" w:type="dxa"/>
            <w:vAlign w:val="center"/>
          </w:tcPr>
          <w:p w14:paraId="221597D4">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36ED9457">
            <w:pPr>
              <w:kinsoku/>
              <w:topLinePunct/>
              <w:autoSpaceDE/>
              <w:autoSpaceDN/>
              <w:spacing w:line="398" w:lineRule="auto"/>
              <w:rPr>
                <w:rFonts w:ascii="宋体" w:cs="宋体"/>
                <w:color w:val="auto"/>
                <w:highlight w:val="none"/>
              </w:rPr>
            </w:pPr>
          </w:p>
          <w:p w14:paraId="515AEA53">
            <w:pPr>
              <w:kinsoku/>
              <w:topLinePunct/>
              <w:autoSpaceDE/>
              <w:autoSpaceDN/>
              <w:spacing w:before="68" w:line="221" w:lineRule="auto"/>
              <w:ind w:right="64"/>
              <w:rPr>
                <w:rFonts w:ascii="宋体" w:cs="宋体"/>
                <w:color w:val="auto"/>
                <w:highlight w:val="none"/>
              </w:rPr>
            </w:pPr>
          </w:p>
        </w:tc>
      </w:tr>
      <w:tr w14:paraId="32338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33" w:hRule="atLeast"/>
          <w:jc w:val="center"/>
        </w:trPr>
        <w:tc>
          <w:tcPr>
            <w:tcW w:w="3799" w:type="dxa"/>
            <w:vAlign w:val="center"/>
          </w:tcPr>
          <w:p w14:paraId="363DE477">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vAlign w:val="center"/>
          </w:tcPr>
          <w:p w14:paraId="075DEB74">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r w14:paraId="498A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19" w:hRule="atLeast"/>
          <w:jc w:val="center"/>
        </w:trPr>
        <w:tc>
          <w:tcPr>
            <w:tcW w:w="3799" w:type="dxa"/>
            <w:vAlign w:val="center"/>
          </w:tcPr>
          <w:p w14:paraId="4CDBAAF6">
            <w:pPr>
              <w:kinsoku/>
              <w:topLinePunct/>
              <w:autoSpaceDE/>
              <w:autoSpaceDN/>
              <w:spacing w:before="68" w:line="217" w:lineRule="auto"/>
              <w:ind w:left="116"/>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782" w:type="dxa"/>
            <w:vAlign w:val="center"/>
          </w:tcPr>
          <w:p w14:paraId="14EA71E1">
            <w:pPr>
              <w:kinsoku/>
              <w:topLinePunct/>
              <w:autoSpaceDE/>
              <w:autoSpaceDN/>
              <w:spacing w:before="68" w:line="217" w:lineRule="auto"/>
              <w:ind w:left="115"/>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6769BD9D">
      <w:pPr>
        <w:pStyle w:val="2"/>
        <w:kinsoku/>
        <w:topLinePunct/>
        <w:autoSpaceDE/>
        <w:autoSpaceDN/>
        <w:ind w:right="86" w:rightChars="41"/>
        <w:jc w:val="both"/>
        <w:rPr>
          <w:rFonts w:hint="eastAsia" w:ascii="宋体" w:hAnsi="宋体" w:cs="宋体"/>
          <w:color w:val="auto"/>
          <w:highlight w:val="none"/>
        </w:rPr>
        <w:sectPr>
          <w:headerReference r:id="rId16" w:type="default"/>
          <w:footerReference r:id="rId17"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442DD5A">
      <w:pPr>
        <w:pStyle w:val="2"/>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第六章采购合同</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bookmarkEnd w:id="8"/>
    </w:p>
    <w:p w14:paraId="2BE26177">
      <w:pPr>
        <w:kinsoku/>
        <w:topLinePunct/>
        <w:autoSpaceDE/>
        <w:autoSpaceDN/>
        <w:spacing w:line="360" w:lineRule="auto"/>
        <w:ind w:right="86" w:rightChars="41"/>
        <w:jc w:val="center"/>
        <w:rPr>
          <w:rFonts w:ascii="宋体" w:cs="宋体"/>
          <w:b/>
          <w:color w:val="auto"/>
          <w:sz w:val="36"/>
          <w:szCs w:val="36"/>
          <w:highlight w:val="none"/>
        </w:rPr>
      </w:pP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项目名称及编号</w:t>
      </w:r>
      <w:r>
        <w:rPr>
          <w:rFonts w:ascii="宋体" w:hAnsi="宋体" w:cs="宋体"/>
          <w:color w:val="auto"/>
          <w:sz w:val="24"/>
          <w:szCs w:val="24"/>
          <w:highlight w:val="none"/>
          <w:u w:val="single"/>
        </w:rPr>
        <w:t>)</w:t>
      </w:r>
      <w:r>
        <w:rPr>
          <w:rFonts w:hint="eastAsia"/>
          <w:color w:val="auto"/>
          <w:spacing w:val="0"/>
          <w:sz w:val="24"/>
          <w:szCs w:val="24"/>
          <w:highlight w:val="none"/>
          <w:lang w:eastAsia="zh-CN"/>
        </w:rPr>
        <w:t>审核委托协议书</w:t>
      </w:r>
    </w:p>
    <w:p w14:paraId="7A431745">
      <w:pPr>
        <w:kinsoku/>
        <w:topLinePunct/>
        <w:autoSpaceDE/>
        <w:autoSpaceDN/>
        <w:spacing w:line="360" w:lineRule="auto"/>
        <w:ind w:firstLine="420" w:firstLineChars="200"/>
        <w:rPr>
          <w:rFonts w:hint="default" w:ascii="宋体" w:eastAsia="宋体" w:cs="宋体"/>
          <w:color w:val="auto"/>
          <w:highlight w:val="none"/>
          <w:u w:val="single"/>
          <w:lang w:val="en-US" w:eastAsia="zh-CN"/>
        </w:rPr>
      </w:pPr>
      <w:r>
        <w:rPr>
          <w:rFonts w:hint="eastAsia" w:ascii="宋体" w:hAnsi="宋体" w:cs="宋体"/>
          <w:color w:val="auto"/>
          <w:highlight w:val="none"/>
        </w:rPr>
        <w:t>合同编号：</w:t>
      </w:r>
      <w:r>
        <w:rPr>
          <w:rFonts w:hint="eastAsia" w:ascii="宋体" w:hAnsi="宋体" w:cs="宋体"/>
          <w:color w:val="auto"/>
          <w:highlight w:val="none"/>
          <w:u w:val="single"/>
          <w:lang w:val="en-US" w:eastAsia="zh-CN"/>
        </w:rPr>
        <w:t xml:space="preserve">                       </w:t>
      </w:r>
    </w:p>
    <w:p w14:paraId="5635681C">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采购人</w:t>
      </w:r>
      <w:r>
        <w:rPr>
          <w:rFonts w:ascii="宋体" w:hAnsi="宋体" w:cs="宋体"/>
          <w:color w:val="auto"/>
          <w:highlight w:val="none"/>
        </w:rPr>
        <w:t xml:space="preserve"> (</w:t>
      </w: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u w:val="single"/>
          <w:lang w:eastAsia="zh-CN"/>
        </w:rPr>
        <w:t>防城港市防城区财政局</w:t>
      </w:r>
    </w:p>
    <w:p w14:paraId="5A6C5850">
      <w:pPr>
        <w:kinsoku/>
        <w:topLinePunct/>
        <w:autoSpaceDE/>
        <w:autoSpaceDN/>
        <w:spacing w:line="360" w:lineRule="auto"/>
        <w:ind w:firstLine="420" w:firstLineChars="200"/>
        <w:rPr>
          <w:rFonts w:hint="default" w:ascii="宋体" w:hAnsi="宋体" w:eastAsia="宋体" w:cs="宋体"/>
          <w:color w:val="auto"/>
          <w:highlight w:val="none"/>
          <w:u w:val="single"/>
          <w:lang w:val="en-US" w:eastAsia="zh-CN"/>
        </w:rPr>
      </w:pPr>
      <w:r>
        <w:rPr>
          <w:rFonts w:hint="eastAsia" w:ascii="宋体" w:hAnsi="宋体" w:cs="宋体"/>
          <w:color w:val="auto"/>
          <w:highlight w:val="none"/>
        </w:rPr>
        <w:t>成交供应商</w:t>
      </w:r>
      <w:r>
        <w:rPr>
          <w:rFonts w:ascii="宋体" w:hAnsi="宋体" w:cs="宋体"/>
          <w:color w:val="auto"/>
          <w:highlight w:val="none"/>
        </w:rPr>
        <w:t>(</w:t>
      </w: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u w:val="single"/>
          <w:lang w:val="en-US" w:eastAsia="zh-CN"/>
        </w:rPr>
        <w:t xml:space="preserve">                  </w:t>
      </w:r>
    </w:p>
    <w:p w14:paraId="115A636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地</w:t>
      </w:r>
      <w:r>
        <w:rPr>
          <w:rFonts w:ascii="宋体" w:hAnsi="宋体" w:cs="宋体"/>
          <w:color w:val="auto"/>
          <w:highlight w:val="none"/>
        </w:rPr>
        <w:t xml:space="preserve">  </w:t>
      </w:r>
      <w:r>
        <w:rPr>
          <w:rFonts w:hint="eastAsia" w:ascii="宋体" w:hAnsi="宋体" w:cs="宋体"/>
          <w:color w:val="auto"/>
          <w:highlight w:val="none"/>
        </w:rPr>
        <w:t>点</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时</w:t>
      </w:r>
      <w:r>
        <w:rPr>
          <w:rFonts w:ascii="宋体" w:hAnsi="宋体" w:cs="宋体"/>
          <w:color w:val="auto"/>
          <w:highlight w:val="none"/>
        </w:rPr>
        <w:t xml:space="preserve"> </w:t>
      </w:r>
      <w:r>
        <w:rPr>
          <w:rFonts w:hint="eastAsia" w:ascii="宋体" w:hAnsi="宋体" w:cs="宋体"/>
          <w:color w:val="auto"/>
          <w:highlight w:val="none"/>
        </w:rPr>
        <w:t>间</w:t>
      </w:r>
    </w:p>
    <w:p w14:paraId="7A06720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根据《中华人民共和国政府采购法》等法律、法规规定，</w:t>
      </w:r>
      <w:r>
        <w:rPr>
          <w:rFonts w:ascii="宋体" w:hAnsi="宋体" w:cs="宋体"/>
          <w:color w:val="auto"/>
          <w:highlight w:val="none"/>
        </w:rPr>
        <w:t xml:space="preserve"> </w:t>
      </w:r>
      <w:r>
        <w:rPr>
          <w:rFonts w:hint="eastAsia" w:ascii="宋体" w:hAnsi="宋体" w:cs="宋体"/>
          <w:color w:val="auto"/>
          <w:highlight w:val="none"/>
        </w:rPr>
        <w:t>按照征集文件及框架协议规定条款和乙方</w:t>
      </w:r>
      <w:r>
        <w:rPr>
          <w:rFonts w:ascii="宋体" w:hAnsi="宋体" w:cs="宋体"/>
          <w:color w:val="auto"/>
          <w:highlight w:val="none"/>
        </w:rPr>
        <w:t xml:space="preserve"> </w:t>
      </w:r>
      <w:r>
        <w:rPr>
          <w:rFonts w:hint="eastAsia" w:ascii="宋体" w:hAnsi="宋体" w:cs="宋体"/>
          <w:color w:val="auto"/>
          <w:highlight w:val="none"/>
        </w:rPr>
        <w:t>响应文件及其承诺，</w:t>
      </w:r>
      <w:r>
        <w:rPr>
          <w:rFonts w:ascii="宋体" w:hAnsi="宋体" w:cs="宋体"/>
          <w:color w:val="auto"/>
          <w:highlight w:val="none"/>
        </w:rPr>
        <w:t xml:space="preserve"> </w:t>
      </w:r>
      <w:r>
        <w:rPr>
          <w:rFonts w:hint="eastAsia" w:ascii="宋体" w:hAnsi="宋体" w:cs="宋体"/>
          <w:color w:val="auto"/>
          <w:highlight w:val="none"/>
        </w:rPr>
        <w:t>甲乙双方签订本合同。</w:t>
      </w:r>
    </w:p>
    <w:p w14:paraId="5732602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第一条项目概况及服务范围</w:t>
      </w:r>
    </w:p>
    <w:p w14:paraId="78E5D202">
      <w:pPr>
        <w:numPr>
          <w:ilvl w:val="0"/>
          <w:numId w:val="0"/>
        </w:numPr>
        <w:kinsoku/>
        <w:topLinePunct/>
        <w:autoSpaceDE/>
        <w:autoSpaceDN/>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lang w:val="en-US" w:eastAsia="zh-CN"/>
        </w:rPr>
        <w:t>1.</w:t>
      </w:r>
      <w:r>
        <w:rPr>
          <w:rFonts w:hint="eastAsia" w:ascii="宋体" w:hAnsi="宋体" w:cs="宋体"/>
          <w:color w:val="auto"/>
          <w:highlight w:val="none"/>
        </w:rPr>
        <w:t>项目名称：</w:t>
      </w:r>
    </w:p>
    <w:p w14:paraId="106DF23E">
      <w:pPr>
        <w:kinsoku/>
        <w:topLinePunct/>
        <w:autoSpaceDE/>
        <w:autoSpaceDN/>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项目</w:t>
      </w:r>
      <w:r>
        <w:rPr>
          <w:rFonts w:hint="eastAsia" w:ascii="宋体" w:hAnsi="宋体" w:cs="宋体"/>
          <w:color w:val="auto"/>
          <w:highlight w:val="none"/>
          <w:lang w:eastAsia="zh-CN"/>
        </w:rPr>
        <w:t>难度系数：</w:t>
      </w:r>
    </w:p>
    <w:p w14:paraId="0CB0EE8A">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highlight w:val="none"/>
        </w:rPr>
        <w:t>服务内容：</w:t>
      </w:r>
      <w:r>
        <w:rPr>
          <w:rFonts w:ascii="宋体" w:hAnsi="宋体" w:cs="宋体"/>
          <w:color w:val="auto"/>
          <w:highlight w:val="none"/>
        </w:rPr>
        <w:t xml:space="preserve">      </w:t>
      </w:r>
    </w:p>
    <w:p w14:paraId="197B196B">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highlight w:val="none"/>
        </w:rPr>
        <w:t>服务期：</w:t>
      </w:r>
      <w:r>
        <w:rPr>
          <w:rFonts w:ascii="宋体" w:hAnsi="宋体" w:cs="宋体"/>
          <w:color w:val="auto"/>
          <w:highlight w:val="none"/>
        </w:rPr>
        <w:t xml:space="preserve">    </w:t>
      </w:r>
    </w:p>
    <w:p w14:paraId="233B6247">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履行合同的地域范围：</w:t>
      </w:r>
      <w:r>
        <w:rPr>
          <w:rFonts w:ascii="宋体" w:hAnsi="宋体" w:cs="宋体"/>
          <w:color w:val="auto"/>
          <w:highlight w:val="none"/>
        </w:rPr>
        <w:t xml:space="preserve">     </w:t>
      </w:r>
    </w:p>
    <w:p w14:paraId="1A3BDFE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协议价格：</w:t>
      </w:r>
      <w:r>
        <w:rPr>
          <w:rFonts w:hint="eastAsia" w:ascii="宋体" w:hAnsi="宋体" w:cs="宋体"/>
          <w:color w:val="auto"/>
          <w:highlight w:val="none"/>
          <w:u w:val="single"/>
        </w:rPr>
        <w:t>按框架协议规定执行</w:t>
      </w:r>
      <w:r>
        <w:rPr>
          <w:rFonts w:hint="eastAsia" w:ascii="宋体" w:hAnsi="宋体" w:cs="宋体"/>
          <w:color w:val="auto"/>
          <w:highlight w:val="none"/>
        </w:rPr>
        <w:t>。</w:t>
      </w:r>
    </w:p>
    <w:p w14:paraId="46FF269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第二条签订本合同依据</w:t>
      </w:r>
    </w:p>
    <w:p w14:paraId="31E424A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框架协议；</w:t>
      </w:r>
      <w:r>
        <w:rPr>
          <w:rFonts w:ascii="宋体" w:hAnsi="宋体" w:cs="宋体"/>
          <w:color w:val="auto"/>
          <w:highlight w:val="none"/>
        </w:rPr>
        <w:t>2.</w:t>
      </w:r>
      <w:r>
        <w:rPr>
          <w:rFonts w:hint="eastAsia" w:ascii="宋体" w:hAnsi="宋体" w:cs="宋体"/>
          <w:color w:val="auto"/>
          <w:highlight w:val="none"/>
        </w:rPr>
        <w:t>采购征集文件；</w:t>
      </w:r>
      <w:r>
        <w:rPr>
          <w:rFonts w:ascii="宋体" w:hAnsi="宋体" w:cs="宋体"/>
          <w:color w:val="auto"/>
          <w:highlight w:val="none"/>
        </w:rPr>
        <w:t>3.</w:t>
      </w:r>
      <w:r>
        <w:rPr>
          <w:rFonts w:hint="eastAsia" w:ascii="宋体" w:hAnsi="宋体" w:cs="宋体"/>
          <w:color w:val="auto"/>
          <w:highlight w:val="none"/>
        </w:rPr>
        <w:t>乙方提供的响应文件；</w:t>
      </w:r>
      <w:r>
        <w:rPr>
          <w:rFonts w:ascii="宋体" w:hAnsi="宋体" w:cs="宋体"/>
          <w:color w:val="auto"/>
          <w:highlight w:val="none"/>
        </w:rPr>
        <w:t xml:space="preserve"> 4.</w:t>
      </w:r>
      <w:r>
        <w:rPr>
          <w:rFonts w:hint="eastAsia" w:ascii="宋体" w:hAnsi="宋体" w:cs="宋体"/>
          <w:color w:val="auto"/>
          <w:highlight w:val="none"/>
        </w:rPr>
        <w:t>入围通知书。</w:t>
      </w:r>
    </w:p>
    <w:p w14:paraId="20B1A9F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第三条其他约定</w:t>
      </w:r>
    </w:p>
    <w:p w14:paraId="4A92953E">
      <w:pPr>
        <w:numPr>
          <w:ilvl w:val="0"/>
          <w:numId w:val="0"/>
        </w:num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本合同基于甲乙双方签订的框架协议授予。</w:t>
      </w:r>
      <w:r>
        <w:rPr>
          <w:rFonts w:ascii="宋体" w:hAnsi="宋体" w:cs="宋体"/>
          <w:color w:val="auto"/>
          <w:highlight w:val="none"/>
        </w:rPr>
        <w:t xml:space="preserve"> </w:t>
      </w:r>
    </w:p>
    <w:p w14:paraId="46EE17C5">
      <w:pPr>
        <w:numPr>
          <w:ilvl w:val="0"/>
          <w:numId w:val="0"/>
        </w:num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本合同未尽事宜，</w:t>
      </w:r>
      <w:r>
        <w:rPr>
          <w:rFonts w:ascii="宋体" w:hAnsi="宋体" w:cs="宋体"/>
          <w:color w:val="auto"/>
          <w:highlight w:val="none"/>
        </w:rPr>
        <w:t xml:space="preserve"> </w:t>
      </w:r>
      <w:r>
        <w:rPr>
          <w:rFonts w:hint="eastAsia" w:ascii="宋体" w:hAnsi="宋体" w:cs="宋体"/>
          <w:color w:val="auto"/>
          <w:highlight w:val="none"/>
        </w:rPr>
        <w:t>遵照《中华人民共和国政府民法典》有关条文执行。</w:t>
      </w:r>
    </w:p>
    <w:p w14:paraId="62337DC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合同执行中，</w:t>
      </w:r>
      <w:r>
        <w:rPr>
          <w:rFonts w:ascii="宋体" w:hAnsi="宋体" w:cs="宋体"/>
          <w:color w:val="auto"/>
          <w:highlight w:val="none"/>
        </w:rPr>
        <w:t xml:space="preserve"> </w:t>
      </w:r>
      <w:r>
        <w:rPr>
          <w:rFonts w:hint="eastAsia" w:ascii="宋体" w:hAnsi="宋体" w:cs="宋体"/>
          <w:color w:val="auto"/>
          <w:highlight w:val="none"/>
        </w:rPr>
        <w:t>如需修改或补充合同内容，</w:t>
      </w:r>
      <w:r>
        <w:rPr>
          <w:rFonts w:ascii="宋体" w:hAnsi="宋体" w:cs="宋体"/>
          <w:color w:val="auto"/>
          <w:highlight w:val="none"/>
        </w:rPr>
        <w:t xml:space="preserve"> </w:t>
      </w:r>
      <w:r>
        <w:rPr>
          <w:rFonts w:hint="eastAsia" w:ascii="宋体" w:hAnsi="宋体" w:cs="宋体"/>
          <w:color w:val="auto"/>
          <w:highlight w:val="none"/>
        </w:rPr>
        <w:t>由双方协商另签署书面修改或补充合同。但补充内容不</w:t>
      </w:r>
      <w:r>
        <w:rPr>
          <w:rFonts w:ascii="宋体" w:hAnsi="宋体" w:cs="宋体"/>
          <w:color w:val="auto"/>
          <w:highlight w:val="none"/>
        </w:rPr>
        <w:t xml:space="preserve"> </w:t>
      </w:r>
      <w:r>
        <w:rPr>
          <w:rFonts w:hint="eastAsia" w:ascii="宋体" w:hAnsi="宋体" w:cs="宋体"/>
          <w:color w:val="auto"/>
          <w:highlight w:val="none"/>
        </w:rPr>
        <w:t>得改变框架协议约定的合同实质性条款。</w:t>
      </w:r>
    </w:p>
    <w:p w14:paraId="71763B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除《中华人民共和国政府采购法》第五十条规定的情形</w:t>
      </w:r>
      <w:r>
        <w:rPr>
          <w:rFonts w:hint="eastAsia" w:ascii="宋体" w:hAnsi="宋体" w:cs="宋体"/>
          <w:color w:val="auto"/>
          <w:highlight w:val="none"/>
          <w:lang w:eastAsia="zh-CN"/>
        </w:rPr>
        <w:t>及</w:t>
      </w:r>
      <w:r>
        <w:rPr>
          <w:rFonts w:hint="eastAsia" w:ascii="宋体" w:hAnsi="宋体" w:cs="宋体"/>
          <w:color w:val="auto"/>
          <w:highlight w:val="none"/>
        </w:rPr>
        <w:t>双方</w:t>
      </w:r>
      <w:r>
        <w:rPr>
          <w:rFonts w:hint="eastAsia" w:ascii="宋体" w:hAnsi="宋体" w:cs="宋体"/>
          <w:color w:val="auto"/>
          <w:highlight w:val="none"/>
          <w:lang w:eastAsia="zh-CN"/>
        </w:rPr>
        <w:t>已</w:t>
      </w:r>
      <w:r>
        <w:rPr>
          <w:rFonts w:hint="eastAsia" w:ascii="宋体" w:hAnsi="宋体" w:cs="宋体"/>
          <w:color w:val="auto"/>
          <w:highlight w:val="none"/>
        </w:rPr>
        <w:t>签署《</w:t>
      </w:r>
      <w:r>
        <w:rPr>
          <w:rFonts w:hint="eastAsia" w:ascii="宋体" w:hAnsi="宋体" w:cs="宋体"/>
          <w:color w:val="auto"/>
          <w:highlight w:val="none"/>
          <w:lang w:eastAsia="zh-CN"/>
        </w:rPr>
        <w:t>协审</w:t>
      </w:r>
      <w:r>
        <w:rPr>
          <w:rFonts w:hint="eastAsia" w:ascii="宋体" w:hAnsi="宋体" w:cs="宋体"/>
          <w:color w:val="auto"/>
          <w:highlight w:val="none"/>
          <w:u w:val="none"/>
        </w:rPr>
        <w:t>框架协议</w:t>
      </w:r>
      <w:r>
        <w:rPr>
          <w:rFonts w:hint="eastAsia" w:ascii="宋体" w:hAnsi="宋体" w:cs="宋体"/>
          <w:color w:val="auto"/>
          <w:highlight w:val="none"/>
        </w:rPr>
        <w:t>》外，本合同一经签订，</w:t>
      </w:r>
      <w:r>
        <w:rPr>
          <w:rFonts w:ascii="宋体" w:hAnsi="宋体" w:cs="宋体"/>
          <w:color w:val="auto"/>
          <w:highlight w:val="none"/>
        </w:rPr>
        <w:t xml:space="preserve"> </w:t>
      </w:r>
      <w:r>
        <w:rPr>
          <w:rFonts w:hint="eastAsia" w:ascii="宋体" w:hAnsi="宋体" w:cs="宋体"/>
          <w:color w:val="auto"/>
          <w:highlight w:val="none"/>
        </w:rPr>
        <w:t>甲乙双方不得擅自变更、中止或终止。</w:t>
      </w:r>
    </w:p>
    <w:p w14:paraId="0096B5A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未经甲方书面同意，乙方不得擅自转让其应履行的合同义务。</w:t>
      </w:r>
    </w:p>
    <w:p w14:paraId="0ECF4DF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第四条本合同一式二份，</w:t>
      </w:r>
      <w:r>
        <w:rPr>
          <w:rFonts w:ascii="宋体" w:hAnsi="宋体" w:cs="宋体"/>
          <w:color w:val="auto"/>
          <w:highlight w:val="none"/>
        </w:rPr>
        <w:t xml:space="preserve"> </w:t>
      </w:r>
      <w:r>
        <w:rPr>
          <w:rFonts w:hint="eastAsia" w:ascii="宋体" w:hAnsi="宋体" w:cs="宋体"/>
          <w:color w:val="auto"/>
          <w:highlight w:val="none"/>
        </w:rPr>
        <w:t>双方各一份，</w:t>
      </w:r>
      <w:r>
        <w:rPr>
          <w:rFonts w:ascii="宋体" w:hAnsi="宋体" w:cs="宋体"/>
          <w:color w:val="auto"/>
          <w:highlight w:val="none"/>
        </w:rPr>
        <w:t xml:space="preserve"> </w:t>
      </w:r>
      <w:r>
        <w:rPr>
          <w:rFonts w:hint="eastAsia" w:ascii="宋体" w:hAnsi="宋体" w:cs="宋体"/>
          <w:color w:val="auto"/>
          <w:highlight w:val="none"/>
        </w:rPr>
        <w:t>具有同等法律效力。</w:t>
      </w:r>
    </w:p>
    <w:p w14:paraId="2AAA42B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本合同经甲乙双方法定代表人或被授权代表签字并加盖单位公章后生效。</w:t>
      </w:r>
    </w:p>
    <w:tbl>
      <w:tblPr>
        <w:tblStyle w:val="14"/>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4"/>
        <w:gridCol w:w="4782"/>
      </w:tblGrid>
      <w:tr w14:paraId="71ED4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524" w:type="dxa"/>
          </w:tcPr>
          <w:p w14:paraId="4057D74B">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章</w:t>
            </w:r>
            <w:r>
              <w:rPr>
                <w:rFonts w:ascii="宋体" w:hAnsi="宋体" w:cs="宋体"/>
                <w:color w:val="auto"/>
                <w:highlight w:val="none"/>
              </w:rPr>
              <w:t>)</w:t>
            </w:r>
          </w:p>
          <w:p w14:paraId="4EC8635D">
            <w:pPr>
              <w:kinsoku/>
              <w:topLinePunct/>
              <w:autoSpaceDE/>
              <w:autoSpaceDN/>
              <w:spacing w:line="398" w:lineRule="auto"/>
              <w:rPr>
                <w:rFonts w:ascii="宋体" w:cs="宋体"/>
                <w:color w:val="auto"/>
                <w:highlight w:val="none"/>
              </w:rPr>
            </w:pPr>
          </w:p>
          <w:p w14:paraId="6A67C14A">
            <w:pPr>
              <w:kinsoku/>
              <w:topLinePunct/>
              <w:autoSpaceDE/>
              <w:autoSpaceDN/>
              <w:spacing w:before="68" w:line="221" w:lineRule="auto"/>
              <w:ind w:right="59"/>
              <w:jc w:val="right"/>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c>
          <w:tcPr>
            <w:tcW w:w="4782" w:type="dxa"/>
          </w:tcPr>
          <w:p w14:paraId="587970E6">
            <w:pPr>
              <w:kinsoku/>
              <w:topLinePunct/>
              <w:autoSpaceDE/>
              <w:autoSpaceDN/>
              <w:spacing w:before="111" w:line="220" w:lineRule="auto"/>
              <w:ind w:left="134"/>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章</w:t>
            </w:r>
            <w:r>
              <w:rPr>
                <w:rFonts w:ascii="宋体" w:hAnsi="宋体" w:cs="宋体"/>
                <w:color w:val="auto"/>
                <w:highlight w:val="none"/>
              </w:rPr>
              <w:t>)</w:t>
            </w:r>
          </w:p>
          <w:p w14:paraId="5754F158">
            <w:pPr>
              <w:kinsoku/>
              <w:topLinePunct/>
              <w:autoSpaceDE/>
              <w:autoSpaceDN/>
              <w:spacing w:line="398" w:lineRule="auto"/>
              <w:rPr>
                <w:rFonts w:ascii="宋体" w:cs="宋体"/>
                <w:color w:val="auto"/>
                <w:highlight w:val="none"/>
              </w:rPr>
            </w:pPr>
          </w:p>
          <w:p w14:paraId="55885505">
            <w:pPr>
              <w:kinsoku/>
              <w:topLinePunct/>
              <w:autoSpaceDE/>
              <w:autoSpaceDN/>
              <w:spacing w:before="68" w:line="221" w:lineRule="auto"/>
              <w:ind w:right="64"/>
              <w:jc w:val="right"/>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r w14:paraId="2F7B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4524" w:type="dxa"/>
          </w:tcPr>
          <w:p w14:paraId="2058E9CE">
            <w:pPr>
              <w:kinsoku/>
              <w:topLinePunct/>
              <w:autoSpaceDE/>
              <w:autoSpaceDN/>
              <w:spacing w:line="265" w:lineRule="auto"/>
              <w:rPr>
                <w:rFonts w:ascii="宋体" w:cs="宋体"/>
                <w:color w:val="auto"/>
                <w:highlight w:val="none"/>
              </w:rPr>
            </w:pPr>
          </w:p>
          <w:p w14:paraId="2A5D24AA">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tcPr>
          <w:p w14:paraId="571A57EC">
            <w:pPr>
              <w:kinsoku/>
              <w:topLinePunct/>
              <w:autoSpaceDE/>
              <w:autoSpaceDN/>
              <w:spacing w:line="265" w:lineRule="auto"/>
              <w:rPr>
                <w:rFonts w:ascii="宋体" w:cs="宋体"/>
                <w:color w:val="auto"/>
                <w:highlight w:val="none"/>
              </w:rPr>
            </w:pPr>
          </w:p>
          <w:p w14:paraId="68527E8D">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bl>
    <w:p w14:paraId="254AA085">
      <w:pPr>
        <w:pStyle w:val="4"/>
        <w:kinsoku/>
        <w:topLinePunct/>
        <w:autoSpaceDE/>
        <w:autoSpaceDN/>
        <w:rPr>
          <w:rFonts w:ascii="宋体" w:hAnsi="宋体" w:eastAsia="宋体" w:cs="宋体"/>
          <w:color w:val="auto"/>
          <w:highlight w:val="none"/>
        </w:rPr>
      </w:pPr>
    </w:p>
    <w:p w14:paraId="08D3AB7F">
      <w:pPr>
        <w:kinsoku/>
        <w:topLinePunct/>
        <w:autoSpaceDE/>
        <w:autoSpaceDN/>
        <w:spacing w:line="311" w:lineRule="auto"/>
        <w:ind w:right="86" w:rightChars="41"/>
        <w:rPr>
          <w:rFonts w:ascii="宋体" w:cs="宋体"/>
          <w:color w:val="auto"/>
          <w:highlight w:val="none"/>
        </w:rPr>
      </w:pPr>
    </w:p>
    <w:p w14:paraId="6252CE84">
      <w:pPr>
        <w:pStyle w:val="2"/>
        <w:kinsoku/>
        <w:topLinePunct/>
        <w:autoSpaceDE/>
        <w:autoSpaceDN/>
        <w:ind w:right="86" w:rightChars="41"/>
        <w:rPr>
          <w:rFonts w:ascii="宋体" w:cs="宋体"/>
          <w:color w:val="auto"/>
          <w:highlight w:val="none"/>
        </w:rPr>
      </w:pPr>
      <w:bookmarkStart w:id="9" w:name="_bookmark7"/>
      <w:bookmarkEnd w:id="9"/>
      <w:bookmarkStart w:id="10" w:name="_bookmark6"/>
      <w:bookmarkEnd w:id="10"/>
      <w:bookmarkStart w:id="11" w:name="_Toc27589"/>
      <w:r>
        <w:rPr>
          <w:rFonts w:hint="eastAsia" w:ascii="宋体" w:hAnsi="宋体" w:cs="宋体"/>
          <w:color w:val="auto"/>
          <w:highlight w:val="none"/>
        </w:rPr>
        <w:t>第七章响应文件格式</w:t>
      </w:r>
      <w:bookmarkEnd w:id="11"/>
    </w:p>
    <w:p w14:paraId="5EA983A9">
      <w:pPr>
        <w:kinsoku/>
        <w:topLinePunct/>
        <w:autoSpaceDE/>
        <w:autoSpaceDN/>
        <w:spacing w:line="261" w:lineRule="auto"/>
        <w:ind w:right="86" w:rightChars="41"/>
        <w:rPr>
          <w:rFonts w:ascii="宋体" w:cs="宋体"/>
          <w:color w:val="auto"/>
          <w:highlight w:val="none"/>
        </w:rPr>
      </w:pPr>
    </w:p>
    <w:p w14:paraId="6BFBA585">
      <w:pPr>
        <w:kinsoku/>
        <w:topLinePunct/>
        <w:autoSpaceDE/>
        <w:autoSpaceDN/>
        <w:spacing w:line="262" w:lineRule="auto"/>
        <w:ind w:right="86" w:rightChars="41"/>
        <w:rPr>
          <w:rFonts w:ascii="宋体" w:cs="宋体"/>
          <w:color w:val="auto"/>
          <w:highlight w:val="none"/>
        </w:rPr>
      </w:pPr>
    </w:p>
    <w:p w14:paraId="236BBD2B">
      <w:pPr>
        <w:kinsoku/>
        <w:topLinePunct/>
        <w:autoSpaceDE/>
        <w:autoSpaceDN/>
        <w:spacing w:line="262" w:lineRule="auto"/>
        <w:ind w:right="86" w:rightChars="41"/>
        <w:rPr>
          <w:rFonts w:ascii="宋体" w:cs="宋体"/>
          <w:color w:val="auto"/>
          <w:highlight w:val="none"/>
        </w:rPr>
      </w:pPr>
    </w:p>
    <w:p w14:paraId="56FD568E">
      <w:pPr>
        <w:kinsoku/>
        <w:topLinePunct/>
        <w:autoSpaceDE/>
        <w:autoSpaceDN/>
        <w:spacing w:line="262" w:lineRule="auto"/>
        <w:ind w:right="86" w:rightChars="41"/>
        <w:rPr>
          <w:rFonts w:ascii="宋体" w:cs="宋体"/>
          <w:color w:val="auto"/>
          <w:highlight w:val="none"/>
        </w:rPr>
      </w:pPr>
    </w:p>
    <w:p w14:paraId="1A768EEB">
      <w:pPr>
        <w:kinsoku/>
        <w:topLinePunct/>
        <w:autoSpaceDE/>
        <w:autoSpaceDN/>
        <w:spacing w:line="262" w:lineRule="auto"/>
        <w:ind w:right="86" w:rightChars="41"/>
        <w:rPr>
          <w:rFonts w:ascii="宋体" w:cs="宋体"/>
          <w:color w:val="auto"/>
          <w:highlight w:val="none"/>
        </w:rPr>
      </w:pPr>
    </w:p>
    <w:p w14:paraId="7026C59F">
      <w:pPr>
        <w:kinsoku/>
        <w:topLinePunct/>
        <w:autoSpaceDE/>
        <w:autoSpaceDN/>
        <w:spacing w:before="91" w:line="219" w:lineRule="auto"/>
        <w:ind w:left="598" w:right="86" w:rightChars="41"/>
        <w:rPr>
          <w:rFonts w:ascii="宋体" w:cs="宋体"/>
          <w:color w:val="auto"/>
          <w:sz w:val="28"/>
          <w:szCs w:val="28"/>
          <w:highlight w:val="none"/>
        </w:rPr>
      </w:pPr>
      <w:r>
        <w:rPr>
          <w:rFonts w:hint="eastAsia" w:ascii="宋体" w:hAnsi="宋体" w:cs="宋体"/>
          <w:color w:val="auto"/>
          <w:sz w:val="28"/>
          <w:szCs w:val="28"/>
          <w:highlight w:val="none"/>
        </w:rPr>
        <w:t>注：有签字、盖章要求的应按要求签字、盖章</w:t>
      </w:r>
      <w:r>
        <w:rPr>
          <w:rFonts w:ascii="宋体" w:hAnsi="宋体" w:cs="宋体"/>
          <w:color w:val="auto"/>
          <w:sz w:val="28"/>
          <w:szCs w:val="28"/>
          <w:highlight w:val="none"/>
        </w:rPr>
        <w:t>(</w:t>
      </w:r>
      <w:r>
        <w:rPr>
          <w:rFonts w:hint="eastAsia" w:ascii="宋体" w:hAnsi="宋体" w:cs="宋体"/>
          <w:color w:val="auto"/>
          <w:sz w:val="28"/>
          <w:szCs w:val="28"/>
          <w:highlight w:val="none"/>
        </w:rPr>
        <w:t>签章</w:t>
      </w:r>
      <w:r>
        <w:rPr>
          <w:rFonts w:ascii="宋体" w:hAnsi="宋体" w:cs="宋体"/>
          <w:color w:val="auto"/>
          <w:sz w:val="28"/>
          <w:szCs w:val="28"/>
          <w:highlight w:val="none"/>
        </w:rPr>
        <w:t>)</w:t>
      </w:r>
      <w:r>
        <w:rPr>
          <w:rFonts w:hint="eastAsia" w:ascii="宋体" w:hAnsi="宋体" w:cs="宋体"/>
          <w:color w:val="auto"/>
          <w:sz w:val="28"/>
          <w:szCs w:val="28"/>
          <w:highlight w:val="none"/>
        </w:rPr>
        <w:t>。</w:t>
      </w:r>
    </w:p>
    <w:p w14:paraId="73637A59">
      <w:pPr>
        <w:kinsoku/>
        <w:topLinePunct/>
        <w:autoSpaceDE/>
        <w:autoSpaceDN/>
        <w:ind w:right="86" w:rightChars="41"/>
        <w:rPr>
          <w:rFonts w:ascii="宋体" w:cs="宋体"/>
          <w:color w:val="auto"/>
          <w:highlight w:val="none"/>
        </w:rPr>
        <w:sectPr>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5F3FC6B">
      <w:pPr>
        <w:kinsoku/>
        <w:topLinePunct/>
        <w:autoSpaceDE/>
        <w:autoSpaceDN/>
        <w:spacing w:line="243" w:lineRule="auto"/>
        <w:ind w:right="86" w:rightChars="41"/>
        <w:rPr>
          <w:rFonts w:ascii="宋体" w:cs="宋体"/>
          <w:color w:val="auto"/>
          <w:highlight w:val="none"/>
        </w:rPr>
      </w:pPr>
    </w:p>
    <w:p w14:paraId="5AAB5A7D">
      <w:pPr>
        <w:kinsoku/>
        <w:topLinePunct/>
        <w:autoSpaceDE/>
        <w:autoSpaceDN/>
        <w:spacing w:before="78" w:line="218" w:lineRule="auto"/>
        <w:ind w:left="56" w:right="86" w:rightChars="41"/>
        <w:rPr>
          <w:rFonts w:ascii="宋体" w:cs="宋体"/>
          <w:color w:val="auto"/>
          <w:sz w:val="24"/>
          <w:szCs w:val="24"/>
          <w:highlight w:val="none"/>
        </w:rPr>
      </w:pPr>
      <w:r>
        <w:rPr>
          <w:rFonts w:hint="eastAsia" w:ascii="宋体" w:hAnsi="宋体" w:cs="宋体"/>
          <w:color w:val="auto"/>
          <w:sz w:val="24"/>
          <w:szCs w:val="24"/>
          <w:highlight w:val="none"/>
        </w:rPr>
        <w:t>一、响应文件封面参考格式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资格证明文件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759ADB0F">
      <w:pPr>
        <w:kinsoku/>
        <w:topLinePunct/>
        <w:autoSpaceDE/>
        <w:autoSpaceDN/>
        <w:spacing w:line="285" w:lineRule="auto"/>
        <w:ind w:right="86" w:rightChars="41"/>
        <w:rPr>
          <w:rFonts w:ascii="宋体" w:cs="宋体"/>
          <w:color w:val="auto"/>
          <w:highlight w:val="none"/>
        </w:rPr>
      </w:pPr>
    </w:p>
    <w:p w14:paraId="4CA90802">
      <w:pPr>
        <w:kinsoku/>
        <w:topLinePunct/>
        <w:autoSpaceDE/>
        <w:autoSpaceDN/>
        <w:spacing w:line="285" w:lineRule="auto"/>
        <w:ind w:right="86" w:rightChars="41"/>
        <w:rPr>
          <w:rFonts w:ascii="宋体" w:cs="宋体"/>
          <w:color w:val="auto"/>
          <w:highlight w:val="none"/>
        </w:rPr>
      </w:pPr>
    </w:p>
    <w:p w14:paraId="677AF6F0">
      <w:pPr>
        <w:kinsoku/>
        <w:topLinePunct/>
        <w:autoSpaceDE/>
        <w:autoSpaceDN/>
        <w:spacing w:line="285" w:lineRule="auto"/>
        <w:ind w:right="86" w:rightChars="41"/>
        <w:rPr>
          <w:rFonts w:ascii="宋体" w:cs="宋体"/>
          <w:color w:val="auto"/>
          <w:highlight w:val="none"/>
        </w:rPr>
      </w:pPr>
    </w:p>
    <w:p w14:paraId="35F59133">
      <w:pPr>
        <w:kinsoku/>
        <w:topLinePunct/>
        <w:autoSpaceDE/>
        <w:autoSpaceDN/>
        <w:spacing w:before="140" w:line="223" w:lineRule="auto"/>
        <w:ind w:left="3450"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7AFB9200">
      <w:pPr>
        <w:kinsoku/>
        <w:topLinePunct/>
        <w:autoSpaceDE/>
        <w:autoSpaceDN/>
        <w:spacing w:line="258" w:lineRule="auto"/>
        <w:ind w:right="86" w:rightChars="41"/>
        <w:rPr>
          <w:rFonts w:ascii="宋体" w:cs="宋体"/>
          <w:color w:val="auto"/>
          <w:highlight w:val="none"/>
        </w:rPr>
      </w:pPr>
    </w:p>
    <w:p w14:paraId="30DD9319">
      <w:pPr>
        <w:kinsoku/>
        <w:topLinePunct/>
        <w:autoSpaceDE/>
        <w:autoSpaceDN/>
        <w:spacing w:line="258" w:lineRule="auto"/>
        <w:ind w:right="86" w:rightChars="41"/>
        <w:rPr>
          <w:rFonts w:ascii="宋体" w:cs="宋体"/>
          <w:color w:val="auto"/>
          <w:highlight w:val="none"/>
        </w:rPr>
      </w:pPr>
    </w:p>
    <w:p w14:paraId="364D183B">
      <w:pPr>
        <w:kinsoku/>
        <w:topLinePunct/>
        <w:autoSpaceDE/>
        <w:autoSpaceDN/>
        <w:spacing w:line="259" w:lineRule="auto"/>
        <w:ind w:right="86" w:rightChars="41"/>
        <w:rPr>
          <w:rFonts w:ascii="宋体" w:cs="宋体"/>
          <w:color w:val="auto"/>
          <w:highlight w:val="none"/>
        </w:rPr>
      </w:pPr>
    </w:p>
    <w:p w14:paraId="2CF988A3">
      <w:pPr>
        <w:kinsoku/>
        <w:topLinePunct/>
        <w:autoSpaceDE/>
        <w:autoSpaceDN/>
        <w:spacing w:before="139" w:line="222" w:lineRule="auto"/>
        <w:ind w:left="3418" w:right="86" w:rightChars="41"/>
        <w:rPr>
          <w:rFonts w:ascii="宋体" w:cs="宋体"/>
          <w:color w:val="auto"/>
          <w:sz w:val="43"/>
          <w:szCs w:val="43"/>
          <w:highlight w:val="none"/>
        </w:rPr>
      </w:pPr>
      <w:r>
        <w:rPr>
          <w:rFonts w:hint="eastAsia" w:ascii="宋体" w:hAnsi="宋体" w:cs="宋体"/>
          <w:color w:val="auto"/>
          <w:sz w:val="43"/>
          <w:szCs w:val="43"/>
          <w:highlight w:val="none"/>
        </w:rPr>
        <w:t>资格证明文件</w:t>
      </w:r>
    </w:p>
    <w:p w14:paraId="472B73CF">
      <w:pPr>
        <w:kinsoku/>
        <w:topLinePunct/>
        <w:autoSpaceDE/>
        <w:autoSpaceDN/>
        <w:spacing w:line="247" w:lineRule="auto"/>
        <w:ind w:right="86" w:rightChars="41"/>
        <w:rPr>
          <w:rFonts w:ascii="宋体" w:cs="宋体"/>
          <w:color w:val="auto"/>
          <w:highlight w:val="none"/>
        </w:rPr>
      </w:pPr>
    </w:p>
    <w:p w14:paraId="519901FE">
      <w:pPr>
        <w:kinsoku/>
        <w:topLinePunct/>
        <w:autoSpaceDE/>
        <w:autoSpaceDN/>
        <w:spacing w:line="247" w:lineRule="auto"/>
        <w:ind w:right="86" w:rightChars="41"/>
        <w:rPr>
          <w:rFonts w:ascii="宋体" w:cs="宋体"/>
          <w:color w:val="auto"/>
          <w:highlight w:val="none"/>
        </w:rPr>
      </w:pPr>
    </w:p>
    <w:p w14:paraId="0AEC9063">
      <w:pPr>
        <w:kinsoku/>
        <w:topLinePunct/>
        <w:autoSpaceDE/>
        <w:autoSpaceDN/>
        <w:spacing w:line="248" w:lineRule="auto"/>
        <w:ind w:right="86" w:rightChars="41"/>
        <w:rPr>
          <w:rFonts w:ascii="宋体" w:cs="宋体"/>
          <w:color w:val="auto"/>
          <w:highlight w:val="none"/>
        </w:rPr>
      </w:pPr>
    </w:p>
    <w:p w14:paraId="3F63720D">
      <w:pPr>
        <w:kinsoku/>
        <w:topLinePunct/>
        <w:autoSpaceDE/>
        <w:autoSpaceDN/>
        <w:spacing w:line="248" w:lineRule="auto"/>
        <w:ind w:right="86" w:rightChars="41"/>
        <w:rPr>
          <w:rFonts w:ascii="宋体" w:cs="宋体"/>
          <w:color w:val="auto"/>
          <w:highlight w:val="none"/>
        </w:rPr>
      </w:pPr>
    </w:p>
    <w:p w14:paraId="7AF08BC7">
      <w:pPr>
        <w:kinsoku/>
        <w:topLinePunct/>
        <w:autoSpaceDE/>
        <w:autoSpaceDN/>
        <w:spacing w:line="248" w:lineRule="auto"/>
        <w:ind w:right="86" w:rightChars="41"/>
        <w:rPr>
          <w:rFonts w:ascii="宋体" w:cs="宋体"/>
          <w:color w:val="auto"/>
          <w:highlight w:val="none"/>
        </w:rPr>
      </w:pPr>
    </w:p>
    <w:p w14:paraId="7D6FAFC2">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项目名称：</w:t>
      </w:r>
    </w:p>
    <w:p w14:paraId="0A6EF2CB">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项目编号：</w:t>
      </w:r>
    </w:p>
    <w:p w14:paraId="25850F38">
      <w:pPr>
        <w:kinsoku/>
        <w:topLinePunct/>
        <w:autoSpaceDE/>
        <w:autoSpaceDN/>
        <w:spacing w:line="360" w:lineRule="auto"/>
        <w:ind w:right="86" w:rightChars="41"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55F1093D">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供应商名称：</w:t>
      </w:r>
    </w:p>
    <w:p w14:paraId="074C1258">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供应商地址：</w:t>
      </w:r>
    </w:p>
    <w:p w14:paraId="1CE5F0ED">
      <w:pPr>
        <w:kinsoku/>
        <w:topLinePunct/>
        <w:autoSpaceDE/>
        <w:autoSpaceDN/>
        <w:spacing w:line="262" w:lineRule="auto"/>
        <w:ind w:right="86" w:rightChars="41"/>
        <w:rPr>
          <w:rFonts w:ascii="宋体" w:cs="宋体"/>
          <w:color w:val="auto"/>
          <w:highlight w:val="none"/>
        </w:rPr>
      </w:pPr>
    </w:p>
    <w:p w14:paraId="6CC565B0">
      <w:pPr>
        <w:kinsoku/>
        <w:topLinePunct/>
        <w:autoSpaceDE/>
        <w:autoSpaceDN/>
        <w:spacing w:line="262" w:lineRule="auto"/>
        <w:ind w:right="86" w:rightChars="41"/>
        <w:rPr>
          <w:rFonts w:ascii="宋体" w:cs="宋体"/>
          <w:color w:val="auto"/>
          <w:highlight w:val="none"/>
        </w:rPr>
      </w:pPr>
    </w:p>
    <w:p w14:paraId="2A693AB1">
      <w:pPr>
        <w:kinsoku/>
        <w:topLinePunct/>
        <w:autoSpaceDE/>
        <w:autoSpaceDN/>
        <w:spacing w:before="79" w:line="220" w:lineRule="auto"/>
        <w:ind w:left="5557"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0C9161EA">
      <w:pPr>
        <w:kinsoku/>
        <w:topLinePunct/>
        <w:autoSpaceDE/>
        <w:autoSpaceDN/>
        <w:ind w:right="86" w:rightChars="41"/>
        <w:rPr>
          <w:rFonts w:ascii="宋体" w:cs="宋体"/>
          <w:b/>
          <w:bCs/>
          <w:color w:val="auto"/>
          <w:highlight w:val="none"/>
        </w:rPr>
      </w:pPr>
      <w:r>
        <w:rPr>
          <w:rFonts w:ascii="宋体" w:cs="宋体"/>
          <w:b/>
          <w:bCs/>
          <w:color w:val="auto"/>
          <w:highlight w:val="none"/>
        </w:rPr>
        <w:br w:type="page"/>
      </w:r>
    </w:p>
    <w:p w14:paraId="5B489A17">
      <w:pPr>
        <w:kinsoku/>
        <w:topLinePunct/>
        <w:autoSpaceDE/>
        <w:autoSpaceDN/>
        <w:spacing w:line="323" w:lineRule="auto"/>
        <w:ind w:right="86" w:rightChars="41"/>
        <w:rPr>
          <w:rFonts w:ascii="宋体" w:cs="宋体"/>
          <w:color w:val="auto"/>
          <w:highlight w:val="none"/>
        </w:rPr>
      </w:pPr>
      <w:r>
        <w:rPr>
          <w:rFonts w:hint="eastAsia" w:ascii="宋体" w:hAnsi="宋体" w:cs="宋体"/>
          <w:b/>
          <w:bCs/>
          <w:color w:val="auto"/>
          <w:highlight w:val="none"/>
          <w:lang w:val="en-US" w:eastAsia="zh-CN"/>
        </w:rPr>
        <w:t>1</w:t>
      </w:r>
      <w:r>
        <w:rPr>
          <w:rFonts w:ascii="宋体" w:hAnsi="宋体" w:cs="宋体"/>
          <w:color w:val="auto"/>
          <w:highlight w:val="none"/>
        </w:rPr>
        <w:t>.</w:t>
      </w:r>
      <w:r>
        <w:rPr>
          <w:rFonts w:hint="eastAsia" w:ascii="宋体" w:hAnsi="宋体" w:cs="宋体"/>
          <w:color w:val="auto"/>
          <w:highlight w:val="none"/>
        </w:rPr>
        <w:t>审查供应商为法人或者其他组织的，提供营业执照等证明文件（如营业执照或者事业单位法人证书或者执业许可证等），供应商为自然人的，提供身份证复印件。</w:t>
      </w:r>
    </w:p>
    <w:p w14:paraId="2C82139A">
      <w:pPr>
        <w:kinsoku/>
        <w:topLinePunct/>
        <w:autoSpaceDE/>
        <w:autoSpaceDN/>
        <w:spacing w:before="69" w:line="220" w:lineRule="auto"/>
        <w:ind w:left="42" w:right="86" w:rightChars="41"/>
        <w:rPr>
          <w:rFonts w:hint="eastAsia" w:ascii="宋体" w:hAnsi="宋体" w:cs="宋体"/>
          <w:b/>
          <w:bCs/>
          <w:color w:val="auto"/>
          <w:highlight w:val="none"/>
          <w:lang w:val="en-US" w:eastAsia="zh-CN"/>
        </w:rPr>
      </w:pPr>
    </w:p>
    <w:p w14:paraId="512F6A88">
      <w:pPr>
        <w:pStyle w:val="21"/>
        <w:rPr>
          <w:rFonts w:hint="eastAsia"/>
          <w:color w:val="auto"/>
          <w:lang w:val="en-US" w:eastAsia="zh-CN"/>
        </w:rPr>
      </w:pPr>
    </w:p>
    <w:p w14:paraId="4CB14DBF">
      <w:pPr>
        <w:kinsoku/>
        <w:topLinePunct/>
        <w:autoSpaceDE/>
        <w:autoSpaceDN/>
        <w:spacing w:before="69" w:line="220" w:lineRule="auto"/>
        <w:ind w:left="42" w:right="86" w:rightChars="41"/>
        <w:rPr>
          <w:rFonts w:hint="default" w:ascii="宋体" w:hAnsi="宋体" w:eastAsia="宋体" w:cs="宋体"/>
          <w:b w:val="0"/>
          <w:bCs w:val="0"/>
          <w:color w:val="auto"/>
          <w:highlight w:val="none"/>
          <w:lang w:val="en-US" w:eastAsia="zh-CN"/>
        </w:rPr>
      </w:pPr>
      <w:r>
        <w:rPr>
          <w:rFonts w:hint="eastAsia" w:ascii="宋体" w:hAnsi="宋体" w:cs="宋体"/>
          <w:b/>
          <w:bCs/>
          <w:color w:val="auto"/>
          <w:highlight w:val="none"/>
          <w:lang w:val="en-US" w:eastAsia="zh-CN"/>
        </w:rPr>
        <w:t>2.</w:t>
      </w:r>
      <w:r>
        <w:rPr>
          <w:rFonts w:hint="eastAsia" w:ascii="宋体" w:hAnsi="宋体" w:cs="宋体"/>
          <w:b w:val="0"/>
          <w:bCs w:val="0"/>
          <w:color w:val="auto"/>
          <w:highlight w:val="none"/>
          <w:lang w:val="en-US" w:eastAsia="zh-CN"/>
        </w:rPr>
        <w:t>防城港市政府采购供应商信用承诺函：</w:t>
      </w:r>
    </w:p>
    <w:p w14:paraId="2B3D316C">
      <w:pPr>
        <w:kinsoku/>
        <w:topLinePunct/>
        <w:autoSpaceDE/>
        <w:autoSpaceDN/>
        <w:spacing w:before="69" w:line="220" w:lineRule="auto"/>
        <w:ind w:left="42" w:right="86" w:rightChars="41"/>
        <w:rPr>
          <w:rFonts w:ascii="宋体" w:hAnsi="宋体" w:cs="宋体"/>
          <w:b/>
          <w:bCs/>
          <w:color w:val="auto"/>
          <w:highlight w:val="none"/>
        </w:rPr>
      </w:pPr>
    </w:p>
    <w:p w14:paraId="3FD2D331">
      <w:pPr>
        <w:pStyle w:val="21"/>
        <w:jc w:val="center"/>
        <w:rPr>
          <w:color w:val="auto"/>
          <w:sz w:val="21"/>
          <w:szCs w:val="21"/>
        </w:rPr>
      </w:pPr>
      <w:r>
        <w:rPr>
          <w:rFonts w:hint="eastAsia"/>
          <w:color w:val="auto"/>
          <w:sz w:val="21"/>
          <w:szCs w:val="21"/>
          <w:lang w:val="en-US" w:eastAsia="zh-CN"/>
        </w:rPr>
        <w:t>防城港市政府采购供应商信用承诺函</w:t>
      </w:r>
    </w:p>
    <w:p w14:paraId="09C90F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eastAsia="zh-CN"/>
        </w:rPr>
        <w:t>防城港市防城区财政局</w:t>
      </w:r>
      <w:r>
        <w:rPr>
          <w:rFonts w:hint="eastAsia" w:ascii="宋体" w:hAnsi="宋体" w:eastAsia="宋体" w:cs="宋体"/>
          <w:color w:val="auto"/>
          <w:sz w:val="21"/>
          <w:szCs w:val="21"/>
        </w:rPr>
        <w:t>：</w:t>
      </w:r>
    </w:p>
    <w:p w14:paraId="00216D3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我方自愿参加</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项目编号：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的政府采购活动，严格遵守《中华人民共和国政府采购法》及相关法律法规，依法诚信经营，无条件遵守本次政府采购活动的各项规定，并郑重承诺： </w:t>
      </w:r>
    </w:p>
    <w:p w14:paraId="5C7E6CBA">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1.我方具有符合采购文件资格要求的财务状况报告。 </w:t>
      </w:r>
    </w:p>
    <w:p w14:paraId="28536AA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2.我方具有符合采购文件资格要求的依法缴纳税收和社会保障资金的良好记录。 </w:t>
      </w:r>
    </w:p>
    <w:p w14:paraId="5FE207C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3.我方参加政府采购活动前三年内在经营活动中没有重大违法记录。 </w:t>
      </w:r>
    </w:p>
    <w:p w14:paraId="4751C02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我方对以上承诺内容的真实性负责。如有虚假，将依法承担相应责任。</w:t>
      </w:r>
    </w:p>
    <w:p w14:paraId="68923E95">
      <w:pPr>
        <w:keepNext w:val="0"/>
        <w:keepLines w:val="0"/>
        <w:pageBreakBefore w:val="0"/>
        <w:widowControl w:val="0"/>
        <w:kinsoku/>
        <w:wordWrap/>
        <w:overflowPunct/>
        <w:topLinePunct w:val="0"/>
        <w:autoSpaceDE/>
        <w:autoSpaceDN/>
        <w:bidi w:val="0"/>
        <w:adjustRightInd/>
        <w:snapToGrid/>
        <w:spacing w:line="520" w:lineRule="exact"/>
        <w:ind w:firstLine="2415" w:firstLineChars="1150"/>
        <w:textAlignment w:val="auto"/>
        <w:rPr>
          <w:rFonts w:hint="eastAsia" w:ascii="宋体" w:hAnsi="宋体" w:eastAsia="宋体" w:cs="宋体"/>
          <w:color w:val="auto"/>
          <w:sz w:val="21"/>
          <w:szCs w:val="21"/>
        </w:rPr>
      </w:pPr>
    </w:p>
    <w:p w14:paraId="1BF5B603">
      <w:pPr>
        <w:keepNext w:val="0"/>
        <w:keepLines w:val="0"/>
        <w:pageBreakBefore w:val="0"/>
        <w:widowControl w:val="0"/>
        <w:kinsoku/>
        <w:wordWrap/>
        <w:overflowPunct/>
        <w:topLinePunct w:val="0"/>
        <w:autoSpaceDE/>
        <w:autoSpaceDN/>
        <w:bidi w:val="0"/>
        <w:adjustRightInd/>
        <w:snapToGrid/>
        <w:spacing w:line="520" w:lineRule="exact"/>
        <w:ind w:firstLine="2415" w:firstLineChars="1150"/>
        <w:textAlignment w:val="auto"/>
        <w:rPr>
          <w:rFonts w:hint="eastAsia" w:ascii="宋体" w:hAnsi="宋体" w:eastAsia="宋体" w:cs="宋体"/>
          <w:color w:val="auto"/>
          <w:sz w:val="21"/>
          <w:szCs w:val="21"/>
        </w:rPr>
      </w:pPr>
    </w:p>
    <w:p w14:paraId="7B7CA0C0">
      <w:pPr>
        <w:keepNext w:val="0"/>
        <w:keepLines w:val="0"/>
        <w:pageBreakBefore w:val="0"/>
        <w:widowControl w:val="0"/>
        <w:kinsoku/>
        <w:wordWrap/>
        <w:overflowPunct/>
        <w:topLinePunct w:val="0"/>
        <w:autoSpaceDE/>
        <w:autoSpaceDN/>
        <w:bidi w:val="0"/>
        <w:adjustRightInd/>
        <w:snapToGrid/>
        <w:spacing w:line="520" w:lineRule="exact"/>
        <w:ind w:firstLine="4095" w:firstLineChars="19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lang w:eastAsia="zh-CN"/>
        </w:rPr>
        <w:t>电子签章</w:t>
      </w:r>
      <w:r>
        <w:rPr>
          <w:rFonts w:hint="eastAsia" w:ascii="宋体" w:hAnsi="宋体" w:eastAsia="宋体" w:cs="宋体"/>
          <w:color w:val="auto"/>
          <w:sz w:val="21"/>
          <w:szCs w:val="21"/>
        </w:rPr>
        <w:t>）：</w:t>
      </w:r>
    </w:p>
    <w:p w14:paraId="49DDEBEB">
      <w:pPr>
        <w:keepNext w:val="0"/>
        <w:keepLines w:val="0"/>
        <w:pageBreakBefore w:val="0"/>
        <w:widowControl w:val="0"/>
        <w:kinsoku/>
        <w:wordWrap/>
        <w:overflowPunct/>
        <w:topLinePunct w:val="0"/>
        <w:autoSpaceDE/>
        <w:autoSpaceDN/>
        <w:bidi w:val="0"/>
        <w:adjustRightInd/>
        <w:snapToGrid/>
        <w:spacing w:line="520" w:lineRule="exact"/>
        <w:ind w:firstLine="4305" w:firstLineChars="20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p w14:paraId="31832D38">
      <w:pPr>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w:t>
      </w:r>
      <w:r>
        <w:rPr>
          <w:rFonts w:hint="eastAsia" w:ascii="宋体" w:hAnsi="宋体" w:eastAsia="宋体" w:cs="宋体"/>
          <w:color w:val="auto"/>
          <w:sz w:val="21"/>
          <w:szCs w:val="21"/>
          <w:lang w:eastAsia="zh-CN"/>
        </w:rPr>
        <w:t>签章</w:t>
      </w:r>
      <w:r>
        <w:rPr>
          <w:rFonts w:hint="eastAsia" w:ascii="宋体" w:hAnsi="宋体" w:eastAsia="宋体" w:cs="宋体"/>
          <w:color w:val="auto"/>
          <w:sz w:val="21"/>
          <w:szCs w:val="21"/>
        </w:rPr>
        <w:t>)：</w:t>
      </w:r>
    </w:p>
    <w:p w14:paraId="0A54733E">
      <w:pPr>
        <w:kinsoku/>
        <w:topLinePunct/>
        <w:autoSpaceDE/>
        <w:autoSpaceDN/>
        <w:spacing w:before="69" w:line="220" w:lineRule="auto"/>
        <w:ind w:right="86" w:rightChars="41" w:firstLine="4620" w:firstLineChars="2200"/>
        <w:rPr>
          <w:rFonts w:ascii="宋体" w:hAnsi="宋体" w:cs="宋体"/>
          <w:b/>
          <w:bCs/>
          <w:color w:val="auto"/>
          <w:sz w:val="21"/>
          <w:szCs w:val="21"/>
          <w:highlight w:val="none"/>
        </w:rPr>
      </w:pPr>
      <w:r>
        <w:rPr>
          <w:rFonts w:hint="eastAsia" w:ascii="宋体" w:hAnsi="宋体" w:eastAsia="宋体" w:cs="宋体"/>
          <w:color w:val="auto"/>
          <w:sz w:val="21"/>
          <w:szCs w:val="21"/>
        </w:rPr>
        <w:t>日期： 年 月 日</w:t>
      </w:r>
    </w:p>
    <w:p w14:paraId="756C2958">
      <w:pPr>
        <w:kinsoku/>
        <w:topLinePunct/>
        <w:autoSpaceDE/>
        <w:autoSpaceDN/>
        <w:spacing w:before="69" w:line="220" w:lineRule="auto"/>
        <w:ind w:left="42" w:right="86" w:rightChars="41"/>
        <w:rPr>
          <w:rFonts w:ascii="宋体" w:hAnsi="宋体" w:cs="宋体"/>
          <w:b/>
          <w:bCs/>
          <w:color w:val="auto"/>
          <w:highlight w:val="none"/>
        </w:rPr>
      </w:pPr>
    </w:p>
    <w:p w14:paraId="00084D7C">
      <w:pPr>
        <w:pStyle w:val="21"/>
        <w:rPr>
          <w:rFonts w:ascii="宋体" w:hAnsi="宋体" w:cs="宋体"/>
          <w:b/>
          <w:bCs/>
          <w:color w:val="auto"/>
          <w:highlight w:val="none"/>
        </w:rPr>
      </w:pPr>
    </w:p>
    <w:p w14:paraId="0E3FE852">
      <w:pPr>
        <w:pStyle w:val="21"/>
        <w:rPr>
          <w:rFonts w:ascii="宋体" w:hAnsi="宋体" w:cs="宋体"/>
          <w:b/>
          <w:bCs/>
          <w:color w:val="auto"/>
          <w:highlight w:val="none"/>
        </w:rPr>
      </w:pPr>
    </w:p>
    <w:p w14:paraId="42E6E72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注：1.供应商须在投标（响应）文件中按此模板提供承诺函，未提供视为未实质性响应招标（采购）文件要求，按无效投标（响应）处理。</w:t>
      </w:r>
    </w:p>
    <w:p w14:paraId="4644786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b/>
          <w:bCs/>
          <w:color w:val="auto"/>
          <w:highlight w:val="none"/>
        </w:rPr>
      </w:pPr>
      <w:r>
        <w:rPr>
          <w:rFonts w:hint="eastAsia" w:ascii="宋体" w:hAnsi="宋体" w:eastAsia="宋体" w:cs="宋体"/>
          <w:color w:val="auto"/>
          <w:sz w:val="21"/>
          <w:szCs w:val="21"/>
        </w:rPr>
        <w:t>2.供应商的法定代表人（其他组织的为负责人）或者授权代表的签名或盖章应真实、有效，如由授权代表签名或盖章的，应提供“法定代表人授权书”。</w:t>
      </w:r>
    </w:p>
    <w:p w14:paraId="7CC195F8">
      <w:pPr>
        <w:pStyle w:val="21"/>
        <w:rPr>
          <w:rFonts w:ascii="宋体" w:hAnsi="宋体" w:cs="宋体"/>
          <w:b/>
          <w:bCs/>
          <w:color w:val="auto"/>
          <w:highlight w:val="none"/>
        </w:rPr>
      </w:pPr>
    </w:p>
    <w:p w14:paraId="2654E964">
      <w:pPr>
        <w:pStyle w:val="21"/>
        <w:rPr>
          <w:rFonts w:ascii="宋体" w:hAnsi="宋体" w:cs="宋体"/>
          <w:b/>
          <w:bCs/>
          <w:color w:val="auto"/>
          <w:highlight w:val="none"/>
        </w:rPr>
      </w:pPr>
    </w:p>
    <w:p w14:paraId="2536101E">
      <w:pPr>
        <w:pStyle w:val="21"/>
        <w:rPr>
          <w:rFonts w:ascii="宋体" w:hAnsi="宋体" w:cs="宋体"/>
          <w:b/>
          <w:bCs/>
          <w:color w:val="auto"/>
          <w:highlight w:val="none"/>
        </w:rPr>
      </w:pPr>
    </w:p>
    <w:p w14:paraId="0B80DED6">
      <w:pPr>
        <w:kinsoku/>
        <w:topLinePunct/>
        <w:autoSpaceDE/>
        <w:autoSpaceDN/>
        <w:spacing w:before="69" w:line="220" w:lineRule="auto"/>
        <w:ind w:left="42" w:right="86" w:rightChars="41"/>
        <w:rPr>
          <w:rFonts w:ascii="宋体" w:cs="宋体"/>
          <w:color w:val="auto"/>
          <w:highlight w:val="none"/>
        </w:rPr>
      </w:pPr>
      <w:r>
        <w:rPr>
          <w:rFonts w:hint="eastAsia" w:ascii="宋体" w:hAnsi="宋体" w:cs="宋体"/>
          <w:b/>
          <w:bCs/>
          <w:color w:val="auto"/>
          <w:highlight w:val="none"/>
          <w:lang w:val="en-US" w:eastAsia="zh-CN"/>
        </w:rPr>
        <w:t>3</w:t>
      </w:r>
      <w:r>
        <w:rPr>
          <w:rFonts w:ascii="宋体" w:cs="宋体"/>
          <w:color w:val="auto"/>
          <w:highlight w:val="none"/>
        </w:rPr>
        <w:t>.</w:t>
      </w:r>
      <w:r>
        <w:rPr>
          <w:rFonts w:hint="eastAsia" w:ascii="宋体" w:hAnsi="宋体" w:cs="宋体"/>
          <w:color w:val="auto"/>
          <w:highlight w:val="none"/>
        </w:rPr>
        <w:t>响应声明书格式：</w:t>
      </w:r>
    </w:p>
    <w:p w14:paraId="4F4BCCE3">
      <w:pPr>
        <w:kinsoku/>
        <w:topLinePunct/>
        <w:autoSpaceDE/>
        <w:autoSpaceDN/>
        <w:spacing w:before="244" w:line="220" w:lineRule="auto"/>
        <w:ind w:left="4197" w:right="86" w:rightChars="41"/>
        <w:rPr>
          <w:rFonts w:ascii="宋体" w:cs="宋体"/>
          <w:color w:val="auto"/>
          <w:highlight w:val="none"/>
        </w:rPr>
      </w:pPr>
      <w:r>
        <w:rPr>
          <w:rFonts w:hint="eastAsia" w:ascii="宋体" w:hAnsi="宋体" w:cs="宋体"/>
          <w:color w:val="auto"/>
          <w:highlight w:val="none"/>
        </w:rPr>
        <w:t>响应声明书</w:t>
      </w:r>
    </w:p>
    <w:p w14:paraId="73DA3D01">
      <w:pPr>
        <w:kinsoku/>
        <w:topLinePunct/>
        <w:autoSpaceDE/>
        <w:autoSpaceDN/>
        <w:spacing w:line="317" w:lineRule="auto"/>
        <w:ind w:right="86" w:rightChars="41"/>
        <w:rPr>
          <w:rFonts w:ascii="宋体" w:cs="宋体"/>
          <w:color w:val="auto"/>
          <w:highlight w:val="none"/>
        </w:rPr>
      </w:pPr>
    </w:p>
    <w:p w14:paraId="56FDF0BD">
      <w:pPr>
        <w:kinsoku/>
        <w:topLinePunct/>
        <w:autoSpaceDE/>
        <w:autoSpaceDN/>
        <w:spacing w:line="317" w:lineRule="auto"/>
        <w:ind w:right="86" w:rightChars="41"/>
        <w:rPr>
          <w:rFonts w:ascii="宋体" w:cs="宋体"/>
          <w:color w:val="auto"/>
          <w:highlight w:val="none"/>
        </w:rPr>
      </w:pPr>
    </w:p>
    <w:p w14:paraId="63331B2B">
      <w:pPr>
        <w:kinsoku/>
        <w:topLinePunct/>
        <w:autoSpaceDE/>
        <w:autoSpaceDN/>
        <w:spacing w:line="360" w:lineRule="auto"/>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广西千豪建设项目管理有限公司</w:t>
      </w:r>
      <w:r>
        <w:rPr>
          <w:rFonts w:hint="eastAsia" w:ascii="宋体" w:hAnsi="宋体" w:cs="宋体"/>
          <w:color w:val="auto"/>
          <w:highlight w:val="none"/>
        </w:rPr>
        <w:t>：</w:t>
      </w:r>
    </w:p>
    <w:p w14:paraId="464F4662">
      <w:pPr>
        <w:tabs>
          <w:tab w:val="left" w:pos="769"/>
        </w:tabs>
        <w:kinsoku/>
        <w:topLinePunct/>
        <w:autoSpaceDE/>
        <w:autoSpaceDN/>
        <w:spacing w:line="360" w:lineRule="auto"/>
        <w:ind w:firstLine="420" w:firstLineChars="200"/>
        <w:rPr>
          <w:rFonts w:ascii="宋体" w:cs="宋体"/>
          <w:color w:val="auto"/>
          <w:highlight w:val="none"/>
        </w:rPr>
      </w:pPr>
      <w:r>
        <w:rPr>
          <w:rFonts w:ascii="宋体" w:cs="宋体"/>
          <w:color w:val="auto"/>
          <w:highlight w:val="none"/>
          <w:u w:val="single"/>
        </w:rPr>
        <w:tab/>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系中华人民共和国合法企业，</w:t>
      </w:r>
      <w:r>
        <w:rPr>
          <w:rFonts w:ascii="宋体" w:hAnsi="宋体" w:cs="宋体"/>
          <w:color w:val="auto"/>
          <w:highlight w:val="none"/>
          <w:u w:val="single"/>
        </w:rPr>
        <w:t>(</w:t>
      </w:r>
      <w:r>
        <w:rPr>
          <w:rFonts w:hint="eastAsia" w:ascii="宋体" w:hAnsi="宋体" w:cs="宋体"/>
          <w:color w:val="auto"/>
          <w:highlight w:val="none"/>
          <w:u w:val="single"/>
        </w:rPr>
        <w:t>经营地址</w:t>
      </w:r>
      <w:r>
        <w:rPr>
          <w:rFonts w:ascii="宋体" w:hAnsi="宋体" w:cs="宋体"/>
          <w:color w:val="auto"/>
          <w:highlight w:val="none"/>
          <w:u w:val="single"/>
        </w:rPr>
        <w:t>)</w:t>
      </w:r>
      <w:r>
        <w:rPr>
          <w:rFonts w:hint="eastAsia" w:ascii="宋体" w:hAnsi="宋体" w:cs="宋体"/>
          <w:color w:val="auto"/>
          <w:highlight w:val="none"/>
        </w:rPr>
        <w:t>。</w:t>
      </w:r>
    </w:p>
    <w:p w14:paraId="3EFF26F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w:t>
      </w:r>
      <w:r>
        <w:rPr>
          <w:rFonts w:hint="eastAsia" w:ascii="宋体" w:hAnsi="宋体" w:cs="宋体"/>
          <w:color w:val="auto"/>
          <w:highlight w:val="none"/>
          <w:u w:val="single"/>
        </w:rPr>
        <w:t>姓名</w:t>
      </w:r>
      <w:r>
        <w:rPr>
          <w:rFonts w:ascii="宋体" w:hAnsi="宋体" w:cs="宋体"/>
          <w:color w:val="auto"/>
          <w:highlight w:val="none"/>
          <w:u w:val="single"/>
        </w:rPr>
        <w:t>)</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的法定代表人，我方愿意参加贵方组织的</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项目的响应，为便于贵方公正、择优地确定入围供应商及其响应服务，我方就本次响应有关事项郑重声明如下：</w:t>
      </w:r>
    </w:p>
    <w:p w14:paraId="7E96F8D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）我方向贵方提交的所有响应文件、资料都是真实、有效和合法的。</w:t>
      </w:r>
    </w:p>
    <w:p w14:paraId="3804EDA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）我方不是征集人的附属机构；也不是为本项目提供整体设计、规范编制或者项目管理、监理、检测等服务的供应商或其附属机构。</w:t>
      </w:r>
    </w:p>
    <w:p w14:paraId="2F1BB58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）我方承诺具有履行本项目合同所必需的设备和专业技术能力。</w:t>
      </w:r>
    </w:p>
    <w:p w14:paraId="5F905DC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）我方承诺自觉回避原则，入围后我方及其控股股东所属企业</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不参与征集人评审项目的施工、系统集成等相关业务，不参与所评审项目的咨询、设计等相关业务，不参与有长期合作关系的建设单位的项目评审工作。若有违反前述规定行为，一经发现，则自愿终止协议，且不参与后续年度采购事项。</w:t>
      </w:r>
    </w:p>
    <w:p w14:paraId="2477158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）我方承诺入围后按规定缴纳代理服务费。</w:t>
      </w:r>
    </w:p>
    <w:p w14:paraId="2CA2637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我方对以上声明负全部法律责任。如有虚假或隐瞒，我方愿意承担一切后果，并不再寻求任何旨在减轻或免除法律责任的辩解。</w:t>
      </w:r>
    </w:p>
    <w:p w14:paraId="25AFC0B1">
      <w:pPr>
        <w:kinsoku/>
        <w:topLinePunct/>
        <w:autoSpaceDE/>
        <w:autoSpaceDN/>
        <w:spacing w:line="253" w:lineRule="auto"/>
        <w:ind w:right="86" w:rightChars="41"/>
        <w:rPr>
          <w:rFonts w:ascii="宋体" w:cs="宋体"/>
          <w:color w:val="auto"/>
          <w:highlight w:val="none"/>
        </w:rPr>
      </w:pPr>
    </w:p>
    <w:p w14:paraId="02E433B2">
      <w:pPr>
        <w:kinsoku/>
        <w:topLinePunct/>
        <w:autoSpaceDE/>
        <w:autoSpaceDN/>
        <w:spacing w:before="68" w:line="428" w:lineRule="auto"/>
        <w:ind w:left="7922" w:right="86" w:rightChars="41" w:hanging="1052"/>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2E9383D1">
      <w:pPr>
        <w:kinsoku/>
        <w:topLinePunct/>
        <w:autoSpaceDE/>
        <w:autoSpaceDN/>
        <w:spacing w:before="68" w:line="428" w:lineRule="auto"/>
        <w:ind w:left="7922" w:right="86" w:rightChars="41" w:hanging="1052"/>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2BC32B43">
      <w:pPr>
        <w:kinsoku/>
        <w:topLinePunct/>
        <w:autoSpaceDE/>
        <w:autoSpaceDN/>
        <w:ind w:right="86" w:rightChars="41"/>
        <w:rPr>
          <w:rFonts w:ascii="宋体" w:cs="宋体"/>
          <w:color w:val="auto"/>
          <w:highlight w:val="none"/>
        </w:rPr>
      </w:pPr>
    </w:p>
    <w:p w14:paraId="5D17DD87">
      <w:pPr>
        <w:kinsoku/>
        <w:topLinePunct/>
        <w:autoSpaceDE/>
        <w:autoSpaceDN/>
        <w:ind w:right="86" w:rightChars="41"/>
        <w:rPr>
          <w:rFonts w:ascii="宋体" w:cs="宋体"/>
          <w:color w:val="auto"/>
          <w:highlight w:val="none"/>
        </w:rPr>
      </w:pPr>
    </w:p>
    <w:p w14:paraId="2A8F7BB4">
      <w:pPr>
        <w:kinsoku/>
        <w:topLinePunct/>
        <w:autoSpaceDE/>
        <w:autoSpaceDN/>
        <w:ind w:right="86" w:rightChars="41"/>
        <w:rPr>
          <w:rFonts w:ascii="宋体" w:cs="宋体"/>
          <w:color w:val="auto"/>
          <w:highlight w:val="none"/>
        </w:rPr>
      </w:pPr>
    </w:p>
    <w:p w14:paraId="35233842">
      <w:pPr>
        <w:kinsoku/>
        <w:topLinePunct/>
        <w:autoSpaceDE/>
        <w:autoSpaceDN/>
        <w:spacing w:before="151" w:line="360" w:lineRule="auto"/>
        <w:ind w:right="86" w:rightChars="41"/>
        <w:rPr>
          <w:rFonts w:hint="eastAsia" w:ascii="宋体" w:hAnsi="宋体" w:cs="宋体"/>
          <w:color w:val="auto"/>
          <w:highlight w:val="none"/>
        </w:rPr>
      </w:pPr>
    </w:p>
    <w:p w14:paraId="175170C2">
      <w:pPr>
        <w:pStyle w:val="11"/>
        <w:rPr>
          <w:rFonts w:hint="eastAsia" w:ascii="宋体" w:hAnsi="宋体" w:cs="宋体"/>
          <w:color w:val="auto"/>
          <w:highlight w:val="none"/>
        </w:rPr>
      </w:pPr>
    </w:p>
    <w:p w14:paraId="387BDC5C">
      <w:pPr>
        <w:pStyle w:val="11"/>
        <w:rPr>
          <w:rFonts w:hint="eastAsia" w:ascii="宋体" w:hAnsi="宋体" w:cs="宋体"/>
          <w:color w:val="auto"/>
          <w:highlight w:val="none"/>
        </w:rPr>
      </w:pPr>
    </w:p>
    <w:p w14:paraId="505F0406">
      <w:pPr>
        <w:pStyle w:val="11"/>
        <w:rPr>
          <w:rFonts w:hint="eastAsia" w:ascii="宋体" w:hAnsi="宋体" w:cs="宋体"/>
          <w:color w:val="auto"/>
          <w:highlight w:val="none"/>
        </w:rPr>
      </w:pPr>
    </w:p>
    <w:p w14:paraId="37261ADD">
      <w:pPr>
        <w:pStyle w:val="11"/>
        <w:rPr>
          <w:rFonts w:hint="eastAsia" w:ascii="宋体" w:hAnsi="宋体" w:cs="宋体"/>
          <w:color w:val="auto"/>
          <w:highlight w:val="none"/>
        </w:rPr>
      </w:pPr>
    </w:p>
    <w:p w14:paraId="4FCB10FC">
      <w:pPr>
        <w:pStyle w:val="11"/>
        <w:rPr>
          <w:rFonts w:hint="eastAsia" w:ascii="宋体" w:hAnsi="宋体" w:cs="宋体"/>
          <w:color w:val="auto"/>
          <w:highlight w:val="none"/>
        </w:rPr>
      </w:pPr>
    </w:p>
    <w:p w14:paraId="4CCAC769">
      <w:pPr>
        <w:pStyle w:val="11"/>
        <w:rPr>
          <w:rFonts w:hint="eastAsia" w:ascii="宋体" w:hAnsi="宋体" w:cs="宋体"/>
          <w:color w:val="auto"/>
          <w:highlight w:val="none"/>
        </w:rPr>
      </w:pPr>
    </w:p>
    <w:p w14:paraId="70831A38">
      <w:pPr>
        <w:pStyle w:val="11"/>
        <w:rPr>
          <w:rFonts w:hint="eastAsia" w:ascii="宋体" w:hAnsi="宋体" w:cs="宋体"/>
          <w:color w:val="auto"/>
          <w:highlight w:val="none"/>
        </w:rPr>
      </w:pPr>
    </w:p>
    <w:p w14:paraId="14B1167F">
      <w:pPr>
        <w:pStyle w:val="11"/>
        <w:rPr>
          <w:rFonts w:hint="eastAsia" w:ascii="宋体" w:hAnsi="宋体" w:cs="宋体"/>
          <w:color w:val="auto"/>
          <w:highlight w:val="none"/>
        </w:rPr>
      </w:pPr>
    </w:p>
    <w:p w14:paraId="3BF919DE">
      <w:pPr>
        <w:pStyle w:val="11"/>
        <w:rPr>
          <w:rFonts w:hint="eastAsia" w:ascii="宋体" w:hAnsi="宋体" w:cs="宋体"/>
          <w:color w:val="auto"/>
          <w:highlight w:val="none"/>
        </w:rPr>
      </w:pPr>
    </w:p>
    <w:p w14:paraId="47813ADF">
      <w:pPr>
        <w:pStyle w:val="11"/>
        <w:rPr>
          <w:rFonts w:hint="eastAsia" w:ascii="宋体" w:hAnsi="宋体" w:cs="宋体"/>
          <w:color w:val="auto"/>
          <w:highlight w:val="none"/>
        </w:rPr>
      </w:pPr>
    </w:p>
    <w:p w14:paraId="6FB6C7E9">
      <w:pPr>
        <w:pStyle w:val="11"/>
        <w:rPr>
          <w:rFonts w:hint="eastAsia" w:ascii="宋体" w:hAnsi="宋体" w:cs="宋体"/>
          <w:color w:val="auto"/>
          <w:highlight w:val="none"/>
        </w:rPr>
      </w:pPr>
    </w:p>
    <w:p w14:paraId="190ADA66">
      <w:pPr>
        <w:pStyle w:val="11"/>
        <w:rPr>
          <w:rFonts w:hint="eastAsia" w:ascii="宋体" w:hAnsi="宋体" w:cs="宋体"/>
          <w:color w:val="auto"/>
          <w:highlight w:val="none"/>
        </w:rPr>
      </w:pPr>
    </w:p>
    <w:p w14:paraId="20B62185">
      <w:pPr>
        <w:pStyle w:val="11"/>
        <w:rPr>
          <w:rFonts w:hint="eastAsia" w:ascii="宋体" w:hAnsi="宋体" w:cs="宋体"/>
          <w:color w:val="auto"/>
          <w:highlight w:val="none"/>
        </w:rPr>
      </w:pPr>
    </w:p>
    <w:p w14:paraId="125FDD12">
      <w:pPr>
        <w:pStyle w:val="11"/>
        <w:rPr>
          <w:rFonts w:hint="eastAsia" w:ascii="宋体" w:hAnsi="宋体" w:cs="宋体"/>
          <w:color w:val="auto"/>
          <w:highlight w:val="none"/>
        </w:rPr>
      </w:pPr>
    </w:p>
    <w:p w14:paraId="6153EB28">
      <w:pPr>
        <w:pStyle w:val="11"/>
        <w:rPr>
          <w:rFonts w:hint="eastAsia" w:ascii="宋体" w:hAnsi="宋体" w:cs="宋体"/>
          <w:color w:val="auto"/>
          <w:highlight w:val="none"/>
        </w:rPr>
      </w:pPr>
    </w:p>
    <w:p w14:paraId="124356DA">
      <w:pPr>
        <w:pStyle w:val="11"/>
        <w:rPr>
          <w:rFonts w:hint="eastAsia" w:ascii="宋体" w:hAnsi="宋体" w:cs="宋体"/>
          <w:color w:val="auto"/>
          <w:highlight w:val="none"/>
        </w:rPr>
      </w:pPr>
    </w:p>
    <w:p w14:paraId="33F850AC">
      <w:pPr>
        <w:pStyle w:val="11"/>
        <w:rPr>
          <w:rFonts w:hint="eastAsia" w:ascii="宋体" w:hAnsi="宋体" w:cs="宋体"/>
          <w:color w:val="auto"/>
          <w:highlight w:val="none"/>
        </w:rPr>
      </w:pPr>
    </w:p>
    <w:p w14:paraId="68731C5A">
      <w:pPr>
        <w:pStyle w:val="11"/>
        <w:rPr>
          <w:rFonts w:hint="eastAsia" w:ascii="宋体" w:hAnsi="宋体" w:cs="宋体"/>
          <w:color w:val="auto"/>
          <w:highlight w:val="none"/>
        </w:rPr>
      </w:pPr>
    </w:p>
    <w:p w14:paraId="69392F5E">
      <w:pPr>
        <w:kinsoku/>
        <w:topLinePunct/>
        <w:autoSpaceDE/>
        <w:autoSpaceDN/>
        <w:spacing w:before="69" w:line="395" w:lineRule="auto"/>
        <w:ind w:right="86" w:rightChars="41"/>
        <w:rPr>
          <w:rFonts w:ascii="宋体" w:hAns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w:t>
      </w:r>
      <w:r>
        <w:rPr>
          <w:rFonts w:hint="eastAsia" w:ascii="宋体" w:hAnsi="宋体" w:cs="宋体"/>
          <w:color w:val="auto"/>
          <w:highlight w:val="none"/>
        </w:rPr>
        <w:t>满足供应商特定资格条件的其他证明材料加盖供应商电子签章</w:t>
      </w:r>
      <w:r>
        <w:rPr>
          <w:rFonts w:ascii="宋体" w:hAnsi="宋体" w:cs="宋体"/>
          <w:color w:val="auto"/>
          <w:highlight w:val="none"/>
        </w:rPr>
        <w:t>(</w:t>
      </w:r>
      <w:r>
        <w:rPr>
          <w:rFonts w:hint="eastAsia" w:ascii="宋体" w:hAnsi="宋体" w:cs="宋体"/>
          <w:color w:val="auto"/>
          <w:highlight w:val="none"/>
        </w:rPr>
        <w:t>按“评审方法及标准”“资格审查表”“供应商应符合的特定资格条件”规定提供</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w:t>
      </w:r>
      <w:r>
        <w:rPr>
          <w:rFonts w:hint="eastAsia" w:ascii="宋体" w:hAnsi="宋体" w:cs="宋体"/>
          <w:color w:val="auto"/>
          <w:highlight w:val="none"/>
        </w:rPr>
        <w:t>如征集文件有要求时提供</w:t>
      </w:r>
      <w:r>
        <w:rPr>
          <w:rFonts w:ascii="宋体" w:hAnsi="宋体" w:cs="宋体"/>
          <w:color w:val="auto"/>
          <w:highlight w:val="none"/>
        </w:rPr>
        <w:t>)</w:t>
      </w:r>
    </w:p>
    <w:p w14:paraId="54BE3107">
      <w:pPr>
        <w:kinsoku/>
        <w:topLinePunct/>
        <w:autoSpaceDE/>
        <w:autoSpaceDN/>
        <w:ind w:right="86" w:rightChars="41"/>
        <w:rPr>
          <w:rFonts w:ascii="宋体" w:cs="宋体"/>
          <w:color w:val="auto"/>
          <w:highlight w:val="none"/>
        </w:rPr>
      </w:pPr>
    </w:p>
    <w:p w14:paraId="1FF67DAE">
      <w:pPr>
        <w:kinsoku/>
        <w:topLinePunct/>
        <w:autoSpaceDE/>
        <w:autoSpaceDN/>
        <w:spacing w:before="69" w:line="220" w:lineRule="auto"/>
        <w:ind w:right="86" w:rightChars="41"/>
        <w:rPr>
          <w:rFonts w:asci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.1</w:t>
      </w:r>
      <w:r>
        <w:rPr>
          <w:rFonts w:hint="eastAsia" w:ascii="宋体" w:hAnsi="宋体" w:cs="宋体"/>
          <w:color w:val="auto"/>
          <w:highlight w:val="none"/>
        </w:rPr>
        <w:t>供应商直接控股股东信息表</w:t>
      </w:r>
    </w:p>
    <w:p w14:paraId="4C0B84B3">
      <w:pPr>
        <w:kinsoku/>
        <w:topLinePunct/>
        <w:autoSpaceDE/>
        <w:autoSpaceDN/>
        <w:ind w:right="86" w:rightChars="41"/>
        <w:rPr>
          <w:rFonts w:ascii="宋体" w:cs="宋体"/>
          <w:color w:val="auto"/>
          <w:highlight w:val="none"/>
        </w:rPr>
      </w:pPr>
    </w:p>
    <w:p w14:paraId="6951A39B">
      <w:pPr>
        <w:kinsoku/>
        <w:topLinePunct/>
        <w:autoSpaceDE/>
        <w:autoSpaceDN/>
        <w:spacing w:line="73" w:lineRule="auto"/>
        <w:ind w:right="86" w:rightChars="41"/>
        <w:rPr>
          <w:rFonts w:ascii="宋体" w:cs="宋体"/>
          <w:color w:val="auto"/>
          <w:sz w:val="2"/>
          <w:highlight w:val="none"/>
        </w:rPr>
      </w:pPr>
    </w:p>
    <w:tbl>
      <w:tblPr>
        <w:tblStyle w:val="14"/>
        <w:tblW w:w="948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70"/>
        <w:gridCol w:w="1238"/>
        <w:gridCol w:w="3721"/>
        <w:gridCol w:w="1420"/>
      </w:tblGrid>
      <w:tr w14:paraId="1CCA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6254B180">
            <w:pPr>
              <w:kinsoku/>
              <w:topLinePunct/>
              <w:autoSpaceDE/>
              <w:autoSpaceDN/>
              <w:spacing w:before="154" w:line="222" w:lineRule="auto"/>
              <w:ind w:left="211" w:right="86" w:rightChars="41"/>
              <w:rPr>
                <w:rFonts w:ascii="宋体" w:cs="宋体"/>
                <w:color w:val="auto"/>
                <w:highlight w:val="none"/>
              </w:rPr>
            </w:pPr>
            <w:r>
              <w:rPr>
                <w:rFonts w:hint="eastAsia" w:ascii="宋体" w:hAnsi="宋体" w:cs="宋体"/>
                <w:color w:val="auto"/>
                <w:highlight w:val="none"/>
              </w:rPr>
              <w:t>序号</w:t>
            </w:r>
          </w:p>
        </w:tc>
        <w:tc>
          <w:tcPr>
            <w:tcW w:w="2270" w:type="dxa"/>
          </w:tcPr>
          <w:p w14:paraId="1913B372">
            <w:pPr>
              <w:kinsoku/>
              <w:topLinePunct/>
              <w:autoSpaceDE/>
              <w:autoSpaceDN/>
              <w:spacing w:before="153" w:line="221" w:lineRule="auto"/>
              <w:ind w:left="298" w:right="86" w:rightChars="41"/>
              <w:rPr>
                <w:rFonts w:ascii="宋体" w:cs="宋体"/>
                <w:color w:val="auto"/>
                <w:highlight w:val="none"/>
              </w:rPr>
            </w:pPr>
            <w:r>
              <w:rPr>
                <w:rFonts w:hint="eastAsia" w:ascii="宋体" w:hAnsi="宋体" w:cs="宋体"/>
                <w:color w:val="auto"/>
                <w:highlight w:val="none"/>
              </w:rPr>
              <w:t>直接控股股东名称</w:t>
            </w:r>
          </w:p>
        </w:tc>
        <w:tc>
          <w:tcPr>
            <w:tcW w:w="1238" w:type="dxa"/>
          </w:tcPr>
          <w:p w14:paraId="4924C740">
            <w:pPr>
              <w:kinsoku/>
              <w:topLinePunct/>
              <w:autoSpaceDE/>
              <w:autoSpaceDN/>
              <w:spacing w:before="154" w:line="219" w:lineRule="auto"/>
              <w:ind w:left="219" w:right="86" w:rightChars="41"/>
              <w:rPr>
                <w:rFonts w:ascii="宋体" w:cs="宋体"/>
                <w:color w:val="auto"/>
                <w:highlight w:val="none"/>
              </w:rPr>
            </w:pPr>
            <w:r>
              <w:rPr>
                <w:rFonts w:hint="eastAsia" w:ascii="宋体" w:hAnsi="宋体" w:cs="宋体"/>
                <w:color w:val="auto"/>
                <w:highlight w:val="none"/>
              </w:rPr>
              <w:t>出资比例</w:t>
            </w:r>
          </w:p>
        </w:tc>
        <w:tc>
          <w:tcPr>
            <w:tcW w:w="3721" w:type="dxa"/>
          </w:tcPr>
          <w:p w14:paraId="429CFCFA">
            <w:pPr>
              <w:kinsoku/>
              <w:topLinePunct/>
              <w:autoSpaceDE/>
              <w:autoSpaceDN/>
              <w:spacing w:before="154" w:line="217" w:lineRule="auto"/>
              <w:ind w:left="296" w:right="86" w:rightChars="41"/>
              <w:rPr>
                <w:rFonts w:ascii="宋体" w:cs="宋体"/>
                <w:color w:val="auto"/>
                <w:highlight w:val="none"/>
              </w:rPr>
            </w:pPr>
            <w:r>
              <w:rPr>
                <w:rFonts w:hint="eastAsia" w:ascii="宋体" w:hAnsi="宋体" w:cs="宋体"/>
                <w:color w:val="auto"/>
                <w:highlight w:val="none"/>
              </w:rPr>
              <w:t>身份证号码或者统一社会信用代码</w:t>
            </w:r>
          </w:p>
        </w:tc>
        <w:tc>
          <w:tcPr>
            <w:tcW w:w="1420" w:type="dxa"/>
          </w:tcPr>
          <w:p w14:paraId="12229638">
            <w:pPr>
              <w:kinsoku/>
              <w:topLinePunct/>
              <w:autoSpaceDE/>
              <w:autoSpaceDN/>
              <w:spacing w:before="154" w:line="222" w:lineRule="auto"/>
              <w:ind w:left="507" w:right="86" w:rightChars="41"/>
              <w:rPr>
                <w:rFonts w:ascii="宋体" w:cs="宋体"/>
                <w:color w:val="auto"/>
                <w:highlight w:val="none"/>
              </w:rPr>
            </w:pPr>
            <w:r>
              <w:rPr>
                <w:rFonts w:hint="eastAsia" w:ascii="宋体" w:hAnsi="宋体" w:cs="宋体"/>
                <w:color w:val="auto"/>
                <w:highlight w:val="none"/>
              </w:rPr>
              <w:t>备注</w:t>
            </w:r>
          </w:p>
        </w:tc>
      </w:tr>
      <w:tr w14:paraId="6E44D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2" w:type="dxa"/>
          </w:tcPr>
          <w:p w14:paraId="2944C3C3">
            <w:pPr>
              <w:kinsoku/>
              <w:topLinePunct/>
              <w:autoSpaceDE/>
              <w:autoSpaceDN/>
              <w:spacing w:before="177" w:line="187" w:lineRule="auto"/>
              <w:ind w:left="384" w:right="86" w:rightChars="41"/>
              <w:rPr>
                <w:rFonts w:ascii="宋体" w:hAnsi="宋体" w:cs="宋体"/>
                <w:color w:val="auto"/>
                <w:highlight w:val="none"/>
              </w:rPr>
            </w:pPr>
            <w:r>
              <w:rPr>
                <w:rFonts w:ascii="宋体" w:hAnsi="宋体" w:cs="宋体"/>
                <w:color w:val="auto"/>
                <w:highlight w:val="none"/>
              </w:rPr>
              <w:t>1</w:t>
            </w:r>
          </w:p>
        </w:tc>
        <w:tc>
          <w:tcPr>
            <w:tcW w:w="2270" w:type="dxa"/>
          </w:tcPr>
          <w:p w14:paraId="0E7CCBE0">
            <w:pPr>
              <w:kinsoku/>
              <w:topLinePunct/>
              <w:autoSpaceDE/>
              <w:autoSpaceDN/>
              <w:ind w:right="86" w:rightChars="41"/>
              <w:rPr>
                <w:rFonts w:ascii="宋体" w:cs="宋体"/>
                <w:color w:val="auto"/>
                <w:highlight w:val="none"/>
              </w:rPr>
            </w:pPr>
          </w:p>
        </w:tc>
        <w:tc>
          <w:tcPr>
            <w:tcW w:w="1238" w:type="dxa"/>
          </w:tcPr>
          <w:p w14:paraId="03D332A4">
            <w:pPr>
              <w:kinsoku/>
              <w:topLinePunct/>
              <w:autoSpaceDE/>
              <w:autoSpaceDN/>
              <w:ind w:right="86" w:rightChars="41"/>
              <w:rPr>
                <w:rFonts w:ascii="宋体" w:cs="宋体"/>
                <w:color w:val="auto"/>
                <w:highlight w:val="none"/>
              </w:rPr>
            </w:pPr>
          </w:p>
        </w:tc>
        <w:tc>
          <w:tcPr>
            <w:tcW w:w="3721" w:type="dxa"/>
          </w:tcPr>
          <w:p w14:paraId="52FB8DB4">
            <w:pPr>
              <w:kinsoku/>
              <w:topLinePunct/>
              <w:autoSpaceDE/>
              <w:autoSpaceDN/>
              <w:ind w:right="86" w:rightChars="41"/>
              <w:rPr>
                <w:rFonts w:ascii="宋体" w:cs="宋体"/>
                <w:color w:val="auto"/>
                <w:highlight w:val="none"/>
              </w:rPr>
            </w:pPr>
          </w:p>
        </w:tc>
        <w:tc>
          <w:tcPr>
            <w:tcW w:w="1420" w:type="dxa"/>
          </w:tcPr>
          <w:p w14:paraId="7E2F3173">
            <w:pPr>
              <w:kinsoku/>
              <w:topLinePunct/>
              <w:autoSpaceDE/>
              <w:autoSpaceDN/>
              <w:ind w:right="86" w:rightChars="41"/>
              <w:rPr>
                <w:rFonts w:ascii="宋体" w:cs="宋体"/>
                <w:color w:val="auto"/>
                <w:highlight w:val="none"/>
              </w:rPr>
            </w:pPr>
          </w:p>
        </w:tc>
      </w:tr>
      <w:tr w14:paraId="7E03E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7953AD30">
            <w:pPr>
              <w:kinsoku/>
              <w:topLinePunct/>
              <w:autoSpaceDE/>
              <w:autoSpaceDN/>
              <w:spacing w:before="175" w:line="187" w:lineRule="auto"/>
              <w:ind w:left="364" w:right="86" w:rightChars="41"/>
              <w:rPr>
                <w:rFonts w:ascii="宋体" w:hAnsi="宋体" w:cs="宋体"/>
                <w:color w:val="auto"/>
                <w:highlight w:val="none"/>
              </w:rPr>
            </w:pPr>
            <w:r>
              <w:rPr>
                <w:rFonts w:ascii="宋体" w:hAnsi="宋体" w:cs="宋体"/>
                <w:color w:val="auto"/>
                <w:highlight w:val="none"/>
              </w:rPr>
              <w:t>2</w:t>
            </w:r>
          </w:p>
        </w:tc>
        <w:tc>
          <w:tcPr>
            <w:tcW w:w="2270" w:type="dxa"/>
          </w:tcPr>
          <w:p w14:paraId="6FCDC508">
            <w:pPr>
              <w:kinsoku/>
              <w:topLinePunct/>
              <w:autoSpaceDE/>
              <w:autoSpaceDN/>
              <w:ind w:right="86" w:rightChars="41"/>
              <w:rPr>
                <w:rFonts w:ascii="宋体" w:cs="宋体"/>
                <w:color w:val="auto"/>
                <w:highlight w:val="none"/>
              </w:rPr>
            </w:pPr>
          </w:p>
        </w:tc>
        <w:tc>
          <w:tcPr>
            <w:tcW w:w="1238" w:type="dxa"/>
          </w:tcPr>
          <w:p w14:paraId="66CFBBEF">
            <w:pPr>
              <w:kinsoku/>
              <w:topLinePunct/>
              <w:autoSpaceDE/>
              <w:autoSpaceDN/>
              <w:ind w:right="86" w:rightChars="41"/>
              <w:rPr>
                <w:rFonts w:ascii="宋体" w:cs="宋体"/>
                <w:color w:val="auto"/>
                <w:highlight w:val="none"/>
              </w:rPr>
            </w:pPr>
          </w:p>
        </w:tc>
        <w:tc>
          <w:tcPr>
            <w:tcW w:w="3721" w:type="dxa"/>
          </w:tcPr>
          <w:p w14:paraId="3C6032B9">
            <w:pPr>
              <w:kinsoku/>
              <w:topLinePunct/>
              <w:autoSpaceDE/>
              <w:autoSpaceDN/>
              <w:ind w:right="86" w:rightChars="41"/>
              <w:rPr>
                <w:rFonts w:ascii="宋体" w:cs="宋体"/>
                <w:color w:val="auto"/>
                <w:highlight w:val="none"/>
              </w:rPr>
            </w:pPr>
          </w:p>
        </w:tc>
        <w:tc>
          <w:tcPr>
            <w:tcW w:w="1420" w:type="dxa"/>
          </w:tcPr>
          <w:p w14:paraId="7BC4BCDA">
            <w:pPr>
              <w:kinsoku/>
              <w:topLinePunct/>
              <w:autoSpaceDE/>
              <w:autoSpaceDN/>
              <w:ind w:right="86" w:rightChars="41"/>
              <w:rPr>
                <w:rFonts w:ascii="宋体" w:cs="宋体"/>
                <w:color w:val="auto"/>
                <w:highlight w:val="none"/>
              </w:rPr>
            </w:pPr>
          </w:p>
        </w:tc>
      </w:tr>
      <w:tr w14:paraId="2E44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2C4A697A">
            <w:pPr>
              <w:kinsoku/>
              <w:topLinePunct/>
              <w:autoSpaceDE/>
              <w:autoSpaceDN/>
              <w:spacing w:before="176" w:line="187" w:lineRule="auto"/>
              <w:ind w:left="368" w:right="86" w:rightChars="41"/>
              <w:rPr>
                <w:rFonts w:ascii="宋体" w:hAnsi="宋体" w:cs="宋体"/>
                <w:color w:val="auto"/>
                <w:highlight w:val="none"/>
              </w:rPr>
            </w:pPr>
            <w:r>
              <w:rPr>
                <w:rFonts w:ascii="宋体" w:hAnsi="宋体" w:cs="宋体"/>
                <w:color w:val="auto"/>
                <w:highlight w:val="none"/>
              </w:rPr>
              <w:t>3</w:t>
            </w:r>
          </w:p>
        </w:tc>
        <w:tc>
          <w:tcPr>
            <w:tcW w:w="2270" w:type="dxa"/>
          </w:tcPr>
          <w:p w14:paraId="51DC4B73">
            <w:pPr>
              <w:kinsoku/>
              <w:topLinePunct/>
              <w:autoSpaceDE/>
              <w:autoSpaceDN/>
              <w:ind w:right="86" w:rightChars="41"/>
              <w:rPr>
                <w:rFonts w:ascii="宋体" w:cs="宋体"/>
                <w:color w:val="auto"/>
                <w:highlight w:val="none"/>
              </w:rPr>
            </w:pPr>
          </w:p>
        </w:tc>
        <w:tc>
          <w:tcPr>
            <w:tcW w:w="1238" w:type="dxa"/>
          </w:tcPr>
          <w:p w14:paraId="09A336A0">
            <w:pPr>
              <w:kinsoku/>
              <w:topLinePunct/>
              <w:autoSpaceDE/>
              <w:autoSpaceDN/>
              <w:ind w:right="86" w:rightChars="41"/>
              <w:rPr>
                <w:rFonts w:ascii="宋体" w:cs="宋体"/>
                <w:color w:val="auto"/>
                <w:highlight w:val="none"/>
              </w:rPr>
            </w:pPr>
          </w:p>
        </w:tc>
        <w:tc>
          <w:tcPr>
            <w:tcW w:w="3721" w:type="dxa"/>
          </w:tcPr>
          <w:p w14:paraId="11755645">
            <w:pPr>
              <w:kinsoku/>
              <w:topLinePunct/>
              <w:autoSpaceDE/>
              <w:autoSpaceDN/>
              <w:ind w:right="86" w:rightChars="41"/>
              <w:rPr>
                <w:rFonts w:ascii="宋体" w:cs="宋体"/>
                <w:color w:val="auto"/>
                <w:highlight w:val="none"/>
              </w:rPr>
            </w:pPr>
          </w:p>
        </w:tc>
        <w:tc>
          <w:tcPr>
            <w:tcW w:w="1420" w:type="dxa"/>
          </w:tcPr>
          <w:p w14:paraId="693FD8E6">
            <w:pPr>
              <w:kinsoku/>
              <w:topLinePunct/>
              <w:autoSpaceDE/>
              <w:autoSpaceDN/>
              <w:ind w:right="86" w:rightChars="41"/>
              <w:rPr>
                <w:rFonts w:ascii="宋体" w:cs="宋体"/>
                <w:color w:val="auto"/>
                <w:highlight w:val="none"/>
              </w:rPr>
            </w:pPr>
          </w:p>
        </w:tc>
      </w:tr>
      <w:tr w14:paraId="03A43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31ECD795">
            <w:pPr>
              <w:kinsoku/>
              <w:topLinePunct/>
              <w:autoSpaceDE/>
              <w:autoSpaceDN/>
              <w:spacing w:before="153" w:line="330" w:lineRule="exact"/>
              <w:ind w:left="225" w:right="86" w:rightChars="41"/>
              <w:rPr>
                <w:rFonts w:ascii="宋体" w:cs="宋体"/>
                <w:color w:val="auto"/>
                <w:highlight w:val="none"/>
              </w:rPr>
            </w:pPr>
            <w:r>
              <w:rPr>
                <w:rFonts w:hint="eastAsia" w:ascii="宋体" w:hAnsi="宋体" w:cs="宋体"/>
                <w:color w:val="auto"/>
                <w:highlight w:val="none"/>
              </w:rPr>
              <w:t>……</w:t>
            </w:r>
          </w:p>
        </w:tc>
        <w:tc>
          <w:tcPr>
            <w:tcW w:w="2270" w:type="dxa"/>
          </w:tcPr>
          <w:p w14:paraId="069684B1">
            <w:pPr>
              <w:kinsoku/>
              <w:topLinePunct/>
              <w:autoSpaceDE/>
              <w:autoSpaceDN/>
              <w:ind w:right="86" w:rightChars="41"/>
              <w:rPr>
                <w:rFonts w:ascii="宋体" w:cs="宋体"/>
                <w:color w:val="auto"/>
                <w:highlight w:val="none"/>
              </w:rPr>
            </w:pPr>
          </w:p>
        </w:tc>
        <w:tc>
          <w:tcPr>
            <w:tcW w:w="1238" w:type="dxa"/>
          </w:tcPr>
          <w:p w14:paraId="28C1F774">
            <w:pPr>
              <w:kinsoku/>
              <w:topLinePunct/>
              <w:autoSpaceDE/>
              <w:autoSpaceDN/>
              <w:ind w:right="86" w:rightChars="41"/>
              <w:rPr>
                <w:rFonts w:ascii="宋体" w:cs="宋体"/>
                <w:color w:val="auto"/>
                <w:highlight w:val="none"/>
              </w:rPr>
            </w:pPr>
          </w:p>
        </w:tc>
        <w:tc>
          <w:tcPr>
            <w:tcW w:w="3721" w:type="dxa"/>
          </w:tcPr>
          <w:p w14:paraId="0C2ED14A">
            <w:pPr>
              <w:kinsoku/>
              <w:topLinePunct/>
              <w:autoSpaceDE/>
              <w:autoSpaceDN/>
              <w:ind w:right="86" w:rightChars="41"/>
              <w:rPr>
                <w:rFonts w:ascii="宋体" w:cs="宋体"/>
                <w:color w:val="auto"/>
                <w:highlight w:val="none"/>
              </w:rPr>
            </w:pPr>
          </w:p>
        </w:tc>
        <w:tc>
          <w:tcPr>
            <w:tcW w:w="1420" w:type="dxa"/>
          </w:tcPr>
          <w:p w14:paraId="7533EE68">
            <w:pPr>
              <w:kinsoku/>
              <w:topLinePunct/>
              <w:autoSpaceDE/>
              <w:autoSpaceDN/>
              <w:ind w:right="86" w:rightChars="41"/>
              <w:rPr>
                <w:rFonts w:ascii="宋体" w:cs="宋体"/>
                <w:color w:val="auto"/>
                <w:highlight w:val="none"/>
              </w:rPr>
            </w:pPr>
          </w:p>
        </w:tc>
      </w:tr>
    </w:tbl>
    <w:p w14:paraId="3AD25B47">
      <w:pPr>
        <w:kinsoku/>
        <w:topLinePunct/>
        <w:autoSpaceDE/>
        <w:autoSpaceDN/>
        <w:spacing w:before="30" w:line="223" w:lineRule="auto"/>
        <w:ind w:left="37" w:right="86" w:rightChars="41"/>
        <w:rPr>
          <w:rFonts w:ascii="宋体" w:cs="宋体"/>
          <w:color w:val="auto"/>
          <w:highlight w:val="none"/>
        </w:rPr>
      </w:pPr>
      <w:r>
        <w:rPr>
          <w:rFonts w:hint="eastAsia" w:ascii="宋体" w:hAnsi="宋体" w:cs="宋体"/>
          <w:color w:val="auto"/>
          <w:highlight w:val="none"/>
        </w:rPr>
        <w:t>注：</w:t>
      </w:r>
    </w:p>
    <w:p w14:paraId="256C6C43">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D7DDEF">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本表所指的控股关系仅限于直接控股关系，不包括间接的控股关系。公司实际控制人与公司之间的关系不属于本表所指的直接控股关系。</w:t>
      </w:r>
    </w:p>
    <w:p w14:paraId="458C2C60">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供应商不存在直接控股股东的，则填“无”。</w:t>
      </w:r>
    </w:p>
    <w:p w14:paraId="0C33253D">
      <w:pPr>
        <w:kinsoku/>
        <w:topLinePunct/>
        <w:autoSpaceDE/>
        <w:autoSpaceDN/>
        <w:spacing w:line="270" w:lineRule="auto"/>
        <w:ind w:right="86" w:rightChars="41"/>
        <w:rPr>
          <w:rFonts w:ascii="宋体" w:cs="宋体"/>
          <w:color w:val="auto"/>
          <w:highlight w:val="none"/>
        </w:rPr>
      </w:pPr>
    </w:p>
    <w:p w14:paraId="6DF92BF6">
      <w:pPr>
        <w:kinsoku/>
        <w:topLinePunct/>
        <w:autoSpaceDE/>
        <w:autoSpaceDN/>
        <w:spacing w:line="270" w:lineRule="auto"/>
        <w:ind w:right="86" w:rightChars="41"/>
        <w:rPr>
          <w:rFonts w:ascii="宋体" w:cs="宋体"/>
          <w:color w:val="auto"/>
          <w:highlight w:val="none"/>
        </w:rPr>
      </w:pPr>
    </w:p>
    <w:p w14:paraId="1065C148">
      <w:pPr>
        <w:kinsoku/>
        <w:topLinePunct/>
        <w:autoSpaceDE/>
        <w:autoSpaceDN/>
        <w:spacing w:line="270" w:lineRule="auto"/>
        <w:ind w:right="86" w:rightChars="41"/>
        <w:rPr>
          <w:rFonts w:ascii="宋体" w:cs="宋体"/>
          <w:color w:val="auto"/>
          <w:highlight w:val="none"/>
        </w:rPr>
      </w:pPr>
    </w:p>
    <w:p w14:paraId="34042EB1">
      <w:pPr>
        <w:kinsoku/>
        <w:topLinePunct/>
        <w:autoSpaceDE/>
        <w:autoSpaceDN/>
        <w:spacing w:line="270" w:lineRule="auto"/>
        <w:ind w:right="86" w:rightChars="41"/>
        <w:rPr>
          <w:rFonts w:ascii="宋体" w:cs="宋体"/>
          <w:color w:val="auto"/>
          <w:highlight w:val="none"/>
        </w:rPr>
      </w:pPr>
    </w:p>
    <w:p w14:paraId="38D2E313">
      <w:pPr>
        <w:kinsoku/>
        <w:topLinePunct/>
        <w:autoSpaceDE/>
        <w:autoSpaceDN/>
        <w:spacing w:line="270" w:lineRule="auto"/>
        <w:ind w:right="86" w:rightChars="41"/>
        <w:rPr>
          <w:rFonts w:ascii="宋体" w:cs="宋体"/>
          <w:color w:val="auto"/>
          <w:highlight w:val="none"/>
        </w:rPr>
      </w:pPr>
    </w:p>
    <w:p w14:paraId="03DC0E6A">
      <w:pPr>
        <w:kinsoku/>
        <w:topLinePunct/>
        <w:autoSpaceDE/>
        <w:autoSpaceDN/>
        <w:spacing w:line="270" w:lineRule="auto"/>
        <w:ind w:right="86" w:rightChars="41"/>
        <w:rPr>
          <w:rFonts w:ascii="宋体" w:cs="宋体"/>
          <w:color w:val="auto"/>
          <w:highlight w:val="none"/>
        </w:rPr>
      </w:pPr>
    </w:p>
    <w:p w14:paraId="26AEA6D7">
      <w:pPr>
        <w:kinsoku/>
        <w:topLinePunct/>
        <w:autoSpaceDE/>
        <w:autoSpaceDN/>
        <w:spacing w:line="270" w:lineRule="auto"/>
        <w:ind w:right="86" w:rightChars="41"/>
        <w:rPr>
          <w:rFonts w:ascii="宋体" w:cs="宋体"/>
          <w:color w:val="auto"/>
          <w:highlight w:val="none"/>
        </w:rPr>
      </w:pPr>
    </w:p>
    <w:p w14:paraId="3B248FCB">
      <w:pPr>
        <w:kinsoku/>
        <w:topLinePunct/>
        <w:autoSpaceDE/>
        <w:autoSpaceDN/>
        <w:spacing w:before="68" w:line="411" w:lineRule="exact"/>
        <w:ind w:left="444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1E2348DC">
      <w:pPr>
        <w:kinsoku/>
        <w:topLinePunct/>
        <w:autoSpaceDE/>
        <w:autoSpaceDN/>
        <w:spacing w:line="220" w:lineRule="auto"/>
        <w:ind w:left="4588"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58D596B6">
      <w:pPr>
        <w:kinsoku/>
        <w:topLinePunct/>
        <w:autoSpaceDE/>
        <w:autoSpaceDN/>
        <w:ind w:right="86" w:rightChars="41"/>
        <w:rPr>
          <w:rFonts w:ascii="宋体" w:cs="宋体"/>
          <w:color w:val="auto"/>
          <w:highlight w:val="none"/>
        </w:rPr>
        <w:sectPr>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517C44EE">
      <w:pPr>
        <w:kinsoku/>
        <w:topLinePunct/>
        <w:autoSpaceDE/>
        <w:autoSpaceDN/>
        <w:spacing w:line="259" w:lineRule="auto"/>
        <w:ind w:right="86" w:rightChars="41"/>
        <w:rPr>
          <w:rFonts w:ascii="宋体" w:cs="宋体"/>
          <w:color w:val="auto"/>
          <w:highlight w:val="none"/>
        </w:rPr>
      </w:pPr>
    </w:p>
    <w:p w14:paraId="33661F42">
      <w:pPr>
        <w:kinsoku/>
        <w:topLinePunct/>
        <w:autoSpaceDE/>
        <w:autoSpaceDN/>
        <w:spacing w:before="69" w:line="220" w:lineRule="auto"/>
        <w:ind w:left="37" w:right="86" w:rightChars="41"/>
        <w:rPr>
          <w:rFonts w:asci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.2</w:t>
      </w:r>
      <w:r>
        <w:rPr>
          <w:rFonts w:hint="eastAsia" w:ascii="宋体" w:hAnsi="宋体" w:cs="宋体"/>
          <w:color w:val="auto"/>
          <w:highlight w:val="none"/>
        </w:rPr>
        <w:t>供应商直接管理关系信息表</w:t>
      </w:r>
    </w:p>
    <w:p w14:paraId="734FDEE5">
      <w:pPr>
        <w:kinsoku/>
        <w:topLinePunct/>
        <w:autoSpaceDE/>
        <w:autoSpaceDN/>
        <w:spacing w:line="128" w:lineRule="exact"/>
        <w:ind w:right="86" w:rightChars="41"/>
        <w:rPr>
          <w:rFonts w:ascii="宋体" w:cs="宋体"/>
          <w:color w:val="auto"/>
          <w:highlight w:val="none"/>
        </w:rPr>
      </w:pPr>
    </w:p>
    <w:tbl>
      <w:tblPr>
        <w:tblStyle w:val="14"/>
        <w:tblW w:w="965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8"/>
        <w:gridCol w:w="3923"/>
        <w:gridCol w:w="2067"/>
      </w:tblGrid>
      <w:tr w14:paraId="4131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10" w:type="dxa"/>
          </w:tcPr>
          <w:p w14:paraId="17A656E2">
            <w:pPr>
              <w:kinsoku/>
              <w:topLinePunct/>
              <w:autoSpaceDE/>
              <w:autoSpaceDN/>
              <w:spacing w:before="154" w:line="222" w:lineRule="auto"/>
              <w:ind w:left="299" w:right="86" w:rightChars="41"/>
              <w:rPr>
                <w:rFonts w:ascii="宋体" w:cs="宋体"/>
                <w:color w:val="auto"/>
                <w:highlight w:val="none"/>
              </w:rPr>
            </w:pPr>
            <w:r>
              <w:rPr>
                <w:rFonts w:hint="eastAsia" w:ascii="宋体" w:hAnsi="宋体" w:cs="宋体"/>
                <w:color w:val="auto"/>
                <w:highlight w:val="none"/>
              </w:rPr>
              <w:t>序号</w:t>
            </w:r>
          </w:p>
        </w:tc>
        <w:tc>
          <w:tcPr>
            <w:tcW w:w="2658" w:type="dxa"/>
          </w:tcPr>
          <w:p w14:paraId="5AE7657D">
            <w:pPr>
              <w:kinsoku/>
              <w:topLinePunct/>
              <w:autoSpaceDE/>
              <w:autoSpaceDN/>
              <w:spacing w:before="153" w:line="221" w:lineRule="auto"/>
              <w:ind w:left="283" w:right="86" w:rightChars="41"/>
              <w:rPr>
                <w:rFonts w:ascii="宋体" w:cs="宋体"/>
                <w:color w:val="auto"/>
                <w:highlight w:val="none"/>
              </w:rPr>
            </w:pPr>
            <w:r>
              <w:rPr>
                <w:rFonts w:hint="eastAsia" w:ascii="宋体" w:hAnsi="宋体" w:cs="宋体"/>
                <w:color w:val="auto"/>
                <w:highlight w:val="none"/>
              </w:rPr>
              <w:t>直接管理关系单位名称</w:t>
            </w:r>
          </w:p>
        </w:tc>
        <w:tc>
          <w:tcPr>
            <w:tcW w:w="3923" w:type="dxa"/>
          </w:tcPr>
          <w:p w14:paraId="2BD0F874">
            <w:pPr>
              <w:kinsoku/>
              <w:topLinePunct/>
              <w:autoSpaceDE/>
              <w:autoSpaceDN/>
              <w:spacing w:before="154" w:line="217" w:lineRule="auto"/>
              <w:ind w:left="1131" w:right="86" w:rightChars="41"/>
              <w:rPr>
                <w:rFonts w:ascii="宋体" w:cs="宋体"/>
                <w:color w:val="auto"/>
                <w:highlight w:val="none"/>
              </w:rPr>
            </w:pPr>
            <w:r>
              <w:rPr>
                <w:rFonts w:hint="eastAsia" w:ascii="宋体" w:hAnsi="宋体" w:cs="宋体"/>
                <w:color w:val="auto"/>
                <w:highlight w:val="none"/>
              </w:rPr>
              <w:t>统一社会信用代码</w:t>
            </w:r>
          </w:p>
        </w:tc>
        <w:tc>
          <w:tcPr>
            <w:tcW w:w="2067" w:type="dxa"/>
          </w:tcPr>
          <w:p w14:paraId="19C2A5B0">
            <w:pPr>
              <w:kinsoku/>
              <w:topLinePunct/>
              <w:autoSpaceDE/>
              <w:autoSpaceDN/>
              <w:spacing w:before="154" w:line="222" w:lineRule="auto"/>
              <w:ind w:left="830" w:right="86" w:rightChars="41"/>
              <w:rPr>
                <w:rFonts w:ascii="宋体" w:cs="宋体"/>
                <w:color w:val="auto"/>
                <w:highlight w:val="none"/>
              </w:rPr>
            </w:pPr>
            <w:r>
              <w:rPr>
                <w:rFonts w:hint="eastAsia" w:ascii="宋体" w:hAnsi="宋体" w:cs="宋体"/>
                <w:color w:val="auto"/>
                <w:highlight w:val="none"/>
              </w:rPr>
              <w:t>备注</w:t>
            </w:r>
          </w:p>
        </w:tc>
      </w:tr>
      <w:tr w14:paraId="6872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10" w:type="dxa"/>
          </w:tcPr>
          <w:p w14:paraId="27B81ECB">
            <w:pPr>
              <w:kinsoku/>
              <w:topLinePunct/>
              <w:autoSpaceDE/>
              <w:autoSpaceDN/>
              <w:spacing w:before="177" w:line="187" w:lineRule="auto"/>
              <w:ind w:left="473" w:right="86" w:rightChars="41"/>
              <w:rPr>
                <w:rFonts w:ascii="宋体" w:hAnsi="宋体" w:cs="宋体"/>
                <w:color w:val="auto"/>
                <w:highlight w:val="none"/>
              </w:rPr>
            </w:pPr>
            <w:r>
              <w:rPr>
                <w:rFonts w:ascii="宋体" w:hAnsi="宋体" w:cs="宋体"/>
                <w:color w:val="auto"/>
                <w:highlight w:val="none"/>
              </w:rPr>
              <w:t>1</w:t>
            </w:r>
          </w:p>
        </w:tc>
        <w:tc>
          <w:tcPr>
            <w:tcW w:w="2658" w:type="dxa"/>
          </w:tcPr>
          <w:p w14:paraId="014CF668">
            <w:pPr>
              <w:kinsoku/>
              <w:topLinePunct/>
              <w:autoSpaceDE/>
              <w:autoSpaceDN/>
              <w:ind w:right="86" w:rightChars="41"/>
              <w:rPr>
                <w:rFonts w:ascii="宋体" w:cs="宋体"/>
                <w:color w:val="auto"/>
                <w:highlight w:val="none"/>
              </w:rPr>
            </w:pPr>
          </w:p>
        </w:tc>
        <w:tc>
          <w:tcPr>
            <w:tcW w:w="3923" w:type="dxa"/>
          </w:tcPr>
          <w:p w14:paraId="72197FEF">
            <w:pPr>
              <w:kinsoku/>
              <w:topLinePunct/>
              <w:autoSpaceDE/>
              <w:autoSpaceDN/>
              <w:ind w:right="86" w:rightChars="41"/>
              <w:rPr>
                <w:rFonts w:ascii="宋体" w:cs="宋体"/>
                <w:color w:val="auto"/>
                <w:highlight w:val="none"/>
              </w:rPr>
            </w:pPr>
          </w:p>
        </w:tc>
        <w:tc>
          <w:tcPr>
            <w:tcW w:w="2067" w:type="dxa"/>
          </w:tcPr>
          <w:p w14:paraId="1A47F321">
            <w:pPr>
              <w:kinsoku/>
              <w:topLinePunct/>
              <w:autoSpaceDE/>
              <w:autoSpaceDN/>
              <w:ind w:right="86" w:rightChars="41"/>
              <w:rPr>
                <w:rFonts w:ascii="宋体" w:cs="宋体"/>
                <w:color w:val="auto"/>
                <w:highlight w:val="none"/>
              </w:rPr>
            </w:pPr>
          </w:p>
        </w:tc>
      </w:tr>
      <w:tr w14:paraId="1F1C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10" w:type="dxa"/>
          </w:tcPr>
          <w:p w14:paraId="7067EC21">
            <w:pPr>
              <w:kinsoku/>
              <w:topLinePunct/>
              <w:autoSpaceDE/>
              <w:autoSpaceDN/>
              <w:spacing w:before="175" w:line="187" w:lineRule="auto"/>
              <w:ind w:left="453" w:right="86" w:rightChars="41"/>
              <w:rPr>
                <w:rFonts w:ascii="宋体" w:hAnsi="宋体" w:cs="宋体"/>
                <w:color w:val="auto"/>
                <w:highlight w:val="none"/>
              </w:rPr>
            </w:pPr>
            <w:r>
              <w:rPr>
                <w:rFonts w:ascii="宋体" w:hAnsi="宋体" w:cs="宋体"/>
                <w:color w:val="auto"/>
                <w:highlight w:val="none"/>
              </w:rPr>
              <w:t>2</w:t>
            </w:r>
          </w:p>
        </w:tc>
        <w:tc>
          <w:tcPr>
            <w:tcW w:w="2658" w:type="dxa"/>
          </w:tcPr>
          <w:p w14:paraId="1B5093A5">
            <w:pPr>
              <w:kinsoku/>
              <w:topLinePunct/>
              <w:autoSpaceDE/>
              <w:autoSpaceDN/>
              <w:ind w:right="86" w:rightChars="41"/>
              <w:rPr>
                <w:rFonts w:ascii="宋体" w:cs="宋体"/>
                <w:color w:val="auto"/>
                <w:highlight w:val="none"/>
              </w:rPr>
            </w:pPr>
          </w:p>
        </w:tc>
        <w:tc>
          <w:tcPr>
            <w:tcW w:w="3923" w:type="dxa"/>
          </w:tcPr>
          <w:p w14:paraId="7BB37A28">
            <w:pPr>
              <w:kinsoku/>
              <w:topLinePunct/>
              <w:autoSpaceDE/>
              <w:autoSpaceDN/>
              <w:ind w:right="86" w:rightChars="41"/>
              <w:rPr>
                <w:rFonts w:ascii="宋体" w:cs="宋体"/>
                <w:color w:val="auto"/>
                <w:highlight w:val="none"/>
              </w:rPr>
            </w:pPr>
          </w:p>
        </w:tc>
        <w:tc>
          <w:tcPr>
            <w:tcW w:w="2067" w:type="dxa"/>
          </w:tcPr>
          <w:p w14:paraId="0CC538E0">
            <w:pPr>
              <w:kinsoku/>
              <w:topLinePunct/>
              <w:autoSpaceDE/>
              <w:autoSpaceDN/>
              <w:ind w:right="86" w:rightChars="41"/>
              <w:rPr>
                <w:rFonts w:ascii="宋体" w:cs="宋体"/>
                <w:color w:val="auto"/>
                <w:highlight w:val="none"/>
              </w:rPr>
            </w:pPr>
          </w:p>
        </w:tc>
      </w:tr>
      <w:tr w14:paraId="5C63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10" w:type="dxa"/>
          </w:tcPr>
          <w:p w14:paraId="692CC28B">
            <w:pPr>
              <w:kinsoku/>
              <w:topLinePunct/>
              <w:autoSpaceDE/>
              <w:autoSpaceDN/>
              <w:spacing w:before="176" w:line="187" w:lineRule="auto"/>
              <w:ind w:left="457" w:right="86" w:rightChars="41"/>
              <w:rPr>
                <w:rFonts w:ascii="宋体" w:hAnsi="宋体" w:cs="宋体"/>
                <w:color w:val="auto"/>
                <w:highlight w:val="none"/>
              </w:rPr>
            </w:pPr>
            <w:r>
              <w:rPr>
                <w:rFonts w:ascii="宋体" w:hAnsi="宋体" w:cs="宋体"/>
                <w:color w:val="auto"/>
                <w:highlight w:val="none"/>
              </w:rPr>
              <w:t>3</w:t>
            </w:r>
          </w:p>
        </w:tc>
        <w:tc>
          <w:tcPr>
            <w:tcW w:w="2658" w:type="dxa"/>
          </w:tcPr>
          <w:p w14:paraId="34EE01AA">
            <w:pPr>
              <w:kinsoku/>
              <w:topLinePunct/>
              <w:autoSpaceDE/>
              <w:autoSpaceDN/>
              <w:ind w:right="86" w:rightChars="41"/>
              <w:rPr>
                <w:rFonts w:ascii="宋体" w:cs="宋体"/>
                <w:color w:val="auto"/>
                <w:highlight w:val="none"/>
              </w:rPr>
            </w:pPr>
          </w:p>
        </w:tc>
        <w:tc>
          <w:tcPr>
            <w:tcW w:w="3923" w:type="dxa"/>
          </w:tcPr>
          <w:p w14:paraId="353F3D77">
            <w:pPr>
              <w:kinsoku/>
              <w:topLinePunct/>
              <w:autoSpaceDE/>
              <w:autoSpaceDN/>
              <w:ind w:right="86" w:rightChars="41"/>
              <w:rPr>
                <w:rFonts w:ascii="宋体" w:cs="宋体"/>
                <w:color w:val="auto"/>
                <w:highlight w:val="none"/>
              </w:rPr>
            </w:pPr>
          </w:p>
        </w:tc>
        <w:tc>
          <w:tcPr>
            <w:tcW w:w="2067" w:type="dxa"/>
          </w:tcPr>
          <w:p w14:paraId="3D66C333">
            <w:pPr>
              <w:kinsoku/>
              <w:topLinePunct/>
              <w:autoSpaceDE/>
              <w:autoSpaceDN/>
              <w:ind w:right="86" w:rightChars="41"/>
              <w:rPr>
                <w:rFonts w:ascii="宋体" w:cs="宋体"/>
                <w:color w:val="auto"/>
                <w:highlight w:val="none"/>
              </w:rPr>
            </w:pPr>
          </w:p>
        </w:tc>
      </w:tr>
      <w:tr w14:paraId="64490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10" w:type="dxa"/>
          </w:tcPr>
          <w:p w14:paraId="6A115ACC">
            <w:pPr>
              <w:kinsoku/>
              <w:topLinePunct/>
              <w:autoSpaceDE/>
              <w:autoSpaceDN/>
              <w:spacing w:before="153" w:line="330" w:lineRule="exact"/>
              <w:ind w:left="314" w:right="86" w:rightChars="41"/>
              <w:rPr>
                <w:rFonts w:ascii="宋体" w:cs="宋体"/>
                <w:color w:val="auto"/>
                <w:highlight w:val="none"/>
              </w:rPr>
            </w:pPr>
            <w:r>
              <w:rPr>
                <w:rFonts w:hint="eastAsia" w:ascii="宋体" w:hAnsi="宋体" w:cs="宋体"/>
                <w:color w:val="auto"/>
                <w:highlight w:val="none"/>
              </w:rPr>
              <w:t>……</w:t>
            </w:r>
          </w:p>
        </w:tc>
        <w:tc>
          <w:tcPr>
            <w:tcW w:w="2658" w:type="dxa"/>
          </w:tcPr>
          <w:p w14:paraId="09AD2D4C">
            <w:pPr>
              <w:kinsoku/>
              <w:topLinePunct/>
              <w:autoSpaceDE/>
              <w:autoSpaceDN/>
              <w:ind w:right="86" w:rightChars="41"/>
              <w:rPr>
                <w:rFonts w:ascii="宋体" w:cs="宋体"/>
                <w:color w:val="auto"/>
                <w:highlight w:val="none"/>
              </w:rPr>
            </w:pPr>
          </w:p>
        </w:tc>
        <w:tc>
          <w:tcPr>
            <w:tcW w:w="3923" w:type="dxa"/>
          </w:tcPr>
          <w:p w14:paraId="1B283CBA">
            <w:pPr>
              <w:kinsoku/>
              <w:topLinePunct/>
              <w:autoSpaceDE/>
              <w:autoSpaceDN/>
              <w:ind w:right="86" w:rightChars="41"/>
              <w:rPr>
                <w:rFonts w:ascii="宋体" w:cs="宋体"/>
                <w:color w:val="auto"/>
                <w:highlight w:val="none"/>
              </w:rPr>
            </w:pPr>
          </w:p>
        </w:tc>
        <w:tc>
          <w:tcPr>
            <w:tcW w:w="2067" w:type="dxa"/>
          </w:tcPr>
          <w:p w14:paraId="505ECCF5">
            <w:pPr>
              <w:kinsoku/>
              <w:topLinePunct/>
              <w:autoSpaceDE/>
              <w:autoSpaceDN/>
              <w:ind w:right="86" w:rightChars="41"/>
              <w:rPr>
                <w:rFonts w:ascii="宋体" w:cs="宋体"/>
                <w:color w:val="auto"/>
                <w:highlight w:val="none"/>
              </w:rPr>
            </w:pPr>
          </w:p>
        </w:tc>
      </w:tr>
    </w:tbl>
    <w:p w14:paraId="7250014A">
      <w:pPr>
        <w:kinsoku/>
        <w:topLinePunct/>
        <w:autoSpaceDE/>
        <w:autoSpaceDN/>
        <w:spacing w:before="29" w:line="223" w:lineRule="auto"/>
        <w:ind w:left="37" w:right="86" w:rightChars="41"/>
        <w:rPr>
          <w:rFonts w:ascii="宋体" w:cs="宋体"/>
          <w:color w:val="auto"/>
          <w:highlight w:val="none"/>
        </w:rPr>
      </w:pPr>
      <w:r>
        <w:rPr>
          <w:rFonts w:hint="eastAsia" w:ascii="宋体" w:hAnsi="宋体" w:cs="宋体"/>
          <w:color w:val="auto"/>
          <w:highlight w:val="none"/>
        </w:rPr>
        <w:t>注：</w:t>
      </w:r>
    </w:p>
    <w:p w14:paraId="1DCD1091">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管理关系：是指不具有出资持股关系的其他单位之间存在的管理与被管理关系，如一些上下级关系的事业单位和团体组织。</w:t>
      </w:r>
    </w:p>
    <w:p w14:paraId="560FBE1E">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本表所指的管理关系仅限于直接管理关系，不包括间接的管理关系。</w:t>
      </w:r>
    </w:p>
    <w:p w14:paraId="19FAAC9D">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供应商不存在直接管理关系的，则填“无”。</w:t>
      </w:r>
    </w:p>
    <w:p w14:paraId="22AD751C">
      <w:pPr>
        <w:kinsoku/>
        <w:topLinePunct/>
        <w:autoSpaceDE/>
        <w:autoSpaceDN/>
        <w:spacing w:line="247" w:lineRule="auto"/>
        <w:ind w:right="86" w:rightChars="41"/>
        <w:rPr>
          <w:rFonts w:ascii="宋体" w:cs="宋体"/>
          <w:color w:val="auto"/>
          <w:highlight w:val="none"/>
        </w:rPr>
      </w:pPr>
    </w:p>
    <w:p w14:paraId="64591553">
      <w:pPr>
        <w:kinsoku/>
        <w:topLinePunct/>
        <w:autoSpaceDE/>
        <w:autoSpaceDN/>
        <w:spacing w:line="247" w:lineRule="auto"/>
        <w:ind w:right="86" w:rightChars="41"/>
        <w:rPr>
          <w:rFonts w:ascii="宋体" w:cs="宋体"/>
          <w:color w:val="auto"/>
          <w:highlight w:val="none"/>
        </w:rPr>
      </w:pPr>
    </w:p>
    <w:p w14:paraId="5BF363B2">
      <w:pPr>
        <w:kinsoku/>
        <w:topLinePunct/>
        <w:autoSpaceDE/>
        <w:autoSpaceDN/>
        <w:spacing w:line="248" w:lineRule="auto"/>
        <w:ind w:right="86" w:rightChars="41"/>
        <w:rPr>
          <w:rFonts w:ascii="宋体" w:cs="宋体"/>
          <w:color w:val="auto"/>
          <w:highlight w:val="none"/>
        </w:rPr>
      </w:pPr>
    </w:p>
    <w:p w14:paraId="06B44851">
      <w:pPr>
        <w:kinsoku/>
        <w:topLinePunct/>
        <w:autoSpaceDE/>
        <w:autoSpaceDN/>
        <w:spacing w:line="248" w:lineRule="auto"/>
        <w:ind w:right="86" w:rightChars="41"/>
        <w:rPr>
          <w:rFonts w:ascii="宋体" w:cs="宋体"/>
          <w:color w:val="auto"/>
          <w:highlight w:val="none"/>
        </w:rPr>
      </w:pPr>
    </w:p>
    <w:p w14:paraId="57B8D552">
      <w:pPr>
        <w:kinsoku/>
        <w:topLinePunct/>
        <w:autoSpaceDE/>
        <w:autoSpaceDN/>
        <w:spacing w:before="69" w:line="408" w:lineRule="exact"/>
        <w:ind w:left="444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325AA33B">
      <w:pPr>
        <w:kinsoku/>
        <w:topLinePunct/>
        <w:autoSpaceDE/>
        <w:autoSpaceDN/>
        <w:spacing w:line="220" w:lineRule="auto"/>
        <w:ind w:left="4588"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5E2CCEE8">
      <w:pPr>
        <w:kinsoku/>
        <w:topLinePunct/>
        <w:autoSpaceDE/>
        <w:autoSpaceDN/>
        <w:ind w:right="86" w:rightChars="41"/>
        <w:rPr>
          <w:rFonts w:ascii="宋体" w:cs="宋体"/>
          <w:color w:val="auto"/>
          <w:highlight w:val="none"/>
        </w:rPr>
      </w:pPr>
    </w:p>
    <w:p w14:paraId="505BD848">
      <w:pPr>
        <w:pStyle w:val="4"/>
        <w:rPr>
          <w:rFonts w:ascii="宋体" w:hAnsi="宋体" w:eastAsia="宋体" w:cs="宋体"/>
          <w:color w:val="auto"/>
          <w:highlight w:val="none"/>
        </w:rPr>
      </w:pPr>
    </w:p>
    <w:p w14:paraId="39AF3E07">
      <w:pPr>
        <w:rPr>
          <w:rFonts w:ascii="宋体" w:cs="宋体"/>
          <w:color w:val="auto"/>
          <w:highlight w:val="none"/>
        </w:rPr>
      </w:pPr>
    </w:p>
    <w:p w14:paraId="22031A89">
      <w:pPr>
        <w:pStyle w:val="4"/>
        <w:rPr>
          <w:color w:val="auto"/>
          <w:highlight w:val="none"/>
        </w:rPr>
        <w:sectPr>
          <w:footerReference r:id="rId18"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1A07780">
      <w:pPr>
        <w:kinsoku/>
        <w:topLinePunct/>
        <w:autoSpaceDE/>
        <w:autoSpaceDN/>
        <w:spacing w:before="78" w:line="219" w:lineRule="auto"/>
        <w:ind w:left="33" w:right="86" w:rightChars="41"/>
        <w:rPr>
          <w:rFonts w:ascii="宋体" w:cs="宋体"/>
          <w:color w:val="auto"/>
          <w:sz w:val="24"/>
          <w:szCs w:val="24"/>
          <w:highlight w:val="none"/>
        </w:rPr>
      </w:pPr>
      <w:r>
        <w:rPr>
          <w:rFonts w:hint="eastAsia" w:ascii="宋体" w:hAnsi="宋体" w:cs="宋体"/>
          <w:color w:val="auto"/>
          <w:sz w:val="24"/>
          <w:szCs w:val="24"/>
          <w:highlight w:val="none"/>
        </w:rPr>
        <w:t>二、响应文件封面参考格式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商务技术文件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66537E9B">
      <w:pPr>
        <w:kinsoku/>
        <w:topLinePunct/>
        <w:autoSpaceDE/>
        <w:autoSpaceDN/>
        <w:spacing w:line="284" w:lineRule="auto"/>
        <w:ind w:right="86" w:rightChars="41"/>
        <w:rPr>
          <w:rFonts w:ascii="宋体" w:cs="宋体"/>
          <w:color w:val="auto"/>
          <w:highlight w:val="none"/>
        </w:rPr>
      </w:pPr>
    </w:p>
    <w:p w14:paraId="1EE46284">
      <w:pPr>
        <w:kinsoku/>
        <w:topLinePunct/>
        <w:autoSpaceDE/>
        <w:autoSpaceDN/>
        <w:spacing w:line="285" w:lineRule="auto"/>
        <w:ind w:right="86" w:rightChars="41"/>
        <w:rPr>
          <w:rFonts w:ascii="宋体" w:cs="宋体"/>
          <w:color w:val="auto"/>
          <w:highlight w:val="none"/>
        </w:rPr>
      </w:pPr>
    </w:p>
    <w:p w14:paraId="147CF9F5">
      <w:pPr>
        <w:kinsoku/>
        <w:topLinePunct/>
        <w:autoSpaceDE/>
        <w:autoSpaceDN/>
        <w:spacing w:line="285" w:lineRule="auto"/>
        <w:ind w:right="86" w:rightChars="41"/>
        <w:rPr>
          <w:rFonts w:ascii="宋体" w:cs="宋体"/>
          <w:color w:val="auto"/>
          <w:highlight w:val="none"/>
        </w:rPr>
      </w:pPr>
    </w:p>
    <w:p w14:paraId="42A621BF">
      <w:pPr>
        <w:kinsoku/>
        <w:topLinePunct/>
        <w:autoSpaceDE/>
        <w:autoSpaceDN/>
        <w:spacing w:before="140" w:line="223" w:lineRule="auto"/>
        <w:ind w:left="3450"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54AD1575">
      <w:pPr>
        <w:kinsoku/>
        <w:topLinePunct/>
        <w:autoSpaceDE/>
        <w:autoSpaceDN/>
        <w:spacing w:line="258" w:lineRule="auto"/>
        <w:ind w:right="86" w:rightChars="41"/>
        <w:rPr>
          <w:rFonts w:ascii="宋体" w:cs="宋体"/>
          <w:color w:val="auto"/>
          <w:highlight w:val="none"/>
        </w:rPr>
      </w:pPr>
    </w:p>
    <w:p w14:paraId="606703A3">
      <w:pPr>
        <w:kinsoku/>
        <w:topLinePunct/>
        <w:autoSpaceDE/>
        <w:autoSpaceDN/>
        <w:spacing w:line="259" w:lineRule="auto"/>
        <w:ind w:right="86" w:rightChars="41"/>
        <w:rPr>
          <w:rFonts w:ascii="宋体" w:cs="宋体"/>
          <w:color w:val="auto"/>
          <w:highlight w:val="none"/>
        </w:rPr>
      </w:pPr>
    </w:p>
    <w:p w14:paraId="41C69052">
      <w:pPr>
        <w:kinsoku/>
        <w:topLinePunct/>
        <w:autoSpaceDE/>
        <w:autoSpaceDN/>
        <w:spacing w:line="259" w:lineRule="auto"/>
        <w:ind w:right="86" w:rightChars="41"/>
        <w:rPr>
          <w:rFonts w:ascii="宋体" w:cs="宋体"/>
          <w:color w:val="auto"/>
          <w:highlight w:val="none"/>
        </w:rPr>
      </w:pPr>
    </w:p>
    <w:p w14:paraId="64EC4363">
      <w:pPr>
        <w:kinsoku/>
        <w:topLinePunct/>
        <w:autoSpaceDE/>
        <w:autoSpaceDN/>
        <w:spacing w:before="139" w:line="223" w:lineRule="auto"/>
        <w:ind w:left="3408" w:right="86" w:rightChars="41"/>
        <w:rPr>
          <w:rFonts w:ascii="宋体" w:cs="宋体"/>
          <w:color w:val="auto"/>
          <w:sz w:val="43"/>
          <w:szCs w:val="43"/>
          <w:highlight w:val="none"/>
        </w:rPr>
      </w:pPr>
      <w:r>
        <w:rPr>
          <w:rFonts w:hint="eastAsia" w:ascii="宋体" w:hAnsi="宋体" w:cs="宋体"/>
          <w:color w:val="auto"/>
          <w:sz w:val="43"/>
          <w:szCs w:val="43"/>
          <w:highlight w:val="none"/>
        </w:rPr>
        <w:t>商务技术文件</w:t>
      </w:r>
    </w:p>
    <w:p w14:paraId="524917CC">
      <w:pPr>
        <w:kinsoku/>
        <w:topLinePunct/>
        <w:autoSpaceDE/>
        <w:autoSpaceDN/>
        <w:spacing w:line="247" w:lineRule="auto"/>
        <w:ind w:right="86" w:rightChars="41"/>
        <w:rPr>
          <w:rFonts w:ascii="宋体" w:cs="宋体"/>
          <w:color w:val="auto"/>
          <w:highlight w:val="none"/>
        </w:rPr>
      </w:pPr>
    </w:p>
    <w:p w14:paraId="79D1CB56">
      <w:pPr>
        <w:kinsoku/>
        <w:topLinePunct/>
        <w:autoSpaceDE/>
        <w:autoSpaceDN/>
        <w:spacing w:line="247" w:lineRule="auto"/>
        <w:ind w:right="86" w:rightChars="41"/>
        <w:rPr>
          <w:rFonts w:ascii="宋体" w:cs="宋体"/>
          <w:color w:val="auto"/>
          <w:highlight w:val="none"/>
        </w:rPr>
      </w:pPr>
    </w:p>
    <w:p w14:paraId="19613724">
      <w:pPr>
        <w:kinsoku/>
        <w:topLinePunct/>
        <w:autoSpaceDE/>
        <w:autoSpaceDN/>
        <w:spacing w:line="247" w:lineRule="auto"/>
        <w:ind w:right="86" w:rightChars="41"/>
        <w:rPr>
          <w:rFonts w:ascii="宋体" w:cs="宋体"/>
          <w:color w:val="auto"/>
          <w:highlight w:val="none"/>
        </w:rPr>
      </w:pPr>
    </w:p>
    <w:p w14:paraId="6A0B4E26">
      <w:pPr>
        <w:kinsoku/>
        <w:topLinePunct/>
        <w:autoSpaceDE/>
        <w:autoSpaceDN/>
        <w:spacing w:line="247" w:lineRule="auto"/>
        <w:ind w:right="86" w:rightChars="41"/>
        <w:rPr>
          <w:rFonts w:ascii="宋体" w:cs="宋体"/>
          <w:color w:val="auto"/>
          <w:highlight w:val="none"/>
        </w:rPr>
      </w:pPr>
    </w:p>
    <w:p w14:paraId="0AB9845D">
      <w:pPr>
        <w:kinsoku/>
        <w:topLinePunct/>
        <w:autoSpaceDE/>
        <w:autoSpaceDN/>
        <w:spacing w:line="247" w:lineRule="auto"/>
        <w:ind w:right="86" w:rightChars="41"/>
        <w:rPr>
          <w:rFonts w:ascii="宋体" w:cs="宋体"/>
          <w:color w:val="auto"/>
          <w:highlight w:val="none"/>
        </w:rPr>
      </w:pPr>
    </w:p>
    <w:p w14:paraId="1D066FA4">
      <w:pPr>
        <w:kinsoku/>
        <w:topLinePunct/>
        <w:autoSpaceDE/>
        <w:autoSpaceDN/>
        <w:spacing w:line="248" w:lineRule="auto"/>
        <w:ind w:right="86" w:rightChars="41"/>
        <w:rPr>
          <w:rFonts w:ascii="宋体" w:cs="宋体"/>
          <w:color w:val="auto"/>
          <w:highlight w:val="none"/>
        </w:rPr>
      </w:pPr>
    </w:p>
    <w:p w14:paraId="39564A55">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项目名称：</w:t>
      </w:r>
    </w:p>
    <w:p w14:paraId="5748AA16">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项目编号：</w:t>
      </w:r>
    </w:p>
    <w:p w14:paraId="5F66C333">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355001F5">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供应商名称：</w:t>
      </w:r>
    </w:p>
    <w:p w14:paraId="10321B8D">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供应商地址：</w:t>
      </w:r>
    </w:p>
    <w:p w14:paraId="011E2676">
      <w:pPr>
        <w:kinsoku/>
        <w:topLinePunct/>
        <w:autoSpaceDE/>
        <w:autoSpaceDN/>
        <w:spacing w:line="360" w:lineRule="auto"/>
        <w:ind w:right="86" w:rightChars="41" w:firstLine="1260" w:firstLineChars="525"/>
        <w:rPr>
          <w:rFonts w:ascii="宋体" w:cs="宋体"/>
          <w:color w:val="auto"/>
          <w:sz w:val="24"/>
          <w:szCs w:val="24"/>
          <w:highlight w:val="none"/>
        </w:rPr>
      </w:pPr>
    </w:p>
    <w:p w14:paraId="7410EFDC">
      <w:pPr>
        <w:kinsoku/>
        <w:topLinePunct/>
        <w:autoSpaceDE/>
        <w:autoSpaceDN/>
        <w:spacing w:line="262" w:lineRule="auto"/>
        <w:ind w:right="86" w:rightChars="41"/>
        <w:rPr>
          <w:rFonts w:ascii="宋体" w:cs="宋体"/>
          <w:color w:val="auto"/>
          <w:highlight w:val="none"/>
        </w:rPr>
      </w:pPr>
    </w:p>
    <w:p w14:paraId="530A0402">
      <w:pPr>
        <w:kinsoku/>
        <w:topLinePunct/>
        <w:autoSpaceDE/>
        <w:autoSpaceDN/>
        <w:spacing w:before="79" w:line="220" w:lineRule="auto"/>
        <w:ind w:left="5557"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49F595F3">
      <w:pPr>
        <w:kinsoku/>
        <w:topLinePunct/>
        <w:autoSpaceDE/>
        <w:autoSpaceDN/>
        <w:ind w:right="86" w:rightChars="41"/>
        <w:rPr>
          <w:rFonts w:ascii="宋体" w:cs="宋体"/>
          <w:color w:val="auto"/>
          <w:highlight w:val="none"/>
        </w:rPr>
        <w:sectPr>
          <w:footerReference r:id="rId19"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1CA0B6E6">
      <w:pPr>
        <w:kinsoku/>
        <w:topLinePunct/>
        <w:autoSpaceDE/>
        <w:autoSpaceDN/>
        <w:spacing w:line="319" w:lineRule="auto"/>
        <w:ind w:right="86" w:rightChars="41"/>
        <w:rPr>
          <w:rFonts w:ascii="宋体" w:cs="宋体"/>
          <w:color w:val="auto"/>
          <w:highlight w:val="none"/>
        </w:rPr>
      </w:pPr>
    </w:p>
    <w:p w14:paraId="7AD684D5">
      <w:pPr>
        <w:kinsoku/>
        <w:topLinePunct/>
        <w:autoSpaceDE/>
        <w:autoSpaceDN/>
        <w:spacing w:before="91" w:line="524" w:lineRule="exact"/>
        <w:ind w:left="4541" w:right="86" w:rightChars="41"/>
        <w:rPr>
          <w:rFonts w:ascii="宋体" w:cs="宋体"/>
          <w:color w:val="auto"/>
          <w:sz w:val="28"/>
          <w:szCs w:val="28"/>
          <w:highlight w:val="none"/>
        </w:rPr>
      </w:pPr>
      <w:r>
        <w:rPr>
          <w:rFonts w:hint="eastAsia" w:ascii="宋体" w:hAnsi="宋体" w:cs="宋体"/>
          <w:color w:val="auto"/>
          <w:sz w:val="28"/>
          <w:szCs w:val="28"/>
          <w:highlight w:val="none"/>
        </w:rPr>
        <w:t>目录</w:t>
      </w:r>
    </w:p>
    <w:p w14:paraId="58619EAA">
      <w:pPr>
        <w:kinsoku/>
        <w:topLinePunct/>
        <w:autoSpaceDE/>
        <w:autoSpaceDN/>
        <w:spacing w:line="220" w:lineRule="auto"/>
        <w:ind w:left="4057" w:right="86" w:rightChars="41"/>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应有页码</w:t>
      </w:r>
      <w:r>
        <w:rPr>
          <w:rFonts w:ascii="宋体" w:hAnsi="宋体" w:cs="宋体"/>
          <w:color w:val="auto"/>
          <w:sz w:val="24"/>
          <w:szCs w:val="24"/>
          <w:highlight w:val="none"/>
        </w:rPr>
        <w:t>)</w:t>
      </w:r>
    </w:p>
    <w:p w14:paraId="6DCD47DA">
      <w:pPr>
        <w:kinsoku/>
        <w:topLinePunct/>
        <w:autoSpaceDE/>
        <w:autoSpaceDN/>
        <w:ind w:right="86" w:rightChars="41"/>
        <w:rPr>
          <w:rFonts w:ascii="宋体" w:cs="宋体"/>
          <w:color w:val="auto"/>
          <w:highlight w:val="none"/>
        </w:rPr>
        <w:sectPr>
          <w:footerReference r:id="rId20"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48E3876F">
      <w:pPr>
        <w:kinsoku/>
        <w:topLinePunct/>
        <w:autoSpaceDE/>
        <w:autoSpaceDN/>
        <w:spacing w:line="242" w:lineRule="auto"/>
        <w:ind w:right="86" w:rightChars="41"/>
        <w:rPr>
          <w:rFonts w:ascii="宋体" w:cs="宋体"/>
          <w:color w:val="auto"/>
          <w:highlight w:val="none"/>
        </w:rPr>
      </w:pPr>
    </w:p>
    <w:p w14:paraId="37099DEA">
      <w:pPr>
        <w:kinsoku/>
        <w:topLinePunct/>
        <w:autoSpaceDE/>
        <w:autoSpaceDN/>
        <w:spacing w:line="243" w:lineRule="auto"/>
        <w:ind w:right="86" w:rightChars="41"/>
        <w:rPr>
          <w:rFonts w:ascii="宋体" w:cs="宋体"/>
          <w:color w:val="auto"/>
          <w:highlight w:val="none"/>
        </w:rPr>
      </w:pPr>
    </w:p>
    <w:p w14:paraId="19950F7E">
      <w:pPr>
        <w:kinsoku/>
        <w:topLinePunct/>
        <w:autoSpaceDE/>
        <w:autoSpaceDN/>
        <w:spacing w:before="78" w:line="220" w:lineRule="auto"/>
        <w:ind w:left="3696" w:right="86" w:rightChars="41"/>
        <w:rPr>
          <w:rFonts w:ascii="宋体" w:cs="宋体"/>
          <w:color w:val="auto"/>
          <w:sz w:val="24"/>
          <w:szCs w:val="24"/>
          <w:highlight w:val="none"/>
        </w:rPr>
      </w:pPr>
      <w:r>
        <w:rPr>
          <w:rFonts w:hint="eastAsia" w:ascii="宋体" w:hAnsi="宋体" w:cs="宋体"/>
          <w:color w:val="auto"/>
          <w:sz w:val="24"/>
          <w:szCs w:val="24"/>
          <w:highlight w:val="none"/>
        </w:rPr>
        <w:t>第一部分商务文件</w:t>
      </w:r>
    </w:p>
    <w:p w14:paraId="4E310701">
      <w:pPr>
        <w:kinsoku/>
        <w:topLinePunct/>
        <w:autoSpaceDE/>
        <w:autoSpaceDN/>
        <w:spacing w:before="87" w:line="220" w:lineRule="auto"/>
        <w:ind w:left="1989" w:right="86" w:rightChars="41"/>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本商务文件供应商可自行编写，也可参照下述提纲编写</w:t>
      </w:r>
      <w:r>
        <w:rPr>
          <w:rFonts w:ascii="宋体" w:hAnsi="宋体" w:cs="宋体"/>
          <w:color w:val="auto"/>
          <w:highlight w:val="none"/>
        </w:rPr>
        <w:t>)</w:t>
      </w:r>
    </w:p>
    <w:p w14:paraId="024168B2">
      <w:pPr>
        <w:kinsoku/>
        <w:topLinePunct/>
        <w:autoSpaceDE/>
        <w:autoSpaceDN/>
        <w:spacing w:line="351" w:lineRule="auto"/>
        <w:ind w:right="86" w:rightChars="41"/>
        <w:rPr>
          <w:rFonts w:ascii="宋体" w:cs="宋体"/>
          <w:color w:val="auto"/>
          <w:highlight w:val="none"/>
        </w:rPr>
      </w:pPr>
    </w:p>
    <w:p w14:paraId="3C6A25D2">
      <w:pPr>
        <w:kinsoku/>
        <w:topLinePunct/>
        <w:autoSpaceDE/>
        <w:autoSpaceDN/>
        <w:spacing w:before="68" w:line="219" w:lineRule="auto"/>
        <w:ind w:left="53" w:right="86" w:rightChars="41"/>
        <w:rPr>
          <w:rFonts w:hint="eastAsia" w:ascii="宋体" w:hAnsi="宋体" w:eastAsia="宋体" w:cs="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rPr>
        <w:t>法定代表人身份证明</w:t>
      </w:r>
      <w:r>
        <w:rPr>
          <w:rFonts w:hint="eastAsia" w:ascii="宋体" w:hAnsi="宋体" w:cs="宋体"/>
          <w:color w:val="auto"/>
          <w:highlight w:val="none"/>
          <w:lang w:eastAsia="zh-CN"/>
        </w:rPr>
        <w:t>及</w:t>
      </w:r>
      <w:r>
        <w:rPr>
          <w:rFonts w:hint="eastAsia" w:ascii="宋体" w:hAnsi="宋体" w:cs="宋体"/>
          <w:color w:val="auto"/>
          <w:highlight w:val="none"/>
        </w:rPr>
        <w:t>授权委托书</w:t>
      </w:r>
      <w:r>
        <w:rPr>
          <w:rFonts w:hint="eastAsia" w:ascii="宋体" w:hAnsi="宋体" w:cs="宋体"/>
          <w:color w:val="auto"/>
          <w:highlight w:val="none"/>
          <w:lang w:eastAsia="zh-CN"/>
        </w:rPr>
        <w:t>格式：</w:t>
      </w:r>
    </w:p>
    <w:p w14:paraId="0827BDBC">
      <w:pPr>
        <w:kinsoku/>
        <w:topLinePunct/>
        <w:autoSpaceDE/>
        <w:autoSpaceDN/>
        <w:spacing w:before="68" w:line="219" w:lineRule="auto"/>
        <w:ind w:left="53" w:right="86" w:rightChars="41"/>
        <w:rPr>
          <w:rFonts w:hint="eastAsia" w:ascii="宋体" w:hAnsi="宋体" w:cs="宋体"/>
          <w:color w:val="auto"/>
          <w:highlight w:val="none"/>
        </w:rPr>
      </w:pPr>
    </w:p>
    <w:p w14:paraId="5315436A">
      <w:pPr>
        <w:kinsoku/>
        <w:topLinePunct/>
        <w:autoSpaceDE/>
        <w:autoSpaceDN/>
        <w:spacing w:before="68" w:line="219" w:lineRule="auto"/>
        <w:ind w:right="86" w:rightChars="41"/>
        <w:rPr>
          <w:rFonts w:hint="eastAsia" w:ascii="宋体" w:eastAsia="宋体" w:cs="宋体"/>
          <w:color w:val="auto"/>
          <w:highlight w:val="none"/>
          <w:lang w:eastAsia="zh-CN"/>
        </w:rPr>
      </w:pPr>
      <w:r>
        <w:rPr>
          <w:rFonts w:hint="eastAsia" w:ascii="宋体" w:hAnsi="宋体" w:cs="宋体"/>
          <w:color w:val="auto"/>
          <w:highlight w:val="none"/>
        </w:rPr>
        <w:t>法定代表人身份证明</w:t>
      </w:r>
      <w:r>
        <w:rPr>
          <w:rFonts w:ascii="宋体" w:hAnsi="宋体" w:cs="宋体"/>
          <w:color w:val="auto"/>
          <w:highlight w:val="none"/>
        </w:rPr>
        <w:t>(</w:t>
      </w:r>
      <w:r>
        <w:rPr>
          <w:rFonts w:hint="eastAsia" w:ascii="宋体" w:hAnsi="宋体" w:cs="宋体"/>
          <w:color w:val="auto"/>
          <w:highlight w:val="none"/>
        </w:rPr>
        <w:t>无授权代表时提供</w:t>
      </w:r>
      <w:r>
        <w:rPr>
          <w:rFonts w:ascii="宋体" w:hAnsi="宋体" w:cs="宋体"/>
          <w:color w:val="auto"/>
          <w:highlight w:val="none"/>
        </w:rPr>
        <w:t>)</w:t>
      </w:r>
      <w:r>
        <w:rPr>
          <w:rFonts w:hint="eastAsia" w:ascii="宋体" w:hAnsi="宋体" w:cs="宋体"/>
          <w:color w:val="auto"/>
          <w:highlight w:val="none"/>
          <w:lang w:eastAsia="zh-CN"/>
        </w:rPr>
        <w:t>：</w:t>
      </w:r>
    </w:p>
    <w:p w14:paraId="740AC767">
      <w:pPr>
        <w:kinsoku/>
        <w:topLinePunct/>
        <w:autoSpaceDE/>
        <w:autoSpaceDN/>
        <w:spacing w:line="457" w:lineRule="auto"/>
        <w:ind w:right="86" w:rightChars="41"/>
        <w:rPr>
          <w:rFonts w:ascii="宋体" w:cs="宋体"/>
          <w:color w:val="auto"/>
          <w:highlight w:val="none"/>
        </w:rPr>
      </w:pPr>
    </w:p>
    <w:p w14:paraId="50521BFD">
      <w:pPr>
        <w:kinsoku/>
        <w:topLinePunct/>
        <w:autoSpaceDE/>
        <w:autoSpaceDN/>
        <w:spacing w:before="68" w:line="219" w:lineRule="auto"/>
        <w:ind w:left="3765" w:right="86" w:rightChars="41"/>
        <w:rPr>
          <w:rFonts w:ascii="宋体" w:cs="宋体"/>
          <w:color w:val="auto"/>
          <w:highlight w:val="none"/>
        </w:rPr>
      </w:pPr>
      <w:r>
        <w:rPr>
          <w:rFonts w:hint="eastAsia" w:ascii="宋体" w:hAnsi="宋体" w:cs="宋体"/>
          <w:color w:val="auto"/>
          <w:highlight w:val="none"/>
        </w:rPr>
        <w:t>法定代表人身份证明</w:t>
      </w:r>
    </w:p>
    <w:p w14:paraId="6CFA4D20">
      <w:pPr>
        <w:kinsoku/>
        <w:topLinePunct/>
        <w:autoSpaceDE/>
        <w:autoSpaceDN/>
        <w:spacing w:line="304" w:lineRule="auto"/>
        <w:ind w:right="86" w:rightChars="41"/>
        <w:rPr>
          <w:rFonts w:ascii="宋体" w:cs="宋体"/>
          <w:color w:val="auto"/>
          <w:highlight w:val="none"/>
        </w:rPr>
      </w:pPr>
    </w:p>
    <w:p w14:paraId="785999FA">
      <w:pPr>
        <w:kinsoku/>
        <w:topLinePunct/>
        <w:autoSpaceDE/>
        <w:autoSpaceDN/>
        <w:spacing w:line="305" w:lineRule="auto"/>
        <w:ind w:right="86" w:rightChars="41"/>
        <w:rPr>
          <w:rFonts w:ascii="宋体" w:cs="宋体"/>
          <w:color w:val="auto"/>
          <w:highlight w:val="none"/>
        </w:rPr>
      </w:pPr>
    </w:p>
    <w:p w14:paraId="56853044">
      <w:pPr>
        <w:kinsoku/>
        <w:topLinePunct/>
        <w:autoSpaceDE/>
        <w:autoSpaceDN/>
        <w:spacing w:before="68" w:line="475" w:lineRule="auto"/>
        <w:ind w:left="37" w:right="86" w:rightChars="41"/>
        <w:rPr>
          <w:rFonts w:ascii="宋体" w:cs="宋体"/>
          <w:color w:val="auto"/>
          <w:highlight w:val="none"/>
          <w:u w:val="single"/>
        </w:rPr>
      </w:pPr>
      <w:r>
        <w:rPr>
          <w:rFonts w:hint="eastAsia" w:ascii="宋体" w:hAnsi="宋体" w:cs="宋体"/>
          <w:color w:val="auto"/>
          <w:highlight w:val="none"/>
        </w:rPr>
        <w:t>供应商名称：</w:t>
      </w:r>
    </w:p>
    <w:p w14:paraId="2E10DA67">
      <w:pPr>
        <w:kinsoku/>
        <w:topLinePunct/>
        <w:autoSpaceDE/>
        <w:autoSpaceDN/>
        <w:spacing w:line="221" w:lineRule="auto"/>
        <w:ind w:left="38" w:right="86" w:rightChars="41"/>
        <w:rPr>
          <w:rFonts w:ascii="宋体" w:cs="宋体"/>
          <w:color w:val="auto"/>
          <w:highlight w:val="none"/>
        </w:rPr>
      </w:pPr>
      <w:r>
        <w:rPr>
          <w:rFonts w:hint="eastAsia" w:ascii="宋体" w:hAnsi="宋体" w:cs="宋体"/>
          <w:color w:val="auto"/>
          <w:highlight w:val="none"/>
        </w:rPr>
        <w:t>单位性质：</w:t>
      </w:r>
    </w:p>
    <w:p w14:paraId="392B5894">
      <w:pPr>
        <w:kinsoku/>
        <w:topLinePunct/>
        <w:autoSpaceDE/>
        <w:autoSpaceDN/>
        <w:spacing w:before="288" w:line="230" w:lineRule="auto"/>
        <w:ind w:left="37" w:right="86" w:rightChars="41"/>
        <w:rPr>
          <w:rFonts w:ascii="宋体" w:cs="宋体"/>
          <w:color w:val="auto"/>
          <w:highlight w:val="none"/>
        </w:rPr>
      </w:pPr>
      <w:r>
        <w:rPr>
          <w:rFonts w:hint="eastAsia" w:ascii="宋体" w:hAnsi="宋体" w:cs="宋体"/>
          <w:color w:val="auto"/>
          <w:highlight w:val="none"/>
        </w:rPr>
        <w:t>地址：</w:t>
      </w:r>
    </w:p>
    <w:p w14:paraId="4FE83043">
      <w:pPr>
        <w:kinsoku/>
        <w:topLinePunct/>
        <w:autoSpaceDE/>
        <w:autoSpaceDN/>
        <w:spacing w:before="278" w:line="221" w:lineRule="auto"/>
        <w:ind w:left="38" w:right="86" w:rightChars="41"/>
        <w:rPr>
          <w:rFonts w:ascii="宋体" w:cs="宋体"/>
          <w:color w:val="auto"/>
          <w:highlight w:val="none"/>
        </w:rPr>
      </w:pPr>
      <w:r>
        <w:rPr>
          <w:rFonts w:hint="eastAsia" w:ascii="宋体" w:hAnsi="宋体" w:cs="宋体"/>
          <w:color w:val="auto"/>
          <w:highlight w:val="none"/>
        </w:rPr>
        <w:t>成立时间：</w:t>
      </w:r>
      <w:r>
        <w:rPr>
          <w:rFonts w:ascii="宋体" w:hAnsi="宋体" w:cs="宋体"/>
          <w:color w:val="auto"/>
          <w:highlight w:val="none"/>
          <w:u w:val="none"/>
        </w:rPr>
        <w:t xml:space="preserve">   </w:t>
      </w:r>
      <w:r>
        <w:rPr>
          <w:rFonts w:hint="eastAsia" w:ascii="宋体" w:hAnsi="宋体" w:cs="宋体"/>
          <w:color w:val="auto"/>
          <w:highlight w:val="none"/>
          <w:u w:val="none"/>
        </w:rPr>
        <w:t>年</w:t>
      </w:r>
      <w:r>
        <w:rPr>
          <w:rFonts w:ascii="宋体" w:hAnsi="宋体" w:cs="宋体"/>
          <w:color w:val="auto"/>
          <w:highlight w:val="none"/>
          <w:u w:val="none"/>
        </w:rPr>
        <w:t xml:space="preserve">  </w:t>
      </w:r>
      <w:r>
        <w:rPr>
          <w:rFonts w:hint="eastAsia" w:ascii="宋体" w:hAnsi="宋体" w:cs="宋体"/>
          <w:color w:val="auto"/>
          <w:highlight w:val="none"/>
          <w:u w:val="none"/>
        </w:rPr>
        <w:t>月</w:t>
      </w:r>
      <w:r>
        <w:rPr>
          <w:rFonts w:ascii="宋体" w:hAnsi="宋体" w:cs="宋体"/>
          <w:color w:val="auto"/>
          <w:highlight w:val="none"/>
          <w:u w:val="none"/>
        </w:rPr>
        <w:t xml:space="preserve">  </w:t>
      </w:r>
      <w:r>
        <w:rPr>
          <w:rFonts w:hint="eastAsia" w:ascii="宋体" w:hAnsi="宋体" w:cs="宋体"/>
          <w:color w:val="auto"/>
          <w:highlight w:val="none"/>
          <w:u w:val="none"/>
        </w:rPr>
        <w:t>日</w:t>
      </w:r>
    </w:p>
    <w:p w14:paraId="220C4D03">
      <w:pPr>
        <w:kinsoku/>
        <w:topLinePunct/>
        <w:autoSpaceDE/>
        <w:autoSpaceDN/>
        <w:spacing w:before="289" w:line="475" w:lineRule="auto"/>
        <w:ind w:left="38" w:right="86" w:rightChars="41"/>
        <w:rPr>
          <w:rFonts w:ascii="宋体" w:cs="宋体"/>
          <w:color w:val="auto"/>
          <w:highlight w:val="none"/>
        </w:rPr>
      </w:pPr>
      <w:r>
        <w:rPr>
          <w:rFonts w:hint="eastAsia" w:ascii="宋体" w:hAnsi="宋体" w:cs="宋体"/>
          <w:color w:val="auto"/>
          <w:highlight w:val="none"/>
        </w:rPr>
        <w:t>经营期限：</w:t>
      </w:r>
    </w:p>
    <w:p w14:paraId="58082F0C">
      <w:pPr>
        <w:kinsoku/>
        <w:topLinePunct/>
        <w:autoSpaceDE/>
        <w:autoSpaceDN/>
        <w:spacing w:before="1" w:line="220" w:lineRule="auto"/>
        <w:ind w:left="37" w:right="86" w:rightChars="41"/>
        <w:rPr>
          <w:rFonts w:asci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lang w:val="en-US" w:eastAsia="zh-CN"/>
        </w:rPr>
        <w:t xml:space="preserve">             </w:t>
      </w:r>
      <w:r>
        <w:rPr>
          <w:rFonts w:hint="eastAsia" w:ascii="宋体" w:hAnsi="宋体" w:cs="宋体"/>
          <w:color w:val="auto"/>
          <w:highlight w:val="none"/>
        </w:rPr>
        <w:t>；性别：</w:t>
      </w:r>
    </w:p>
    <w:p w14:paraId="261DD4A2">
      <w:pPr>
        <w:kinsoku/>
        <w:topLinePunct/>
        <w:autoSpaceDE/>
        <w:autoSpaceDN/>
        <w:spacing w:before="289" w:line="477" w:lineRule="auto"/>
        <w:ind w:left="40" w:right="86" w:rightChars="41" w:hanging="3"/>
        <w:rPr>
          <w:rFonts w:ascii="宋体" w:cs="宋体"/>
          <w:color w:val="auto"/>
          <w:highlight w:val="none"/>
        </w:rPr>
      </w:pPr>
      <w:r>
        <w:rPr>
          <w:rFonts w:hint="eastAsia" w:ascii="宋体" w:hAnsi="宋体" w:cs="宋体"/>
          <w:color w:val="auto"/>
          <w:highlight w:val="none"/>
        </w:rPr>
        <w:t>年龄：</w:t>
      </w:r>
      <w:r>
        <w:rPr>
          <w:rFonts w:hint="eastAsia" w:ascii="宋体" w:hAnsi="宋体" w:cs="宋体"/>
          <w:color w:val="auto"/>
          <w:highlight w:val="none"/>
          <w:lang w:val="en-US" w:eastAsia="zh-CN"/>
        </w:rPr>
        <w:t xml:space="preserve">             </w:t>
      </w:r>
      <w:r>
        <w:rPr>
          <w:rFonts w:hint="eastAsia" w:ascii="宋体" w:hAnsi="宋体" w:cs="宋体"/>
          <w:color w:val="auto"/>
          <w:highlight w:val="none"/>
        </w:rPr>
        <w:t>；职务：</w:t>
      </w:r>
      <w:r>
        <w:rPr>
          <w:rFonts w:hint="eastAsia" w:ascii="宋体" w:hAnsi="宋体" w:cs="宋体"/>
          <w:color w:val="auto"/>
          <w:highlight w:val="none"/>
          <w:lang w:val="en-US" w:eastAsia="zh-CN"/>
        </w:rPr>
        <w:t xml:space="preserve">         </w:t>
      </w:r>
      <w:r>
        <w:rPr>
          <w:rFonts w:hint="eastAsia" w:ascii="宋体" w:hAnsi="宋体" w:cs="宋体"/>
          <w:color w:val="auto"/>
          <w:highlight w:val="none"/>
        </w:rPr>
        <w:t>；身份证：</w:t>
      </w:r>
      <w:r>
        <w:rPr>
          <w:rFonts w:hint="eastAsia" w:ascii="宋体" w:hAnsi="宋体" w:cs="宋体"/>
          <w:color w:val="auto"/>
          <w:highlight w:val="none"/>
          <w:lang w:val="en-US" w:eastAsia="zh-CN"/>
        </w:rPr>
        <w:t xml:space="preserve">          </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的法定代表人。</w:t>
      </w:r>
    </w:p>
    <w:p w14:paraId="3CD64375">
      <w:pPr>
        <w:kinsoku/>
        <w:topLinePunct/>
        <w:autoSpaceDE/>
        <w:autoSpaceDN/>
        <w:spacing w:before="68" w:line="221" w:lineRule="auto"/>
        <w:ind w:left="457" w:right="86" w:rightChars="41"/>
        <w:rPr>
          <w:rFonts w:ascii="宋体" w:cs="宋体"/>
          <w:color w:val="auto"/>
          <w:highlight w:val="none"/>
        </w:rPr>
      </w:pPr>
      <w:r>
        <w:rPr>
          <w:rFonts w:hint="eastAsia" w:ascii="宋体" w:hAnsi="宋体" w:cs="宋体"/>
          <w:color w:val="auto"/>
          <w:highlight w:val="none"/>
        </w:rPr>
        <w:t>特此证明。</w:t>
      </w:r>
    </w:p>
    <w:p w14:paraId="7EFCDAF1">
      <w:pPr>
        <w:kinsoku/>
        <w:topLinePunct/>
        <w:autoSpaceDE/>
        <w:autoSpaceDN/>
        <w:spacing w:line="359" w:lineRule="auto"/>
        <w:ind w:right="86" w:rightChars="41"/>
        <w:rPr>
          <w:rFonts w:ascii="宋体" w:cs="宋体"/>
          <w:color w:val="auto"/>
          <w:highlight w:val="none"/>
        </w:rPr>
      </w:pPr>
    </w:p>
    <w:p w14:paraId="56CE4960">
      <w:pPr>
        <w:kinsoku/>
        <w:topLinePunct/>
        <w:autoSpaceDE/>
        <w:autoSpaceDN/>
        <w:spacing w:line="359" w:lineRule="auto"/>
        <w:ind w:right="86" w:rightChars="41"/>
        <w:rPr>
          <w:rFonts w:ascii="宋体" w:cs="宋体"/>
          <w:color w:val="auto"/>
          <w:highlight w:val="none"/>
        </w:rPr>
      </w:pPr>
    </w:p>
    <w:p w14:paraId="6A38E747">
      <w:pPr>
        <w:kinsoku/>
        <w:topLinePunct/>
        <w:autoSpaceDE/>
        <w:autoSpaceDN/>
        <w:spacing w:before="69" w:line="214" w:lineRule="auto"/>
        <w:ind w:left="486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00D77C58">
      <w:pPr>
        <w:kinsoku/>
        <w:topLinePunct/>
        <w:autoSpaceDE/>
        <w:autoSpaceDN/>
        <w:spacing w:line="458" w:lineRule="auto"/>
        <w:ind w:right="86" w:rightChars="41"/>
        <w:rPr>
          <w:rFonts w:ascii="宋体" w:cs="宋体"/>
          <w:color w:val="auto"/>
          <w:highlight w:val="none"/>
        </w:rPr>
      </w:pPr>
    </w:p>
    <w:p w14:paraId="4EAA7E78">
      <w:pPr>
        <w:kinsoku/>
        <w:topLinePunct/>
        <w:autoSpaceDE/>
        <w:autoSpaceDN/>
        <w:spacing w:before="68" w:line="221" w:lineRule="auto"/>
        <w:ind w:right="86" w:rightChars="41"/>
        <w:jc w:val="right"/>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32834A27">
      <w:pPr>
        <w:kinsoku/>
        <w:topLinePunct/>
        <w:autoSpaceDE/>
        <w:autoSpaceDN/>
        <w:spacing w:line="448" w:lineRule="auto"/>
        <w:ind w:right="86" w:rightChars="41"/>
        <w:rPr>
          <w:rFonts w:ascii="宋体" w:cs="宋体"/>
          <w:color w:val="auto"/>
          <w:highlight w:val="none"/>
        </w:rPr>
      </w:pPr>
    </w:p>
    <w:p w14:paraId="525AE994">
      <w:pPr>
        <w:kinsoku/>
        <w:topLinePunct/>
        <w:autoSpaceDE/>
        <w:autoSpaceDN/>
        <w:spacing w:before="69" w:line="219" w:lineRule="auto"/>
        <w:ind w:left="53" w:right="86" w:rightChars="41"/>
        <w:rPr>
          <w:rFonts w:ascii="宋体" w:cs="宋体"/>
          <w:color w:val="auto"/>
          <w:highlight w:val="none"/>
        </w:rPr>
      </w:pPr>
      <w:r>
        <w:rPr>
          <w:rFonts w:hint="eastAsia" w:ascii="宋体" w:hAnsi="宋体" w:cs="宋体"/>
          <w:color w:val="auto"/>
          <w:highlight w:val="none"/>
        </w:rPr>
        <w:t>附件：法定代表人身份证复印件</w:t>
      </w:r>
    </w:p>
    <w:p w14:paraId="37701D4E">
      <w:pPr>
        <w:kinsoku/>
        <w:topLinePunct/>
        <w:autoSpaceDE/>
        <w:autoSpaceDN/>
        <w:ind w:right="86" w:rightChars="41"/>
        <w:rPr>
          <w:rFonts w:ascii="宋体" w:cs="宋体"/>
          <w:color w:val="auto"/>
          <w:highlight w:val="none"/>
        </w:rPr>
        <w:sectPr>
          <w:footerReference r:id="rId21"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3AFBEF4E">
      <w:pPr>
        <w:kinsoku/>
        <w:topLinePunct/>
        <w:autoSpaceDE/>
        <w:autoSpaceDN/>
        <w:spacing w:before="68" w:line="219" w:lineRule="auto"/>
        <w:ind w:left="42" w:right="86" w:rightChars="41"/>
        <w:rPr>
          <w:rFonts w:ascii="宋体" w:cs="宋体"/>
          <w:color w:val="auto"/>
          <w:highlight w:val="none"/>
        </w:rPr>
      </w:pPr>
      <w:r>
        <w:rPr>
          <w:rFonts w:hint="eastAsia" w:ascii="宋体" w:hAnsi="宋体" w:cs="宋体"/>
          <w:color w:val="auto"/>
          <w:highlight w:val="none"/>
        </w:rPr>
        <w:t>授权委托书</w:t>
      </w:r>
      <w:r>
        <w:rPr>
          <w:rFonts w:ascii="宋体" w:hAnsi="宋体" w:cs="宋体"/>
          <w:color w:val="auto"/>
          <w:highlight w:val="none"/>
        </w:rPr>
        <w:t>(</w:t>
      </w:r>
      <w:r>
        <w:rPr>
          <w:rFonts w:hint="eastAsia" w:ascii="宋体" w:hAnsi="宋体" w:cs="宋体"/>
          <w:color w:val="auto"/>
          <w:highlight w:val="none"/>
        </w:rPr>
        <w:t>有授权代表时提供</w:t>
      </w:r>
      <w:r>
        <w:rPr>
          <w:rFonts w:ascii="宋体" w:hAnsi="宋体" w:cs="宋体"/>
          <w:color w:val="auto"/>
          <w:highlight w:val="none"/>
        </w:rPr>
        <w:t>)</w:t>
      </w:r>
      <w:r>
        <w:rPr>
          <w:rFonts w:hint="eastAsia" w:ascii="宋体" w:hAnsi="宋体" w:cs="宋体"/>
          <w:color w:val="auto"/>
          <w:highlight w:val="none"/>
        </w:rPr>
        <w:t>：</w:t>
      </w:r>
    </w:p>
    <w:p w14:paraId="04DB9684">
      <w:pPr>
        <w:kinsoku/>
        <w:topLinePunct/>
        <w:autoSpaceDE/>
        <w:autoSpaceDN/>
        <w:spacing w:line="351" w:lineRule="auto"/>
        <w:ind w:right="86" w:rightChars="41"/>
        <w:rPr>
          <w:rFonts w:ascii="宋体" w:cs="宋体"/>
          <w:color w:val="auto"/>
          <w:highlight w:val="none"/>
        </w:rPr>
      </w:pPr>
    </w:p>
    <w:p w14:paraId="5D0AF302">
      <w:pPr>
        <w:kinsoku/>
        <w:topLinePunct/>
        <w:autoSpaceDE/>
        <w:autoSpaceDN/>
        <w:spacing w:line="351" w:lineRule="auto"/>
        <w:ind w:right="86" w:rightChars="41"/>
        <w:rPr>
          <w:rFonts w:ascii="宋体" w:cs="宋体"/>
          <w:color w:val="auto"/>
          <w:highlight w:val="none"/>
        </w:rPr>
      </w:pPr>
    </w:p>
    <w:p w14:paraId="76CFF1B1">
      <w:pPr>
        <w:kinsoku/>
        <w:topLinePunct/>
        <w:autoSpaceDE/>
        <w:autoSpaceDN/>
        <w:spacing w:before="69" w:line="217" w:lineRule="auto"/>
        <w:ind w:left="3662" w:right="86" w:rightChars="41"/>
        <w:rPr>
          <w:rFonts w:ascii="宋体" w:cs="宋体"/>
          <w:color w:val="auto"/>
          <w:highlight w:val="none"/>
        </w:rPr>
      </w:pPr>
      <w:r>
        <w:rPr>
          <w:rFonts w:hint="eastAsia" w:ascii="宋体" w:hAnsi="宋体" w:cs="宋体"/>
          <w:color w:val="auto"/>
          <w:highlight w:val="none"/>
        </w:rPr>
        <w:t>法定代表人授权委托书</w:t>
      </w:r>
    </w:p>
    <w:p w14:paraId="1658F14F">
      <w:pPr>
        <w:kinsoku/>
        <w:topLinePunct/>
        <w:autoSpaceDE/>
        <w:autoSpaceDN/>
        <w:spacing w:line="360" w:lineRule="auto"/>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广西千豪建设项目管理有限公司</w:t>
      </w:r>
      <w:r>
        <w:rPr>
          <w:rFonts w:hint="eastAsia" w:ascii="宋体" w:hAnsi="宋体" w:cs="宋体"/>
          <w:color w:val="auto"/>
          <w:highlight w:val="none"/>
        </w:rPr>
        <w:t>：</w:t>
      </w:r>
    </w:p>
    <w:p w14:paraId="1C452B58">
      <w:pPr>
        <w:tabs>
          <w:tab w:val="left" w:pos="148"/>
        </w:tabs>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w:t>
      </w:r>
      <w:r>
        <w:rPr>
          <w:rFonts w:hint="eastAsia" w:ascii="宋体" w:hAnsi="宋体" w:cs="宋体"/>
          <w:color w:val="auto"/>
          <w:highlight w:val="none"/>
          <w:u w:val="single"/>
        </w:rPr>
        <w:t>法定代表人姓名</w:t>
      </w:r>
      <w:r>
        <w:rPr>
          <w:rFonts w:ascii="宋体" w:hAnsi="宋体" w:cs="宋体"/>
          <w:color w:val="auto"/>
          <w:highlight w:val="none"/>
          <w:u w:val="single"/>
        </w:rPr>
        <w:t>)</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ascii="宋体" w:hAnsi="宋体" w:cs="宋体"/>
          <w:color w:val="auto"/>
          <w:highlight w:val="none"/>
        </w:rPr>
        <w:t>_</w:t>
      </w:r>
      <w:r>
        <w:rPr>
          <w:rFonts w:hint="eastAsia" w:ascii="宋体" w:hAnsi="宋体" w:cs="宋体"/>
          <w:color w:val="auto"/>
          <w:highlight w:val="none"/>
        </w:rPr>
        <w:t>的法定代表人，现授权委托本单位在职职工</w:t>
      </w:r>
      <w:r>
        <w:rPr>
          <w:rFonts w:ascii="宋体" w:hAnsi="宋体" w:cs="宋体"/>
          <w:color w:val="auto"/>
          <w:highlight w:val="none"/>
          <w:u w:val="single"/>
        </w:rPr>
        <w:t>(</w:t>
      </w:r>
      <w:r>
        <w:rPr>
          <w:rFonts w:hint="eastAsia" w:ascii="宋体" w:hAnsi="宋体" w:cs="宋体"/>
          <w:color w:val="auto"/>
          <w:highlight w:val="none"/>
          <w:u w:val="single"/>
        </w:rPr>
        <w:t>姓名</w:t>
      </w:r>
      <w:r>
        <w:rPr>
          <w:rFonts w:ascii="宋体" w:hAnsi="宋体" w:cs="宋体"/>
          <w:color w:val="auto"/>
          <w:highlight w:val="none"/>
          <w:u w:val="single"/>
        </w:rPr>
        <w:t>)</w:t>
      </w:r>
      <w:r>
        <w:rPr>
          <w:rFonts w:hint="eastAsia" w:ascii="宋体" w:hAnsi="宋体" w:cs="宋体"/>
          <w:color w:val="auto"/>
          <w:highlight w:val="none"/>
        </w:rPr>
        <w:t>以我方的名义参加</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项目的响应活动，并代表我方全权办理针对上述项目的响应、截标、评审、签约等具体事务和签署相关文件。</w:t>
      </w:r>
    </w:p>
    <w:p w14:paraId="75C705D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我方对被授权人的签名事项负全部责任。</w:t>
      </w:r>
    </w:p>
    <w:p w14:paraId="36715A0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在撤销授权的书面通知以前，本授权书一直有效。被授权人在授权书有效期内签署的所有文件不因授权的撤销而失效。</w:t>
      </w:r>
    </w:p>
    <w:p w14:paraId="10A35BD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被授权人无转委托权，特此委托。</w:t>
      </w:r>
    </w:p>
    <w:p w14:paraId="03668D0B">
      <w:pPr>
        <w:kinsoku/>
        <w:topLinePunct/>
        <w:autoSpaceDE/>
        <w:autoSpaceDN/>
        <w:ind w:right="86" w:rightChars="41"/>
        <w:rPr>
          <w:rFonts w:ascii="宋体" w:cs="宋体"/>
          <w:color w:val="auto"/>
          <w:highlight w:val="none"/>
        </w:rPr>
      </w:pPr>
    </w:p>
    <w:p w14:paraId="47691E08">
      <w:pPr>
        <w:kinsoku/>
        <w:topLinePunct/>
        <w:autoSpaceDE/>
        <w:autoSpaceDN/>
        <w:spacing w:line="31" w:lineRule="exact"/>
        <w:ind w:right="86" w:rightChars="41"/>
        <w:rPr>
          <w:rFonts w:ascii="宋体" w:cs="宋体"/>
          <w:color w:val="auto"/>
          <w:highlight w:val="none"/>
        </w:rPr>
      </w:pPr>
    </w:p>
    <w:p w14:paraId="5657577F">
      <w:pPr>
        <w:kinsoku/>
        <w:topLinePunct/>
        <w:autoSpaceDE/>
        <w:autoSpaceDN/>
        <w:ind w:right="86" w:rightChars="41"/>
        <w:rPr>
          <w:rFonts w:ascii="宋体" w:cs="宋体"/>
          <w:color w:val="auto"/>
          <w:highlight w:val="none"/>
        </w:rPr>
        <w:sectPr>
          <w:footerReference r:id="rId22"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63"/>
          </w:cols>
        </w:sectPr>
      </w:pPr>
    </w:p>
    <w:p w14:paraId="37C0FCEC">
      <w:pPr>
        <w:kinsoku/>
        <w:topLinePunct/>
        <w:autoSpaceDE/>
        <w:autoSpaceDN/>
        <w:spacing w:before="42" w:line="220" w:lineRule="auto"/>
        <w:ind w:left="37" w:right="86" w:rightChars="41" w:firstLine="420" w:firstLineChars="200"/>
        <w:rPr>
          <w:rFonts w:ascii="宋体" w:cs="宋体"/>
          <w:color w:val="auto"/>
          <w:highlight w:val="none"/>
          <w:u w:val="single"/>
        </w:rPr>
      </w:pPr>
      <w:r>
        <w:rPr>
          <w:rFonts w:hint="eastAsia" w:ascii="宋体" w:hAnsi="宋体" w:cs="宋体"/>
          <w:color w:val="auto"/>
          <w:highlight w:val="none"/>
        </w:rPr>
        <w:t>被授权人签字：</w:t>
      </w:r>
    </w:p>
    <w:p w14:paraId="1BC1FEA3">
      <w:pPr>
        <w:kinsoku/>
        <w:topLinePunct/>
        <w:autoSpaceDE/>
        <w:autoSpaceDN/>
        <w:spacing w:before="309" w:line="492" w:lineRule="auto"/>
        <w:ind w:left="37" w:right="86" w:rightChars="41" w:firstLine="420" w:firstLineChars="200"/>
        <w:rPr>
          <w:rFonts w:ascii="宋体" w:cs="宋体"/>
          <w:color w:val="auto"/>
          <w:highlight w:val="none"/>
        </w:rPr>
      </w:pPr>
      <w:r>
        <w:rPr>
          <w:rFonts w:hint="eastAsia" w:ascii="宋体" w:hAnsi="宋体" w:cs="宋体"/>
          <w:color w:val="auto"/>
          <w:highlight w:val="none"/>
        </w:rPr>
        <w:t>职务：</w:t>
      </w:r>
    </w:p>
    <w:p w14:paraId="1B86E3E0">
      <w:pPr>
        <w:kinsoku/>
        <w:topLinePunct/>
        <w:autoSpaceDE/>
        <w:autoSpaceDN/>
        <w:spacing w:line="220" w:lineRule="auto"/>
        <w:ind w:left="37" w:right="86" w:rightChars="41" w:firstLine="420" w:firstLineChars="200"/>
        <w:rPr>
          <w:rFonts w:ascii="宋体" w:cs="宋体"/>
          <w:color w:val="auto"/>
          <w:highlight w:val="none"/>
        </w:rPr>
      </w:pPr>
      <w:r>
        <w:rPr>
          <w:rFonts w:hint="eastAsia" w:ascii="宋体" w:hAnsi="宋体" w:cs="宋体"/>
          <w:color w:val="auto"/>
          <w:highlight w:val="none"/>
        </w:rPr>
        <w:t>被授权人身份证号码：</w:t>
      </w:r>
    </w:p>
    <w:p w14:paraId="554DFF93">
      <w:pPr>
        <w:kinsoku/>
        <w:topLinePunct/>
        <w:autoSpaceDE/>
        <w:autoSpaceDN/>
        <w:ind w:right="86" w:rightChars="41"/>
        <w:rPr>
          <w:rFonts w:ascii="宋体" w:cs="宋体"/>
          <w:color w:val="auto"/>
          <w:highlight w:val="none"/>
        </w:rPr>
      </w:pPr>
    </w:p>
    <w:p w14:paraId="5E31D4F8">
      <w:pPr>
        <w:kinsoku/>
        <w:topLinePunct/>
        <w:autoSpaceDE/>
        <w:autoSpaceDN/>
        <w:spacing w:before="69" w:line="221" w:lineRule="auto"/>
        <w:ind w:left="37" w:right="86" w:rightChars="41" w:firstLine="420" w:firstLineChars="200"/>
        <w:rPr>
          <w:rFonts w:ascii="宋体" w:cs="宋体"/>
          <w:color w:val="auto"/>
          <w:highlight w:val="none"/>
        </w:rPr>
      </w:pPr>
      <w:r>
        <w:rPr>
          <w:rFonts w:hint="eastAsia" w:ascii="宋体" w:hAnsi="宋体" w:cs="宋体"/>
          <w:color w:val="auto"/>
          <w:highlight w:val="none"/>
        </w:rPr>
        <w:t>被授权人邮箱：</w:t>
      </w:r>
    </w:p>
    <w:p w14:paraId="707813EE">
      <w:pPr>
        <w:kinsoku/>
        <w:topLinePunct/>
        <w:autoSpaceDE/>
        <w:autoSpaceDN/>
        <w:spacing w:line="14" w:lineRule="auto"/>
        <w:ind w:right="86" w:rightChars="41"/>
        <w:rPr>
          <w:rFonts w:ascii="宋体" w:cs="宋体"/>
          <w:color w:val="auto"/>
          <w:sz w:val="2"/>
          <w:highlight w:val="none"/>
        </w:rPr>
      </w:pPr>
      <w:r>
        <w:rPr>
          <w:rFonts w:ascii="宋体" w:cs="宋体"/>
          <w:color w:val="auto"/>
          <w:sz w:val="2"/>
          <w:szCs w:val="2"/>
          <w:highlight w:val="none"/>
        </w:rPr>
        <w:br w:type="column"/>
      </w:r>
    </w:p>
    <w:p w14:paraId="12D5FE88">
      <w:pPr>
        <w:kinsoku/>
        <w:topLinePunct/>
        <w:autoSpaceDE/>
        <w:autoSpaceDN/>
        <w:spacing w:before="40" w:line="492" w:lineRule="auto"/>
        <w:ind w:left="104" w:right="86" w:rightChars="41" w:firstLine="210" w:firstLineChars="100"/>
        <w:rPr>
          <w:rFonts w:ascii="宋体" w:cs="宋体"/>
          <w:color w:val="auto"/>
          <w:highlight w:val="none"/>
        </w:rPr>
      </w:pPr>
      <w:r>
        <w:rPr>
          <w:rFonts w:hint="eastAsia" w:ascii="宋体" w:hAnsi="宋体" w:cs="宋体"/>
          <w:color w:val="auto"/>
          <w:highlight w:val="none"/>
        </w:rPr>
        <w:t>法定代表人签字：</w:t>
      </w:r>
    </w:p>
    <w:p w14:paraId="2D9A3EA3">
      <w:pPr>
        <w:kinsoku/>
        <w:topLinePunct/>
        <w:autoSpaceDE/>
        <w:autoSpaceDN/>
        <w:spacing w:before="40" w:line="492" w:lineRule="auto"/>
        <w:ind w:left="104" w:right="86" w:rightChars="41" w:firstLine="210" w:firstLineChars="100"/>
        <w:rPr>
          <w:rFonts w:ascii="宋体" w:cs="宋体"/>
          <w:color w:val="auto"/>
          <w:highlight w:val="none"/>
        </w:rPr>
      </w:pPr>
      <w:r>
        <w:rPr>
          <w:rFonts w:hint="eastAsia" w:ascii="宋体" w:hAnsi="宋体" w:cs="宋体"/>
          <w:color w:val="auto"/>
          <w:highlight w:val="none"/>
        </w:rPr>
        <w:t>职务：</w:t>
      </w:r>
    </w:p>
    <w:p w14:paraId="752AEF66">
      <w:pPr>
        <w:kinsoku/>
        <w:topLinePunct/>
        <w:autoSpaceDE/>
        <w:autoSpaceDN/>
        <w:spacing w:before="1" w:line="220" w:lineRule="auto"/>
        <w:ind w:left="102" w:right="86" w:rightChars="41" w:firstLine="210" w:firstLineChars="100"/>
        <w:rPr>
          <w:rFonts w:ascii="宋体" w:cs="宋体"/>
          <w:color w:val="auto"/>
          <w:highlight w:val="none"/>
        </w:rPr>
      </w:pPr>
      <w:r>
        <w:rPr>
          <w:rFonts w:hint="eastAsia" w:ascii="宋体" w:hAnsi="宋体" w:cs="宋体"/>
          <w:color w:val="auto"/>
          <w:highlight w:val="none"/>
        </w:rPr>
        <w:t>授权人身份证号码：</w:t>
      </w:r>
    </w:p>
    <w:p w14:paraId="4524FE59">
      <w:pPr>
        <w:kinsoku/>
        <w:topLinePunct/>
        <w:autoSpaceDE/>
        <w:autoSpaceDN/>
        <w:spacing w:line="265" w:lineRule="auto"/>
        <w:ind w:right="86" w:rightChars="41"/>
        <w:rPr>
          <w:rFonts w:ascii="宋体" w:cs="宋体"/>
          <w:color w:val="auto"/>
          <w:highlight w:val="none"/>
        </w:rPr>
      </w:pPr>
    </w:p>
    <w:p w14:paraId="5B331943">
      <w:pPr>
        <w:kinsoku/>
        <w:topLinePunct/>
        <w:autoSpaceDE/>
        <w:autoSpaceDN/>
        <w:spacing w:line="265" w:lineRule="auto"/>
        <w:ind w:right="86" w:rightChars="41"/>
        <w:rPr>
          <w:rFonts w:ascii="宋体" w:cs="宋体"/>
          <w:color w:val="auto"/>
          <w:highlight w:val="none"/>
        </w:rPr>
      </w:pPr>
    </w:p>
    <w:p w14:paraId="21DAC5B7">
      <w:pPr>
        <w:kinsoku/>
        <w:topLinePunct/>
        <w:autoSpaceDE/>
        <w:autoSpaceDN/>
        <w:spacing w:line="266" w:lineRule="auto"/>
        <w:ind w:right="86" w:rightChars="41"/>
        <w:rPr>
          <w:rFonts w:ascii="宋体" w:cs="宋体"/>
          <w:color w:val="auto"/>
          <w:highlight w:val="none"/>
        </w:rPr>
      </w:pPr>
    </w:p>
    <w:p w14:paraId="5424FE86">
      <w:pPr>
        <w:kinsoku/>
        <w:topLinePunct/>
        <w:autoSpaceDE/>
        <w:autoSpaceDN/>
        <w:spacing w:before="68" w:line="492" w:lineRule="auto"/>
        <w:ind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225D4288">
      <w:pPr>
        <w:kinsoku/>
        <w:topLinePunct/>
        <w:autoSpaceDE/>
        <w:autoSpaceDN/>
        <w:spacing w:before="1" w:line="360" w:lineRule="auto"/>
        <w:ind w:left="794" w:right="86" w:rightChars="41"/>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1D243383">
      <w:pPr>
        <w:kinsoku/>
        <w:topLinePunct/>
        <w:autoSpaceDE/>
        <w:autoSpaceDN/>
        <w:ind w:right="86" w:rightChars="41"/>
        <w:rPr>
          <w:rFonts w:ascii="宋体" w:cs="宋体"/>
          <w:color w:val="auto"/>
          <w:highlight w:val="none"/>
        </w:rPr>
        <w:sectPr>
          <w:type w:val="continuous"/>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2">
            <w:col w:w="5500" w:space="100"/>
            <w:col w:w="4148"/>
          </w:cols>
        </w:sectPr>
      </w:pPr>
    </w:p>
    <w:p w14:paraId="08B13ADF">
      <w:pPr>
        <w:kinsoku/>
        <w:topLinePunct/>
        <w:autoSpaceDE/>
        <w:autoSpaceDN/>
        <w:spacing w:line="263" w:lineRule="auto"/>
        <w:ind w:right="86" w:rightChars="41"/>
        <w:rPr>
          <w:rFonts w:ascii="宋体" w:cs="宋体"/>
          <w:color w:val="auto"/>
          <w:highlight w:val="none"/>
        </w:rPr>
      </w:pPr>
    </w:p>
    <w:p w14:paraId="51AA06AC">
      <w:pPr>
        <w:kinsoku/>
        <w:topLinePunct/>
        <w:autoSpaceDE/>
        <w:autoSpaceDN/>
        <w:spacing w:line="263" w:lineRule="auto"/>
        <w:ind w:right="86" w:rightChars="41"/>
        <w:rPr>
          <w:rFonts w:ascii="宋体" w:cs="宋体"/>
          <w:color w:val="auto"/>
          <w:highlight w:val="none"/>
        </w:rPr>
      </w:pPr>
    </w:p>
    <w:p w14:paraId="6C0B1608">
      <w:pPr>
        <w:kinsoku/>
        <w:topLinePunct/>
        <w:autoSpaceDE/>
        <w:autoSpaceDN/>
        <w:spacing w:line="264" w:lineRule="auto"/>
        <w:ind w:right="86" w:rightChars="41"/>
        <w:rPr>
          <w:rFonts w:ascii="宋体" w:cs="宋体"/>
          <w:color w:val="auto"/>
          <w:highlight w:val="none"/>
        </w:rPr>
      </w:pPr>
    </w:p>
    <w:p w14:paraId="7CB668B0">
      <w:pPr>
        <w:kinsoku/>
        <w:topLinePunct/>
        <w:autoSpaceDE/>
        <w:autoSpaceDN/>
        <w:spacing w:before="69" w:line="186" w:lineRule="auto"/>
        <w:ind w:left="53" w:right="86" w:rightChars="41" w:firstLine="420" w:firstLineChars="200"/>
        <w:rPr>
          <w:rFonts w:ascii="宋体" w:cs="宋体"/>
          <w:color w:val="auto"/>
          <w:highlight w:val="none"/>
        </w:rPr>
      </w:pPr>
      <w:r>
        <w:rPr>
          <w:rFonts w:hint="eastAsia" w:ascii="宋体" w:hAnsi="宋体" w:cs="宋体"/>
          <w:color w:val="auto"/>
          <w:highlight w:val="none"/>
        </w:rPr>
        <w:t>附件：法定代表人身份证复印件及授权代表身份证复印件</w:t>
      </w:r>
    </w:p>
    <w:p w14:paraId="2E41CFDC">
      <w:pPr>
        <w:kinsoku/>
        <w:topLinePunct/>
        <w:autoSpaceDE/>
        <w:autoSpaceDN/>
        <w:ind w:right="86" w:rightChars="41"/>
        <w:rPr>
          <w:rFonts w:ascii="宋体" w:cs="宋体"/>
          <w:color w:val="auto"/>
          <w:highlight w:val="none"/>
        </w:rPr>
        <w:sectPr>
          <w:type w:val="continuous"/>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63"/>
          </w:cols>
        </w:sectPr>
      </w:pPr>
    </w:p>
    <w:p w14:paraId="1B56CAA2">
      <w:pPr>
        <w:kinsoku/>
        <w:topLinePunct/>
        <w:autoSpaceDE/>
        <w:autoSpaceDN/>
        <w:spacing w:before="68" w:line="239" w:lineRule="auto"/>
        <w:ind w:left="53" w:right="86" w:rightChars="41"/>
        <w:rPr>
          <w:rFonts w:asci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w:t>
      </w:r>
      <w:r>
        <w:rPr>
          <w:rFonts w:hint="eastAsia" w:ascii="宋体" w:hAnsi="宋体" w:cs="宋体"/>
          <w:color w:val="auto"/>
          <w:highlight w:val="none"/>
        </w:rPr>
        <w:t>对本项目第二章《采购需求》“商务要求”的响应表：</w:t>
      </w:r>
    </w:p>
    <w:p w14:paraId="27544727">
      <w:pPr>
        <w:kinsoku/>
        <w:topLinePunct/>
        <w:autoSpaceDE/>
        <w:autoSpaceDN/>
        <w:spacing w:line="115" w:lineRule="exact"/>
        <w:ind w:right="86" w:rightChars="41"/>
        <w:rPr>
          <w:rFonts w:ascii="宋体" w:cs="宋体"/>
          <w:color w:val="auto"/>
          <w:highlight w:val="none"/>
        </w:rPr>
      </w:pPr>
    </w:p>
    <w:tbl>
      <w:tblPr>
        <w:tblStyle w:val="14"/>
        <w:tblW w:w="8833"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111"/>
        <w:gridCol w:w="4887"/>
        <w:gridCol w:w="1087"/>
      </w:tblGrid>
      <w:tr w14:paraId="79EC5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48" w:type="dxa"/>
            <w:vAlign w:val="center"/>
          </w:tcPr>
          <w:p w14:paraId="3D2939A0">
            <w:pPr>
              <w:kinsoku/>
              <w:topLinePunct/>
              <w:autoSpaceDE/>
              <w:autoSpaceDN/>
              <w:spacing w:line="218" w:lineRule="auto"/>
              <w:ind w:left="167"/>
              <w:jc w:val="center"/>
              <w:rPr>
                <w:rFonts w:ascii="宋体" w:cs="宋体"/>
                <w:color w:val="auto"/>
                <w:highlight w:val="none"/>
              </w:rPr>
            </w:pPr>
            <w:r>
              <w:rPr>
                <w:rFonts w:hint="eastAsia" w:ascii="宋体" w:hAnsi="宋体" w:cs="宋体"/>
                <w:color w:val="auto"/>
                <w:highlight w:val="none"/>
              </w:rPr>
              <w:t>序号</w:t>
            </w:r>
          </w:p>
        </w:tc>
        <w:tc>
          <w:tcPr>
            <w:tcW w:w="2111" w:type="dxa"/>
            <w:vAlign w:val="center"/>
          </w:tcPr>
          <w:p w14:paraId="79A89348">
            <w:pPr>
              <w:kinsoku/>
              <w:topLinePunct/>
              <w:autoSpaceDE/>
              <w:autoSpaceDN/>
              <w:spacing w:line="218" w:lineRule="auto"/>
              <w:ind w:left="114"/>
              <w:jc w:val="center"/>
              <w:rPr>
                <w:rFonts w:ascii="宋体" w:cs="宋体"/>
                <w:color w:val="auto"/>
                <w:highlight w:val="none"/>
              </w:rPr>
            </w:pPr>
            <w:r>
              <w:rPr>
                <w:rFonts w:hint="eastAsia" w:ascii="宋体" w:hAnsi="宋体" w:cs="宋体"/>
                <w:color w:val="auto"/>
                <w:highlight w:val="none"/>
              </w:rPr>
              <w:t>征集文件的商务要求</w:t>
            </w:r>
          </w:p>
        </w:tc>
        <w:tc>
          <w:tcPr>
            <w:tcW w:w="4887" w:type="dxa"/>
            <w:vAlign w:val="center"/>
          </w:tcPr>
          <w:p w14:paraId="383212B0">
            <w:pPr>
              <w:kinsoku/>
              <w:topLinePunct/>
              <w:autoSpaceDE/>
              <w:autoSpaceDN/>
              <w:spacing w:line="218" w:lineRule="auto"/>
              <w:ind w:left="671"/>
              <w:jc w:val="center"/>
              <w:rPr>
                <w:rFonts w:ascii="宋体" w:cs="宋体"/>
                <w:color w:val="auto"/>
                <w:highlight w:val="none"/>
              </w:rPr>
            </w:pPr>
            <w:r>
              <w:rPr>
                <w:rFonts w:hint="eastAsia" w:ascii="宋体" w:hAnsi="宋体" w:cs="宋体"/>
                <w:color w:val="auto"/>
                <w:highlight w:val="none"/>
              </w:rPr>
              <w:t>响应文件响应内容</w:t>
            </w:r>
          </w:p>
        </w:tc>
        <w:tc>
          <w:tcPr>
            <w:tcW w:w="1087" w:type="dxa"/>
            <w:vAlign w:val="center"/>
          </w:tcPr>
          <w:p w14:paraId="68682223">
            <w:pPr>
              <w:kinsoku/>
              <w:topLinePunct/>
              <w:autoSpaceDE/>
              <w:autoSpaceDN/>
              <w:spacing w:line="218" w:lineRule="auto"/>
              <w:ind w:left="128"/>
              <w:jc w:val="center"/>
              <w:rPr>
                <w:rFonts w:ascii="宋体" w:cs="宋体"/>
                <w:color w:val="auto"/>
                <w:highlight w:val="none"/>
              </w:rPr>
            </w:pPr>
            <w:r>
              <w:rPr>
                <w:rFonts w:hint="eastAsia" w:ascii="宋体" w:hAnsi="宋体" w:cs="宋体"/>
                <w:color w:val="auto"/>
                <w:highlight w:val="none"/>
              </w:rPr>
              <w:t>偏离说明</w:t>
            </w:r>
          </w:p>
        </w:tc>
      </w:tr>
      <w:tr w14:paraId="4596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48" w:type="dxa"/>
            <w:vAlign w:val="center"/>
          </w:tcPr>
          <w:p w14:paraId="218C00CD">
            <w:pPr>
              <w:kinsoku/>
              <w:topLinePunct/>
              <w:autoSpaceDE/>
              <w:autoSpaceDN/>
              <w:jc w:val="center"/>
              <w:rPr>
                <w:rFonts w:ascii="宋体" w:cs="宋体"/>
                <w:color w:val="auto"/>
                <w:highlight w:val="none"/>
              </w:rPr>
            </w:pPr>
          </w:p>
        </w:tc>
        <w:tc>
          <w:tcPr>
            <w:tcW w:w="2111" w:type="dxa"/>
            <w:vAlign w:val="center"/>
          </w:tcPr>
          <w:p w14:paraId="59F6B774">
            <w:pPr>
              <w:kinsoku/>
              <w:topLinePunct/>
              <w:autoSpaceDE/>
              <w:autoSpaceDN/>
              <w:jc w:val="center"/>
              <w:rPr>
                <w:rFonts w:ascii="宋体" w:cs="宋体"/>
                <w:color w:val="auto"/>
                <w:highlight w:val="none"/>
              </w:rPr>
            </w:pPr>
          </w:p>
        </w:tc>
        <w:tc>
          <w:tcPr>
            <w:tcW w:w="4887" w:type="dxa"/>
            <w:vAlign w:val="center"/>
          </w:tcPr>
          <w:p w14:paraId="369E8496">
            <w:pPr>
              <w:kinsoku/>
              <w:topLinePunct/>
              <w:autoSpaceDE/>
              <w:autoSpaceDN/>
              <w:jc w:val="center"/>
              <w:rPr>
                <w:rFonts w:ascii="宋体" w:cs="宋体"/>
                <w:color w:val="auto"/>
                <w:highlight w:val="none"/>
              </w:rPr>
            </w:pPr>
          </w:p>
        </w:tc>
        <w:tc>
          <w:tcPr>
            <w:tcW w:w="1087" w:type="dxa"/>
            <w:vAlign w:val="center"/>
          </w:tcPr>
          <w:p w14:paraId="50049D22">
            <w:pPr>
              <w:kinsoku/>
              <w:topLinePunct/>
              <w:autoSpaceDE/>
              <w:autoSpaceDN/>
              <w:jc w:val="center"/>
              <w:rPr>
                <w:rFonts w:ascii="宋体" w:cs="宋体"/>
                <w:color w:val="auto"/>
                <w:highlight w:val="none"/>
              </w:rPr>
            </w:pPr>
          </w:p>
        </w:tc>
      </w:tr>
      <w:tr w14:paraId="0A88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48" w:type="dxa"/>
            <w:vAlign w:val="center"/>
          </w:tcPr>
          <w:p w14:paraId="0B90B3C0">
            <w:pPr>
              <w:kinsoku/>
              <w:topLinePunct/>
              <w:autoSpaceDE/>
              <w:autoSpaceDN/>
              <w:jc w:val="center"/>
              <w:rPr>
                <w:rFonts w:ascii="宋体" w:cs="宋体"/>
                <w:color w:val="auto"/>
                <w:highlight w:val="none"/>
              </w:rPr>
            </w:pPr>
          </w:p>
        </w:tc>
        <w:tc>
          <w:tcPr>
            <w:tcW w:w="2111" w:type="dxa"/>
            <w:vAlign w:val="center"/>
          </w:tcPr>
          <w:p w14:paraId="274D0BDB">
            <w:pPr>
              <w:kinsoku/>
              <w:topLinePunct/>
              <w:autoSpaceDE/>
              <w:autoSpaceDN/>
              <w:jc w:val="center"/>
              <w:rPr>
                <w:rFonts w:ascii="宋体" w:cs="宋体"/>
                <w:color w:val="auto"/>
                <w:highlight w:val="none"/>
              </w:rPr>
            </w:pPr>
          </w:p>
        </w:tc>
        <w:tc>
          <w:tcPr>
            <w:tcW w:w="4887" w:type="dxa"/>
            <w:vAlign w:val="center"/>
          </w:tcPr>
          <w:p w14:paraId="6D7E560E">
            <w:pPr>
              <w:kinsoku/>
              <w:topLinePunct/>
              <w:autoSpaceDE/>
              <w:autoSpaceDN/>
              <w:jc w:val="center"/>
              <w:rPr>
                <w:rFonts w:ascii="宋体" w:cs="宋体"/>
                <w:color w:val="auto"/>
                <w:highlight w:val="none"/>
              </w:rPr>
            </w:pPr>
          </w:p>
        </w:tc>
        <w:tc>
          <w:tcPr>
            <w:tcW w:w="1087" w:type="dxa"/>
            <w:vAlign w:val="center"/>
          </w:tcPr>
          <w:p w14:paraId="5561C1A2">
            <w:pPr>
              <w:kinsoku/>
              <w:topLinePunct/>
              <w:autoSpaceDE/>
              <w:autoSpaceDN/>
              <w:jc w:val="center"/>
              <w:rPr>
                <w:rFonts w:ascii="宋体" w:cs="宋体"/>
                <w:color w:val="auto"/>
                <w:highlight w:val="none"/>
              </w:rPr>
            </w:pPr>
          </w:p>
        </w:tc>
      </w:tr>
      <w:tr w14:paraId="7A778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8" w:type="dxa"/>
            <w:vAlign w:val="center"/>
          </w:tcPr>
          <w:p w14:paraId="6851D1EE">
            <w:pPr>
              <w:kinsoku/>
              <w:topLinePunct/>
              <w:autoSpaceDE/>
              <w:autoSpaceDN/>
              <w:jc w:val="center"/>
              <w:rPr>
                <w:rFonts w:ascii="宋体" w:cs="宋体"/>
                <w:color w:val="auto"/>
                <w:highlight w:val="none"/>
              </w:rPr>
            </w:pPr>
          </w:p>
        </w:tc>
        <w:tc>
          <w:tcPr>
            <w:tcW w:w="2111" w:type="dxa"/>
            <w:vAlign w:val="center"/>
          </w:tcPr>
          <w:p w14:paraId="1AB9D52D">
            <w:pPr>
              <w:kinsoku/>
              <w:topLinePunct/>
              <w:autoSpaceDE/>
              <w:autoSpaceDN/>
              <w:spacing w:line="256" w:lineRule="auto"/>
              <w:jc w:val="center"/>
              <w:rPr>
                <w:rFonts w:ascii="宋体" w:cs="宋体"/>
                <w:color w:val="auto"/>
                <w:highlight w:val="none"/>
              </w:rPr>
            </w:pPr>
          </w:p>
          <w:p w14:paraId="5994DEA8">
            <w:pPr>
              <w:kinsoku/>
              <w:topLinePunct/>
              <w:autoSpaceDE/>
              <w:autoSpaceDN/>
              <w:spacing w:line="65" w:lineRule="exact"/>
              <w:ind w:left="864"/>
              <w:jc w:val="center"/>
              <w:rPr>
                <w:rFonts w:ascii="宋体" w:cs="宋体"/>
                <w:color w:val="auto"/>
                <w:highlight w:val="none"/>
              </w:rPr>
            </w:pPr>
            <w:r>
              <w:rPr>
                <w:rFonts w:hint="eastAsia" w:ascii="宋体" w:hAnsi="宋体" w:cs="宋体"/>
                <w:color w:val="auto"/>
                <w:highlight w:val="none"/>
              </w:rPr>
              <w:t>……</w:t>
            </w:r>
          </w:p>
        </w:tc>
        <w:tc>
          <w:tcPr>
            <w:tcW w:w="4887" w:type="dxa"/>
            <w:vAlign w:val="center"/>
          </w:tcPr>
          <w:p w14:paraId="620D68C3">
            <w:pPr>
              <w:kinsoku/>
              <w:topLinePunct/>
              <w:autoSpaceDE/>
              <w:autoSpaceDN/>
              <w:jc w:val="center"/>
              <w:rPr>
                <w:rFonts w:ascii="宋体" w:cs="宋体"/>
                <w:color w:val="auto"/>
                <w:highlight w:val="none"/>
              </w:rPr>
            </w:pPr>
          </w:p>
        </w:tc>
        <w:tc>
          <w:tcPr>
            <w:tcW w:w="1087" w:type="dxa"/>
            <w:vAlign w:val="center"/>
          </w:tcPr>
          <w:p w14:paraId="48132EFD">
            <w:pPr>
              <w:kinsoku/>
              <w:topLinePunct/>
              <w:autoSpaceDE/>
              <w:autoSpaceDN/>
              <w:jc w:val="center"/>
              <w:rPr>
                <w:rFonts w:ascii="宋体" w:cs="宋体"/>
                <w:color w:val="auto"/>
                <w:highlight w:val="none"/>
              </w:rPr>
            </w:pPr>
          </w:p>
        </w:tc>
      </w:tr>
    </w:tbl>
    <w:p w14:paraId="35FE7AF3">
      <w:pPr>
        <w:kinsoku/>
        <w:topLinePunct/>
        <w:autoSpaceDE/>
        <w:autoSpaceDN/>
        <w:spacing w:before="88" w:line="360" w:lineRule="auto"/>
        <w:ind w:left="40" w:right="86" w:rightChars="41" w:firstLine="416"/>
        <w:rPr>
          <w:rFonts w:ascii="宋体" w:cs="宋体"/>
          <w:color w:val="auto"/>
          <w:highlight w:val="none"/>
        </w:rPr>
      </w:pPr>
      <w:r>
        <w:rPr>
          <w:rFonts w:hint="eastAsia" w:ascii="宋体" w:hAnsi="宋体" w:cs="宋体"/>
          <w:color w:val="auto"/>
          <w:highlight w:val="none"/>
        </w:rPr>
        <w:t>注：</w:t>
      </w:r>
    </w:p>
    <w:p w14:paraId="681EFDE7">
      <w:pPr>
        <w:kinsoku/>
        <w:topLinePunct/>
        <w:autoSpaceDE/>
        <w:autoSpaceDN/>
        <w:spacing w:before="88" w:line="360" w:lineRule="auto"/>
        <w:ind w:left="40" w:right="86" w:rightChars="41" w:firstLine="41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本表应对征集文件第二章《采购需求》中所列商务要求进行响应，并根据响应情况在“偏离说明”栏填写正偏离或负偏离及原因，完全符合的填写“无偏离”。</w:t>
      </w:r>
    </w:p>
    <w:p w14:paraId="0E9DABEE">
      <w:pPr>
        <w:kinsoku/>
        <w:topLinePunct/>
        <w:autoSpaceDE/>
        <w:autoSpaceDN/>
        <w:spacing w:before="29" w:line="360" w:lineRule="auto"/>
        <w:ind w:left="463"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第二章《采购需求》中的总体要求无需响应。</w:t>
      </w:r>
    </w:p>
    <w:p w14:paraId="392337D5">
      <w:pPr>
        <w:kinsoku/>
        <w:topLinePunct/>
        <w:autoSpaceDE/>
        <w:autoSpaceDN/>
        <w:spacing w:before="29" w:line="360" w:lineRule="auto"/>
        <w:ind w:left="463" w:right="86" w:rightChars="41"/>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）供应商响应的服务的商务等条件不得低于采购需求所有要求。</w:t>
      </w:r>
    </w:p>
    <w:p w14:paraId="21D8DA75">
      <w:pPr>
        <w:kinsoku/>
        <w:topLinePunct/>
        <w:autoSpaceDE/>
        <w:autoSpaceDN/>
        <w:spacing w:before="84" w:line="360" w:lineRule="auto"/>
        <w:ind w:left="463" w:right="86" w:rightChars="41"/>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本表可扩展。</w:t>
      </w:r>
    </w:p>
    <w:p w14:paraId="733331DD">
      <w:pPr>
        <w:kinsoku/>
        <w:topLinePunct/>
        <w:autoSpaceDE/>
        <w:autoSpaceDN/>
        <w:spacing w:before="220" w:line="360" w:lineRule="auto"/>
        <w:ind w:left="37" w:right="86" w:rightChars="41" w:firstLine="382" w:firstLineChars="182"/>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53EC7A3A">
      <w:pPr>
        <w:kinsoku/>
        <w:topLinePunct/>
        <w:autoSpaceDE/>
        <w:autoSpaceDN/>
        <w:spacing w:before="220" w:line="360" w:lineRule="auto"/>
        <w:ind w:left="37" w:right="86" w:rightChars="41" w:firstLine="382" w:firstLineChars="182"/>
        <w:rPr>
          <w:rFonts w:ascii="宋体" w:cs="宋体"/>
          <w:color w:val="auto"/>
          <w:highlight w:val="none"/>
        </w:rPr>
      </w:pPr>
      <w:r>
        <w:rPr>
          <w:rFonts w:hint="eastAsia" w:ascii="宋体" w:hAnsi="宋体" w:cs="宋体"/>
          <w:color w:val="auto"/>
          <w:highlight w:val="none"/>
        </w:rPr>
        <w:t>日期：</w:t>
      </w:r>
    </w:p>
    <w:p w14:paraId="0A4F8103">
      <w:pPr>
        <w:kinsoku/>
        <w:topLinePunct/>
        <w:autoSpaceDE/>
        <w:autoSpaceDN/>
        <w:spacing w:line="267" w:lineRule="auto"/>
        <w:ind w:right="86" w:rightChars="41"/>
        <w:rPr>
          <w:rFonts w:ascii="宋体" w:cs="宋体"/>
          <w:color w:val="auto"/>
          <w:highlight w:val="none"/>
        </w:rPr>
      </w:pPr>
    </w:p>
    <w:p w14:paraId="3E150951">
      <w:pPr>
        <w:kinsoku/>
        <w:topLinePunct/>
        <w:autoSpaceDE/>
        <w:autoSpaceDN/>
        <w:spacing w:line="267" w:lineRule="auto"/>
        <w:ind w:right="86" w:rightChars="41"/>
        <w:rPr>
          <w:rFonts w:ascii="宋体" w:cs="宋体"/>
          <w:color w:val="auto"/>
          <w:highlight w:val="none"/>
        </w:rPr>
      </w:pPr>
    </w:p>
    <w:p w14:paraId="60BA9E40">
      <w:pPr>
        <w:kinsoku/>
        <w:topLinePunct/>
        <w:autoSpaceDE/>
        <w:autoSpaceDN/>
        <w:spacing w:line="268" w:lineRule="auto"/>
        <w:ind w:right="86" w:rightChars="41"/>
        <w:rPr>
          <w:rFonts w:ascii="宋体" w:cs="宋体"/>
          <w:color w:val="auto"/>
          <w:highlight w:val="none"/>
        </w:rPr>
      </w:pPr>
    </w:p>
    <w:p w14:paraId="54C73953">
      <w:pPr>
        <w:kinsoku/>
        <w:topLinePunct/>
        <w:autoSpaceDE/>
        <w:autoSpaceDN/>
        <w:spacing w:before="69" w:line="239" w:lineRule="auto"/>
        <w:ind w:left="33" w:right="86" w:rightChars="41"/>
        <w:rPr>
          <w:rFonts w:asci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highlight w:val="none"/>
        </w:rPr>
        <w:t>本地化服务能力证明</w:t>
      </w:r>
    </w:p>
    <w:p w14:paraId="528023FC">
      <w:pPr>
        <w:kinsoku/>
        <w:topLinePunct/>
        <w:autoSpaceDE/>
        <w:autoSpaceDN/>
        <w:ind w:right="86" w:rightChars="41"/>
        <w:rPr>
          <w:rFonts w:ascii="宋体" w:cs="宋体"/>
          <w:color w:val="auto"/>
          <w:highlight w:val="none"/>
        </w:rPr>
        <w:sectPr>
          <w:footerReference r:id="rId23"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2F631D12">
      <w:pPr>
        <w:kinsoku/>
        <w:topLinePunct/>
        <w:autoSpaceDE/>
        <w:autoSpaceDN/>
        <w:spacing w:before="214" w:line="218" w:lineRule="auto"/>
        <w:ind w:left="121" w:right="86" w:rightChars="41"/>
        <w:rPr>
          <w:rFonts w:asci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highlight w:val="none"/>
        </w:rPr>
        <w:t>近年供应商类似成功案例的业绩证明。</w:t>
      </w:r>
    </w:p>
    <w:p w14:paraId="70C6F722">
      <w:pPr>
        <w:kinsoku/>
        <w:topLinePunct/>
        <w:autoSpaceDE/>
        <w:autoSpaceDN/>
        <w:spacing w:before="146" w:line="218" w:lineRule="auto"/>
        <w:ind w:left="3495" w:right="86" w:rightChars="41"/>
        <w:rPr>
          <w:rFonts w:ascii="宋体" w:cs="宋体"/>
          <w:color w:val="auto"/>
          <w:highlight w:val="none"/>
        </w:rPr>
      </w:pPr>
      <w:r>
        <w:rPr>
          <w:rFonts w:hint="eastAsia" w:ascii="宋体" w:hAnsi="宋体" w:cs="宋体"/>
          <w:color w:val="auto"/>
          <w:highlight w:val="none"/>
        </w:rPr>
        <w:t>类似成功案例业绩一览表</w:t>
      </w:r>
    </w:p>
    <w:p w14:paraId="6855C536">
      <w:pPr>
        <w:kinsoku/>
        <w:topLinePunct/>
        <w:autoSpaceDE/>
        <w:autoSpaceDN/>
        <w:spacing w:line="113" w:lineRule="exact"/>
        <w:ind w:right="86" w:rightChars="41"/>
        <w:rPr>
          <w:rFonts w:ascii="宋体" w:cs="宋体"/>
          <w:color w:val="auto"/>
          <w:highlight w:val="none"/>
        </w:rPr>
      </w:pPr>
    </w:p>
    <w:tbl>
      <w:tblPr>
        <w:tblStyle w:val="14"/>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699"/>
        <w:gridCol w:w="1418"/>
        <w:gridCol w:w="1289"/>
        <w:gridCol w:w="1717"/>
        <w:gridCol w:w="1804"/>
      </w:tblGrid>
      <w:tr w14:paraId="7024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247" w:type="dxa"/>
          </w:tcPr>
          <w:p w14:paraId="228E27BE">
            <w:pPr>
              <w:kinsoku/>
              <w:topLinePunct/>
              <w:autoSpaceDE/>
              <w:autoSpaceDN/>
              <w:spacing w:line="391" w:lineRule="auto"/>
              <w:ind w:right="86" w:rightChars="41"/>
              <w:rPr>
                <w:rFonts w:ascii="宋体" w:cs="宋体"/>
                <w:color w:val="auto"/>
                <w:highlight w:val="none"/>
              </w:rPr>
            </w:pPr>
          </w:p>
          <w:p w14:paraId="7D0C113C">
            <w:pPr>
              <w:kinsoku/>
              <w:topLinePunct/>
              <w:autoSpaceDE/>
              <w:autoSpaceDN/>
              <w:spacing w:before="68" w:line="228" w:lineRule="auto"/>
              <w:ind w:left="420" w:right="86" w:rightChars="41" w:hanging="184"/>
              <w:rPr>
                <w:rFonts w:ascii="宋体" w:cs="宋体"/>
                <w:color w:val="auto"/>
                <w:highlight w:val="none"/>
              </w:rPr>
            </w:pPr>
            <w:r>
              <w:rPr>
                <w:rFonts w:hint="eastAsia" w:ascii="宋体" w:hAnsi="宋体" w:cs="宋体"/>
                <w:color w:val="auto"/>
                <w:highlight w:val="none"/>
              </w:rPr>
              <w:t>甲方单位名称</w:t>
            </w:r>
          </w:p>
        </w:tc>
        <w:tc>
          <w:tcPr>
            <w:tcW w:w="1699" w:type="dxa"/>
          </w:tcPr>
          <w:p w14:paraId="319F1FA8">
            <w:pPr>
              <w:kinsoku/>
              <w:topLinePunct/>
              <w:autoSpaceDE/>
              <w:autoSpaceDN/>
              <w:spacing w:line="391" w:lineRule="auto"/>
              <w:ind w:right="86" w:rightChars="41"/>
              <w:rPr>
                <w:rFonts w:ascii="宋体" w:cs="宋体"/>
                <w:color w:val="auto"/>
                <w:highlight w:val="none"/>
              </w:rPr>
            </w:pPr>
          </w:p>
          <w:p w14:paraId="16C79CC4">
            <w:pPr>
              <w:kinsoku/>
              <w:topLinePunct/>
              <w:autoSpaceDE/>
              <w:autoSpaceDN/>
              <w:spacing w:before="68" w:line="227" w:lineRule="auto"/>
              <w:ind w:left="667" w:right="86" w:rightChars="41" w:hanging="547"/>
              <w:rPr>
                <w:rFonts w:ascii="宋体" w:cs="宋体"/>
                <w:color w:val="auto"/>
                <w:highlight w:val="none"/>
              </w:rPr>
            </w:pPr>
            <w:r>
              <w:rPr>
                <w:rFonts w:hint="eastAsia" w:ascii="宋体" w:hAnsi="宋体" w:cs="宋体"/>
                <w:color w:val="auto"/>
                <w:highlight w:val="none"/>
              </w:rPr>
              <w:t>项目名称或服务内容</w:t>
            </w:r>
          </w:p>
        </w:tc>
        <w:tc>
          <w:tcPr>
            <w:tcW w:w="1418" w:type="dxa"/>
          </w:tcPr>
          <w:p w14:paraId="71333402">
            <w:pPr>
              <w:kinsoku/>
              <w:topLinePunct/>
              <w:autoSpaceDE/>
              <w:autoSpaceDN/>
              <w:spacing w:line="391" w:lineRule="auto"/>
              <w:ind w:right="86" w:rightChars="41"/>
              <w:rPr>
                <w:rFonts w:ascii="宋体" w:cs="宋体"/>
                <w:color w:val="auto"/>
                <w:highlight w:val="none"/>
              </w:rPr>
            </w:pPr>
          </w:p>
          <w:p w14:paraId="3ADA51BA">
            <w:pPr>
              <w:kinsoku/>
              <w:topLinePunct/>
              <w:autoSpaceDE/>
              <w:autoSpaceDN/>
              <w:spacing w:before="68" w:line="234" w:lineRule="auto"/>
              <w:ind w:left="122" w:right="86" w:rightChars="41" w:firstLine="64"/>
              <w:rPr>
                <w:rFonts w:ascii="宋体" w:hAnsi="宋体" w:cs="宋体"/>
                <w:color w:val="auto"/>
                <w:highlight w:val="none"/>
              </w:rPr>
            </w:pPr>
            <w:r>
              <w:rPr>
                <w:rFonts w:hint="eastAsia" w:ascii="宋体" w:hAnsi="宋体" w:cs="宋体"/>
                <w:color w:val="auto"/>
                <w:highlight w:val="none"/>
              </w:rPr>
              <w:t>服务周期或时间</w:t>
            </w:r>
            <w:r>
              <w:rPr>
                <w:rFonts w:ascii="宋体" w:hAnsi="宋体" w:cs="宋体"/>
                <w:color w:val="auto"/>
                <w:highlight w:val="none"/>
              </w:rPr>
              <w:t>(</w:t>
            </w:r>
            <w:r>
              <w:rPr>
                <w:rFonts w:hint="eastAsia" w:ascii="宋体" w:hAnsi="宋体" w:cs="宋体"/>
                <w:color w:val="auto"/>
                <w:highlight w:val="none"/>
              </w:rPr>
              <w:t>年</w:t>
            </w:r>
            <w:r>
              <w:rPr>
                <w:rFonts w:ascii="宋体" w:hAnsi="宋体" w:cs="宋体"/>
                <w:color w:val="auto"/>
                <w:highlight w:val="none"/>
              </w:rPr>
              <w:t>/</w:t>
            </w:r>
            <w:r>
              <w:rPr>
                <w:rFonts w:hint="eastAsia" w:ascii="宋体" w:hAnsi="宋体" w:cs="宋体"/>
                <w:color w:val="auto"/>
                <w:highlight w:val="none"/>
              </w:rPr>
              <w:t>月</w:t>
            </w:r>
            <w:r>
              <w:rPr>
                <w:rFonts w:ascii="宋体" w:hAnsi="宋体" w:cs="宋体"/>
                <w:color w:val="auto"/>
                <w:highlight w:val="none"/>
              </w:rPr>
              <w:t>)</w:t>
            </w:r>
          </w:p>
        </w:tc>
        <w:tc>
          <w:tcPr>
            <w:tcW w:w="1289" w:type="dxa"/>
          </w:tcPr>
          <w:p w14:paraId="590CA7B0">
            <w:pPr>
              <w:kinsoku/>
              <w:topLinePunct/>
              <w:autoSpaceDE/>
              <w:autoSpaceDN/>
              <w:spacing w:line="254" w:lineRule="auto"/>
              <w:ind w:right="86" w:rightChars="41"/>
              <w:rPr>
                <w:rFonts w:ascii="宋体" w:cs="宋体"/>
                <w:color w:val="auto"/>
                <w:highlight w:val="none"/>
              </w:rPr>
            </w:pPr>
          </w:p>
          <w:p w14:paraId="4D12CD1A">
            <w:pPr>
              <w:kinsoku/>
              <w:topLinePunct/>
              <w:autoSpaceDE/>
              <w:autoSpaceDN/>
              <w:spacing w:line="255" w:lineRule="auto"/>
              <w:ind w:right="86" w:rightChars="41"/>
              <w:rPr>
                <w:rFonts w:ascii="宋体" w:cs="宋体"/>
                <w:color w:val="auto"/>
                <w:highlight w:val="none"/>
              </w:rPr>
            </w:pPr>
          </w:p>
          <w:p w14:paraId="329BBE08">
            <w:pPr>
              <w:kinsoku/>
              <w:topLinePunct/>
              <w:autoSpaceDE/>
              <w:autoSpaceDN/>
              <w:spacing w:before="68" w:line="221" w:lineRule="auto"/>
              <w:ind w:left="247" w:right="86" w:rightChars="41"/>
              <w:rPr>
                <w:rFonts w:ascii="宋体" w:cs="宋体"/>
                <w:color w:val="auto"/>
                <w:highlight w:val="none"/>
              </w:rPr>
            </w:pPr>
            <w:r>
              <w:rPr>
                <w:rFonts w:hint="eastAsia" w:ascii="宋体" w:hAnsi="宋体" w:cs="宋体"/>
                <w:color w:val="auto"/>
                <w:highlight w:val="none"/>
              </w:rPr>
              <w:t>团队人数</w:t>
            </w:r>
          </w:p>
        </w:tc>
        <w:tc>
          <w:tcPr>
            <w:tcW w:w="1717" w:type="dxa"/>
          </w:tcPr>
          <w:p w14:paraId="092B7CD2">
            <w:pPr>
              <w:kinsoku/>
              <w:topLinePunct/>
              <w:autoSpaceDE/>
              <w:autoSpaceDN/>
              <w:spacing w:line="255" w:lineRule="auto"/>
              <w:ind w:right="86" w:rightChars="41"/>
              <w:rPr>
                <w:rFonts w:ascii="宋体" w:cs="宋体"/>
                <w:color w:val="auto"/>
                <w:highlight w:val="none"/>
              </w:rPr>
            </w:pPr>
          </w:p>
          <w:p w14:paraId="6C353E5D">
            <w:pPr>
              <w:kinsoku/>
              <w:topLinePunct/>
              <w:autoSpaceDE/>
              <w:autoSpaceDN/>
              <w:spacing w:line="255" w:lineRule="auto"/>
              <w:ind w:right="86" w:rightChars="41"/>
              <w:rPr>
                <w:rFonts w:ascii="宋体" w:cs="宋体"/>
                <w:color w:val="auto"/>
                <w:highlight w:val="none"/>
              </w:rPr>
            </w:pPr>
          </w:p>
          <w:p w14:paraId="472D499A">
            <w:pPr>
              <w:kinsoku/>
              <w:topLinePunct/>
              <w:autoSpaceDE/>
              <w:autoSpaceDN/>
              <w:spacing w:before="68" w:line="219" w:lineRule="auto"/>
              <w:ind w:left="128" w:right="86" w:rightChars="41"/>
              <w:rPr>
                <w:rFonts w:ascii="宋体" w:hAnsi="宋体" w:cs="宋体"/>
                <w:color w:val="auto"/>
                <w:highlight w:val="none"/>
              </w:rPr>
            </w:pPr>
            <w:r>
              <w:rPr>
                <w:rFonts w:hint="eastAsia" w:ascii="宋体" w:hAnsi="宋体" w:cs="宋体"/>
                <w:color w:val="auto"/>
                <w:highlight w:val="none"/>
              </w:rPr>
              <w:t>合同总价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p>
        </w:tc>
        <w:tc>
          <w:tcPr>
            <w:tcW w:w="1804" w:type="dxa"/>
          </w:tcPr>
          <w:p w14:paraId="17F1A911">
            <w:pPr>
              <w:kinsoku/>
              <w:topLinePunct/>
              <w:autoSpaceDE/>
              <w:autoSpaceDN/>
              <w:spacing w:line="379" w:lineRule="auto"/>
              <w:ind w:right="86" w:rightChars="41"/>
              <w:rPr>
                <w:rFonts w:ascii="宋体" w:cs="宋体"/>
                <w:color w:val="auto"/>
                <w:highlight w:val="none"/>
              </w:rPr>
            </w:pPr>
          </w:p>
          <w:p w14:paraId="331A6E91">
            <w:pPr>
              <w:kinsoku/>
              <w:topLinePunct/>
              <w:autoSpaceDE/>
              <w:autoSpaceDN/>
              <w:spacing w:before="68" w:line="254" w:lineRule="auto"/>
              <w:ind w:left="377" w:right="86" w:rightChars="41" w:hanging="208"/>
              <w:rPr>
                <w:rFonts w:ascii="宋体" w:cs="宋体"/>
                <w:color w:val="auto"/>
                <w:highlight w:val="none"/>
              </w:rPr>
            </w:pPr>
            <w:r>
              <w:rPr>
                <w:rFonts w:hint="eastAsia" w:ascii="宋体" w:hAnsi="宋体" w:cs="宋体"/>
                <w:color w:val="auto"/>
                <w:highlight w:val="none"/>
              </w:rPr>
              <w:t>采购单位联系人及联系电话</w:t>
            </w:r>
          </w:p>
        </w:tc>
      </w:tr>
      <w:tr w14:paraId="7DC7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47" w:type="dxa"/>
          </w:tcPr>
          <w:p w14:paraId="63D6F004">
            <w:pPr>
              <w:kinsoku/>
              <w:topLinePunct/>
              <w:autoSpaceDE/>
              <w:autoSpaceDN/>
              <w:ind w:right="86" w:rightChars="41"/>
              <w:rPr>
                <w:rFonts w:ascii="宋体" w:cs="宋体"/>
                <w:color w:val="auto"/>
                <w:highlight w:val="none"/>
              </w:rPr>
            </w:pPr>
          </w:p>
        </w:tc>
        <w:tc>
          <w:tcPr>
            <w:tcW w:w="1699" w:type="dxa"/>
          </w:tcPr>
          <w:p w14:paraId="2E546825">
            <w:pPr>
              <w:kinsoku/>
              <w:topLinePunct/>
              <w:autoSpaceDE/>
              <w:autoSpaceDN/>
              <w:ind w:right="86" w:rightChars="41"/>
              <w:rPr>
                <w:rFonts w:ascii="宋体" w:cs="宋体"/>
                <w:color w:val="auto"/>
                <w:highlight w:val="none"/>
              </w:rPr>
            </w:pPr>
          </w:p>
        </w:tc>
        <w:tc>
          <w:tcPr>
            <w:tcW w:w="1418" w:type="dxa"/>
          </w:tcPr>
          <w:p w14:paraId="1BA8DC37">
            <w:pPr>
              <w:kinsoku/>
              <w:topLinePunct/>
              <w:autoSpaceDE/>
              <w:autoSpaceDN/>
              <w:ind w:right="86" w:rightChars="41"/>
              <w:rPr>
                <w:rFonts w:ascii="宋体" w:cs="宋体"/>
                <w:color w:val="auto"/>
                <w:highlight w:val="none"/>
              </w:rPr>
            </w:pPr>
          </w:p>
        </w:tc>
        <w:tc>
          <w:tcPr>
            <w:tcW w:w="1289" w:type="dxa"/>
          </w:tcPr>
          <w:p w14:paraId="7F964FF7">
            <w:pPr>
              <w:kinsoku/>
              <w:topLinePunct/>
              <w:autoSpaceDE/>
              <w:autoSpaceDN/>
              <w:ind w:right="86" w:rightChars="41"/>
              <w:rPr>
                <w:rFonts w:ascii="宋体" w:cs="宋体"/>
                <w:color w:val="auto"/>
                <w:highlight w:val="none"/>
              </w:rPr>
            </w:pPr>
          </w:p>
        </w:tc>
        <w:tc>
          <w:tcPr>
            <w:tcW w:w="1717" w:type="dxa"/>
          </w:tcPr>
          <w:p w14:paraId="095A4C6B">
            <w:pPr>
              <w:kinsoku/>
              <w:topLinePunct/>
              <w:autoSpaceDE/>
              <w:autoSpaceDN/>
              <w:ind w:right="86" w:rightChars="41"/>
              <w:rPr>
                <w:rFonts w:ascii="宋体" w:cs="宋体"/>
                <w:color w:val="auto"/>
                <w:highlight w:val="none"/>
              </w:rPr>
            </w:pPr>
          </w:p>
        </w:tc>
        <w:tc>
          <w:tcPr>
            <w:tcW w:w="1804" w:type="dxa"/>
          </w:tcPr>
          <w:p w14:paraId="0F8AE447">
            <w:pPr>
              <w:kinsoku/>
              <w:topLinePunct/>
              <w:autoSpaceDE/>
              <w:autoSpaceDN/>
              <w:ind w:right="86" w:rightChars="41"/>
              <w:rPr>
                <w:rFonts w:ascii="宋体" w:cs="宋体"/>
                <w:color w:val="auto"/>
                <w:highlight w:val="none"/>
              </w:rPr>
            </w:pPr>
          </w:p>
        </w:tc>
      </w:tr>
      <w:tr w14:paraId="5A3B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47" w:type="dxa"/>
          </w:tcPr>
          <w:p w14:paraId="23CD72E2">
            <w:pPr>
              <w:kinsoku/>
              <w:topLinePunct/>
              <w:autoSpaceDE/>
              <w:autoSpaceDN/>
              <w:ind w:right="86" w:rightChars="41"/>
              <w:rPr>
                <w:rFonts w:ascii="宋体" w:cs="宋体"/>
                <w:color w:val="auto"/>
                <w:highlight w:val="none"/>
              </w:rPr>
            </w:pPr>
          </w:p>
        </w:tc>
        <w:tc>
          <w:tcPr>
            <w:tcW w:w="1699" w:type="dxa"/>
          </w:tcPr>
          <w:p w14:paraId="7430CD25">
            <w:pPr>
              <w:kinsoku/>
              <w:topLinePunct/>
              <w:autoSpaceDE/>
              <w:autoSpaceDN/>
              <w:ind w:right="86" w:rightChars="41"/>
              <w:rPr>
                <w:rFonts w:ascii="宋体" w:cs="宋体"/>
                <w:color w:val="auto"/>
                <w:highlight w:val="none"/>
              </w:rPr>
            </w:pPr>
          </w:p>
        </w:tc>
        <w:tc>
          <w:tcPr>
            <w:tcW w:w="1418" w:type="dxa"/>
          </w:tcPr>
          <w:p w14:paraId="18D5A5CF">
            <w:pPr>
              <w:kinsoku/>
              <w:topLinePunct/>
              <w:autoSpaceDE/>
              <w:autoSpaceDN/>
              <w:ind w:right="86" w:rightChars="41"/>
              <w:rPr>
                <w:rFonts w:ascii="宋体" w:cs="宋体"/>
                <w:color w:val="auto"/>
                <w:highlight w:val="none"/>
              </w:rPr>
            </w:pPr>
          </w:p>
        </w:tc>
        <w:tc>
          <w:tcPr>
            <w:tcW w:w="1289" w:type="dxa"/>
          </w:tcPr>
          <w:p w14:paraId="05E0F531">
            <w:pPr>
              <w:kinsoku/>
              <w:topLinePunct/>
              <w:autoSpaceDE/>
              <w:autoSpaceDN/>
              <w:ind w:right="86" w:rightChars="41"/>
              <w:rPr>
                <w:rFonts w:ascii="宋体" w:cs="宋体"/>
                <w:color w:val="auto"/>
                <w:highlight w:val="none"/>
              </w:rPr>
            </w:pPr>
          </w:p>
        </w:tc>
        <w:tc>
          <w:tcPr>
            <w:tcW w:w="1717" w:type="dxa"/>
          </w:tcPr>
          <w:p w14:paraId="25993A0E">
            <w:pPr>
              <w:kinsoku/>
              <w:topLinePunct/>
              <w:autoSpaceDE/>
              <w:autoSpaceDN/>
              <w:ind w:right="86" w:rightChars="41"/>
              <w:rPr>
                <w:rFonts w:ascii="宋体" w:cs="宋体"/>
                <w:color w:val="auto"/>
                <w:highlight w:val="none"/>
              </w:rPr>
            </w:pPr>
          </w:p>
        </w:tc>
        <w:tc>
          <w:tcPr>
            <w:tcW w:w="1804" w:type="dxa"/>
          </w:tcPr>
          <w:p w14:paraId="2268023A">
            <w:pPr>
              <w:kinsoku/>
              <w:topLinePunct/>
              <w:autoSpaceDE/>
              <w:autoSpaceDN/>
              <w:ind w:right="86" w:rightChars="41"/>
              <w:rPr>
                <w:rFonts w:ascii="宋体" w:cs="宋体"/>
                <w:color w:val="auto"/>
                <w:highlight w:val="none"/>
              </w:rPr>
            </w:pPr>
          </w:p>
        </w:tc>
      </w:tr>
      <w:tr w14:paraId="5375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247" w:type="dxa"/>
          </w:tcPr>
          <w:p w14:paraId="6F7E6FB2">
            <w:pPr>
              <w:kinsoku/>
              <w:topLinePunct/>
              <w:autoSpaceDE/>
              <w:autoSpaceDN/>
              <w:ind w:right="86" w:rightChars="41"/>
              <w:rPr>
                <w:rFonts w:ascii="宋体" w:cs="宋体"/>
                <w:color w:val="auto"/>
                <w:highlight w:val="none"/>
              </w:rPr>
            </w:pPr>
          </w:p>
        </w:tc>
        <w:tc>
          <w:tcPr>
            <w:tcW w:w="1699" w:type="dxa"/>
          </w:tcPr>
          <w:p w14:paraId="0CCA02F6">
            <w:pPr>
              <w:kinsoku/>
              <w:topLinePunct/>
              <w:autoSpaceDE/>
              <w:autoSpaceDN/>
              <w:ind w:right="86" w:rightChars="41"/>
              <w:rPr>
                <w:rFonts w:ascii="宋体" w:cs="宋体"/>
                <w:color w:val="auto"/>
                <w:highlight w:val="none"/>
              </w:rPr>
            </w:pPr>
          </w:p>
        </w:tc>
        <w:tc>
          <w:tcPr>
            <w:tcW w:w="1418" w:type="dxa"/>
          </w:tcPr>
          <w:p w14:paraId="659439C6">
            <w:pPr>
              <w:kinsoku/>
              <w:topLinePunct/>
              <w:autoSpaceDE/>
              <w:autoSpaceDN/>
              <w:ind w:right="86" w:rightChars="41"/>
              <w:rPr>
                <w:rFonts w:ascii="宋体" w:cs="宋体"/>
                <w:color w:val="auto"/>
                <w:highlight w:val="none"/>
              </w:rPr>
            </w:pPr>
          </w:p>
        </w:tc>
        <w:tc>
          <w:tcPr>
            <w:tcW w:w="1289" w:type="dxa"/>
          </w:tcPr>
          <w:p w14:paraId="65F6DC29">
            <w:pPr>
              <w:kinsoku/>
              <w:topLinePunct/>
              <w:autoSpaceDE/>
              <w:autoSpaceDN/>
              <w:ind w:right="86" w:rightChars="41"/>
              <w:rPr>
                <w:rFonts w:ascii="宋体" w:cs="宋体"/>
                <w:color w:val="auto"/>
                <w:highlight w:val="none"/>
              </w:rPr>
            </w:pPr>
          </w:p>
        </w:tc>
        <w:tc>
          <w:tcPr>
            <w:tcW w:w="1717" w:type="dxa"/>
          </w:tcPr>
          <w:p w14:paraId="56791869">
            <w:pPr>
              <w:kinsoku/>
              <w:topLinePunct/>
              <w:autoSpaceDE/>
              <w:autoSpaceDN/>
              <w:ind w:right="86" w:rightChars="41"/>
              <w:rPr>
                <w:rFonts w:ascii="宋体" w:cs="宋体"/>
                <w:color w:val="auto"/>
                <w:highlight w:val="none"/>
              </w:rPr>
            </w:pPr>
          </w:p>
        </w:tc>
        <w:tc>
          <w:tcPr>
            <w:tcW w:w="1804" w:type="dxa"/>
          </w:tcPr>
          <w:p w14:paraId="3F5B462F">
            <w:pPr>
              <w:kinsoku/>
              <w:topLinePunct/>
              <w:autoSpaceDE/>
              <w:autoSpaceDN/>
              <w:ind w:right="86" w:rightChars="41"/>
              <w:rPr>
                <w:rFonts w:ascii="宋体" w:cs="宋体"/>
                <w:color w:val="auto"/>
                <w:highlight w:val="none"/>
              </w:rPr>
            </w:pPr>
          </w:p>
        </w:tc>
      </w:tr>
      <w:tr w14:paraId="5347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47" w:type="dxa"/>
          </w:tcPr>
          <w:p w14:paraId="7844C18F">
            <w:pPr>
              <w:kinsoku/>
              <w:topLinePunct/>
              <w:autoSpaceDE/>
              <w:autoSpaceDN/>
              <w:ind w:right="86" w:rightChars="41"/>
              <w:rPr>
                <w:rFonts w:ascii="宋体" w:cs="宋体"/>
                <w:color w:val="auto"/>
                <w:highlight w:val="none"/>
              </w:rPr>
            </w:pPr>
          </w:p>
        </w:tc>
        <w:tc>
          <w:tcPr>
            <w:tcW w:w="1699" w:type="dxa"/>
          </w:tcPr>
          <w:p w14:paraId="4AA7388E">
            <w:pPr>
              <w:kinsoku/>
              <w:topLinePunct/>
              <w:autoSpaceDE/>
              <w:autoSpaceDN/>
              <w:ind w:right="86" w:rightChars="41"/>
              <w:rPr>
                <w:rFonts w:ascii="宋体" w:cs="宋体"/>
                <w:color w:val="auto"/>
                <w:highlight w:val="none"/>
              </w:rPr>
            </w:pPr>
          </w:p>
        </w:tc>
        <w:tc>
          <w:tcPr>
            <w:tcW w:w="1418" w:type="dxa"/>
          </w:tcPr>
          <w:p w14:paraId="2581C4FC">
            <w:pPr>
              <w:kinsoku/>
              <w:topLinePunct/>
              <w:autoSpaceDE/>
              <w:autoSpaceDN/>
              <w:ind w:right="86" w:rightChars="41"/>
              <w:rPr>
                <w:rFonts w:ascii="宋体" w:cs="宋体"/>
                <w:color w:val="auto"/>
                <w:highlight w:val="none"/>
              </w:rPr>
            </w:pPr>
          </w:p>
        </w:tc>
        <w:tc>
          <w:tcPr>
            <w:tcW w:w="1289" w:type="dxa"/>
          </w:tcPr>
          <w:p w14:paraId="380160F8">
            <w:pPr>
              <w:kinsoku/>
              <w:topLinePunct/>
              <w:autoSpaceDE/>
              <w:autoSpaceDN/>
              <w:ind w:right="86" w:rightChars="41"/>
              <w:rPr>
                <w:rFonts w:ascii="宋体" w:cs="宋体"/>
                <w:color w:val="auto"/>
                <w:highlight w:val="none"/>
              </w:rPr>
            </w:pPr>
          </w:p>
        </w:tc>
        <w:tc>
          <w:tcPr>
            <w:tcW w:w="1717" w:type="dxa"/>
          </w:tcPr>
          <w:p w14:paraId="6E808B70">
            <w:pPr>
              <w:kinsoku/>
              <w:topLinePunct/>
              <w:autoSpaceDE/>
              <w:autoSpaceDN/>
              <w:ind w:right="86" w:rightChars="41"/>
              <w:rPr>
                <w:rFonts w:ascii="宋体" w:cs="宋体"/>
                <w:color w:val="auto"/>
                <w:highlight w:val="none"/>
              </w:rPr>
            </w:pPr>
          </w:p>
        </w:tc>
        <w:tc>
          <w:tcPr>
            <w:tcW w:w="1804" w:type="dxa"/>
          </w:tcPr>
          <w:p w14:paraId="6F7A94C4">
            <w:pPr>
              <w:kinsoku/>
              <w:topLinePunct/>
              <w:autoSpaceDE/>
              <w:autoSpaceDN/>
              <w:ind w:right="86" w:rightChars="41"/>
              <w:rPr>
                <w:rFonts w:ascii="宋体" w:cs="宋体"/>
                <w:color w:val="auto"/>
                <w:highlight w:val="none"/>
              </w:rPr>
            </w:pPr>
          </w:p>
        </w:tc>
      </w:tr>
      <w:tr w14:paraId="6B560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47" w:type="dxa"/>
          </w:tcPr>
          <w:p w14:paraId="638020FB">
            <w:pPr>
              <w:kinsoku/>
              <w:topLinePunct/>
              <w:autoSpaceDE/>
              <w:autoSpaceDN/>
              <w:ind w:right="86" w:rightChars="41"/>
              <w:rPr>
                <w:rFonts w:ascii="宋体" w:cs="宋体"/>
                <w:color w:val="auto"/>
                <w:highlight w:val="none"/>
              </w:rPr>
            </w:pPr>
          </w:p>
        </w:tc>
        <w:tc>
          <w:tcPr>
            <w:tcW w:w="1699" w:type="dxa"/>
          </w:tcPr>
          <w:p w14:paraId="6D20E88D">
            <w:pPr>
              <w:kinsoku/>
              <w:topLinePunct/>
              <w:autoSpaceDE/>
              <w:autoSpaceDN/>
              <w:ind w:right="86" w:rightChars="41"/>
              <w:rPr>
                <w:rFonts w:ascii="宋体" w:cs="宋体"/>
                <w:color w:val="auto"/>
                <w:highlight w:val="none"/>
              </w:rPr>
            </w:pPr>
          </w:p>
        </w:tc>
        <w:tc>
          <w:tcPr>
            <w:tcW w:w="1418" w:type="dxa"/>
          </w:tcPr>
          <w:p w14:paraId="15755757">
            <w:pPr>
              <w:kinsoku/>
              <w:topLinePunct/>
              <w:autoSpaceDE/>
              <w:autoSpaceDN/>
              <w:ind w:right="86" w:rightChars="41"/>
              <w:rPr>
                <w:rFonts w:ascii="宋体" w:cs="宋体"/>
                <w:color w:val="auto"/>
                <w:highlight w:val="none"/>
              </w:rPr>
            </w:pPr>
          </w:p>
        </w:tc>
        <w:tc>
          <w:tcPr>
            <w:tcW w:w="1289" w:type="dxa"/>
          </w:tcPr>
          <w:p w14:paraId="042C623D">
            <w:pPr>
              <w:kinsoku/>
              <w:topLinePunct/>
              <w:autoSpaceDE/>
              <w:autoSpaceDN/>
              <w:ind w:right="86" w:rightChars="41"/>
              <w:rPr>
                <w:rFonts w:ascii="宋体" w:cs="宋体"/>
                <w:color w:val="auto"/>
                <w:highlight w:val="none"/>
              </w:rPr>
            </w:pPr>
          </w:p>
        </w:tc>
        <w:tc>
          <w:tcPr>
            <w:tcW w:w="1717" w:type="dxa"/>
          </w:tcPr>
          <w:p w14:paraId="190B598E">
            <w:pPr>
              <w:kinsoku/>
              <w:topLinePunct/>
              <w:autoSpaceDE/>
              <w:autoSpaceDN/>
              <w:ind w:right="86" w:rightChars="41"/>
              <w:rPr>
                <w:rFonts w:ascii="宋体" w:cs="宋体"/>
                <w:color w:val="auto"/>
                <w:highlight w:val="none"/>
              </w:rPr>
            </w:pPr>
          </w:p>
        </w:tc>
        <w:tc>
          <w:tcPr>
            <w:tcW w:w="1804" w:type="dxa"/>
          </w:tcPr>
          <w:p w14:paraId="6633774B">
            <w:pPr>
              <w:kinsoku/>
              <w:topLinePunct/>
              <w:autoSpaceDE/>
              <w:autoSpaceDN/>
              <w:ind w:right="86" w:rightChars="41"/>
              <w:rPr>
                <w:rFonts w:ascii="宋体" w:cs="宋体"/>
                <w:color w:val="auto"/>
                <w:highlight w:val="none"/>
              </w:rPr>
            </w:pPr>
          </w:p>
        </w:tc>
      </w:tr>
    </w:tbl>
    <w:p w14:paraId="105B01C6">
      <w:pPr>
        <w:kinsoku/>
        <w:topLinePunct/>
        <w:autoSpaceDE/>
        <w:autoSpaceDN/>
        <w:spacing w:before="180" w:line="223" w:lineRule="auto"/>
        <w:ind w:left="121" w:right="86" w:rightChars="41"/>
        <w:rPr>
          <w:rFonts w:ascii="宋体" w:cs="宋体"/>
          <w:color w:val="auto"/>
          <w:highlight w:val="none"/>
        </w:rPr>
      </w:pPr>
      <w:r>
        <w:rPr>
          <w:rFonts w:hint="eastAsia" w:ascii="宋体" w:hAnsi="宋体" w:cs="宋体"/>
          <w:color w:val="auto"/>
          <w:highlight w:val="none"/>
        </w:rPr>
        <w:t>注：</w:t>
      </w:r>
    </w:p>
    <w:p w14:paraId="797DA0BB">
      <w:pPr>
        <w:kinsoku/>
        <w:topLinePunct/>
        <w:autoSpaceDE/>
        <w:autoSpaceDN/>
        <w:spacing w:before="180" w:line="218" w:lineRule="auto"/>
        <w:ind w:left="130" w:right="86" w:rightChars="41"/>
        <w:rPr>
          <w:rFonts w:hint="eastAsia" w:ascii="宋体" w:eastAsia="宋体" w:cs="宋体"/>
          <w:color w:val="auto"/>
          <w:highlight w:val="none"/>
          <w:lang w:eastAsia="zh-CN"/>
        </w:rPr>
      </w:pPr>
      <w:r>
        <w:rPr>
          <w:rFonts w:ascii="宋体" w:hAnsi="宋体" w:cs="宋体"/>
          <w:color w:val="auto"/>
          <w:sz w:val="19"/>
          <w:szCs w:val="19"/>
          <w:highlight w:val="none"/>
        </w:rPr>
        <w:t>(1)</w:t>
      </w:r>
      <w:r>
        <w:rPr>
          <w:rFonts w:hint="eastAsia" w:ascii="宋体" w:hAnsi="宋体" w:cs="宋体"/>
          <w:color w:val="auto"/>
          <w:highlight w:val="none"/>
        </w:rPr>
        <w:t>未附证明材料的业绩无效，证明材料见第四章《评审方法及标准》规定</w:t>
      </w:r>
      <w:r>
        <w:rPr>
          <w:rFonts w:hint="eastAsia" w:ascii="宋体" w:hAnsi="宋体" w:cs="宋体"/>
          <w:color w:val="auto"/>
          <w:highlight w:val="none"/>
          <w:lang w:eastAsia="zh-CN"/>
        </w:rPr>
        <w:t>。</w:t>
      </w:r>
    </w:p>
    <w:p w14:paraId="60D6FBFF">
      <w:pPr>
        <w:kinsoku/>
        <w:topLinePunct/>
        <w:autoSpaceDE/>
        <w:autoSpaceDN/>
        <w:spacing w:before="184" w:line="220" w:lineRule="auto"/>
        <w:ind w:left="130" w:right="86" w:rightChars="41"/>
        <w:rPr>
          <w:rFonts w:ascii="宋体" w:cs="宋体"/>
          <w:color w:val="auto"/>
          <w:highlight w:val="none"/>
        </w:rPr>
      </w:pPr>
      <w:r>
        <w:rPr>
          <w:rFonts w:ascii="宋体" w:hAnsi="宋体" w:cs="宋体"/>
          <w:color w:val="auto"/>
          <w:sz w:val="19"/>
          <w:szCs w:val="19"/>
          <w:highlight w:val="none"/>
        </w:rPr>
        <w:t>(2)</w:t>
      </w:r>
      <w:r>
        <w:rPr>
          <w:rFonts w:hint="eastAsia" w:ascii="宋体" w:hAnsi="宋体" w:cs="宋体"/>
          <w:color w:val="auto"/>
          <w:highlight w:val="none"/>
        </w:rPr>
        <w:t>类似项目的定义见第四章《评审方法及标准》规定。</w:t>
      </w:r>
    </w:p>
    <w:p w14:paraId="3E1C6679">
      <w:pPr>
        <w:kinsoku/>
        <w:topLinePunct/>
        <w:autoSpaceDE/>
        <w:autoSpaceDN/>
        <w:spacing w:before="182" w:line="220" w:lineRule="auto"/>
        <w:ind w:left="127"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本表可拓展。</w:t>
      </w:r>
    </w:p>
    <w:p w14:paraId="1E329F18">
      <w:pPr>
        <w:kinsoku/>
        <w:topLinePunct/>
        <w:autoSpaceDE/>
        <w:autoSpaceDN/>
        <w:spacing w:line="294" w:lineRule="auto"/>
        <w:ind w:right="86" w:rightChars="41"/>
        <w:rPr>
          <w:rFonts w:ascii="宋体" w:cs="宋体"/>
          <w:color w:val="auto"/>
          <w:highlight w:val="none"/>
        </w:rPr>
      </w:pPr>
    </w:p>
    <w:p w14:paraId="57F7829E">
      <w:pPr>
        <w:kinsoku/>
        <w:topLinePunct/>
        <w:autoSpaceDE/>
        <w:autoSpaceDN/>
        <w:spacing w:before="69" w:line="214" w:lineRule="auto"/>
        <w:ind w:left="121"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BC884F8">
      <w:pPr>
        <w:kinsoku/>
        <w:topLinePunct/>
        <w:autoSpaceDE/>
        <w:autoSpaceDN/>
        <w:spacing w:before="69" w:line="214" w:lineRule="auto"/>
        <w:ind w:left="121" w:right="86" w:rightChars="41"/>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04C84245">
      <w:pPr>
        <w:kinsoku/>
        <w:topLinePunct/>
        <w:autoSpaceDE/>
        <w:autoSpaceDN/>
        <w:ind w:right="86" w:rightChars="41"/>
        <w:rPr>
          <w:rFonts w:ascii="宋体" w:cs="宋体"/>
          <w:color w:val="auto"/>
          <w:highlight w:val="none"/>
        </w:rPr>
      </w:pPr>
    </w:p>
    <w:p w14:paraId="5E0B908B">
      <w:pPr>
        <w:kinsoku/>
        <w:topLinePunct/>
        <w:autoSpaceDE/>
        <w:autoSpaceDN/>
        <w:ind w:right="86" w:rightChars="41"/>
        <w:rPr>
          <w:rFonts w:ascii="宋体" w:cs="宋体"/>
          <w:color w:val="auto"/>
          <w:highlight w:val="none"/>
        </w:rPr>
      </w:pPr>
    </w:p>
    <w:p w14:paraId="4AD53AC7">
      <w:pPr>
        <w:kinsoku/>
        <w:topLinePunct/>
        <w:autoSpaceDE/>
        <w:autoSpaceDN/>
        <w:ind w:right="86" w:rightChars="41"/>
        <w:rPr>
          <w:rFonts w:ascii="宋体" w:cs="宋体"/>
          <w:color w:val="auto"/>
          <w:highlight w:val="none"/>
        </w:rPr>
      </w:pPr>
    </w:p>
    <w:p w14:paraId="73B61DD9">
      <w:pPr>
        <w:kinsoku/>
        <w:topLinePunct/>
        <w:autoSpaceDE/>
        <w:autoSpaceDN/>
        <w:spacing w:before="215" w:line="218" w:lineRule="auto"/>
        <w:ind w:left="32" w:right="86" w:rightChars="41"/>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供应商认为需提供的其他材料</w:t>
      </w:r>
      <w:r>
        <w:rPr>
          <w:rFonts w:ascii="宋体" w:hAnsi="宋体" w:cs="宋体"/>
          <w:color w:val="auto"/>
          <w:highlight w:val="none"/>
        </w:rPr>
        <w:t>(</w:t>
      </w:r>
      <w:r>
        <w:rPr>
          <w:rFonts w:hint="eastAsia" w:ascii="宋体" w:hAnsi="宋体" w:cs="宋体"/>
          <w:color w:val="auto"/>
          <w:highlight w:val="none"/>
        </w:rPr>
        <w:t>根据征集文件编写</w:t>
      </w:r>
      <w:r>
        <w:rPr>
          <w:rFonts w:ascii="宋体" w:hAnsi="宋体" w:cs="宋体"/>
          <w:color w:val="auto"/>
          <w:highlight w:val="none"/>
        </w:rPr>
        <w:t>)</w:t>
      </w:r>
    </w:p>
    <w:p w14:paraId="27B758E4">
      <w:pPr>
        <w:kinsoku/>
        <w:topLinePunct/>
        <w:autoSpaceDE/>
        <w:autoSpaceDN/>
        <w:ind w:right="86" w:rightChars="41"/>
        <w:rPr>
          <w:rFonts w:ascii="宋体" w:cs="宋体"/>
          <w:color w:val="auto"/>
          <w:highlight w:val="none"/>
        </w:rPr>
        <w:sectPr>
          <w:footerReference r:id="rId24"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31254FD2">
      <w:pPr>
        <w:kinsoku/>
        <w:topLinePunct/>
        <w:autoSpaceDE/>
        <w:autoSpaceDN/>
        <w:spacing w:before="264" w:line="221" w:lineRule="auto"/>
        <w:ind w:left="38" w:right="86" w:rightChars="41"/>
        <w:rPr>
          <w:rFonts w:asci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无串标行为承诺函</w:t>
      </w:r>
    </w:p>
    <w:p w14:paraId="60D9D14C">
      <w:pPr>
        <w:kinsoku/>
        <w:topLinePunct/>
        <w:autoSpaceDE/>
        <w:autoSpaceDN/>
        <w:spacing w:line="362" w:lineRule="auto"/>
        <w:ind w:right="86" w:rightChars="41"/>
        <w:rPr>
          <w:rFonts w:ascii="宋体" w:cs="宋体"/>
          <w:color w:val="auto"/>
          <w:highlight w:val="none"/>
        </w:rPr>
      </w:pPr>
    </w:p>
    <w:p w14:paraId="11CA80FF">
      <w:pPr>
        <w:kinsoku/>
        <w:topLinePunct/>
        <w:autoSpaceDE/>
        <w:autoSpaceDN/>
        <w:spacing w:before="69" w:line="220" w:lineRule="auto"/>
        <w:ind w:left="2576" w:right="86" w:rightChars="41"/>
        <w:rPr>
          <w:rFonts w:ascii="宋体" w:cs="宋体"/>
          <w:color w:val="auto"/>
          <w:highlight w:val="none"/>
        </w:rPr>
      </w:pPr>
      <w:r>
        <w:rPr>
          <w:rFonts w:hint="eastAsia" w:ascii="宋体" w:hAnsi="宋体" w:cs="宋体"/>
          <w:color w:val="auto"/>
          <w:highlight w:val="none"/>
        </w:rPr>
        <w:t>供应商参加本项目无围标串标行为的承诺函</w:t>
      </w:r>
    </w:p>
    <w:p w14:paraId="5B2EC278">
      <w:pPr>
        <w:kinsoku/>
        <w:topLinePunct/>
        <w:autoSpaceDE/>
        <w:autoSpaceDN/>
        <w:spacing w:line="433" w:lineRule="auto"/>
        <w:ind w:right="86" w:rightChars="41"/>
        <w:rPr>
          <w:rFonts w:ascii="宋体" w:cs="宋体"/>
          <w:color w:val="auto"/>
          <w:highlight w:val="none"/>
        </w:rPr>
      </w:pPr>
    </w:p>
    <w:p w14:paraId="6DD0619D">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一、我方承诺无下列相互串通响应的情形：</w:t>
      </w:r>
    </w:p>
    <w:p w14:paraId="7050767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不同供应商的响应文件由同一单位或者个人编制；或者不同供应商报名的</w:t>
      </w:r>
      <w:r>
        <w:rPr>
          <w:rFonts w:ascii="宋体" w:hAnsi="宋体" w:cs="宋体"/>
          <w:color w:val="auto"/>
          <w:highlight w:val="none"/>
        </w:rPr>
        <w:t>IP</w:t>
      </w:r>
      <w:r>
        <w:rPr>
          <w:rFonts w:hint="eastAsia" w:ascii="宋体" w:hAnsi="宋体" w:cs="宋体"/>
          <w:color w:val="auto"/>
          <w:highlight w:val="none"/>
        </w:rPr>
        <w:t>地址一致的；</w:t>
      </w:r>
    </w:p>
    <w:p w14:paraId="78A8C34B">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不同供应商委托同一单位或者个人办理响应事宜；</w:t>
      </w:r>
    </w:p>
    <w:p w14:paraId="1E92E4D7">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不同的供应商的响应文件载明的项目管理员为同一个人；</w:t>
      </w:r>
    </w:p>
    <w:p w14:paraId="5A126798">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不同供应商的响应文件异常一致或者响应报价呈规律性差异；</w:t>
      </w:r>
    </w:p>
    <w:p w14:paraId="6FFD5455">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不同供应商的响应文件相互混装；</w:t>
      </w:r>
    </w:p>
    <w:p w14:paraId="3FEB5C60">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二、我方承诺无下列恶意串通的情形：</w:t>
      </w:r>
    </w:p>
    <w:p w14:paraId="71E7FF96">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供应商直接或者间接从采购人或者采购代理机构处获得其他供应商的相关信息并修改其响应文件或者响应文件；</w:t>
      </w:r>
    </w:p>
    <w:p w14:paraId="28EA2F05">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供应商按照采购人或者采购代理机构的授意撤换、修改响应文件或者响应文件；</w:t>
      </w:r>
    </w:p>
    <w:p w14:paraId="2AFBBBD1">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供应商之间协商报价、技术方案等响应文件或者响应文件的实质性内容；</w:t>
      </w:r>
    </w:p>
    <w:p w14:paraId="7A07C0DB">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属于同一集团、协会、商会等组织成员的供应商按照该组织要求协同参加政府采购活动；</w:t>
      </w:r>
    </w:p>
    <w:p w14:paraId="6CCBB317">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供应商之间事先约定一致抬高或者压低响应报价，或者在招标项目中事先约定轮流以高价位或者低价位中标，或者事先约定由某一特定供应商中标，然后再参加响应；</w:t>
      </w:r>
    </w:p>
    <w:p w14:paraId="29D122AF">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供应商之间商定部分供应商放弃参加政府采购活动或者放弃中标；</w:t>
      </w:r>
    </w:p>
    <w:p w14:paraId="3A99119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供应商与采购人或者采购代理机构之间、供应商相互之间，为谋求特定供应商中标或者排斥其他供应商的其他串通行为。</w:t>
      </w:r>
    </w:p>
    <w:p w14:paraId="4344D36A">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以上情形一经核查属实，我方愿意承担一切后果，并不再寻求任何旨在减轻或者免除法律责任的辩解。</w:t>
      </w:r>
    </w:p>
    <w:p w14:paraId="5E9D1B73">
      <w:pPr>
        <w:kinsoku/>
        <w:topLinePunct/>
        <w:autoSpaceDE/>
        <w:autoSpaceDN/>
        <w:spacing w:line="274" w:lineRule="auto"/>
        <w:ind w:right="86" w:rightChars="41"/>
        <w:rPr>
          <w:rFonts w:ascii="宋体" w:cs="宋体"/>
          <w:color w:val="auto"/>
          <w:highlight w:val="none"/>
        </w:rPr>
      </w:pPr>
    </w:p>
    <w:p w14:paraId="1D6238AC">
      <w:pPr>
        <w:kinsoku/>
        <w:topLinePunct/>
        <w:autoSpaceDE/>
        <w:autoSpaceDN/>
        <w:spacing w:line="274" w:lineRule="auto"/>
        <w:ind w:right="86" w:rightChars="41"/>
        <w:rPr>
          <w:rFonts w:ascii="宋体" w:cs="宋体"/>
          <w:color w:val="auto"/>
          <w:highlight w:val="none"/>
        </w:rPr>
      </w:pPr>
    </w:p>
    <w:p w14:paraId="7496FDB8">
      <w:pPr>
        <w:kinsoku/>
        <w:topLinePunct/>
        <w:autoSpaceDE/>
        <w:autoSpaceDN/>
        <w:spacing w:line="274" w:lineRule="auto"/>
        <w:ind w:right="86" w:rightChars="41"/>
        <w:rPr>
          <w:rFonts w:ascii="宋体" w:cs="宋体"/>
          <w:color w:val="auto"/>
          <w:highlight w:val="none"/>
        </w:rPr>
      </w:pPr>
    </w:p>
    <w:p w14:paraId="7581171E">
      <w:pPr>
        <w:kinsoku/>
        <w:topLinePunct/>
        <w:autoSpaceDE/>
        <w:autoSpaceDN/>
        <w:spacing w:line="275" w:lineRule="auto"/>
        <w:ind w:right="86" w:rightChars="41"/>
        <w:rPr>
          <w:rFonts w:ascii="宋体" w:cs="宋体"/>
          <w:color w:val="auto"/>
          <w:highlight w:val="none"/>
        </w:rPr>
      </w:pPr>
    </w:p>
    <w:p w14:paraId="2124C7A1">
      <w:pPr>
        <w:kinsoku/>
        <w:topLinePunct/>
        <w:autoSpaceDE/>
        <w:autoSpaceDN/>
        <w:spacing w:before="69" w:line="391" w:lineRule="exact"/>
        <w:ind w:left="3452"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E7825DB">
      <w:pPr>
        <w:kinsoku/>
        <w:topLinePunct/>
        <w:autoSpaceDE/>
        <w:autoSpaceDN/>
        <w:spacing w:before="1" w:line="220" w:lineRule="auto"/>
        <w:ind w:left="3611"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4886D16A">
      <w:pPr>
        <w:kinsoku/>
        <w:topLinePunct/>
        <w:autoSpaceDE/>
        <w:autoSpaceDN/>
        <w:ind w:right="86" w:rightChars="41"/>
        <w:rPr>
          <w:rFonts w:ascii="宋体" w:cs="宋体"/>
          <w:color w:val="auto"/>
          <w:highlight w:val="none"/>
        </w:rPr>
        <w:sectPr>
          <w:footerReference r:id="rId25"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170A5CD2">
      <w:pPr>
        <w:kinsoku/>
        <w:topLinePunct/>
        <w:autoSpaceDE/>
        <w:autoSpaceDN/>
        <w:spacing w:line="273" w:lineRule="auto"/>
        <w:ind w:right="86" w:rightChars="41"/>
        <w:rPr>
          <w:rFonts w:ascii="宋体" w:cs="宋体"/>
          <w:color w:val="auto"/>
          <w:highlight w:val="none"/>
        </w:rPr>
      </w:pPr>
    </w:p>
    <w:p w14:paraId="3ED42C3E">
      <w:pPr>
        <w:kinsoku/>
        <w:topLinePunct/>
        <w:autoSpaceDE/>
        <w:autoSpaceDN/>
        <w:spacing w:before="78" w:line="220" w:lineRule="auto"/>
        <w:ind w:left="3693" w:right="86" w:rightChars="41"/>
        <w:rPr>
          <w:rFonts w:ascii="宋体" w:cs="宋体"/>
          <w:color w:val="auto"/>
          <w:sz w:val="24"/>
          <w:szCs w:val="24"/>
          <w:highlight w:val="none"/>
        </w:rPr>
      </w:pPr>
      <w:r>
        <w:rPr>
          <w:rFonts w:hint="eastAsia" w:ascii="宋体" w:hAnsi="宋体" w:cs="宋体"/>
          <w:color w:val="auto"/>
          <w:sz w:val="24"/>
          <w:szCs w:val="24"/>
          <w:highlight w:val="none"/>
        </w:rPr>
        <w:t>第二部分技术文件</w:t>
      </w:r>
    </w:p>
    <w:p w14:paraId="55320A20">
      <w:pPr>
        <w:kinsoku/>
        <w:topLinePunct/>
        <w:autoSpaceDE/>
        <w:autoSpaceDN/>
        <w:spacing w:before="87" w:line="220" w:lineRule="auto"/>
        <w:ind w:left="1987" w:right="86" w:rightChars="41"/>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本技术文件供应商可自行编写，也可参照下述提纲编写</w:t>
      </w:r>
      <w:r>
        <w:rPr>
          <w:rFonts w:ascii="宋体" w:hAnsi="宋体" w:cs="宋体"/>
          <w:color w:val="auto"/>
          <w:highlight w:val="none"/>
        </w:rPr>
        <w:t>)</w:t>
      </w:r>
    </w:p>
    <w:p w14:paraId="55FBE93E">
      <w:pPr>
        <w:kinsoku/>
        <w:topLinePunct/>
        <w:autoSpaceDE/>
        <w:autoSpaceDN/>
        <w:spacing w:line="363" w:lineRule="auto"/>
        <w:ind w:right="86" w:rightChars="41"/>
        <w:rPr>
          <w:rFonts w:ascii="宋体" w:cs="宋体"/>
          <w:color w:val="auto"/>
          <w:highlight w:val="none"/>
        </w:rPr>
      </w:pPr>
    </w:p>
    <w:p w14:paraId="17236349">
      <w:pPr>
        <w:kinsoku/>
        <w:topLinePunct/>
        <w:autoSpaceDE/>
        <w:autoSpaceDN/>
        <w:spacing w:before="68" w:line="212" w:lineRule="auto"/>
        <w:ind w:left="209" w:right="86" w:rightChars="41"/>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对本项目第二章《采购需求》技术要求的响应表</w:t>
      </w:r>
    </w:p>
    <w:tbl>
      <w:tblPr>
        <w:tblStyle w:val="14"/>
        <w:tblW w:w="8835"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751"/>
        <w:gridCol w:w="3594"/>
        <w:gridCol w:w="3404"/>
        <w:gridCol w:w="1086"/>
      </w:tblGrid>
      <w:tr w14:paraId="63A0D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97" w:hRule="atLeast"/>
        </w:trPr>
        <w:tc>
          <w:tcPr>
            <w:tcW w:w="751" w:type="dxa"/>
            <w:vAlign w:val="center"/>
          </w:tcPr>
          <w:p w14:paraId="776BF515">
            <w:pPr>
              <w:kinsoku/>
              <w:topLinePunct/>
              <w:autoSpaceDE/>
              <w:autoSpaceDN/>
              <w:ind w:right="86" w:rightChars="41"/>
              <w:jc w:val="center"/>
              <w:rPr>
                <w:rFonts w:ascii="宋体" w:cs="宋体"/>
                <w:color w:val="auto"/>
                <w:highlight w:val="none"/>
              </w:rPr>
            </w:pPr>
          </w:p>
          <w:p w14:paraId="702DE105">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序号</w:t>
            </w:r>
          </w:p>
        </w:tc>
        <w:tc>
          <w:tcPr>
            <w:tcW w:w="3594" w:type="dxa"/>
            <w:vAlign w:val="center"/>
          </w:tcPr>
          <w:p w14:paraId="6B4C7438">
            <w:pPr>
              <w:kinsoku/>
              <w:topLinePunct/>
              <w:autoSpaceDE/>
              <w:autoSpaceDN/>
              <w:ind w:right="86" w:rightChars="41"/>
              <w:jc w:val="center"/>
              <w:rPr>
                <w:rFonts w:ascii="宋体" w:cs="宋体"/>
                <w:color w:val="auto"/>
                <w:highlight w:val="none"/>
              </w:rPr>
            </w:pPr>
          </w:p>
          <w:p w14:paraId="50A645BF">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征集文件要求</w:t>
            </w:r>
          </w:p>
        </w:tc>
        <w:tc>
          <w:tcPr>
            <w:tcW w:w="3404" w:type="dxa"/>
            <w:vAlign w:val="center"/>
          </w:tcPr>
          <w:p w14:paraId="7B16CC62">
            <w:pPr>
              <w:kinsoku/>
              <w:topLinePunct/>
              <w:autoSpaceDE/>
              <w:autoSpaceDN/>
              <w:ind w:right="86" w:rightChars="41"/>
              <w:jc w:val="center"/>
              <w:rPr>
                <w:rFonts w:ascii="宋体" w:cs="宋体"/>
                <w:color w:val="auto"/>
                <w:highlight w:val="none"/>
              </w:rPr>
            </w:pPr>
          </w:p>
          <w:p w14:paraId="039BB5B5">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响应文件响应内容</w:t>
            </w:r>
          </w:p>
        </w:tc>
        <w:tc>
          <w:tcPr>
            <w:tcW w:w="1086" w:type="dxa"/>
            <w:vAlign w:val="center"/>
          </w:tcPr>
          <w:p w14:paraId="34B4AF97">
            <w:pPr>
              <w:kinsoku/>
              <w:topLinePunct/>
              <w:autoSpaceDE/>
              <w:autoSpaceDN/>
              <w:ind w:right="86" w:rightChars="41"/>
              <w:jc w:val="center"/>
              <w:rPr>
                <w:rFonts w:ascii="宋体" w:cs="宋体"/>
                <w:color w:val="auto"/>
                <w:highlight w:val="none"/>
              </w:rPr>
            </w:pPr>
          </w:p>
          <w:p w14:paraId="64FEF2A9">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偏离说明</w:t>
            </w:r>
          </w:p>
        </w:tc>
      </w:tr>
      <w:tr w14:paraId="70281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57" w:hRule="atLeast"/>
        </w:trPr>
        <w:tc>
          <w:tcPr>
            <w:tcW w:w="751" w:type="dxa"/>
            <w:vAlign w:val="center"/>
          </w:tcPr>
          <w:p w14:paraId="7EBC37B5">
            <w:pPr>
              <w:kinsoku/>
              <w:topLinePunct/>
              <w:autoSpaceDE/>
              <w:autoSpaceDN/>
              <w:ind w:right="86" w:rightChars="41"/>
              <w:jc w:val="center"/>
              <w:rPr>
                <w:rFonts w:ascii="宋体" w:cs="宋体"/>
                <w:color w:val="auto"/>
                <w:highlight w:val="none"/>
              </w:rPr>
            </w:pPr>
          </w:p>
        </w:tc>
        <w:tc>
          <w:tcPr>
            <w:tcW w:w="3594" w:type="dxa"/>
            <w:vAlign w:val="center"/>
          </w:tcPr>
          <w:p w14:paraId="3F0FE2A6">
            <w:pPr>
              <w:kinsoku/>
              <w:topLinePunct/>
              <w:autoSpaceDE/>
              <w:autoSpaceDN/>
              <w:ind w:right="86" w:rightChars="41"/>
              <w:jc w:val="center"/>
              <w:rPr>
                <w:rFonts w:ascii="宋体" w:cs="宋体"/>
                <w:color w:val="auto"/>
                <w:highlight w:val="none"/>
              </w:rPr>
            </w:pPr>
          </w:p>
        </w:tc>
        <w:tc>
          <w:tcPr>
            <w:tcW w:w="3404" w:type="dxa"/>
            <w:vAlign w:val="center"/>
          </w:tcPr>
          <w:p w14:paraId="2EFE4E22">
            <w:pPr>
              <w:kinsoku/>
              <w:topLinePunct/>
              <w:autoSpaceDE/>
              <w:autoSpaceDN/>
              <w:ind w:right="86" w:rightChars="41"/>
              <w:jc w:val="center"/>
              <w:rPr>
                <w:rFonts w:ascii="宋体" w:cs="宋体"/>
                <w:color w:val="auto"/>
                <w:highlight w:val="none"/>
              </w:rPr>
            </w:pPr>
          </w:p>
        </w:tc>
        <w:tc>
          <w:tcPr>
            <w:tcW w:w="1086" w:type="dxa"/>
            <w:vAlign w:val="center"/>
          </w:tcPr>
          <w:p w14:paraId="4A045745">
            <w:pPr>
              <w:kinsoku/>
              <w:topLinePunct/>
              <w:autoSpaceDE/>
              <w:autoSpaceDN/>
              <w:ind w:right="86" w:rightChars="41"/>
              <w:jc w:val="center"/>
              <w:rPr>
                <w:rFonts w:ascii="宋体" w:cs="宋体"/>
                <w:color w:val="auto"/>
                <w:highlight w:val="none"/>
              </w:rPr>
            </w:pPr>
          </w:p>
        </w:tc>
      </w:tr>
      <w:tr w14:paraId="77B5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0" w:hRule="atLeast"/>
        </w:trPr>
        <w:tc>
          <w:tcPr>
            <w:tcW w:w="751" w:type="dxa"/>
            <w:vAlign w:val="center"/>
          </w:tcPr>
          <w:p w14:paraId="4AB4D174">
            <w:pPr>
              <w:kinsoku/>
              <w:topLinePunct/>
              <w:autoSpaceDE/>
              <w:autoSpaceDN/>
              <w:ind w:right="86" w:rightChars="41"/>
              <w:jc w:val="center"/>
              <w:rPr>
                <w:rFonts w:ascii="宋体" w:cs="宋体"/>
                <w:color w:val="auto"/>
                <w:highlight w:val="none"/>
              </w:rPr>
            </w:pPr>
          </w:p>
        </w:tc>
        <w:tc>
          <w:tcPr>
            <w:tcW w:w="3594" w:type="dxa"/>
            <w:vAlign w:val="center"/>
          </w:tcPr>
          <w:p w14:paraId="51B45B28">
            <w:pPr>
              <w:kinsoku/>
              <w:topLinePunct/>
              <w:autoSpaceDE/>
              <w:autoSpaceDN/>
              <w:ind w:right="86" w:rightChars="41"/>
              <w:jc w:val="center"/>
              <w:rPr>
                <w:rFonts w:ascii="宋体" w:cs="宋体"/>
                <w:color w:val="auto"/>
                <w:highlight w:val="none"/>
              </w:rPr>
            </w:pPr>
          </w:p>
        </w:tc>
        <w:tc>
          <w:tcPr>
            <w:tcW w:w="3404" w:type="dxa"/>
            <w:vAlign w:val="center"/>
          </w:tcPr>
          <w:p w14:paraId="55EE5C4E">
            <w:pPr>
              <w:kinsoku/>
              <w:topLinePunct/>
              <w:autoSpaceDE/>
              <w:autoSpaceDN/>
              <w:ind w:right="86" w:rightChars="41"/>
              <w:jc w:val="center"/>
              <w:rPr>
                <w:rFonts w:ascii="宋体" w:cs="宋体"/>
                <w:color w:val="auto"/>
                <w:highlight w:val="none"/>
              </w:rPr>
            </w:pPr>
          </w:p>
        </w:tc>
        <w:tc>
          <w:tcPr>
            <w:tcW w:w="1086" w:type="dxa"/>
            <w:vAlign w:val="center"/>
          </w:tcPr>
          <w:p w14:paraId="08B0A825">
            <w:pPr>
              <w:kinsoku/>
              <w:topLinePunct/>
              <w:autoSpaceDE/>
              <w:autoSpaceDN/>
              <w:ind w:right="86" w:rightChars="41"/>
              <w:jc w:val="center"/>
              <w:rPr>
                <w:rFonts w:ascii="宋体" w:cs="宋体"/>
                <w:color w:val="auto"/>
                <w:highlight w:val="none"/>
              </w:rPr>
            </w:pPr>
          </w:p>
        </w:tc>
      </w:tr>
      <w:tr w14:paraId="2383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57" w:hRule="atLeast"/>
        </w:trPr>
        <w:tc>
          <w:tcPr>
            <w:tcW w:w="751" w:type="dxa"/>
            <w:vAlign w:val="center"/>
          </w:tcPr>
          <w:p w14:paraId="51F992ED">
            <w:pPr>
              <w:kinsoku/>
              <w:topLinePunct/>
              <w:autoSpaceDE/>
              <w:autoSpaceDN/>
              <w:ind w:right="86" w:rightChars="41"/>
              <w:jc w:val="center"/>
              <w:rPr>
                <w:rFonts w:ascii="宋体" w:cs="宋体"/>
                <w:color w:val="auto"/>
                <w:highlight w:val="none"/>
              </w:rPr>
            </w:pPr>
          </w:p>
          <w:p w14:paraId="1807A283">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w:t>
            </w:r>
          </w:p>
        </w:tc>
        <w:tc>
          <w:tcPr>
            <w:tcW w:w="3594" w:type="dxa"/>
            <w:vAlign w:val="center"/>
          </w:tcPr>
          <w:p w14:paraId="30C743AA">
            <w:pPr>
              <w:kinsoku/>
              <w:topLinePunct/>
              <w:autoSpaceDE/>
              <w:autoSpaceDN/>
              <w:ind w:right="86" w:rightChars="41"/>
              <w:jc w:val="center"/>
              <w:rPr>
                <w:rFonts w:ascii="宋体" w:cs="宋体"/>
                <w:color w:val="auto"/>
                <w:highlight w:val="none"/>
              </w:rPr>
            </w:pPr>
          </w:p>
        </w:tc>
        <w:tc>
          <w:tcPr>
            <w:tcW w:w="3404" w:type="dxa"/>
            <w:vAlign w:val="center"/>
          </w:tcPr>
          <w:p w14:paraId="0A605DED">
            <w:pPr>
              <w:kinsoku/>
              <w:topLinePunct/>
              <w:autoSpaceDE/>
              <w:autoSpaceDN/>
              <w:ind w:right="86" w:rightChars="41"/>
              <w:jc w:val="center"/>
              <w:rPr>
                <w:rFonts w:ascii="宋体" w:cs="宋体"/>
                <w:color w:val="auto"/>
                <w:highlight w:val="none"/>
              </w:rPr>
            </w:pPr>
          </w:p>
        </w:tc>
        <w:tc>
          <w:tcPr>
            <w:tcW w:w="1086" w:type="dxa"/>
            <w:vAlign w:val="center"/>
          </w:tcPr>
          <w:p w14:paraId="17CB26A5">
            <w:pPr>
              <w:kinsoku/>
              <w:topLinePunct/>
              <w:autoSpaceDE/>
              <w:autoSpaceDN/>
              <w:ind w:right="86" w:rightChars="41"/>
              <w:jc w:val="center"/>
              <w:rPr>
                <w:rFonts w:ascii="宋体" w:cs="宋体"/>
                <w:color w:val="auto"/>
                <w:highlight w:val="none"/>
              </w:rPr>
            </w:pPr>
          </w:p>
        </w:tc>
      </w:tr>
      <w:tr w14:paraId="6E95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3" w:hRule="atLeast"/>
        </w:trPr>
        <w:tc>
          <w:tcPr>
            <w:tcW w:w="751" w:type="dxa"/>
            <w:vAlign w:val="center"/>
          </w:tcPr>
          <w:p w14:paraId="27B7427A">
            <w:pPr>
              <w:kinsoku/>
              <w:topLinePunct/>
              <w:autoSpaceDE/>
              <w:autoSpaceDN/>
              <w:ind w:right="86" w:rightChars="41"/>
              <w:jc w:val="center"/>
              <w:rPr>
                <w:rFonts w:ascii="宋体" w:cs="宋体"/>
                <w:color w:val="auto"/>
                <w:highlight w:val="none"/>
              </w:rPr>
            </w:pPr>
          </w:p>
          <w:p w14:paraId="49409131">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w:t>
            </w:r>
          </w:p>
        </w:tc>
        <w:tc>
          <w:tcPr>
            <w:tcW w:w="3594" w:type="dxa"/>
            <w:vAlign w:val="center"/>
          </w:tcPr>
          <w:p w14:paraId="7739D229">
            <w:pPr>
              <w:kinsoku/>
              <w:topLinePunct/>
              <w:autoSpaceDE/>
              <w:autoSpaceDN/>
              <w:ind w:right="86" w:rightChars="41"/>
              <w:jc w:val="center"/>
              <w:rPr>
                <w:rFonts w:ascii="宋体" w:cs="宋体"/>
                <w:color w:val="auto"/>
                <w:highlight w:val="none"/>
              </w:rPr>
            </w:pPr>
          </w:p>
        </w:tc>
        <w:tc>
          <w:tcPr>
            <w:tcW w:w="3404" w:type="dxa"/>
            <w:vAlign w:val="center"/>
          </w:tcPr>
          <w:p w14:paraId="37E9B046">
            <w:pPr>
              <w:kinsoku/>
              <w:topLinePunct/>
              <w:autoSpaceDE/>
              <w:autoSpaceDN/>
              <w:ind w:right="86" w:rightChars="41"/>
              <w:jc w:val="center"/>
              <w:rPr>
                <w:rFonts w:ascii="宋体" w:cs="宋体"/>
                <w:color w:val="auto"/>
                <w:highlight w:val="none"/>
              </w:rPr>
            </w:pPr>
          </w:p>
        </w:tc>
        <w:tc>
          <w:tcPr>
            <w:tcW w:w="1086" w:type="dxa"/>
            <w:vAlign w:val="center"/>
          </w:tcPr>
          <w:p w14:paraId="39A6E02C">
            <w:pPr>
              <w:kinsoku/>
              <w:topLinePunct/>
              <w:autoSpaceDE/>
              <w:autoSpaceDN/>
              <w:ind w:right="86" w:rightChars="41"/>
              <w:jc w:val="center"/>
              <w:rPr>
                <w:rFonts w:ascii="宋体" w:cs="宋体"/>
                <w:color w:val="auto"/>
                <w:highlight w:val="none"/>
              </w:rPr>
            </w:pPr>
          </w:p>
        </w:tc>
      </w:tr>
    </w:tbl>
    <w:p w14:paraId="60386465">
      <w:pPr>
        <w:kinsoku/>
        <w:topLinePunct/>
        <w:autoSpaceDE/>
        <w:autoSpaceDN/>
        <w:spacing w:line="264" w:lineRule="auto"/>
        <w:ind w:right="86" w:rightChars="41"/>
        <w:rPr>
          <w:rFonts w:ascii="宋体" w:cs="宋体"/>
          <w:color w:val="auto"/>
          <w:highlight w:val="none"/>
        </w:rPr>
      </w:pPr>
    </w:p>
    <w:p w14:paraId="68AF94A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52C1AB7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本表应对征集文件第二章《采购需求》中所列技术要求进行响应，并根据响应情况在“偏</w:t>
      </w:r>
    </w:p>
    <w:p w14:paraId="1BBF79D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离说明”栏填写正偏离或负偏离及原因，完全符合的填写“无偏离”。</w:t>
      </w:r>
    </w:p>
    <w:p w14:paraId="16B7C2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第二章《采购需求》中的总体要求无需响应。</w:t>
      </w:r>
    </w:p>
    <w:p w14:paraId="0CDAE09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）供应商响应的服务的技术不得低于采购需求所有要求。</w:t>
      </w:r>
    </w:p>
    <w:p w14:paraId="60E6336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本表可扩展。</w:t>
      </w:r>
    </w:p>
    <w:p w14:paraId="733105A3">
      <w:pPr>
        <w:kinsoku/>
        <w:topLinePunct/>
        <w:autoSpaceDE/>
        <w:autoSpaceDN/>
        <w:spacing w:line="360" w:lineRule="auto"/>
        <w:ind w:firstLine="420" w:firstLineChars="200"/>
        <w:rPr>
          <w:rFonts w:ascii="宋体" w:cs="宋体"/>
          <w:color w:val="auto"/>
          <w:highlight w:val="none"/>
        </w:rPr>
      </w:pPr>
    </w:p>
    <w:p w14:paraId="239A674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49B3EB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日期：</w:t>
      </w:r>
    </w:p>
    <w:p w14:paraId="7ED17442">
      <w:pPr>
        <w:kinsoku/>
        <w:topLinePunct/>
        <w:autoSpaceDE/>
        <w:autoSpaceDN/>
        <w:spacing w:line="243" w:lineRule="auto"/>
        <w:ind w:right="86" w:rightChars="41"/>
        <w:rPr>
          <w:rFonts w:ascii="宋体" w:cs="宋体"/>
          <w:color w:val="auto"/>
          <w:highlight w:val="none"/>
        </w:rPr>
      </w:pPr>
    </w:p>
    <w:p w14:paraId="2037481D">
      <w:pPr>
        <w:kinsoku/>
        <w:topLinePunct/>
        <w:autoSpaceDE/>
        <w:autoSpaceDN/>
        <w:spacing w:line="243" w:lineRule="auto"/>
        <w:ind w:right="86" w:rightChars="41"/>
        <w:rPr>
          <w:rFonts w:ascii="宋体" w:cs="宋体"/>
          <w:color w:val="auto"/>
          <w:highlight w:val="none"/>
        </w:rPr>
      </w:pPr>
    </w:p>
    <w:p w14:paraId="60F2BED5">
      <w:pPr>
        <w:kinsoku/>
        <w:topLinePunct/>
        <w:autoSpaceDE/>
        <w:autoSpaceDN/>
        <w:spacing w:line="320" w:lineRule="auto"/>
        <w:ind w:right="86" w:rightChars="41"/>
        <w:rPr>
          <w:rFonts w:ascii="宋体" w:cs="宋体"/>
          <w:color w:val="auto"/>
          <w:highlight w:val="none"/>
        </w:rPr>
      </w:pPr>
    </w:p>
    <w:p w14:paraId="61FC3128">
      <w:pPr>
        <w:kinsoku/>
        <w:topLinePunct/>
        <w:autoSpaceDE/>
        <w:autoSpaceDN/>
        <w:spacing w:before="68" w:line="221" w:lineRule="auto"/>
        <w:ind w:left="5"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服务方案</w:t>
      </w:r>
    </w:p>
    <w:p w14:paraId="1FB66D2D">
      <w:pPr>
        <w:kinsoku/>
        <w:topLinePunct/>
        <w:autoSpaceDE/>
        <w:autoSpaceDN/>
        <w:spacing w:before="141" w:line="218" w:lineRule="auto"/>
        <w:ind w:left="216" w:right="86" w:rightChars="41"/>
        <w:rPr>
          <w:rFonts w:ascii="宋体" w:cs="宋体"/>
          <w:color w:val="auto"/>
          <w:highlight w:val="none"/>
        </w:rPr>
      </w:pPr>
      <w:r>
        <w:rPr>
          <w:rFonts w:hint="eastAsia" w:ascii="宋体" w:hAnsi="宋体" w:cs="宋体"/>
          <w:color w:val="auto"/>
          <w:highlight w:val="none"/>
        </w:rPr>
        <w:t>格式自拟。</w:t>
      </w:r>
    </w:p>
    <w:p w14:paraId="2AC25850">
      <w:pPr>
        <w:kinsoku/>
        <w:topLinePunct/>
        <w:autoSpaceDE/>
        <w:autoSpaceDN/>
        <w:spacing w:line="450" w:lineRule="auto"/>
        <w:ind w:right="86" w:rightChars="41"/>
        <w:rPr>
          <w:rFonts w:ascii="宋体" w:cs="宋体"/>
          <w:color w:val="auto"/>
          <w:highlight w:val="none"/>
        </w:rPr>
      </w:pPr>
    </w:p>
    <w:p w14:paraId="7DE6F363">
      <w:pPr>
        <w:kinsoku/>
        <w:topLinePunct/>
        <w:autoSpaceDE/>
        <w:autoSpaceDN/>
        <w:ind w:right="86" w:rightChars="41"/>
        <w:rPr>
          <w:rFonts w:ascii="宋体" w:cs="宋体"/>
          <w:color w:val="auto"/>
          <w:highlight w:val="none"/>
        </w:rPr>
      </w:pPr>
      <w:r>
        <w:rPr>
          <w:rFonts w:ascii="宋体" w:cs="宋体"/>
          <w:color w:val="auto"/>
          <w:highlight w:val="none"/>
        </w:rPr>
        <w:br w:type="page"/>
      </w:r>
    </w:p>
    <w:p w14:paraId="4F3CD637">
      <w:pPr>
        <w:kinsoku/>
        <w:topLinePunct/>
        <w:autoSpaceDE/>
        <w:autoSpaceDN/>
        <w:spacing w:before="69" w:line="217" w:lineRule="auto"/>
        <w:ind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响应真实性承诺</w:t>
      </w:r>
    </w:p>
    <w:p w14:paraId="6F725D64">
      <w:pPr>
        <w:kinsoku/>
        <w:topLinePunct/>
        <w:autoSpaceDE/>
        <w:autoSpaceDN/>
        <w:spacing w:before="213" w:line="217" w:lineRule="auto"/>
        <w:ind w:left="3692" w:right="86" w:rightChars="41"/>
        <w:rPr>
          <w:rFonts w:ascii="宋体" w:cs="宋体"/>
          <w:color w:val="auto"/>
          <w:highlight w:val="none"/>
        </w:rPr>
      </w:pPr>
      <w:r>
        <w:rPr>
          <w:rFonts w:hint="eastAsia" w:ascii="宋体" w:hAnsi="宋体" w:cs="宋体"/>
          <w:color w:val="auto"/>
          <w:highlight w:val="none"/>
        </w:rPr>
        <w:t>响应真实性承诺函</w:t>
      </w:r>
    </w:p>
    <w:p w14:paraId="72F68FE2">
      <w:pPr>
        <w:kinsoku/>
        <w:topLinePunct/>
        <w:autoSpaceDE/>
        <w:autoSpaceDN/>
        <w:spacing w:line="288" w:lineRule="auto"/>
        <w:ind w:right="86" w:rightChars="41"/>
        <w:rPr>
          <w:rFonts w:ascii="宋体" w:cs="宋体"/>
          <w:color w:val="auto"/>
          <w:highlight w:val="none"/>
        </w:rPr>
      </w:pPr>
    </w:p>
    <w:p w14:paraId="0AA689B3">
      <w:pPr>
        <w:kinsoku/>
        <w:topLinePunct/>
        <w:autoSpaceDE/>
        <w:autoSpaceDN/>
        <w:spacing w:line="289" w:lineRule="auto"/>
        <w:ind w:right="86" w:rightChars="41"/>
        <w:rPr>
          <w:rFonts w:ascii="宋体" w:cs="宋体"/>
          <w:color w:val="auto"/>
          <w:highlight w:val="none"/>
        </w:rPr>
      </w:pPr>
    </w:p>
    <w:p w14:paraId="74D7B984">
      <w:pPr>
        <w:kinsoku/>
        <w:topLinePunct/>
        <w:autoSpaceDE/>
        <w:autoSpaceDN/>
        <w:spacing w:line="289" w:lineRule="auto"/>
        <w:ind w:right="86" w:rightChars="41"/>
        <w:rPr>
          <w:rFonts w:ascii="宋体" w:cs="宋体"/>
          <w:color w:val="auto"/>
          <w:highlight w:val="none"/>
        </w:rPr>
      </w:pPr>
    </w:p>
    <w:p w14:paraId="1F3764C1">
      <w:pPr>
        <w:kinsoku/>
        <w:topLinePunct/>
        <w:autoSpaceDE/>
        <w:autoSpaceDN/>
        <w:spacing w:before="68" w:line="490" w:lineRule="auto"/>
        <w:ind w:left="22" w:right="86" w:rightChars="41" w:firstLine="629"/>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参与</w:t>
      </w:r>
      <w:r>
        <w:rPr>
          <w:rFonts w:ascii="宋体" w:hAnsi="宋体" w:cs="宋体"/>
          <w:color w:val="auto"/>
          <w:highlight w:val="none"/>
        </w:rPr>
        <w:t>__________________________________</w:t>
      </w:r>
      <w:r>
        <w:rPr>
          <w:rFonts w:hint="eastAsia" w:ascii="宋体" w:hAnsi="宋体" w:cs="宋体"/>
          <w:color w:val="auto"/>
          <w:highlight w:val="none"/>
        </w:rPr>
        <w:t>项目公开征集活动，对征集文件的要求充分知悉，现郑重承诺如下：</w:t>
      </w:r>
    </w:p>
    <w:p w14:paraId="6DE2AB04">
      <w:pPr>
        <w:kinsoku/>
        <w:topLinePunct/>
        <w:autoSpaceDE/>
        <w:autoSpaceDN/>
        <w:spacing w:before="8" w:line="492" w:lineRule="auto"/>
        <w:ind w:left="4" w:right="86" w:rightChars="41" w:firstLine="646"/>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严格按照征集文件要求编制响应文件，承诺提供的响应文件中所有内容、资料均真实、有效，并承担相应的法律责任。</w:t>
      </w:r>
    </w:p>
    <w:p w14:paraId="22424447">
      <w:pPr>
        <w:kinsoku/>
        <w:topLinePunct/>
        <w:autoSpaceDE/>
        <w:autoSpaceDN/>
        <w:spacing w:before="1" w:line="492" w:lineRule="auto"/>
        <w:ind w:left="5" w:right="86" w:rightChars="41" w:firstLine="645"/>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如有提供虚假材料谋取入围或者合同成交的情形，愿意接受征集人取消本公司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入围资格，解除或终止与本公司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签订的框架协议及合同，并依照政府采购法等有关法律、行政法规追究本公司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法律责任。</w:t>
      </w:r>
    </w:p>
    <w:p w14:paraId="20C60DEB">
      <w:pPr>
        <w:kinsoku/>
        <w:topLinePunct/>
        <w:autoSpaceDE/>
        <w:autoSpaceDN/>
        <w:spacing w:before="3" w:line="492" w:lineRule="auto"/>
        <w:ind w:left="22" w:right="86" w:rightChars="41" w:firstLine="629"/>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若违反《政府采购框架协议采购方式管理暂行办法》规定，给他人造成损失的，相关当事人可依法提起诉讼，由本公司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承担赔偿责任。</w:t>
      </w:r>
    </w:p>
    <w:p w14:paraId="37F8FCBC">
      <w:pPr>
        <w:kinsoku/>
        <w:topLinePunct/>
        <w:autoSpaceDE/>
        <w:autoSpaceDN/>
        <w:spacing w:line="244" w:lineRule="auto"/>
        <w:ind w:right="86" w:rightChars="41"/>
        <w:rPr>
          <w:rFonts w:ascii="宋体" w:cs="宋体"/>
          <w:color w:val="auto"/>
          <w:highlight w:val="none"/>
        </w:rPr>
      </w:pPr>
    </w:p>
    <w:p w14:paraId="080E9886">
      <w:pPr>
        <w:kinsoku/>
        <w:topLinePunct/>
        <w:autoSpaceDE/>
        <w:autoSpaceDN/>
        <w:spacing w:line="244" w:lineRule="auto"/>
        <w:ind w:right="86" w:rightChars="41"/>
        <w:rPr>
          <w:rFonts w:ascii="宋体" w:cs="宋体"/>
          <w:color w:val="auto"/>
          <w:highlight w:val="none"/>
        </w:rPr>
      </w:pPr>
    </w:p>
    <w:p w14:paraId="09B94CC9">
      <w:pPr>
        <w:kinsoku/>
        <w:topLinePunct/>
        <w:autoSpaceDE/>
        <w:autoSpaceDN/>
        <w:spacing w:before="68" w:line="220" w:lineRule="auto"/>
        <w:ind w:left="4956" w:right="86" w:rightChars="41"/>
        <w:rPr>
          <w:rFonts w:asci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p w14:paraId="6CD03A56">
      <w:pPr>
        <w:kinsoku/>
        <w:topLinePunct/>
        <w:autoSpaceDE/>
        <w:autoSpaceDN/>
        <w:spacing w:before="309" w:line="219" w:lineRule="auto"/>
        <w:ind w:left="4957" w:right="86" w:rightChars="41"/>
        <w:rPr>
          <w:rFonts w:ascii="宋体" w:cs="宋体"/>
          <w:color w:val="auto"/>
          <w:highlight w:val="none"/>
        </w:rPr>
      </w:pPr>
      <w:r>
        <w:rPr>
          <w:rFonts w:hint="eastAsia" w:ascii="宋体" w:hAnsi="宋体" w:cs="宋体"/>
          <w:color w:val="auto"/>
          <w:highlight w:val="none"/>
        </w:rPr>
        <w:t>法定代表人</w:t>
      </w:r>
      <w:r>
        <w:rPr>
          <w:rFonts w:ascii="宋体" w:hAnsi="宋体" w:cs="宋体"/>
          <w:color w:val="auto"/>
          <w:highlight w:val="none"/>
        </w:rPr>
        <w:t>(</w:t>
      </w:r>
      <w:r>
        <w:rPr>
          <w:rFonts w:hint="eastAsia" w:ascii="宋体" w:hAnsi="宋体" w:cs="宋体"/>
          <w:color w:val="auto"/>
          <w:highlight w:val="none"/>
        </w:rPr>
        <w:t>签字</w:t>
      </w:r>
      <w:r>
        <w:rPr>
          <w:rFonts w:ascii="宋体" w:hAnsi="宋体" w:cs="宋体"/>
          <w:color w:val="auto"/>
          <w:highlight w:val="none"/>
        </w:rPr>
        <w:t>)</w:t>
      </w:r>
      <w:r>
        <w:rPr>
          <w:rFonts w:hint="eastAsia" w:ascii="宋体" w:hAnsi="宋体" w:cs="宋体"/>
          <w:color w:val="auto"/>
          <w:highlight w:val="none"/>
        </w:rPr>
        <w:t>：</w:t>
      </w:r>
    </w:p>
    <w:p w14:paraId="18F2DDC4">
      <w:pPr>
        <w:kinsoku/>
        <w:topLinePunct/>
        <w:autoSpaceDE/>
        <w:autoSpaceDN/>
        <w:ind w:right="86" w:rightChars="41"/>
        <w:rPr>
          <w:rFonts w:ascii="宋体" w:cs="宋体"/>
          <w:color w:val="auto"/>
          <w:highlight w:val="none"/>
        </w:rPr>
      </w:pPr>
    </w:p>
    <w:p w14:paraId="1F9C78AD">
      <w:pPr>
        <w:kinsoku/>
        <w:topLinePunct/>
        <w:autoSpaceDE/>
        <w:autoSpaceDN/>
        <w:spacing w:before="69" w:line="221" w:lineRule="auto"/>
        <w:ind w:left="5012" w:right="86" w:rightChars="41"/>
        <w:rPr>
          <w:rFonts w:ascii="宋体" w:cs="宋体"/>
          <w:color w:val="auto"/>
          <w:highlight w:val="none"/>
        </w:rPr>
      </w:pPr>
      <w:r>
        <w:rPr>
          <w:rFonts w:hint="eastAsia" w:ascii="宋体" w:hAnsi="宋体" w:cs="宋体"/>
          <w:color w:val="auto"/>
          <w:highlight w:val="none"/>
        </w:rPr>
        <w:t>日期：</w:t>
      </w:r>
    </w:p>
    <w:p w14:paraId="1DAD2D92">
      <w:pPr>
        <w:kinsoku/>
        <w:topLinePunct/>
        <w:autoSpaceDE/>
        <w:autoSpaceDN/>
        <w:ind w:right="86" w:rightChars="41"/>
        <w:rPr>
          <w:rFonts w:ascii="宋体" w:cs="宋体"/>
          <w:color w:val="auto"/>
          <w:highlight w:val="none"/>
        </w:rPr>
        <w:sectPr>
          <w:footerReference r:id="rId26"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617A52A6">
      <w:pPr>
        <w:kinsoku/>
        <w:topLinePunct/>
        <w:autoSpaceDE/>
        <w:autoSpaceDN/>
        <w:spacing w:line="320" w:lineRule="auto"/>
        <w:ind w:right="86" w:rightChars="41"/>
        <w:rPr>
          <w:rFonts w:ascii="宋体" w:cs="宋体"/>
          <w:color w:val="auto"/>
          <w:highlight w:val="none"/>
        </w:rPr>
      </w:pPr>
    </w:p>
    <w:p w14:paraId="3FDDAC82">
      <w:pPr>
        <w:kinsoku/>
        <w:topLinePunct/>
        <w:autoSpaceDE/>
        <w:autoSpaceDN/>
        <w:spacing w:before="68" w:line="502" w:lineRule="exact"/>
        <w:ind w:left="41" w:right="86" w:rightChars="41"/>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项目拟投入服务团队人员结构表</w:t>
      </w:r>
      <w:r>
        <w:rPr>
          <w:rFonts w:ascii="宋体" w:hAnsi="宋体" w:cs="宋体"/>
          <w:color w:val="auto"/>
          <w:highlight w:val="none"/>
        </w:rPr>
        <w:t>(</w:t>
      </w:r>
      <w:r>
        <w:rPr>
          <w:rFonts w:hint="eastAsia" w:ascii="宋体" w:hAnsi="宋体" w:cs="宋体"/>
          <w:color w:val="auto"/>
          <w:highlight w:val="none"/>
        </w:rPr>
        <w:t>包括但不限于学历、证书情况、职称、年龄等</w:t>
      </w:r>
      <w:r>
        <w:rPr>
          <w:rFonts w:ascii="宋体" w:hAnsi="宋体" w:cs="宋体"/>
          <w:color w:val="auto"/>
          <w:highlight w:val="none"/>
        </w:rPr>
        <w:t>)</w:t>
      </w:r>
    </w:p>
    <w:p w14:paraId="76A63787">
      <w:pPr>
        <w:kinsoku/>
        <w:topLinePunct/>
        <w:autoSpaceDE/>
        <w:autoSpaceDN/>
        <w:spacing w:line="219" w:lineRule="auto"/>
        <w:ind w:left="3299" w:right="86" w:rightChars="41"/>
        <w:rPr>
          <w:rFonts w:ascii="宋体" w:cs="宋体"/>
          <w:color w:val="auto"/>
          <w:highlight w:val="none"/>
        </w:rPr>
      </w:pPr>
      <w:r>
        <w:rPr>
          <w:rFonts w:hint="eastAsia" w:ascii="宋体" w:hAnsi="宋体" w:cs="宋体"/>
          <w:color w:val="auto"/>
          <w:highlight w:val="none"/>
        </w:rPr>
        <w:t>拟投入评审项目人员一览表</w:t>
      </w:r>
    </w:p>
    <w:p w14:paraId="7A07FE29">
      <w:pPr>
        <w:kinsoku/>
        <w:topLinePunct/>
        <w:autoSpaceDE/>
        <w:autoSpaceDN/>
        <w:spacing w:line="60" w:lineRule="exact"/>
        <w:ind w:right="86" w:rightChars="41"/>
        <w:rPr>
          <w:rFonts w:ascii="宋体" w:cs="宋体"/>
          <w:color w:val="auto"/>
          <w:highlight w:val="none"/>
        </w:rPr>
      </w:pPr>
    </w:p>
    <w:tbl>
      <w:tblPr>
        <w:tblStyle w:val="14"/>
        <w:tblW w:w="9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260"/>
        <w:gridCol w:w="794"/>
        <w:gridCol w:w="1516"/>
        <w:gridCol w:w="1379"/>
        <w:gridCol w:w="1303"/>
        <w:gridCol w:w="1509"/>
      </w:tblGrid>
      <w:tr w14:paraId="6ABF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36" w:type="dxa"/>
          </w:tcPr>
          <w:p w14:paraId="08BF9B8E">
            <w:pPr>
              <w:kinsoku/>
              <w:topLinePunct/>
              <w:autoSpaceDE/>
              <w:autoSpaceDN/>
              <w:spacing w:before="290" w:line="221" w:lineRule="auto"/>
              <w:ind w:left="464" w:right="86" w:rightChars="41"/>
              <w:rPr>
                <w:rFonts w:ascii="宋体" w:cs="宋体"/>
                <w:color w:val="auto"/>
                <w:highlight w:val="none"/>
              </w:rPr>
            </w:pPr>
            <w:r>
              <w:rPr>
                <w:rFonts w:hint="eastAsia" w:ascii="宋体" w:hAnsi="宋体" w:cs="宋体"/>
                <w:color w:val="auto"/>
                <w:highlight w:val="none"/>
              </w:rPr>
              <w:t>姓名</w:t>
            </w:r>
          </w:p>
        </w:tc>
        <w:tc>
          <w:tcPr>
            <w:tcW w:w="1260" w:type="dxa"/>
          </w:tcPr>
          <w:p w14:paraId="043B65EE">
            <w:pPr>
              <w:kinsoku/>
              <w:topLinePunct/>
              <w:autoSpaceDE/>
              <w:autoSpaceDN/>
              <w:spacing w:before="290" w:line="221" w:lineRule="auto"/>
              <w:ind w:left="424" w:right="86" w:rightChars="41"/>
              <w:rPr>
                <w:rFonts w:ascii="宋体" w:cs="宋体"/>
                <w:color w:val="auto"/>
                <w:highlight w:val="none"/>
              </w:rPr>
            </w:pPr>
            <w:r>
              <w:rPr>
                <w:rFonts w:hint="eastAsia" w:ascii="宋体" w:hAnsi="宋体" w:cs="宋体"/>
                <w:color w:val="auto"/>
                <w:highlight w:val="none"/>
              </w:rPr>
              <w:t>职务</w:t>
            </w:r>
          </w:p>
        </w:tc>
        <w:tc>
          <w:tcPr>
            <w:tcW w:w="794" w:type="dxa"/>
          </w:tcPr>
          <w:p w14:paraId="73684088">
            <w:pPr>
              <w:kinsoku/>
              <w:topLinePunct/>
              <w:autoSpaceDE/>
              <w:autoSpaceDN/>
              <w:spacing w:before="154" w:line="238" w:lineRule="auto"/>
              <w:ind w:left="194" w:right="86" w:rightChars="41"/>
              <w:rPr>
                <w:rFonts w:ascii="宋体" w:cs="宋体"/>
                <w:color w:val="auto"/>
                <w:highlight w:val="none"/>
              </w:rPr>
            </w:pPr>
            <w:r>
              <w:rPr>
                <w:rFonts w:hint="eastAsia" w:ascii="宋体" w:hAnsi="宋体" w:cs="宋体"/>
                <w:color w:val="auto"/>
                <w:highlight w:val="none"/>
              </w:rPr>
              <w:t>分配</w:t>
            </w:r>
          </w:p>
          <w:p w14:paraId="003BD34F">
            <w:pPr>
              <w:kinsoku/>
              <w:topLinePunct/>
              <w:autoSpaceDE/>
              <w:autoSpaceDN/>
              <w:spacing w:line="221" w:lineRule="auto"/>
              <w:ind w:left="214" w:right="86" w:rightChars="41"/>
              <w:rPr>
                <w:rFonts w:ascii="宋体" w:cs="宋体"/>
                <w:color w:val="auto"/>
                <w:highlight w:val="none"/>
              </w:rPr>
            </w:pPr>
            <w:r>
              <w:rPr>
                <w:rFonts w:hint="eastAsia" w:ascii="宋体" w:hAnsi="宋体" w:cs="宋体"/>
                <w:color w:val="auto"/>
                <w:highlight w:val="none"/>
              </w:rPr>
              <w:t>岗位</w:t>
            </w:r>
          </w:p>
        </w:tc>
        <w:tc>
          <w:tcPr>
            <w:tcW w:w="1516" w:type="dxa"/>
          </w:tcPr>
          <w:p w14:paraId="6C0564F7">
            <w:pPr>
              <w:kinsoku/>
              <w:topLinePunct/>
              <w:autoSpaceDE/>
              <w:autoSpaceDN/>
              <w:spacing w:before="291" w:line="219" w:lineRule="auto"/>
              <w:ind w:left="344" w:right="86" w:rightChars="41"/>
              <w:rPr>
                <w:rFonts w:ascii="宋体" w:cs="宋体"/>
                <w:color w:val="auto"/>
                <w:highlight w:val="none"/>
              </w:rPr>
            </w:pPr>
            <w:r>
              <w:rPr>
                <w:rFonts w:hint="eastAsia" w:ascii="宋体" w:hAnsi="宋体" w:cs="宋体"/>
                <w:color w:val="auto"/>
                <w:highlight w:val="none"/>
              </w:rPr>
              <w:t>职业资格</w:t>
            </w:r>
          </w:p>
        </w:tc>
        <w:tc>
          <w:tcPr>
            <w:tcW w:w="1379" w:type="dxa"/>
          </w:tcPr>
          <w:p w14:paraId="7568C8BA">
            <w:pPr>
              <w:kinsoku/>
              <w:topLinePunct/>
              <w:autoSpaceDE/>
              <w:autoSpaceDN/>
              <w:spacing w:before="291" w:line="219" w:lineRule="auto"/>
              <w:ind w:left="487" w:right="86" w:rightChars="41"/>
              <w:rPr>
                <w:rFonts w:ascii="宋体" w:cs="宋体"/>
                <w:color w:val="auto"/>
                <w:highlight w:val="none"/>
              </w:rPr>
            </w:pPr>
            <w:r>
              <w:rPr>
                <w:rFonts w:hint="eastAsia" w:ascii="宋体" w:hAnsi="宋体" w:cs="宋体"/>
                <w:color w:val="auto"/>
                <w:highlight w:val="none"/>
              </w:rPr>
              <w:t>专业</w:t>
            </w:r>
          </w:p>
        </w:tc>
        <w:tc>
          <w:tcPr>
            <w:tcW w:w="1303" w:type="dxa"/>
          </w:tcPr>
          <w:p w14:paraId="73B935AF">
            <w:pPr>
              <w:kinsoku/>
              <w:topLinePunct/>
              <w:autoSpaceDE/>
              <w:autoSpaceDN/>
              <w:spacing w:before="290" w:line="223" w:lineRule="auto"/>
              <w:ind w:left="449" w:right="86" w:rightChars="41"/>
              <w:rPr>
                <w:rFonts w:ascii="宋体" w:cs="宋体"/>
                <w:color w:val="auto"/>
                <w:highlight w:val="none"/>
              </w:rPr>
            </w:pPr>
            <w:r>
              <w:rPr>
                <w:rFonts w:hint="eastAsia" w:ascii="宋体" w:hAnsi="宋体" w:cs="宋体"/>
                <w:color w:val="auto"/>
                <w:highlight w:val="none"/>
              </w:rPr>
              <w:t>职称</w:t>
            </w:r>
          </w:p>
        </w:tc>
        <w:tc>
          <w:tcPr>
            <w:tcW w:w="1509" w:type="dxa"/>
          </w:tcPr>
          <w:p w14:paraId="4926C5A2">
            <w:pPr>
              <w:kinsoku/>
              <w:topLinePunct/>
              <w:autoSpaceDE/>
              <w:autoSpaceDN/>
              <w:spacing w:before="290" w:line="221" w:lineRule="auto"/>
              <w:ind w:left="132" w:right="86" w:rightChars="41"/>
              <w:rPr>
                <w:rFonts w:ascii="宋体" w:cs="宋体"/>
                <w:color w:val="auto"/>
                <w:highlight w:val="none"/>
              </w:rPr>
            </w:pPr>
            <w:r>
              <w:rPr>
                <w:rFonts w:hint="eastAsia" w:ascii="宋体" w:hAnsi="宋体" w:cs="宋体"/>
                <w:color w:val="auto"/>
                <w:highlight w:val="none"/>
              </w:rPr>
              <w:t>工作经历年限</w:t>
            </w:r>
          </w:p>
        </w:tc>
      </w:tr>
      <w:tr w14:paraId="7032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336" w:type="dxa"/>
          </w:tcPr>
          <w:p w14:paraId="0FE99631">
            <w:pPr>
              <w:kinsoku/>
              <w:topLinePunct/>
              <w:autoSpaceDE/>
              <w:autoSpaceDN/>
              <w:ind w:right="86" w:rightChars="41"/>
              <w:rPr>
                <w:rFonts w:ascii="宋体" w:cs="宋体"/>
                <w:color w:val="auto"/>
                <w:highlight w:val="none"/>
              </w:rPr>
            </w:pPr>
          </w:p>
        </w:tc>
        <w:tc>
          <w:tcPr>
            <w:tcW w:w="1260" w:type="dxa"/>
          </w:tcPr>
          <w:p w14:paraId="3AA8C065">
            <w:pPr>
              <w:kinsoku/>
              <w:topLinePunct/>
              <w:autoSpaceDE/>
              <w:autoSpaceDN/>
              <w:ind w:right="86" w:rightChars="41"/>
              <w:rPr>
                <w:rFonts w:ascii="宋体" w:cs="宋体"/>
                <w:color w:val="auto"/>
                <w:highlight w:val="none"/>
              </w:rPr>
            </w:pPr>
          </w:p>
        </w:tc>
        <w:tc>
          <w:tcPr>
            <w:tcW w:w="794" w:type="dxa"/>
          </w:tcPr>
          <w:p w14:paraId="5D41F900">
            <w:pPr>
              <w:kinsoku/>
              <w:topLinePunct/>
              <w:autoSpaceDE/>
              <w:autoSpaceDN/>
              <w:ind w:right="86" w:rightChars="41"/>
              <w:rPr>
                <w:rFonts w:ascii="宋体" w:cs="宋体"/>
                <w:color w:val="auto"/>
                <w:highlight w:val="none"/>
              </w:rPr>
            </w:pPr>
          </w:p>
        </w:tc>
        <w:tc>
          <w:tcPr>
            <w:tcW w:w="1516" w:type="dxa"/>
          </w:tcPr>
          <w:p w14:paraId="551273B6">
            <w:pPr>
              <w:kinsoku/>
              <w:topLinePunct/>
              <w:autoSpaceDE/>
              <w:autoSpaceDN/>
              <w:ind w:right="86" w:rightChars="41"/>
              <w:rPr>
                <w:rFonts w:ascii="宋体" w:cs="宋体"/>
                <w:color w:val="auto"/>
                <w:highlight w:val="none"/>
              </w:rPr>
            </w:pPr>
          </w:p>
        </w:tc>
        <w:tc>
          <w:tcPr>
            <w:tcW w:w="1379" w:type="dxa"/>
          </w:tcPr>
          <w:p w14:paraId="3EAAD586">
            <w:pPr>
              <w:kinsoku/>
              <w:topLinePunct/>
              <w:autoSpaceDE/>
              <w:autoSpaceDN/>
              <w:ind w:right="86" w:rightChars="41"/>
              <w:rPr>
                <w:rFonts w:ascii="宋体" w:cs="宋体"/>
                <w:color w:val="auto"/>
                <w:highlight w:val="none"/>
              </w:rPr>
            </w:pPr>
          </w:p>
        </w:tc>
        <w:tc>
          <w:tcPr>
            <w:tcW w:w="1303" w:type="dxa"/>
          </w:tcPr>
          <w:p w14:paraId="581A9F89">
            <w:pPr>
              <w:kinsoku/>
              <w:topLinePunct/>
              <w:autoSpaceDE/>
              <w:autoSpaceDN/>
              <w:ind w:right="86" w:rightChars="41"/>
              <w:rPr>
                <w:rFonts w:ascii="宋体" w:cs="宋体"/>
                <w:color w:val="auto"/>
                <w:highlight w:val="none"/>
              </w:rPr>
            </w:pPr>
          </w:p>
        </w:tc>
        <w:tc>
          <w:tcPr>
            <w:tcW w:w="1509" w:type="dxa"/>
          </w:tcPr>
          <w:p w14:paraId="3A180AFB">
            <w:pPr>
              <w:kinsoku/>
              <w:topLinePunct/>
              <w:autoSpaceDE/>
              <w:autoSpaceDN/>
              <w:ind w:right="86" w:rightChars="41"/>
              <w:rPr>
                <w:rFonts w:ascii="宋体" w:cs="宋体"/>
                <w:color w:val="auto"/>
                <w:highlight w:val="none"/>
              </w:rPr>
            </w:pPr>
          </w:p>
        </w:tc>
      </w:tr>
      <w:tr w14:paraId="21D2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336" w:type="dxa"/>
          </w:tcPr>
          <w:p w14:paraId="4A7CC170">
            <w:pPr>
              <w:kinsoku/>
              <w:topLinePunct/>
              <w:autoSpaceDE/>
              <w:autoSpaceDN/>
              <w:ind w:right="86" w:rightChars="41"/>
              <w:rPr>
                <w:rFonts w:ascii="宋体" w:cs="宋体"/>
                <w:color w:val="auto"/>
                <w:highlight w:val="none"/>
              </w:rPr>
            </w:pPr>
          </w:p>
        </w:tc>
        <w:tc>
          <w:tcPr>
            <w:tcW w:w="1260" w:type="dxa"/>
          </w:tcPr>
          <w:p w14:paraId="0CA96679">
            <w:pPr>
              <w:kinsoku/>
              <w:topLinePunct/>
              <w:autoSpaceDE/>
              <w:autoSpaceDN/>
              <w:ind w:right="86" w:rightChars="41"/>
              <w:rPr>
                <w:rFonts w:ascii="宋体" w:cs="宋体"/>
                <w:color w:val="auto"/>
                <w:highlight w:val="none"/>
              </w:rPr>
            </w:pPr>
          </w:p>
        </w:tc>
        <w:tc>
          <w:tcPr>
            <w:tcW w:w="794" w:type="dxa"/>
          </w:tcPr>
          <w:p w14:paraId="62F73A78">
            <w:pPr>
              <w:kinsoku/>
              <w:topLinePunct/>
              <w:autoSpaceDE/>
              <w:autoSpaceDN/>
              <w:ind w:right="86" w:rightChars="41"/>
              <w:rPr>
                <w:rFonts w:ascii="宋体" w:cs="宋体"/>
                <w:color w:val="auto"/>
                <w:highlight w:val="none"/>
              </w:rPr>
            </w:pPr>
          </w:p>
        </w:tc>
        <w:tc>
          <w:tcPr>
            <w:tcW w:w="1516" w:type="dxa"/>
          </w:tcPr>
          <w:p w14:paraId="6A6488BC">
            <w:pPr>
              <w:kinsoku/>
              <w:topLinePunct/>
              <w:autoSpaceDE/>
              <w:autoSpaceDN/>
              <w:ind w:right="86" w:rightChars="41"/>
              <w:rPr>
                <w:rFonts w:ascii="宋体" w:cs="宋体"/>
                <w:color w:val="auto"/>
                <w:highlight w:val="none"/>
              </w:rPr>
            </w:pPr>
          </w:p>
        </w:tc>
        <w:tc>
          <w:tcPr>
            <w:tcW w:w="1379" w:type="dxa"/>
          </w:tcPr>
          <w:p w14:paraId="1A4F9EB0">
            <w:pPr>
              <w:kinsoku/>
              <w:topLinePunct/>
              <w:autoSpaceDE/>
              <w:autoSpaceDN/>
              <w:ind w:right="86" w:rightChars="41"/>
              <w:rPr>
                <w:rFonts w:ascii="宋体" w:cs="宋体"/>
                <w:color w:val="auto"/>
                <w:highlight w:val="none"/>
              </w:rPr>
            </w:pPr>
          </w:p>
        </w:tc>
        <w:tc>
          <w:tcPr>
            <w:tcW w:w="1303" w:type="dxa"/>
          </w:tcPr>
          <w:p w14:paraId="589C007D">
            <w:pPr>
              <w:kinsoku/>
              <w:topLinePunct/>
              <w:autoSpaceDE/>
              <w:autoSpaceDN/>
              <w:ind w:right="86" w:rightChars="41"/>
              <w:rPr>
                <w:rFonts w:ascii="宋体" w:cs="宋体"/>
                <w:color w:val="auto"/>
                <w:highlight w:val="none"/>
              </w:rPr>
            </w:pPr>
          </w:p>
        </w:tc>
        <w:tc>
          <w:tcPr>
            <w:tcW w:w="1509" w:type="dxa"/>
          </w:tcPr>
          <w:p w14:paraId="53CBF669">
            <w:pPr>
              <w:kinsoku/>
              <w:topLinePunct/>
              <w:autoSpaceDE/>
              <w:autoSpaceDN/>
              <w:ind w:right="86" w:rightChars="41"/>
              <w:rPr>
                <w:rFonts w:ascii="宋体" w:cs="宋体"/>
                <w:color w:val="auto"/>
                <w:highlight w:val="none"/>
              </w:rPr>
            </w:pPr>
          </w:p>
        </w:tc>
      </w:tr>
      <w:tr w14:paraId="7826C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336" w:type="dxa"/>
          </w:tcPr>
          <w:p w14:paraId="6510AD26">
            <w:pPr>
              <w:kinsoku/>
              <w:topLinePunct/>
              <w:autoSpaceDE/>
              <w:autoSpaceDN/>
              <w:ind w:right="86" w:rightChars="41"/>
              <w:rPr>
                <w:rFonts w:ascii="宋体" w:cs="宋体"/>
                <w:color w:val="auto"/>
                <w:highlight w:val="none"/>
              </w:rPr>
            </w:pPr>
          </w:p>
        </w:tc>
        <w:tc>
          <w:tcPr>
            <w:tcW w:w="1260" w:type="dxa"/>
          </w:tcPr>
          <w:p w14:paraId="681B78B3">
            <w:pPr>
              <w:kinsoku/>
              <w:topLinePunct/>
              <w:autoSpaceDE/>
              <w:autoSpaceDN/>
              <w:ind w:right="86" w:rightChars="41"/>
              <w:rPr>
                <w:rFonts w:ascii="宋体" w:cs="宋体"/>
                <w:color w:val="auto"/>
                <w:highlight w:val="none"/>
              </w:rPr>
            </w:pPr>
          </w:p>
        </w:tc>
        <w:tc>
          <w:tcPr>
            <w:tcW w:w="794" w:type="dxa"/>
          </w:tcPr>
          <w:p w14:paraId="567DFCFC">
            <w:pPr>
              <w:kinsoku/>
              <w:topLinePunct/>
              <w:autoSpaceDE/>
              <w:autoSpaceDN/>
              <w:ind w:right="86" w:rightChars="41"/>
              <w:rPr>
                <w:rFonts w:ascii="宋体" w:cs="宋体"/>
                <w:color w:val="auto"/>
                <w:highlight w:val="none"/>
              </w:rPr>
            </w:pPr>
          </w:p>
        </w:tc>
        <w:tc>
          <w:tcPr>
            <w:tcW w:w="1516" w:type="dxa"/>
          </w:tcPr>
          <w:p w14:paraId="2BAEA2F2">
            <w:pPr>
              <w:kinsoku/>
              <w:topLinePunct/>
              <w:autoSpaceDE/>
              <w:autoSpaceDN/>
              <w:ind w:right="86" w:rightChars="41"/>
              <w:rPr>
                <w:rFonts w:ascii="宋体" w:cs="宋体"/>
                <w:color w:val="auto"/>
                <w:highlight w:val="none"/>
              </w:rPr>
            </w:pPr>
          </w:p>
        </w:tc>
        <w:tc>
          <w:tcPr>
            <w:tcW w:w="1379" w:type="dxa"/>
          </w:tcPr>
          <w:p w14:paraId="000421CB">
            <w:pPr>
              <w:kinsoku/>
              <w:topLinePunct/>
              <w:autoSpaceDE/>
              <w:autoSpaceDN/>
              <w:ind w:right="86" w:rightChars="41"/>
              <w:rPr>
                <w:rFonts w:ascii="宋体" w:cs="宋体"/>
                <w:color w:val="auto"/>
                <w:highlight w:val="none"/>
              </w:rPr>
            </w:pPr>
          </w:p>
        </w:tc>
        <w:tc>
          <w:tcPr>
            <w:tcW w:w="1303" w:type="dxa"/>
          </w:tcPr>
          <w:p w14:paraId="05587268">
            <w:pPr>
              <w:kinsoku/>
              <w:topLinePunct/>
              <w:autoSpaceDE/>
              <w:autoSpaceDN/>
              <w:ind w:right="86" w:rightChars="41"/>
              <w:rPr>
                <w:rFonts w:ascii="宋体" w:cs="宋体"/>
                <w:color w:val="auto"/>
                <w:highlight w:val="none"/>
              </w:rPr>
            </w:pPr>
          </w:p>
        </w:tc>
        <w:tc>
          <w:tcPr>
            <w:tcW w:w="1509" w:type="dxa"/>
          </w:tcPr>
          <w:p w14:paraId="49EB76CF">
            <w:pPr>
              <w:kinsoku/>
              <w:topLinePunct/>
              <w:autoSpaceDE/>
              <w:autoSpaceDN/>
              <w:ind w:right="86" w:rightChars="41"/>
              <w:rPr>
                <w:rFonts w:ascii="宋体" w:cs="宋体"/>
                <w:color w:val="auto"/>
                <w:highlight w:val="none"/>
              </w:rPr>
            </w:pPr>
          </w:p>
        </w:tc>
      </w:tr>
    </w:tbl>
    <w:p w14:paraId="45A2C325">
      <w:pPr>
        <w:kinsoku/>
        <w:topLinePunct/>
        <w:autoSpaceDE/>
        <w:autoSpaceDN/>
        <w:spacing w:before="222" w:line="217" w:lineRule="auto"/>
        <w:ind w:left="39" w:right="86" w:rightChars="41"/>
        <w:rPr>
          <w:rFonts w:ascii="宋体" w:cs="宋体"/>
          <w:color w:val="auto"/>
          <w:highlight w:val="none"/>
        </w:rPr>
      </w:pPr>
      <w:r>
        <w:rPr>
          <w:rFonts w:hint="eastAsia" w:ascii="宋体" w:hAnsi="宋体" w:cs="宋体"/>
          <w:color w:val="auto"/>
          <w:highlight w:val="none"/>
        </w:rPr>
        <w:t>注：在填写时，如本表格不适合响应单位的实际情况，可根据本表格式自行划表填写。</w:t>
      </w:r>
    </w:p>
    <w:p w14:paraId="390BB422">
      <w:pPr>
        <w:kinsoku/>
        <w:topLinePunct/>
        <w:autoSpaceDE/>
        <w:autoSpaceDN/>
        <w:spacing w:before="171" w:line="214" w:lineRule="auto"/>
        <w:ind w:left="39"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6F8479F4">
      <w:pPr>
        <w:kinsoku/>
        <w:topLinePunct/>
        <w:autoSpaceDE/>
        <w:autoSpaceDN/>
        <w:spacing w:before="171" w:line="214" w:lineRule="auto"/>
        <w:ind w:left="39" w:right="86" w:rightChars="41"/>
        <w:rPr>
          <w:rFonts w:ascii="宋体" w:cs="宋体"/>
          <w:color w:val="auto"/>
          <w:highlight w:val="none"/>
        </w:rPr>
      </w:pPr>
      <w:r>
        <w:rPr>
          <w:rFonts w:hint="eastAsia" w:ascii="宋体" w:hAnsi="宋体" w:cs="宋体"/>
          <w:color w:val="auto"/>
          <w:highlight w:val="none"/>
        </w:rPr>
        <w:t>日期：</w:t>
      </w:r>
    </w:p>
    <w:p w14:paraId="531DDB52">
      <w:pPr>
        <w:kinsoku/>
        <w:topLinePunct/>
        <w:autoSpaceDE/>
        <w:autoSpaceDN/>
        <w:spacing w:line="246" w:lineRule="auto"/>
        <w:ind w:right="86" w:rightChars="41"/>
        <w:rPr>
          <w:rFonts w:hint="eastAsia" w:ascii="宋体" w:cs="宋体"/>
          <w:color w:val="auto"/>
          <w:highlight w:val="yellow"/>
          <w:lang w:val="en-US" w:eastAsia="zh-CN"/>
        </w:rPr>
      </w:pPr>
    </w:p>
    <w:p w14:paraId="6C1894F7">
      <w:pPr>
        <w:kinsoku/>
        <w:topLinePunct/>
        <w:autoSpaceDE/>
        <w:autoSpaceDN/>
        <w:spacing w:line="246" w:lineRule="auto"/>
        <w:ind w:right="86" w:rightChars="41"/>
        <w:rPr>
          <w:rFonts w:hint="eastAsia" w:ascii="宋体" w:cs="宋体"/>
          <w:color w:val="auto"/>
          <w:highlight w:val="yellow"/>
          <w:lang w:val="en-US" w:eastAsia="zh-CN"/>
        </w:rPr>
      </w:pPr>
    </w:p>
    <w:p w14:paraId="36F786CF">
      <w:pPr>
        <w:kinsoku/>
        <w:topLinePunct/>
        <w:autoSpaceDE/>
        <w:autoSpaceDN/>
        <w:spacing w:line="246" w:lineRule="auto"/>
        <w:ind w:right="86" w:rightChars="41"/>
        <w:rPr>
          <w:rFonts w:hint="eastAsia" w:ascii="宋体" w:cs="宋体"/>
          <w:color w:val="auto"/>
          <w:highlight w:val="yellow"/>
          <w:lang w:val="en-US" w:eastAsia="zh-CN"/>
        </w:rPr>
      </w:pPr>
    </w:p>
    <w:p w14:paraId="7692E7EB">
      <w:pPr>
        <w:kinsoku/>
        <w:topLinePunct/>
        <w:autoSpaceDE/>
        <w:autoSpaceDN/>
        <w:spacing w:line="246" w:lineRule="auto"/>
        <w:ind w:right="86" w:rightChars="41"/>
        <w:rPr>
          <w:rFonts w:hint="default" w:ascii="宋体" w:eastAsia="宋体" w:cs="宋体"/>
          <w:color w:val="auto"/>
          <w:highlight w:val="none"/>
          <w:lang w:val="en-US" w:eastAsia="zh-CN"/>
        </w:rPr>
      </w:pPr>
      <w:r>
        <w:rPr>
          <w:rFonts w:hint="eastAsia" w:ascii="宋体" w:cs="宋体"/>
          <w:color w:val="auto"/>
          <w:highlight w:val="none"/>
          <w:lang w:val="en-US" w:eastAsia="zh-CN"/>
        </w:rPr>
        <w:t>5.项目实施方案</w:t>
      </w:r>
    </w:p>
    <w:p w14:paraId="42727A5D">
      <w:pPr>
        <w:kinsoku/>
        <w:topLinePunct/>
        <w:autoSpaceDE/>
        <w:autoSpaceDN/>
        <w:spacing w:line="263" w:lineRule="auto"/>
        <w:ind w:right="86" w:rightChars="41"/>
        <w:rPr>
          <w:rFonts w:ascii="宋体" w:cs="宋体"/>
          <w:color w:val="auto"/>
          <w:highlight w:val="none"/>
        </w:rPr>
      </w:pPr>
    </w:p>
    <w:p w14:paraId="090A1244">
      <w:pPr>
        <w:kinsoku/>
        <w:topLinePunct/>
        <w:autoSpaceDE/>
        <w:autoSpaceDN/>
        <w:spacing w:line="263" w:lineRule="auto"/>
        <w:ind w:right="86" w:rightChars="41"/>
        <w:rPr>
          <w:rFonts w:ascii="宋体" w:cs="宋体"/>
          <w:color w:val="auto"/>
          <w:highlight w:val="none"/>
        </w:rPr>
      </w:pPr>
    </w:p>
    <w:p w14:paraId="6844E05C">
      <w:pPr>
        <w:kinsoku/>
        <w:topLinePunct/>
        <w:autoSpaceDE/>
        <w:autoSpaceDN/>
        <w:spacing w:line="264" w:lineRule="auto"/>
        <w:ind w:right="86" w:rightChars="41"/>
        <w:rPr>
          <w:rFonts w:ascii="宋体" w:cs="宋体"/>
          <w:color w:val="auto"/>
          <w:highlight w:val="none"/>
        </w:rPr>
      </w:pPr>
    </w:p>
    <w:p w14:paraId="2F76DFBF">
      <w:pPr>
        <w:kinsoku/>
        <w:topLinePunct/>
        <w:autoSpaceDE/>
        <w:autoSpaceDN/>
        <w:spacing w:before="70" w:line="237" w:lineRule="auto"/>
        <w:ind w:left="39" w:right="86" w:rightChars="41"/>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供应商需要说明的其他文件和说明。</w:t>
      </w:r>
    </w:p>
    <w:p w14:paraId="53E38E19">
      <w:pPr>
        <w:kinsoku/>
        <w:topLinePunct/>
        <w:autoSpaceDE/>
        <w:autoSpaceDN/>
        <w:spacing w:line="413" w:lineRule="auto"/>
        <w:ind w:right="86" w:rightChars="41"/>
        <w:rPr>
          <w:rFonts w:ascii="宋体" w:cs="宋体"/>
          <w:color w:val="auto"/>
          <w:highlight w:val="none"/>
        </w:rPr>
      </w:pPr>
    </w:p>
    <w:p w14:paraId="5A3FCDBE">
      <w:pPr>
        <w:kinsoku/>
        <w:topLinePunct/>
        <w:autoSpaceDE/>
        <w:autoSpaceDN/>
        <w:ind w:right="86" w:rightChars="41"/>
        <w:rPr>
          <w:rFonts w:ascii="宋体" w:cs="宋体"/>
          <w:color w:val="auto"/>
          <w:highlight w:val="none"/>
        </w:rPr>
        <w:sectPr>
          <w:footerReference r:id="rId27"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44768B6A">
      <w:pPr>
        <w:kinsoku/>
        <w:topLinePunct/>
        <w:autoSpaceDE/>
        <w:autoSpaceDN/>
        <w:spacing w:before="78" w:line="218" w:lineRule="auto"/>
        <w:ind w:left="2" w:right="86" w:rightChars="41"/>
        <w:rPr>
          <w:rFonts w:ascii="宋体" w:cs="宋体"/>
          <w:color w:val="auto"/>
          <w:sz w:val="24"/>
          <w:szCs w:val="24"/>
          <w:highlight w:val="none"/>
        </w:rPr>
      </w:pPr>
      <w:r>
        <w:rPr>
          <w:rFonts w:hint="eastAsia" w:ascii="宋体" w:hAnsi="宋体" w:cs="宋体"/>
          <w:color w:val="auto"/>
          <w:sz w:val="24"/>
          <w:szCs w:val="24"/>
          <w:highlight w:val="none"/>
        </w:rPr>
        <w:t>三、响应文件封面参考格式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报价文件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168EB41F">
      <w:pPr>
        <w:kinsoku/>
        <w:topLinePunct/>
        <w:autoSpaceDE/>
        <w:autoSpaceDN/>
        <w:spacing w:line="260" w:lineRule="auto"/>
        <w:ind w:right="86" w:rightChars="41"/>
        <w:rPr>
          <w:rFonts w:ascii="宋体" w:cs="宋体"/>
          <w:color w:val="auto"/>
          <w:highlight w:val="none"/>
        </w:rPr>
      </w:pPr>
    </w:p>
    <w:p w14:paraId="4C2E6634">
      <w:pPr>
        <w:kinsoku/>
        <w:topLinePunct/>
        <w:autoSpaceDE/>
        <w:autoSpaceDN/>
        <w:spacing w:line="260" w:lineRule="auto"/>
        <w:ind w:right="86" w:rightChars="41"/>
        <w:rPr>
          <w:rFonts w:ascii="宋体" w:cs="宋体"/>
          <w:color w:val="auto"/>
          <w:highlight w:val="none"/>
        </w:rPr>
      </w:pPr>
    </w:p>
    <w:p w14:paraId="6E28518C">
      <w:pPr>
        <w:kinsoku/>
        <w:topLinePunct/>
        <w:autoSpaceDE/>
        <w:autoSpaceDN/>
        <w:spacing w:line="260" w:lineRule="auto"/>
        <w:ind w:right="86" w:rightChars="41"/>
        <w:rPr>
          <w:rFonts w:ascii="宋体" w:cs="宋体"/>
          <w:color w:val="auto"/>
          <w:highlight w:val="none"/>
        </w:rPr>
      </w:pPr>
    </w:p>
    <w:p w14:paraId="416E966E">
      <w:pPr>
        <w:kinsoku/>
        <w:topLinePunct/>
        <w:autoSpaceDE/>
        <w:autoSpaceDN/>
        <w:spacing w:line="260" w:lineRule="auto"/>
        <w:ind w:right="86" w:rightChars="41"/>
        <w:rPr>
          <w:rFonts w:ascii="宋体" w:cs="宋体"/>
          <w:color w:val="auto"/>
          <w:highlight w:val="none"/>
        </w:rPr>
      </w:pPr>
    </w:p>
    <w:p w14:paraId="53A76390">
      <w:pPr>
        <w:kinsoku/>
        <w:topLinePunct/>
        <w:autoSpaceDE/>
        <w:autoSpaceDN/>
        <w:spacing w:line="261" w:lineRule="auto"/>
        <w:ind w:right="86" w:rightChars="41"/>
        <w:rPr>
          <w:rFonts w:ascii="宋体" w:cs="宋体"/>
          <w:color w:val="auto"/>
          <w:highlight w:val="none"/>
        </w:rPr>
      </w:pPr>
    </w:p>
    <w:p w14:paraId="53812C43">
      <w:pPr>
        <w:kinsoku/>
        <w:topLinePunct/>
        <w:autoSpaceDE/>
        <w:autoSpaceDN/>
        <w:spacing w:before="140" w:line="223" w:lineRule="auto"/>
        <w:ind w:left="3256"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442A2FB6">
      <w:pPr>
        <w:kinsoku/>
        <w:topLinePunct/>
        <w:autoSpaceDE/>
        <w:autoSpaceDN/>
        <w:spacing w:line="258" w:lineRule="auto"/>
        <w:ind w:right="86" w:rightChars="41"/>
        <w:rPr>
          <w:rFonts w:ascii="宋体" w:cs="宋体"/>
          <w:color w:val="auto"/>
          <w:highlight w:val="none"/>
        </w:rPr>
      </w:pPr>
    </w:p>
    <w:p w14:paraId="1959C057">
      <w:pPr>
        <w:kinsoku/>
        <w:topLinePunct/>
        <w:autoSpaceDE/>
        <w:autoSpaceDN/>
        <w:spacing w:line="258" w:lineRule="auto"/>
        <w:ind w:right="86" w:rightChars="41"/>
        <w:rPr>
          <w:rFonts w:ascii="宋体" w:cs="宋体"/>
          <w:color w:val="auto"/>
          <w:highlight w:val="none"/>
        </w:rPr>
      </w:pPr>
    </w:p>
    <w:p w14:paraId="4DEF2BDB">
      <w:pPr>
        <w:kinsoku/>
        <w:topLinePunct/>
        <w:autoSpaceDE/>
        <w:autoSpaceDN/>
        <w:spacing w:line="259" w:lineRule="auto"/>
        <w:ind w:right="86" w:rightChars="41"/>
        <w:rPr>
          <w:rFonts w:ascii="宋体" w:cs="宋体"/>
          <w:color w:val="auto"/>
          <w:highlight w:val="none"/>
        </w:rPr>
      </w:pPr>
    </w:p>
    <w:p w14:paraId="1EF4AC23">
      <w:pPr>
        <w:kinsoku/>
        <w:topLinePunct/>
        <w:autoSpaceDE/>
        <w:autoSpaceDN/>
        <w:spacing w:before="139" w:line="222" w:lineRule="auto"/>
        <w:ind w:left="3643" w:right="86" w:rightChars="41"/>
        <w:rPr>
          <w:rFonts w:ascii="宋体" w:cs="宋体"/>
          <w:color w:val="auto"/>
          <w:sz w:val="43"/>
          <w:szCs w:val="43"/>
          <w:highlight w:val="none"/>
        </w:rPr>
      </w:pPr>
      <w:r>
        <w:rPr>
          <w:rFonts w:hint="eastAsia" w:ascii="宋体" w:hAnsi="宋体" w:cs="宋体"/>
          <w:color w:val="auto"/>
          <w:sz w:val="43"/>
          <w:szCs w:val="43"/>
          <w:highlight w:val="none"/>
        </w:rPr>
        <w:t>报价文件</w:t>
      </w:r>
    </w:p>
    <w:p w14:paraId="19802E85">
      <w:pPr>
        <w:kinsoku/>
        <w:topLinePunct/>
        <w:autoSpaceDE/>
        <w:autoSpaceDN/>
        <w:spacing w:line="247" w:lineRule="auto"/>
        <w:ind w:right="86" w:rightChars="41"/>
        <w:rPr>
          <w:rFonts w:ascii="宋体" w:cs="宋体"/>
          <w:color w:val="auto"/>
          <w:highlight w:val="none"/>
        </w:rPr>
      </w:pPr>
    </w:p>
    <w:p w14:paraId="751AF2B8">
      <w:pPr>
        <w:kinsoku/>
        <w:topLinePunct/>
        <w:autoSpaceDE/>
        <w:autoSpaceDN/>
        <w:spacing w:line="247" w:lineRule="auto"/>
        <w:ind w:right="86" w:rightChars="41"/>
        <w:rPr>
          <w:rFonts w:ascii="宋体" w:cs="宋体"/>
          <w:color w:val="auto"/>
          <w:highlight w:val="none"/>
        </w:rPr>
      </w:pPr>
    </w:p>
    <w:p w14:paraId="03110227">
      <w:pPr>
        <w:kinsoku/>
        <w:topLinePunct/>
        <w:autoSpaceDE/>
        <w:autoSpaceDN/>
        <w:spacing w:line="248" w:lineRule="auto"/>
        <w:ind w:right="86" w:rightChars="41"/>
        <w:rPr>
          <w:rFonts w:ascii="宋体" w:cs="宋体"/>
          <w:color w:val="auto"/>
          <w:highlight w:val="none"/>
        </w:rPr>
      </w:pPr>
    </w:p>
    <w:p w14:paraId="49F3A92D">
      <w:pPr>
        <w:kinsoku/>
        <w:topLinePunct/>
        <w:autoSpaceDE/>
        <w:autoSpaceDN/>
        <w:spacing w:line="248" w:lineRule="auto"/>
        <w:ind w:right="86" w:rightChars="41"/>
        <w:rPr>
          <w:rFonts w:ascii="宋体" w:cs="宋体"/>
          <w:color w:val="auto"/>
          <w:highlight w:val="none"/>
        </w:rPr>
      </w:pPr>
    </w:p>
    <w:p w14:paraId="3439520B">
      <w:pPr>
        <w:kinsoku/>
        <w:topLinePunct/>
        <w:autoSpaceDE/>
        <w:autoSpaceDN/>
        <w:spacing w:line="248" w:lineRule="auto"/>
        <w:ind w:right="86" w:rightChars="41"/>
        <w:rPr>
          <w:rFonts w:ascii="宋体" w:cs="宋体"/>
          <w:color w:val="auto"/>
          <w:highlight w:val="none"/>
        </w:rPr>
      </w:pPr>
    </w:p>
    <w:p w14:paraId="2815830F">
      <w:pPr>
        <w:kinsoku/>
        <w:topLinePunct/>
        <w:autoSpaceDE/>
        <w:autoSpaceDN/>
        <w:spacing w:line="248" w:lineRule="auto"/>
        <w:ind w:right="86" w:rightChars="41"/>
        <w:rPr>
          <w:rFonts w:ascii="宋体" w:cs="宋体"/>
          <w:color w:val="auto"/>
          <w:highlight w:val="none"/>
        </w:rPr>
      </w:pPr>
    </w:p>
    <w:p w14:paraId="3D7711A8">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项目名称：</w:t>
      </w:r>
    </w:p>
    <w:p w14:paraId="7E8FB732">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项目编号：</w:t>
      </w:r>
    </w:p>
    <w:p w14:paraId="50B593B4">
      <w:pPr>
        <w:kinsoku/>
        <w:topLinePunct/>
        <w:autoSpaceDE/>
        <w:autoSpaceDN/>
        <w:spacing w:line="360" w:lineRule="auto"/>
        <w:ind w:right="86" w:rightChars="41"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25A0534B">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供应商名称：</w:t>
      </w:r>
    </w:p>
    <w:p w14:paraId="2CA71594">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供应商地址：</w:t>
      </w:r>
    </w:p>
    <w:p w14:paraId="68E75CEA">
      <w:pPr>
        <w:kinsoku/>
        <w:topLinePunct/>
        <w:autoSpaceDE/>
        <w:autoSpaceDN/>
        <w:spacing w:line="250" w:lineRule="auto"/>
        <w:ind w:right="86" w:rightChars="41"/>
        <w:rPr>
          <w:rFonts w:ascii="宋体" w:cs="宋体"/>
          <w:color w:val="auto"/>
          <w:highlight w:val="none"/>
        </w:rPr>
      </w:pPr>
    </w:p>
    <w:p w14:paraId="1419C5EA">
      <w:pPr>
        <w:kinsoku/>
        <w:topLinePunct/>
        <w:autoSpaceDE/>
        <w:autoSpaceDN/>
        <w:spacing w:line="250" w:lineRule="auto"/>
        <w:ind w:right="86" w:rightChars="41"/>
        <w:rPr>
          <w:rFonts w:ascii="宋体" w:cs="宋体"/>
          <w:color w:val="auto"/>
          <w:highlight w:val="none"/>
        </w:rPr>
      </w:pPr>
    </w:p>
    <w:p w14:paraId="73CB3DEE">
      <w:pPr>
        <w:kinsoku/>
        <w:topLinePunct/>
        <w:autoSpaceDE/>
        <w:autoSpaceDN/>
        <w:spacing w:line="250" w:lineRule="auto"/>
        <w:ind w:right="86" w:rightChars="41"/>
        <w:rPr>
          <w:rFonts w:ascii="宋体" w:cs="宋体"/>
          <w:color w:val="auto"/>
          <w:highlight w:val="none"/>
        </w:rPr>
      </w:pPr>
    </w:p>
    <w:p w14:paraId="3285B4B2">
      <w:pPr>
        <w:kinsoku/>
        <w:topLinePunct/>
        <w:autoSpaceDE/>
        <w:autoSpaceDN/>
        <w:spacing w:line="251" w:lineRule="auto"/>
        <w:ind w:right="86" w:rightChars="41"/>
        <w:rPr>
          <w:rFonts w:ascii="宋体" w:cs="宋体"/>
          <w:color w:val="auto"/>
          <w:highlight w:val="none"/>
        </w:rPr>
      </w:pPr>
    </w:p>
    <w:p w14:paraId="4C754A9E">
      <w:pPr>
        <w:kinsoku/>
        <w:topLinePunct/>
        <w:autoSpaceDE/>
        <w:autoSpaceDN/>
        <w:spacing w:before="78" w:line="220" w:lineRule="auto"/>
        <w:ind w:left="5363"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79ADA25D">
      <w:pPr>
        <w:kinsoku/>
        <w:topLinePunct/>
        <w:autoSpaceDE/>
        <w:autoSpaceDN/>
        <w:ind w:right="86" w:rightChars="41"/>
        <w:rPr>
          <w:rFonts w:ascii="宋体" w:cs="宋体"/>
          <w:color w:val="auto"/>
          <w:highlight w:val="none"/>
        </w:rPr>
        <w:sectPr>
          <w:footerReference r:id="rId28"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3B267836">
      <w:pPr>
        <w:kinsoku/>
        <w:topLinePunct/>
        <w:autoSpaceDE/>
        <w:autoSpaceDN/>
        <w:spacing w:before="68" w:line="220" w:lineRule="auto"/>
        <w:ind w:left="18" w:right="86" w:rightChars="41"/>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响应函格式：</w:t>
      </w:r>
    </w:p>
    <w:p w14:paraId="1E6A8C3D">
      <w:pPr>
        <w:kinsoku/>
        <w:topLinePunct/>
        <w:autoSpaceDE/>
        <w:autoSpaceDN/>
        <w:spacing w:before="263" w:line="221" w:lineRule="auto"/>
        <w:ind w:left="4103" w:right="86" w:rightChars="41"/>
        <w:rPr>
          <w:rFonts w:ascii="宋体" w:cs="宋体"/>
          <w:color w:val="auto"/>
          <w:highlight w:val="none"/>
        </w:rPr>
      </w:pPr>
      <w:r>
        <w:rPr>
          <w:rFonts w:hint="eastAsia" w:ascii="宋体" w:hAnsi="宋体" w:cs="宋体"/>
          <w:color w:val="auto"/>
          <w:highlight w:val="none"/>
          <w:lang w:val="en-US" w:eastAsia="zh-CN"/>
        </w:rPr>
        <w:t>响应</w:t>
      </w:r>
      <w:r>
        <w:rPr>
          <w:rFonts w:hint="eastAsia" w:ascii="宋体" w:hAnsi="宋体" w:cs="宋体"/>
          <w:color w:val="auto"/>
          <w:highlight w:val="none"/>
        </w:rPr>
        <w:t>函</w:t>
      </w:r>
    </w:p>
    <w:p w14:paraId="0ECD3C1C">
      <w:pPr>
        <w:kinsoku/>
        <w:topLinePunct/>
        <w:autoSpaceDE/>
        <w:autoSpaceDN/>
        <w:spacing w:before="261" w:line="360" w:lineRule="auto"/>
        <w:ind w:left="1" w:right="86" w:rightChars="41"/>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sz w:val="22"/>
          <w:szCs w:val="22"/>
          <w:highlight w:val="none"/>
          <w:u w:val="single"/>
        </w:rPr>
        <w:t>广西千豪建设项目管理有限公司</w:t>
      </w:r>
      <w:r>
        <w:rPr>
          <w:rFonts w:hint="eastAsia" w:ascii="宋体" w:hAnsi="宋体" w:cs="宋体"/>
          <w:color w:val="auto"/>
          <w:highlight w:val="none"/>
        </w:rPr>
        <w:t>：</w:t>
      </w:r>
    </w:p>
    <w:p w14:paraId="4EF31B4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我方已仔细研究了</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的征集文件的全部内容。签字代表</w:t>
      </w:r>
      <w:r>
        <w:rPr>
          <w:rFonts w:ascii="宋体" w:hAnsi="宋体" w:cs="宋体"/>
          <w:color w:val="auto"/>
          <w:highlight w:val="none"/>
          <w:u w:val="single"/>
        </w:rPr>
        <w:t>(</w:t>
      </w:r>
      <w:r>
        <w:rPr>
          <w:rFonts w:hint="eastAsia" w:ascii="宋体" w:hAnsi="宋体" w:cs="宋体"/>
          <w:color w:val="auto"/>
          <w:highlight w:val="none"/>
          <w:u w:val="single"/>
        </w:rPr>
        <w:t>授权代表姓名</w:t>
      </w:r>
      <w:r>
        <w:rPr>
          <w:rFonts w:ascii="宋体" w:hAnsi="宋体" w:cs="宋体"/>
          <w:color w:val="auto"/>
          <w:highlight w:val="none"/>
          <w:u w:val="single"/>
        </w:rPr>
        <w:t>)</w:t>
      </w:r>
      <w:r>
        <w:rPr>
          <w:rFonts w:hint="eastAsia" w:ascii="宋体" w:hAnsi="宋体" w:cs="宋体"/>
          <w:color w:val="auto"/>
          <w:highlight w:val="none"/>
        </w:rPr>
        <w:t>经正式授权并代表供应商</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提交响应文件。</w:t>
      </w:r>
    </w:p>
    <w:p w14:paraId="6DC5041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据此函，签字代表宣布同意如下：</w:t>
      </w:r>
    </w:p>
    <w:p w14:paraId="7B6AB31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我方已详细审查全部“征集文件”，包括修改文件</w:t>
      </w:r>
      <w:r>
        <w:rPr>
          <w:rFonts w:ascii="宋体" w:hAnsi="宋体" w:cs="宋体"/>
          <w:color w:val="auto"/>
          <w:highlight w:val="none"/>
        </w:rPr>
        <w:t>(</w:t>
      </w:r>
      <w:r>
        <w:rPr>
          <w:rFonts w:hint="eastAsia" w:ascii="宋体" w:hAnsi="宋体" w:cs="宋体"/>
          <w:color w:val="auto"/>
          <w:highlight w:val="none"/>
        </w:rPr>
        <w:t>如有的话</w:t>
      </w:r>
      <w:r>
        <w:rPr>
          <w:rFonts w:ascii="宋体" w:hAnsi="宋体" w:cs="宋体"/>
          <w:color w:val="auto"/>
          <w:highlight w:val="none"/>
        </w:rPr>
        <w:t>)</w:t>
      </w:r>
      <w:r>
        <w:rPr>
          <w:rFonts w:hint="eastAsia" w:ascii="宋体" w:hAnsi="宋体" w:cs="宋体"/>
          <w:color w:val="auto"/>
          <w:highlight w:val="none"/>
        </w:rPr>
        <w:t>以及全部参考资料和有关附件，已经了解我方对于征集文件、征集过程、入围结果有依法进行询问、质疑、投诉的权利及相关渠道和要求。</w:t>
      </w:r>
    </w:p>
    <w:p w14:paraId="375D1E4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我方在响应之前已经与贵方进行了充分的沟通，完全理解并接受征集文件的各项规定和要求，对征集文件的合理性、合法性不再有异议。</w:t>
      </w:r>
    </w:p>
    <w:p w14:paraId="5C04895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本响应有效期自响应截止之日起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w:t>
      </w:r>
    </w:p>
    <w:p w14:paraId="752A6EB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如入围，本响应文件至本项目合同履行完毕止均保持有效，我方将按“征集文件”及政府采购法律、法规的规定履行合同责任和义务，并承诺不分包及转包他人。</w:t>
      </w:r>
    </w:p>
    <w:p w14:paraId="6A9A4EC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我方同意按照贵方要求提供与响应有关的一切数据或资料。</w:t>
      </w:r>
    </w:p>
    <w:p w14:paraId="1DC334F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与本项目有关的一切正式往来信函请寄：</w:t>
      </w:r>
    </w:p>
    <w:p w14:paraId="35191C30">
      <w:pPr>
        <w:kinsoku/>
        <w:topLinePunct/>
        <w:autoSpaceDE/>
        <w:autoSpaceDN/>
        <w:spacing w:line="360" w:lineRule="auto"/>
        <w:ind w:right="86" w:rightChars="41" w:firstLine="417" w:firstLineChars="199"/>
        <w:rPr>
          <w:rFonts w:ascii="宋体" w:cs="宋体"/>
          <w:color w:val="auto"/>
          <w:highlight w:val="none"/>
        </w:rPr>
      </w:pPr>
    </w:p>
    <w:p w14:paraId="1AA4EAB2">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地址：</w:t>
      </w:r>
    </w:p>
    <w:p w14:paraId="0EB3921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邮编：</w:t>
      </w:r>
    </w:p>
    <w:p w14:paraId="3316F947">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电话：</w:t>
      </w:r>
    </w:p>
    <w:p w14:paraId="292E58E6">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手机号码：</w:t>
      </w:r>
    </w:p>
    <w:p w14:paraId="34D5CD1B">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传真：</w:t>
      </w:r>
    </w:p>
    <w:p w14:paraId="791E75C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供应商代表姓名</w:t>
      </w:r>
    </w:p>
    <w:p w14:paraId="6784DC0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职务：</w:t>
      </w:r>
    </w:p>
    <w:p w14:paraId="73F75CE3">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邮箱：</w:t>
      </w:r>
    </w:p>
    <w:p w14:paraId="546197F0">
      <w:pPr>
        <w:kinsoku/>
        <w:topLinePunct/>
        <w:autoSpaceDE/>
        <w:autoSpaceDN/>
        <w:spacing w:line="360" w:lineRule="auto"/>
        <w:ind w:right="86" w:rightChars="41" w:firstLine="417" w:firstLineChars="199"/>
        <w:rPr>
          <w:rFonts w:ascii="宋体" w:cs="宋体"/>
          <w:color w:val="auto"/>
          <w:highlight w:val="none"/>
        </w:rPr>
      </w:pPr>
    </w:p>
    <w:p w14:paraId="4C94F63D">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1B362446">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7379A845">
      <w:pPr>
        <w:kinsoku/>
        <w:topLinePunct/>
        <w:autoSpaceDE/>
        <w:autoSpaceDN/>
        <w:spacing w:line="360" w:lineRule="auto"/>
        <w:ind w:right="86" w:rightChars="41" w:firstLine="417" w:firstLineChars="199"/>
        <w:rPr>
          <w:rFonts w:ascii="宋体" w:cs="宋体"/>
          <w:color w:val="auto"/>
          <w:highlight w:val="none"/>
        </w:rPr>
        <w:sectPr>
          <w:footerReference r:id="rId29"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7CBE3186">
      <w:pPr>
        <w:kinsoku/>
        <w:topLinePunct/>
        <w:autoSpaceDE/>
        <w:autoSpaceDN/>
        <w:spacing w:before="68" w:line="219" w:lineRule="auto"/>
        <w:ind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响应报价明细表格式：</w:t>
      </w:r>
    </w:p>
    <w:p w14:paraId="5CEE02BE">
      <w:pPr>
        <w:kinsoku/>
        <w:topLinePunct/>
        <w:autoSpaceDE/>
        <w:autoSpaceDN/>
        <w:spacing w:line="436" w:lineRule="auto"/>
        <w:ind w:right="86" w:rightChars="41"/>
        <w:rPr>
          <w:rFonts w:ascii="宋体" w:cs="宋体"/>
          <w:color w:val="auto"/>
          <w:highlight w:val="none"/>
        </w:rPr>
      </w:pPr>
    </w:p>
    <w:p w14:paraId="2CC95CA3">
      <w:pPr>
        <w:kinsoku/>
        <w:topLinePunct/>
        <w:autoSpaceDE/>
        <w:autoSpaceDN/>
        <w:spacing w:before="68" w:line="219" w:lineRule="auto"/>
        <w:ind w:left="3797" w:right="86" w:rightChars="41"/>
        <w:rPr>
          <w:rFonts w:ascii="宋体" w:cs="宋体"/>
          <w:color w:val="auto"/>
          <w:highlight w:val="none"/>
        </w:rPr>
      </w:pPr>
      <w:r>
        <w:rPr>
          <w:rFonts w:hint="eastAsia" w:ascii="宋体" w:hAnsi="宋体" w:cs="宋体"/>
          <w:color w:val="auto"/>
          <w:highlight w:val="none"/>
        </w:rPr>
        <w:t>响应报价明细表</w:t>
      </w:r>
    </w:p>
    <w:tbl>
      <w:tblPr>
        <w:tblStyle w:val="14"/>
        <w:tblW w:w="875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1801"/>
        <w:gridCol w:w="2279"/>
        <w:gridCol w:w="2212"/>
        <w:gridCol w:w="2462"/>
      </w:tblGrid>
      <w:tr w14:paraId="1233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875" w:hRule="atLeast"/>
        </w:trPr>
        <w:tc>
          <w:tcPr>
            <w:tcW w:w="1801" w:type="dxa"/>
          </w:tcPr>
          <w:p w14:paraId="60131FEC">
            <w:pPr>
              <w:kinsoku/>
              <w:topLinePunct/>
              <w:autoSpaceDE/>
              <w:autoSpaceDN/>
              <w:spacing w:line="261" w:lineRule="auto"/>
              <w:ind w:right="86" w:rightChars="41"/>
              <w:jc w:val="center"/>
              <w:rPr>
                <w:rFonts w:ascii="宋体" w:cs="宋体"/>
                <w:color w:val="auto"/>
                <w:highlight w:val="none"/>
              </w:rPr>
            </w:pPr>
          </w:p>
          <w:p w14:paraId="6E0C8C74">
            <w:pPr>
              <w:kinsoku/>
              <w:topLinePunct/>
              <w:autoSpaceDE/>
              <w:autoSpaceDN/>
              <w:spacing w:before="68" w:line="221" w:lineRule="auto"/>
              <w:ind w:right="86" w:rightChars="41"/>
              <w:jc w:val="center"/>
              <w:rPr>
                <w:rFonts w:ascii="宋体" w:cs="宋体"/>
                <w:color w:val="auto"/>
                <w:highlight w:val="none"/>
              </w:rPr>
            </w:pPr>
            <w:r>
              <w:rPr>
                <w:rFonts w:hint="eastAsia" w:ascii="宋体" w:hAnsi="宋体" w:cs="宋体"/>
                <w:color w:val="auto"/>
                <w:highlight w:val="none"/>
              </w:rPr>
              <w:t>项目（服务）名称</w:t>
            </w:r>
          </w:p>
        </w:tc>
        <w:tc>
          <w:tcPr>
            <w:tcW w:w="2279" w:type="dxa"/>
          </w:tcPr>
          <w:p w14:paraId="7DF375F3">
            <w:pPr>
              <w:kinsoku/>
              <w:topLinePunct/>
              <w:autoSpaceDE/>
              <w:autoSpaceDN/>
              <w:spacing w:line="262" w:lineRule="auto"/>
              <w:ind w:right="86" w:rightChars="41"/>
              <w:jc w:val="center"/>
              <w:rPr>
                <w:rFonts w:ascii="宋体" w:cs="宋体"/>
                <w:color w:val="auto"/>
                <w:highlight w:val="none"/>
              </w:rPr>
            </w:pPr>
          </w:p>
          <w:p w14:paraId="6FE5BA37">
            <w:pPr>
              <w:kinsoku/>
              <w:topLinePunct/>
              <w:autoSpaceDE/>
              <w:autoSpaceDN/>
              <w:spacing w:before="68" w:line="219" w:lineRule="auto"/>
              <w:ind w:right="86" w:rightChars="41"/>
              <w:jc w:val="center"/>
              <w:rPr>
                <w:rFonts w:ascii="宋体" w:cs="宋体"/>
                <w:color w:val="auto"/>
                <w:highlight w:val="none"/>
              </w:rPr>
            </w:pPr>
            <w:r>
              <w:rPr>
                <w:rFonts w:hint="eastAsia" w:ascii="宋体" w:hAnsi="宋体" w:cs="宋体"/>
                <w:color w:val="auto"/>
                <w:highlight w:val="none"/>
              </w:rPr>
              <w:t>报价</w:t>
            </w:r>
          </w:p>
        </w:tc>
        <w:tc>
          <w:tcPr>
            <w:tcW w:w="2212" w:type="dxa"/>
          </w:tcPr>
          <w:p w14:paraId="6AFB48A3">
            <w:pPr>
              <w:kinsoku/>
              <w:topLinePunct/>
              <w:autoSpaceDE/>
              <w:autoSpaceDN/>
              <w:spacing w:line="261" w:lineRule="auto"/>
              <w:ind w:right="86" w:rightChars="41"/>
              <w:jc w:val="center"/>
              <w:rPr>
                <w:rFonts w:ascii="宋体" w:cs="宋体"/>
                <w:color w:val="auto"/>
                <w:highlight w:val="none"/>
              </w:rPr>
            </w:pPr>
          </w:p>
          <w:p w14:paraId="6F129AF3">
            <w:pPr>
              <w:kinsoku/>
              <w:topLinePunct/>
              <w:autoSpaceDE/>
              <w:autoSpaceDN/>
              <w:spacing w:before="69" w:line="218" w:lineRule="auto"/>
              <w:ind w:left="166" w:right="86" w:rightChars="41"/>
              <w:jc w:val="center"/>
              <w:rPr>
                <w:rFonts w:ascii="宋体" w:cs="宋体"/>
                <w:color w:val="auto"/>
                <w:highlight w:val="none"/>
              </w:rPr>
            </w:pPr>
            <w:r>
              <w:rPr>
                <w:rFonts w:hint="eastAsia" w:ascii="宋体" w:hAnsi="宋体" w:cs="宋体"/>
                <w:color w:val="auto"/>
                <w:highlight w:val="none"/>
              </w:rPr>
              <w:t>框架协议技术负责人</w:t>
            </w:r>
          </w:p>
        </w:tc>
        <w:tc>
          <w:tcPr>
            <w:tcW w:w="2462" w:type="dxa"/>
          </w:tcPr>
          <w:p w14:paraId="763AEC6D">
            <w:pPr>
              <w:kinsoku/>
              <w:topLinePunct/>
              <w:autoSpaceDE/>
              <w:autoSpaceDN/>
              <w:spacing w:line="261" w:lineRule="auto"/>
              <w:ind w:right="86" w:rightChars="41"/>
              <w:jc w:val="center"/>
              <w:rPr>
                <w:rFonts w:ascii="宋体" w:cs="宋体"/>
                <w:color w:val="auto"/>
                <w:highlight w:val="none"/>
              </w:rPr>
            </w:pPr>
          </w:p>
          <w:p w14:paraId="4A54E705">
            <w:pPr>
              <w:kinsoku/>
              <w:topLinePunct/>
              <w:autoSpaceDE/>
              <w:autoSpaceDN/>
              <w:spacing w:before="68" w:line="221" w:lineRule="auto"/>
              <w:ind w:left="816" w:right="86" w:rightChars="41"/>
              <w:jc w:val="center"/>
              <w:rPr>
                <w:rFonts w:ascii="宋体" w:cs="宋体"/>
                <w:color w:val="auto"/>
                <w:highlight w:val="none"/>
              </w:rPr>
            </w:pPr>
            <w:r>
              <w:rPr>
                <w:rFonts w:hint="eastAsia" w:ascii="宋体" w:hAnsi="宋体" w:cs="宋体"/>
                <w:color w:val="auto"/>
                <w:highlight w:val="none"/>
              </w:rPr>
              <w:t>服务标准</w:t>
            </w:r>
          </w:p>
        </w:tc>
      </w:tr>
      <w:tr w14:paraId="0128D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3253" w:hRule="atLeast"/>
        </w:trPr>
        <w:tc>
          <w:tcPr>
            <w:tcW w:w="1801" w:type="dxa"/>
          </w:tcPr>
          <w:p w14:paraId="45300990">
            <w:pPr>
              <w:kinsoku/>
              <w:topLinePunct/>
              <w:autoSpaceDE/>
              <w:autoSpaceDN/>
              <w:ind w:right="86" w:rightChars="41"/>
              <w:rPr>
                <w:rFonts w:ascii="宋体" w:cs="宋体"/>
                <w:color w:val="auto"/>
                <w:highlight w:val="none"/>
              </w:rPr>
            </w:pPr>
          </w:p>
        </w:tc>
        <w:tc>
          <w:tcPr>
            <w:tcW w:w="2279" w:type="dxa"/>
          </w:tcPr>
          <w:p w14:paraId="54B2C8F5">
            <w:pPr>
              <w:kinsoku/>
              <w:topLinePunct/>
              <w:autoSpaceDE/>
              <w:autoSpaceDN/>
              <w:spacing w:line="255" w:lineRule="auto"/>
              <w:ind w:right="86" w:rightChars="41"/>
              <w:rPr>
                <w:rFonts w:ascii="宋体" w:cs="宋体"/>
                <w:color w:val="auto"/>
                <w:highlight w:val="none"/>
              </w:rPr>
            </w:pPr>
          </w:p>
          <w:p w14:paraId="6C7D92D0">
            <w:pPr>
              <w:kinsoku/>
              <w:topLinePunct/>
              <w:autoSpaceDE/>
              <w:autoSpaceDN/>
              <w:spacing w:line="255" w:lineRule="auto"/>
              <w:ind w:right="86" w:rightChars="41"/>
              <w:rPr>
                <w:rFonts w:ascii="宋体" w:cs="宋体"/>
                <w:color w:val="auto"/>
                <w:highlight w:val="none"/>
              </w:rPr>
            </w:pPr>
          </w:p>
          <w:p w14:paraId="244F408C">
            <w:pPr>
              <w:kinsoku/>
              <w:topLinePunct/>
              <w:autoSpaceDE/>
              <w:autoSpaceDN/>
              <w:spacing w:line="255" w:lineRule="auto"/>
              <w:ind w:right="86" w:rightChars="41"/>
              <w:rPr>
                <w:rFonts w:ascii="宋体" w:cs="宋体"/>
                <w:color w:val="auto"/>
                <w:highlight w:val="none"/>
              </w:rPr>
            </w:pPr>
          </w:p>
          <w:p w14:paraId="4992007E">
            <w:pPr>
              <w:kinsoku/>
              <w:topLinePunct/>
              <w:autoSpaceDE/>
              <w:autoSpaceDN/>
              <w:spacing w:line="256" w:lineRule="auto"/>
              <w:ind w:right="86" w:rightChars="41"/>
              <w:rPr>
                <w:rFonts w:ascii="宋体" w:cs="宋体"/>
                <w:color w:val="auto"/>
                <w:highlight w:val="none"/>
              </w:rPr>
            </w:pPr>
          </w:p>
          <w:p w14:paraId="51A764F5">
            <w:pPr>
              <w:kinsoku/>
              <w:topLinePunct/>
              <w:autoSpaceDE/>
              <w:autoSpaceDN/>
              <w:spacing w:before="68" w:line="245" w:lineRule="auto"/>
              <w:ind w:left="112" w:right="86" w:rightChars="41"/>
              <w:rPr>
                <w:rFonts w:ascii="宋体" w:cs="宋体"/>
                <w:color w:val="auto"/>
                <w:highlight w:val="none"/>
              </w:rPr>
            </w:pPr>
            <w:r>
              <w:rPr>
                <w:rFonts w:hint="eastAsia" w:ascii="宋体" w:hAnsi="宋体" w:cs="宋体"/>
                <w:color w:val="auto"/>
                <w:highlight w:val="none"/>
              </w:rPr>
              <w:t>报价（本项目无价格评审，填写内容均为</w:t>
            </w:r>
            <w:r>
              <w:rPr>
                <w:rFonts w:hint="eastAsia" w:ascii="宋体" w:hAnsi="宋体" w:cs="宋体"/>
                <w:color w:val="auto"/>
                <w:highlight w:val="none"/>
                <w:lang w:val="en-US" w:eastAsia="zh-CN"/>
              </w:rPr>
              <w:t>0元</w:t>
            </w:r>
            <w:r>
              <w:rPr>
                <w:rFonts w:hint="eastAsia" w:ascii="宋体" w:hAnsi="宋体" w:cs="宋体"/>
                <w:color w:val="auto"/>
                <w:highlight w:val="none"/>
              </w:rPr>
              <w:t>）。</w:t>
            </w:r>
          </w:p>
        </w:tc>
        <w:tc>
          <w:tcPr>
            <w:tcW w:w="2212" w:type="dxa"/>
          </w:tcPr>
          <w:p w14:paraId="7B5A5480">
            <w:pPr>
              <w:kinsoku/>
              <w:topLinePunct/>
              <w:autoSpaceDE/>
              <w:autoSpaceDN/>
              <w:ind w:right="86" w:rightChars="41"/>
              <w:rPr>
                <w:rFonts w:ascii="宋体" w:cs="宋体"/>
                <w:color w:val="auto"/>
                <w:highlight w:val="none"/>
              </w:rPr>
            </w:pPr>
          </w:p>
        </w:tc>
        <w:tc>
          <w:tcPr>
            <w:tcW w:w="2462" w:type="dxa"/>
          </w:tcPr>
          <w:p w14:paraId="366E17F1">
            <w:pPr>
              <w:kinsoku/>
              <w:topLinePunct/>
              <w:autoSpaceDE/>
              <w:autoSpaceDN/>
              <w:spacing w:line="247" w:lineRule="auto"/>
              <w:ind w:right="86" w:rightChars="41"/>
              <w:rPr>
                <w:rFonts w:ascii="宋体" w:cs="宋体"/>
                <w:color w:val="auto"/>
                <w:highlight w:val="none"/>
              </w:rPr>
            </w:pPr>
          </w:p>
          <w:p w14:paraId="737AD699">
            <w:pPr>
              <w:kinsoku/>
              <w:topLinePunct/>
              <w:autoSpaceDE/>
              <w:autoSpaceDN/>
              <w:spacing w:line="248" w:lineRule="auto"/>
              <w:ind w:right="86" w:rightChars="41"/>
              <w:rPr>
                <w:rFonts w:ascii="宋体" w:cs="宋体"/>
                <w:color w:val="auto"/>
                <w:highlight w:val="none"/>
              </w:rPr>
            </w:pPr>
          </w:p>
          <w:p w14:paraId="2239C623">
            <w:pPr>
              <w:kinsoku/>
              <w:topLinePunct/>
              <w:autoSpaceDE/>
              <w:autoSpaceDN/>
              <w:spacing w:before="68" w:line="243" w:lineRule="auto"/>
              <w:ind w:left="115" w:right="86" w:rightChars="41"/>
              <w:rPr>
                <w:rFonts w:ascii="宋体" w:cs="宋体"/>
                <w:color w:val="auto"/>
                <w:highlight w:val="none"/>
              </w:rPr>
            </w:pPr>
            <w:r>
              <w:rPr>
                <w:rFonts w:hint="eastAsia" w:ascii="宋体" w:hAnsi="宋体" w:cs="宋体"/>
                <w:color w:val="auto"/>
                <w:highlight w:val="none"/>
              </w:rPr>
              <w:t>严格遵守国家的法律、法规和有关规章制度，严格遵守行为准则和职业道德，按现行的财政投资项目评审操作规程及质量控制办法规定的执行。</w:t>
            </w:r>
          </w:p>
        </w:tc>
      </w:tr>
    </w:tbl>
    <w:p w14:paraId="534F77D7">
      <w:pPr>
        <w:kinsoku/>
        <w:topLinePunct/>
        <w:autoSpaceDE/>
        <w:autoSpaceDN/>
        <w:spacing w:line="305" w:lineRule="auto"/>
        <w:ind w:right="86" w:rightChars="41"/>
        <w:rPr>
          <w:rFonts w:ascii="宋体" w:cs="宋体"/>
          <w:color w:val="auto"/>
          <w:highlight w:val="none"/>
        </w:rPr>
      </w:pPr>
    </w:p>
    <w:p w14:paraId="0E10C471">
      <w:pPr>
        <w:kinsoku/>
        <w:topLinePunct/>
        <w:autoSpaceDE/>
        <w:autoSpaceDN/>
        <w:spacing w:before="68" w:line="220" w:lineRule="auto"/>
        <w:ind w:left="3" w:right="86" w:rightChars="41"/>
        <w:rPr>
          <w:rFonts w:ascii="宋体" w:cs="宋体"/>
          <w:color w:val="auto"/>
          <w:highlight w:val="none"/>
        </w:rPr>
      </w:pPr>
      <w:r>
        <w:rPr>
          <w:rFonts w:hint="eastAsia" w:ascii="宋体" w:hAnsi="宋体" w:cs="宋体"/>
          <w:color w:val="auto"/>
          <w:highlight w:val="none"/>
        </w:rPr>
        <w:t>注：若本公司入围，本公司承诺同意按本项目征集文件规定的计费方式和费率计费。</w:t>
      </w:r>
    </w:p>
    <w:p w14:paraId="0DC8C881">
      <w:pPr>
        <w:kinsoku/>
        <w:topLinePunct/>
        <w:autoSpaceDE/>
        <w:autoSpaceDN/>
        <w:spacing w:line="264" w:lineRule="auto"/>
        <w:ind w:right="86" w:rightChars="41"/>
        <w:rPr>
          <w:rFonts w:ascii="宋体" w:cs="宋体"/>
          <w:color w:val="auto"/>
          <w:highlight w:val="none"/>
        </w:rPr>
      </w:pPr>
    </w:p>
    <w:p w14:paraId="7160293B">
      <w:pPr>
        <w:kinsoku/>
        <w:topLinePunct/>
        <w:autoSpaceDE/>
        <w:autoSpaceDN/>
        <w:spacing w:line="264" w:lineRule="auto"/>
        <w:ind w:right="86" w:rightChars="41"/>
        <w:rPr>
          <w:rFonts w:ascii="宋体" w:cs="宋体"/>
          <w:color w:val="auto"/>
          <w:highlight w:val="none"/>
        </w:rPr>
      </w:pPr>
    </w:p>
    <w:p w14:paraId="12241D4A">
      <w:pPr>
        <w:kinsoku/>
        <w:topLinePunct/>
        <w:autoSpaceDE/>
        <w:autoSpaceDN/>
        <w:spacing w:line="265" w:lineRule="auto"/>
        <w:ind w:right="86" w:rightChars="41"/>
        <w:rPr>
          <w:rFonts w:ascii="宋体" w:cs="宋体"/>
          <w:color w:val="auto"/>
          <w:highlight w:val="none"/>
        </w:rPr>
      </w:pPr>
    </w:p>
    <w:p w14:paraId="6FB3FAE0">
      <w:pPr>
        <w:kinsoku/>
        <w:topLinePunct/>
        <w:autoSpaceDE/>
        <w:autoSpaceDN/>
        <w:spacing w:before="69" w:line="220" w:lineRule="auto"/>
        <w:ind w:left="3"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4B3DB377">
      <w:pPr>
        <w:kinsoku/>
        <w:topLinePunct/>
        <w:autoSpaceDE/>
        <w:autoSpaceDN/>
        <w:spacing w:before="143" w:line="221" w:lineRule="auto"/>
        <w:ind w:left="40"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7F23943B">
      <w:pPr>
        <w:kinsoku/>
        <w:topLinePunct/>
        <w:autoSpaceDE/>
        <w:autoSpaceDN/>
        <w:ind w:right="86" w:rightChars="41"/>
        <w:rPr>
          <w:rFonts w:ascii="宋体" w:cs="宋体"/>
          <w:color w:val="auto"/>
          <w:highlight w:val="none"/>
        </w:rPr>
        <w:sectPr>
          <w:footerReference r:id="rId30"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0C69FEDF">
      <w:pPr>
        <w:kinsoku/>
        <w:topLinePunct/>
        <w:autoSpaceDE/>
        <w:autoSpaceDN/>
        <w:spacing w:line="320" w:lineRule="auto"/>
        <w:ind w:right="86" w:rightChars="41"/>
        <w:rPr>
          <w:rFonts w:ascii="宋体" w:cs="宋体"/>
          <w:color w:val="auto"/>
          <w:highlight w:val="none"/>
        </w:rPr>
      </w:pPr>
    </w:p>
    <w:p w14:paraId="5D900BAA">
      <w:pPr>
        <w:kinsoku/>
        <w:topLinePunct/>
        <w:autoSpaceDE/>
        <w:autoSpaceDN/>
        <w:spacing w:before="68" w:line="220" w:lineRule="auto"/>
        <w:ind w:left="1"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符合政府采购政策证明材料。</w:t>
      </w:r>
    </w:p>
    <w:p w14:paraId="0F356DDA">
      <w:pPr>
        <w:kinsoku/>
        <w:topLinePunct/>
        <w:autoSpaceDE/>
        <w:autoSpaceDN/>
        <w:spacing w:before="141" w:line="220" w:lineRule="auto"/>
        <w:ind w:left="1" w:right="86" w:rightChars="41"/>
        <w:rPr>
          <w:rFonts w:ascii="宋体" w:cs="宋体"/>
          <w:color w:val="auto"/>
          <w:highlight w:val="none"/>
        </w:rPr>
      </w:pPr>
      <w:r>
        <w:rPr>
          <w:rFonts w:ascii="宋体" w:hAnsi="宋体" w:cs="宋体"/>
          <w:color w:val="auto"/>
          <w:highlight w:val="none"/>
        </w:rPr>
        <w:t>3.1</w:t>
      </w:r>
      <w:r>
        <w:rPr>
          <w:rFonts w:hint="eastAsia" w:ascii="宋体" w:hAnsi="宋体" w:cs="宋体"/>
          <w:color w:val="auto"/>
          <w:highlight w:val="none"/>
        </w:rPr>
        <w:t>符合小型、微型企业政府采购政策证明材料。</w:t>
      </w:r>
      <w:r>
        <w:rPr>
          <w:rFonts w:ascii="宋体" w:hAnsi="宋体" w:cs="宋体"/>
          <w:color w:val="auto"/>
          <w:highlight w:val="none"/>
        </w:rPr>
        <w:t>(</w:t>
      </w:r>
      <w:r>
        <w:rPr>
          <w:rFonts w:hint="eastAsia" w:ascii="宋体" w:hAnsi="宋体" w:cs="宋体"/>
          <w:color w:val="auto"/>
          <w:highlight w:val="none"/>
        </w:rPr>
        <w:t>非小型、微型企业无需提供</w:t>
      </w:r>
      <w:r>
        <w:rPr>
          <w:rFonts w:ascii="宋体" w:hAnsi="宋体" w:cs="宋体"/>
          <w:color w:val="auto"/>
          <w:highlight w:val="none"/>
        </w:rPr>
        <w:t>)</w:t>
      </w:r>
      <w:r>
        <w:rPr>
          <w:rFonts w:hint="eastAsia" w:ascii="宋体" w:hAnsi="宋体" w:cs="宋体"/>
          <w:color w:val="auto"/>
          <w:highlight w:val="none"/>
        </w:rPr>
        <w:t>。</w:t>
      </w:r>
    </w:p>
    <w:p w14:paraId="71A80A53">
      <w:pPr>
        <w:kinsoku/>
        <w:topLinePunct/>
        <w:autoSpaceDE/>
        <w:autoSpaceDN/>
        <w:spacing w:line="315" w:lineRule="auto"/>
        <w:ind w:right="86" w:rightChars="41"/>
        <w:rPr>
          <w:rFonts w:ascii="宋体" w:cs="宋体"/>
          <w:color w:val="auto"/>
          <w:highlight w:val="none"/>
        </w:rPr>
      </w:pPr>
    </w:p>
    <w:p w14:paraId="5C0DF62B">
      <w:pPr>
        <w:kinsoku/>
        <w:topLinePunct/>
        <w:autoSpaceDE/>
        <w:autoSpaceDN/>
        <w:spacing w:before="68" w:line="221" w:lineRule="auto"/>
        <w:ind w:left="3604" w:right="86" w:rightChars="41"/>
        <w:rPr>
          <w:rFonts w:ascii="宋体" w:hAnsi="宋体" w:cs="宋体"/>
          <w:color w:val="auto"/>
          <w:highlight w:val="none"/>
        </w:rPr>
      </w:pPr>
      <w:r>
        <w:rPr>
          <w:rFonts w:hint="eastAsia" w:ascii="宋体" w:hAnsi="宋体" w:cs="宋体"/>
          <w:color w:val="auto"/>
          <w:highlight w:val="none"/>
        </w:rPr>
        <w:t>中小企业声明函</w:t>
      </w:r>
      <w:r>
        <w:rPr>
          <w:rFonts w:ascii="宋体" w:hAnsi="宋体" w:cs="宋体"/>
          <w:color w:val="auto"/>
          <w:highlight w:val="none"/>
        </w:rPr>
        <w:t>(</w:t>
      </w:r>
      <w:r>
        <w:rPr>
          <w:rFonts w:hint="eastAsia" w:ascii="宋体" w:hAnsi="宋体" w:cs="宋体"/>
          <w:color w:val="auto"/>
          <w:highlight w:val="none"/>
        </w:rPr>
        <w:t>服务</w:t>
      </w:r>
      <w:r>
        <w:rPr>
          <w:rFonts w:ascii="宋体" w:hAnsi="宋体" w:cs="宋体"/>
          <w:color w:val="auto"/>
          <w:highlight w:val="none"/>
        </w:rPr>
        <w:t>)</w:t>
      </w:r>
    </w:p>
    <w:p w14:paraId="2FBE6B1D">
      <w:pPr>
        <w:kinsoku/>
        <w:topLinePunct/>
        <w:autoSpaceDE/>
        <w:autoSpaceDN/>
        <w:spacing w:before="158" w:line="360" w:lineRule="auto"/>
        <w:ind w:left="4" w:right="86" w:rightChars="41" w:firstLine="417"/>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联合体</w:t>
      </w:r>
      <w:r>
        <w:rPr>
          <w:rFonts w:ascii="宋体" w:hAnsi="宋体" w:cs="宋体"/>
          <w:color w:val="auto"/>
          <w:highlight w:val="none"/>
        </w:rPr>
        <w:t>)</w:t>
      </w:r>
      <w:r>
        <w:rPr>
          <w:rFonts w:hint="eastAsia" w:ascii="宋体" w:hAnsi="宋体" w:cs="宋体"/>
          <w:color w:val="auto"/>
          <w:highlight w:val="none"/>
        </w:rPr>
        <w:t>郑重声明，根据《政府采购促进中小企业发展管理办法》</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46</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的规定，本公司</w:t>
      </w:r>
      <w:r>
        <w:rPr>
          <w:rFonts w:ascii="宋体" w:hAnsi="宋体" w:cs="宋体"/>
          <w:color w:val="auto"/>
          <w:highlight w:val="none"/>
        </w:rPr>
        <w:t>(</w:t>
      </w:r>
      <w:r>
        <w:rPr>
          <w:rFonts w:hint="eastAsia" w:ascii="宋体" w:hAnsi="宋体" w:cs="宋体"/>
          <w:color w:val="auto"/>
          <w:highlight w:val="none"/>
        </w:rPr>
        <w:t>联合体</w:t>
      </w:r>
      <w:r>
        <w:rPr>
          <w:rFonts w:ascii="宋体" w:hAnsi="宋体" w:cs="宋体"/>
          <w:color w:val="auto"/>
          <w:highlight w:val="none"/>
        </w:rPr>
        <w:t>)</w:t>
      </w:r>
      <w:r>
        <w:rPr>
          <w:rFonts w:hint="eastAsia" w:ascii="宋体" w:hAnsi="宋体" w:cs="宋体"/>
          <w:color w:val="auto"/>
          <w:highlight w:val="none"/>
        </w:rPr>
        <w:t>参加</w:t>
      </w:r>
      <w:r>
        <w:rPr>
          <w:rFonts w:ascii="宋体" w:hAnsi="宋体" w:cs="宋体"/>
          <w:color w:val="auto"/>
          <w:highlight w:val="none"/>
          <w:u w:val="single"/>
        </w:rPr>
        <w:t>(</w:t>
      </w:r>
      <w:r>
        <w:rPr>
          <w:rFonts w:hint="eastAsia" w:ascii="宋体" w:hAnsi="宋体" w:cs="宋体"/>
          <w:color w:val="auto"/>
          <w:highlight w:val="none"/>
          <w:u w:val="single"/>
        </w:rPr>
        <w:t>单位名称</w:t>
      </w:r>
      <w:r>
        <w:rPr>
          <w:rFonts w:ascii="宋体" w:hAnsi="宋体" w:cs="宋体"/>
          <w:color w:val="auto"/>
          <w:highlight w:val="none"/>
          <w:u w:val="single"/>
        </w:rPr>
        <w:t>)</w:t>
      </w:r>
      <w:r>
        <w:rPr>
          <w:rFonts w:hint="eastAsia" w:ascii="宋体" w:hAnsi="宋体" w:cs="宋体"/>
          <w:color w:val="auto"/>
          <w:highlight w:val="none"/>
        </w:rPr>
        <w:t>的</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采购活动，服务全部由符合政策要求的中小企业承接。相关企业</w:t>
      </w:r>
      <w:r>
        <w:rPr>
          <w:rFonts w:ascii="宋体" w:hAnsi="宋体" w:cs="宋体"/>
          <w:color w:val="auto"/>
          <w:highlight w:val="none"/>
        </w:rPr>
        <w:t>(</w:t>
      </w:r>
      <w:r>
        <w:rPr>
          <w:rFonts w:hint="eastAsia" w:ascii="宋体" w:hAnsi="宋体" w:cs="宋体"/>
          <w:color w:val="auto"/>
          <w:highlight w:val="none"/>
        </w:rPr>
        <w:t>含联合体中的中小企业、签订分包意向协议的中小企业</w:t>
      </w:r>
      <w:r>
        <w:rPr>
          <w:rFonts w:ascii="宋体" w:hAnsi="宋体" w:cs="宋体"/>
          <w:color w:val="auto"/>
          <w:highlight w:val="none"/>
        </w:rPr>
        <w:t>)</w:t>
      </w:r>
      <w:r>
        <w:rPr>
          <w:rFonts w:hint="eastAsia" w:ascii="宋体" w:hAnsi="宋体" w:cs="宋体"/>
          <w:color w:val="auto"/>
          <w:highlight w:val="none"/>
        </w:rPr>
        <w:t>的具体情况如下：</w:t>
      </w:r>
    </w:p>
    <w:p w14:paraId="15EFCE12">
      <w:pPr>
        <w:kinsoku/>
        <w:topLinePunct/>
        <w:autoSpaceDE/>
        <w:autoSpaceDN/>
        <w:spacing w:before="2" w:line="360" w:lineRule="auto"/>
        <w:ind w:left="2" w:right="86" w:rightChars="41" w:firstLine="434"/>
        <w:rPr>
          <w:rFonts w:ascii="宋体" w:cs="宋体"/>
          <w:color w:val="auto"/>
          <w:highlight w:val="none"/>
        </w:rPr>
      </w:pPr>
      <w:r>
        <w:rPr>
          <w:rFonts w:ascii="宋体" w:hAnsi="宋体" w:cs="宋体"/>
          <w:color w:val="auto"/>
          <w:highlight w:val="none"/>
        </w:rPr>
        <w:t>1.</w:t>
      </w:r>
      <w:r>
        <w:rPr>
          <w:rFonts w:ascii="宋体" w:hAnsi="宋体" w:cs="宋体"/>
          <w:color w:val="auto"/>
          <w:highlight w:val="none"/>
          <w:u w:val="single"/>
        </w:rPr>
        <w:t>(</w:t>
      </w:r>
      <w:r>
        <w:rPr>
          <w:rFonts w:hint="eastAsia" w:ascii="宋体" w:hAnsi="宋体" w:cs="宋体"/>
          <w:color w:val="auto"/>
          <w:highlight w:val="none"/>
          <w:u w:val="single"/>
        </w:rPr>
        <w:t>标的名称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属于</w:t>
      </w:r>
      <w:r>
        <w:rPr>
          <w:rFonts w:ascii="宋体" w:hAnsi="宋体" w:cs="宋体"/>
          <w:color w:val="auto"/>
          <w:highlight w:val="none"/>
          <w:u w:val="single"/>
        </w:rPr>
        <w:t>(</w:t>
      </w:r>
      <w:r>
        <w:rPr>
          <w:rFonts w:hint="eastAsia" w:ascii="宋体" w:hAnsi="宋体" w:cs="宋体"/>
          <w:color w:val="auto"/>
          <w:highlight w:val="none"/>
          <w:u w:val="single"/>
        </w:rPr>
        <w:t>征集文件中明确的所属行业</w:t>
      </w:r>
      <w:r>
        <w:rPr>
          <w:rFonts w:ascii="宋体" w:hAnsi="宋体" w:cs="宋体"/>
          <w:color w:val="auto"/>
          <w:highlight w:val="none"/>
          <w:u w:val="single"/>
        </w:rPr>
        <w:t>)</w:t>
      </w:r>
      <w:r>
        <w:rPr>
          <w:rFonts w:hint="eastAsia" w:ascii="宋体" w:hAnsi="宋体" w:cs="宋体"/>
          <w:color w:val="auto"/>
          <w:highlight w:val="none"/>
        </w:rPr>
        <w:t>行业；承接企业为</w:t>
      </w:r>
      <w:r>
        <w:rPr>
          <w:rFonts w:ascii="宋体" w:hAnsi="宋体" w:cs="宋体"/>
          <w:color w:val="auto"/>
          <w:highlight w:val="none"/>
          <w:u w:val="single"/>
        </w:rPr>
        <w:t>(</w:t>
      </w:r>
      <w:r>
        <w:rPr>
          <w:rFonts w:hint="eastAsia" w:ascii="宋体" w:hAnsi="宋体" w:cs="宋体"/>
          <w:color w:val="auto"/>
          <w:highlight w:val="none"/>
          <w:u w:val="single"/>
        </w:rPr>
        <w:t>企业名称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从业人员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万元，属于</w:t>
      </w:r>
      <w:r>
        <w:rPr>
          <w:rFonts w:ascii="宋体" w:hAnsi="宋体" w:cs="宋体"/>
          <w:color w:val="auto"/>
          <w:highlight w:val="none"/>
          <w:u w:val="single"/>
        </w:rPr>
        <w:t>(</w:t>
      </w:r>
      <w:r>
        <w:rPr>
          <w:rFonts w:hint="eastAsia" w:ascii="宋体" w:hAnsi="宋体" w:cs="宋体"/>
          <w:color w:val="auto"/>
          <w:highlight w:val="none"/>
          <w:u w:val="single"/>
        </w:rPr>
        <w:t>中型企业、小型企业、微型企业</w:t>
      </w:r>
      <w:r>
        <w:rPr>
          <w:rFonts w:ascii="宋体" w:hAnsi="宋体" w:cs="宋体"/>
          <w:color w:val="auto"/>
          <w:highlight w:val="none"/>
          <w:u w:val="single"/>
        </w:rPr>
        <w:t>)</w:t>
      </w:r>
      <w:r>
        <w:rPr>
          <w:rFonts w:hint="eastAsia" w:ascii="宋体" w:hAnsi="宋体" w:cs="宋体"/>
          <w:color w:val="auto"/>
          <w:highlight w:val="none"/>
        </w:rPr>
        <w:t>；</w:t>
      </w:r>
    </w:p>
    <w:p w14:paraId="6974B030">
      <w:pPr>
        <w:kinsoku/>
        <w:topLinePunct/>
        <w:autoSpaceDE/>
        <w:autoSpaceDN/>
        <w:spacing w:before="1" w:line="360" w:lineRule="auto"/>
        <w:ind w:left="2" w:right="86" w:rightChars="41" w:firstLine="414"/>
        <w:rPr>
          <w:rFonts w:ascii="宋体" w:cs="宋体"/>
          <w:color w:val="auto"/>
          <w:highlight w:val="none"/>
        </w:rPr>
      </w:pPr>
      <w:r>
        <w:rPr>
          <w:rFonts w:ascii="宋体" w:hAnsi="宋体" w:cs="宋体"/>
          <w:color w:val="auto"/>
          <w:highlight w:val="none"/>
        </w:rPr>
        <w:t>2.</w:t>
      </w:r>
      <w:r>
        <w:rPr>
          <w:rFonts w:ascii="宋体" w:hAnsi="宋体" w:cs="宋体"/>
          <w:color w:val="auto"/>
          <w:highlight w:val="none"/>
          <w:u w:val="single"/>
        </w:rPr>
        <w:t>(</w:t>
      </w:r>
      <w:r>
        <w:rPr>
          <w:rFonts w:hint="eastAsia" w:ascii="宋体" w:hAnsi="宋体" w:cs="宋体"/>
          <w:color w:val="auto"/>
          <w:highlight w:val="none"/>
          <w:u w:val="single"/>
        </w:rPr>
        <w:t>标的名称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属于</w:t>
      </w:r>
      <w:r>
        <w:rPr>
          <w:rFonts w:ascii="宋体" w:hAnsi="宋体" w:cs="宋体"/>
          <w:color w:val="auto"/>
          <w:highlight w:val="none"/>
          <w:u w:val="single"/>
        </w:rPr>
        <w:t>(</w:t>
      </w:r>
      <w:r>
        <w:rPr>
          <w:rFonts w:hint="eastAsia" w:ascii="宋体" w:hAnsi="宋体" w:cs="宋体"/>
          <w:color w:val="auto"/>
          <w:highlight w:val="none"/>
          <w:u w:val="single"/>
        </w:rPr>
        <w:t>征集文件中明确的所属行业</w:t>
      </w:r>
      <w:r>
        <w:rPr>
          <w:rFonts w:ascii="宋体" w:hAnsi="宋体" w:cs="宋体"/>
          <w:color w:val="auto"/>
          <w:highlight w:val="none"/>
          <w:u w:val="single"/>
        </w:rPr>
        <w:t>)</w:t>
      </w:r>
      <w:r>
        <w:rPr>
          <w:rFonts w:hint="eastAsia" w:ascii="宋体" w:hAnsi="宋体" w:cs="宋体"/>
          <w:color w:val="auto"/>
          <w:highlight w:val="none"/>
        </w:rPr>
        <w:t>行业；承接企业为</w:t>
      </w:r>
      <w:r>
        <w:rPr>
          <w:rFonts w:ascii="宋体" w:hAnsi="宋体" w:cs="宋体"/>
          <w:color w:val="auto"/>
          <w:highlight w:val="none"/>
          <w:u w:val="single"/>
        </w:rPr>
        <w:t>(</w:t>
      </w:r>
      <w:r>
        <w:rPr>
          <w:rFonts w:hint="eastAsia" w:ascii="宋体" w:hAnsi="宋体" w:cs="宋体"/>
          <w:color w:val="auto"/>
          <w:highlight w:val="none"/>
          <w:u w:val="single"/>
        </w:rPr>
        <w:t>企业名称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从业人员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万元，属于</w:t>
      </w:r>
      <w:r>
        <w:rPr>
          <w:rFonts w:ascii="宋体" w:hAnsi="宋体" w:cs="宋体"/>
          <w:color w:val="auto"/>
          <w:highlight w:val="none"/>
          <w:u w:val="single"/>
        </w:rPr>
        <w:t>(</w:t>
      </w:r>
      <w:r>
        <w:rPr>
          <w:rFonts w:hint="eastAsia" w:ascii="宋体" w:hAnsi="宋体" w:cs="宋体"/>
          <w:color w:val="auto"/>
          <w:highlight w:val="none"/>
          <w:u w:val="single"/>
        </w:rPr>
        <w:t>中型企业、小型企业、微型企业</w:t>
      </w:r>
      <w:r>
        <w:rPr>
          <w:rFonts w:ascii="宋体" w:hAnsi="宋体" w:cs="宋体"/>
          <w:color w:val="auto"/>
          <w:highlight w:val="none"/>
          <w:u w:val="single"/>
        </w:rPr>
        <w:t>)</w:t>
      </w:r>
      <w:r>
        <w:rPr>
          <w:rFonts w:hint="eastAsia" w:ascii="宋体" w:hAnsi="宋体" w:cs="宋体"/>
          <w:color w:val="auto"/>
          <w:highlight w:val="none"/>
        </w:rPr>
        <w:t>；</w:t>
      </w:r>
    </w:p>
    <w:p w14:paraId="0252911F">
      <w:pPr>
        <w:kinsoku/>
        <w:topLinePunct/>
        <w:autoSpaceDE/>
        <w:autoSpaceDN/>
        <w:spacing w:line="360" w:lineRule="auto"/>
        <w:ind w:left="434" w:right="86" w:rightChars="41"/>
        <w:rPr>
          <w:rFonts w:ascii="宋体" w:cs="宋体"/>
          <w:color w:val="auto"/>
          <w:highlight w:val="none"/>
        </w:rPr>
      </w:pPr>
      <w:r>
        <w:rPr>
          <w:rFonts w:hint="eastAsia" w:ascii="宋体" w:hAnsi="宋体" w:cs="宋体"/>
          <w:color w:val="auto"/>
          <w:highlight w:val="none"/>
        </w:rPr>
        <w:t>……</w:t>
      </w:r>
    </w:p>
    <w:p w14:paraId="79FBE5C2">
      <w:pPr>
        <w:kinsoku/>
        <w:topLinePunct/>
        <w:autoSpaceDE/>
        <w:autoSpaceDN/>
        <w:spacing w:before="77" w:line="360" w:lineRule="auto"/>
        <w:ind w:left="9" w:right="86" w:rightChars="41" w:firstLine="435"/>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777D1891">
      <w:pPr>
        <w:kinsoku/>
        <w:topLinePunct/>
        <w:autoSpaceDE/>
        <w:autoSpaceDN/>
        <w:spacing w:line="360" w:lineRule="auto"/>
        <w:ind w:left="422" w:right="86" w:rightChars="41"/>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52405918">
      <w:pPr>
        <w:kinsoku/>
        <w:topLinePunct/>
        <w:autoSpaceDE/>
        <w:autoSpaceDN/>
        <w:spacing w:before="1" w:line="360" w:lineRule="auto"/>
        <w:ind w:left="3156" w:right="86" w:rightChars="41"/>
        <w:rPr>
          <w:rFonts w:ascii="宋体" w:cs="宋体"/>
          <w:color w:val="auto"/>
          <w:highlight w:val="none"/>
        </w:rPr>
      </w:pPr>
    </w:p>
    <w:p w14:paraId="1C0DA42F">
      <w:pPr>
        <w:kinsoku/>
        <w:topLinePunct/>
        <w:autoSpaceDE/>
        <w:autoSpaceDN/>
        <w:spacing w:before="1" w:line="360" w:lineRule="auto"/>
        <w:ind w:left="3156" w:right="86" w:rightChars="41"/>
        <w:rPr>
          <w:rFonts w:ascii="宋体" w:cs="宋体"/>
          <w:color w:val="auto"/>
          <w:highlight w:val="none"/>
        </w:rPr>
      </w:pPr>
      <w:r>
        <w:rPr>
          <w:rFonts w:hint="eastAsia" w:ascii="宋体" w:hAnsi="宋体" w:cs="宋体"/>
          <w:color w:val="auto"/>
          <w:highlight w:val="none"/>
        </w:rPr>
        <w:t>企业名称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507F4572">
      <w:pPr>
        <w:kinsoku/>
        <w:topLinePunct/>
        <w:autoSpaceDE/>
        <w:autoSpaceDN/>
        <w:spacing w:before="1" w:line="360" w:lineRule="auto"/>
        <w:ind w:left="3156" w:right="86" w:rightChars="41"/>
        <w:rPr>
          <w:rFonts w:ascii="宋体" w:cs="宋体"/>
          <w:color w:val="auto"/>
          <w:highlight w:val="none"/>
        </w:rPr>
      </w:pPr>
      <w:r>
        <w:rPr>
          <w:rFonts w:hint="eastAsia" w:ascii="宋体" w:hAnsi="宋体" w:cs="宋体"/>
          <w:color w:val="auto"/>
          <w:highlight w:val="none"/>
        </w:rPr>
        <w:t>日期：</w:t>
      </w:r>
    </w:p>
    <w:p w14:paraId="656CAF05">
      <w:pPr>
        <w:kinsoku/>
        <w:topLinePunct/>
        <w:autoSpaceDE/>
        <w:autoSpaceDN/>
        <w:spacing w:before="157" w:line="360" w:lineRule="auto"/>
        <w:ind w:left="26" w:right="86" w:rightChars="41" w:hanging="25"/>
        <w:rPr>
          <w:rFonts w:ascii="宋体" w:cs="宋体"/>
          <w:color w:val="auto"/>
          <w:highlight w:val="none"/>
        </w:rPr>
      </w:pPr>
      <w:r>
        <w:rPr>
          <w:rFonts w:hint="eastAsia" w:ascii="宋体" w:hAnsi="宋体" w:cs="宋体"/>
          <w:color w:val="auto"/>
          <w:highlight w:val="none"/>
        </w:rPr>
        <w:t>注：</w:t>
      </w:r>
    </w:p>
    <w:p w14:paraId="4085C9AA">
      <w:pPr>
        <w:kinsoku/>
        <w:topLinePunct/>
        <w:autoSpaceDE/>
        <w:autoSpaceDN/>
        <w:spacing w:before="157" w:line="360" w:lineRule="auto"/>
        <w:ind w:left="26" w:right="86" w:rightChars="41" w:hanging="25"/>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如供应商为联合体或分包的，声明函中“项目名称”应填写联合体中小微企业承担的具体内容或者小微企业具体分包内容。</w:t>
      </w:r>
    </w:p>
    <w:p w14:paraId="0DB939E7">
      <w:pPr>
        <w:kinsoku/>
        <w:topLinePunct/>
        <w:autoSpaceDE/>
        <w:autoSpaceDN/>
        <w:spacing w:before="157" w:line="360" w:lineRule="auto"/>
        <w:ind w:left="26" w:right="86" w:rightChars="41" w:hanging="25"/>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请根据真实情况出具《中小企业声明函》。依法享受中小企业优惠政策的，征集人在公告</w:t>
      </w:r>
      <w:r>
        <w:rPr>
          <w:rFonts w:hint="eastAsia" w:ascii="宋体" w:hAnsi="宋体" w:cs="宋体"/>
          <w:color w:val="auto"/>
          <w:highlight w:val="none"/>
          <w:lang w:eastAsia="zh-CN"/>
        </w:rPr>
        <w:t>入围</w:t>
      </w:r>
      <w:r>
        <w:rPr>
          <w:rFonts w:hint="eastAsia" w:ascii="宋体" w:hAnsi="宋体" w:cs="宋体"/>
          <w:color w:val="auto"/>
          <w:highlight w:val="none"/>
        </w:rPr>
        <w:t>结果时，同时公告其《中小企业声明函》，接受社会监督。</w:t>
      </w:r>
    </w:p>
    <w:p w14:paraId="7162F02E">
      <w:pPr>
        <w:kinsoku/>
        <w:topLinePunct/>
        <w:autoSpaceDE/>
        <w:autoSpaceDN/>
        <w:spacing w:before="157" w:line="360" w:lineRule="auto"/>
        <w:ind w:left="26" w:right="86" w:rightChars="41" w:hanging="25"/>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从业人员、营业收入、资产总额填报上一年度数据，无上一年度数据的新成立企业参照国务院批准的中小企业划标项准，根据企业自身情况如实判断。</w:t>
      </w:r>
    </w:p>
    <w:p w14:paraId="26F6190E">
      <w:pPr>
        <w:kinsoku/>
        <w:topLinePunct/>
        <w:autoSpaceDE/>
        <w:autoSpaceDN/>
        <w:spacing w:line="360" w:lineRule="auto"/>
        <w:ind w:right="86" w:rightChars="41"/>
        <w:rPr>
          <w:rFonts w:ascii="宋体" w:cs="宋体"/>
          <w:color w:val="auto"/>
          <w:highlight w:val="none"/>
        </w:rPr>
      </w:pPr>
    </w:p>
    <w:p w14:paraId="6AEE84C4">
      <w:pPr>
        <w:kinsoku/>
        <w:topLinePunct/>
        <w:autoSpaceDE/>
        <w:autoSpaceDN/>
        <w:spacing w:before="69" w:line="360" w:lineRule="auto"/>
        <w:ind w:left="2" w:right="86" w:rightChars="41" w:hanging="1"/>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监狱企业须提供最新一期《</w:t>
      </w:r>
      <w:r>
        <w:rPr>
          <w:rFonts w:ascii="宋体" w:hAnsi="宋体" w:cs="宋体"/>
          <w:color w:val="auto"/>
          <w:highlight w:val="none"/>
        </w:rPr>
        <w:t>XX</w:t>
      </w:r>
      <w:r>
        <w:rPr>
          <w:rFonts w:hint="eastAsia" w:ascii="宋体" w:hAnsi="宋体" w:cs="宋体"/>
          <w:color w:val="auto"/>
          <w:highlight w:val="none"/>
        </w:rPr>
        <w:t>省监狱企业产品目录》或其他监狱企业证明材料。</w:t>
      </w:r>
      <w:r>
        <w:rPr>
          <w:rFonts w:ascii="宋体" w:hAnsi="宋体" w:cs="宋体"/>
          <w:color w:val="auto"/>
          <w:highlight w:val="none"/>
        </w:rPr>
        <w:t>(</w:t>
      </w:r>
      <w:r>
        <w:rPr>
          <w:rFonts w:hint="eastAsia" w:ascii="宋体" w:hAnsi="宋体" w:cs="宋体"/>
          <w:color w:val="auto"/>
          <w:highlight w:val="none"/>
        </w:rPr>
        <w:t>非监狱企业无需提供</w:t>
      </w:r>
      <w:r>
        <w:rPr>
          <w:rFonts w:ascii="宋体" w:hAnsi="宋体" w:cs="宋体"/>
          <w:color w:val="auto"/>
          <w:highlight w:val="none"/>
        </w:rPr>
        <w:t>)</w:t>
      </w:r>
    </w:p>
    <w:p w14:paraId="18253960">
      <w:pPr>
        <w:kinsoku/>
        <w:topLinePunct/>
        <w:autoSpaceDE/>
        <w:autoSpaceDN/>
        <w:spacing w:before="278" w:line="360" w:lineRule="auto"/>
        <w:ind w:left="1" w:right="86" w:rightChars="41"/>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残疾人福利性单位须提供《残疾人福利性单位声明函》，格式如下。</w:t>
      </w:r>
      <w:r>
        <w:rPr>
          <w:rFonts w:ascii="宋体" w:hAnsi="宋体" w:cs="宋体"/>
          <w:color w:val="auto"/>
          <w:highlight w:val="none"/>
        </w:rPr>
        <w:t>(</w:t>
      </w:r>
      <w:r>
        <w:rPr>
          <w:rFonts w:hint="eastAsia" w:ascii="宋体" w:hAnsi="宋体" w:cs="宋体"/>
          <w:color w:val="auto"/>
          <w:highlight w:val="none"/>
        </w:rPr>
        <w:t>非残疾人福利性单位无需提供</w:t>
      </w:r>
      <w:r>
        <w:rPr>
          <w:rFonts w:ascii="宋体" w:hAnsi="宋体" w:cs="宋体"/>
          <w:color w:val="auto"/>
          <w:highlight w:val="none"/>
        </w:rPr>
        <w:t>)</w:t>
      </w:r>
    </w:p>
    <w:p w14:paraId="194BE057">
      <w:pPr>
        <w:kinsoku/>
        <w:topLinePunct/>
        <w:autoSpaceDE/>
        <w:autoSpaceDN/>
        <w:spacing w:line="360" w:lineRule="auto"/>
        <w:ind w:right="86" w:rightChars="41"/>
        <w:rPr>
          <w:rFonts w:ascii="宋体" w:cs="宋体"/>
          <w:color w:val="auto"/>
          <w:highlight w:val="none"/>
        </w:rPr>
      </w:pPr>
      <w:r>
        <w:rPr>
          <w:rFonts w:ascii="宋体" w:cs="宋体"/>
          <w:color w:val="auto"/>
          <w:highlight w:val="none"/>
        </w:rPr>
        <w:br w:type="page"/>
      </w:r>
    </w:p>
    <w:p w14:paraId="22C8CBB4">
      <w:pPr>
        <w:kinsoku/>
        <w:topLinePunct/>
        <w:autoSpaceDE/>
        <w:autoSpaceDN/>
        <w:spacing w:before="277" w:line="221" w:lineRule="auto"/>
        <w:ind w:left="3361" w:right="86" w:rightChars="41"/>
        <w:rPr>
          <w:rFonts w:ascii="宋体" w:cs="宋体"/>
          <w:color w:val="auto"/>
          <w:highlight w:val="none"/>
        </w:rPr>
      </w:pPr>
    </w:p>
    <w:p w14:paraId="5E21D02D">
      <w:pPr>
        <w:kinsoku/>
        <w:topLinePunct/>
        <w:autoSpaceDE/>
        <w:autoSpaceDN/>
        <w:spacing w:before="277" w:line="221" w:lineRule="auto"/>
        <w:ind w:left="3361" w:right="86" w:rightChars="41"/>
        <w:rPr>
          <w:rFonts w:ascii="宋体" w:cs="宋体"/>
          <w:color w:val="auto"/>
          <w:highlight w:val="none"/>
        </w:rPr>
      </w:pPr>
      <w:r>
        <w:rPr>
          <w:rFonts w:hint="eastAsia" w:ascii="宋体" w:hAnsi="宋体" w:cs="宋体"/>
          <w:color w:val="auto"/>
          <w:highlight w:val="none"/>
        </w:rPr>
        <w:t>残疾人福利性单位声明函</w:t>
      </w:r>
    </w:p>
    <w:p w14:paraId="53DE9C05">
      <w:pPr>
        <w:kinsoku/>
        <w:topLinePunct/>
        <w:autoSpaceDE/>
        <w:autoSpaceDN/>
        <w:spacing w:line="360" w:lineRule="auto"/>
        <w:ind w:right="86" w:rightChars="41" w:firstLine="422" w:firstLineChars="201"/>
        <w:rPr>
          <w:rFonts w:ascii="宋体" w:cs="宋体"/>
          <w:color w:val="auto"/>
          <w:highlight w:val="none"/>
        </w:rPr>
      </w:pPr>
    </w:p>
    <w:p w14:paraId="70ADC05F">
      <w:pPr>
        <w:kinsoku/>
        <w:topLinePunct/>
        <w:autoSpaceDE/>
        <w:autoSpaceDN/>
        <w:spacing w:line="360" w:lineRule="auto"/>
        <w:ind w:right="86" w:rightChars="41" w:firstLine="422" w:firstLineChars="201"/>
        <w:rPr>
          <w:rFonts w:asci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的规定，本单位为符合条件的残疾人福利性单位，且本单位参加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单位的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项目采购活动提供本单位制造的货物</w:t>
      </w:r>
      <w:r>
        <w:rPr>
          <w:rFonts w:ascii="宋体" w:hAnsi="宋体" w:cs="宋体"/>
          <w:color w:val="auto"/>
          <w:highlight w:val="none"/>
        </w:rPr>
        <w:t>(</w:t>
      </w:r>
      <w:r>
        <w:rPr>
          <w:rFonts w:hint="eastAsia" w:ascii="宋体" w:hAnsi="宋体" w:cs="宋体"/>
          <w:color w:val="auto"/>
          <w:highlight w:val="none"/>
        </w:rPr>
        <w:t>由本单位承担工程</w:t>
      </w:r>
      <w:r>
        <w:rPr>
          <w:rFonts w:ascii="宋体" w:hAnsi="宋体" w:cs="宋体"/>
          <w:color w:val="auto"/>
          <w:highlight w:val="none"/>
        </w:rPr>
        <w:t>/</w:t>
      </w:r>
      <w:r>
        <w:rPr>
          <w:rFonts w:hint="eastAsia" w:ascii="宋体" w:hAnsi="宋体" w:cs="宋体"/>
          <w:color w:val="auto"/>
          <w:highlight w:val="none"/>
        </w:rPr>
        <w:t>提供服务</w:t>
      </w:r>
      <w:r>
        <w:rPr>
          <w:rFonts w:ascii="宋体" w:hAnsi="宋体" w:cs="宋体"/>
          <w:color w:val="auto"/>
          <w:highlight w:val="none"/>
        </w:rPr>
        <w:t>)</w:t>
      </w:r>
      <w:r>
        <w:rPr>
          <w:rFonts w:hint="eastAsia" w:ascii="宋体" w:hAnsi="宋体" w:cs="宋体"/>
          <w:color w:val="auto"/>
          <w:highlight w:val="none"/>
        </w:rPr>
        <w:t>，或者提供其他残疾人福利性单位制造的货物</w:t>
      </w:r>
      <w:r>
        <w:rPr>
          <w:rFonts w:ascii="宋体" w:hAnsi="宋体" w:cs="宋体"/>
          <w:color w:val="auto"/>
          <w:highlight w:val="none"/>
        </w:rPr>
        <w:t>(</w:t>
      </w:r>
      <w:r>
        <w:rPr>
          <w:rFonts w:hint="eastAsia" w:ascii="宋体" w:hAnsi="宋体" w:cs="宋体"/>
          <w:color w:val="auto"/>
          <w:highlight w:val="none"/>
        </w:rPr>
        <w:t>不包括使用非残疾人福利性单位注册商标的货物</w:t>
      </w:r>
      <w:r>
        <w:rPr>
          <w:rFonts w:ascii="宋体" w:hAnsi="宋体" w:cs="宋体"/>
          <w:color w:val="auto"/>
          <w:highlight w:val="none"/>
        </w:rPr>
        <w:t>)</w:t>
      </w:r>
      <w:r>
        <w:rPr>
          <w:rFonts w:hint="eastAsia" w:ascii="宋体" w:hAnsi="宋体" w:cs="宋体"/>
          <w:color w:val="auto"/>
          <w:highlight w:val="none"/>
        </w:rPr>
        <w:t>。本单位对上述声明的真实性负责。如有虚假，将依法承担相应责任。</w:t>
      </w:r>
    </w:p>
    <w:p w14:paraId="4B8FD2B8">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单位名称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5BFF9E4">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日期：</w:t>
      </w:r>
    </w:p>
    <w:p w14:paraId="34CA6D7B">
      <w:pPr>
        <w:kinsoku/>
        <w:topLinePunct/>
        <w:autoSpaceDE/>
        <w:autoSpaceDN/>
        <w:ind w:right="86" w:rightChars="41"/>
        <w:rPr>
          <w:rFonts w:ascii="宋体" w:cs="宋体"/>
          <w:color w:val="auto"/>
          <w:highlight w:val="none"/>
        </w:rPr>
      </w:pPr>
      <w:r>
        <w:rPr>
          <w:rFonts w:ascii="宋体" w:cs="宋体"/>
          <w:color w:val="auto"/>
          <w:highlight w:val="none"/>
        </w:rPr>
        <w:br w:type="page"/>
      </w:r>
    </w:p>
    <w:p w14:paraId="2B0F7E25">
      <w:pPr>
        <w:kinsoku/>
        <w:topLinePunct/>
        <w:autoSpaceDE/>
        <w:autoSpaceDN/>
        <w:spacing w:line="528" w:lineRule="exact"/>
        <w:ind w:left="1871" w:right="86" w:rightChars="41" w:firstLine="800" w:firstLineChars="200"/>
        <w:rPr>
          <w:rFonts w:asci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4"/>
        <w:tblW w:w="9482" w:type="dxa"/>
        <w:tblInd w:w="250" w:type="dxa"/>
        <w:tblLayout w:type="fixed"/>
        <w:tblCellMar>
          <w:top w:w="0" w:type="dxa"/>
          <w:left w:w="108" w:type="dxa"/>
          <w:bottom w:w="0" w:type="dxa"/>
          <w:right w:w="108" w:type="dxa"/>
        </w:tblCellMar>
      </w:tblPr>
      <w:tblGrid>
        <w:gridCol w:w="1701"/>
        <w:gridCol w:w="2340"/>
        <w:gridCol w:w="996"/>
        <w:gridCol w:w="1677"/>
        <w:gridCol w:w="1664"/>
        <w:gridCol w:w="1104"/>
      </w:tblGrid>
      <w:tr w14:paraId="23160689">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4A9DFC2B">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行业名称</w:t>
            </w:r>
          </w:p>
        </w:tc>
        <w:tc>
          <w:tcPr>
            <w:tcW w:w="2340" w:type="dxa"/>
            <w:tcBorders>
              <w:top w:val="single" w:color="auto" w:sz="4" w:space="0"/>
              <w:left w:val="nil"/>
              <w:bottom w:val="single" w:color="auto" w:sz="4" w:space="0"/>
              <w:right w:val="single" w:color="auto" w:sz="4" w:space="0"/>
            </w:tcBorders>
            <w:noWrap/>
            <w:vAlign w:val="center"/>
          </w:tcPr>
          <w:p w14:paraId="63AF65DC">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指标名称</w:t>
            </w:r>
          </w:p>
        </w:tc>
        <w:tc>
          <w:tcPr>
            <w:tcW w:w="996" w:type="dxa"/>
            <w:tcBorders>
              <w:top w:val="single" w:color="auto" w:sz="4" w:space="0"/>
              <w:left w:val="nil"/>
              <w:bottom w:val="single" w:color="auto" w:sz="4" w:space="0"/>
              <w:right w:val="single" w:color="auto" w:sz="4" w:space="0"/>
            </w:tcBorders>
            <w:noWrap/>
            <w:vAlign w:val="center"/>
          </w:tcPr>
          <w:p w14:paraId="420EDA9D">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计量单位</w:t>
            </w:r>
          </w:p>
        </w:tc>
        <w:tc>
          <w:tcPr>
            <w:tcW w:w="1677" w:type="dxa"/>
            <w:tcBorders>
              <w:top w:val="single" w:color="auto" w:sz="4" w:space="0"/>
              <w:left w:val="nil"/>
              <w:bottom w:val="single" w:color="auto" w:sz="4" w:space="0"/>
              <w:right w:val="single" w:color="auto" w:sz="4" w:space="0"/>
            </w:tcBorders>
            <w:noWrap/>
            <w:vAlign w:val="center"/>
          </w:tcPr>
          <w:p w14:paraId="37DFFD0C">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中型</w:t>
            </w:r>
          </w:p>
        </w:tc>
        <w:tc>
          <w:tcPr>
            <w:tcW w:w="1664" w:type="dxa"/>
            <w:tcBorders>
              <w:top w:val="single" w:color="auto" w:sz="4" w:space="0"/>
              <w:left w:val="nil"/>
              <w:bottom w:val="single" w:color="auto" w:sz="4" w:space="0"/>
              <w:right w:val="single" w:color="auto" w:sz="4" w:space="0"/>
            </w:tcBorders>
            <w:noWrap/>
            <w:vAlign w:val="center"/>
          </w:tcPr>
          <w:p w14:paraId="7D693B78">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小型</w:t>
            </w:r>
          </w:p>
        </w:tc>
        <w:tc>
          <w:tcPr>
            <w:tcW w:w="1104" w:type="dxa"/>
            <w:tcBorders>
              <w:top w:val="single" w:color="auto" w:sz="4" w:space="0"/>
              <w:left w:val="nil"/>
              <w:bottom w:val="single" w:color="auto" w:sz="4" w:space="0"/>
              <w:right w:val="single" w:color="auto" w:sz="4" w:space="0"/>
            </w:tcBorders>
            <w:noWrap/>
            <w:vAlign w:val="center"/>
          </w:tcPr>
          <w:p w14:paraId="4526C197">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微型</w:t>
            </w:r>
          </w:p>
        </w:tc>
      </w:tr>
      <w:tr w14:paraId="5BCB5CE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1596FA1D">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农、林、牧、渔</w:t>
            </w:r>
          </w:p>
        </w:tc>
        <w:tc>
          <w:tcPr>
            <w:tcW w:w="2340" w:type="dxa"/>
            <w:tcBorders>
              <w:top w:val="nil"/>
              <w:left w:val="nil"/>
              <w:bottom w:val="single" w:color="auto" w:sz="4" w:space="0"/>
              <w:right w:val="single" w:color="auto" w:sz="4" w:space="0"/>
            </w:tcBorders>
            <w:noWrap/>
            <w:vAlign w:val="center"/>
          </w:tcPr>
          <w:p w14:paraId="73DCEC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C83439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26A649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w:t>
            </w:r>
          </w:p>
        </w:tc>
        <w:tc>
          <w:tcPr>
            <w:tcW w:w="1664" w:type="dxa"/>
            <w:tcBorders>
              <w:top w:val="nil"/>
              <w:left w:val="nil"/>
              <w:bottom w:val="single" w:color="auto" w:sz="4" w:space="0"/>
              <w:right w:val="single" w:color="auto" w:sz="4" w:space="0"/>
            </w:tcBorders>
            <w:noWrap/>
            <w:vAlign w:val="center"/>
          </w:tcPr>
          <w:p w14:paraId="7097355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c>
          <w:tcPr>
            <w:tcW w:w="1104" w:type="dxa"/>
            <w:tcBorders>
              <w:top w:val="nil"/>
              <w:left w:val="nil"/>
              <w:bottom w:val="single" w:color="auto" w:sz="4" w:space="0"/>
              <w:right w:val="single" w:color="auto" w:sz="4" w:space="0"/>
            </w:tcBorders>
            <w:noWrap/>
            <w:vAlign w:val="center"/>
          </w:tcPr>
          <w:p w14:paraId="057D438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r>
      <w:tr w14:paraId="297F33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D4E787F">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工业</w:t>
            </w:r>
          </w:p>
        </w:tc>
        <w:tc>
          <w:tcPr>
            <w:tcW w:w="2340" w:type="dxa"/>
            <w:tcBorders>
              <w:top w:val="nil"/>
              <w:left w:val="nil"/>
              <w:bottom w:val="single" w:color="auto" w:sz="4" w:space="0"/>
              <w:right w:val="single" w:color="auto" w:sz="4" w:space="0"/>
            </w:tcBorders>
            <w:noWrap/>
            <w:vAlign w:val="center"/>
          </w:tcPr>
          <w:p w14:paraId="766354D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D109962">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20AB0A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E2BD59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4C279A5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0F57FFF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2E467A2">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2096F6A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23FEF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ECB5C3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40000</w:t>
            </w:r>
          </w:p>
        </w:tc>
        <w:tc>
          <w:tcPr>
            <w:tcW w:w="1664" w:type="dxa"/>
            <w:tcBorders>
              <w:top w:val="nil"/>
              <w:left w:val="nil"/>
              <w:bottom w:val="single" w:color="auto" w:sz="4" w:space="0"/>
              <w:right w:val="single" w:color="auto" w:sz="4" w:space="0"/>
            </w:tcBorders>
            <w:noWrap/>
            <w:vAlign w:val="center"/>
          </w:tcPr>
          <w:p w14:paraId="05A7A1C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253767F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7F04432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132E1E">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建筑业</w:t>
            </w:r>
          </w:p>
        </w:tc>
        <w:tc>
          <w:tcPr>
            <w:tcW w:w="2340" w:type="dxa"/>
            <w:tcBorders>
              <w:top w:val="nil"/>
              <w:left w:val="nil"/>
              <w:bottom w:val="single" w:color="auto" w:sz="4" w:space="0"/>
              <w:right w:val="single" w:color="auto" w:sz="4" w:space="0"/>
            </w:tcBorders>
            <w:noWrap/>
            <w:vAlign w:val="center"/>
          </w:tcPr>
          <w:p w14:paraId="07E5E5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35E1C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6159E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6000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80000</w:t>
            </w:r>
          </w:p>
        </w:tc>
        <w:tc>
          <w:tcPr>
            <w:tcW w:w="1664" w:type="dxa"/>
            <w:tcBorders>
              <w:top w:val="nil"/>
              <w:left w:val="nil"/>
              <w:bottom w:val="single" w:color="auto" w:sz="4" w:space="0"/>
              <w:right w:val="single" w:color="auto" w:sz="4" w:space="0"/>
            </w:tcBorders>
            <w:noWrap/>
            <w:vAlign w:val="center"/>
          </w:tcPr>
          <w:p w14:paraId="074B748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6000</w:t>
            </w:r>
          </w:p>
        </w:tc>
        <w:tc>
          <w:tcPr>
            <w:tcW w:w="1104" w:type="dxa"/>
            <w:tcBorders>
              <w:top w:val="nil"/>
              <w:left w:val="nil"/>
              <w:bottom w:val="single" w:color="auto" w:sz="4" w:space="0"/>
              <w:right w:val="single" w:color="auto" w:sz="4" w:space="0"/>
            </w:tcBorders>
            <w:noWrap/>
            <w:vAlign w:val="center"/>
          </w:tcPr>
          <w:p w14:paraId="511A84E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64782C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A73EDBF">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7CE9DD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01863C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33ADF5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80000</w:t>
            </w:r>
          </w:p>
        </w:tc>
        <w:tc>
          <w:tcPr>
            <w:tcW w:w="1664" w:type="dxa"/>
            <w:tcBorders>
              <w:top w:val="nil"/>
              <w:left w:val="nil"/>
              <w:bottom w:val="single" w:color="auto" w:sz="4" w:space="0"/>
              <w:right w:val="single" w:color="auto" w:sz="4" w:space="0"/>
            </w:tcBorders>
            <w:noWrap/>
            <w:vAlign w:val="center"/>
          </w:tcPr>
          <w:p w14:paraId="1ACC6BA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258BB0E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393930E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9E429F">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批发业</w:t>
            </w:r>
          </w:p>
        </w:tc>
        <w:tc>
          <w:tcPr>
            <w:tcW w:w="2340" w:type="dxa"/>
            <w:tcBorders>
              <w:top w:val="nil"/>
              <w:left w:val="nil"/>
              <w:bottom w:val="single" w:color="auto" w:sz="4" w:space="0"/>
              <w:right w:val="single" w:color="auto" w:sz="4" w:space="0"/>
            </w:tcBorders>
            <w:noWrap/>
            <w:vAlign w:val="center"/>
          </w:tcPr>
          <w:p w14:paraId="693655F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38D7035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F62BBD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c>
          <w:tcPr>
            <w:tcW w:w="1664" w:type="dxa"/>
            <w:tcBorders>
              <w:top w:val="nil"/>
              <w:left w:val="nil"/>
              <w:bottom w:val="single" w:color="auto" w:sz="4" w:space="0"/>
              <w:right w:val="single" w:color="auto" w:sz="4" w:space="0"/>
            </w:tcBorders>
            <w:noWrap/>
            <w:vAlign w:val="center"/>
          </w:tcPr>
          <w:p w14:paraId="5958E26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c>
          <w:tcPr>
            <w:tcW w:w="1104" w:type="dxa"/>
            <w:tcBorders>
              <w:top w:val="nil"/>
              <w:left w:val="nil"/>
              <w:bottom w:val="single" w:color="auto" w:sz="4" w:space="0"/>
              <w:right w:val="single" w:color="auto" w:sz="4" w:space="0"/>
            </w:tcBorders>
            <w:noWrap/>
            <w:vAlign w:val="center"/>
          </w:tcPr>
          <w:p w14:paraId="2C49092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5</w:t>
            </w:r>
          </w:p>
        </w:tc>
      </w:tr>
      <w:tr w14:paraId="0259F3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0036797">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2A3BDEF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C31BBE3">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115919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40000</w:t>
            </w:r>
          </w:p>
        </w:tc>
        <w:tc>
          <w:tcPr>
            <w:tcW w:w="1664" w:type="dxa"/>
            <w:tcBorders>
              <w:top w:val="nil"/>
              <w:left w:val="nil"/>
              <w:bottom w:val="single" w:color="auto" w:sz="4" w:space="0"/>
              <w:right w:val="single" w:color="auto" w:sz="4" w:space="0"/>
            </w:tcBorders>
            <w:noWrap/>
            <w:vAlign w:val="center"/>
          </w:tcPr>
          <w:p w14:paraId="10AC60F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124A405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r>
      <w:tr w14:paraId="5AF9B7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9EC1C25">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零售业</w:t>
            </w:r>
          </w:p>
        </w:tc>
        <w:tc>
          <w:tcPr>
            <w:tcW w:w="2340" w:type="dxa"/>
            <w:tcBorders>
              <w:top w:val="nil"/>
              <w:left w:val="nil"/>
              <w:bottom w:val="single" w:color="auto" w:sz="4" w:space="0"/>
              <w:right w:val="single" w:color="auto" w:sz="4" w:space="0"/>
            </w:tcBorders>
            <w:noWrap/>
            <w:vAlign w:val="center"/>
          </w:tcPr>
          <w:p w14:paraId="3D560A8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810859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0BB0BF4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34C801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c>
          <w:tcPr>
            <w:tcW w:w="1104" w:type="dxa"/>
            <w:tcBorders>
              <w:top w:val="nil"/>
              <w:left w:val="nil"/>
              <w:bottom w:val="single" w:color="auto" w:sz="4" w:space="0"/>
              <w:right w:val="single" w:color="auto" w:sz="4" w:space="0"/>
            </w:tcBorders>
            <w:noWrap/>
            <w:vAlign w:val="center"/>
          </w:tcPr>
          <w:p w14:paraId="57E80E3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4E63CFF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F4EB01A">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34A30352">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53C978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65837B4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w:t>
            </w:r>
          </w:p>
        </w:tc>
        <w:tc>
          <w:tcPr>
            <w:tcW w:w="1664" w:type="dxa"/>
            <w:tcBorders>
              <w:top w:val="nil"/>
              <w:left w:val="nil"/>
              <w:bottom w:val="single" w:color="auto" w:sz="4" w:space="0"/>
              <w:right w:val="single" w:color="auto" w:sz="4" w:space="0"/>
            </w:tcBorders>
            <w:noWrap/>
            <w:vAlign w:val="center"/>
          </w:tcPr>
          <w:p w14:paraId="33389BA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c>
          <w:tcPr>
            <w:tcW w:w="1104" w:type="dxa"/>
            <w:tcBorders>
              <w:top w:val="nil"/>
              <w:left w:val="nil"/>
              <w:bottom w:val="single" w:color="auto" w:sz="4" w:space="0"/>
              <w:right w:val="single" w:color="auto" w:sz="4" w:space="0"/>
            </w:tcBorders>
            <w:noWrap/>
            <w:vAlign w:val="center"/>
          </w:tcPr>
          <w:p w14:paraId="658999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61026E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67B8FDA">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交通运输业</w:t>
            </w:r>
          </w:p>
        </w:tc>
        <w:tc>
          <w:tcPr>
            <w:tcW w:w="2340" w:type="dxa"/>
            <w:tcBorders>
              <w:top w:val="nil"/>
              <w:left w:val="nil"/>
              <w:bottom w:val="single" w:color="auto" w:sz="4" w:space="0"/>
              <w:right w:val="single" w:color="auto" w:sz="4" w:space="0"/>
            </w:tcBorders>
            <w:noWrap/>
            <w:vAlign w:val="center"/>
          </w:tcPr>
          <w:p w14:paraId="6286428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4D414D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BFF6D0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3B35221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7CFF1B3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5E370B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95D4331">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17C2A90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7B32AF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2532320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42BEDE5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w:t>
            </w:r>
          </w:p>
        </w:tc>
        <w:tc>
          <w:tcPr>
            <w:tcW w:w="1104" w:type="dxa"/>
            <w:tcBorders>
              <w:top w:val="nil"/>
              <w:left w:val="nil"/>
              <w:bottom w:val="single" w:color="auto" w:sz="4" w:space="0"/>
              <w:right w:val="single" w:color="auto" w:sz="4" w:space="0"/>
            </w:tcBorders>
            <w:noWrap/>
            <w:vAlign w:val="center"/>
          </w:tcPr>
          <w:p w14:paraId="1A1F566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r>
      <w:tr w14:paraId="7217D6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8A207AC">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仓储业</w:t>
            </w:r>
          </w:p>
        </w:tc>
        <w:tc>
          <w:tcPr>
            <w:tcW w:w="2340" w:type="dxa"/>
            <w:tcBorders>
              <w:top w:val="nil"/>
              <w:left w:val="nil"/>
              <w:bottom w:val="single" w:color="auto" w:sz="4" w:space="0"/>
              <w:right w:val="single" w:color="auto" w:sz="4" w:space="0"/>
            </w:tcBorders>
            <w:noWrap/>
            <w:vAlign w:val="center"/>
          </w:tcPr>
          <w:p w14:paraId="35AC12D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EE0E21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5D3860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c>
          <w:tcPr>
            <w:tcW w:w="1664" w:type="dxa"/>
            <w:tcBorders>
              <w:top w:val="nil"/>
              <w:left w:val="nil"/>
              <w:bottom w:val="single" w:color="auto" w:sz="4" w:space="0"/>
              <w:right w:val="single" w:color="auto" w:sz="4" w:space="0"/>
            </w:tcBorders>
            <w:noWrap/>
            <w:vAlign w:val="center"/>
          </w:tcPr>
          <w:p w14:paraId="52C46E1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25FE40F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704BC1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857A1EB">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57B61D3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B34595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B851D9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477D863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34FBD49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47BDDAB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883572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邮政业</w:t>
            </w:r>
          </w:p>
        </w:tc>
        <w:tc>
          <w:tcPr>
            <w:tcW w:w="2340" w:type="dxa"/>
            <w:tcBorders>
              <w:top w:val="nil"/>
              <w:left w:val="nil"/>
              <w:bottom w:val="single" w:color="auto" w:sz="4" w:space="0"/>
              <w:right w:val="single" w:color="auto" w:sz="4" w:space="0"/>
            </w:tcBorders>
            <w:noWrap/>
            <w:vAlign w:val="center"/>
          </w:tcPr>
          <w:p w14:paraId="71F8C51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E6535D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15F23BF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13A395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24FF731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306592F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0A821B9">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AD7F9D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7764F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68FB847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1453560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2B9BA63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3315B98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E34D51">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住宿业</w:t>
            </w:r>
          </w:p>
        </w:tc>
        <w:tc>
          <w:tcPr>
            <w:tcW w:w="2340" w:type="dxa"/>
            <w:tcBorders>
              <w:top w:val="nil"/>
              <w:left w:val="nil"/>
              <w:bottom w:val="single" w:color="auto" w:sz="4" w:space="0"/>
              <w:right w:val="single" w:color="auto" w:sz="4" w:space="0"/>
            </w:tcBorders>
            <w:noWrap/>
            <w:vAlign w:val="center"/>
          </w:tcPr>
          <w:p w14:paraId="2E891E6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605E30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447F01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05D3114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5FE0AA7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39E29D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16036D">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58B52DD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C9566B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316F541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6EBC8E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3185683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4A0526C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E3FD08A">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餐饮业</w:t>
            </w:r>
          </w:p>
        </w:tc>
        <w:tc>
          <w:tcPr>
            <w:tcW w:w="2340" w:type="dxa"/>
            <w:tcBorders>
              <w:top w:val="nil"/>
              <w:left w:val="nil"/>
              <w:bottom w:val="single" w:color="auto" w:sz="4" w:space="0"/>
              <w:right w:val="single" w:color="auto" w:sz="4" w:space="0"/>
            </w:tcBorders>
            <w:noWrap/>
            <w:vAlign w:val="center"/>
          </w:tcPr>
          <w:p w14:paraId="62462BA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EB8001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69A4FCF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570D1B7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0FD9867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6CA4A01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6D710E1">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07577C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BE97F1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A78BEB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88518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1C58843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73B64E2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6A0C904">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信息传输业</w:t>
            </w:r>
          </w:p>
        </w:tc>
        <w:tc>
          <w:tcPr>
            <w:tcW w:w="2340" w:type="dxa"/>
            <w:tcBorders>
              <w:top w:val="nil"/>
              <w:left w:val="nil"/>
              <w:bottom w:val="single" w:color="auto" w:sz="4" w:space="0"/>
              <w:right w:val="single" w:color="auto" w:sz="4" w:space="0"/>
            </w:tcBorders>
            <w:noWrap/>
            <w:vAlign w:val="center"/>
          </w:tcPr>
          <w:p w14:paraId="6FFE4FE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8E1A10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5FBFCF4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664" w:type="dxa"/>
            <w:tcBorders>
              <w:top w:val="nil"/>
              <w:left w:val="nil"/>
              <w:bottom w:val="single" w:color="auto" w:sz="4" w:space="0"/>
              <w:right w:val="single" w:color="auto" w:sz="4" w:space="0"/>
            </w:tcBorders>
            <w:noWrap/>
            <w:vAlign w:val="center"/>
          </w:tcPr>
          <w:p w14:paraId="23CDDB3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038C59C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5E6675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234A92">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239F9A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8C6AAE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3333E64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100000</w:t>
            </w:r>
          </w:p>
        </w:tc>
        <w:tc>
          <w:tcPr>
            <w:tcW w:w="1664" w:type="dxa"/>
            <w:tcBorders>
              <w:top w:val="nil"/>
              <w:left w:val="nil"/>
              <w:bottom w:val="single" w:color="auto" w:sz="4" w:space="0"/>
              <w:right w:val="single" w:color="auto" w:sz="4" w:space="0"/>
            </w:tcBorders>
            <w:noWrap/>
            <w:vAlign w:val="center"/>
          </w:tcPr>
          <w:p w14:paraId="6E99C5A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180824E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B40B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9AF5682">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软件和信息技术服务业</w:t>
            </w:r>
          </w:p>
        </w:tc>
        <w:tc>
          <w:tcPr>
            <w:tcW w:w="2340" w:type="dxa"/>
            <w:tcBorders>
              <w:top w:val="nil"/>
              <w:left w:val="nil"/>
              <w:bottom w:val="single" w:color="auto" w:sz="4" w:space="0"/>
              <w:right w:val="single" w:color="auto" w:sz="4" w:space="0"/>
            </w:tcBorders>
            <w:noWrap/>
            <w:vAlign w:val="center"/>
          </w:tcPr>
          <w:p w14:paraId="4225A19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5F084D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D116E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5D10C31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190A404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1262CCD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211A969">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7B6FFA3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A20899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1FDDBE4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D61FDE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5B644D6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r>
      <w:tr w14:paraId="3D5C21E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355AE7D">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房地产开发经营</w:t>
            </w:r>
          </w:p>
        </w:tc>
        <w:tc>
          <w:tcPr>
            <w:tcW w:w="2340" w:type="dxa"/>
            <w:tcBorders>
              <w:top w:val="nil"/>
              <w:left w:val="nil"/>
              <w:bottom w:val="single" w:color="auto" w:sz="4" w:space="0"/>
              <w:right w:val="single" w:color="auto" w:sz="4" w:space="0"/>
            </w:tcBorders>
            <w:noWrap/>
            <w:vAlign w:val="center"/>
          </w:tcPr>
          <w:p w14:paraId="65C89FA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E95071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7C0556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200000</w:t>
            </w:r>
          </w:p>
        </w:tc>
        <w:tc>
          <w:tcPr>
            <w:tcW w:w="1664" w:type="dxa"/>
            <w:tcBorders>
              <w:top w:val="nil"/>
              <w:left w:val="nil"/>
              <w:bottom w:val="single" w:color="auto" w:sz="4" w:space="0"/>
              <w:right w:val="single" w:color="auto" w:sz="4" w:space="0"/>
            </w:tcBorders>
            <w:noWrap/>
            <w:vAlign w:val="center"/>
          </w:tcPr>
          <w:p w14:paraId="5FE0791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2B49065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B028E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6DCF5C8">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6240904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7CF136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9615EF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01079D7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629478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r>
      <w:tr w14:paraId="460B72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59BCC8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物业管理</w:t>
            </w:r>
          </w:p>
        </w:tc>
        <w:tc>
          <w:tcPr>
            <w:tcW w:w="2340" w:type="dxa"/>
            <w:tcBorders>
              <w:top w:val="nil"/>
              <w:left w:val="nil"/>
              <w:bottom w:val="single" w:color="auto" w:sz="4" w:space="0"/>
              <w:right w:val="single" w:color="auto" w:sz="4" w:space="0"/>
            </w:tcBorders>
            <w:noWrap/>
            <w:vAlign w:val="center"/>
          </w:tcPr>
          <w:p w14:paraId="48E5163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1FE504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F47BD4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BD960B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2642249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99A0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56F9CAB">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CA3C66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47E147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78943D2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664" w:type="dxa"/>
            <w:tcBorders>
              <w:top w:val="nil"/>
              <w:left w:val="nil"/>
              <w:bottom w:val="single" w:color="auto" w:sz="4" w:space="0"/>
              <w:right w:val="single" w:color="auto" w:sz="4" w:space="0"/>
            </w:tcBorders>
            <w:noWrap/>
            <w:vAlign w:val="center"/>
          </w:tcPr>
          <w:p w14:paraId="19D1879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42F14F2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r>
      <w:tr w14:paraId="77A581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9C98B63">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租赁和商务服务业</w:t>
            </w:r>
          </w:p>
        </w:tc>
        <w:tc>
          <w:tcPr>
            <w:tcW w:w="2340" w:type="dxa"/>
            <w:tcBorders>
              <w:top w:val="nil"/>
              <w:left w:val="nil"/>
              <w:bottom w:val="single" w:color="auto" w:sz="4" w:space="0"/>
              <w:right w:val="single" w:color="auto" w:sz="4" w:space="0"/>
            </w:tcBorders>
            <w:noWrap/>
            <w:vAlign w:val="center"/>
          </w:tcPr>
          <w:p w14:paraId="19550E3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AF35C3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09E572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6FE82B8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7B676D0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1D5143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388D478">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3B3D391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B25D9B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44BF0B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8000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120000</w:t>
            </w:r>
          </w:p>
        </w:tc>
        <w:tc>
          <w:tcPr>
            <w:tcW w:w="1664" w:type="dxa"/>
            <w:tcBorders>
              <w:top w:val="nil"/>
              <w:left w:val="nil"/>
              <w:bottom w:val="single" w:color="auto" w:sz="4" w:space="0"/>
              <w:right w:val="single" w:color="auto" w:sz="4" w:space="0"/>
            </w:tcBorders>
            <w:noWrap/>
            <w:vAlign w:val="center"/>
          </w:tcPr>
          <w:p w14:paraId="14E8EF2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8000</w:t>
            </w:r>
          </w:p>
        </w:tc>
        <w:tc>
          <w:tcPr>
            <w:tcW w:w="1104" w:type="dxa"/>
            <w:tcBorders>
              <w:top w:val="nil"/>
              <w:left w:val="nil"/>
              <w:bottom w:val="single" w:color="auto" w:sz="4" w:space="0"/>
              <w:right w:val="single" w:color="auto" w:sz="4" w:space="0"/>
            </w:tcBorders>
            <w:noWrap/>
            <w:vAlign w:val="center"/>
          </w:tcPr>
          <w:p w14:paraId="044B422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32CF9A2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BD4661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其他未列明行业</w:t>
            </w:r>
          </w:p>
        </w:tc>
        <w:tc>
          <w:tcPr>
            <w:tcW w:w="2340" w:type="dxa"/>
            <w:tcBorders>
              <w:top w:val="nil"/>
              <w:left w:val="nil"/>
              <w:bottom w:val="single" w:color="auto" w:sz="4" w:space="0"/>
              <w:right w:val="single" w:color="auto" w:sz="4" w:space="0"/>
            </w:tcBorders>
            <w:noWrap/>
            <w:vAlign w:val="center"/>
          </w:tcPr>
          <w:p w14:paraId="434B2BA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A53EF4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9082A9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04E9F56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402BD86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bl>
    <w:p w14:paraId="589D6556">
      <w:pPr>
        <w:kinsoku/>
        <w:topLinePunct/>
        <w:autoSpaceDE/>
        <w:autoSpaceDN/>
        <w:spacing w:line="360" w:lineRule="auto"/>
        <w:ind w:right="86" w:rightChars="41" w:firstLine="525" w:firstLineChars="250"/>
        <w:rPr>
          <w:rFonts w:ascii="宋体" w:cs="宋体"/>
          <w:color w:val="auto"/>
          <w:highlight w:val="none"/>
        </w:rPr>
      </w:pPr>
    </w:p>
    <w:p w14:paraId="5988500B">
      <w:pPr>
        <w:kinsoku/>
        <w:topLinePunct/>
        <w:autoSpaceDE/>
        <w:autoSpaceDN/>
        <w:spacing w:line="360" w:lineRule="auto"/>
        <w:ind w:right="86" w:rightChars="41" w:firstLine="525" w:firstLineChars="250"/>
        <w:rPr>
          <w:rFonts w:hint="eastAsia" w:ascii="宋体" w:hAnsi="宋体" w:cs="宋体"/>
          <w:color w:val="auto"/>
          <w:highlight w:val="none"/>
        </w:rPr>
        <w:sectPr>
          <w:footerReference r:id="rId31"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r>
        <w:rPr>
          <w:rFonts w:hint="eastAsia" w:ascii="宋体" w:hAnsi="宋体" w:cs="宋体"/>
          <w:color w:val="auto"/>
          <w:highlight w:val="none"/>
        </w:rPr>
        <w:t>说明：上述标准参照《关于印发中小企业划型标准规定的通知》（工信部联企业</w:t>
      </w:r>
      <w:r>
        <w:rPr>
          <w:rFonts w:ascii="宋体" w:hAnsi="宋体" w:cs="宋体"/>
          <w:color w:val="auto"/>
          <w:highlight w:val="none"/>
        </w:rPr>
        <w:t>[2011]300</w:t>
      </w:r>
      <w:r>
        <w:rPr>
          <w:rFonts w:hint="eastAsia" w:ascii="宋体" w:hAnsi="宋体" w:cs="宋体"/>
          <w:color w:val="auto"/>
          <w:highlight w:val="none"/>
        </w:rPr>
        <w:t>号），大型、中型和小型企业须同时满足所列指标的下限，否则下划一档；微型企业只</w:t>
      </w:r>
      <w:r>
        <w:rPr>
          <w:rFonts w:hint="eastAsia" w:ascii="宋体" w:hAnsi="宋体" w:cs="宋体"/>
          <w:color w:val="auto"/>
          <w:highlight w:val="none"/>
          <w:lang w:eastAsia="zh-CN"/>
        </w:rPr>
        <w:t>需</w:t>
      </w:r>
      <w:r>
        <w:rPr>
          <w:rFonts w:hint="eastAsia" w:ascii="宋体" w:hAnsi="宋体" w:cs="宋体"/>
          <w:color w:val="auto"/>
          <w:highlight w:val="none"/>
        </w:rPr>
        <w:t>满足所列指标中的一项即可。</w:t>
      </w:r>
    </w:p>
    <w:p w14:paraId="49B5D374">
      <w:pPr>
        <w:kinsoku/>
        <w:topLinePunct/>
        <w:autoSpaceDE/>
        <w:autoSpaceDN/>
        <w:spacing w:line="360" w:lineRule="auto"/>
        <w:ind w:right="86" w:rightChars="41"/>
        <w:rPr>
          <w:rFonts w:ascii="宋体" w:cs="宋体"/>
          <w:color w:val="auto"/>
          <w:highlight w:val="none"/>
          <w:lang w:val="en-US" w:eastAsia="zh-CN"/>
        </w:rPr>
      </w:pPr>
    </w:p>
    <w:sectPr>
      <w:headerReference r:id="rId32" w:type="default"/>
      <w:footerReference r:id="rId33"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41BC">
    <w:pPr>
      <w:pStyle w:val="10"/>
      <w:tabs>
        <w:tab w:val="center" w:pos="4873"/>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7287">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FA66">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A4FA66">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7244">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10F3C">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F10F3C">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5DDB">
    <w:pPr>
      <w:spacing w:line="183"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849F7">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0849F7">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2A26">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D0D08">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4D0D08">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BF90">
    <w:pPr>
      <w:spacing w:line="183"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7DDD">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0B7DDD">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BD19">
    <w:pPr>
      <w:spacing w:line="186" w:lineRule="auto"/>
      <w:ind w:left="4564"/>
      <w:rPr>
        <w:rFonts w:ascii="Times New Roman" w:hAnsi="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1C7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431C7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6794">
    <w:pPr>
      <w:spacing w:line="186" w:lineRule="auto"/>
      <w:ind w:left="4485"/>
      <w:rPr>
        <w:rFonts w:ascii="Times New Roman" w:hAnsi="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CFF89">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E0CFF89">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7EEE">
    <w:pPr>
      <w:spacing w:line="186" w:lineRule="auto"/>
      <w:ind w:left="4438"/>
      <w:rPr>
        <w:rFonts w:ascii="Times New Roman" w:hAnsi="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60BBF">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860BBF">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6757">
    <w:pPr>
      <w:spacing w:line="186" w:lineRule="auto"/>
      <w:ind w:left="4473"/>
      <w:rPr>
        <w:rFonts w:ascii="Times New Roman" w:hAnsi="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1EEF9">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9D1EEF9">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FBF6">
    <w:pPr>
      <w:spacing w:line="186" w:lineRule="auto"/>
      <w:ind w:left="4434"/>
      <w:rPr>
        <w:rFonts w:ascii="Times New Roman" w:hAnsi="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190BC">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6190BC">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62D1">
    <w:pPr>
      <w:pStyle w:val="10"/>
      <w:tabs>
        <w:tab w:val="center" w:pos="4873"/>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9BF1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C9BF1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9F18">
    <w:pPr>
      <w:spacing w:line="186" w:lineRule="auto"/>
      <w:ind w:left="4435"/>
      <w:rPr>
        <w:rFonts w:ascii="Times New Roman" w:hAnsi="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7EC42">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AC7EC42">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4F56">
    <w:pPr>
      <w:spacing w:line="186" w:lineRule="auto"/>
      <w:ind w:left="4437"/>
      <w:rPr>
        <w:rFonts w:ascii="Times New Roman" w:hAnsi="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DCD7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58DCD7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B506">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09B32">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AC09B32">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49CE">
    <w:pPr>
      <w:spacing w:line="186" w:lineRule="auto"/>
      <w:ind w:left="4434"/>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AD60">
    <w:pPr>
      <w:spacing w:line="183" w:lineRule="auto"/>
      <w:ind w:left="4669"/>
      <w:rPr>
        <w:rFonts w:ascii="Times New Roman" w:hAnsi="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4BA5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F4BA5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162F">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51F9">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A151F9">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5C8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1EDBE7">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91EDBE7">
                    <w:pPr>
                      <w:pStyle w:val="10"/>
                    </w:pPr>
                    <w:r>
                      <w:fldChar w:fldCharType="begin"/>
                    </w:r>
                    <w:r>
                      <w:instrText xml:space="preserve"> PAGE  \* MERGEFORMAT </w:instrText>
                    </w:r>
                    <w:r>
                      <w:fldChar w:fldCharType="separate"/>
                    </w:r>
                    <w:r>
                      <w:t>45</w:t>
                    </w:r>
                    <w:r>
                      <w:fldChar w:fldCharType="end"/>
                    </w:r>
                  </w:p>
                </w:txbxContent>
              </v:textbox>
            </v:shape>
          </w:pict>
        </mc:Fallback>
      </mc:AlternateContent>
    </w:r>
  </w:p>
  <w:p w14:paraId="5DC65243">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A37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148C8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41148C8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BEF6">
    <w:pPr>
      <w:spacing w:line="186" w:lineRule="auto"/>
      <w:rPr>
        <w:rFonts w:ascii="Times New Roman" w:hAnsi="Times New Roman" w:cs="Times New Roman"/>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1F3C35">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261F3C35">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3401">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929DA">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0929DA">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D595">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11943">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411943">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CC81">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5592">
    <w:pPr>
      <w:pStyle w:val="7"/>
      <w:pBdr>
        <w:bottom w:val="none" w:color="auto" w:sz="0" w:space="0"/>
      </w:pBd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6783">
    <w:pPr>
      <w:pStyle w:val="11"/>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F205">
    <w:pPr>
      <w:spacing w:line="218" w:lineRule="auto"/>
      <w:ind w:left="35"/>
      <w:rPr>
        <w:rFonts w:asci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4DD4">
    <w:pPr>
      <w:spacing w:line="218" w:lineRule="auto"/>
      <w:ind w:left="35"/>
      <w:rPr>
        <w:rFonts w:asci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283E">
    <w:pPr>
      <w:spacing w:line="218" w:lineRule="auto"/>
      <w:ind w:left="35"/>
      <w:rPr>
        <w:rFonts w:asci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4079">
    <w:pPr>
      <w:spacing w:line="218" w:lineRule="auto"/>
      <w:ind w:left="35"/>
      <w:rPr>
        <w:rFonts w:ascii="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2A8F">
    <w:pPr>
      <w:spacing w:line="218" w:lineRule="auto"/>
      <w:ind w:left="35"/>
      <w:rPr>
        <w:rFonts w:asci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7066D"/>
    <w:multiLevelType w:val="singleLevel"/>
    <w:tmpl w:val="A567066D"/>
    <w:lvl w:ilvl="0" w:tentative="0">
      <w:start w:val="3"/>
      <w:numFmt w:val="decimal"/>
      <w:suff w:val="nothing"/>
      <w:lvlText w:val="%1、"/>
      <w:lvlJc w:val="left"/>
    </w:lvl>
  </w:abstractNum>
  <w:abstractNum w:abstractNumId="1">
    <w:nsid w:val="B5E306ED"/>
    <w:multiLevelType w:val="multilevel"/>
    <w:tmpl w:val="B5E306ED"/>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3">
    <w:nsid w:val="FEFF9BE4"/>
    <w:multiLevelType w:val="singleLevel"/>
    <w:tmpl w:val="FEFF9BE4"/>
    <w:lvl w:ilvl="0" w:tentative="0">
      <w:start w:val="5"/>
      <w:numFmt w:val="chineseCounting"/>
      <w:suff w:val="nothing"/>
      <w:lvlText w:val="%1、"/>
      <w:lvlJc w:val="left"/>
      <w:rPr>
        <w:rFonts w:hint="eastAsia"/>
      </w:rPr>
    </w:lvl>
  </w:abstractNum>
  <w:abstractNum w:abstractNumId="4">
    <w:nsid w:val="03D62ECE"/>
    <w:multiLevelType w:val="multilevel"/>
    <w:tmpl w:val="03D62ECE"/>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6">
    <w:nsid w:val="2A8F537B"/>
    <w:multiLevelType w:val="multilevel"/>
    <w:tmpl w:val="2A8F537B"/>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2）"/>
      <w:lvlJc w:val="left"/>
      <w:pPr>
        <w:ind w:left="1827"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842" w:hanging="567"/>
      </w:pPr>
      <w:rPr>
        <w:rFonts w:hint="default"/>
        <w:lang w:val="zh-CN" w:eastAsia="zh-CN" w:bidi="zh-CN"/>
      </w:rPr>
    </w:lvl>
    <w:lvl w:ilvl="3" w:tentative="0">
      <w:start w:val="0"/>
      <w:numFmt w:val="bullet"/>
      <w:lvlText w:val="•"/>
      <w:lvlJc w:val="left"/>
      <w:pPr>
        <w:ind w:left="3785" w:hanging="567"/>
      </w:pPr>
      <w:rPr>
        <w:rFonts w:hint="default"/>
        <w:lang w:val="zh-CN" w:eastAsia="zh-CN" w:bidi="zh-CN"/>
      </w:rPr>
    </w:lvl>
    <w:lvl w:ilvl="4" w:tentative="0">
      <w:start w:val="0"/>
      <w:numFmt w:val="bullet"/>
      <w:lvlText w:val="•"/>
      <w:lvlJc w:val="left"/>
      <w:pPr>
        <w:ind w:left="4728" w:hanging="567"/>
      </w:pPr>
      <w:rPr>
        <w:rFonts w:hint="default"/>
        <w:lang w:val="zh-CN" w:eastAsia="zh-CN" w:bidi="zh-CN"/>
      </w:rPr>
    </w:lvl>
    <w:lvl w:ilvl="5" w:tentative="0">
      <w:start w:val="0"/>
      <w:numFmt w:val="bullet"/>
      <w:lvlText w:val="•"/>
      <w:lvlJc w:val="left"/>
      <w:pPr>
        <w:ind w:left="5671" w:hanging="567"/>
      </w:pPr>
      <w:rPr>
        <w:rFonts w:hint="default"/>
        <w:lang w:val="zh-CN" w:eastAsia="zh-CN" w:bidi="zh-CN"/>
      </w:rPr>
    </w:lvl>
    <w:lvl w:ilvl="6" w:tentative="0">
      <w:start w:val="0"/>
      <w:numFmt w:val="bullet"/>
      <w:lvlText w:val="•"/>
      <w:lvlJc w:val="left"/>
      <w:pPr>
        <w:ind w:left="6614" w:hanging="567"/>
      </w:pPr>
      <w:rPr>
        <w:rFonts w:hint="default"/>
        <w:lang w:val="zh-CN" w:eastAsia="zh-CN" w:bidi="zh-CN"/>
      </w:rPr>
    </w:lvl>
    <w:lvl w:ilvl="7" w:tentative="0">
      <w:start w:val="0"/>
      <w:numFmt w:val="bullet"/>
      <w:lvlText w:val="•"/>
      <w:lvlJc w:val="left"/>
      <w:pPr>
        <w:ind w:left="7557" w:hanging="567"/>
      </w:pPr>
      <w:rPr>
        <w:rFonts w:hint="default"/>
        <w:lang w:val="zh-CN" w:eastAsia="zh-CN" w:bidi="zh-CN"/>
      </w:rPr>
    </w:lvl>
    <w:lvl w:ilvl="8" w:tentative="0">
      <w:start w:val="0"/>
      <w:numFmt w:val="bullet"/>
      <w:lvlText w:val="•"/>
      <w:lvlJc w:val="left"/>
      <w:pPr>
        <w:ind w:left="8500" w:hanging="567"/>
      </w:pPr>
      <w:rPr>
        <w:rFonts w:hint="default"/>
        <w:lang w:val="zh-CN" w:eastAsia="zh-CN" w:bidi="zh-CN"/>
      </w:rPr>
    </w:lvl>
  </w:abstractNum>
  <w:abstractNum w:abstractNumId="7">
    <w:nsid w:val="4D4DC07F"/>
    <w:multiLevelType w:val="multilevel"/>
    <w:tmpl w:val="4D4DC07F"/>
    <w:lvl w:ilvl="0" w:tentative="0">
      <w:start w:val="1"/>
      <w:numFmt w:val="decimal"/>
      <w:lvlText w:val="%1."/>
      <w:lvlJc w:val="left"/>
      <w:pPr>
        <w:ind w:left="903" w:hanging="413"/>
        <w:jc w:val="left"/>
      </w:pPr>
      <w:rPr>
        <w:rFonts w:hint="default" w:ascii="宋体" w:hAnsi="宋体" w:eastAsia="宋体" w:cs="宋体"/>
        <w:color w:val="auto"/>
        <w:w w:val="100"/>
        <w:sz w:val="21"/>
        <w:szCs w:val="21"/>
        <w:lang w:val="zh-CN" w:eastAsia="zh-CN" w:bidi="zh-CN"/>
      </w:rPr>
    </w:lvl>
    <w:lvl w:ilvl="1" w:tentative="0">
      <w:start w:val="0"/>
      <w:numFmt w:val="bullet"/>
      <w:lvlText w:val="•"/>
      <w:lvlJc w:val="left"/>
      <w:pPr>
        <w:ind w:left="1848" w:hanging="413"/>
      </w:pPr>
      <w:rPr>
        <w:rFonts w:hint="default"/>
        <w:lang w:val="zh-CN" w:eastAsia="zh-CN" w:bidi="zh-CN"/>
      </w:rPr>
    </w:lvl>
    <w:lvl w:ilvl="2" w:tentative="0">
      <w:start w:val="0"/>
      <w:numFmt w:val="bullet"/>
      <w:lvlText w:val="•"/>
      <w:lvlJc w:val="left"/>
      <w:pPr>
        <w:ind w:left="2797" w:hanging="413"/>
      </w:pPr>
      <w:rPr>
        <w:rFonts w:hint="default"/>
        <w:lang w:val="zh-CN" w:eastAsia="zh-CN" w:bidi="zh-CN"/>
      </w:rPr>
    </w:lvl>
    <w:lvl w:ilvl="3" w:tentative="0">
      <w:start w:val="0"/>
      <w:numFmt w:val="bullet"/>
      <w:lvlText w:val="•"/>
      <w:lvlJc w:val="left"/>
      <w:pPr>
        <w:ind w:left="3745" w:hanging="413"/>
      </w:pPr>
      <w:rPr>
        <w:rFonts w:hint="default"/>
        <w:lang w:val="zh-CN" w:eastAsia="zh-CN" w:bidi="zh-CN"/>
      </w:rPr>
    </w:lvl>
    <w:lvl w:ilvl="4" w:tentative="0">
      <w:start w:val="0"/>
      <w:numFmt w:val="bullet"/>
      <w:lvlText w:val="•"/>
      <w:lvlJc w:val="left"/>
      <w:pPr>
        <w:ind w:left="4694" w:hanging="413"/>
      </w:pPr>
      <w:rPr>
        <w:rFonts w:hint="default"/>
        <w:lang w:val="zh-CN" w:eastAsia="zh-CN" w:bidi="zh-CN"/>
      </w:rPr>
    </w:lvl>
    <w:lvl w:ilvl="5" w:tentative="0">
      <w:start w:val="0"/>
      <w:numFmt w:val="bullet"/>
      <w:lvlText w:val="•"/>
      <w:lvlJc w:val="left"/>
      <w:pPr>
        <w:ind w:left="5643" w:hanging="413"/>
      </w:pPr>
      <w:rPr>
        <w:rFonts w:hint="default"/>
        <w:lang w:val="zh-CN" w:eastAsia="zh-CN" w:bidi="zh-CN"/>
      </w:rPr>
    </w:lvl>
    <w:lvl w:ilvl="6" w:tentative="0">
      <w:start w:val="0"/>
      <w:numFmt w:val="bullet"/>
      <w:lvlText w:val="•"/>
      <w:lvlJc w:val="left"/>
      <w:pPr>
        <w:ind w:left="6591" w:hanging="413"/>
      </w:pPr>
      <w:rPr>
        <w:rFonts w:hint="default"/>
        <w:lang w:val="zh-CN" w:eastAsia="zh-CN" w:bidi="zh-CN"/>
      </w:rPr>
    </w:lvl>
    <w:lvl w:ilvl="7" w:tentative="0">
      <w:start w:val="0"/>
      <w:numFmt w:val="bullet"/>
      <w:lvlText w:val="•"/>
      <w:lvlJc w:val="left"/>
      <w:pPr>
        <w:ind w:left="7540" w:hanging="413"/>
      </w:pPr>
      <w:rPr>
        <w:rFonts w:hint="default"/>
        <w:lang w:val="zh-CN" w:eastAsia="zh-CN" w:bidi="zh-CN"/>
      </w:rPr>
    </w:lvl>
    <w:lvl w:ilvl="8" w:tentative="0">
      <w:start w:val="0"/>
      <w:numFmt w:val="bullet"/>
      <w:lvlText w:val="•"/>
      <w:lvlJc w:val="left"/>
      <w:pPr>
        <w:ind w:left="8489" w:hanging="413"/>
      </w:pPr>
      <w:rPr>
        <w:rFonts w:hint="default"/>
        <w:lang w:val="zh-CN" w:eastAsia="zh-CN" w:bidi="zh-CN"/>
      </w:rPr>
    </w:lvl>
  </w:abstractNum>
  <w:abstractNum w:abstractNumId="8">
    <w:nsid w:val="58CAF4FB"/>
    <w:multiLevelType w:val="singleLevel"/>
    <w:tmpl w:val="58CAF4FB"/>
    <w:lvl w:ilvl="0" w:tentative="0">
      <w:start w:val="2"/>
      <w:numFmt w:val="decimal"/>
      <w:suff w:val="nothing"/>
      <w:lvlText w:val="（%1）"/>
      <w:lvlJc w:val="left"/>
    </w:lvl>
  </w:abstractNum>
  <w:abstractNum w:abstractNumId="9">
    <w:nsid w:val="72183CF9"/>
    <w:multiLevelType w:val="multilevel"/>
    <w:tmpl w:val="72183CF9"/>
    <w:lvl w:ilvl="0" w:tentative="0">
      <w:start w:val="1"/>
      <w:numFmt w:val="decimal"/>
      <w:lvlText w:val="%1."/>
      <w:lvlJc w:val="left"/>
      <w:pPr>
        <w:ind w:left="1470" w:hanging="420"/>
        <w:jc w:val="left"/>
      </w:pPr>
      <w:rPr>
        <w:rFonts w:hint="default" w:ascii="Times New Roman" w:hAnsi="Times New Roman" w:eastAsia="Times New Roman" w:cs="Times New Roman"/>
        <w:color w:val="auto"/>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num w:numId="1">
    <w:abstractNumId w:val="2"/>
  </w:num>
  <w:num w:numId="2">
    <w:abstractNumId w:val="1"/>
  </w:num>
  <w:num w:numId="3">
    <w:abstractNumId w:val="4"/>
  </w:num>
  <w:num w:numId="4">
    <w:abstractNumId w:val="5"/>
  </w:num>
  <w:num w:numId="5">
    <w:abstractNumId w:val="9"/>
  </w:num>
  <w:num w:numId="6">
    <w:abstractNumId w:val="6"/>
  </w:num>
  <w:num w:numId="7">
    <w:abstractNumId w:val="3"/>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jcxYjBhYmVkNDRkZGNhNTQ5NmU5MzZiYTJkODgifQ=="/>
  </w:docVars>
  <w:rsids>
    <w:rsidRoot w:val="000C0A78"/>
    <w:rsid w:val="00045ACF"/>
    <w:rsid w:val="000C0A78"/>
    <w:rsid w:val="000E6C2B"/>
    <w:rsid w:val="00151F49"/>
    <w:rsid w:val="001570FF"/>
    <w:rsid w:val="001B4C2C"/>
    <w:rsid w:val="00201281"/>
    <w:rsid w:val="002A6889"/>
    <w:rsid w:val="002D0F96"/>
    <w:rsid w:val="003D1879"/>
    <w:rsid w:val="0044153E"/>
    <w:rsid w:val="004C1952"/>
    <w:rsid w:val="00523E56"/>
    <w:rsid w:val="006E6754"/>
    <w:rsid w:val="00734F28"/>
    <w:rsid w:val="007402CA"/>
    <w:rsid w:val="008E6BE1"/>
    <w:rsid w:val="00937BFD"/>
    <w:rsid w:val="00940A48"/>
    <w:rsid w:val="009D1878"/>
    <w:rsid w:val="00A371D7"/>
    <w:rsid w:val="00B109A0"/>
    <w:rsid w:val="00B33208"/>
    <w:rsid w:val="00C1754E"/>
    <w:rsid w:val="00C8198B"/>
    <w:rsid w:val="00E557AB"/>
    <w:rsid w:val="00E56FC0"/>
    <w:rsid w:val="00E97DC6"/>
    <w:rsid w:val="00F520E5"/>
    <w:rsid w:val="00FE5282"/>
    <w:rsid w:val="01001B5E"/>
    <w:rsid w:val="011949CD"/>
    <w:rsid w:val="01454703"/>
    <w:rsid w:val="0156352C"/>
    <w:rsid w:val="01564FF0"/>
    <w:rsid w:val="015C2B0C"/>
    <w:rsid w:val="01636D07"/>
    <w:rsid w:val="016B539C"/>
    <w:rsid w:val="01832DCA"/>
    <w:rsid w:val="01852FBD"/>
    <w:rsid w:val="01995B0E"/>
    <w:rsid w:val="019E34F6"/>
    <w:rsid w:val="020E2058"/>
    <w:rsid w:val="021D1CB0"/>
    <w:rsid w:val="02290DF5"/>
    <w:rsid w:val="02334D3D"/>
    <w:rsid w:val="024204F2"/>
    <w:rsid w:val="02713E77"/>
    <w:rsid w:val="029F7154"/>
    <w:rsid w:val="02AF2F00"/>
    <w:rsid w:val="02C1531D"/>
    <w:rsid w:val="02CD1F13"/>
    <w:rsid w:val="02E84657"/>
    <w:rsid w:val="02F079B0"/>
    <w:rsid w:val="031D52A1"/>
    <w:rsid w:val="0351781F"/>
    <w:rsid w:val="03575C81"/>
    <w:rsid w:val="035B3F7B"/>
    <w:rsid w:val="036F6B27"/>
    <w:rsid w:val="038D51FF"/>
    <w:rsid w:val="039A2C2C"/>
    <w:rsid w:val="03A8028B"/>
    <w:rsid w:val="03BD4AF9"/>
    <w:rsid w:val="03D26FD0"/>
    <w:rsid w:val="03DA3C5D"/>
    <w:rsid w:val="03F24816"/>
    <w:rsid w:val="03FE58A6"/>
    <w:rsid w:val="040179BD"/>
    <w:rsid w:val="04473600"/>
    <w:rsid w:val="04497866"/>
    <w:rsid w:val="04557A40"/>
    <w:rsid w:val="04581455"/>
    <w:rsid w:val="045C213B"/>
    <w:rsid w:val="046F23AC"/>
    <w:rsid w:val="047166E6"/>
    <w:rsid w:val="04926F71"/>
    <w:rsid w:val="049C7223"/>
    <w:rsid w:val="04C61966"/>
    <w:rsid w:val="04EE5B08"/>
    <w:rsid w:val="04F82B4C"/>
    <w:rsid w:val="051536FE"/>
    <w:rsid w:val="051A51B8"/>
    <w:rsid w:val="052432F9"/>
    <w:rsid w:val="056A3A4A"/>
    <w:rsid w:val="057228FE"/>
    <w:rsid w:val="05AD264D"/>
    <w:rsid w:val="05DD1A42"/>
    <w:rsid w:val="05E75EEA"/>
    <w:rsid w:val="06093262"/>
    <w:rsid w:val="0616597F"/>
    <w:rsid w:val="062067FE"/>
    <w:rsid w:val="06281283"/>
    <w:rsid w:val="062E2CC9"/>
    <w:rsid w:val="0630252B"/>
    <w:rsid w:val="063351E1"/>
    <w:rsid w:val="06434507"/>
    <w:rsid w:val="06485D88"/>
    <w:rsid w:val="06734B80"/>
    <w:rsid w:val="06877DFA"/>
    <w:rsid w:val="069C7115"/>
    <w:rsid w:val="06D2686B"/>
    <w:rsid w:val="06D47909"/>
    <w:rsid w:val="070A1E5C"/>
    <w:rsid w:val="07227327"/>
    <w:rsid w:val="07316803"/>
    <w:rsid w:val="07324FBC"/>
    <w:rsid w:val="073A17BD"/>
    <w:rsid w:val="075076F6"/>
    <w:rsid w:val="0751715A"/>
    <w:rsid w:val="075C5D77"/>
    <w:rsid w:val="07854B6B"/>
    <w:rsid w:val="07926CE3"/>
    <w:rsid w:val="07A3050C"/>
    <w:rsid w:val="07AA637F"/>
    <w:rsid w:val="07AC659B"/>
    <w:rsid w:val="07AF362B"/>
    <w:rsid w:val="080B4BAB"/>
    <w:rsid w:val="0825634E"/>
    <w:rsid w:val="08346591"/>
    <w:rsid w:val="084367D4"/>
    <w:rsid w:val="0865674A"/>
    <w:rsid w:val="086A4512"/>
    <w:rsid w:val="086F18EA"/>
    <w:rsid w:val="088C017B"/>
    <w:rsid w:val="08D15B8E"/>
    <w:rsid w:val="08EC29C7"/>
    <w:rsid w:val="08EF603E"/>
    <w:rsid w:val="08F875BE"/>
    <w:rsid w:val="090428C5"/>
    <w:rsid w:val="0955672D"/>
    <w:rsid w:val="098A0731"/>
    <w:rsid w:val="09905A49"/>
    <w:rsid w:val="09A6701A"/>
    <w:rsid w:val="09B039F5"/>
    <w:rsid w:val="09CB4CD3"/>
    <w:rsid w:val="09D43B87"/>
    <w:rsid w:val="09F479B8"/>
    <w:rsid w:val="09F558AC"/>
    <w:rsid w:val="09F77876"/>
    <w:rsid w:val="0A042457"/>
    <w:rsid w:val="0A081A83"/>
    <w:rsid w:val="0A0B50CF"/>
    <w:rsid w:val="0A1044A4"/>
    <w:rsid w:val="0A107B41"/>
    <w:rsid w:val="0A775C69"/>
    <w:rsid w:val="0A792745"/>
    <w:rsid w:val="0A8A2498"/>
    <w:rsid w:val="0AB92440"/>
    <w:rsid w:val="0AC37758"/>
    <w:rsid w:val="0AC66C76"/>
    <w:rsid w:val="0AF41D97"/>
    <w:rsid w:val="0B052193"/>
    <w:rsid w:val="0B325009"/>
    <w:rsid w:val="0B3D2BB8"/>
    <w:rsid w:val="0B6D5629"/>
    <w:rsid w:val="0BA47589"/>
    <w:rsid w:val="0BA61553"/>
    <w:rsid w:val="0BCD6AE0"/>
    <w:rsid w:val="0BD51E39"/>
    <w:rsid w:val="0BD7795F"/>
    <w:rsid w:val="0BE55FD0"/>
    <w:rsid w:val="0BF70001"/>
    <w:rsid w:val="0C767178"/>
    <w:rsid w:val="0C9632DD"/>
    <w:rsid w:val="0C9E6518"/>
    <w:rsid w:val="0CB437FC"/>
    <w:rsid w:val="0CB70393"/>
    <w:rsid w:val="0CB97065"/>
    <w:rsid w:val="0CCC4574"/>
    <w:rsid w:val="0CE2367A"/>
    <w:rsid w:val="0CE42333"/>
    <w:rsid w:val="0CE917D3"/>
    <w:rsid w:val="0D1424ED"/>
    <w:rsid w:val="0D293F6C"/>
    <w:rsid w:val="0D2B7F62"/>
    <w:rsid w:val="0D444B80"/>
    <w:rsid w:val="0D5D4B8B"/>
    <w:rsid w:val="0D725B91"/>
    <w:rsid w:val="0D865199"/>
    <w:rsid w:val="0D8A06F8"/>
    <w:rsid w:val="0D913B3D"/>
    <w:rsid w:val="0DF07E84"/>
    <w:rsid w:val="0E034675"/>
    <w:rsid w:val="0E0A6682"/>
    <w:rsid w:val="0E0D1416"/>
    <w:rsid w:val="0E3C6138"/>
    <w:rsid w:val="0E456E02"/>
    <w:rsid w:val="0E4F5577"/>
    <w:rsid w:val="0E627010"/>
    <w:rsid w:val="0E6F04C9"/>
    <w:rsid w:val="0E707BF7"/>
    <w:rsid w:val="0E891F70"/>
    <w:rsid w:val="0ED87BB1"/>
    <w:rsid w:val="0F073C1A"/>
    <w:rsid w:val="0F3330FE"/>
    <w:rsid w:val="0F44355D"/>
    <w:rsid w:val="0F4F0B1B"/>
    <w:rsid w:val="0F7B1F37"/>
    <w:rsid w:val="0F855CBD"/>
    <w:rsid w:val="0F8671FF"/>
    <w:rsid w:val="0F9E1C9C"/>
    <w:rsid w:val="0FAE4E7B"/>
    <w:rsid w:val="0FCD4AB7"/>
    <w:rsid w:val="0FDC05A2"/>
    <w:rsid w:val="0FF24D67"/>
    <w:rsid w:val="0FF66A90"/>
    <w:rsid w:val="10157FD4"/>
    <w:rsid w:val="10245B94"/>
    <w:rsid w:val="10563548"/>
    <w:rsid w:val="10A36062"/>
    <w:rsid w:val="10AF4D9F"/>
    <w:rsid w:val="10BD062A"/>
    <w:rsid w:val="10EA5484"/>
    <w:rsid w:val="11074842"/>
    <w:rsid w:val="11275EF3"/>
    <w:rsid w:val="112E31F5"/>
    <w:rsid w:val="114E78F4"/>
    <w:rsid w:val="11564532"/>
    <w:rsid w:val="11576F21"/>
    <w:rsid w:val="11844ECA"/>
    <w:rsid w:val="11A01B39"/>
    <w:rsid w:val="11D72467"/>
    <w:rsid w:val="1202325C"/>
    <w:rsid w:val="122D652B"/>
    <w:rsid w:val="124D4C3E"/>
    <w:rsid w:val="12617F82"/>
    <w:rsid w:val="128B4FFF"/>
    <w:rsid w:val="12A834A3"/>
    <w:rsid w:val="12B16B16"/>
    <w:rsid w:val="12E12E71"/>
    <w:rsid w:val="12E55B08"/>
    <w:rsid w:val="12F50659"/>
    <w:rsid w:val="130532BF"/>
    <w:rsid w:val="13174AE5"/>
    <w:rsid w:val="131B4645"/>
    <w:rsid w:val="131C5215"/>
    <w:rsid w:val="13220D35"/>
    <w:rsid w:val="134F427F"/>
    <w:rsid w:val="13695C36"/>
    <w:rsid w:val="13842174"/>
    <w:rsid w:val="139F6FB4"/>
    <w:rsid w:val="139F7074"/>
    <w:rsid w:val="13E04EA0"/>
    <w:rsid w:val="13E42C19"/>
    <w:rsid w:val="14060EC2"/>
    <w:rsid w:val="143321B1"/>
    <w:rsid w:val="14357C02"/>
    <w:rsid w:val="14481D3D"/>
    <w:rsid w:val="14720225"/>
    <w:rsid w:val="14772A73"/>
    <w:rsid w:val="1481490C"/>
    <w:rsid w:val="148B194A"/>
    <w:rsid w:val="14D0319D"/>
    <w:rsid w:val="14E5203D"/>
    <w:rsid w:val="14F21366"/>
    <w:rsid w:val="14FA03E6"/>
    <w:rsid w:val="1509227B"/>
    <w:rsid w:val="15102D4E"/>
    <w:rsid w:val="15107A3E"/>
    <w:rsid w:val="154F5CF7"/>
    <w:rsid w:val="15806B32"/>
    <w:rsid w:val="1594241D"/>
    <w:rsid w:val="15BD1974"/>
    <w:rsid w:val="15D13ECB"/>
    <w:rsid w:val="15D612E1"/>
    <w:rsid w:val="162B10D1"/>
    <w:rsid w:val="165B0B3D"/>
    <w:rsid w:val="167F4E7B"/>
    <w:rsid w:val="16813FC1"/>
    <w:rsid w:val="168C1346"/>
    <w:rsid w:val="169528F0"/>
    <w:rsid w:val="16EB0762"/>
    <w:rsid w:val="16EF3DAF"/>
    <w:rsid w:val="16FB6BF7"/>
    <w:rsid w:val="17072823"/>
    <w:rsid w:val="1723006A"/>
    <w:rsid w:val="17233A58"/>
    <w:rsid w:val="17345D5E"/>
    <w:rsid w:val="173D64EF"/>
    <w:rsid w:val="1752258F"/>
    <w:rsid w:val="17725CE9"/>
    <w:rsid w:val="178042D5"/>
    <w:rsid w:val="17A74689"/>
    <w:rsid w:val="17B03A0D"/>
    <w:rsid w:val="17B5112B"/>
    <w:rsid w:val="17C92852"/>
    <w:rsid w:val="17F92A0B"/>
    <w:rsid w:val="18533020"/>
    <w:rsid w:val="18775C69"/>
    <w:rsid w:val="18844E09"/>
    <w:rsid w:val="188B19BA"/>
    <w:rsid w:val="188E0A8C"/>
    <w:rsid w:val="18901D76"/>
    <w:rsid w:val="18B05672"/>
    <w:rsid w:val="18BD0DB4"/>
    <w:rsid w:val="18F57676"/>
    <w:rsid w:val="190000F5"/>
    <w:rsid w:val="191A5E87"/>
    <w:rsid w:val="191B532F"/>
    <w:rsid w:val="193C1947"/>
    <w:rsid w:val="194618AB"/>
    <w:rsid w:val="19530656"/>
    <w:rsid w:val="19533227"/>
    <w:rsid w:val="1962296E"/>
    <w:rsid w:val="19630350"/>
    <w:rsid w:val="196842EC"/>
    <w:rsid w:val="198A0323"/>
    <w:rsid w:val="198D2276"/>
    <w:rsid w:val="19A52E4A"/>
    <w:rsid w:val="19B40086"/>
    <w:rsid w:val="19C45CAA"/>
    <w:rsid w:val="19D813C6"/>
    <w:rsid w:val="1A147223"/>
    <w:rsid w:val="1A18186E"/>
    <w:rsid w:val="1A1B135F"/>
    <w:rsid w:val="1A457671"/>
    <w:rsid w:val="1A4F434F"/>
    <w:rsid w:val="1A514B23"/>
    <w:rsid w:val="1A700765"/>
    <w:rsid w:val="1A7171D0"/>
    <w:rsid w:val="1AAD197C"/>
    <w:rsid w:val="1AB05F4B"/>
    <w:rsid w:val="1ADF073A"/>
    <w:rsid w:val="1B004294"/>
    <w:rsid w:val="1B035B65"/>
    <w:rsid w:val="1B1F52CD"/>
    <w:rsid w:val="1B505038"/>
    <w:rsid w:val="1B62527C"/>
    <w:rsid w:val="1B652E0B"/>
    <w:rsid w:val="1B656D35"/>
    <w:rsid w:val="1B79458F"/>
    <w:rsid w:val="1B7A20B5"/>
    <w:rsid w:val="1B7E3953"/>
    <w:rsid w:val="1B837BD3"/>
    <w:rsid w:val="1B943177"/>
    <w:rsid w:val="1B9C64CF"/>
    <w:rsid w:val="1BB2184F"/>
    <w:rsid w:val="1BC45252"/>
    <w:rsid w:val="1BC64867"/>
    <w:rsid w:val="1BD14CC5"/>
    <w:rsid w:val="1BFF73B7"/>
    <w:rsid w:val="1C3B1844"/>
    <w:rsid w:val="1C427076"/>
    <w:rsid w:val="1C6A3ED7"/>
    <w:rsid w:val="1C6E1EC1"/>
    <w:rsid w:val="1C76287C"/>
    <w:rsid w:val="1C8C7346"/>
    <w:rsid w:val="1CAD0994"/>
    <w:rsid w:val="1CC7757C"/>
    <w:rsid w:val="1CC950A2"/>
    <w:rsid w:val="1CCB706C"/>
    <w:rsid w:val="1CD10147"/>
    <w:rsid w:val="1CE52D45"/>
    <w:rsid w:val="1CEB6099"/>
    <w:rsid w:val="1CEE6A7A"/>
    <w:rsid w:val="1D715A09"/>
    <w:rsid w:val="1D7940CD"/>
    <w:rsid w:val="1D8070CB"/>
    <w:rsid w:val="1D8316F5"/>
    <w:rsid w:val="1D8B7E73"/>
    <w:rsid w:val="1D9F721C"/>
    <w:rsid w:val="1DA51038"/>
    <w:rsid w:val="1DB30A05"/>
    <w:rsid w:val="1DE859FC"/>
    <w:rsid w:val="1E0646F0"/>
    <w:rsid w:val="1E325779"/>
    <w:rsid w:val="1E526185"/>
    <w:rsid w:val="1E601A36"/>
    <w:rsid w:val="1E8D7EF7"/>
    <w:rsid w:val="1E923E8C"/>
    <w:rsid w:val="1E992F94"/>
    <w:rsid w:val="1E9B0CC0"/>
    <w:rsid w:val="1EB83BDA"/>
    <w:rsid w:val="1EBA0EAC"/>
    <w:rsid w:val="1EC33937"/>
    <w:rsid w:val="1ED51E74"/>
    <w:rsid w:val="1EF74148"/>
    <w:rsid w:val="1F0C54A8"/>
    <w:rsid w:val="1F1545CE"/>
    <w:rsid w:val="1F243281"/>
    <w:rsid w:val="1F295138"/>
    <w:rsid w:val="1F2E5690"/>
    <w:rsid w:val="1F401556"/>
    <w:rsid w:val="1F4924CA"/>
    <w:rsid w:val="1F4B6242"/>
    <w:rsid w:val="1F59357C"/>
    <w:rsid w:val="1F685A05"/>
    <w:rsid w:val="1F6F6B0B"/>
    <w:rsid w:val="1F7F7C9A"/>
    <w:rsid w:val="1F813A12"/>
    <w:rsid w:val="1F9C6A9E"/>
    <w:rsid w:val="1FB27619"/>
    <w:rsid w:val="1FE061E7"/>
    <w:rsid w:val="20254CE5"/>
    <w:rsid w:val="202B121D"/>
    <w:rsid w:val="203627E6"/>
    <w:rsid w:val="204333BD"/>
    <w:rsid w:val="205D447F"/>
    <w:rsid w:val="20672C08"/>
    <w:rsid w:val="206E043A"/>
    <w:rsid w:val="20735512"/>
    <w:rsid w:val="2093370A"/>
    <w:rsid w:val="209D5157"/>
    <w:rsid w:val="20A167B4"/>
    <w:rsid w:val="20A73602"/>
    <w:rsid w:val="20B0507A"/>
    <w:rsid w:val="20D504B9"/>
    <w:rsid w:val="20F834E7"/>
    <w:rsid w:val="21426F2B"/>
    <w:rsid w:val="214E3DC8"/>
    <w:rsid w:val="2159471F"/>
    <w:rsid w:val="216D6944"/>
    <w:rsid w:val="21747CD2"/>
    <w:rsid w:val="2175077F"/>
    <w:rsid w:val="218B501C"/>
    <w:rsid w:val="21937A2C"/>
    <w:rsid w:val="219A700D"/>
    <w:rsid w:val="21A02F7B"/>
    <w:rsid w:val="21A165ED"/>
    <w:rsid w:val="21B26104"/>
    <w:rsid w:val="21D173FB"/>
    <w:rsid w:val="22227C64"/>
    <w:rsid w:val="2228094B"/>
    <w:rsid w:val="22306111"/>
    <w:rsid w:val="22557A2C"/>
    <w:rsid w:val="22590C76"/>
    <w:rsid w:val="225C29A0"/>
    <w:rsid w:val="22DE5886"/>
    <w:rsid w:val="230654D8"/>
    <w:rsid w:val="23294AEC"/>
    <w:rsid w:val="232F7A34"/>
    <w:rsid w:val="237B74B4"/>
    <w:rsid w:val="237C053F"/>
    <w:rsid w:val="237F295E"/>
    <w:rsid w:val="23A0431E"/>
    <w:rsid w:val="23BC770E"/>
    <w:rsid w:val="23C44815"/>
    <w:rsid w:val="23C6058D"/>
    <w:rsid w:val="23E46C65"/>
    <w:rsid w:val="23E56F43"/>
    <w:rsid w:val="23F30C56"/>
    <w:rsid w:val="240D4867"/>
    <w:rsid w:val="240D7F6A"/>
    <w:rsid w:val="240F42C7"/>
    <w:rsid w:val="24170DE9"/>
    <w:rsid w:val="242815D7"/>
    <w:rsid w:val="24284DA4"/>
    <w:rsid w:val="244C5ECA"/>
    <w:rsid w:val="24530BF2"/>
    <w:rsid w:val="247D6B3E"/>
    <w:rsid w:val="247E00CF"/>
    <w:rsid w:val="249935AC"/>
    <w:rsid w:val="24A84E40"/>
    <w:rsid w:val="24B93C4E"/>
    <w:rsid w:val="24BE22AC"/>
    <w:rsid w:val="24DA29FA"/>
    <w:rsid w:val="24E33EA6"/>
    <w:rsid w:val="250841E0"/>
    <w:rsid w:val="251C129B"/>
    <w:rsid w:val="25441E77"/>
    <w:rsid w:val="2547124D"/>
    <w:rsid w:val="25553977"/>
    <w:rsid w:val="25656FF0"/>
    <w:rsid w:val="256A2B30"/>
    <w:rsid w:val="25950F2A"/>
    <w:rsid w:val="25BA5ED0"/>
    <w:rsid w:val="25C25266"/>
    <w:rsid w:val="2636356A"/>
    <w:rsid w:val="263E08AF"/>
    <w:rsid w:val="263E3195"/>
    <w:rsid w:val="263F72F8"/>
    <w:rsid w:val="264D03BC"/>
    <w:rsid w:val="26606A77"/>
    <w:rsid w:val="267E5A4E"/>
    <w:rsid w:val="26864004"/>
    <w:rsid w:val="269C3827"/>
    <w:rsid w:val="26A81038"/>
    <w:rsid w:val="26BC17D3"/>
    <w:rsid w:val="26BE19EF"/>
    <w:rsid w:val="26DE174A"/>
    <w:rsid w:val="27252BF1"/>
    <w:rsid w:val="272A1388"/>
    <w:rsid w:val="272A210E"/>
    <w:rsid w:val="274243CE"/>
    <w:rsid w:val="27637E7B"/>
    <w:rsid w:val="27AF1AC7"/>
    <w:rsid w:val="27B0758A"/>
    <w:rsid w:val="27BF157B"/>
    <w:rsid w:val="27E56B08"/>
    <w:rsid w:val="27E734A4"/>
    <w:rsid w:val="282647CB"/>
    <w:rsid w:val="282835C4"/>
    <w:rsid w:val="283C2BCC"/>
    <w:rsid w:val="286D7229"/>
    <w:rsid w:val="288325A9"/>
    <w:rsid w:val="28974D10"/>
    <w:rsid w:val="28A36949"/>
    <w:rsid w:val="28BD7C51"/>
    <w:rsid w:val="28D62084"/>
    <w:rsid w:val="28DC7F0B"/>
    <w:rsid w:val="28ED2118"/>
    <w:rsid w:val="29093D0F"/>
    <w:rsid w:val="290C6A42"/>
    <w:rsid w:val="29147044"/>
    <w:rsid w:val="291B46D5"/>
    <w:rsid w:val="29264BB5"/>
    <w:rsid w:val="29345F99"/>
    <w:rsid w:val="29387837"/>
    <w:rsid w:val="29477A7A"/>
    <w:rsid w:val="29892243"/>
    <w:rsid w:val="29997554"/>
    <w:rsid w:val="29AE18A7"/>
    <w:rsid w:val="29BD5F8E"/>
    <w:rsid w:val="29CA2459"/>
    <w:rsid w:val="29DB01C2"/>
    <w:rsid w:val="29E21551"/>
    <w:rsid w:val="29EB48A9"/>
    <w:rsid w:val="29F10825"/>
    <w:rsid w:val="2A133E00"/>
    <w:rsid w:val="2A435F70"/>
    <w:rsid w:val="2A6C420C"/>
    <w:rsid w:val="2A7A1A17"/>
    <w:rsid w:val="2A813611"/>
    <w:rsid w:val="2A8C4388"/>
    <w:rsid w:val="2A922F77"/>
    <w:rsid w:val="2A946CEF"/>
    <w:rsid w:val="2AA9206F"/>
    <w:rsid w:val="2AB03DA9"/>
    <w:rsid w:val="2AC6485F"/>
    <w:rsid w:val="2ACA2711"/>
    <w:rsid w:val="2ACD3FAF"/>
    <w:rsid w:val="2AD16462"/>
    <w:rsid w:val="2ADE13A5"/>
    <w:rsid w:val="2AE65071"/>
    <w:rsid w:val="2AEE60D0"/>
    <w:rsid w:val="2AF92FF6"/>
    <w:rsid w:val="2B067121"/>
    <w:rsid w:val="2B0D6FF4"/>
    <w:rsid w:val="2B1240B8"/>
    <w:rsid w:val="2B2F77BD"/>
    <w:rsid w:val="2B376BF5"/>
    <w:rsid w:val="2B395AE8"/>
    <w:rsid w:val="2B5B780D"/>
    <w:rsid w:val="2B6A1B7F"/>
    <w:rsid w:val="2B85317D"/>
    <w:rsid w:val="2B894EC3"/>
    <w:rsid w:val="2B9B40AD"/>
    <w:rsid w:val="2BA31534"/>
    <w:rsid w:val="2BA50A88"/>
    <w:rsid w:val="2BB51803"/>
    <w:rsid w:val="2BFF6C3E"/>
    <w:rsid w:val="2C0A3B81"/>
    <w:rsid w:val="2C19528B"/>
    <w:rsid w:val="2C1A2243"/>
    <w:rsid w:val="2C3649E6"/>
    <w:rsid w:val="2C3D5164"/>
    <w:rsid w:val="2C4402A1"/>
    <w:rsid w:val="2C5524AE"/>
    <w:rsid w:val="2C5801F0"/>
    <w:rsid w:val="2C697D08"/>
    <w:rsid w:val="2C714E0E"/>
    <w:rsid w:val="2C753214"/>
    <w:rsid w:val="2C8F7EAA"/>
    <w:rsid w:val="2CAE1BBE"/>
    <w:rsid w:val="2CB44DD0"/>
    <w:rsid w:val="2CC55CC3"/>
    <w:rsid w:val="2CCC3583"/>
    <w:rsid w:val="2CDA5934"/>
    <w:rsid w:val="2CDF621C"/>
    <w:rsid w:val="2CE657FC"/>
    <w:rsid w:val="2D2F0F51"/>
    <w:rsid w:val="2D2F17D5"/>
    <w:rsid w:val="2D810644"/>
    <w:rsid w:val="2DB163AB"/>
    <w:rsid w:val="2DC25E10"/>
    <w:rsid w:val="2DCB7E6E"/>
    <w:rsid w:val="2DD4637D"/>
    <w:rsid w:val="2E1E2A94"/>
    <w:rsid w:val="2E3424FF"/>
    <w:rsid w:val="2E3A6B81"/>
    <w:rsid w:val="2E8150F8"/>
    <w:rsid w:val="2E8506D0"/>
    <w:rsid w:val="2E8A1227"/>
    <w:rsid w:val="2E9A471C"/>
    <w:rsid w:val="2E9C6CA0"/>
    <w:rsid w:val="2EC823C1"/>
    <w:rsid w:val="2EFB6E53"/>
    <w:rsid w:val="2EFF6701"/>
    <w:rsid w:val="2F1234FB"/>
    <w:rsid w:val="2F4D1B62"/>
    <w:rsid w:val="2F86523C"/>
    <w:rsid w:val="2F912C63"/>
    <w:rsid w:val="2FAC579D"/>
    <w:rsid w:val="2FB8241F"/>
    <w:rsid w:val="2FC342C5"/>
    <w:rsid w:val="2FF43D8C"/>
    <w:rsid w:val="300C7328"/>
    <w:rsid w:val="300E71FB"/>
    <w:rsid w:val="3034062C"/>
    <w:rsid w:val="3037780B"/>
    <w:rsid w:val="3050460D"/>
    <w:rsid w:val="30794CA9"/>
    <w:rsid w:val="30B14F8D"/>
    <w:rsid w:val="30CC6AB7"/>
    <w:rsid w:val="30ED5899"/>
    <w:rsid w:val="30F7099D"/>
    <w:rsid w:val="313F54DB"/>
    <w:rsid w:val="31404CD5"/>
    <w:rsid w:val="31733F90"/>
    <w:rsid w:val="317F3B29"/>
    <w:rsid w:val="31896E18"/>
    <w:rsid w:val="31980989"/>
    <w:rsid w:val="31A06905"/>
    <w:rsid w:val="31A33CBC"/>
    <w:rsid w:val="31A62204"/>
    <w:rsid w:val="31BA5C46"/>
    <w:rsid w:val="31C43A5C"/>
    <w:rsid w:val="31E87920"/>
    <w:rsid w:val="31F52C3B"/>
    <w:rsid w:val="321B0DDC"/>
    <w:rsid w:val="32233775"/>
    <w:rsid w:val="324F2567"/>
    <w:rsid w:val="32580D2A"/>
    <w:rsid w:val="325925CC"/>
    <w:rsid w:val="329D43C5"/>
    <w:rsid w:val="32A14E5F"/>
    <w:rsid w:val="32B048E2"/>
    <w:rsid w:val="32D4570A"/>
    <w:rsid w:val="32F742BF"/>
    <w:rsid w:val="3313201A"/>
    <w:rsid w:val="3333106F"/>
    <w:rsid w:val="333C07CD"/>
    <w:rsid w:val="3385640A"/>
    <w:rsid w:val="33947D60"/>
    <w:rsid w:val="33BA52ED"/>
    <w:rsid w:val="33BE4DDD"/>
    <w:rsid w:val="33C00B55"/>
    <w:rsid w:val="33F42BB2"/>
    <w:rsid w:val="33FF2DAF"/>
    <w:rsid w:val="34237750"/>
    <w:rsid w:val="34272E4C"/>
    <w:rsid w:val="346D235F"/>
    <w:rsid w:val="347B4A7C"/>
    <w:rsid w:val="35250425"/>
    <w:rsid w:val="352A5588"/>
    <w:rsid w:val="355359F9"/>
    <w:rsid w:val="355376EF"/>
    <w:rsid w:val="355470B4"/>
    <w:rsid w:val="356B689E"/>
    <w:rsid w:val="357240D1"/>
    <w:rsid w:val="3578720D"/>
    <w:rsid w:val="35972EC8"/>
    <w:rsid w:val="35AD3168"/>
    <w:rsid w:val="35B0255C"/>
    <w:rsid w:val="35BF6BEA"/>
    <w:rsid w:val="35C80195"/>
    <w:rsid w:val="35DF6AED"/>
    <w:rsid w:val="361508C3"/>
    <w:rsid w:val="361707D4"/>
    <w:rsid w:val="361A111C"/>
    <w:rsid w:val="36323860"/>
    <w:rsid w:val="36332FF7"/>
    <w:rsid w:val="3637104B"/>
    <w:rsid w:val="363A1DE0"/>
    <w:rsid w:val="364041CF"/>
    <w:rsid w:val="36483084"/>
    <w:rsid w:val="3658151C"/>
    <w:rsid w:val="365C319B"/>
    <w:rsid w:val="36603F29"/>
    <w:rsid w:val="36792A4E"/>
    <w:rsid w:val="367A6125"/>
    <w:rsid w:val="368F71CD"/>
    <w:rsid w:val="36B65E9E"/>
    <w:rsid w:val="36DD1A1E"/>
    <w:rsid w:val="36F54FB9"/>
    <w:rsid w:val="375D2B5F"/>
    <w:rsid w:val="375D65AC"/>
    <w:rsid w:val="376A3A13"/>
    <w:rsid w:val="376B6F29"/>
    <w:rsid w:val="37727331"/>
    <w:rsid w:val="379419BE"/>
    <w:rsid w:val="37B27E6D"/>
    <w:rsid w:val="37B41185"/>
    <w:rsid w:val="37C130EE"/>
    <w:rsid w:val="37D20E57"/>
    <w:rsid w:val="37F30DCD"/>
    <w:rsid w:val="37F82ABC"/>
    <w:rsid w:val="382471D8"/>
    <w:rsid w:val="38514471"/>
    <w:rsid w:val="38A345A1"/>
    <w:rsid w:val="38B33219"/>
    <w:rsid w:val="38B60778"/>
    <w:rsid w:val="38C519CB"/>
    <w:rsid w:val="38CA63B0"/>
    <w:rsid w:val="38E462CC"/>
    <w:rsid w:val="38EA4DB7"/>
    <w:rsid w:val="39017524"/>
    <w:rsid w:val="39461AFC"/>
    <w:rsid w:val="39553AED"/>
    <w:rsid w:val="3959154D"/>
    <w:rsid w:val="395F1B1E"/>
    <w:rsid w:val="396106E4"/>
    <w:rsid w:val="3966064E"/>
    <w:rsid w:val="39893C5D"/>
    <w:rsid w:val="39A04C8F"/>
    <w:rsid w:val="39CB2631"/>
    <w:rsid w:val="39D215E2"/>
    <w:rsid w:val="39E46138"/>
    <w:rsid w:val="39EB26A4"/>
    <w:rsid w:val="3A14701E"/>
    <w:rsid w:val="3A483652"/>
    <w:rsid w:val="3A4F2C33"/>
    <w:rsid w:val="3A59585F"/>
    <w:rsid w:val="3A6303DA"/>
    <w:rsid w:val="3A950543"/>
    <w:rsid w:val="3AA30888"/>
    <w:rsid w:val="3AA65E47"/>
    <w:rsid w:val="3AD603ED"/>
    <w:rsid w:val="3AE50EA1"/>
    <w:rsid w:val="3AF31088"/>
    <w:rsid w:val="3B0F74DE"/>
    <w:rsid w:val="3B36794F"/>
    <w:rsid w:val="3B375346"/>
    <w:rsid w:val="3B3D0D0E"/>
    <w:rsid w:val="3B652D02"/>
    <w:rsid w:val="3B6D1E99"/>
    <w:rsid w:val="3B7E29F9"/>
    <w:rsid w:val="3B8A378E"/>
    <w:rsid w:val="3B8B7064"/>
    <w:rsid w:val="3B954675"/>
    <w:rsid w:val="3B9701D8"/>
    <w:rsid w:val="3BA174BE"/>
    <w:rsid w:val="3BC60CD2"/>
    <w:rsid w:val="3BCD02B3"/>
    <w:rsid w:val="3BD74C8E"/>
    <w:rsid w:val="3BF15224"/>
    <w:rsid w:val="3BFA097C"/>
    <w:rsid w:val="3C3C0578"/>
    <w:rsid w:val="3C460065"/>
    <w:rsid w:val="3C5E715D"/>
    <w:rsid w:val="3C636521"/>
    <w:rsid w:val="3CB7686D"/>
    <w:rsid w:val="3CCA2A44"/>
    <w:rsid w:val="3CD04C4C"/>
    <w:rsid w:val="3CF04064"/>
    <w:rsid w:val="3CF278A5"/>
    <w:rsid w:val="3D0A4BA0"/>
    <w:rsid w:val="3D18555E"/>
    <w:rsid w:val="3D2832C7"/>
    <w:rsid w:val="3D355FF0"/>
    <w:rsid w:val="3D5D7415"/>
    <w:rsid w:val="3D6E0891"/>
    <w:rsid w:val="3DA0043E"/>
    <w:rsid w:val="3DD51B15"/>
    <w:rsid w:val="3DD5344F"/>
    <w:rsid w:val="3DD577AB"/>
    <w:rsid w:val="3DEE1118"/>
    <w:rsid w:val="3DFD52BF"/>
    <w:rsid w:val="3E38336B"/>
    <w:rsid w:val="3E4B6AFC"/>
    <w:rsid w:val="3E6D26C0"/>
    <w:rsid w:val="3E6F1080"/>
    <w:rsid w:val="3E846873"/>
    <w:rsid w:val="3EA51073"/>
    <w:rsid w:val="3EAD3381"/>
    <w:rsid w:val="3EC7548D"/>
    <w:rsid w:val="3EDE4585"/>
    <w:rsid w:val="3EEC10E8"/>
    <w:rsid w:val="3F2F508B"/>
    <w:rsid w:val="3F3B60A1"/>
    <w:rsid w:val="3F740A45"/>
    <w:rsid w:val="3F89538C"/>
    <w:rsid w:val="3FB77DDD"/>
    <w:rsid w:val="3FC460F5"/>
    <w:rsid w:val="3FEE07F8"/>
    <w:rsid w:val="3FF05853"/>
    <w:rsid w:val="40112738"/>
    <w:rsid w:val="401A4BA7"/>
    <w:rsid w:val="402C18CA"/>
    <w:rsid w:val="40477F08"/>
    <w:rsid w:val="40721E16"/>
    <w:rsid w:val="40722D28"/>
    <w:rsid w:val="407231D7"/>
    <w:rsid w:val="40A209C1"/>
    <w:rsid w:val="40A37834"/>
    <w:rsid w:val="40AD596A"/>
    <w:rsid w:val="40BA4B7E"/>
    <w:rsid w:val="40CF0629"/>
    <w:rsid w:val="40EF6AC4"/>
    <w:rsid w:val="410767D9"/>
    <w:rsid w:val="41166E25"/>
    <w:rsid w:val="411D2F92"/>
    <w:rsid w:val="4196101F"/>
    <w:rsid w:val="41BD2B78"/>
    <w:rsid w:val="41BF1FF3"/>
    <w:rsid w:val="41C17A3A"/>
    <w:rsid w:val="41C52633"/>
    <w:rsid w:val="41E9571B"/>
    <w:rsid w:val="41EC7D63"/>
    <w:rsid w:val="41F05739"/>
    <w:rsid w:val="42186000"/>
    <w:rsid w:val="4226071D"/>
    <w:rsid w:val="422E312E"/>
    <w:rsid w:val="423544BC"/>
    <w:rsid w:val="423C3043"/>
    <w:rsid w:val="42413D1A"/>
    <w:rsid w:val="42426BD9"/>
    <w:rsid w:val="42680DF6"/>
    <w:rsid w:val="4269685C"/>
    <w:rsid w:val="426B6130"/>
    <w:rsid w:val="42781FC1"/>
    <w:rsid w:val="429C09DF"/>
    <w:rsid w:val="42AC5FEC"/>
    <w:rsid w:val="42B64D0B"/>
    <w:rsid w:val="42B7072C"/>
    <w:rsid w:val="42F41450"/>
    <w:rsid w:val="43131570"/>
    <w:rsid w:val="433230F1"/>
    <w:rsid w:val="4348021F"/>
    <w:rsid w:val="434B2807"/>
    <w:rsid w:val="4350530C"/>
    <w:rsid w:val="435C016E"/>
    <w:rsid w:val="436A4639"/>
    <w:rsid w:val="439536D1"/>
    <w:rsid w:val="43AA23E0"/>
    <w:rsid w:val="43AC6A00"/>
    <w:rsid w:val="43B062F5"/>
    <w:rsid w:val="43BB4E95"/>
    <w:rsid w:val="43C10182"/>
    <w:rsid w:val="43F54DA9"/>
    <w:rsid w:val="441B3B85"/>
    <w:rsid w:val="4466465B"/>
    <w:rsid w:val="446D0E37"/>
    <w:rsid w:val="44A9533F"/>
    <w:rsid w:val="44BA7F63"/>
    <w:rsid w:val="44D77AAC"/>
    <w:rsid w:val="44DE4024"/>
    <w:rsid w:val="45244CBC"/>
    <w:rsid w:val="45481F99"/>
    <w:rsid w:val="45533857"/>
    <w:rsid w:val="455A0732"/>
    <w:rsid w:val="45660E30"/>
    <w:rsid w:val="4574179F"/>
    <w:rsid w:val="458B3BA7"/>
    <w:rsid w:val="458D745D"/>
    <w:rsid w:val="459338F2"/>
    <w:rsid w:val="459534C4"/>
    <w:rsid w:val="45C45140"/>
    <w:rsid w:val="45C73FC5"/>
    <w:rsid w:val="45CA5BC4"/>
    <w:rsid w:val="45F87DD0"/>
    <w:rsid w:val="4629253A"/>
    <w:rsid w:val="464C6F34"/>
    <w:rsid w:val="464F7B16"/>
    <w:rsid w:val="46584C1D"/>
    <w:rsid w:val="46751787"/>
    <w:rsid w:val="46911D1D"/>
    <w:rsid w:val="469F284C"/>
    <w:rsid w:val="46B03E5E"/>
    <w:rsid w:val="46B8390E"/>
    <w:rsid w:val="46C422B2"/>
    <w:rsid w:val="46DB13AA"/>
    <w:rsid w:val="46DC584E"/>
    <w:rsid w:val="470C2671"/>
    <w:rsid w:val="47352751"/>
    <w:rsid w:val="47777325"/>
    <w:rsid w:val="479A7985"/>
    <w:rsid w:val="47E30E5E"/>
    <w:rsid w:val="47F46BC7"/>
    <w:rsid w:val="48111EDC"/>
    <w:rsid w:val="48376AB4"/>
    <w:rsid w:val="484C07B1"/>
    <w:rsid w:val="485D29BF"/>
    <w:rsid w:val="48647502"/>
    <w:rsid w:val="488E28EE"/>
    <w:rsid w:val="48C4391D"/>
    <w:rsid w:val="48E46C3C"/>
    <w:rsid w:val="48EE6DB8"/>
    <w:rsid w:val="48F6071D"/>
    <w:rsid w:val="48FF28E2"/>
    <w:rsid w:val="48FF3281"/>
    <w:rsid w:val="490B241B"/>
    <w:rsid w:val="49115557"/>
    <w:rsid w:val="4919662F"/>
    <w:rsid w:val="491978BC"/>
    <w:rsid w:val="49325BF9"/>
    <w:rsid w:val="49325FB2"/>
    <w:rsid w:val="493D1461"/>
    <w:rsid w:val="496B398E"/>
    <w:rsid w:val="496B7A53"/>
    <w:rsid w:val="496D4F07"/>
    <w:rsid w:val="49706721"/>
    <w:rsid w:val="4988748B"/>
    <w:rsid w:val="49A8294B"/>
    <w:rsid w:val="49C01457"/>
    <w:rsid w:val="49DB1DED"/>
    <w:rsid w:val="49E52C6C"/>
    <w:rsid w:val="49E9481A"/>
    <w:rsid w:val="49EA0282"/>
    <w:rsid w:val="49F16B62"/>
    <w:rsid w:val="4A0A6D26"/>
    <w:rsid w:val="4A1452FF"/>
    <w:rsid w:val="4A2A79EF"/>
    <w:rsid w:val="4A4A6F73"/>
    <w:rsid w:val="4A817DD7"/>
    <w:rsid w:val="4A963A7D"/>
    <w:rsid w:val="4A963F66"/>
    <w:rsid w:val="4A9941E8"/>
    <w:rsid w:val="4A9A085A"/>
    <w:rsid w:val="4AB83DE3"/>
    <w:rsid w:val="4AC97E97"/>
    <w:rsid w:val="4AE62492"/>
    <w:rsid w:val="4AE90577"/>
    <w:rsid w:val="4AF34F14"/>
    <w:rsid w:val="4AF55130"/>
    <w:rsid w:val="4B020271"/>
    <w:rsid w:val="4B137A8E"/>
    <w:rsid w:val="4B2560F9"/>
    <w:rsid w:val="4B274B2E"/>
    <w:rsid w:val="4B2A6963"/>
    <w:rsid w:val="4B2E0642"/>
    <w:rsid w:val="4B394FF4"/>
    <w:rsid w:val="4B3B63C3"/>
    <w:rsid w:val="4B49722A"/>
    <w:rsid w:val="4B571947"/>
    <w:rsid w:val="4BB04682"/>
    <w:rsid w:val="4BB07716"/>
    <w:rsid w:val="4BC114B6"/>
    <w:rsid w:val="4BC66ACD"/>
    <w:rsid w:val="4BDD5D96"/>
    <w:rsid w:val="4BE8259F"/>
    <w:rsid w:val="4BEA0A2F"/>
    <w:rsid w:val="4BF278C2"/>
    <w:rsid w:val="4BF41002"/>
    <w:rsid w:val="4C106F07"/>
    <w:rsid w:val="4C172E84"/>
    <w:rsid w:val="4C286E40"/>
    <w:rsid w:val="4C513885"/>
    <w:rsid w:val="4C571AC7"/>
    <w:rsid w:val="4C681391"/>
    <w:rsid w:val="4C730C63"/>
    <w:rsid w:val="4C840CDA"/>
    <w:rsid w:val="4C9646F1"/>
    <w:rsid w:val="4CD8566C"/>
    <w:rsid w:val="4CF074EB"/>
    <w:rsid w:val="4CFA3536"/>
    <w:rsid w:val="4D0A0D72"/>
    <w:rsid w:val="4D1B477C"/>
    <w:rsid w:val="4D1D096E"/>
    <w:rsid w:val="4D2F0388"/>
    <w:rsid w:val="4D502AF2"/>
    <w:rsid w:val="4D5F1C60"/>
    <w:rsid w:val="4D761E2D"/>
    <w:rsid w:val="4D87403A"/>
    <w:rsid w:val="4DC62DB4"/>
    <w:rsid w:val="4DFB2056"/>
    <w:rsid w:val="4E16235D"/>
    <w:rsid w:val="4E23259A"/>
    <w:rsid w:val="4E241889"/>
    <w:rsid w:val="4E2D698F"/>
    <w:rsid w:val="4E3715BC"/>
    <w:rsid w:val="4E52289A"/>
    <w:rsid w:val="4E733F10"/>
    <w:rsid w:val="4E782796"/>
    <w:rsid w:val="4E850579"/>
    <w:rsid w:val="4E8D38D2"/>
    <w:rsid w:val="4EB96475"/>
    <w:rsid w:val="4EC96852"/>
    <w:rsid w:val="4ED22BA5"/>
    <w:rsid w:val="4F1B712F"/>
    <w:rsid w:val="4F2509B9"/>
    <w:rsid w:val="4F2A7373"/>
    <w:rsid w:val="4F3124AF"/>
    <w:rsid w:val="4F493C9D"/>
    <w:rsid w:val="4F5F0DCA"/>
    <w:rsid w:val="4F6E54B1"/>
    <w:rsid w:val="4F9F1B0F"/>
    <w:rsid w:val="4FAC7D88"/>
    <w:rsid w:val="4FC41575"/>
    <w:rsid w:val="501F2869"/>
    <w:rsid w:val="504A7CCC"/>
    <w:rsid w:val="50586542"/>
    <w:rsid w:val="506A3FF8"/>
    <w:rsid w:val="507C3FF6"/>
    <w:rsid w:val="50AB003F"/>
    <w:rsid w:val="50D13F4A"/>
    <w:rsid w:val="510F4A72"/>
    <w:rsid w:val="511107EA"/>
    <w:rsid w:val="5129322A"/>
    <w:rsid w:val="513B5867"/>
    <w:rsid w:val="513C0A6C"/>
    <w:rsid w:val="515D3A2F"/>
    <w:rsid w:val="51617B65"/>
    <w:rsid w:val="516867E6"/>
    <w:rsid w:val="516A7739"/>
    <w:rsid w:val="51751546"/>
    <w:rsid w:val="51764AF1"/>
    <w:rsid w:val="51856AE2"/>
    <w:rsid w:val="51961864"/>
    <w:rsid w:val="5196613F"/>
    <w:rsid w:val="51B00003"/>
    <w:rsid w:val="51D7550F"/>
    <w:rsid w:val="51DE160C"/>
    <w:rsid w:val="52157E66"/>
    <w:rsid w:val="52391DA6"/>
    <w:rsid w:val="52444B88"/>
    <w:rsid w:val="52481FEA"/>
    <w:rsid w:val="524E543B"/>
    <w:rsid w:val="52754DA9"/>
    <w:rsid w:val="52994D0A"/>
    <w:rsid w:val="52CD0741"/>
    <w:rsid w:val="52EC4C3E"/>
    <w:rsid w:val="531E0F9C"/>
    <w:rsid w:val="532E1E92"/>
    <w:rsid w:val="53456529"/>
    <w:rsid w:val="53605111"/>
    <w:rsid w:val="53670B95"/>
    <w:rsid w:val="537A50EC"/>
    <w:rsid w:val="53861634"/>
    <w:rsid w:val="539B439B"/>
    <w:rsid w:val="539F17E4"/>
    <w:rsid w:val="53C90F08"/>
    <w:rsid w:val="54180F40"/>
    <w:rsid w:val="54336EB3"/>
    <w:rsid w:val="54415C74"/>
    <w:rsid w:val="5479292E"/>
    <w:rsid w:val="54866DF9"/>
    <w:rsid w:val="54A5650C"/>
    <w:rsid w:val="550B5550"/>
    <w:rsid w:val="551B4BD7"/>
    <w:rsid w:val="552814A0"/>
    <w:rsid w:val="553625CD"/>
    <w:rsid w:val="554271C4"/>
    <w:rsid w:val="555A5F3E"/>
    <w:rsid w:val="555B0286"/>
    <w:rsid w:val="557B26D6"/>
    <w:rsid w:val="55A3114C"/>
    <w:rsid w:val="55AE0106"/>
    <w:rsid w:val="55B10822"/>
    <w:rsid w:val="55BA680E"/>
    <w:rsid w:val="55DD34AB"/>
    <w:rsid w:val="55E71B19"/>
    <w:rsid w:val="56097CE2"/>
    <w:rsid w:val="56151E86"/>
    <w:rsid w:val="561843C9"/>
    <w:rsid w:val="561A0AEC"/>
    <w:rsid w:val="561D553B"/>
    <w:rsid w:val="562F35C6"/>
    <w:rsid w:val="56602D41"/>
    <w:rsid w:val="56660C90"/>
    <w:rsid w:val="56A17F1A"/>
    <w:rsid w:val="56E33F90"/>
    <w:rsid w:val="56FE4640"/>
    <w:rsid w:val="571903F8"/>
    <w:rsid w:val="571E156B"/>
    <w:rsid w:val="576A0C54"/>
    <w:rsid w:val="576F1D4C"/>
    <w:rsid w:val="57C309E4"/>
    <w:rsid w:val="57C73557"/>
    <w:rsid w:val="57CC1813"/>
    <w:rsid w:val="57E744EC"/>
    <w:rsid w:val="57EC3417"/>
    <w:rsid w:val="581B1F4E"/>
    <w:rsid w:val="58251BE2"/>
    <w:rsid w:val="582C7CB7"/>
    <w:rsid w:val="58343B9B"/>
    <w:rsid w:val="587578B0"/>
    <w:rsid w:val="58A10ED2"/>
    <w:rsid w:val="58B23E94"/>
    <w:rsid w:val="58B47348"/>
    <w:rsid w:val="58BA3515"/>
    <w:rsid w:val="58BF28C3"/>
    <w:rsid w:val="58C824A8"/>
    <w:rsid w:val="58CB6DC0"/>
    <w:rsid w:val="58DA5965"/>
    <w:rsid w:val="58DE3534"/>
    <w:rsid w:val="596332CA"/>
    <w:rsid w:val="596521DC"/>
    <w:rsid w:val="5971332C"/>
    <w:rsid w:val="59C045B7"/>
    <w:rsid w:val="59C5305F"/>
    <w:rsid w:val="5A084A8E"/>
    <w:rsid w:val="5A2D3CD7"/>
    <w:rsid w:val="5A3F41C1"/>
    <w:rsid w:val="5A450DAF"/>
    <w:rsid w:val="5A7A7400"/>
    <w:rsid w:val="5A7F78C3"/>
    <w:rsid w:val="5A8E2EAB"/>
    <w:rsid w:val="5AB04BD0"/>
    <w:rsid w:val="5AEB5C08"/>
    <w:rsid w:val="5B465BFF"/>
    <w:rsid w:val="5B503CBD"/>
    <w:rsid w:val="5B57329D"/>
    <w:rsid w:val="5B5F0309"/>
    <w:rsid w:val="5BB532C6"/>
    <w:rsid w:val="5BC528FD"/>
    <w:rsid w:val="5BC85F49"/>
    <w:rsid w:val="5BE07CF7"/>
    <w:rsid w:val="5BE92A98"/>
    <w:rsid w:val="5BFB2A8E"/>
    <w:rsid w:val="5C001DAC"/>
    <w:rsid w:val="5C3F445D"/>
    <w:rsid w:val="5C4E0C1B"/>
    <w:rsid w:val="5C6C5A31"/>
    <w:rsid w:val="5C7D6F84"/>
    <w:rsid w:val="5C853E3A"/>
    <w:rsid w:val="5CB07B52"/>
    <w:rsid w:val="5CC130C4"/>
    <w:rsid w:val="5CFA6097"/>
    <w:rsid w:val="5D104305"/>
    <w:rsid w:val="5D1551BE"/>
    <w:rsid w:val="5D1C479E"/>
    <w:rsid w:val="5D521F6E"/>
    <w:rsid w:val="5D6D0B56"/>
    <w:rsid w:val="5DC310BE"/>
    <w:rsid w:val="5DCB12B2"/>
    <w:rsid w:val="5DCB193D"/>
    <w:rsid w:val="5DEE7DF6"/>
    <w:rsid w:val="5E0648A7"/>
    <w:rsid w:val="5E2C27BF"/>
    <w:rsid w:val="5E456256"/>
    <w:rsid w:val="5E473A9D"/>
    <w:rsid w:val="5E6A1E03"/>
    <w:rsid w:val="5E800D5D"/>
    <w:rsid w:val="5E8C5D98"/>
    <w:rsid w:val="5E9071F2"/>
    <w:rsid w:val="5EBB7FE7"/>
    <w:rsid w:val="5EBC313A"/>
    <w:rsid w:val="5EBF3633"/>
    <w:rsid w:val="5ED60488"/>
    <w:rsid w:val="5F0B49EB"/>
    <w:rsid w:val="5F2142EE"/>
    <w:rsid w:val="5F5A6691"/>
    <w:rsid w:val="5F7F3E0D"/>
    <w:rsid w:val="5F8B5373"/>
    <w:rsid w:val="5FC12992"/>
    <w:rsid w:val="5FC133DB"/>
    <w:rsid w:val="5FF05A6E"/>
    <w:rsid w:val="60017666"/>
    <w:rsid w:val="6005151A"/>
    <w:rsid w:val="60170DF9"/>
    <w:rsid w:val="60261BC5"/>
    <w:rsid w:val="60410FB0"/>
    <w:rsid w:val="60566219"/>
    <w:rsid w:val="605B2050"/>
    <w:rsid w:val="60781824"/>
    <w:rsid w:val="60787F3E"/>
    <w:rsid w:val="60793CB6"/>
    <w:rsid w:val="60A0164F"/>
    <w:rsid w:val="60B41C71"/>
    <w:rsid w:val="60EB4BB4"/>
    <w:rsid w:val="60F90953"/>
    <w:rsid w:val="612B4CC9"/>
    <w:rsid w:val="613F6CAD"/>
    <w:rsid w:val="6142054C"/>
    <w:rsid w:val="61543149"/>
    <w:rsid w:val="61750921"/>
    <w:rsid w:val="618943CD"/>
    <w:rsid w:val="61917302"/>
    <w:rsid w:val="619A0388"/>
    <w:rsid w:val="619A5BF1"/>
    <w:rsid w:val="61A55461"/>
    <w:rsid w:val="61B054B5"/>
    <w:rsid w:val="61CF5F64"/>
    <w:rsid w:val="61DC2F8B"/>
    <w:rsid w:val="61ED1794"/>
    <w:rsid w:val="61ED33DE"/>
    <w:rsid w:val="620620DA"/>
    <w:rsid w:val="62255052"/>
    <w:rsid w:val="623349E1"/>
    <w:rsid w:val="62361E5F"/>
    <w:rsid w:val="626F619A"/>
    <w:rsid w:val="627D5CDF"/>
    <w:rsid w:val="62833433"/>
    <w:rsid w:val="6297415B"/>
    <w:rsid w:val="62A41849"/>
    <w:rsid w:val="62B97675"/>
    <w:rsid w:val="62C56CE1"/>
    <w:rsid w:val="62D503A9"/>
    <w:rsid w:val="62E73159"/>
    <w:rsid w:val="62F0280B"/>
    <w:rsid w:val="63071A4D"/>
    <w:rsid w:val="630737FB"/>
    <w:rsid w:val="630E24D0"/>
    <w:rsid w:val="631101D6"/>
    <w:rsid w:val="63184EA6"/>
    <w:rsid w:val="633B16F7"/>
    <w:rsid w:val="633D721D"/>
    <w:rsid w:val="63537B36"/>
    <w:rsid w:val="63770981"/>
    <w:rsid w:val="637A3FCD"/>
    <w:rsid w:val="63953D64"/>
    <w:rsid w:val="63C6697B"/>
    <w:rsid w:val="63CE4319"/>
    <w:rsid w:val="63D23E09"/>
    <w:rsid w:val="6421051F"/>
    <w:rsid w:val="644665A5"/>
    <w:rsid w:val="644A1BF1"/>
    <w:rsid w:val="645115FD"/>
    <w:rsid w:val="645A392E"/>
    <w:rsid w:val="647267C2"/>
    <w:rsid w:val="647924D6"/>
    <w:rsid w:val="64836EB1"/>
    <w:rsid w:val="648D254B"/>
    <w:rsid w:val="64960891"/>
    <w:rsid w:val="64CE726D"/>
    <w:rsid w:val="64D8139F"/>
    <w:rsid w:val="64FE65C5"/>
    <w:rsid w:val="65017D92"/>
    <w:rsid w:val="650F6997"/>
    <w:rsid w:val="651421FF"/>
    <w:rsid w:val="6535673D"/>
    <w:rsid w:val="65586590"/>
    <w:rsid w:val="656A1E1F"/>
    <w:rsid w:val="65744A4C"/>
    <w:rsid w:val="6588315E"/>
    <w:rsid w:val="658960C3"/>
    <w:rsid w:val="65BD6942"/>
    <w:rsid w:val="65C634F9"/>
    <w:rsid w:val="65C9123C"/>
    <w:rsid w:val="65DF6369"/>
    <w:rsid w:val="65E25E59"/>
    <w:rsid w:val="65EB6B4E"/>
    <w:rsid w:val="65FE21FE"/>
    <w:rsid w:val="660F30F2"/>
    <w:rsid w:val="660F72D8"/>
    <w:rsid w:val="6626795D"/>
    <w:rsid w:val="664C2BA5"/>
    <w:rsid w:val="664D59C9"/>
    <w:rsid w:val="66633B2F"/>
    <w:rsid w:val="666B22F3"/>
    <w:rsid w:val="66772A46"/>
    <w:rsid w:val="66833198"/>
    <w:rsid w:val="66AD6DFD"/>
    <w:rsid w:val="66B23A7E"/>
    <w:rsid w:val="66C1772D"/>
    <w:rsid w:val="66C220ED"/>
    <w:rsid w:val="66D94BF1"/>
    <w:rsid w:val="66DE2AC5"/>
    <w:rsid w:val="66DE4873"/>
    <w:rsid w:val="673B3A73"/>
    <w:rsid w:val="67544A5E"/>
    <w:rsid w:val="67C63C85"/>
    <w:rsid w:val="67D95D50"/>
    <w:rsid w:val="67DF722C"/>
    <w:rsid w:val="67EE6D37"/>
    <w:rsid w:val="680F60CC"/>
    <w:rsid w:val="68191A28"/>
    <w:rsid w:val="684D3A5E"/>
    <w:rsid w:val="6865355E"/>
    <w:rsid w:val="688A18E7"/>
    <w:rsid w:val="68C006D4"/>
    <w:rsid w:val="68D40619"/>
    <w:rsid w:val="68EA6364"/>
    <w:rsid w:val="690C6E60"/>
    <w:rsid w:val="6931512E"/>
    <w:rsid w:val="694B7F95"/>
    <w:rsid w:val="698336F8"/>
    <w:rsid w:val="69B12712"/>
    <w:rsid w:val="69ED1736"/>
    <w:rsid w:val="6A040A94"/>
    <w:rsid w:val="6A520F40"/>
    <w:rsid w:val="6A564E8E"/>
    <w:rsid w:val="6A8219B9"/>
    <w:rsid w:val="6A985513"/>
    <w:rsid w:val="6AD24DD2"/>
    <w:rsid w:val="6AD62431"/>
    <w:rsid w:val="6ADE12E5"/>
    <w:rsid w:val="6AFA462A"/>
    <w:rsid w:val="6B0C5E52"/>
    <w:rsid w:val="6B144D07"/>
    <w:rsid w:val="6B5670CE"/>
    <w:rsid w:val="6B571085"/>
    <w:rsid w:val="6B596BBE"/>
    <w:rsid w:val="6B797260"/>
    <w:rsid w:val="6B8208FC"/>
    <w:rsid w:val="6B94633D"/>
    <w:rsid w:val="6B99520C"/>
    <w:rsid w:val="6BBE7F83"/>
    <w:rsid w:val="6BC26106"/>
    <w:rsid w:val="6BDD77EF"/>
    <w:rsid w:val="6BDF70C3"/>
    <w:rsid w:val="6C0208A5"/>
    <w:rsid w:val="6C1A459F"/>
    <w:rsid w:val="6C1F3963"/>
    <w:rsid w:val="6C3577F7"/>
    <w:rsid w:val="6C6B6C2A"/>
    <w:rsid w:val="6C8079C0"/>
    <w:rsid w:val="6C8B4AD3"/>
    <w:rsid w:val="6CB71DEE"/>
    <w:rsid w:val="6CB93DB8"/>
    <w:rsid w:val="6CC45EBD"/>
    <w:rsid w:val="6CFC1EF7"/>
    <w:rsid w:val="6D140FEE"/>
    <w:rsid w:val="6D170ADE"/>
    <w:rsid w:val="6D237483"/>
    <w:rsid w:val="6D273D29"/>
    <w:rsid w:val="6D2D20B0"/>
    <w:rsid w:val="6D502AE7"/>
    <w:rsid w:val="6D5910F7"/>
    <w:rsid w:val="6D5E53BA"/>
    <w:rsid w:val="6D635AD2"/>
    <w:rsid w:val="6D8855EB"/>
    <w:rsid w:val="6D8F2D6B"/>
    <w:rsid w:val="6D920165"/>
    <w:rsid w:val="6D940381"/>
    <w:rsid w:val="6DAC7479"/>
    <w:rsid w:val="6DC61BFF"/>
    <w:rsid w:val="6DCA5B51"/>
    <w:rsid w:val="6DDB1B0C"/>
    <w:rsid w:val="6DE76703"/>
    <w:rsid w:val="6DF8495B"/>
    <w:rsid w:val="6E0C3228"/>
    <w:rsid w:val="6E0E213F"/>
    <w:rsid w:val="6E2C13F3"/>
    <w:rsid w:val="6E3408A6"/>
    <w:rsid w:val="6E3863EA"/>
    <w:rsid w:val="6E511DCE"/>
    <w:rsid w:val="6E5378F4"/>
    <w:rsid w:val="6E634939"/>
    <w:rsid w:val="6E7D0E15"/>
    <w:rsid w:val="6E8C1058"/>
    <w:rsid w:val="6E91041D"/>
    <w:rsid w:val="6E964FCD"/>
    <w:rsid w:val="6ECB1937"/>
    <w:rsid w:val="6ECE1671"/>
    <w:rsid w:val="6EE719FA"/>
    <w:rsid w:val="6EE77854"/>
    <w:rsid w:val="6EE77B78"/>
    <w:rsid w:val="6F05095A"/>
    <w:rsid w:val="6F152DFC"/>
    <w:rsid w:val="6F23376B"/>
    <w:rsid w:val="6F2B0871"/>
    <w:rsid w:val="6F320C00"/>
    <w:rsid w:val="6F433E0D"/>
    <w:rsid w:val="6F6D0E8A"/>
    <w:rsid w:val="6F95746A"/>
    <w:rsid w:val="6FA7614A"/>
    <w:rsid w:val="6FC62FD9"/>
    <w:rsid w:val="6FE73A98"/>
    <w:rsid w:val="700D4736"/>
    <w:rsid w:val="700F12BC"/>
    <w:rsid w:val="702A0B29"/>
    <w:rsid w:val="70310109"/>
    <w:rsid w:val="7034196F"/>
    <w:rsid w:val="704439FA"/>
    <w:rsid w:val="705F5105"/>
    <w:rsid w:val="706A7177"/>
    <w:rsid w:val="709E387E"/>
    <w:rsid w:val="70AC5B69"/>
    <w:rsid w:val="70BE57B0"/>
    <w:rsid w:val="70E2061D"/>
    <w:rsid w:val="70EE7DA8"/>
    <w:rsid w:val="713559D7"/>
    <w:rsid w:val="71520337"/>
    <w:rsid w:val="71771B4C"/>
    <w:rsid w:val="718B3849"/>
    <w:rsid w:val="718F59FE"/>
    <w:rsid w:val="71924BD7"/>
    <w:rsid w:val="71AD28A8"/>
    <w:rsid w:val="71C472E6"/>
    <w:rsid w:val="71CA6788"/>
    <w:rsid w:val="71EE5316"/>
    <w:rsid w:val="71EF4AAB"/>
    <w:rsid w:val="721E18B2"/>
    <w:rsid w:val="72395053"/>
    <w:rsid w:val="7251239D"/>
    <w:rsid w:val="725E4ABA"/>
    <w:rsid w:val="72710C91"/>
    <w:rsid w:val="7289422C"/>
    <w:rsid w:val="729F7597"/>
    <w:rsid w:val="72C2329A"/>
    <w:rsid w:val="72DB2F85"/>
    <w:rsid w:val="72FD0776"/>
    <w:rsid w:val="72FE738E"/>
    <w:rsid w:val="732E7F80"/>
    <w:rsid w:val="73351CBE"/>
    <w:rsid w:val="733D49B4"/>
    <w:rsid w:val="734B1F3B"/>
    <w:rsid w:val="73643F7D"/>
    <w:rsid w:val="73741D9B"/>
    <w:rsid w:val="738239FA"/>
    <w:rsid w:val="7390793D"/>
    <w:rsid w:val="73AD50B0"/>
    <w:rsid w:val="73E62B5F"/>
    <w:rsid w:val="73F751C6"/>
    <w:rsid w:val="73FB6A64"/>
    <w:rsid w:val="741152AF"/>
    <w:rsid w:val="741555D7"/>
    <w:rsid w:val="743014D4"/>
    <w:rsid w:val="7434641A"/>
    <w:rsid w:val="747958DE"/>
    <w:rsid w:val="74815DEE"/>
    <w:rsid w:val="749B70B3"/>
    <w:rsid w:val="74B530B7"/>
    <w:rsid w:val="74B531D5"/>
    <w:rsid w:val="74B92FE6"/>
    <w:rsid w:val="74BF5CE3"/>
    <w:rsid w:val="74EC2851"/>
    <w:rsid w:val="74FF2584"/>
    <w:rsid w:val="750758DC"/>
    <w:rsid w:val="751E4096"/>
    <w:rsid w:val="75461F61"/>
    <w:rsid w:val="754F2996"/>
    <w:rsid w:val="75581C94"/>
    <w:rsid w:val="755D72AA"/>
    <w:rsid w:val="75670966"/>
    <w:rsid w:val="759C4277"/>
    <w:rsid w:val="75A35605"/>
    <w:rsid w:val="75D9781B"/>
    <w:rsid w:val="75F41EAB"/>
    <w:rsid w:val="760065B4"/>
    <w:rsid w:val="76117405"/>
    <w:rsid w:val="76674885"/>
    <w:rsid w:val="7679318F"/>
    <w:rsid w:val="7680773A"/>
    <w:rsid w:val="768550FD"/>
    <w:rsid w:val="769E5DCD"/>
    <w:rsid w:val="76AB321A"/>
    <w:rsid w:val="76B4160A"/>
    <w:rsid w:val="76E00401"/>
    <w:rsid w:val="76E25CB9"/>
    <w:rsid w:val="76ED3F06"/>
    <w:rsid w:val="772462D2"/>
    <w:rsid w:val="773D2DB6"/>
    <w:rsid w:val="777D1E86"/>
    <w:rsid w:val="77874C68"/>
    <w:rsid w:val="77C65FF9"/>
    <w:rsid w:val="77C73AFA"/>
    <w:rsid w:val="77D31AA6"/>
    <w:rsid w:val="77F739E6"/>
    <w:rsid w:val="77FA7033"/>
    <w:rsid w:val="78054355"/>
    <w:rsid w:val="78175E36"/>
    <w:rsid w:val="7836450F"/>
    <w:rsid w:val="784F55D0"/>
    <w:rsid w:val="785E6AE0"/>
    <w:rsid w:val="78613F13"/>
    <w:rsid w:val="78654DF4"/>
    <w:rsid w:val="78764C12"/>
    <w:rsid w:val="787B0173"/>
    <w:rsid w:val="78886D34"/>
    <w:rsid w:val="789B6A68"/>
    <w:rsid w:val="78A7420E"/>
    <w:rsid w:val="78BC253A"/>
    <w:rsid w:val="78C733B9"/>
    <w:rsid w:val="790B2EA9"/>
    <w:rsid w:val="791A5BDE"/>
    <w:rsid w:val="7945303A"/>
    <w:rsid w:val="79464C25"/>
    <w:rsid w:val="794D2946"/>
    <w:rsid w:val="79507900"/>
    <w:rsid w:val="79507AB6"/>
    <w:rsid w:val="79554E68"/>
    <w:rsid w:val="797B119D"/>
    <w:rsid w:val="7993626B"/>
    <w:rsid w:val="79984D55"/>
    <w:rsid w:val="79A11135"/>
    <w:rsid w:val="79B80F53"/>
    <w:rsid w:val="79ED6E4F"/>
    <w:rsid w:val="7A021779"/>
    <w:rsid w:val="7A100D8F"/>
    <w:rsid w:val="7A6A40CD"/>
    <w:rsid w:val="7A815907"/>
    <w:rsid w:val="7A815E36"/>
    <w:rsid w:val="7AA634A2"/>
    <w:rsid w:val="7AC04563"/>
    <w:rsid w:val="7ACE4ED2"/>
    <w:rsid w:val="7AD90381"/>
    <w:rsid w:val="7AF24EBB"/>
    <w:rsid w:val="7B146FEF"/>
    <w:rsid w:val="7B1D5512"/>
    <w:rsid w:val="7B2F6EED"/>
    <w:rsid w:val="7B3052E9"/>
    <w:rsid w:val="7B5B3614"/>
    <w:rsid w:val="7B7517F2"/>
    <w:rsid w:val="7B763471"/>
    <w:rsid w:val="7B7F61CD"/>
    <w:rsid w:val="7B9B28DB"/>
    <w:rsid w:val="7BCB4BEA"/>
    <w:rsid w:val="7BCB7956"/>
    <w:rsid w:val="7BED557B"/>
    <w:rsid w:val="7BFE17E7"/>
    <w:rsid w:val="7C030BAC"/>
    <w:rsid w:val="7C1B1F45"/>
    <w:rsid w:val="7C1B74AF"/>
    <w:rsid w:val="7C4D62CB"/>
    <w:rsid w:val="7C541407"/>
    <w:rsid w:val="7C593BA4"/>
    <w:rsid w:val="7C5A74C6"/>
    <w:rsid w:val="7C824BB7"/>
    <w:rsid w:val="7C9673F2"/>
    <w:rsid w:val="7CA4447B"/>
    <w:rsid w:val="7CB732EB"/>
    <w:rsid w:val="7CE00EED"/>
    <w:rsid w:val="7CEC5AE4"/>
    <w:rsid w:val="7D032D30"/>
    <w:rsid w:val="7D3461CD"/>
    <w:rsid w:val="7D372792"/>
    <w:rsid w:val="7D3A661C"/>
    <w:rsid w:val="7D6F4A49"/>
    <w:rsid w:val="7D847ACA"/>
    <w:rsid w:val="7D9F2B56"/>
    <w:rsid w:val="7DB5158B"/>
    <w:rsid w:val="7DDD4202"/>
    <w:rsid w:val="7DF764EE"/>
    <w:rsid w:val="7E1D1BAF"/>
    <w:rsid w:val="7E260B81"/>
    <w:rsid w:val="7E33329E"/>
    <w:rsid w:val="7E34791B"/>
    <w:rsid w:val="7E3F1C43"/>
    <w:rsid w:val="7E503E50"/>
    <w:rsid w:val="7E6F60A7"/>
    <w:rsid w:val="7EF47601"/>
    <w:rsid w:val="7EF50B7A"/>
    <w:rsid w:val="7F1255AA"/>
    <w:rsid w:val="7F2C15B3"/>
    <w:rsid w:val="7F491DDD"/>
    <w:rsid w:val="7F4B230E"/>
    <w:rsid w:val="7F4F5EB6"/>
    <w:rsid w:val="7F81334A"/>
    <w:rsid w:val="7FB1091F"/>
    <w:rsid w:val="7FDD7966"/>
    <w:rsid w:val="7FE74340"/>
    <w:rsid w:val="7FEE1B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1"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0" w:semiHidden="0"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1"/>
    <w:basedOn w:val="1"/>
    <w:next w:val="1"/>
    <w:link w:val="22"/>
    <w:qFormat/>
    <w:uiPriority w:val="99"/>
    <w:pPr>
      <w:keepNext/>
      <w:keepLines/>
      <w:spacing w:line="480" w:lineRule="auto"/>
      <w:jc w:val="center"/>
      <w:outlineLvl w:val="0"/>
    </w:pPr>
    <w:rPr>
      <w:b/>
      <w:bCs/>
      <w:kern w:val="44"/>
      <w:sz w:val="44"/>
      <w:szCs w:val="44"/>
    </w:rPr>
  </w:style>
  <w:style w:type="paragraph" w:styleId="3">
    <w:name w:val="heading 3"/>
    <w:basedOn w:val="1"/>
    <w:next w:val="1"/>
    <w:link w:val="23"/>
    <w:qFormat/>
    <w:uiPriority w:val="99"/>
    <w:pPr>
      <w:keepNext/>
      <w:keepLines/>
      <w:spacing w:line="600" w:lineRule="exact"/>
      <w:ind w:firstLine="643" w:firstLineChars="200"/>
      <w:outlineLvl w:val="2"/>
    </w:pPr>
    <w:rPr>
      <w:b/>
      <w:bCs/>
      <w:sz w:val="32"/>
      <w:szCs w:val="32"/>
    </w:rPr>
  </w:style>
  <w:style w:type="paragraph" w:styleId="4">
    <w:name w:val="heading 4"/>
    <w:basedOn w:val="1"/>
    <w:next w:val="1"/>
    <w:link w:val="24"/>
    <w:qFormat/>
    <w:uiPriority w:val="99"/>
    <w:pPr>
      <w:tabs>
        <w:tab w:val="left" w:pos="2155"/>
      </w:tabs>
      <w:spacing w:line="360" w:lineRule="auto"/>
      <w:ind w:left="2155" w:hanging="1078"/>
      <w:outlineLvl w:val="3"/>
    </w:pPr>
    <w:rPr>
      <w:rFonts w:eastAsia="黑体"/>
      <w:sz w:val="28"/>
      <w:szCs w:val="20"/>
    </w:rPr>
  </w:style>
  <w:style w:type="paragraph" w:styleId="5">
    <w:name w:val="heading 5"/>
    <w:basedOn w:val="1"/>
    <w:next w:val="1"/>
    <w:qFormat/>
    <w:locked/>
    <w:uiPriority w:val="1"/>
    <w:pPr>
      <w:spacing w:before="170"/>
      <w:ind w:left="478"/>
      <w:outlineLvl w:val="5"/>
    </w:pPr>
    <w:rPr>
      <w:rFonts w:ascii="宋体" w:hAnsi="宋体" w:eastAsia="宋体" w:cs="宋体"/>
      <w:b/>
      <w:bCs/>
      <w:sz w:val="21"/>
      <w:szCs w:val="21"/>
      <w:lang w:val="zh-CN" w:eastAsia="zh-CN" w:bidi="zh-CN"/>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99"/>
  </w:style>
  <w:style w:type="paragraph" w:styleId="7">
    <w:name w:val="Body Text"/>
    <w:basedOn w:val="1"/>
    <w:qFormat/>
    <w:locked/>
    <w:uiPriority w:val="1"/>
    <w:rPr>
      <w:rFonts w:ascii="宋体" w:hAnsi="宋体" w:eastAsia="宋体" w:cs="宋体"/>
      <w:sz w:val="21"/>
      <w:szCs w:val="21"/>
      <w:lang w:val="zh-CN" w:eastAsia="zh-CN" w:bidi="zh-CN"/>
    </w:rPr>
  </w:style>
  <w:style w:type="paragraph" w:styleId="8">
    <w:name w:val="Plain Text"/>
    <w:basedOn w:val="1"/>
    <w:next w:val="1"/>
    <w:link w:val="26"/>
    <w:qFormat/>
    <w:uiPriority w:val="99"/>
    <w:rPr>
      <w:rFonts w:ascii="宋体" w:hAnsi="Courier New" w:eastAsia="Times New Roman"/>
      <w:szCs w:val="20"/>
    </w:rPr>
  </w:style>
  <w:style w:type="paragraph" w:styleId="9">
    <w:name w:val="Balloon Text"/>
    <w:basedOn w:val="1"/>
    <w:link w:val="32"/>
    <w:semiHidden/>
    <w:qFormat/>
    <w:uiPriority w:val="99"/>
    <w:rPr>
      <w:sz w:val="18"/>
      <w:szCs w:val="18"/>
    </w:rPr>
  </w:style>
  <w:style w:type="paragraph" w:styleId="10">
    <w:name w:val="footer"/>
    <w:basedOn w:val="1"/>
    <w:next w:val="1"/>
    <w:link w:val="27"/>
    <w:qFormat/>
    <w:uiPriority w:val="99"/>
    <w:pPr>
      <w:tabs>
        <w:tab w:val="center" w:pos="4153"/>
        <w:tab w:val="right" w:pos="8306"/>
      </w:tabs>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99"/>
    <w:pPr>
      <w:spacing w:line="480" w:lineRule="auto"/>
    </w:pPr>
    <w:rPr>
      <w:sz w:val="28"/>
    </w:rPr>
  </w:style>
  <w:style w:type="paragraph" w:styleId="13">
    <w:name w:val="Normal (Web)"/>
    <w:basedOn w:val="1"/>
    <w:qFormat/>
    <w:uiPriority w:val="99"/>
    <w:pPr>
      <w:jc w:val="both"/>
    </w:pPr>
    <w:rPr>
      <w:rFonts w:ascii="Calibri" w:hAnsi="Calibri" w:cs="Times New Roman"/>
      <w:sz w:val="24"/>
      <w:szCs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Hyperlink"/>
    <w:basedOn w:val="16"/>
    <w:semiHidden/>
    <w:unhideWhenUsed/>
    <w:qFormat/>
    <w:locked/>
    <w:uiPriority w:val="99"/>
    <w:rPr>
      <w:color w:val="0000FF"/>
      <w:u w:val="single"/>
    </w:rPr>
  </w:style>
  <w:style w:type="character" w:styleId="19">
    <w:name w:val="annotation reference"/>
    <w:basedOn w:val="16"/>
    <w:qFormat/>
    <w:uiPriority w:val="99"/>
    <w:rPr>
      <w:rFonts w:cs="Times New Roman"/>
      <w:sz w:val="21"/>
      <w:szCs w:val="21"/>
    </w:rPr>
  </w:style>
  <w:style w:type="character" w:styleId="20">
    <w:name w:val="HTML Sample"/>
    <w:basedOn w:val="16"/>
    <w:qFormat/>
    <w:locked/>
    <w:uiPriority w:val="0"/>
    <w:rPr>
      <w:rFonts w:ascii="Courier New" w:hAnsi="Courier New"/>
    </w:rPr>
  </w:style>
  <w:style w:type="paragraph" w:customStyle="1" w:styleId="21">
    <w:name w:val="表格文字"/>
    <w:basedOn w:val="1"/>
    <w:qFormat/>
    <w:uiPriority w:val="99"/>
    <w:pPr>
      <w:spacing w:before="25" w:after="25"/>
      <w:jc w:val="left"/>
    </w:pPr>
    <w:rPr>
      <w:bCs/>
      <w:spacing w:val="10"/>
      <w:kern w:val="0"/>
      <w:sz w:val="24"/>
    </w:rPr>
  </w:style>
  <w:style w:type="character" w:customStyle="1" w:styleId="22">
    <w:name w:val="Heading 1 Char"/>
    <w:basedOn w:val="16"/>
    <w:link w:val="2"/>
    <w:qFormat/>
    <w:locked/>
    <w:uiPriority w:val="99"/>
    <w:rPr>
      <w:rFonts w:ascii="Arial" w:hAnsi="Arial" w:cs="Arial"/>
      <w:b/>
      <w:bCs/>
      <w:color w:val="000000"/>
      <w:kern w:val="44"/>
      <w:sz w:val="44"/>
      <w:szCs w:val="44"/>
    </w:rPr>
  </w:style>
  <w:style w:type="character" w:customStyle="1" w:styleId="23">
    <w:name w:val="Heading 3 Char"/>
    <w:basedOn w:val="16"/>
    <w:link w:val="3"/>
    <w:semiHidden/>
    <w:qFormat/>
    <w:locked/>
    <w:uiPriority w:val="99"/>
    <w:rPr>
      <w:rFonts w:ascii="Arial" w:hAnsi="Arial" w:cs="Arial"/>
      <w:b/>
      <w:bCs/>
      <w:color w:val="000000"/>
      <w:kern w:val="0"/>
      <w:sz w:val="32"/>
      <w:szCs w:val="32"/>
    </w:rPr>
  </w:style>
  <w:style w:type="character" w:customStyle="1" w:styleId="24">
    <w:name w:val="Heading 4 Char"/>
    <w:basedOn w:val="16"/>
    <w:link w:val="4"/>
    <w:semiHidden/>
    <w:qFormat/>
    <w:locked/>
    <w:uiPriority w:val="99"/>
    <w:rPr>
      <w:rFonts w:ascii="Cambria" w:hAnsi="Cambria" w:eastAsia="宋体" w:cs="Times New Roman"/>
      <w:b/>
      <w:bCs/>
      <w:color w:val="000000"/>
      <w:kern w:val="0"/>
      <w:sz w:val="28"/>
      <w:szCs w:val="28"/>
    </w:rPr>
  </w:style>
  <w:style w:type="character" w:customStyle="1" w:styleId="25">
    <w:name w:val="Comment Text Char"/>
    <w:basedOn w:val="16"/>
    <w:link w:val="6"/>
    <w:semiHidden/>
    <w:qFormat/>
    <w:locked/>
    <w:uiPriority w:val="99"/>
    <w:rPr>
      <w:rFonts w:ascii="Arial" w:hAnsi="Arial" w:cs="Arial"/>
      <w:color w:val="000000"/>
      <w:kern w:val="0"/>
      <w:sz w:val="21"/>
      <w:szCs w:val="21"/>
    </w:rPr>
  </w:style>
  <w:style w:type="character" w:customStyle="1" w:styleId="26">
    <w:name w:val="Plain Text Char"/>
    <w:basedOn w:val="16"/>
    <w:link w:val="8"/>
    <w:semiHidden/>
    <w:qFormat/>
    <w:locked/>
    <w:uiPriority w:val="99"/>
    <w:rPr>
      <w:rFonts w:ascii="宋体" w:hAnsi="Courier New" w:cs="Courier New"/>
      <w:color w:val="000000"/>
      <w:kern w:val="0"/>
      <w:sz w:val="21"/>
      <w:szCs w:val="21"/>
    </w:rPr>
  </w:style>
  <w:style w:type="character" w:customStyle="1" w:styleId="27">
    <w:name w:val="Footer Char"/>
    <w:basedOn w:val="16"/>
    <w:link w:val="10"/>
    <w:semiHidden/>
    <w:qFormat/>
    <w:locked/>
    <w:uiPriority w:val="99"/>
    <w:rPr>
      <w:rFonts w:ascii="Arial" w:hAnsi="Arial" w:cs="Arial"/>
      <w:color w:val="000000"/>
      <w:kern w:val="0"/>
      <w:sz w:val="18"/>
      <w:szCs w:val="18"/>
    </w:rPr>
  </w:style>
  <w:style w:type="character" w:customStyle="1" w:styleId="28">
    <w:name w:val="Header Char"/>
    <w:basedOn w:val="16"/>
    <w:link w:val="11"/>
    <w:semiHidden/>
    <w:qFormat/>
    <w:locked/>
    <w:uiPriority w:val="99"/>
    <w:rPr>
      <w:rFonts w:ascii="Arial" w:hAnsi="Arial" w:cs="Arial"/>
      <w:color w:val="000000"/>
      <w:kern w:val="0"/>
      <w:sz w:val="18"/>
      <w:szCs w:val="18"/>
    </w:rPr>
  </w:style>
  <w:style w:type="table" w:customStyle="1" w:styleId="29">
    <w:name w:val="Table Normal1"/>
    <w:semiHidden/>
    <w:qFormat/>
    <w:uiPriority w:val="99"/>
    <w:rPr>
      <w:kern w:val="0"/>
      <w:sz w:val="20"/>
      <w:szCs w:val="20"/>
    </w:rPr>
    <w:tblPr>
      <w:tblCellMar>
        <w:top w:w="0" w:type="dxa"/>
        <w:left w:w="0" w:type="dxa"/>
        <w:bottom w:w="0" w:type="dxa"/>
        <w:right w:w="0" w:type="dxa"/>
      </w:tblCellMar>
    </w:tblPr>
  </w:style>
  <w:style w:type="character" w:customStyle="1" w:styleId="30">
    <w:name w:val="font01"/>
    <w:basedOn w:val="16"/>
    <w:qFormat/>
    <w:uiPriority w:val="99"/>
    <w:rPr>
      <w:rFonts w:ascii="宋体" w:hAnsi="宋体" w:eastAsia="宋体" w:cs="宋体"/>
      <w:color w:val="000000"/>
      <w:sz w:val="24"/>
      <w:szCs w:val="24"/>
      <w:u w:val="none"/>
    </w:rPr>
  </w:style>
  <w:style w:type="paragraph" w:customStyle="1" w:styleId="31">
    <w:name w:val="正文2"/>
    <w:basedOn w:val="1"/>
    <w:qFormat/>
    <w:uiPriority w:val="99"/>
    <w:pPr>
      <w:spacing w:before="156" w:line="360" w:lineRule="auto"/>
      <w:ind w:firstLine="510" w:firstLineChars="200"/>
    </w:pPr>
    <w:rPr>
      <w:sz w:val="24"/>
      <w:szCs w:val="20"/>
    </w:rPr>
  </w:style>
  <w:style w:type="character" w:customStyle="1" w:styleId="32">
    <w:name w:val="Balloon Text Char"/>
    <w:basedOn w:val="16"/>
    <w:link w:val="9"/>
    <w:semiHidden/>
    <w:qFormat/>
    <w:locked/>
    <w:uiPriority w:val="99"/>
    <w:rPr>
      <w:rFonts w:ascii="Arial" w:hAnsi="Arial" w:cs="Arial"/>
      <w:color w:val="000000"/>
      <w:kern w:val="0"/>
      <w:sz w:val="2"/>
    </w:rPr>
  </w:style>
  <w:style w:type="paragraph" w:customStyle="1" w:styleId="33">
    <w:name w:val="列出段落1"/>
    <w:basedOn w:val="1"/>
    <w:qFormat/>
    <w:uiPriority w:val="34"/>
    <w:pPr>
      <w:ind w:firstLine="420" w:firstLineChars="200"/>
    </w:pPr>
  </w:style>
  <w:style w:type="paragraph" w:styleId="34">
    <w:name w:val="List Paragraph"/>
    <w:basedOn w:val="1"/>
    <w:qFormat/>
    <w:uiPriority w:val="1"/>
    <w:pPr>
      <w:spacing w:before="170"/>
      <w:ind w:left="478" w:firstLine="420"/>
    </w:pPr>
    <w:rPr>
      <w:rFonts w:ascii="宋体" w:hAnsi="宋体" w:eastAsia="宋体" w:cs="宋体"/>
      <w:lang w:val="zh-CN" w:eastAsia="zh-CN" w:bidi="zh-CN"/>
    </w:rPr>
  </w:style>
  <w:style w:type="paragraph" w:customStyle="1" w:styleId="3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3.xml"/><Relationship Id="rId32" Type="http://schemas.openxmlformats.org/officeDocument/2006/relationships/header" Target="header8.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75</Pages>
  <Words>19530</Words>
  <Characters>21038</Characters>
  <Lines>0</Lines>
  <Paragraphs>0</Paragraphs>
  <TotalTime>20</TotalTime>
  <ScaleCrop>false</ScaleCrop>
  <LinksUpToDate>false</LinksUpToDate>
  <CharactersWithSpaces>21123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2022-04-26T23:09:00Z</dcterms:created>
  <dc:creator>微软用户</dc:creator>
  <cp:lastModifiedBy>小猪</cp:lastModifiedBy>
  <cp:lastPrinted>2025-02-10T07:49:00Z</cp:lastPrinted>
  <dcterms:modified xsi:type="dcterms:W3CDTF">2025-02-21T02:04:06Z</dcterms:modified>
  <dc:title>桂财采〔2009〕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KSOProductBuildVer">
    <vt:lpwstr>2052-12.1.0.19770</vt:lpwstr>
  </property>
  <property fmtid="{D5CDD505-2E9C-101B-9397-08002B2CF9AE}" pid="4" name="ICV">
    <vt:lpwstr>65ABB0F0D49E4E35BBD62989E2E3AF27_13</vt:lpwstr>
  </property>
  <property fmtid="{D5CDD505-2E9C-101B-9397-08002B2CF9AE}" pid="5" name="KSOTemplateDocerSaveRecord">
    <vt:lpwstr>eyJoZGlkIjoiMjM4YmEzNGFmNmFlNjdmM2E0N2EzOGE1YzZkMmY3OTgiLCJ1c2VySWQiOiI2MjA0ODA0MDcifQ==</vt:lpwstr>
  </property>
</Properties>
</file>