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宋体" w:eastAsia="华文新魏"/>
          <w:sz w:val="52"/>
          <w:szCs w:val="52"/>
        </w:rPr>
      </w:pPr>
    </w:p>
    <w:p>
      <w:pPr>
        <w:spacing w:line="360" w:lineRule="auto"/>
        <w:jc w:val="center"/>
        <w:rPr>
          <w:rFonts w:ascii="华文新魏" w:hAnsi="宋体" w:eastAsia="华文新魏"/>
          <w:sz w:val="84"/>
          <w:szCs w:val="84"/>
        </w:rPr>
      </w:pPr>
      <w:r>
        <w:rPr>
          <w:rFonts w:hint="eastAsia" w:ascii="华文新魏" w:hAnsi="宋体" w:eastAsia="华文新魏"/>
          <w:sz w:val="84"/>
          <w:szCs w:val="84"/>
        </w:rPr>
        <w:t>天勤工程咨询有限公司</w:t>
      </w:r>
    </w:p>
    <w:p>
      <w:pPr>
        <w:spacing w:beforeLines="50"/>
        <w:jc w:val="center"/>
        <w:rPr>
          <w:rFonts w:ascii="楷体" w:hAnsi="楷体" w:eastAsia="楷体"/>
          <w:sz w:val="48"/>
          <w:szCs w:val="48"/>
        </w:rPr>
      </w:pPr>
    </w:p>
    <w:p>
      <w:pPr>
        <w:spacing w:beforeLines="50"/>
        <w:jc w:val="center"/>
        <w:rPr>
          <w:rFonts w:ascii="楷体" w:hAnsi="楷体" w:eastAsia="楷体"/>
          <w:sz w:val="72"/>
          <w:szCs w:val="72"/>
        </w:rPr>
      </w:pPr>
      <w:r>
        <w:rPr>
          <w:rFonts w:hint="eastAsia" w:ascii="楷体" w:hAnsi="楷体" w:eastAsia="楷体"/>
          <w:sz w:val="72"/>
          <w:szCs w:val="72"/>
        </w:rPr>
        <w:t>竞争性磋商文件</w:t>
      </w:r>
    </w:p>
    <w:p>
      <w:pPr>
        <w:pStyle w:val="21"/>
        <w:snapToGrid w:val="0"/>
        <w:spacing w:before="120" w:after="120" w:line="360" w:lineRule="auto"/>
        <w:rPr>
          <w:rFonts w:ascii="仿宋_GB2312" w:hAnsi="宋体" w:eastAsia="仿宋_GB2312"/>
          <w:b/>
          <w:bCs/>
          <w:sz w:val="30"/>
          <w:szCs w:val="30"/>
        </w:rPr>
      </w:pPr>
    </w:p>
    <w:p>
      <w:pPr>
        <w:pStyle w:val="21"/>
        <w:snapToGrid w:val="0"/>
        <w:spacing w:before="120" w:after="120" w:line="360" w:lineRule="auto"/>
        <w:jc w:val="center"/>
        <w:rPr>
          <w:rFonts w:ascii="仿宋_GB2312" w:hAnsi="宋体" w:eastAsia="仿宋_GB2312"/>
          <w:b/>
          <w:bCs/>
          <w:sz w:val="30"/>
          <w:szCs w:val="30"/>
        </w:rPr>
      </w:pPr>
    </w:p>
    <w:p>
      <w:pPr>
        <w:pStyle w:val="5"/>
      </w:pPr>
    </w:p>
    <w:p>
      <w:pPr>
        <w:pStyle w:val="21"/>
        <w:snapToGrid w:val="0"/>
        <w:spacing w:before="120" w:after="120" w:line="500" w:lineRule="exact"/>
        <w:jc w:val="left"/>
        <w:rPr>
          <w:rFonts w:hAnsi="宋体"/>
          <w:b/>
          <w:bCs/>
          <w:sz w:val="32"/>
          <w:szCs w:val="36"/>
        </w:rPr>
      </w:pPr>
    </w:p>
    <w:p>
      <w:pPr>
        <w:pStyle w:val="21"/>
        <w:snapToGrid w:val="0"/>
        <w:spacing w:before="120" w:after="120" w:line="500" w:lineRule="exact"/>
        <w:ind w:firstLine="1446" w:firstLineChars="400"/>
        <w:jc w:val="left"/>
        <w:rPr>
          <w:rFonts w:hAnsi="宋体"/>
          <w:b/>
          <w:bCs/>
          <w:sz w:val="36"/>
          <w:szCs w:val="36"/>
        </w:rPr>
      </w:pPr>
      <w:r>
        <w:rPr>
          <w:rFonts w:hint="eastAsia" w:hAnsi="宋体"/>
          <w:b/>
          <w:bCs/>
          <w:sz w:val="36"/>
          <w:szCs w:val="36"/>
        </w:rPr>
        <w:t>采购项目编号：GXZC2024-C3-004824-TQGC</w:t>
      </w:r>
    </w:p>
    <w:p>
      <w:pPr>
        <w:tabs>
          <w:tab w:val="left" w:pos="7665"/>
        </w:tabs>
        <w:ind w:left="3966" w:leftChars="684" w:hanging="2530" w:hangingChars="700"/>
        <w:jc w:val="left"/>
        <w:rPr>
          <w:rFonts w:ascii="宋体" w:hAnsi="宋体" w:cs="宋体"/>
          <w:b/>
          <w:sz w:val="30"/>
          <w:szCs w:val="30"/>
        </w:rPr>
      </w:pPr>
      <w:r>
        <w:rPr>
          <w:rFonts w:hint="eastAsia" w:hAnsi="宋体"/>
          <w:b/>
          <w:sz w:val="36"/>
          <w:szCs w:val="36"/>
        </w:rPr>
        <w:t>采购项目名称：北斗卫星导航智能应用虚拟仿真实训基地</w:t>
      </w:r>
    </w:p>
    <w:p>
      <w:pPr>
        <w:pStyle w:val="21"/>
        <w:snapToGrid w:val="0"/>
        <w:spacing w:before="120" w:after="120" w:line="500" w:lineRule="exact"/>
        <w:ind w:left="2511" w:leftChars="946" w:hanging="524" w:hangingChars="145"/>
        <w:jc w:val="left"/>
        <w:rPr>
          <w:rFonts w:hAnsi="宋体"/>
          <w:b/>
          <w:sz w:val="36"/>
          <w:szCs w:val="36"/>
        </w:rPr>
      </w:pPr>
      <w:r>
        <w:rPr>
          <w:rFonts w:hint="eastAsia" w:hAnsi="宋体"/>
          <w:b/>
          <w:sz w:val="36"/>
          <w:szCs w:val="36"/>
        </w:rPr>
        <w:t xml:space="preserve"> </w:t>
      </w:r>
    </w:p>
    <w:p>
      <w:pPr>
        <w:pStyle w:val="21"/>
        <w:snapToGrid w:val="0"/>
        <w:spacing w:before="120" w:after="120" w:line="500" w:lineRule="exact"/>
        <w:jc w:val="center"/>
        <w:rPr>
          <w:rFonts w:ascii="Times New Roman" w:hAnsi="Times New Roman" w:cs="Times New Roman"/>
          <w:b/>
          <w:bCs/>
          <w:sz w:val="36"/>
          <w:szCs w:val="36"/>
        </w:rPr>
      </w:pPr>
    </w:p>
    <w:p>
      <w:pPr>
        <w:pBdr>
          <w:bottom w:val="thickThinSmallGap" w:color="auto" w:sz="24" w:space="1"/>
        </w:pBdr>
        <w:snapToGrid w:val="0"/>
        <w:spacing w:beforeLines="50" w:line="500" w:lineRule="exact"/>
        <w:jc w:val="center"/>
        <w:rPr>
          <w:rFonts w:ascii="宋体" w:hAnsi="宋体"/>
          <w:b/>
          <w:sz w:val="32"/>
          <w:szCs w:val="36"/>
        </w:rPr>
      </w:pPr>
    </w:p>
    <w:p>
      <w:pPr>
        <w:snapToGrid w:val="0"/>
        <w:spacing w:beforeLines="50" w:line="500" w:lineRule="exact"/>
        <w:ind w:firstLine="1506" w:firstLineChars="500"/>
        <w:jc w:val="left"/>
        <w:rPr>
          <w:rFonts w:ascii="宋体" w:hAnsi="宋体"/>
          <w:b/>
          <w:sz w:val="30"/>
          <w:szCs w:val="72"/>
        </w:rPr>
      </w:pPr>
      <w:r>
        <w:rPr>
          <w:rFonts w:hint="eastAsia" w:ascii="宋体" w:hAnsi="宋体"/>
          <w:b/>
          <w:sz w:val="30"/>
          <w:szCs w:val="72"/>
        </w:rPr>
        <w:t>采   购   人：</w:t>
      </w:r>
      <w:r>
        <w:rPr>
          <w:rFonts w:hint="eastAsia" w:ascii="宋体" w:hAnsi="宋体" w:cs="宋体"/>
          <w:b/>
          <w:sz w:val="30"/>
          <w:szCs w:val="30"/>
        </w:rPr>
        <w:t>广西信息职业技术学院</w:t>
      </w:r>
      <w:r>
        <w:rPr>
          <w:rFonts w:hint="eastAsia" w:ascii="宋体" w:hAnsi="宋体"/>
          <w:b/>
          <w:sz w:val="30"/>
          <w:szCs w:val="72"/>
        </w:rPr>
        <w:t xml:space="preserve"> </w:t>
      </w:r>
    </w:p>
    <w:p>
      <w:pPr>
        <w:snapToGrid w:val="0"/>
        <w:spacing w:beforeLines="50" w:line="500" w:lineRule="exact"/>
        <w:ind w:firstLine="1506" w:firstLineChars="500"/>
        <w:jc w:val="left"/>
        <w:rPr>
          <w:rFonts w:ascii="宋体" w:hAnsi="宋体"/>
          <w:b/>
          <w:sz w:val="30"/>
          <w:szCs w:val="72"/>
        </w:rPr>
      </w:pPr>
      <w:r>
        <w:rPr>
          <w:rFonts w:hint="eastAsia" w:ascii="宋体" w:hAnsi="宋体"/>
          <w:b/>
          <w:sz w:val="30"/>
          <w:szCs w:val="72"/>
        </w:rPr>
        <w:t>采购代理机构：</w:t>
      </w:r>
      <w:r>
        <w:rPr>
          <w:rFonts w:hint="eastAsia" w:ascii="宋体" w:hAnsi="宋体" w:cs="宋体"/>
          <w:b/>
          <w:sz w:val="30"/>
          <w:szCs w:val="30"/>
        </w:rPr>
        <w:t>天勤工程咨询有限公司</w:t>
      </w:r>
    </w:p>
    <w:p>
      <w:pPr>
        <w:snapToGrid w:val="0"/>
        <w:spacing w:beforeLines="50" w:line="500" w:lineRule="exact"/>
        <w:jc w:val="center"/>
        <w:rPr>
          <w:rFonts w:ascii="宋体" w:hAnsi="宋体"/>
          <w:b/>
          <w:sz w:val="30"/>
          <w:szCs w:val="72"/>
        </w:rPr>
      </w:pPr>
      <w:r>
        <w:rPr>
          <w:rFonts w:hint="eastAsia" w:ascii="宋体" w:hAnsi="宋体"/>
          <w:b/>
          <w:sz w:val="30"/>
          <w:szCs w:val="72"/>
        </w:rPr>
        <w:t>2024年7月</w:t>
      </w:r>
    </w:p>
    <w:p>
      <w:pPr>
        <w:jc w:val="center"/>
        <w:rPr>
          <w:rFonts w:ascii="仿宋_GB2312" w:hAnsi="宋体" w:eastAsia="仿宋_GB2312"/>
          <w:b/>
          <w:sz w:val="44"/>
          <w:szCs w:val="44"/>
        </w:rPr>
      </w:pPr>
      <w:r>
        <w:rPr>
          <w:rFonts w:ascii="仿宋_GB2312" w:hAnsi="宋体" w:eastAsia="仿宋_GB2312"/>
          <w:b/>
          <w:sz w:val="32"/>
          <w:szCs w:val="32"/>
        </w:rPr>
        <w:br w:type="page"/>
      </w:r>
      <w:r>
        <w:rPr>
          <w:rFonts w:ascii="仿宋_GB2312" w:hAnsi="宋体" w:eastAsia="仿宋_GB2312"/>
          <w:b/>
          <w:sz w:val="32"/>
          <w:szCs w:val="32"/>
        </w:rPr>
        <w:t xml:space="preserve"> </w:t>
      </w:r>
    </w:p>
    <w:p>
      <w:pPr>
        <w:jc w:val="center"/>
        <w:rPr>
          <w:rFonts w:ascii="宋体" w:hAnsi="宋体"/>
          <w:b/>
          <w:sz w:val="44"/>
          <w:szCs w:val="44"/>
        </w:rPr>
      </w:pPr>
      <w:r>
        <w:rPr>
          <w:rFonts w:hint="eastAsia" w:ascii="宋体" w:hAnsi="宋体"/>
          <w:b/>
          <w:sz w:val="44"/>
          <w:szCs w:val="44"/>
        </w:rPr>
        <w:t>目  录</w:t>
      </w:r>
    </w:p>
    <w:p>
      <w:pPr>
        <w:jc w:val="center"/>
        <w:rPr>
          <w:rFonts w:ascii="宋体" w:hAnsi="宋体"/>
          <w:b/>
          <w:sz w:val="44"/>
          <w:szCs w:val="44"/>
        </w:rPr>
      </w:pPr>
    </w:p>
    <w:p>
      <w:pPr>
        <w:pStyle w:val="27"/>
        <w:tabs>
          <w:tab w:val="right" w:leader="dot" w:pos="9628"/>
        </w:tabs>
        <w:rPr>
          <w:rFonts w:ascii="宋体" w:hAnsi="宋体"/>
          <w:sz w:val="32"/>
          <w:szCs w:val="32"/>
        </w:rPr>
      </w:pPr>
      <w:r>
        <w:rPr>
          <w:rFonts w:ascii="仿宋_GB2312" w:hAnsi="宋体" w:eastAsia="仿宋_GB2312"/>
          <w:b/>
          <w:sz w:val="32"/>
          <w:szCs w:val="32"/>
        </w:rPr>
        <w:fldChar w:fldCharType="begin"/>
      </w:r>
      <w:r>
        <w:rPr>
          <w:rFonts w:ascii="仿宋_GB2312" w:hAnsi="宋体" w:eastAsia="仿宋_GB2312"/>
          <w:b/>
          <w:sz w:val="32"/>
          <w:szCs w:val="32"/>
        </w:rPr>
        <w:instrText xml:space="preserve"> TOC \o "1-1" \h \z \u </w:instrText>
      </w:r>
      <w:r>
        <w:rPr>
          <w:rFonts w:ascii="仿宋_GB2312" w:hAnsi="宋体" w:eastAsia="仿宋_GB2312"/>
          <w:b/>
          <w:sz w:val="32"/>
          <w:szCs w:val="32"/>
        </w:rPr>
        <w:fldChar w:fldCharType="separate"/>
      </w:r>
      <w:r>
        <w:fldChar w:fldCharType="begin"/>
      </w:r>
      <w:r>
        <w:instrText xml:space="preserve"> HYPERLINK \l "_Toc476258756" </w:instrText>
      </w:r>
      <w:r>
        <w:fldChar w:fldCharType="separate"/>
      </w:r>
      <w:r>
        <w:rPr>
          <w:rStyle w:val="41"/>
          <w:rFonts w:hint="eastAsia" w:ascii="宋体" w:hAnsi="宋体"/>
          <w:color w:val="auto"/>
          <w:sz w:val="32"/>
          <w:szCs w:val="32"/>
        </w:rPr>
        <w:t>第一章</w:t>
      </w:r>
      <w:r>
        <w:rPr>
          <w:rStyle w:val="41"/>
          <w:rFonts w:ascii="宋体" w:hAnsi="宋体"/>
          <w:color w:val="auto"/>
          <w:sz w:val="32"/>
          <w:szCs w:val="32"/>
        </w:rPr>
        <w:t xml:space="preserve">  </w:t>
      </w:r>
      <w:r>
        <w:rPr>
          <w:rStyle w:val="41"/>
          <w:rFonts w:hint="eastAsia" w:ascii="宋体" w:hAnsi="宋体"/>
          <w:color w:val="auto"/>
          <w:sz w:val="32"/>
          <w:szCs w:val="32"/>
        </w:rPr>
        <w:t>竞争性磋商</w:t>
      </w:r>
      <w:bookmarkStart w:id="0" w:name="_Hlt43300494"/>
      <w:r>
        <w:rPr>
          <w:rStyle w:val="41"/>
          <w:rFonts w:hint="eastAsia" w:ascii="宋体" w:hAnsi="宋体"/>
          <w:color w:val="auto"/>
          <w:sz w:val="32"/>
          <w:szCs w:val="32"/>
        </w:rPr>
        <w:t>公</w:t>
      </w:r>
      <w:bookmarkEnd w:id="0"/>
      <w:r>
        <w:rPr>
          <w:rStyle w:val="41"/>
          <w:rFonts w:hint="eastAsia" w:ascii="宋体" w:hAnsi="宋体"/>
          <w:color w:val="auto"/>
          <w:sz w:val="32"/>
          <w:szCs w:val="32"/>
        </w:rPr>
        <w:t>告</w:t>
      </w:r>
      <w:bookmarkStart w:id="1" w:name="_Hlt60757870"/>
      <w:bookmarkStart w:id="2" w:name="_Hlt60757871"/>
      <w:r>
        <w:rPr>
          <w:rFonts w:ascii="宋体" w:hAnsi="宋体"/>
          <w:sz w:val="32"/>
          <w:szCs w:val="32"/>
        </w:rPr>
        <w:tab/>
      </w:r>
      <w:bookmarkEnd w:id="1"/>
      <w:bookmarkEnd w:id="2"/>
      <w:r>
        <w:rPr>
          <w:rFonts w:ascii="宋体" w:hAnsi="宋体"/>
          <w:sz w:val="32"/>
          <w:szCs w:val="32"/>
        </w:rPr>
        <w:fldChar w:fldCharType="begin"/>
      </w:r>
      <w:r>
        <w:rPr>
          <w:rFonts w:ascii="宋体" w:hAnsi="宋体"/>
          <w:sz w:val="32"/>
          <w:szCs w:val="32"/>
        </w:rPr>
        <w:instrText xml:space="preserve"> PAGEREF _Toc476258756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27"/>
        <w:tabs>
          <w:tab w:val="right" w:leader="dot" w:pos="9628"/>
        </w:tabs>
        <w:rPr>
          <w:rFonts w:ascii="宋体" w:hAnsi="宋体"/>
          <w:sz w:val="32"/>
          <w:szCs w:val="32"/>
        </w:rPr>
      </w:pPr>
      <w:r>
        <w:fldChar w:fldCharType="begin"/>
      </w:r>
      <w:r>
        <w:instrText xml:space="preserve"> HYPERLINK \l "_Toc476258757" </w:instrText>
      </w:r>
      <w:r>
        <w:fldChar w:fldCharType="separate"/>
      </w:r>
      <w:r>
        <w:rPr>
          <w:rStyle w:val="41"/>
          <w:rFonts w:hint="eastAsia" w:ascii="宋体" w:hAnsi="宋体"/>
          <w:color w:val="auto"/>
          <w:sz w:val="32"/>
          <w:szCs w:val="32"/>
        </w:rPr>
        <w:t>第二章</w:t>
      </w:r>
      <w:r>
        <w:rPr>
          <w:rStyle w:val="41"/>
          <w:rFonts w:ascii="宋体" w:hAnsi="宋体"/>
          <w:color w:val="auto"/>
          <w:sz w:val="32"/>
          <w:szCs w:val="32"/>
        </w:rPr>
        <w:t xml:space="preserve">  </w:t>
      </w:r>
      <w:r>
        <w:rPr>
          <w:rStyle w:val="41"/>
          <w:rFonts w:hint="eastAsia" w:ascii="宋体" w:hAnsi="宋体"/>
          <w:color w:val="auto"/>
          <w:sz w:val="32"/>
          <w:szCs w:val="32"/>
        </w:rPr>
        <w:t>磋商供应商须知</w:t>
      </w:r>
      <w:r>
        <w:rPr>
          <w:rFonts w:ascii="宋体" w:hAnsi="宋体"/>
          <w:sz w:val="32"/>
          <w:szCs w:val="32"/>
        </w:rPr>
        <w:tab/>
      </w:r>
      <w:bookmarkStart w:id="3" w:name="_Hlt167119890"/>
      <w:r>
        <w:rPr>
          <w:rFonts w:ascii="宋体" w:hAnsi="宋体"/>
          <w:sz w:val="32"/>
          <w:szCs w:val="32"/>
        </w:rPr>
        <w:fldChar w:fldCharType="begin"/>
      </w:r>
      <w:r>
        <w:rPr>
          <w:rFonts w:ascii="宋体" w:hAnsi="宋体"/>
          <w:sz w:val="32"/>
          <w:szCs w:val="32"/>
        </w:rPr>
        <w:instrText xml:space="preserve"> PAGEREF _Toc476258757 \h </w:instrText>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bookmarkEnd w:id="3"/>
      <w:r>
        <w:rPr>
          <w:rFonts w:ascii="宋体" w:hAnsi="宋体"/>
          <w:sz w:val="32"/>
          <w:szCs w:val="32"/>
        </w:rPr>
        <w:fldChar w:fldCharType="end"/>
      </w:r>
    </w:p>
    <w:p>
      <w:pPr>
        <w:pStyle w:val="27"/>
        <w:tabs>
          <w:tab w:val="right" w:leader="dot" w:pos="9628"/>
        </w:tabs>
        <w:rPr>
          <w:rFonts w:ascii="宋体" w:hAnsi="宋体"/>
          <w:sz w:val="32"/>
          <w:szCs w:val="32"/>
        </w:rPr>
      </w:pPr>
      <w:r>
        <w:fldChar w:fldCharType="begin"/>
      </w:r>
      <w:r>
        <w:instrText xml:space="preserve"> HYPERLINK \l "_Toc476258758" </w:instrText>
      </w:r>
      <w:r>
        <w:fldChar w:fldCharType="separate"/>
      </w:r>
      <w:r>
        <w:rPr>
          <w:rStyle w:val="41"/>
          <w:rFonts w:hint="eastAsia" w:ascii="宋体" w:hAnsi="宋体"/>
          <w:color w:val="auto"/>
          <w:sz w:val="32"/>
          <w:szCs w:val="32"/>
        </w:rPr>
        <w:t>第三章</w:t>
      </w:r>
      <w:r>
        <w:rPr>
          <w:rStyle w:val="41"/>
          <w:rFonts w:ascii="宋体" w:hAnsi="宋体"/>
          <w:color w:val="auto"/>
          <w:sz w:val="32"/>
          <w:szCs w:val="32"/>
        </w:rPr>
        <w:t xml:space="preserve">  </w:t>
      </w:r>
      <w:r>
        <w:rPr>
          <w:rStyle w:val="41"/>
          <w:rFonts w:hint="eastAsia" w:ascii="宋体" w:hAnsi="宋体"/>
          <w:color w:val="auto"/>
          <w:sz w:val="32"/>
          <w:szCs w:val="32"/>
        </w:rPr>
        <w:t>采购</w:t>
      </w:r>
      <w:bookmarkStart w:id="4" w:name="_Hlt496918403"/>
      <w:bookmarkStart w:id="5" w:name="_Hlt496918402"/>
      <w:r>
        <w:rPr>
          <w:rStyle w:val="41"/>
          <w:rFonts w:hint="eastAsia" w:ascii="宋体" w:hAnsi="宋体"/>
          <w:color w:val="auto"/>
          <w:sz w:val="32"/>
          <w:szCs w:val="32"/>
        </w:rPr>
        <w:t>需</w:t>
      </w:r>
      <w:bookmarkEnd w:id="4"/>
      <w:bookmarkEnd w:id="5"/>
      <w:bookmarkStart w:id="6" w:name="_Hlt476673918"/>
      <w:bookmarkStart w:id="7" w:name="_Hlt476673919"/>
      <w:r>
        <w:rPr>
          <w:rStyle w:val="41"/>
          <w:rFonts w:hint="eastAsia" w:ascii="宋体" w:hAnsi="宋体"/>
          <w:color w:val="auto"/>
          <w:sz w:val="32"/>
          <w:szCs w:val="32"/>
        </w:rPr>
        <w:t>求</w:t>
      </w:r>
      <w:bookmarkEnd w:id="6"/>
      <w:bookmarkEnd w:id="7"/>
      <w:r>
        <w:rPr>
          <w:rFonts w:ascii="宋体" w:hAnsi="宋体"/>
          <w:sz w:val="32"/>
          <w:szCs w:val="32"/>
        </w:rPr>
        <w:tab/>
      </w:r>
      <w:bookmarkStart w:id="91" w:name="_GoBack"/>
      <w:bookmarkEnd w:id="91"/>
      <w:r>
        <w:rPr>
          <w:rFonts w:ascii="宋体" w:hAnsi="宋体"/>
          <w:sz w:val="32"/>
          <w:szCs w:val="32"/>
        </w:rPr>
        <w:fldChar w:fldCharType="begin"/>
      </w:r>
      <w:r>
        <w:rPr>
          <w:rFonts w:ascii="宋体" w:hAnsi="宋体"/>
          <w:sz w:val="32"/>
          <w:szCs w:val="32"/>
        </w:rPr>
        <w:instrText xml:space="preserve"> PAGEREF _Toc476258758 \h </w:instrText>
      </w:r>
      <w:r>
        <w:rPr>
          <w:rFonts w:ascii="宋体" w:hAnsi="宋体"/>
          <w:sz w:val="32"/>
          <w:szCs w:val="32"/>
        </w:rPr>
        <w:fldChar w:fldCharType="separate"/>
      </w:r>
      <w:r>
        <w:rPr>
          <w:rFonts w:ascii="宋体" w:hAnsi="宋体"/>
          <w:sz w:val="32"/>
          <w:szCs w:val="32"/>
        </w:rPr>
        <w:t>22</w:t>
      </w:r>
      <w:r>
        <w:rPr>
          <w:rFonts w:ascii="宋体" w:hAnsi="宋体"/>
          <w:sz w:val="32"/>
          <w:szCs w:val="32"/>
        </w:rPr>
        <w:fldChar w:fldCharType="end"/>
      </w:r>
      <w:r>
        <w:rPr>
          <w:rFonts w:ascii="宋体" w:hAnsi="宋体"/>
          <w:sz w:val="32"/>
          <w:szCs w:val="32"/>
        </w:rPr>
        <w:fldChar w:fldCharType="end"/>
      </w:r>
    </w:p>
    <w:p>
      <w:pPr>
        <w:pStyle w:val="27"/>
        <w:tabs>
          <w:tab w:val="right" w:leader="dot" w:pos="9628"/>
        </w:tabs>
        <w:rPr>
          <w:rFonts w:ascii="宋体" w:hAnsi="宋体"/>
          <w:sz w:val="32"/>
          <w:szCs w:val="32"/>
        </w:rPr>
      </w:pPr>
      <w:r>
        <w:fldChar w:fldCharType="begin"/>
      </w:r>
      <w:r>
        <w:instrText xml:space="preserve"> HYPERLINK \l "_Toc476258759" </w:instrText>
      </w:r>
      <w:r>
        <w:fldChar w:fldCharType="separate"/>
      </w:r>
      <w:r>
        <w:rPr>
          <w:rStyle w:val="41"/>
          <w:rFonts w:hint="eastAsia" w:ascii="宋体" w:hAnsi="宋体"/>
          <w:color w:val="auto"/>
          <w:sz w:val="32"/>
          <w:szCs w:val="32"/>
        </w:rPr>
        <w:t>第四章</w:t>
      </w:r>
      <w:r>
        <w:rPr>
          <w:rStyle w:val="41"/>
          <w:rFonts w:ascii="宋体" w:hAnsi="宋体"/>
          <w:color w:val="auto"/>
          <w:sz w:val="32"/>
          <w:szCs w:val="32"/>
        </w:rPr>
        <w:t xml:space="preserve">  </w:t>
      </w:r>
      <w:r>
        <w:rPr>
          <w:rStyle w:val="41"/>
          <w:rFonts w:hint="eastAsia" w:ascii="宋体" w:hAnsi="宋体"/>
          <w:color w:val="auto"/>
          <w:sz w:val="32"/>
          <w:szCs w:val="32"/>
        </w:rPr>
        <w:t>竞争性磋商响应文件格式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_Toc476258759 \h </w:instrText>
      </w:r>
      <w:r>
        <w:rPr>
          <w:rFonts w:ascii="宋体" w:hAnsi="宋体"/>
          <w:sz w:val="32"/>
          <w:szCs w:val="32"/>
        </w:rPr>
        <w:fldChar w:fldCharType="separate"/>
      </w:r>
      <w:r>
        <w:rPr>
          <w:rFonts w:ascii="宋体" w:hAnsi="宋体"/>
          <w:sz w:val="32"/>
          <w:szCs w:val="32"/>
        </w:rPr>
        <w:t>43</w:t>
      </w:r>
      <w:r>
        <w:rPr>
          <w:rFonts w:ascii="宋体" w:hAnsi="宋体"/>
          <w:sz w:val="32"/>
          <w:szCs w:val="32"/>
        </w:rPr>
        <w:fldChar w:fldCharType="end"/>
      </w:r>
      <w:r>
        <w:rPr>
          <w:rFonts w:ascii="宋体" w:hAnsi="宋体"/>
          <w:sz w:val="32"/>
          <w:szCs w:val="32"/>
        </w:rPr>
        <w:fldChar w:fldCharType="end"/>
      </w:r>
    </w:p>
    <w:p>
      <w:pPr>
        <w:pStyle w:val="27"/>
        <w:tabs>
          <w:tab w:val="right" w:leader="dot" w:pos="9628"/>
        </w:tabs>
        <w:rPr>
          <w:rFonts w:ascii="宋体" w:hAnsi="宋体"/>
          <w:sz w:val="32"/>
          <w:szCs w:val="32"/>
        </w:rPr>
      </w:pPr>
      <w:r>
        <w:fldChar w:fldCharType="begin"/>
      </w:r>
      <w:r>
        <w:instrText xml:space="preserve"> HYPERLINK \l "_Toc476258760" </w:instrText>
      </w:r>
      <w:r>
        <w:fldChar w:fldCharType="separate"/>
      </w:r>
      <w:r>
        <w:rPr>
          <w:rStyle w:val="41"/>
          <w:rFonts w:hint="eastAsia" w:ascii="宋体" w:hAnsi="宋体"/>
          <w:color w:val="auto"/>
          <w:kern w:val="0"/>
          <w:sz w:val="32"/>
          <w:szCs w:val="32"/>
        </w:rPr>
        <w:t>第五章</w:t>
      </w:r>
      <w:r>
        <w:rPr>
          <w:rStyle w:val="41"/>
          <w:rFonts w:ascii="宋体" w:hAnsi="宋体"/>
          <w:color w:val="auto"/>
          <w:kern w:val="0"/>
          <w:sz w:val="32"/>
          <w:szCs w:val="32"/>
        </w:rPr>
        <w:t xml:space="preserve">  </w:t>
      </w:r>
      <w:r>
        <w:rPr>
          <w:rStyle w:val="41"/>
          <w:rFonts w:hint="eastAsia" w:ascii="宋体" w:hAnsi="宋体"/>
          <w:color w:val="auto"/>
          <w:kern w:val="0"/>
          <w:sz w:val="32"/>
          <w:szCs w:val="32"/>
        </w:rPr>
        <w:t>合同主要条款</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_Toc476258760 \h </w:instrText>
      </w:r>
      <w:r>
        <w:rPr>
          <w:rFonts w:ascii="宋体" w:hAnsi="宋体"/>
          <w:sz w:val="32"/>
          <w:szCs w:val="32"/>
        </w:rPr>
        <w:fldChar w:fldCharType="separate"/>
      </w:r>
      <w:r>
        <w:rPr>
          <w:rFonts w:ascii="宋体" w:hAnsi="宋体"/>
          <w:sz w:val="32"/>
          <w:szCs w:val="32"/>
        </w:rPr>
        <w:t>52</w:t>
      </w:r>
      <w:r>
        <w:rPr>
          <w:rFonts w:ascii="宋体" w:hAnsi="宋体"/>
          <w:sz w:val="32"/>
          <w:szCs w:val="32"/>
        </w:rPr>
        <w:fldChar w:fldCharType="end"/>
      </w:r>
      <w:r>
        <w:rPr>
          <w:rFonts w:ascii="宋体" w:hAnsi="宋体"/>
          <w:sz w:val="32"/>
          <w:szCs w:val="32"/>
        </w:rPr>
        <w:fldChar w:fldCharType="end"/>
      </w:r>
    </w:p>
    <w:p>
      <w:pPr>
        <w:pStyle w:val="27"/>
        <w:tabs>
          <w:tab w:val="right" w:leader="dot" w:pos="9628"/>
        </w:tabs>
        <w:rPr>
          <w:rFonts w:ascii="宋体" w:hAnsi="宋体"/>
          <w:sz w:val="32"/>
          <w:szCs w:val="32"/>
        </w:rPr>
      </w:pPr>
      <w:r>
        <w:fldChar w:fldCharType="begin"/>
      </w:r>
      <w:r>
        <w:instrText xml:space="preserve"> HYPERLINK \l "_Toc476258761" </w:instrText>
      </w:r>
      <w:r>
        <w:fldChar w:fldCharType="separate"/>
      </w:r>
      <w:r>
        <w:rPr>
          <w:rStyle w:val="41"/>
          <w:rFonts w:hint="eastAsia" w:ascii="宋体" w:hAnsi="宋体"/>
          <w:color w:val="auto"/>
          <w:kern w:val="0"/>
          <w:sz w:val="32"/>
          <w:szCs w:val="32"/>
        </w:rPr>
        <w:t>第六章</w:t>
      </w:r>
      <w:r>
        <w:rPr>
          <w:rStyle w:val="41"/>
          <w:rFonts w:ascii="宋体" w:hAnsi="宋体"/>
          <w:color w:val="auto"/>
          <w:kern w:val="0"/>
          <w:sz w:val="32"/>
          <w:szCs w:val="32"/>
        </w:rPr>
        <w:t xml:space="preserve">  </w:t>
      </w:r>
      <w:r>
        <w:rPr>
          <w:rStyle w:val="41"/>
          <w:rFonts w:hint="eastAsia" w:ascii="宋体" w:hAnsi="宋体"/>
          <w:color w:val="auto"/>
          <w:kern w:val="0"/>
          <w:sz w:val="32"/>
          <w:szCs w:val="32"/>
        </w:rPr>
        <w:t>评标标</w:t>
      </w:r>
      <w:bookmarkStart w:id="8" w:name="_Hlt514850011"/>
      <w:bookmarkStart w:id="9" w:name="_Hlt514850010"/>
      <w:r>
        <w:rPr>
          <w:rStyle w:val="41"/>
          <w:rFonts w:hint="eastAsia" w:ascii="宋体" w:hAnsi="宋体"/>
          <w:color w:val="auto"/>
          <w:kern w:val="0"/>
          <w:sz w:val="32"/>
          <w:szCs w:val="32"/>
        </w:rPr>
        <w:t>准</w:t>
      </w:r>
      <w:bookmarkEnd w:id="8"/>
      <w:bookmarkEnd w:id="9"/>
      <w:bookmarkStart w:id="10" w:name="_Hlt167119784"/>
      <w:r>
        <w:rPr>
          <w:rFonts w:ascii="宋体" w:hAnsi="宋体"/>
          <w:sz w:val="32"/>
          <w:szCs w:val="32"/>
        </w:rPr>
        <w:tab/>
      </w:r>
      <w:bookmarkEnd w:id="10"/>
      <w:bookmarkStart w:id="11" w:name="_Hlt507802346"/>
      <w:bookmarkStart w:id="12" w:name="_Hlt507802345"/>
      <w:r>
        <w:rPr>
          <w:rFonts w:ascii="宋体" w:hAnsi="宋体"/>
          <w:sz w:val="32"/>
          <w:szCs w:val="32"/>
        </w:rPr>
        <w:fldChar w:fldCharType="begin"/>
      </w:r>
      <w:r>
        <w:rPr>
          <w:rFonts w:ascii="宋体" w:hAnsi="宋体"/>
          <w:sz w:val="32"/>
          <w:szCs w:val="32"/>
        </w:rPr>
        <w:instrText xml:space="preserve"> PAGEREF _Toc476258761 \h </w:instrText>
      </w:r>
      <w:r>
        <w:rPr>
          <w:rFonts w:ascii="宋体" w:hAnsi="宋体"/>
          <w:sz w:val="32"/>
          <w:szCs w:val="32"/>
        </w:rPr>
        <w:fldChar w:fldCharType="separate"/>
      </w:r>
      <w:r>
        <w:rPr>
          <w:rFonts w:ascii="宋体" w:hAnsi="宋体"/>
          <w:sz w:val="32"/>
          <w:szCs w:val="32"/>
        </w:rPr>
        <w:t>57</w:t>
      </w:r>
      <w:r>
        <w:rPr>
          <w:rFonts w:ascii="宋体" w:hAnsi="宋体"/>
          <w:sz w:val="32"/>
          <w:szCs w:val="32"/>
        </w:rPr>
        <w:fldChar w:fldCharType="end"/>
      </w:r>
      <w:bookmarkEnd w:id="11"/>
      <w:bookmarkEnd w:id="12"/>
      <w:r>
        <w:rPr>
          <w:rFonts w:ascii="宋体" w:hAnsi="宋体"/>
          <w:sz w:val="32"/>
          <w:szCs w:val="32"/>
        </w:rPr>
        <w:fldChar w:fldCharType="end"/>
      </w:r>
    </w:p>
    <w:p>
      <w:pPr>
        <w:spacing w:line="400" w:lineRule="exact"/>
        <w:jc w:val="center"/>
        <w:rPr>
          <w:rFonts w:ascii="仿宋_GB2312" w:hAnsi="宋体" w:eastAsia="仿宋_GB2312"/>
          <w:b/>
          <w:sz w:val="32"/>
          <w:szCs w:val="32"/>
        </w:rPr>
      </w:pPr>
      <w:r>
        <w:rPr>
          <w:rFonts w:ascii="仿宋_GB2312" w:hAnsi="宋体" w:eastAsia="仿宋_GB2312"/>
          <w:b/>
          <w:sz w:val="32"/>
          <w:szCs w:val="32"/>
        </w:rPr>
        <w:fldChar w:fldCharType="end"/>
      </w: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pPr>
    </w:p>
    <w:p>
      <w:pPr>
        <w:pStyle w:val="34"/>
        <w:rPr>
          <w:sz w:val="44"/>
          <w:szCs w:val="44"/>
        </w:rPr>
      </w:pPr>
      <w:bookmarkStart w:id="13" w:name="_Toc476258662"/>
      <w:bookmarkStart w:id="14" w:name="_Toc476258756"/>
      <w:r>
        <w:rPr>
          <w:rFonts w:hint="eastAsia"/>
          <w:sz w:val="44"/>
          <w:szCs w:val="44"/>
        </w:rPr>
        <w:t>第一章  竞争性磋商公告</w:t>
      </w:r>
      <w:bookmarkEnd w:id="13"/>
      <w:bookmarkEnd w:id="14"/>
    </w:p>
    <w:p>
      <w:pPr>
        <w:rPr>
          <w:rFonts w:ascii="华文新魏" w:hAnsi="宋体" w:eastAsia="华文新魏"/>
          <w:sz w:val="44"/>
          <w:szCs w:val="44"/>
        </w:rPr>
      </w:pPr>
    </w:p>
    <w:p>
      <w:pPr>
        <w:spacing w:line="600" w:lineRule="exact"/>
        <w:jc w:val="center"/>
        <w:rPr>
          <w:rFonts w:ascii="华文新魏" w:hAnsi="宋体" w:eastAsia="华文新魏"/>
          <w:sz w:val="44"/>
          <w:szCs w:val="44"/>
        </w:rPr>
      </w:pPr>
      <w:r>
        <w:rPr>
          <w:rFonts w:hint="eastAsia" w:ascii="华文新魏" w:hAnsi="宋体" w:eastAsia="华文新魏"/>
          <w:sz w:val="44"/>
          <w:szCs w:val="44"/>
        </w:rPr>
        <w:br w:type="page"/>
      </w:r>
      <w:r>
        <w:rPr>
          <w:rFonts w:hint="eastAsia" w:ascii="华文新魏" w:hAnsi="宋体" w:eastAsia="华文新魏"/>
          <w:sz w:val="44"/>
          <w:szCs w:val="44"/>
        </w:rPr>
        <w:t>天勤工程咨询有限公司</w:t>
      </w:r>
    </w:p>
    <w:p>
      <w:pPr>
        <w:spacing w:line="600" w:lineRule="exact"/>
        <w:jc w:val="center"/>
        <w:rPr>
          <w:rFonts w:ascii="华文新魏" w:hAnsi="宋体" w:eastAsia="华文新魏"/>
          <w:sz w:val="44"/>
          <w:szCs w:val="44"/>
        </w:rPr>
      </w:pPr>
      <w:r>
        <w:rPr>
          <w:rFonts w:hint="eastAsia" w:ascii="华文新魏" w:hAnsi="宋体" w:eastAsia="华文新魏"/>
          <w:sz w:val="44"/>
          <w:szCs w:val="44"/>
        </w:rPr>
        <w:t>竞争性磋商公告</w:t>
      </w:r>
    </w:p>
    <w:p>
      <w:pPr>
        <w:spacing w:line="370" w:lineRule="exact"/>
        <w:rPr>
          <w:highlight w:val="yellow"/>
        </w:rPr>
      </w:pPr>
    </w:p>
    <w:p>
      <w:pPr>
        <w:spacing w:line="380" w:lineRule="exact"/>
        <w:rPr>
          <w:rFonts w:ascii="宋体" w:hAnsi="宋体"/>
          <w:szCs w:val="21"/>
        </w:rPr>
      </w:pPr>
    </w:p>
    <w:p>
      <w:pPr>
        <w:pBdr>
          <w:top w:val="single" w:color="auto" w:sz="4" w:space="1"/>
          <w:left w:val="single" w:color="auto" w:sz="4" w:space="4"/>
          <w:bottom w:val="single" w:color="auto" w:sz="4" w:space="1"/>
          <w:right w:val="single" w:color="auto" w:sz="4" w:space="4"/>
        </w:pBdr>
        <w:spacing w:line="380" w:lineRule="exact"/>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szCs w:val="21"/>
        </w:rPr>
      </w:pPr>
      <w:r>
        <w:rPr>
          <w:rFonts w:hint="eastAsia" w:ascii="宋体" w:hAnsi="宋体" w:cs="宋体"/>
          <w:u w:val="single"/>
        </w:rPr>
        <w:t>北斗卫星导航智能应用虚拟仿真实训基地</w:t>
      </w:r>
      <w:r>
        <w:rPr>
          <w:rFonts w:hint="eastAsia" w:ascii="宋体" w:hAnsi="宋体"/>
          <w:szCs w:val="21"/>
        </w:rPr>
        <w:t>采购项目的潜在供应商应在</w:t>
      </w:r>
      <w:r>
        <w:rPr>
          <w:rFonts w:hint="eastAsia" w:ascii="宋体" w:hAnsi="宋体"/>
          <w:szCs w:val="21"/>
          <w:u w:val="single"/>
        </w:rPr>
        <w:t>广西政府采购云平台（https://www.gcy.zfcg.gxzf.gov.cn/）</w:t>
      </w:r>
      <w:r>
        <w:rPr>
          <w:rFonts w:hint="eastAsia" w:ascii="宋体" w:hAnsi="宋体"/>
          <w:szCs w:val="21"/>
        </w:rPr>
        <w:t>获取采购文件，并于</w:t>
      </w:r>
      <w:r>
        <w:rPr>
          <w:rFonts w:hint="eastAsia" w:ascii="宋体" w:hAnsi="宋体"/>
          <w:szCs w:val="21"/>
          <w:u w:val="single"/>
        </w:rPr>
        <w:t>2024年</w:t>
      </w:r>
      <w:r>
        <w:rPr>
          <w:rFonts w:hint="eastAsia" w:ascii="宋体" w:hAnsi="宋体"/>
          <w:bCs/>
          <w:szCs w:val="21"/>
          <w:u w:val="single"/>
        </w:rPr>
        <w:t>8月9日9点30分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spacing w:line="380" w:lineRule="exact"/>
        <w:rPr>
          <w:rFonts w:ascii="宋体" w:hAnsi="宋体"/>
          <w:szCs w:val="21"/>
        </w:rPr>
      </w:pPr>
    </w:p>
    <w:p>
      <w:pPr>
        <w:spacing w:line="380" w:lineRule="exact"/>
        <w:rPr>
          <w:rFonts w:ascii="宋体" w:hAnsi="宋体"/>
          <w:b/>
        </w:rPr>
      </w:pPr>
      <w:bookmarkStart w:id="15" w:name="_Toc28359012"/>
      <w:bookmarkStart w:id="16" w:name="_Toc35393798"/>
      <w:bookmarkStart w:id="17" w:name="_Toc28359089"/>
      <w:bookmarkStart w:id="18" w:name="_Toc35393629"/>
      <w:r>
        <w:rPr>
          <w:rFonts w:hint="eastAsia" w:ascii="宋体" w:hAnsi="宋体"/>
          <w:b/>
        </w:rPr>
        <w:t>一、项目基本情况</w:t>
      </w:r>
      <w:bookmarkEnd w:id="15"/>
      <w:bookmarkEnd w:id="16"/>
      <w:bookmarkEnd w:id="17"/>
      <w:bookmarkEnd w:id="18"/>
    </w:p>
    <w:p>
      <w:pPr>
        <w:widowControl/>
        <w:adjustRightInd w:val="0"/>
        <w:snapToGrid w:val="0"/>
        <w:spacing w:line="400" w:lineRule="exact"/>
        <w:jc w:val="left"/>
        <w:rPr>
          <w:rFonts w:ascii="宋体" w:hAnsi="宋体" w:cs="宋体"/>
          <w:kern w:val="0"/>
          <w:szCs w:val="21"/>
        </w:rPr>
      </w:pPr>
      <w:r>
        <w:rPr>
          <w:rFonts w:ascii="宋体" w:hAnsi="宋体" w:cs="宋体"/>
          <w:kern w:val="0"/>
          <w:szCs w:val="21"/>
        </w:rPr>
        <w:t>    项目编号：GXZC2024-C3-004824-TQGC</w:t>
      </w:r>
    </w:p>
    <w:p>
      <w:pPr>
        <w:widowControl/>
        <w:adjustRightInd w:val="0"/>
        <w:snapToGrid w:val="0"/>
        <w:spacing w:line="400" w:lineRule="exact"/>
        <w:jc w:val="left"/>
        <w:rPr>
          <w:rFonts w:ascii="宋体" w:hAnsi="宋体" w:cs="宋体"/>
          <w:kern w:val="0"/>
          <w:szCs w:val="21"/>
        </w:rPr>
      </w:pPr>
      <w:r>
        <w:rPr>
          <w:rFonts w:ascii="宋体" w:hAnsi="宋体" w:cs="宋体"/>
          <w:kern w:val="0"/>
          <w:szCs w:val="21"/>
        </w:rPr>
        <w:t>    项目名称：</w:t>
      </w:r>
      <w:r>
        <w:rPr>
          <w:rFonts w:hint="eastAsia" w:ascii="宋体" w:hAnsi="宋体" w:cs="宋体"/>
        </w:rPr>
        <w:t>北斗卫星导航智能应用虚拟仿真实训基地</w:t>
      </w:r>
    </w:p>
    <w:p>
      <w:pPr>
        <w:widowControl/>
        <w:adjustRightInd w:val="0"/>
        <w:snapToGrid w:val="0"/>
        <w:spacing w:line="400" w:lineRule="exact"/>
        <w:ind w:firstLine="615"/>
        <w:jc w:val="left"/>
        <w:rPr>
          <w:rFonts w:ascii="宋体" w:hAnsi="宋体" w:cs="宋体"/>
          <w:kern w:val="0"/>
          <w:szCs w:val="21"/>
        </w:rPr>
      </w:pPr>
      <w:r>
        <w:rPr>
          <w:rFonts w:ascii="宋体" w:hAnsi="宋体" w:cs="宋体"/>
          <w:kern w:val="0"/>
          <w:szCs w:val="21"/>
        </w:rPr>
        <w:t>预算总金额（元）：</w:t>
      </w:r>
      <w:r>
        <w:rPr>
          <w:rFonts w:hint="eastAsia" w:ascii="宋体" w:hAnsi="宋体" w:cs="宋体"/>
          <w:kern w:val="0"/>
          <w:szCs w:val="21"/>
        </w:rPr>
        <w:t>2764000.00元</w:t>
      </w:r>
    </w:p>
    <w:p>
      <w:pPr>
        <w:widowControl/>
        <w:adjustRightInd w:val="0"/>
        <w:snapToGrid w:val="0"/>
        <w:spacing w:line="400" w:lineRule="exact"/>
        <w:ind w:firstLine="615"/>
        <w:jc w:val="left"/>
        <w:rPr>
          <w:rFonts w:ascii="宋体" w:hAnsi="宋体"/>
        </w:rPr>
      </w:pPr>
      <w:r>
        <w:rPr>
          <w:rFonts w:ascii="宋体" w:hAnsi="宋体" w:cs="宋体"/>
          <w:kern w:val="0"/>
          <w:szCs w:val="21"/>
        </w:rPr>
        <w:t>采购需求：</w:t>
      </w:r>
      <w:r>
        <w:rPr>
          <w:rFonts w:hint="eastAsia" w:ascii="宋体" w:hAnsi="宋体"/>
          <w:szCs w:val="21"/>
        </w:rPr>
        <w:t>采</w:t>
      </w:r>
      <w:r>
        <w:rPr>
          <w:rFonts w:hint="eastAsia" w:ascii="宋体" w:hAnsi="宋体"/>
        </w:rPr>
        <w:t>购北斗专业虚拟仿真教学实训中心（含图形工作站、VR眼镜、交换设备、教学用音响系统等）、北斗系统与产业认知体验中心（3D眼镜、3D眼镜发射器等）、场地环境建设（装修工程、窗帘、锁等）、虚拟仿真实训基地管理与共享平台（</w:t>
      </w:r>
      <w:r>
        <w:rPr>
          <w:rFonts w:ascii="宋体" w:hAnsi="宋体"/>
        </w:rPr>
        <w:t>实验室配套、基地管控系统、开发工具等）</w:t>
      </w:r>
      <w:r>
        <w:rPr>
          <w:rFonts w:hint="eastAsia" w:ascii="宋体" w:hAnsi="宋体"/>
        </w:rPr>
        <w:t>、实训课程和资源建设(北斗应用相关三大类资源)、教学团队培训、教学团队培训等。详细采购需求详见竞争性磋商文件。</w:t>
      </w:r>
    </w:p>
    <w:p>
      <w:pPr>
        <w:spacing w:line="380" w:lineRule="exact"/>
        <w:ind w:firstLine="420" w:firstLineChars="200"/>
        <w:rPr>
          <w:rFonts w:ascii="宋体" w:hAnsi="宋体"/>
        </w:rPr>
      </w:pPr>
      <w:r>
        <w:rPr>
          <w:rFonts w:hint="eastAsia" w:ascii="宋体" w:hAnsi="宋体"/>
        </w:rPr>
        <w:t>最高限价（如有）：</w:t>
      </w:r>
      <w:r>
        <w:rPr>
          <w:rFonts w:hint="eastAsia" w:ascii="宋体" w:hAnsi="宋体" w:cs="宋体"/>
          <w:kern w:val="0"/>
          <w:szCs w:val="21"/>
        </w:rPr>
        <w:t>2764000.00元。</w:t>
      </w:r>
    </w:p>
    <w:p>
      <w:pPr>
        <w:spacing w:line="380" w:lineRule="exact"/>
        <w:ind w:firstLine="420" w:firstLineChars="200"/>
        <w:rPr>
          <w:rFonts w:ascii="宋体" w:hAnsi="宋体"/>
        </w:rPr>
      </w:pPr>
      <w:r>
        <w:rPr>
          <w:rFonts w:hint="eastAsia" w:ascii="宋体" w:hAnsi="宋体"/>
        </w:rPr>
        <w:t>合同履约期限：</w:t>
      </w:r>
      <w:r>
        <w:rPr>
          <w:rFonts w:hint="eastAsia" w:ascii="宋体" w:hAnsi="宋体" w:cs="宋体"/>
          <w:szCs w:val="21"/>
        </w:rPr>
        <w:t>自合同签订起3个月内。</w:t>
      </w:r>
    </w:p>
    <w:p>
      <w:pPr>
        <w:spacing w:line="380" w:lineRule="exact"/>
        <w:ind w:firstLine="420" w:firstLineChars="200"/>
        <w:rPr>
          <w:rFonts w:ascii="宋体" w:hAnsi="宋体"/>
        </w:rPr>
      </w:pPr>
      <w:r>
        <w:rPr>
          <w:rFonts w:hint="eastAsia" w:ascii="宋体" w:hAnsi="宋体"/>
        </w:rPr>
        <w:t>本标项（否）接受联合体投标。</w:t>
      </w:r>
    </w:p>
    <w:p>
      <w:pPr>
        <w:spacing w:line="380" w:lineRule="exact"/>
        <w:ind w:firstLine="420" w:firstLineChars="200"/>
        <w:rPr>
          <w:rFonts w:ascii="宋体" w:hAnsi="宋体"/>
        </w:rPr>
      </w:pPr>
      <w:r>
        <w:rPr>
          <w:rFonts w:hint="eastAsia" w:ascii="宋体" w:hAnsi="宋体"/>
        </w:rPr>
        <w:t>备注：\</w:t>
      </w:r>
    </w:p>
    <w:p>
      <w:pPr>
        <w:spacing w:line="380" w:lineRule="exact"/>
        <w:rPr>
          <w:rFonts w:ascii="宋体" w:hAnsi="宋体"/>
          <w:b/>
        </w:rPr>
      </w:pPr>
      <w:bookmarkStart w:id="19" w:name="_Toc28359090"/>
      <w:bookmarkStart w:id="20" w:name="_Toc35393799"/>
      <w:bookmarkStart w:id="21" w:name="_Toc35393630"/>
      <w:bookmarkStart w:id="22" w:name="_Toc28359013"/>
      <w:r>
        <w:rPr>
          <w:rFonts w:hint="eastAsia" w:ascii="宋体" w:hAnsi="宋体"/>
          <w:b/>
        </w:rPr>
        <w:t>二、申请人的资格要求：</w:t>
      </w:r>
      <w:bookmarkEnd w:id="19"/>
      <w:bookmarkEnd w:id="20"/>
      <w:bookmarkEnd w:id="21"/>
      <w:bookmarkEnd w:id="22"/>
    </w:p>
    <w:p>
      <w:pPr>
        <w:spacing w:line="380" w:lineRule="exact"/>
        <w:ind w:firstLine="420" w:firstLineChars="200"/>
        <w:rPr>
          <w:rFonts w:ascii="宋体" w:hAnsi="宋体"/>
        </w:rPr>
      </w:pPr>
      <w:r>
        <w:rPr>
          <w:rFonts w:hint="eastAsia" w:ascii="宋体" w:hAnsi="宋体"/>
        </w:rPr>
        <w:t>1.满足《中华人民共和国政府采购法》第二十二条规定；</w:t>
      </w:r>
    </w:p>
    <w:p>
      <w:pPr>
        <w:spacing w:line="380" w:lineRule="exact"/>
        <w:ind w:firstLine="420" w:firstLineChars="200"/>
        <w:rPr>
          <w:rFonts w:ascii="宋体" w:hAnsi="宋体"/>
        </w:rPr>
      </w:pPr>
      <w:bookmarkStart w:id="23" w:name="_Toc28359014"/>
      <w:bookmarkStart w:id="24" w:name="_Toc28359091"/>
      <w:r>
        <w:rPr>
          <w:rFonts w:ascii="宋体" w:hAnsi="宋体"/>
        </w:rPr>
        <w:t>2</w:t>
      </w:r>
      <w:r>
        <w:rPr>
          <w:rFonts w:hint="eastAsia" w:ascii="宋体" w:hAnsi="宋体"/>
        </w:rPr>
        <w:t>.落实政府采购政策需满足的资格要求：本项目属于专门面向中小企业采购的项目，供应商应为中小微企业（监狱企业、残疾人福利性单位视同小型、微型企业）；</w:t>
      </w:r>
    </w:p>
    <w:p>
      <w:pPr>
        <w:spacing w:line="380" w:lineRule="exact"/>
        <w:ind w:firstLine="420" w:firstLineChars="200"/>
        <w:rPr>
          <w:rFonts w:ascii="宋体" w:hAnsi="宋体"/>
          <w:i/>
          <w:iCs/>
          <w:u w:val="single"/>
        </w:rPr>
      </w:pPr>
      <w:r>
        <w:rPr>
          <w:rFonts w:hint="eastAsia" w:ascii="宋体" w:hAnsi="宋体"/>
        </w:rPr>
        <w:t>3.本项目的特定资格要求：无。</w:t>
      </w:r>
    </w:p>
    <w:p>
      <w:pPr>
        <w:spacing w:line="380" w:lineRule="exact"/>
        <w:rPr>
          <w:rFonts w:ascii="宋体" w:hAnsi="宋体"/>
          <w:b/>
        </w:rPr>
      </w:pPr>
      <w:bookmarkStart w:id="25" w:name="_Toc35393800"/>
      <w:bookmarkStart w:id="26" w:name="_Toc35393631"/>
      <w:r>
        <w:rPr>
          <w:rFonts w:hint="eastAsia" w:ascii="宋体" w:hAnsi="宋体"/>
          <w:b/>
        </w:rPr>
        <w:t>三、获取采购文件</w:t>
      </w:r>
      <w:bookmarkEnd w:id="23"/>
      <w:bookmarkEnd w:id="24"/>
      <w:bookmarkEnd w:id="25"/>
      <w:bookmarkEnd w:id="26"/>
    </w:p>
    <w:p>
      <w:pPr>
        <w:spacing w:line="380" w:lineRule="exact"/>
        <w:ind w:firstLine="420" w:firstLineChars="200"/>
        <w:rPr>
          <w:rFonts w:ascii="宋体" w:hAnsi="宋体"/>
        </w:rPr>
      </w:pPr>
      <w:r>
        <w:rPr>
          <w:rFonts w:hint="eastAsia" w:ascii="宋体" w:hAnsi="宋体"/>
        </w:rPr>
        <w:t>时间：</w:t>
      </w:r>
      <w:r>
        <w:rPr>
          <w:rFonts w:hint="eastAsia" w:ascii="宋体" w:hAnsi="宋体"/>
          <w:u w:val="single"/>
        </w:rPr>
        <w:t>2024年7月29日</w:t>
      </w:r>
      <w:r>
        <w:rPr>
          <w:rFonts w:hint="eastAsia" w:ascii="宋体" w:hAnsi="宋体"/>
        </w:rPr>
        <w:t>至</w:t>
      </w:r>
      <w:r>
        <w:rPr>
          <w:rFonts w:hint="eastAsia" w:ascii="宋体" w:hAnsi="宋体"/>
          <w:u w:val="single"/>
        </w:rPr>
        <w:t>2024年8月5日</w:t>
      </w:r>
      <w:r>
        <w:rPr>
          <w:rFonts w:hint="eastAsia" w:ascii="宋体" w:hAnsi="宋体"/>
        </w:rPr>
        <w:t>，每天上午</w:t>
      </w:r>
      <w:r>
        <w:rPr>
          <w:rFonts w:hint="eastAsia" w:ascii="宋体" w:hAnsi="宋体"/>
          <w:u w:val="single"/>
        </w:rPr>
        <w:t>8时30分</w:t>
      </w:r>
      <w:r>
        <w:rPr>
          <w:rFonts w:hint="eastAsia" w:ascii="宋体" w:hAnsi="宋体"/>
        </w:rPr>
        <w:t>至</w:t>
      </w:r>
      <w:r>
        <w:rPr>
          <w:rFonts w:hint="eastAsia" w:ascii="宋体" w:hAnsi="宋体"/>
          <w:u w:val="single"/>
        </w:rPr>
        <w:t>12时00分</w:t>
      </w:r>
      <w:r>
        <w:rPr>
          <w:rFonts w:hint="eastAsia" w:ascii="宋体" w:hAnsi="宋体"/>
        </w:rPr>
        <w:t>，下午</w:t>
      </w:r>
      <w:r>
        <w:rPr>
          <w:rFonts w:hint="eastAsia" w:ascii="宋体" w:hAnsi="宋体"/>
          <w:u w:val="single"/>
        </w:rPr>
        <w:t>15时00分</w:t>
      </w:r>
      <w:r>
        <w:rPr>
          <w:rFonts w:hint="eastAsia" w:ascii="宋体" w:hAnsi="宋体"/>
        </w:rPr>
        <w:t>至</w:t>
      </w:r>
      <w:r>
        <w:rPr>
          <w:rFonts w:hint="eastAsia" w:ascii="宋体" w:hAnsi="宋体"/>
          <w:u w:val="single"/>
        </w:rPr>
        <w:t>18时00分</w:t>
      </w:r>
      <w:r>
        <w:rPr>
          <w:rFonts w:hint="eastAsia" w:ascii="宋体" w:hAnsi="宋体"/>
        </w:rPr>
        <w:t>（北京时间，</w:t>
      </w:r>
      <w:r>
        <w:rPr>
          <w:rFonts w:ascii="宋体" w:hAnsi="宋体"/>
        </w:rPr>
        <w:t>法定节假日</w:t>
      </w:r>
      <w:r>
        <w:rPr>
          <w:rFonts w:hint="eastAsia" w:ascii="宋体" w:hAnsi="宋体"/>
        </w:rPr>
        <w:t>除外 ）</w:t>
      </w:r>
    </w:p>
    <w:p>
      <w:pPr>
        <w:spacing w:line="380" w:lineRule="exact"/>
        <w:ind w:firstLine="420" w:firstLineChars="200"/>
        <w:rPr>
          <w:rFonts w:ascii="宋体" w:hAnsi="宋体"/>
          <w:u w:val="single"/>
        </w:rPr>
      </w:pPr>
      <w:r>
        <w:rPr>
          <w:rFonts w:hint="eastAsia" w:ascii="宋体" w:hAnsi="宋体"/>
        </w:rPr>
        <w:t>地点：广西政府采购云平台（https://www.gcy.zfcg.gxzf.gov.cn/）；</w:t>
      </w:r>
    </w:p>
    <w:p>
      <w:pPr>
        <w:spacing w:line="380" w:lineRule="exact"/>
        <w:ind w:firstLine="420" w:firstLineChars="200"/>
        <w:rPr>
          <w:rFonts w:ascii="宋体" w:hAnsi="宋体"/>
        </w:rPr>
      </w:pPr>
      <w:r>
        <w:rPr>
          <w:rFonts w:hint="eastAsia" w:ascii="宋体" w:hAnsi="宋体"/>
        </w:rPr>
        <w:t>方式：本项目不发放纸质采购文件，请登录广西政府采购云平台（https://www.gcy.zfcg.gxzf.gov.cn/）进行报名并获取采购文件；未注册的供应商可在政采云平台完成注册后再行报名。如在操作过程中遇到问题或需技术支持，请致电政采云客服热线：</w:t>
      </w:r>
      <w:r>
        <w:rPr>
          <w:rFonts w:ascii="宋体" w:hAnsi="宋体"/>
        </w:rPr>
        <w:t>95763</w:t>
      </w:r>
      <w:r>
        <w:rPr>
          <w:rFonts w:hint="eastAsia" w:ascii="宋体" w:hAnsi="宋体"/>
        </w:rPr>
        <w:t>。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pPr>
        <w:spacing w:line="380" w:lineRule="exact"/>
        <w:ind w:firstLine="420" w:firstLineChars="200"/>
        <w:rPr>
          <w:rFonts w:ascii="宋体" w:hAnsi="宋体"/>
        </w:rPr>
      </w:pPr>
      <w:r>
        <w:rPr>
          <w:rFonts w:ascii="宋体" w:hAnsi="宋体" w:cs="宋体"/>
          <w:kern w:val="0"/>
          <w:szCs w:val="21"/>
        </w:rPr>
        <w:t>售价（元）：</w:t>
      </w:r>
      <w:r>
        <w:rPr>
          <w:rFonts w:hint="eastAsia" w:ascii="宋体" w:hAnsi="宋体" w:cs="宋体"/>
          <w:kern w:val="0"/>
          <w:szCs w:val="21"/>
        </w:rPr>
        <w:t>0</w:t>
      </w:r>
    </w:p>
    <w:p>
      <w:pPr>
        <w:spacing w:line="380" w:lineRule="exact"/>
        <w:rPr>
          <w:rFonts w:ascii="宋体" w:hAnsi="宋体"/>
          <w:b/>
        </w:rPr>
      </w:pPr>
      <w:bookmarkStart w:id="27" w:name="_Toc28359092"/>
      <w:bookmarkStart w:id="28" w:name="_Toc35393632"/>
      <w:bookmarkStart w:id="29" w:name="_Toc35393801"/>
      <w:bookmarkStart w:id="30" w:name="_Toc28359015"/>
      <w:r>
        <w:rPr>
          <w:rFonts w:hint="eastAsia" w:ascii="宋体" w:hAnsi="宋体"/>
          <w:b/>
        </w:rPr>
        <w:t>四、响应文件提交</w:t>
      </w:r>
      <w:bookmarkEnd w:id="27"/>
      <w:bookmarkEnd w:id="28"/>
      <w:bookmarkEnd w:id="29"/>
      <w:bookmarkEnd w:id="30"/>
    </w:p>
    <w:p>
      <w:pPr>
        <w:spacing w:line="380" w:lineRule="exact"/>
        <w:ind w:firstLine="420" w:firstLineChars="200"/>
        <w:rPr>
          <w:rFonts w:ascii="宋体" w:hAnsi="宋体"/>
          <w:bCs/>
          <w:u w:val="single"/>
        </w:rPr>
      </w:pPr>
      <w:r>
        <w:rPr>
          <w:rFonts w:hint="eastAsia" w:ascii="宋体" w:hAnsi="宋体"/>
        </w:rPr>
        <w:t>截止时间：</w:t>
      </w:r>
      <w:r>
        <w:rPr>
          <w:rFonts w:hint="eastAsia" w:ascii="宋体" w:hAnsi="宋体"/>
          <w:bCs/>
        </w:rPr>
        <w:t>2024年8月9日 09:30（北京时间）</w:t>
      </w:r>
    </w:p>
    <w:p>
      <w:pPr>
        <w:spacing w:line="380" w:lineRule="exact"/>
        <w:ind w:firstLine="420" w:firstLineChars="200"/>
        <w:rPr>
          <w:rFonts w:ascii="宋体" w:hAnsi="宋体"/>
          <w:bCs/>
          <w:u w:val="single"/>
        </w:rPr>
      </w:pPr>
      <w:r>
        <w:rPr>
          <w:rFonts w:hint="eastAsia" w:ascii="宋体" w:hAnsi="宋体"/>
        </w:rPr>
        <w:t>地点（网址）：广西政府采购云平台（https://www.gcy.zfcg.gxzf.gov.cn/）</w:t>
      </w:r>
      <w:r>
        <w:rPr>
          <w:rFonts w:hint="eastAsia" w:ascii="宋体" w:hAnsi="宋体"/>
          <w:szCs w:val="21"/>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pPr>
        <w:spacing w:line="380" w:lineRule="exact"/>
        <w:rPr>
          <w:rFonts w:ascii="宋体" w:hAnsi="宋体"/>
          <w:b/>
        </w:rPr>
      </w:pPr>
      <w:bookmarkStart w:id="31" w:name="_Toc28359016"/>
      <w:bookmarkStart w:id="32" w:name="_Toc35393633"/>
      <w:bookmarkStart w:id="33" w:name="_Toc35393802"/>
      <w:bookmarkStart w:id="34" w:name="_Toc28359093"/>
      <w:r>
        <w:rPr>
          <w:rFonts w:hint="eastAsia" w:ascii="宋体" w:hAnsi="宋体"/>
          <w:b/>
        </w:rPr>
        <w:t>五、开启</w:t>
      </w:r>
      <w:bookmarkEnd w:id="31"/>
      <w:bookmarkEnd w:id="32"/>
      <w:bookmarkEnd w:id="33"/>
      <w:bookmarkEnd w:id="34"/>
    </w:p>
    <w:p>
      <w:pPr>
        <w:spacing w:line="380" w:lineRule="exact"/>
        <w:ind w:firstLine="420" w:firstLineChars="200"/>
        <w:rPr>
          <w:rFonts w:ascii="宋体" w:hAnsi="宋体"/>
          <w:bCs/>
          <w:u w:val="single"/>
        </w:rPr>
      </w:pPr>
      <w:r>
        <w:rPr>
          <w:rFonts w:hint="eastAsia" w:ascii="宋体" w:hAnsi="宋体"/>
        </w:rPr>
        <w:t>开启时间：</w:t>
      </w:r>
      <w:r>
        <w:rPr>
          <w:rFonts w:hint="eastAsia" w:ascii="宋体" w:hAnsi="宋体"/>
          <w:bCs/>
        </w:rPr>
        <w:t>2024年8月9日 09:30（北京时间）</w:t>
      </w:r>
    </w:p>
    <w:p>
      <w:pPr>
        <w:spacing w:line="380" w:lineRule="exact"/>
        <w:ind w:firstLine="420" w:firstLineChars="200"/>
        <w:rPr>
          <w:rFonts w:ascii="宋体" w:hAnsi="宋体"/>
          <w:bCs/>
          <w:u w:val="single"/>
        </w:rPr>
      </w:pPr>
      <w:r>
        <w:rPr>
          <w:rFonts w:hint="eastAsia" w:ascii="宋体" w:hAnsi="宋体"/>
        </w:rPr>
        <w:t>地点：南宁市民族大道</w:t>
      </w:r>
      <w:r>
        <w:rPr>
          <w:rFonts w:ascii="宋体" w:hAnsi="宋体"/>
        </w:rPr>
        <w:t>157</w:t>
      </w:r>
      <w:r>
        <w:rPr>
          <w:rFonts w:hint="eastAsia" w:ascii="宋体" w:hAnsi="宋体"/>
        </w:rPr>
        <w:t>号财富国际广场</w:t>
      </w:r>
      <w:r>
        <w:rPr>
          <w:rFonts w:ascii="宋体" w:hAnsi="宋体"/>
        </w:rPr>
        <w:t>3</w:t>
      </w:r>
      <w:r>
        <w:rPr>
          <w:rFonts w:hint="eastAsia" w:ascii="宋体" w:hAnsi="宋体"/>
        </w:rPr>
        <w:t>号楼</w:t>
      </w:r>
      <w:r>
        <w:rPr>
          <w:rFonts w:ascii="宋体" w:hAnsi="宋体"/>
        </w:rPr>
        <w:t>2</w:t>
      </w:r>
      <w:r>
        <w:rPr>
          <w:rFonts w:hint="eastAsia" w:ascii="宋体" w:hAnsi="宋体"/>
        </w:rPr>
        <w:t>5</w:t>
      </w:r>
      <w:r>
        <w:rPr>
          <w:rFonts w:ascii="宋体" w:hAnsi="宋体"/>
        </w:rPr>
        <w:t>01</w:t>
      </w:r>
      <w:r>
        <w:rPr>
          <w:rFonts w:hint="eastAsia" w:ascii="宋体" w:hAnsi="宋体"/>
        </w:rPr>
        <w:t>天勤工程咨询有限公司评标室</w:t>
      </w:r>
      <w:r>
        <w:rPr>
          <w:rFonts w:hint="eastAsia" w:ascii="宋体" w:hAnsi="宋体"/>
          <w:szCs w:val="21"/>
        </w:rPr>
        <w:t>。</w:t>
      </w:r>
    </w:p>
    <w:p>
      <w:pPr>
        <w:spacing w:line="380" w:lineRule="exact"/>
        <w:rPr>
          <w:rFonts w:ascii="宋体" w:hAnsi="宋体"/>
          <w:b/>
        </w:rPr>
      </w:pPr>
      <w:bookmarkStart w:id="35" w:name="_Toc35393634"/>
      <w:bookmarkStart w:id="36" w:name="_Toc28359017"/>
      <w:bookmarkStart w:id="37" w:name="_Toc35393803"/>
      <w:bookmarkStart w:id="38" w:name="_Toc28359094"/>
      <w:r>
        <w:rPr>
          <w:rFonts w:hint="eastAsia" w:ascii="宋体" w:hAnsi="宋体"/>
          <w:b/>
        </w:rPr>
        <w:t>六、公告期限</w:t>
      </w:r>
      <w:bookmarkEnd w:id="35"/>
      <w:bookmarkEnd w:id="36"/>
      <w:bookmarkEnd w:id="37"/>
      <w:bookmarkEnd w:id="38"/>
    </w:p>
    <w:p>
      <w:pPr>
        <w:spacing w:line="380" w:lineRule="exact"/>
        <w:ind w:firstLine="420" w:firstLineChars="200"/>
        <w:rPr>
          <w:rFonts w:ascii="宋体" w:hAnsi="宋体"/>
          <w:kern w:val="0"/>
        </w:rPr>
      </w:pPr>
      <w:r>
        <w:rPr>
          <w:rFonts w:hint="eastAsia" w:ascii="宋体" w:hAnsi="宋体"/>
          <w:kern w:val="0"/>
        </w:rPr>
        <w:t>自本公告发布之日起3个工作日。</w:t>
      </w:r>
    </w:p>
    <w:p>
      <w:pPr>
        <w:spacing w:line="380" w:lineRule="exact"/>
        <w:rPr>
          <w:rFonts w:ascii="宋体" w:hAnsi="宋体"/>
          <w:b/>
        </w:rPr>
      </w:pPr>
      <w:bookmarkStart w:id="39" w:name="_Toc35393635"/>
      <w:bookmarkStart w:id="40" w:name="_Toc35393804"/>
      <w:r>
        <w:rPr>
          <w:rFonts w:hint="eastAsia" w:ascii="宋体" w:hAnsi="宋体"/>
          <w:b/>
        </w:rPr>
        <w:t>七、其他补充事宜</w:t>
      </w:r>
      <w:bookmarkEnd w:id="39"/>
      <w:bookmarkEnd w:id="40"/>
    </w:p>
    <w:p>
      <w:pPr>
        <w:spacing w:line="380" w:lineRule="exact"/>
        <w:ind w:firstLine="422" w:firstLineChars="200"/>
        <w:rPr>
          <w:rFonts w:ascii="宋体" w:hAnsi="宋体"/>
        </w:rPr>
      </w:pPr>
      <w:r>
        <w:rPr>
          <w:rFonts w:hint="eastAsia" w:ascii="宋体" w:hAnsi="宋体"/>
          <w:b/>
        </w:rPr>
        <w:t>1.</w:t>
      </w:r>
      <w:r>
        <w:rPr>
          <w:rFonts w:hint="eastAsia" w:ascii="宋体" w:hAnsi="宋体"/>
          <w:b/>
          <w:bCs/>
        </w:rPr>
        <w:t xml:space="preserve"> </w:t>
      </w:r>
      <w:r>
        <w:rPr>
          <w:rFonts w:hint="eastAsia" w:ascii="宋体" w:hAnsi="宋体"/>
          <w:b/>
          <w:szCs w:val="21"/>
        </w:rPr>
        <w:t>磋商</w:t>
      </w:r>
      <w:r>
        <w:rPr>
          <w:rFonts w:hint="eastAsia" w:ascii="宋体" w:hAnsi="宋体"/>
          <w:b/>
          <w:bCs/>
        </w:rPr>
        <w:t>保证金</w:t>
      </w:r>
      <w:r>
        <w:rPr>
          <w:rFonts w:hint="eastAsia" w:ascii="宋体" w:hAnsi="宋体"/>
          <w:b/>
        </w:rPr>
        <w:t>（人民币）：</w:t>
      </w:r>
      <w:r>
        <w:rPr>
          <w:rFonts w:hint="eastAsia" w:ascii="宋体" w:hAnsi="宋体"/>
          <w:bCs/>
          <w:u w:val="single"/>
        </w:rPr>
        <w:t xml:space="preserve"> 27000  </w:t>
      </w:r>
      <w:r>
        <w:rPr>
          <w:rFonts w:hint="eastAsia" w:ascii="宋体" w:hAnsi="宋体"/>
          <w:bCs/>
        </w:rPr>
        <w:t>元</w:t>
      </w:r>
      <w:r>
        <w:rPr>
          <w:rFonts w:hint="eastAsia" w:ascii="宋体" w:hAnsi="宋体"/>
        </w:rPr>
        <w:t>。</w:t>
      </w:r>
      <w:r>
        <w:rPr>
          <w:rFonts w:hint="eastAsia" w:ascii="宋体" w:hAnsi="宋体"/>
          <w:b/>
        </w:rPr>
        <w:t>（必须足额交纳）</w:t>
      </w:r>
    </w:p>
    <w:p>
      <w:pPr>
        <w:spacing w:line="380" w:lineRule="exact"/>
        <w:ind w:firstLine="420" w:firstLineChars="200"/>
        <w:rPr>
          <w:rFonts w:cs="Arial"/>
        </w:rPr>
      </w:pPr>
      <w:r>
        <w:rPr>
          <w:rFonts w:hint="eastAsia" w:ascii="宋体" w:hAnsi="宋体"/>
          <w:szCs w:val="21"/>
        </w:rPr>
        <w:t>（1）磋商保证金的交纳方式：</w:t>
      </w:r>
      <w:r>
        <w:rPr>
          <w:rFonts w:hint="eastAsia" w:cs="Arial"/>
        </w:rPr>
        <w:t>支票、汇票、本票、网上银行或者银行、保险机构出具的保函等非现金形式。</w:t>
      </w:r>
    </w:p>
    <w:p>
      <w:pPr>
        <w:snapToGrid w:val="0"/>
        <w:spacing w:line="350" w:lineRule="exact"/>
        <w:ind w:firstLine="420" w:firstLineChars="200"/>
        <w:rPr>
          <w:rFonts w:ascii="宋体" w:hAnsi="宋体" w:cs="Arial"/>
        </w:rPr>
      </w:pPr>
      <w:r>
        <w:rPr>
          <w:rFonts w:hint="eastAsia" w:ascii="宋体" w:hAnsi="宋体" w:cs="Arial"/>
        </w:rPr>
        <w:t>（2）采用银行转账方式的，供应商应于响应文件提交截止时间前将磋商保证金交至以下账户：</w:t>
      </w:r>
    </w:p>
    <w:p>
      <w:pPr>
        <w:spacing w:line="400" w:lineRule="exact"/>
        <w:ind w:firstLine="420" w:firstLineChars="200"/>
        <w:rPr>
          <w:rFonts w:ascii="宋体" w:cs="宋体"/>
          <w:bCs/>
        </w:rPr>
      </w:pPr>
      <w:r>
        <w:rPr>
          <w:rFonts w:hint="eastAsia" w:ascii="宋体" w:hAnsi="宋体" w:cs="宋体"/>
          <w:bCs/>
        </w:rPr>
        <w:t>开户名称：天勤工程咨询有限公司南宁分公司</w:t>
      </w:r>
    </w:p>
    <w:p>
      <w:pPr>
        <w:spacing w:line="400" w:lineRule="exact"/>
        <w:ind w:firstLine="420" w:firstLineChars="200"/>
        <w:rPr>
          <w:rFonts w:ascii="宋体" w:cs="宋体"/>
          <w:bCs/>
        </w:rPr>
      </w:pPr>
      <w:r>
        <w:rPr>
          <w:rFonts w:hint="eastAsia" w:ascii="宋体" w:hAnsi="宋体" w:cs="宋体"/>
          <w:bCs/>
        </w:rPr>
        <w:t>开户银行：中国建设银行股份有限公司南宁五象广场支行</w:t>
      </w:r>
    </w:p>
    <w:p>
      <w:pPr>
        <w:spacing w:line="400" w:lineRule="exact"/>
        <w:ind w:firstLine="420" w:firstLineChars="200"/>
        <w:rPr>
          <w:rFonts w:ascii="宋体" w:cs="宋体"/>
          <w:bCs/>
        </w:rPr>
      </w:pPr>
      <w:r>
        <w:rPr>
          <w:rFonts w:hint="eastAsia" w:ascii="宋体" w:hAnsi="宋体" w:cs="宋体"/>
          <w:bCs/>
        </w:rPr>
        <w:t>账号：</w:t>
      </w:r>
      <w:r>
        <w:rPr>
          <w:rFonts w:ascii="宋体" w:hAnsi="宋体" w:cs="宋体"/>
          <w:bCs/>
        </w:rPr>
        <w:t>45050160466300000319</w:t>
      </w:r>
    </w:p>
    <w:p>
      <w:pPr>
        <w:spacing w:line="360" w:lineRule="auto"/>
        <w:ind w:firstLine="420" w:firstLineChars="200"/>
        <w:rPr>
          <w:rFonts w:ascii="宋体" w:hAnsi="宋体"/>
        </w:rPr>
      </w:pPr>
      <w:r>
        <w:rPr>
          <w:rFonts w:hint="eastAsia" w:ascii="宋体" w:hAnsi="宋体" w:cs="Arial"/>
        </w:rPr>
        <w:t>（3）采用支票、汇票、本票或者保函等方式的，供应商应于响应文件提交截止时间前递交单独密封的支票、汇票、本票或者保函原件至我公司。</w:t>
      </w:r>
    </w:p>
    <w:p>
      <w:pPr>
        <w:spacing w:line="380" w:lineRule="exact"/>
        <w:ind w:firstLine="422" w:firstLineChars="200"/>
        <w:rPr>
          <w:rFonts w:ascii="宋体" w:hAnsi="宋体"/>
          <w:b/>
        </w:rPr>
      </w:pPr>
      <w:r>
        <w:rPr>
          <w:rFonts w:hint="eastAsia" w:ascii="宋体" w:hAnsi="宋体"/>
          <w:b/>
        </w:rPr>
        <w:t>2.本项目需要落实的政府采购政策</w:t>
      </w:r>
    </w:p>
    <w:p>
      <w:pPr>
        <w:spacing w:line="380" w:lineRule="exact"/>
        <w:ind w:firstLine="420" w:firstLineChars="200"/>
        <w:rPr>
          <w:rFonts w:ascii="宋体" w:hAnsi="宋体"/>
          <w:b/>
        </w:rPr>
      </w:pPr>
      <w:r>
        <w:rPr>
          <w:rFonts w:hint="eastAsia" w:ascii="宋体" w:hAnsi="宋体"/>
        </w:rPr>
        <w:t>政府采购促进中小企业发展；政府采购促进残疾人就业政策；政府采购支持监狱企业发展等。</w:t>
      </w:r>
    </w:p>
    <w:p>
      <w:pPr>
        <w:spacing w:line="380" w:lineRule="exact"/>
        <w:ind w:firstLine="422" w:firstLineChars="200"/>
        <w:rPr>
          <w:rFonts w:ascii="宋体" w:hAnsi="宋体"/>
          <w:b/>
        </w:rPr>
      </w:pPr>
      <w:r>
        <w:rPr>
          <w:rFonts w:hint="eastAsia" w:ascii="宋体" w:hAnsi="宋体"/>
          <w:b/>
        </w:rPr>
        <w:t>3.网上公告媒体查询</w:t>
      </w:r>
    </w:p>
    <w:p>
      <w:pPr>
        <w:spacing w:line="380" w:lineRule="exact"/>
        <w:ind w:firstLine="420" w:firstLineChars="200"/>
        <w:rPr>
          <w:rFonts w:ascii="宋体" w:hAnsi="宋体"/>
        </w:rPr>
      </w:pPr>
      <w:r>
        <w:rPr>
          <w:rFonts w:hint="eastAsia" w:ascii="宋体" w:hAnsi="宋体"/>
          <w:szCs w:val="21"/>
        </w:rPr>
        <w:t>中国政府采购网（</w:t>
      </w:r>
      <w:r>
        <w:rPr>
          <w:rFonts w:ascii="宋体" w:hAnsi="宋体"/>
          <w:szCs w:val="21"/>
        </w:rPr>
        <w:t>www.ccgp.gov.cn</w:t>
      </w:r>
      <w:r>
        <w:rPr>
          <w:rFonts w:hint="eastAsia" w:ascii="宋体" w:hAnsi="宋体"/>
          <w:szCs w:val="21"/>
        </w:rPr>
        <w:t>）、广西壮族自治区政府采购网（</w:t>
      </w:r>
      <w:r>
        <w:rPr>
          <w:rFonts w:ascii="宋体" w:hAnsi="宋体"/>
          <w:szCs w:val="21"/>
        </w:rPr>
        <w:t>zfcg.gxzf.gov.cn</w:t>
      </w:r>
      <w:r>
        <w:rPr>
          <w:rFonts w:hint="eastAsia" w:ascii="宋体" w:hAnsi="宋体"/>
          <w:szCs w:val="21"/>
        </w:rPr>
        <w:t>）</w:t>
      </w:r>
      <w:r>
        <w:rPr>
          <w:rFonts w:hint="eastAsia" w:ascii="宋体" w:hAnsi="宋体"/>
        </w:rPr>
        <w:t>。</w:t>
      </w:r>
    </w:p>
    <w:p>
      <w:pPr>
        <w:spacing w:line="380" w:lineRule="exact"/>
        <w:ind w:firstLine="422" w:firstLineChars="200"/>
        <w:rPr>
          <w:rFonts w:ascii="宋体" w:cs="Arial"/>
          <w:szCs w:val="21"/>
        </w:rPr>
      </w:pPr>
      <w:r>
        <w:rPr>
          <w:rFonts w:hint="eastAsia" w:ascii="宋体" w:hAnsi="宋体"/>
          <w:b/>
        </w:rPr>
        <w:t>4.</w:t>
      </w:r>
      <w:r>
        <w:rPr>
          <w:rFonts w:hint="eastAsia" w:ascii="宋体" w:cs="Arial"/>
          <w:b/>
          <w:szCs w:val="21"/>
        </w:rPr>
        <w:t>其他注意事项</w:t>
      </w:r>
    </w:p>
    <w:p>
      <w:pPr>
        <w:widowControl/>
        <w:spacing w:line="360" w:lineRule="auto"/>
        <w:ind w:firstLine="420" w:firstLineChars="200"/>
        <w:rPr>
          <w:rFonts w:ascii="宋体" w:hAnsi="宋体" w:cs="宋体"/>
          <w:bCs/>
          <w:szCs w:val="21"/>
        </w:rPr>
      </w:pPr>
      <w:r>
        <w:rPr>
          <w:rFonts w:hint="eastAsia" w:ascii="宋体" w:hAnsi="宋体" w:cs="宋体"/>
          <w:szCs w:val="21"/>
        </w:rPr>
        <w:t>（1）本项目实行电子投标，供应商应使用新版“政采云电子交易客户端”（新版客户端下载路径：广西政府采购网（访问地址http://zfcg.gxzf.gov.cn/）—办事服务—下载专区。原在政采云平台注册的临时供应商需在新平台启用后重新注册登记。），并按照本项目招标文件和广西政府采购云平台的要求编制、加密后在投标截止时间前通过网络上传至广西政府采购云平台，</w:t>
      </w:r>
      <w:r>
        <w:rPr>
          <w:rFonts w:hint="eastAsia" w:ascii="宋体" w:hAnsi="宋体" w:cs="宋体"/>
          <w:b/>
          <w:szCs w:val="21"/>
        </w:rPr>
        <w:t>供应商在广西政府采购云平台提交电子版投标文件时，请填写参加远程开标活动经办人联系方式。</w:t>
      </w:r>
    </w:p>
    <w:p>
      <w:pPr>
        <w:widowControl/>
        <w:spacing w:line="360" w:lineRule="auto"/>
        <w:ind w:firstLine="420" w:firstLineChars="200"/>
        <w:rPr>
          <w:rFonts w:ascii="宋体" w:hAnsi="宋体" w:cs="宋体"/>
          <w:szCs w:val="21"/>
        </w:rPr>
      </w:pPr>
      <w:r>
        <w:rPr>
          <w:rFonts w:hint="eastAsia" w:ascii="宋体" w:hAnsi="宋体" w:cs="宋体"/>
          <w:szCs w:val="21"/>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Style w:val="41"/>
          <w:rFonts w:hint="eastAsia" w:ascii="宋体" w:hAnsi="宋体" w:cs="宋体"/>
          <w:color w:val="auto"/>
          <w:u w:val="none"/>
        </w:rPr>
        <w:t>https://service.zcygov.cn/#/knowledges/tree?tag=AG1DtGwBFdiHxlNdhY0r</w:t>
      </w:r>
      <w:r>
        <w:rPr>
          <w:rStyle w:val="41"/>
          <w:rFonts w:hint="eastAsia" w:ascii="宋体" w:hAnsi="宋体" w:cs="宋体"/>
          <w:color w:val="auto"/>
          <w:u w:val="none"/>
        </w:rPr>
        <w:fldChar w:fldCharType="end"/>
      </w:r>
      <w:r>
        <w:rPr>
          <w:rFonts w:hint="eastAsia" w:ascii="宋体" w:hAnsi="宋体" w:cs="宋体"/>
          <w:szCs w:val="21"/>
        </w:rPr>
        <w:t>；及时完成CA申领和绑定（见广西壮族自治区政府采购网—办事服务—下载专区-政采云CA证书办理操作指南）。</w:t>
      </w:r>
    </w:p>
    <w:p>
      <w:pPr>
        <w:widowControl/>
        <w:spacing w:line="360" w:lineRule="auto"/>
        <w:ind w:firstLine="420" w:firstLineChars="200"/>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20" w:firstLineChars="200"/>
        <w:rPr>
          <w:rFonts w:ascii="宋体" w:hAnsi="宋体" w:cs="宋体"/>
          <w:szCs w:val="21"/>
        </w:rPr>
      </w:pPr>
      <w:r>
        <w:rPr>
          <w:rFonts w:hint="eastAsia" w:ascii="宋体" w:hAnsi="宋体" w:cs="宋体"/>
          <w:szCs w:val="21"/>
        </w:rPr>
        <w:t>（4）为确保网上操作合法、有效和安全，请投标人确保在电子投标过程中能够对相关数据电文进行加密和使用电子签章，妥善保管CA数字证书并使用有效的CA数字证书参与整个采购活动。</w:t>
      </w:r>
    </w:p>
    <w:p>
      <w:pPr>
        <w:spacing w:line="360" w:lineRule="auto"/>
        <w:ind w:firstLine="422" w:firstLineChars="200"/>
        <w:rPr>
          <w:rFonts w:ascii="宋体" w:hAnsi="宋体" w:cs="宋体"/>
          <w:b/>
          <w:bCs/>
          <w:szCs w:val="21"/>
        </w:rPr>
      </w:pPr>
      <w:r>
        <w:rPr>
          <w:rFonts w:hint="eastAsia" w:ascii="宋体" w:hAnsi="宋体" w:cs="宋体"/>
          <w:b/>
          <w:bCs/>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pPr>
        <w:spacing w:line="360" w:lineRule="auto"/>
        <w:ind w:firstLine="420" w:firstLineChars="200"/>
        <w:rPr>
          <w:rFonts w:ascii="宋体" w:cs="Arial"/>
          <w:szCs w:val="21"/>
        </w:rPr>
      </w:pPr>
      <w:r>
        <w:rPr>
          <w:rFonts w:hint="eastAsia" w:ascii="宋体" w:hAnsi="宋体" w:cs="宋体"/>
          <w:kern w:val="0"/>
          <w:szCs w:val="21"/>
        </w:rPr>
        <w:t>6、若对项目采购电子交易系统操作有疑问，可登录广西政府采购云平台（https://www.gcy.zfcg.gxzf.gov.cn/），点击右侧咨询小采，获取采小蜜智能服务管家帮助，或拨打政采云服务热线95763获取热线服务帮助。</w:t>
      </w:r>
    </w:p>
    <w:p>
      <w:pPr>
        <w:spacing w:line="380" w:lineRule="exact"/>
        <w:rPr>
          <w:rFonts w:ascii="宋体" w:hAnsi="宋体"/>
          <w:b/>
        </w:rPr>
      </w:pPr>
      <w:bookmarkStart w:id="41" w:name="_Toc35393636"/>
      <w:bookmarkStart w:id="42" w:name="_Toc28359018"/>
      <w:bookmarkStart w:id="43" w:name="_Toc28359095"/>
      <w:bookmarkStart w:id="44" w:name="_Toc35393805"/>
      <w:r>
        <w:rPr>
          <w:rFonts w:hint="eastAsia" w:ascii="宋体" w:hAnsi="宋体"/>
          <w:b/>
        </w:rPr>
        <w:t>八、凡对本次采购提出询问，请按</w:t>
      </w:r>
      <w:r>
        <w:rPr>
          <w:rFonts w:ascii="宋体" w:hAnsi="宋体"/>
          <w:b/>
        </w:rPr>
        <w:t>以下方式</w:t>
      </w:r>
      <w:r>
        <w:rPr>
          <w:rFonts w:hint="eastAsia" w:ascii="宋体" w:hAnsi="宋体"/>
          <w:b/>
        </w:rPr>
        <w:t>联系。</w:t>
      </w:r>
      <w:bookmarkEnd w:id="41"/>
      <w:bookmarkEnd w:id="42"/>
      <w:bookmarkEnd w:id="43"/>
      <w:bookmarkEnd w:id="44"/>
    </w:p>
    <w:p>
      <w:pPr>
        <w:spacing w:line="400" w:lineRule="exact"/>
        <w:ind w:firstLine="420" w:firstLineChars="200"/>
        <w:rPr>
          <w:rFonts w:ascii="宋体" w:cs="宋体"/>
        </w:rPr>
      </w:pPr>
      <w:r>
        <w:rPr>
          <w:rFonts w:ascii="宋体" w:hAnsi="宋体" w:cs="宋体"/>
        </w:rPr>
        <w:t>1.</w:t>
      </w:r>
      <w:r>
        <w:rPr>
          <w:rFonts w:hint="eastAsia" w:ascii="宋体" w:hAnsi="宋体" w:cs="宋体"/>
        </w:rPr>
        <w:t>采购人信息</w:t>
      </w:r>
    </w:p>
    <w:p>
      <w:pPr>
        <w:spacing w:line="380" w:lineRule="exact"/>
        <w:ind w:firstLine="420" w:firstLineChars="200"/>
        <w:rPr>
          <w:rFonts w:ascii="宋体"/>
        </w:rPr>
      </w:pPr>
      <w:r>
        <w:rPr>
          <w:rFonts w:hint="eastAsia" w:ascii="宋体" w:hAnsi="宋体"/>
        </w:rPr>
        <w:t>名</w:t>
      </w:r>
      <w:r>
        <w:rPr>
          <w:rFonts w:ascii="宋体" w:hAnsi="宋体"/>
        </w:rPr>
        <w:t xml:space="preserve">    </w:t>
      </w:r>
      <w:r>
        <w:rPr>
          <w:rFonts w:hint="eastAsia" w:ascii="宋体" w:hAnsi="宋体"/>
        </w:rPr>
        <w:t>称：广西信息职业技术学院</w:t>
      </w:r>
    </w:p>
    <w:p>
      <w:pPr>
        <w:spacing w:line="380" w:lineRule="exact"/>
        <w:ind w:firstLine="420" w:firstLineChars="200"/>
        <w:rPr>
          <w:rFonts w:ascii="宋体"/>
        </w:rPr>
      </w:pPr>
      <w:r>
        <w:rPr>
          <w:rFonts w:hint="eastAsia" w:ascii="宋体" w:hAnsi="宋体"/>
        </w:rPr>
        <w:t>地</w:t>
      </w:r>
      <w:r>
        <w:rPr>
          <w:rFonts w:ascii="宋体" w:hAnsi="宋体"/>
        </w:rPr>
        <w:t xml:space="preserve">    </w:t>
      </w:r>
      <w:r>
        <w:rPr>
          <w:rFonts w:hint="eastAsia" w:ascii="宋体" w:hAnsi="宋体"/>
        </w:rPr>
        <w:t>址：</w:t>
      </w:r>
      <w:r>
        <w:rPr>
          <w:rFonts w:hint="eastAsia" w:ascii="宋体" w:hAnsi="宋体" w:cs="宋体"/>
          <w:szCs w:val="21"/>
        </w:rPr>
        <w:t>广西南宁市邕宁区步云路31号</w:t>
      </w:r>
    </w:p>
    <w:p>
      <w:pPr>
        <w:spacing w:line="400" w:lineRule="exact"/>
        <w:ind w:firstLine="420" w:firstLineChars="200"/>
        <w:rPr>
          <w:rFonts w:ascii="宋体" w:cs="宋体"/>
        </w:rPr>
      </w:pPr>
      <w:r>
        <w:rPr>
          <w:rFonts w:hint="eastAsia" w:ascii="宋体" w:hAnsi="宋体" w:cs="宋体"/>
        </w:rPr>
        <w:t>联系方式</w:t>
      </w:r>
      <w:bookmarkStart w:id="45" w:name="_Toc28359009"/>
      <w:bookmarkStart w:id="46" w:name="_Toc28359086"/>
      <w:r>
        <w:rPr>
          <w:rFonts w:hint="eastAsia" w:ascii="宋体" w:hAnsi="宋体" w:cs="宋体"/>
        </w:rPr>
        <w:t>：谢老师，</w:t>
      </w:r>
      <w:r>
        <w:rPr>
          <w:rFonts w:hint="eastAsia" w:ascii="宋体" w:hAnsi="宋体" w:cs="宋体"/>
          <w:szCs w:val="21"/>
        </w:rPr>
        <w:t>0771-5872155</w:t>
      </w:r>
    </w:p>
    <w:p>
      <w:pPr>
        <w:spacing w:line="400" w:lineRule="exact"/>
        <w:ind w:firstLine="420" w:firstLineChars="200"/>
        <w:rPr>
          <w:rFonts w:ascii="宋体" w:cs="宋体"/>
        </w:rPr>
      </w:pPr>
      <w:r>
        <w:rPr>
          <w:rFonts w:ascii="宋体" w:hAnsi="宋体" w:cs="宋体"/>
        </w:rPr>
        <w:t>2.</w:t>
      </w:r>
      <w:r>
        <w:rPr>
          <w:rFonts w:hint="eastAsia" w:ascii="宋体" w:hAnsi="宋体" w:cs="宋体"/>
        </w:rPr>
        <w:t>采购代理机构信息</w:t>
      </w:r>
      <w:bookmarkEnd w:id="45"/>
      <w:bookmarkEnd w:id="46"/>
    </w:p>
    <w:p>
      <w:pPr>
        <w:spacing w:line="360" w:lineRule="auto"/>
        <w:ind w:firstLine="420" w:firstLineChars="200"/>
        <w:rPr>
          <w:rFonts w:ascii="宋体" w:cs="宋体"/>
          <w:bCs/>
          <w:szCs w:val="21"/>
        </w:rPr>
      </w:pPr>
      <w:r>
        <w:rPr>
          <w:rFonts w:hint="eastAsia" w:ascii="宋体" w:hAnsi="宋体" w:cs="宋体"/>
          <w:bCs/>
          <w:szCs w:val="21"/>
        </w:rPr>
        <w:t>名称：天勤工程咨询有限公司</w:t>
      </w:r>
    </w:p>
    <w:p>
      <w:pPr>
        <w:spacing w:line="360" w:lineRule="auto"/>
        <w:ind w:firstLine="420" w:firstLineChars="200"/>
        <w:rPr>
          <w:rFonts w:ascii="宋体" w:hAnsi="宋体" w:cs="宋体"/>
          <w:bCs/>
          <w:szCs w:val="21"/>
        </w:rPr>
      </w:pPr>
      <w:r>
        <w:rPr>
          <w:rFonts w:hint="eastAsia" w:ascii="宋体" w:hAnsi="宋体" w:cs="宋体"/>
          <w:bCs/>
          <w:szCs w:val="21"/>
        </w:rPr>
        <w:t>联系地址：南宁市民族大道</w:t>
      </w:r>
      <w:r>
        <w:rPr>
          <w:rFonts w:ascii="宋体" w:hAnsi="宋体" w:cs="宋体"/>
          <w:bCs/>
          <w:szCs w:val="21"/>
        </w:rPr>
        <w:t>157</w:t>
      </w:r>
      <w:r>
        <w:rPr>
          <w:rFonts w:hint="eastAsia" w:ascii="宋体" w:hAnsi="宋体" w:cs="宋体"/>
          <w:bCs/>
          <w:szCs w:val="21"/>
        </w:rPr>
        <w:t>号财富国际广场</w:t>
      </w:r>
      <w:r>
        <w:rPr>
          <w:rFonts w:ascii="宋体" w:hAnsi="宋体" w:cs="宋体"/>
          <w:bCs/>
          <w:szCs w:val="21"/>
        </w:rPr>
        <w:t>3</w:t>
      </w:r>
      <w:r>
        <w:rPr>
          <w:rFonts w:hint="eastAsia" w:ascii="宋体" w:hAnsi="宋体" w:cs="宋体"/>
          <w:bCs/>
          <w:szCs w:val="21"/>
        </w:rPr>
        <w:t>号楼</w:t>
      </w:r>
      <w:r>
        <w:rPr>
          <w:rFonts w:ascii="宋体" w:hAnsi="宋体" w:cs="宋体"/>
          <w:bCs/>
          <w:szCs w:val="21"/>
        </w:rPr>
        <w:t>2</w:t>
      </w:r>
      <w:r>
        <w:rPr>
          <w:rFonts w:hint="eastAsia" w:ascii="宋体" w:hAnsi="宋体" w:cs="宋体"/>
          <w:bCs/>
          <w:szCs w:val="21"/>
        </w:rPr>
        <w:t>5</w:t>
      </w:r>
      <w:r>
        <w:rPr>
          <w:rFonts w:ascii="宋体" w:hAnsi="宋体" w:cs="宋体"/>
          <w:bCs/>
          <w:szCs w:val="21"/>
        </w:rPr>
        <w:t>01</w:t>
      </w:r>
    </w:p>
    <w:p>
      <w:pPr>
        <w:spacing w:line="360" w:lineRule="auto"/>
        <w:ind w:firstLine="420" w:firstLineChars="200"/>
        <w:rPr>
          <w:rFonts w:ascii="宋体" w:cs="宋体"/>
          <w:bCs/>
          <w:sz w:val="24"/>
        </w:rPr>
      </w:pPr>
      <w:r>
        <w:rPr>
          <w:rFonts w:hint="eastAsia" w:ascii="宋体" w:hAnsi="宋体" w:cs="宋体"/>
          <w:bCs/>
          <w:szCs w:val="21"/>
        </w:rPr>
        <w:t>联系人：刘熙堂，</w:t>
      </w:r>
      <w:r>
        <w:rPr>
          <w:rFonts w:ascii="宋体" w:hAnsi="宋体" w:cs="宋体"/>
          <w:bCs/>
          <w:szCs w:val="21"/>
        </w:rPr>
        <w:t>0771-5784126</w:t>
      </w:r>
    </w:p>
    <w:p>
      <w:pPr>
        <w:spacing w:line="400" w:lineRule="exact"/>
        <w:ind w:firstLine="420" w:firstLineChars="200"/>
        <w:rPr>
          <w:rFonts w:ascii="宋体" w:cs="宋体"/>
        </w:rPr>
      </w:pPr>
    </w:p>
    <w:p>
      <w:pPr>
        <w:pStyle w:val="106"/>
      </w:pPr>
    </w:p>
    <w:p>
      <w:pPr>
        <w:snapToGrid w:val="0"/>
        <w:spacing w:line="360" w:lineRule="exact"/>
        <w:ind w:left="238"/>
        <w:jc w:val="right"/>
        <w:rPr>
          <w:rFonts w:ascii="宋体" w:cs="宋体"/>
        </w:rPr>
      </w:pPr>
      <w:r>
        <w:rPr>
          <w:rFonts w:hint="eastAsia" w:ascii="宋体" w:hAnsi="宋体" w:cs="宋体"/>
        </w:rPr>
        <w:t>天勤工程咨询有限公司</w:t>
      </w:r>
    </w:p>
    <w:p>
      <w:pPr>
        <w:spacing w:line="400" w:lineRule="exact"/>
        <w:jc w:val="center"/>
        <w:rPr>
          <w:rFonts w:ascii="宋体" w:hAnsi="宋体"/>
          <w:b/>
          <w:sz w:val="32"/>
          <w:szCs w:val="32"/>
        </w:rPr>
      </w:pPr>
      <w:r>
        <w:rPr>
          <w:rFonts w:hint="eastAsia" w:ascii="宋体" w:hAnsi="宋体" w:cs="宋体"/>
        </w:rPr>
        <w:t xml:space="preserve">                                                                             </w:t>
      </w:r>
      <w:r>
        <w:rPr>
          <w:rFonts w:ascii="宋体" w:hAnsi="宋体" w:cs="宋体"/>
        </w:rPr>
        <w:t>2024</w:t>
      </w:r>
      <w:r>
        <w:rPr>
          <w:rFonts w:hint="eastAsia" w:ascii="宋体" w:hAnsi="宋体" w:cs="宋体"/>
        </w:rPr>
        <w:t>年7月29日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pPr>
    </w:p>
    <w:p>
      <w:pPr>
        <w:pStyle w:val="34"/>
        <w:rPr>
          <w:sz w:val="44"/>
          <w:szCs w:val="44"/>
        </w:rPr>
      </w:pPr>
      <w:bookmarkStart w:id="47" w:name="_Toc476258663"/>
      <w:bookmarkStart w:id="48" w:name="_Toc476258757"/>
    </w:p>
    <w:p>
      <w:pPr>
        <w:pStyle w:val="34"/>
        <w:rPr>
          <w:sz w:val="44"/>
          <w:szCs w:val="44"/>
        </w:rPr>
      </w:pPr>
    </w:p>
    <w:p>
      <w:pPr>
        <w:pStyle w:val="34"/>
        <w:rPr>
          <w:sz w:val="44"/>
          <w:szCs w:val="44"/>
        </w:rPr>
      </w:pPr>
    </w:p>
    <w:p>
      <w:pPr>
        <w:pStyle w:val="34"/>
        <w:jc w:val="both"/>
        <w:rPr>
          <w:sz w:val="44"/>
          <w:szCs w:val="44"/>
        </w:rPr>
      </w:pPr>
    </w:p>
    <w:p>
      <w:pPr>
        <w:pStyle w:val="34"/>
        <w:rPr>
          <w:sz w:val="44"/>
          <w:szCs w:val="44"/>
        </w:rPr>
      </w:pPr>
      <w:r>
        <w:rPr>
          <w:rFonts w:hint="eastAsia"/>
          <w:sz w:val="44"/>
          <w:szCs w:val="44"/>
        </w:rPr>
        <w:t>第二章  磋商供应商须知</w:t>
      </w:r>
      <w:bookmarkEnd w:id="47"/>
      <w:bookmarkEnd w:id="48"/>
    </w:p>
    <w:p>
      <w:pPr>
        <w:spacing w:line="72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磋商供应商须知前附表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pPr>
              <w:pStyle w:val="95"/>
              <w:spacing w:line="400" w:lineRule="exact"/>
              <w:jc w:val="center"/>
            </w:pPr>
            <w:r>
              <w:rPr>
                <w:rFonts w:hint="eastAsia"/>
              </w:rPr>
              <w:t>序号</w:t>
            </w:r>
          </w:p>
        </w:tc>
        <w:tc>
          <w:tcPr>
            <w:tcW w:w="8510" w:type="dxa"/>
          </w:tcPr>
          <w:p>
            <w:pPr>
              <w:pStyle w:val="95"/>
              <w:spacing w:line="400" w:lineRule="exact"/>
              <w:jc w:val="center"/>
            </w:pPr>
            <w:r>
              <w:rPr>
                <w:rFonts w:hint="eastAsi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390" w:lineRule="exact"/>
              <w:rPr>
                <w:rFonts w:hAnsi="宋体"/>
                <w:bCs/>
                <w:szCs w:val="21"/>
              </w:rPr>
            </w:pPr>
            <w:r>
              <w:rPr>
                <w:rFonts w:hint="eastAsia"/>
              </w:rPr>
              <w:t>采购项目名称：北斗卫星导航智能应用虚拟仿真实训基地</w:t>
            </w:r>
          </w:p>
          <w:p>
            <w:pPr>
              <w:pStyle w:val="95"/>
              <w:spacing w:line="390" w:lineRule="exact"/>
              <w:rPr>
                <w:rFonts w:hAnsi="宋体"/>
                <w:bCs/>
                <w:szCs w:val="21"/>
              </w:rPr>
            </w:pPr>
            <w:r>
              <w:rPr>
                <w:rFonts w:hint="eastAsia"/>
              </w:rPr>
              <w:t>采购项目编号：GXZC2024-C3-004824-TQGC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390" w:lineRule="exact"/>
              <w:ind w:left="-36" w:firstLine="36"/>
            </w:pPr>
            <w:r>
              <w:rPr>
                <w:rFonts w:hint="eastAsia"/>
              </w:rPr>
              <w:t>供应商资格：按第一章竞争性磋商第二条规定。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pStyle w:val="95"/>
              <w:numPr>
                <w:ilvl w:val="0"/>
                <w:numId w:val="3"/>
              </w:numPr>
              <w:spacing w:line="390" w:lineRule="exact"/>
              <w:jc w:val="center"/>
            </w:pPr>
          </w:p>
        </w:tc>
        <w:tc>
          <w:tcPr>
            <w:tcW w:w="8510" w:type="dxa"/>
            <w:vAlign w:val="center"/>
          </w:tcPr>
          <w:p>
            <w:pPr>
              <w:spacing w:line="390" w:lineRule="exact"/>
              <w:rPr>
                <w:rFonts w:ascii="宋体" w:hAnsi="宋体"/>
                <w:szCs w:val="21"/>
              </w:rPr>
            </w:pPr>
            <w:r>
              <w:rPr>
                <w:rFonts w:hint="eastAsia"/>
              </w:rPr>
              <w:t>磋商报价：供应商必须就所竞项目的全部内容作完整唯一报价，漏项报价的或有选择的或有条件的报价，其响应文件将视为无效。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pStyle w:val="95"/>
              <w:numPr>
                <w:ilvl w:val="0"/>
                <w:numId w:val="3"/>
              </w:numPr>
              <w:spacing w:line="390" w:lineRule="exact"/>
              <w:jc w:val="center"/>
            </w:pPr>
          </w:p>
        </w:tc>
        <w:tc>
          <w:tcPr>
            <w:tcW w:w="8510" w:type="dxa"/>
            <w:vAlign w:val="center"/>
          </w:tcPr>
          <w:p>
            <w:pPr>
              <w:spacing w:line="390" w:lineRule="exact"/>
              <w:rPr>
                <w:rFonts w:ascii="宋体" w:hAnsi="宋体"/>
              </w:rPr>
            </w:pPr>
            <w:r>
              <w:rPr>
                <w:rFonts w:hint="eastAsia" w:ascii="宋体" w:hAnsi="宋体"/>
              </w:rPr>
              <w:t>成交服务费：本项目的成交服务费按本须知16.1款规定的标准采用差额定率累进计费方式计取，由成交供应商在发布成交结果公告后，一次性向采购代理机构支付。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21"/>
            </w:pPr>
            <w:r>
              <w:rPr>
                <w:rFonts w:hint="eastAsia"/>
              </w:rPr>
              <w:t>响应文件的上传和提交：本项目通过“广西政府采购云平台（https://www.gcy.zfcg.gxzf.gov.cn/）”</w:t>
            </w:r>
            <w:r>
              <w:t>实行在线</w:t>
            </w:r>
            <w:r>
              <w:rPr>
                <w:rFonts w:hint="eastAsia"/>
              </w:rPr>
              <w:t>竞标</w:t>
            </w:r>
            <w:r>
              <w:t>响应（电子标），</w:t>
            </w:r>
            <w:r>
              <w:rPr>
                <w:rFonts w:hint="eastAsia"/>
              </w:rPr>
              <w:t>竞标</w:t>
            </w:r>
            <w:r>
              <w:t>供应商应当在</w:t>
            </w:r>
            <w:r>
              <w:rPr>
                <w:rFonts w:hint="eastAsia"/>
                <w:b/>
              </w:rPr>
              <w:t>响应文件提交截止时间</w:t>
            </w:r>
            <w:r>
              <w:t>前，将生成的</w:t>
            </w:r>
            <w:r>
              <w:rPr>
                <w:rFonts w:hint="eastAsia"/>
              </w:rPr>
              <w:t>“</w:t>
            </w:r>
            <w:r>
              <w:t>电子加密</w:t>
            </w:r>
            <w:r>
              <w:rPr>
                <w:rFonts w:hint="eastAsia"/>
              </w:rPr>
              <w:t>响应</w:t>
            </w:r>
            <w:r>
              <w:t>文件</w:t>
            </w:r>
            <w:r>
              <w:rPr>
                <w:rFonts w:hint="eastAsia"/>
              </w:rPr>
              <w:t>”</w:t>
            </w:r>
            <w:r>
              <w:t>上传</w:t>
            </w:r>
            <w:r>
              <w:rPr>
                <w:rFonts w:hint="eastAsia"/>
              </w:rPr>
              <w:t>提交</w:t>
            </w:r>
            <w:r>
              <w:t>至</w:t>
            </w:r>
            <w:r>
              <w:rPr>
                <w:rFonts w:hint="eastAsia"/>
              </w:rPr>
              <w:t>“广西政府采购云平台”</w:t>
            </w:r>
            <w:r>
              <w:t>。</w:t>
            </w:r>
          </w:p>
          <w:p>
            <w:pPr>
              <w:pStyle w:val="21"/>
            </w:pPr>
            <w:r>
              <w:rPr>
                <w:rFonts w:hint="eastAsia"/>
              </w:rPr>
              <w:t>“电子加密响应文件”的上传、提交：</w:t>
            </w:r>
          </w:p>
          <w:p>
            <w:pPr>
              <w:pStyle w:val="21"/>
            </w:pPr>
            <w:r>
              <w:rPr>
                <w:rFonts w:hint="eastAsia"/>
              </w:rPr>
              <w:t>a.磋商供应商应在</w:t>
            </w:r>
            <w:r>
              <w:rPr>
                <w:rFonts w:hint="eastAsia"/>
                <w:b/>
              </w:rPr>
              <w:t>响应文件提交截止时间</w:t>
            </w:r>
            <w:r>
              <w:rPr>
                <w:rFonts w:hint="eastAsia"/>
              </w:rPr>
              <w:t>前将“电子加密响应文件”成功上传提交至“广西政府采购云平台”，否则磋商无效。</w:t>
            </w:r>
          </w:p>
          <w:p>
            <w:pPr>
              <w:pStyle w:val="21"/>
              <w:spacing w:line="390" w:lineRule="exact"/>
              <w:rPr>
                <w:rFonts w:hAnsi="宋体"/>
              </w:rPr>
            </w:pPr>
            <w:r>
              <w:rPr>
                <w:rFonts w:hint="eastAsia"/>
              </w:rPr>
              <w:t>b.“电子加密磋商响应文件”成功上传提交后，供应商可自行打印响应文件接收回执。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390" w:lineRule="exact"/>
              <w:rPr>
                <w:bCs/>
              </w:rPr>
            </w:pPr>
            <w:r>
              <w:rPr>
                <w:rFonts w:hint="eastAsia"/>
              </w:rPr>
              <w:t>响应文件递交截止时间：</w:t>
            </w:r>
            <w:r>
              <w:rPr>
                <w:rFonts w:hint="eastAsia" w:hAnsi="宋体"/>
                <w:szCs w:val="21"/>
                <w:u w:val="single"/>
              </w:rPr>
              <w:t>详见竞争性磋商公告</w:t>
            </w:r>
          </w:p>
          <w:p>
            <w:pPr>
              <w:pStyle w:val="21"/>
              <w:spacing w:line="390" w:lineRule="exact"/>
            </w:pPr>
            <w:r>
              <w:rPr>
                <w:rFonts w:hint="eastAsia"/>
              </w:rPr>
              <w:t>响应文件递交地址：</w:t>
            </w:r>
            <w:r>
              <w:rPr>
                <w:rFonts w:hint="eastAsia" w:hAnsi="宋体"/>
                <w:u w:val="single"/>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390" w:lineRule="exact"/>
            </w:pPr>
            <w:r>
              <w:rPr>
                <w:rFonts w:hint="eastAsia"/>
              </w:rPr>
              <w:t>竞争性磋商响应文件有效期：响应文件递交截止日期后六十日。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21"/>
              <w:spacing w:line="390" w:lineRule="exact"/>
            </w:pPr>
            <w:r>
              <w:rPr>
                <w:rFonts w:hint="eastAsia"/>
              </w:rPr>
              <w:t>磋商保证金（人民币）：</w:t>
            </w:r>
            <w:r>
              <w:rPr>
                <w:rFonts w:hint="eastAsia" w:hAnsi="宋体"/>
                <w:u w:val="single"/>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390" w:lineRule="exact"/>
              <w:rPr>
                <w:bCs/>
              </w:rPr>
            </w:pPr>
            <w:r>
              <w:rPr>
                <w:rFonts w:hint="eastAsia"/>
                <w:bCs/>
              </w:rPr>
              <w:t>磋商时间：</w:t>
            </w:r>
            <w:r>
              <w:rPr>
                <w:rFonts w:hint="eastAsia" w:hAnsi="宋体"/>
                <w:szCs w:val="21"/>
                <w:u w:val="single"/>
              </w:rPr>
              <w:t>详见竞争性磋商公告</w:t>
            </w:r>
          </w:p>
          <w:p>
            <w:pPr>
              <w:pStyle w:val="95"/>
              <w:spacing w:line="390" w:lineRule="exact"/>
            </w:pPr>
            <w:r>
              <w:rPr>
                <w:rFonts w:hint="eastAsia"/>
                <w:bCs/>
              </w:rPr>
              <w:t>磋商地点：</w:t>
            </w:r>
            <w:r>
              <w:rPr>
                <w:rFonts w:hint="eastAsia"/>
                <w:u w:val="single"/>
              </w:rPr>
              <w:t>详见竞争性磋商</w:t>
            </w:r>
            <w:r>
              <w:rPr>
                <w:rFonts w:hint="eastAsia" w:hAnsi="宋体"/>
                <w:szCs w:val="21"/>
                <w:u w:val="singl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390" w:lineRule="exact"/>
            </w:pPr>
            <w:r>
              <w:rPr>
                <w:rFonts w:hint="eastAsia"/>
              </w:rPr>
              <w:t>评标方法：综合评分法（详细见第六章）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spacing w:line="300" w:lineRule="exact"/>
              <w:rPr>
                <w:rFonts w:ascii="宋体" w:hAnsi="宋体"/>
                <w:snapToGrid w:val="0"/>
                <w:szCs w:val="21"/>
              </w:rPr>
            </w:pPr>
            <w:r>
              <w:rPr>
                <w:rFonts w:hint="eastAsia" w:ascii="宋体" w:hAnsi="宋体"/>
                <w:szCs w:val="21"/>
              </w:rPr>
              <w:t>响应文件形式：</w:t>
            </w:r>
            <w:r>
              <w:rPr>
                <w:rFonts w:hint="eastAsia" w:ascii="宋体" w:hAnsi="宋体"/>
                <w:snapToGrid w:val="0"/>
                <w:szCs w:val="21"/>
              </w:rPr>
              <w:t>磋商供应商应准备电子响应文件。</w:t>
            </w:r>
          </w:p>
          <w:p>
            <w:pPr>
              <w:pStyle w:val="95"/>
              <w:spacing w:line="400" w:lineRule="exact"/>
              <w:rPr>
                <w:szCs w:val="21"/>
              </w:rPr>
            </w:pPr>
            <w:r>
              <w:rPr>
                <w:rFonts w:hint="eastAsia"/>
                <w:snapToGrid w:val="0"/>
                <w:szCs w:val="21"/>
              </w:rPr>
              <w:t>电子响应文件是指通过“</w:t>
            </w:r>
            <w:r>
              <w:rPr>
                <w:rFonts w:hint="eastAsia"/>
              </w:rPr>
              <w:t>广西政府采购云平台</w:t>
            </w:r>
            <w:r>
              <w:rPr>
                <w:rFonts w:hint="eastAsia"/>
                <w:snapToGrid w:val="0"/>
                <w:szCs w:val="21"/>
              </w:rPr>
              <w:t>电子投标客户端”完成响应文件编制后生成并加密的数据电文形式的电子加密响应文件。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400" w:lineRule="exact"/>
              <w:rPr>
                <w:szCs w:val="21"/>
              </w:rPr>
            </w:pPr>
            <w:r>
              <w:rPr>
                <w:rFonts w:hint="eastAsia"/>
                <w:snapToGrid w:val="0"/>
                <w:szCs w:val="21"/>
              </w:rPr>
              <w:t>响应文件的编制：供应商应先安装“政采云电子投标客户端”，并按照本竞争性磋商文件和“</w:t>
            </w:r>
            <w:r>
              <w:rPr>
                <w:rFonts w:hint="eastAsia"/>
              </w:rPr>
              <w:t>广西政府采购云平台</w:t>
            </w:r>
            <w:r>
              <w:rPr>
                <w:rFonts w:hint="eastAsia"/>
                <w:snapToGrid w:val="0"/>
                <w:szCs w:val="21"/>
              </w:rPr>
              <w:t>平台”的要求，通过“</w:t>
            </w:r>
            <w:r>
              <w:rPr>
                <w:rFonts w:hint="eastAsia"/>
              </w:rPr>
              <w:t>广西政府采购云平台</w:t>
            </w:r>
            <w:r>
              <w:rPr>
                <w:rFonts w:hint="eastAsia"/>
                <w:snapToGrid w:val="0"/>
                <w:szCs w:val="21"/>
              </w:rPr>
              <w:t>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400" w:lineRule="exact"/>
              <w:rPr>
                <w:szCs w:val="21"/>
              </w:rPr>
            </w:pPr>
            <w:r>
              <w:rPr>
                <w:rFonts w:hint="eastAsia"/>
                <w:snapToGrid w:val="0"/>
                <w:szCs w:val="21"/>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400" w:lineRule="exact"/>
              <w:rPr>
                <w:szCs w:val="21"/>
              </w:rPr>
            </w:pPr>
            <w:r>
              <w:rPr>
                <w:rFonts w:hint="eastAsia"/>
                <w:snapToGrid w:val="0"/>
                <w:szCs w:val="21"/>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400" w:lineRule="exact"/>
              <w:rPr>
                <w:szCs w:val="21"/>
              </w:rPr>
            </w:pPr>
            <w:r>
              <w:rPr>
                <w:rFonts w:hint="eastAsia"/>
                <w:snapToGrid w:val="0"/>
                <w:szCs w:val="21"/>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5"/>
              <w:numPr>
                <w:ilvl w:val="0"/>
                <w:numId w:val="3"/>
              </w:numPr>
              <w:spacing w:line="390" w:lineRule="exact"/>
              <w:jc w:val="center"/>
            </w:pPr>
          </w:p>
        </w:tc>
        <w:tc>
          <w:tcPr>
            <w:tcW w:w="8510" w:type="dxa"/>
            <w:vAlign w:val="center"/>
          </w:tcPr>
          <w:p>
            <w:pPr>
              <w:pStyle w:val="95"/>
              <w:spacing w:line="400" w:lineRule="exact"/>
              <w:rPr>
                <w:snapToGrid w:val="0"/>
                <w:szCs w:val="21"/>
              </w:rPr>
            </w:pPr>
            <w:r>
              <w:rPr>
                <w:rFonts w:hint="eastAsia"/>
                <w:snapToGrid w:val="0"/>
                <w:szCs w:val="21"/>
              </w:rPr>
              <w:t>电子加密响应文件的解密：</w:t>
            </w:r>
          </w:p>
          <w:p>
            <w:pPr>
              <w:pStyle w:val="95"/>
              <w:spacing w:line="400" w:lineRule="exact"/>
              <w:rPr>
                <w:snapToGrid w:val="0"/>
                <w:szCs w:val="21"/>
              </w:rPr>
            </w:pPr>
            <w:r>
              <w:rPr>
                <w:rFonts w:hint="eastAsia"/>
                <w:snapToGrid w:val="0"/>
                <w:szCs w:val="21"/>
              </w:rPr>
              <w:t>磋商响应文件开启后，本公司将向各参与磋商供应商发出“电子加密响应文件”的解密通知，各磋商供应商代表应当在接到解密通知后30分钟内自行完成“电子加密响应文件”的在线解密。</w:t>
            </w:r>
          </w:p>
        </w:tc>
      </w:tr>
    </w:tbl>
    <w:p>
      <w:pPr>
        <w:spacing w:line="400" w:lineRule="exact"/>
        <w:jc w:val="center"/>
        <w:rPr>
          <w:rFonts w:ascii="仿宋_GB2312" w:hAnsi="宋体" w:eastAsia="仿宋_GB2312"/>
          <w:b/>
          <w:sz w:val="32"/>
          <w:szCs w:val="32"/>
        </w:rPr>
      </w:pPr>
    </w:p>
    <w:p>
      <w:pPr>
        <w:spacing w:line="720" w:lineRule="auto"/>
        <w:jc w:val="center"/>
        <w:rPr>
          <w:rFonts w:ascii="宋体" w:hAnsi="宋体"/>
          <w:b/>
          <w:sz w:val="32"/>
          <w:szCs w:val="32"/>
        </w:rPr>
      </w:pPr>
      <w:r>
        <w:rPr>
          <w:rFonts w:ascii="仿宋_GB2312" w:hAnsi="宋体" w:eastAsia="仿宋_GB2312"/>
          <w:b/>
          <w:sz w:val="32"/>
          <w:szCs w:val="32"/>
        </w:rPr>
        <w:br w:type="page"/>
      </w:r>
      <w:r>
        <w:rPr>
          <w:rFonts w:hint="eastAsia" w:ascii="宋体" w:hAnsi="宋体"/>
          <w:b/>
          <w:sz w:val="32"/>
          <w:szCs w:val="32"/>
        </w:rPr>
        <w:t>磋商供应商须知</w:t>
      </w:r>
    </w:p>
    <w:p>
      <w:pPr>
        <w:spacing w:line="400" w:lineRule="exact"/>
        <w:ind w:firstLine="422" w:firstLineChars="200"/>
        <w:rPr>
          <w:rFonts w:ascii="宋体" w:hAnsi="宋体"/>
          <w:b/>
          <w:szCs w:val="21"/>
        </w:rPr>
      </w:pPr>
      <w:r>
        <w:rPr>
          <w:rFonts w:hint="eastAsia" w:ascii="宋体" w:hAnsi="宋体"/>
          <w:b/>
          <w:szCs w:val="21"/>
        </w:rPr>
        <w:t>一、总　则</w:t>
      </w:r>
    </w:p>
    <w:p>
      <w:pPr>
        <w:spacing w:line="340" w:lineRule="exact"/>
        <w:jc w:val="center"/>
        <w:rPr>
          <w:rFonts w:ascii="仿宋_GB2312" w:hAnsi="宋体" w:eastAsia="仿宋_GB2312"/>
          <w:b/>
          <w:sz w:val="32"/>
          <w:szCs w:val="32"/>
        </w:rPr>
      </w:pPr>
    </w:p>
    <w:p>
      <w:pPr>
        <w:spacing w:line="400" w:lineRule="exact"/>
        <w:ind w:firstLine="420" w:firstLineChars="200"/>
        <w:rPr>
          <w:rFonts w:ascii="宋体" w:hAnsi="宋体"/>
          <w:szCs w:val="21"/>
        </w:rPr>
      </w:pPr>
      <w:r>
        <w:rPr>
          <w:rFonts w:hint="eastAsia" w:ascii="宋体" w:hAnsi="宋体"/>
          <w:szCs w:val="21"/>
        </w:rPr>
        <w:t>1. 适用范围</w:t>
      </w:r>
    </w:p>
    <w:p>
      <w:pPr>
        <w:spacing w:line="400" w:lineRule="exact"/>
        <w:ind w:firstLine="420" w:firstLineChars="200"/>
        <w:rPr>
          <w:rFonts w:ascii="宋体" w:hAnsi="宋体"/>
          <w:szCs w:val="21"/>
        </w:rPr>
      </w:pPr>
      <w:r>
        <w:rPr>
          <w:rFonts w:hint="eastAsia" w:ascii="宋体" w:hAnsi="宋体"/>
          <w:szCs w:val="21"/>
        </w:rPr>
        <w:t>本文件仅适用于本文件中所叙述的</w:t>
      </w:r>
      <w:r>
        <w:rPr>
          <w:rFonts w:hint="eastAsia" w:ascii="宋体" w:hAnsi="宋体"/>
          <w:b/>
          <w:szCs w:val="21"/>
        </w:rPr>
        <w:t>服务类</w:t>
      </w:r>
      <w:r>
        <w:rPr>
          <w:rFonts w:hint="eastAsia" w:ascii="宋体" w:hAnsi="宋体"/>
          <w:szCs w:val="21"/>
        </w:rPr>
        <w:t>政府采购项目。</w:t>
      </w:r>
    </w:p>
    <w:p>
      <w:pPr>
        <w:spacing w:line="400" w:lineRule="exact"/>
        <w:ind w:firstLine="420" w:firstLineChars="200"/>
        <w:rPr>
          <w:rFonts w:ascii="宋体" w:hAnsi="宋体"/>
          <w:szCs w:val="21"/>
        </w:rPr>
      </w:pPr>
      <w:r>
        <w:rPr>
          <w:rFonts w:hint="eastAsia" w:ascii="宋体" w:hAnsi="宋体"/>
          <w:szCs w:val="21"/>
        </w:rPr>
        <w:t>2. 定义</w:t>
      </w:r>
    </w:p>
    <w:p>
      <w:pPr>
        <w:spacing w:line="400" w:lineRule="exact"/>
        <w:ind w:firstLine="420" w:firstLineChars="200"/>
        <w:rPr>
          <w:rFonts w:ascii="宋体" w:hAnsi="宋体"/>
          <w:szCs w:val="21"/>
        </w:rPr>
      </w:pPr>
      <w:r>
        <w:rPr>
          <w:rFonts w:hint="eastAsia" w:ascii="宋体" w:hAnsi="宋体"/>
          <w:szCs w:val="21"/>
        </w:rPr>
        <w:t>2.1“采购人”是</w:t>
      </w:r>
      <w:r>
        <w:rPr>
          <w:rFonts w:hint="eastAsia" w:hAnsi="宋体"/>
        </w:rPr>
        <w:t>指组织本次采购的采购单位</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2.2“采购代理机构”是指：天勤工程咨询有限公司</w:t>
      </w:r>
      <w:r>
        <w:rPr>
          <w:rFonts w:hint="eastAsia"/>
        </w:rPr>
        <w:t>。</w:t>
      </w:r>
    </w:p>
    <w:p>
      <w:pPr>
        <w:spacing w:line="400" w:lineRule="exact"/>
        <w:ind w:firstLine="420" w:firstLineChars="200"/>
        <w:rPr>
          <w:rFonts w:ascii="宋体" w:hAnsi="宋体"/>
          <w:szCs w:val="21"/>
        </w:rPr>
      </w:pPr>
      <w:r>
        <w:rPr>
          <w:rFonts w:hint="eastAsia" w:ascii="宋体" w:hAnsi="宋体"/>
          <w:szCs w:val="21"/>
        </w:rPr>
        <w:t>2.3“磋商供应商”是指响应本文件要求，参加磋商的法人或者其他组织和自然人。如果该供应商在本次磋商中成交,即成为“成交供应商”。</w:t>
      </w:r>
    </w:p>
    <w:p>
      <w:pPr>
        <w:spacing w:line="40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00" w:lineRule="exact"/>
        <w:ind w:firstLine="420" w:firstLineChars="200"/>
        <w:rPr>
          <w:rFonts w:ascii="宋体" w:hAnsi="宋体"/>
          <w:szCs w:val="21"/>
        </w:rPr>
      </w:pPr>
      <w:r>
        <w:rPr>
          <w:rFonts w:hint="eastAsia" w:ascii="宋体" w:hAnsi="宋体"/>
          <w:szCs w:val="21"/>
        </w:rPr>
        <w:t>2.5“服务”是指除货物和工程以外的其他政府采购对象。</w:t>
      </w:r>
    </w:p>
    <w:p>
      <w:pPr>
        <w:spacing w:line="400" w:lineRule="exact"/>
        <w:ind w:firstLine="420" w:firstLineChars="200"/>
        <w:rPr>
          <w:rFonts w:ascii="宋体" w:hAnsi="宋体"/>
          <w:szCs w:val="21"/>
        </w:rPr>
      </w:pPr>
      <w:r>
        <w:rPr>
          <w:rFonts w:hint="eastAsia" w:ascii="宋体" w:hAnsi="宋体"/>
          <w:szCs w:val="21"/>
        </w:rPr>
        <w:t>2.6“竞争性磋商响应文件”是指：供应商根据本文件要求，编制包含报价、技术和服务等所有内容的文件。</w:t>
      </w:r>
    </w:p>
    <w:p>
      <w:pPr>
        <w:spacing w:line="400" w:lineRule="exact"/>
        <w:ind w:firstLine="420" w:firstLineChars="200"/>
        <w:rPr>
          <w:rFonts w:ascii="宋体" w:hAnsi="宋体"/>
          <w:szCs w:val="21"/>
        </w:rPr>
      </w:pPr>
      <w:r>
        <w:rPr>
          <w:rFonts w:hint="eastAsia" w:ascii="宋体" w:hAnsi="宋体"/>
          <w:szCs w:val="21"/>
        </w:rPr>
        <w:t>3. 磋商供应商的基本条件：详见须知前附表。</w:t>
      </w:r>
    </w:p>
    <w:p>
      <w:pPr>
        <w:spacing w:line="400" w:lineRule="exact"/>
        <w:ind w:firstLine="420" w:firstLineChars="200"/>
        <w:rPr>
          <w:rFonts w:ascii="宋体" w:hAnsi="宋体"/>
          <w:szCs w:val="21"/>
        </w:rPr>
      </w:pPr>
      <w:r>
        <w:rPr>
          <w:rFonts w:hint="eastAsia" w:ascii="宋体" w:hAnsi="宋体"/>
          <w:szCs w:val="21"/>
        </w:rPr>
        <w:t>4. 磋商费用、代理服务费</w:t>
      </w:r>
    </w:p>
    <w:p>
      <w:pPr>
        <w:spacing w:line="400" w:lineRule="exact"/>
        <w:ind w:firstLine="420" w:firstLineChars="200"/>
        <w:rPr>
          <w:rFonts w:ascii="宋体" w:hAnsi="宋体"/>
          <w:szCs w:val="21"/>
        </w:rPr>
      </w:pPr>
      <w:r>
        <w:rPr>
          <w:rFonts w:hint="eastAsia" w:ascii="宋体" w:hAnsi="宋体"/>
          <w:szCs w:val="21"/>
        </w:rPr>
        <w:t>4.1磋商供应商应自行承担所有与编写和提交竞争性磋商响应文件有关的费用，不论磋商结果如何，采购人和天勤工程咨询有限公司在任何情况下无义务和责任承担此类费用。</w:t>
      </w:r>
    </w:p>
    <w:p>
      <w:pPr>
        <w:spacing w:line="400" w:lineRule="exact"/>
        <w:ind w:firstLine="420" w:firstLineChars="200"/>
        <w:rPr>
          <w:rFonts w:ascii="宋体" w:hAnsi="宋体"/>
          <w:szCs w:val="21"/>
        </w:rPr>
      </w:pPr>
      <w:r>
        <w:rPr>
          <w:rFonts w:hint="eastAsia" w:ascii="宋体" w:hAnsi="宋体"/>
          <w:szCs w:val="21"/>
        </w:rPr>
        <w:t>4.2本项目的代理服务费按须知前附表的规定执行，由成交供应商在发布成交结果公告后，一次性向采购代理机构支付。</w:t>
      </w:r>
    </w:p>
    <w:p>
      <w:pPr>
        <w:spacing w:line="400" w:lineRule="exact"/>
        <w:ind w:firstLine="422" w:firstLineChars="200"/>
        <w:rPr>
          <w:rFonts w:ascii="宋体" w:hAnsi="宋体"/>
          <w:szCs w:val="21"/>
        </w:rPr>
      </w:pPr>
      <w:r>
        <w:rPr>
          <w:rFonts w:hint="eastAsia"/>
          <w:b/>
          <w:bCs/>
        </w:rPr>
        <w:t xml:space="preserve">5. </w:t>
      </w:r>
      <w:r>
        <w:rPr>
          <w:rFonts w:hint="eastAsia" w:ascii="宋体" w:hAnsi="宋体"/>
          <w:b/>
          <w:szCs w:val="21"/>
        </w:rPr>
        <w:t>竞争性</w:t>
      </w:r>
      <w:r>
        <w:rPr>
          <w:rFonts w:hint="eastAsia" w:hAnsi="宋体"/>
          <w:b/>
        </w:rPr>
        <w:t>磋商文件的澄清和修改：</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5.1供应商应认真阅读磋商文件，供应商认为采购文件使自己的权益受到损害的，供应商必须在获取竞争性磋商文件之日起7个工作日内，以书面形式向采购人、采购代理机构提出，</w:t>
      </w:r>
      <w:r>
        <w:rPr>
          <w:rFonts w:hint="eastAsia" w:ascii="宋体" w:hAnsi="宋体"/>
        </w:rPr>
        <w:t>供应商在法定质疑期内必须一次性提出针对同一采购程序环节的质疑</w:t>
      </w:r>
      <w:r>
        <w:rPr>
          <w:rFonts w:hint="eastAsia" w:ascii="宋体" w:hAnsi="宋体" w:cs="Courier New"/>
          <w:szCs w:val="21"/>
        </w:rPr>
        <w:t>。</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5.2供应商提出质疑应当提交质疑函和必要的证明材料。质疑函应当包括下列内容：</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（1）供应商的姓名或者名称、地址、邮编、联系人及联系电话；</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（2）质疑项目的名称、编号；</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（3）具体、明确的质疑事项和与质疑事项相关的请求；</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（4）事实依据；</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（5）必要的法律依据；</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（6）提出质疑的日期。</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供应商为自然人的，应当由本人签字；供应商为法人或者其他组织的，应当由法定代表人、主要负责人，或者其授权代表签字或者盖章，并加盖公章。</w:t>
      </w:r>
    </w:p>
    <w:p>
      <w:pPr>
        <w:widowControl/>
        <w:wordWrap w:val="0"/>
        <w:spacing w:line="400" w:lineRule="exact"/>
        <w:ind w:firstLine="420"/>
        <w:jc w:val="left"/>
        <w:rPr>
          <w:rFonts w:ascii="宋体" w:hAnsi="宋体" w:cs="Courier New"/>
          <w:szCs w:val="21"/>
        </w:rPr>
      </w:pPr>
      <w:r>
        <w:rPr>
          <w:rFonts w:hint="eastAsia" w:ascii="宋体" w:hAnsi="宋体" w:cs="Courier New"/>
          <w:szCs w:val="21"/>
        </w:rPr>
        <w:t>5.3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pPr>
        <w:spacing w:line="400" w:lineRule="exact"/>
        <w:ind w:firstLine="420" w:firstLineChars="200"/>
        <w:rPr>
          <w:rFonts w:ascii="宋体" w:hAnsi="宋体"/>
          <w:szCs w:val="21"/>
        </w:rPr>
      </w:pPr>
      <w:r>
        <w:rPr>
          <w:rFonts w:hint="eastAsia" w:ascii="宋体" w:hAnsi="宋体"/>
          <w:szCs w:val="20"/>
        </w:rPr>
        <w:t>5.4磋商</w:t>
      </w:r>
      <w:r>
        <w:rPr>
          <w:rFonts w:hint="eastAsia" w:ascii="宋体" w:hAnsi="宋体"/>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pPr>
        <w:spacing w:line="400" w:lineRule="exact"/>
        <w:ind w:firstLine="422" w:firstLineChars="200"/>
        <w:rPr>
          <w:rFonts w:ascii="宋体" w:hAnsi="宋体"/>
          <w:b/>
          <w:szCs w:val="21"/>
        </w:rPr>
      </w:pPr>
      <w:r>
        <w:rPr>
          <w:rFonts w:hint="eastAsia" w:ascii="宋体" w:hAnsi="宋体"/>
          <w:b/>
          <w:szCs w:val="21"/>
        </w:rPr>
        <w:t>二、竞争性磋商响应文件的编制</w:t>
      </w:r>
    </w:p>
    <w:p>
      <w:pPr>
        <w:spacing w:line="400" w:lineRule="exact"/>
        <w:ind w:firstLine="420" w:firstLineChars="200"/>
        <w:rPr>
          <w:rFonts w:ascii="宋体" w:hAnsi="宋体"/>
          <w:szCs w:val="21"/>
        </w:rPr>
      </w:pPr>
      <w:r>
        <w:rPr>
          <w:rFonts w:hint="eastAsia" w:ascii="宋体" w:hAnsi="宋体"/>
          <w:szCs w:val="21"/>
        </w:rPr>
        <w:t>6. 竞争性磋商响应文件编制基本要求</w:t>
      </w:r>
    </w:p>
    <w:p>
      <w:pPr>
        <w:spacing w:line="400" w:lineRule="exact"/>
        <w:ind w:firstLine="420" w:firstLineChars="200"/>
        <w:rPr>
          <w:rFonts w:ascii="宋体" w:hAnsi="宋体"/>
          <w:szCs w:val="21"/>
        </w:rPr>
      </w:pPr>
      <w:r>
        <w:rPr>
          <w:rFonts w:hint="eastAsia" w:ascii="宋体" w:hAnsi="宋体"/>
          <w:szCs w:val="21"/>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00" w:lineRule="exact"/>
        <w:ind w:firstLine="420" w:firstLineChars="200"/>
        <w:rPr>
          <w:rFonts w:ascii="宋体" w:hAnsi="宋体"/>
          <w:szCs w:val="21"/>
        </w:rPr>
      </w:pPr>
      <w:r>
        <w:rPr>
          <w:rFonts w:hint="eastAsia" w:ascii="宋体" w:hAnsi="宋体"/>
          <w:szCs w:val="21"/>
        </w:rPr>
        <w:t>6.2响应文件须由磋商供应商在规定位置盖章并由法定代表人或法定代表人的授权委托人签署，磋商供应商应写全称。</w:t>
      </w:r>
    </w:p>
    <w:p>
      <w:pPr>
        <w:spacing w:line="400" w:lineRule="exact"/>
        <w:ind w:firstLine="420" w:firstLineChars="200"/>
        <w:rPr>
          <w:rFonts w:ascii="宋体" w:hAnsi="宋体"/>
          <w:szCs w:val="21"/>
        </w:rPr>
      </w:pPr>
      <w:r>
        <w:rPr>
          <w:rFonts w:hint="eastAsia" w:ascii="宋体" w:hAnsi="宋体"/>
          <w:szCs w:val="21"/>
        </w:rPr>
        <w:t>6.3响应文件不得涂改，若有修改错漏处，须加盖单位公章或者法定代表人或授权委托人签字或盖章。响应文件因扫描不清晰或乱码或表达不清所引起的后果由磋商供应商负责。</w:t>
      </w:r>
    </w:p>
    <w:p>
      <w:pPr>
        <w:spacing w:line="400" w:lineRule="exact"/>
        <w:ind w:firstLine="420" w:firstLineChars="200"/>
        <w:rPr>
          <w:rFonts w:ascii="宋体" w:hAnsi="宋体"/>
          <w:szCs w:val="21"/>
          <w:highlight w:val="yellow"/>
        </w:rPr>
      </w:pPr>
      <w:r>
        <w:rPr>
          <w:rFonts w:hint="eastAsia" w:ascii="宋体" w:hAnsi="宋体"/>
          <w:szCs w:val="21"/>
        </w:rPr>
        <w:t>6.4竞争性磋商响应文件的组成：竞争性磋商响应文件应分为价格文件和商务技术文件两个部分组成</w:t>
      </w:r>
      <w:r>
        <w:rPr>
          <w:rFonts w:hint="eastAsia" w:ascii="宋体"/>
          <w:b/>
          <w:szCs w:val="21"/>
        </w:rPr>
        <w:t>（扫描件或其他电子文件）</w:t>
      </w:r>
      <w:r>
        <w:rPr>
          <w:rFonts w:hint="eastAsia" w:ascii="宋体" w:hAnsi="宋体"/>
          <w:szCs w:val="21"/>
        </w:rPr>
        <w:t>。</w:t>
      </w:r>
      <w:r>
        <w:rPr>
          <w:rFonts w:hint="eastAsia" w:ascii="宋体" w:hAnsi="宋体"/>
          <w:b/>
          <w:szCs w:val="21"/>
        </w:rPr>
        <w:t>（以下文件要求必须提供的文件如未提供，磋商小组有权拒绝其竞争性磋商响应文件）</w:t>
      </w:r>
    </w:p>
    <w:p>
      <w:pPr>
        <w:spacing w:line="400" w:lineRule="exact"/>
        <w:ind w:firstLine="422" w:firstLineChars="200"/>
        <w:rPr>
          <w:rFonts w:ascii="宋体" w:hAnsi="宋体"/>
          <w:b/>
          <w:szCs w:val="21"/>
        </w:rPr>
      </w:pPr>
      <w:r>
        <w:rPr>
          <w:rFonts w:hint="eastAsia" w:ascii="宋体" w:hAnsi="宋体"/>
          <w:b/>
          <w:szCs w:val="21"/>
        </w:rPr>
        <w:t>6.4.1价格文件</w:t>
      </w:r>
    </w:p>
    <w:p>
      <w:pPr>
        <w:spacing w:line="400" w:lineRule="exact"/>
        <w:ind w:firstLine="420" w:firstLineChars="200"/>
        <w:rPr>
          <w:rFonts w:ascii="宋体" w:hAnsi="宋体"/>
          <w:b/>
          <w:szCs w:val="21"/>
        </w:rPr>
      </w:pPr>
      <w:r>
        <w:rPr>
          <w:rFonts w:hint="eastAsia" w:ascii="宋体" w:hAnsi="宋体"/>
          <w:szCs w:val="21"/>
        </w:rPr>
        <w:t>1）报价表；（附件一）</w:t>
      </w:r>
      <w:r>
        <w:rPr>
          <w:rFonts w:hint="eastAsia" w:ascii="宋体" w:hAnsi="宋体"/>
          <w:b/>
          <w:szCs w:val="21"/>
        </w:rPr>
        <w:t>[必须提供]</w:t>
      </w:r>
    </w:p>
    <w:p>
      <w:pPr>
        <w:spacing w:line="400" w:lineRule="exact"/>
        <w:ind w:firstLine="422" w:firstLineChars="200"/>
        <w:rPr>
          <w:rFonts w:ascii="宋体" w:hAnsi="宋体"/>
          <w:szCs w:val="21"/>
        </w:rPr>
      </w:pPr>
      <w:r>
        <w:rPr>
          <w:rFonts w:hint="eastAsia" w:ascii="宋体" w:hAnsi="宋体"/>
          <w:b/>
          <w:szCs w:val="21"/>
        </w:rPr>
        <w:t>6.4.2商务技术文件</w:t>
      </w:r>
    </w:p>
    <w:p>
      <w:pPr>
        <w:spacing w:line="400" w:lineRule="exact"/>
        <w:ind w:firstLine="420" w:firstLineChars="200"/>
        <w:rPr>
          <w:rFonts w:ascii="宋体" w:hAnsi="宋体"/>
          <w:szCs w:val="21"/>
        </w:rPr>
      </w:pPr>
      <w:r>
        <w:rPr>
          <w:rFonts w:hint="eastAsia" w:ascii="宋体" w:hAnsi="宋体"/>
          <w:szCs w:val="21"/>
        </w:rPr>
        <w:t>1）磋商书及磋商声明书；（附件二）</w:t>
      </w:r>
      <w:r>
        <w:rPr>
          <w:rFonts w:hint="eastAsia" w:ascii="宋体" w:hAnsi="宋体"/>
          <w:b/>
          <w:szCs w:val="21"/>
        </w:rPr>
        <w:t>[必须提供]</w:t>
      </w:r>
    </w:p>
    <w:p>
      <w:pPr>
        <w:spacing w:line="400" w:lineRule="exact"/>
        <w:ind w:firstLine="420" w:firstLineChars="200"/>
        <w:rPr>
          <w:rFonts w:ascii="宋体" w:hAnsi="宋体"/>
          <w:szCs w:val="21"/>
        </w:rPr>
      </w:pPr>
      <w:r>
        <w:rPr>
          <w:rFonts w:hint="eastAsia" w:ascii="宋体" w:hAnsi="宋体"/>
          <w:szCs w:val="21"/>
        </w:rPr>
        <w:t>2）商务、服务响应、偏离情况说明表；（附件三）</w:t>
      </w:r>
      <w:r>
        <w:rPr>
          <w:rFonts w:hint="eastAsia" w:ascii="宋体" w:hAnsi="宋体"/>
          <w:b/>
          <w:szCs w:val="21"/>
        </w:rPr>
        <w:t>[必须提供]</w:t>
      </w:r>
    </w:p>
    <w:p>
      <w:pPr>
        <w:snapToGrid w:val="0"/>
        <w:spacing w:line="360" w:lineRule="exact"/>
        <w:ind w:firstLine="411" w:firstLineChars="196"/>
        <w:jc w:val="left"/>
        <w:rPr>
          <w:rFonts w:ascii="宋体" w:hAnsi="宋体"/>
          <w:szCs w:val="21"/>
        </w:rPr>
      </w:pPr>
      <w:r>
        <w:rPr>
          <w:rFonts w:hint="eastAsia" w:ascii="宋体" w:hAnsi="宋体"/>
          <w:szCs w:val="21"/>
        </w:rPr>
        <w:t>3）法定代表人身份证正、反面复印件；</w:t>
      </w:r>
      <w:r>
        <w:rPr>
          <w:rFonts w:hint="eastAsia" w:ascii="宋体" w:hAnsi="宋体"/>
          <w:b/>
          <w:szCs w:val="21"/>
        </w:rPr>
        <w:t>[必须提供]</w:t>
      </w: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4）法定代表人授权委托书</w:t>
      </w:r>
      <w:r>
        <w:rPr>
          <w:rFonts w:hint="eastAsia" w:ascii="宋体" w:hAnsi="宋体"/>
        </w:rPr>
        <w:t>和委托代理人身份证正、反面复印件</w:t>
      </w:r>
      <w:r>
        <w:rPr>
          <w:rFonts w:hint="eastAsia" w:ascii="宋体" w:hAnsi="宋体"/>
          <w:szCs w:val="21"/>
        </w:rPr>
        <w:t>；（附件四）</w:t>
      </w:r>
      <w:r>
        <w:rPr>
          <w:rFonts w:hint="eastAsia" w:ascii="宋体" w:hAnsi="宋体"/>
          <w:b/>
        </w:rPr>
        <w:t xml:space="preserve"> [委托代理时</w:t>
      </w:r>
      <w:r>
        <w:rPr>
          <w:rFonts w:hint="eastAsia" w:ascii="宋体" w:hAnsi="宋体"/>
          <w:b/>
          <w:bCs/>
        </w:rPr>
        <w:t>必须提供</w:t>
      </w:r>
      <w:r>
        <w:rPr>
          <w:rFonts w:hint="eastAsia" w:ascii="宋体" w:hAnsi="宋体"/>
          <w:b/>
        </w:rPr>
        <w:t>]</w:t>
      </w: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5）有效的主体资格证明文件；</w:t>
      </w:r>
    </w:p>
    <w:p>
      <w:pPr>
        <w:spacing w:line="400" w:lineRule="exact"/>
        <w:ind w:firstLine="420" w:firstLineChars="200"/>
        <w:rPr>
          <w:rFonts w:hAnsi="宋体"/>
          <w:b/>
        </w:rPr>
      </w:pPr>
      <w:r>
        <w:rPr>
          <w:rFonts w:hint="eastAsia" w:hAnsi="宋体"/>
        </w:rPr>
        <w:t>磋商供应商有效的</w:t>
      </w:r>
      <w:r>
        <w:rPr>
          <w:rFonts w:hint="eastAsia" w:ascii="宋体" w:hAnsi="宋体"/>
        </w:rPr>
        <w:t>“主体资格证明文件”复印件（如营业执照、事业单位法人证书、执业许可证、自然人身份证等）</w:t>
      </w:r>
      <w:r>
        <w:rPr>
          <w:rFonts w:hint="eastAsia" w:hAnsi="宋体"/>
        </w:rPr>
        <w:t>；</w:t>
      </w:r>
      <w:r>
        <w:rPr>
          <w:rFonts w:hint="eastAsia" w:hAnsi="宋体"/>
          <w:b/>
        </w:rPr>
        <w:t xml:space="preserve">[必须提供] </w:t>
      </w:r>
    </w:p>
    <w:p>
      <w:pPr>
        <w:spacing w:line="400" w:lineRule="exact"/>
        <w:ind w:firstLine="420" w:firstLineChars="200"/>
        <w:rPr>
          <w:rFonts w:ascii="宋体" w:hAnsi="宋体"/>
          <w:szCs w:val="21"/>
        </w:rPr>
      </w:pPr>
      <w:r>
        <w:rPr>
          <w:rFonts w:hint="eastAsia" w:ascii="宋体" w:hAnsi="宋体"/>
          <w:szCs w:val="21"/>
        </w:rPr>
        <w:t>6）财务状况报告；[</w:t>
      </w:r>
      <w:r>
        <w:rPr>
          <w:rFonts w:hint="eastAsia" w:ascii="宋体" w:hAnsi="宋体"/>
          <w:b/>
          <w:szCs w:val="21"/>
        </w:rPr>
        <w:t>格式自拟，</w:t>
      </w:r>
      <w:r>
        <w:rPr>
          <w:rFonts w:hint="eastAsia" w:ascii="宋体" w:hAnsi="宋体"/>
          <w:b/>
          <w:bCs/>
          <w:szCs w:val="21"/>
        </w:rPr>
        <w:t>必须提供</w:t>
      </w:r>
      <w:r>
        <w:rPr>
          <w:rFonts w:hAnsi="宋体"/>
        </w:rPr>
        <w:t>]</w:t>
      </w:r>
      <w:r>
        <w:rPr>
          <w:rFonts w:hint="eastAsia" w:ascii="宋体" w:hAnsi="宋体"/>
          <w:szCs w:val="21"/>
        </w:rPr>
        <w:t xml:space="preserve"> </w:t>
      </w:r>
    </w:p>
    <w:p>
      <w:pPr>
        <w:snapToGrid w:val="0"/>
        <w:spacing w:line="360" w:lineRule="exact"/>
        <w:ind w:firstLine="411" w:firstLineChars="196"/>
        <w:jc w:val="left"/>
        <w:rPr>
          <w:rFonts w:ascii="宋体" w:hAnsi="宋体"/>
          <w:szCs w:val="21"/>
        </w:rPr>
      </w:pPr>
      <w:r>
        <w:rPr>
          <w:rFonts w:hint="eastAsia" w:ascii="宋体" w:hAnsi="宋体"/>
          <w:szCs w:val="21"/>
        </w:rPr>
        <w:t xml:space="preserve">7）响应文件递交截止之日前一年内磋商供应商连续三个月的依法缴纳税费或依法免缴税费的证明复印件；无纳税记录的，应提供由磋商供应商所在地的税务部门出具的《依法纳税或依法免税证明》复印件； </w:t>
      </w:r>
      <w:r>
        <w:rPr>
          <w:rFonts w:hint="eastAsia" w:ascii="宋体" w:hAnsi="宋体"/>
          <w:b/>
        </w:rPr>
        <w:t>（必须提供，新成立单位按实际提供）</w:t>
      </w:r>
    </w:p>
    <w:p>
      <w:pPr>
        <w:snapToGrid w:val="0"/>
        <w:spacing w:line="360" w:lineRule="exact"/>
        <w:ind w:firstLine="411" w:firstLineChars="196"/>
        <w:jc w:val="left"/>
        <w:rPr>
          <w:rFonts w:ascii="宋体" w:hAnsi="宋体"/>
          <w:szCs w:val="21"/>
        </w:rPr>
      </w:pPr>
      <w:r>
        <w:rPr>
          <w:rFonts w:hint="eastAsia" w:ascii="宋体" w:hAnsi="宋体"/>
          <w:szCs w:val="21"/>
        </w:rPr>
        <w:t>8）响应文件递交截止之日前一年内磋商供应商连续三个月的依法缴纳社保费的缴费凭证复印件</w:t>
      </w:r>
      <w:r>
        <w:rPr>
          <w:rFonts w:hint="eastAsia" w:ascii="宋体" w:hAnsi="宋体"/>
          <w:b/>
          <w:szCs w:val="21"/>
        </w:rPr>
        <w:t>；</w:t>
      </w:r>
      <w:r>
        <w:rPr>
          <w:rFonts w:hint="eastAsia" w:ascii="宋体" w:hAnsi="宋体"/>
          <w:szCs w:val="21"/>
        </w:rPr>
        <w:t>无缴费记录的，应提供由磋商供应商所在地社保等相关部门出具的《依法缴纳或依法免缴社保费证明》复印件；</w:t>
      </w:r>
      <w:r>
        <w:rPr>
          <w:rFonts w:hint="eastAsia" w:ascii="宋体" w:hAnsi="宋体"/>
          <w:b/>
        </w:rPr>
        <w:t>（必须提供，新成立单位按实际提供）</w:t>
      </w:r>
    </w:p>
    <w:p>
      <w:pPr>
        <w:snapToGrid w:val="0"/>
        <w:spacing w:line="360" w:lineRule="exact"/>
        <w:ind w:firstLine="411" w:firstLineChars="196"/>
        <w:jc w:val="left"/>
        <w:rPr>
          <w:rFonts w:ascii="宋体" w:hAnsi="宋体"/>
          <w:szCs w:val="21"/>
        </w:rPr>
      </w:pPr>
      <w:r>
        <w:rPr>
          <w:rFonts w:hint="eastAsia" w:ascii="宋体" w:hAnsi="宋体"/>
          <w:szCs w:val="21"/>
        </w:rPr>
        <w:t>9）</w:t>
      </w:r>
      <w:r>
        <w:rPr>
          <w:rFonts w:ascii="宋体" w:hAnsi="宋体"/>
          <w:bCs/>
          <w:szCs w:val="21"/>
        </w:rPr>
        <w:t>具</w:t>
      </w:r>
      <w:r>
        <w:rPr>
          <w:rFonts w:ascii="宋体" w:hAnsi="宋体"/>
          <w:szCs w:val="21"/>
        </w:rPr>
        <w:t>备履行合同所必需的设备和专业技术能力的证明材料</w:t>
      </w:r>
      <w:r>
        <w:rPr>
          <w:rFonts w:hint="eastAsia" w:ascii="宋体" w:hAnsi="宋体" w:cs="宋体"/>
          <w:kern w:val="0"/>
          <w:szCs w:val="21"/>
        </w:rPr>
        <w:t>；</w:t>
      </w:r>
      <w:r>
        <w:rPr>
          <w:rFonts w:hint="eastAsia" w:ascii="宋体" w:hAnsi="宋体"/>
          <w:b/>
          <w:szCs w:val="21"/>
        </w:rPr>
        <w:t>[格式自拟，必须提供]</w:t>
      </w:r>
    </w:p>
    <w:p>
      <w:pPr>
        <w:wordWrap w:val="0"/>
        <w:snapToGrid w:val="0"/>
        <w:spacing w:line="360" w:lineRule="exact"/>
        <w:ind w:firstLine="411" w:firstLineChars="196"/>
        <w:jc w:val="left"/>
        <w:rPr>
          <w:rFonts w:ascii="宋体" w:hAnsi="宋体"/>
          <w:b/>
          <w:szCs w:val="21"/>
        </w:rPr>
      </w:pPr>
      <w:r>
        <w:rPr>
          <w:rFonts w:hint="eastAsia" w:ascii="宋体" w:hAnsi="宋体"/>
          <w:szCs w:val="21"/>
        </w:rPr>
        <w:t>10）</w:t>
      </w:r>
      <w:r>
        <w:rPr>
          <w:rFonts w:ascii="宋体" w:hAnsi="宋体" w:cs="宋体"/>
          <w:kern w:val="0"/>
          <w:szCs w:val="21"/>
        </w:rPr>
        <w:t>参加政府采购活动前</w:t>
      </w:r>
      <w:r>
        <w:rPr>
          <w:rFonts w:hint="eastAsia" w:ascii="宋体" w:hAnsi="宋体" w:cs="宋体"/>
          <w:kern w:val="0"/>
          <w:szCs w:val="21"/>
        </w:rPr>
        <w:t>三</w:t>
      </w:r>
      <w:r>
        <w:rPr>
          <w:rFonts w:ascii="宋体" w:hAnsi="宋体" w:cs="宋体"/>
          <w:kern w:val="0"/>
          <w:szCs w:val="21"/>
        </w:rPr>
        <w:t>年内在经营活动中没有重大违法记录和不良信用记录的书面声明</w:t>
      </w:r>
      <w:r>
        <w:rPr>
          <w:rFonts w:hint="eastAsia" w:ascii="Arial" w:hAnsi="Arial" w:cs="Arial"/>
          <w:kern w:val="0"/>
          <w:sz w:val="24"/>
        </w:rPr>
        <w:t>；</w:t>
      </w:r>
      <w:r>
        <w:rPr>
          <w:rFonts w:hint="eastAsia" w:ascii="宋体" w:hAnsi="宋体"/>
          <w:b/>
          <w:szCs w:val="21"/>
        </w:rPr>
        <w:t>[格式自拟，必须提供]</w:t>
      </w:r>
    </w:p>
    <w:p>
      <w:pPr>
        <w:wordWrap w:val="0"/>
        <w:snapToGrid w:val="0"/>
        <w:spacing w:line="360" w:lineRule="exact"/>
        <w:ind w:firstLine="413" w:firstLineChars="196"/>
        <w:jc w:val="left"/>
        <w:rPr>
          <w:rFonts w:ascii="宋体" w:hAnsi="宋体"/>
          <w:b/>
          <w:szCs w:val="21"/>
        </w:rPr>
      </w:pPr>
      <w:r>
        <w:rPr>
          <w:rFonts w:hint="eastAsia" w:ascii="宋体" w:hAnsi="宋体"/>
          <w:b/>
          <w:szCs w:val="21"/>
        </w:rPr>
        <w:t>注：采购人或采购代理机构在资格审查结束前对供应商进行信用查询</w:t>
      </w:r>
    </w:p>
    <w:p>
      <w:pPr>
        <w:wordWrap w:val="0"/>
        <w:snapToGrid w:val="0"/>
        <w:spacing w:line="360" w:lineRule="exact"/>
        <w:ind w:firstLine="413" w:firstLineChars="196"/>
        <w:jc w:val="left"/>
        <w:rPr>
          <w:rFonts w:ascii="宋体" w:hAnsi="宋体"/>
          <w:b/>
          <w:szCs w:val="21"/>
        </w:rPr>
      </w:pPr>
      <w:r>
        <w:rPr>
          <w:rFonts w:hint="eastAsia" w:ascii="宋体" w:hAnsi="宋体"/>
          <w:b/>
          <w:szCs w:val="21"/>
        </w:rPr>
        <w:t>查询渠道：“信用中国”网站(www.creditchina.gov.cn) 、中国政府采购网(www.ccgp.gov.cn)</w:t>
      </w:r>
    </w:p>
    <w:p>
      <w:pPr>
        <w:wordWrap w:val="0"/>
        <w:snapToGrid w:val="0"/>
        <w:spacing w:line="360" w:lineRule="exact"/>
        <w:ind w:firstLine="413" w:firstLineChars="196"/>
        <w:jc w:val="left"/>
        <w:rPr>
          <w:rFonts w:ascii="宋体" w:hAnsi="宋体"/>
          <w:b/>
          <w:szCs w:val="21"/>
        </w:rPr>
      </w:pPr>
      <w:r>
        <w:rPr>
          <w:rFonts w:hint="eastAsia" w:ascii="宋体" w:hAnsi="宋体"/>
          <w:b/>
          <w:szCs w:val="21"/>
        </w:rPr>
        <w:t>查询截止时间：资格审查结束前。</w:t>
      </w:r>
    </w:p>
    <w:p>
      <w:pPr>
        <w:wordWrap w:val="0"/>
        <w:snapToGrid w:val="0"/>
        <w:spacing w:line="360" w:lineRule="exact"/>
        <w:ind w:firstLine="413" w:firstLineChars="196"/>
        <w:jc w:val="left"/>
        <w:rPr>
          <w:rFonts w:ascii="宋体" w:hAnsi="宋体"/>
          <w:b/>
          <w:szCs w:val="21"/>
        </w:rPr>
      </w:pPr>
      <w:r>
        <w:rPr>
          <w:rFonts w:hint="eastAsia" w:ascii="宋体" w:hAnsi="宋体"/>
          <w:b/>
          <w:szCs w:val="21"/>
        </w:rPr>
        <w:t>查询记录和证据留存方式：在查询网站中直接打印查询记录，打印材料作为评审资料保存。</w:t>
      </w:r>
    </w:p>
    <w:p>
      <w:pPr>
        <w:wordWrap w:val="0"/>
        <w:snapToGrid w:val="0"/>
        <w:spacing w:line="360" w:lineRule="exact"/>
        <w:ind w:firstLine="413" w:firstLineChars="196"/>
        <w:jc w:val="left"/>
        <w:rPr>
          <w:rFonts w:ascii="宋体" w:hAnsi="宋体"/>
          <w:b/>
          <w:szCs w:val="21"/>
        </w:rPr>
      </w:pPr>
      <w:r>
        <w:rPr>
          <w:rFonts w:hint="eastAsia" w:ascii="宋体" w:hAnsi="宋体"/>
          <w:b/>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pPr>
        <w:spacing w:line="400" w:lineRule="exact"/>
        <w:ind w:firstLine="420" w:firstLineChars="200"/>
        <w:rPr>
          <w:rFonts w:ascii="宋体" w:hAnsi="宋体"/>
          <w:b/>
        </w:rPr>
      </w:pPr>
      <w:r>
        <w:rPr>
          <w:rFonts w:hint="eastAsia" w:ascii="宋体" w:hAnsi="宋体"/>
          <w:szCs w:val="21"/>
        </w:rPr>
        <w:t>11）磋商保证金的提交凭证；</w:t>
      </w:r>
      <w:r>
        <w:rPr>
          <w:rFonts w:hint="eastAsia" w:ascii="宋体" w:hAnsi="宋体"/>
          <w:b/>
        </w:rPr>
        <w:t>[必须提供]</w:t>
      </w:r>
    </w:p>
    <w:p>
      <w:pPr>
        <w:spacing w:line="400" w:lineRule="exact"/>
        <w:ind w:firstLine="420" w:firstLineChars="200"/>
        <w:rPr>
          <w:rFonts w:ascii="宋体" w:hAnsi="宋体"/>
          <w:szCs w:val="21"/>
        </w:rPr>
      </w:pPr>
      <w:r>
        <w:rPr>
          <w:rFonts w:hint="eastAsia" w:ascii="宋体" w:hAnsi="宋体"/>
          <w:szCs w:val="21"/>
        </w:rPr>
        <w:t>12）</w:t>
      </w:r>
      <w:r>
        <w:rPr>
          <w:rFonts w:hint="eastAsia" w:ascii="宋体"/>
          <w:szCs w:val="21"/>
        </w:rPr>
        <w:t>中小企业声明函</w:t>
      </w:r>
      <w:r>
        <w:rPr>
          <w:rFonts w:hint="eastAsia" w:ascii="宋体" w:hAnsi="宋体"/>
          <w:szCs w:val="21"/>
        </w:rPr>
        <w:t>；</w:t>
      </w:r>
      <w:r>
        <w:rPr>
          <w:rFonts w:hint="eastAsia" w:ascii="宋体" w:hAnsi="宋体"/>
          <w:b/>
          <w:szCs w:val="21"/>
        </w:rPr>
        <w:t>（按最新相关政策执行，格式见第四章，必须</w:t>
      </w:r>
      <w:r>
        <w:rPr>
          <w:rFonts w:ascii="宋体" w:hAnsi="宋体"/>
          <w:b/>
          <w:szCs w:val="21"/>
        </w:rPr>
        <w:t>提供</w:t>
      </w:r>
      <w:r>
        <w:rPr>
          <w:rFonts w:hint="eastAsia" w:ascii="宋体" w:hAnsi="宋体"/>
          <w:b/>
          <w:szCs w:val="21"/>
        </w:rPr>
        <w:t>）</w:t>
      </w:r>
    </w:p>
    <w:p>
      <w:pPr>
        <w:spacing w:line="400" w:lineRule="exact"/>
        <w:ind w:firstLine="420" w:firstLineChars="200"/>
        <w:rPr>
          <w:rFonts w:ascii="宋体" w:hAnsi="宋体"/>
          <w:b/>
        </w:rPr>
      </w:pPr>
      <w:r>
        <w:rPr>
          <w:rFonts w:hint="eastAsia" w:ascii="宋体" w:hAnsi="宋体"/>
          <w:szCs w:val="21"/>
        </w:rPr>
        <w:t>13）本采购项目《采购需求》中要求必须提交的材料；</w:t>
      </w:r>
      <w:r>
        <w:rPr>
          <w:rFonts w:hint="eastAsia" w:ascii="宋体" w:hAnsi="宋体"/>
          <w:b/>
        </w:rPr>
        <w:t>[如有规定，则必须提供]</w:t>
      </w:r>
    </w:p>
    <w:p>
      <w:pPr>
        <w:spacing w:line="400" w:lineRule="exact"/>
        <w:ind w:firstLine="420" w:firstLineChars="200"/>
        <w:rPr>
          <w:rFonts w:ascii="宋体" w:hAnsi="宋体"/>
          <w:szCs w:val="21"/>
        </w:rPr>
      </w:pPr>
      <w:r>
        <w:rPr>
          <w:rFonts w:hint="eastAsia" w:ascii="宋体" w:hAnsi="宋体"/>
          <w:szCs w:val="21"/>
        </w:rPr>
        <w:t>14）具备法律、行政法规规定的其他条件的证明材料；</w:t>
      </w:r>
      <w:r>
        <w:rPr>
          <w:rFonts w:hint="eastAsia" w:ascii="宋体" w:hAnsi="宋体"/>
          <w:b/>
          <w:szCs w:val="21"/>
        </w:rPr>
        <w:t>[如有规定，则必须提供]</w:t>
      </w:r>
    </w:p>
    <w:p>
      <w:pPr>
        <w:spacing w:line="400" w:lineRule="exact"/>
        <w:ind w:firstLine="420" w:firstLineChars="200"/>
        <w:rPr>
          <w:rFonts w:ascii="宋体" w:hAnsi="宋体"/>
          <w:b/>
        </w:rPr>
      </w:pPr>
      <w:r>
        <w:rPr>
          <w:rFonts w:hint="eastAsia" w:ascii="宋体" w:hAnsi="宋体"/>
          <w:szCs w:val="21"/>
        </w:rPr>
        <w:t>15）服务方案；</w:t>
      </w:r>
      <w:r>
        <w:rPr>
          <w:rFonts w:hint="eastAsia" w:ascii="宋体" w:hAnsi="宋体"/>
          <w:b/>
          <w:szCs w:val="21"/>
        </w:rPr>
        <w:t>[格式自拟</w:t>
      </w:r>
      <w:r>
        <w:rPr>
          <w:rFonts w:ascii="宋体" w:hAnsi="宋体"/>
          <w:b/>
        </w:rPr>
        <w:t>]</w:t>
      </w:r>
    </w:p>
    <w:p>
      <w:pPr>
        <w:spacing w:line="400" w:lineRule="exact"/>
        <w:ind w:firstLine="420" w:firstLineChars="200"/>
        <w:rPr>
          <w:rFonts w:ascii="宋体" w:hAnsi="宋体"/>
          <w:szCs w:val="21"/>
        </w:rPr>
      </w:pPr>
      <w:r>
        <w:rPr>
          <w:rFonts w:hint="eastAsia" w:ascii="宋体" w:hAnsi="宋体"/>
          <w:szCs w:val="21"/>
        </w:rPr>
        <w:t>16）项目实施人员一览表；</w:t>
      </w:r>
    </w:p>
    <w:p>
      <w:pPr>
        <w:spacing w:line="400" w:lineRule="exact"/>
        <w:ind w:firstLine="420" w:firstLineChars="200"/>
        <w:rPr>
          <w:rFonts w:ascii="宋体" w:hAnsi="宋体"/>
          <w:szCs w:val="21"/>
        </w:rPr>
      </w:pPr>
      <w:r>
        <w:rPr>
          <w:rFonts w:hint="eastAsia" w:ascii="宋体" w:hAnsi="宋体"/>
          <w:szCs w:val="21"/>
        </w:rPr>
        <w:t>17）供应商对本项目的合理化建议和改进措施。</w:t>
      </w:r>
    </w:p>
    <w:p>
      <w:pPr>
        <w:spacing w:line="400" w:lineRule="exact"/>
        <w:ind w:firstLine="422" w:firstLineChars="200"/>
        <w:rPr>
          <w:rFonts w:ascii="宋体" w:hAnsi="宋体"/>
          <w:b/>
          <w:szCs w:val="21"/>
        </w:rPr>
      </w:pPr>
      <w:r>
        <w:rPr>
          <w:rFonts w:hint="eastAsia" w:ascii="宋体" w:hAnsi="宋体"/>
          <w:b/>
          <w:szCs w:val="21"/>
        </w:rPr>
        <w:t>三、报价要求</w:t>
      </w:r>
    </w:p>
    <w:p>
      <w:pPr>
        <w:spacing w:line="400" w:lineRule="exact"/>
        <w:ind w:firstLine="420" w:firstLineChars="200"/>
        <w:rPr>
          <w:rFonts w:ascii="宋体" w:hAnsi="宋体"/>
          <w:szCs w:val="21"/>
        </w:rPr>
      </w:pPr>
      <w:r>
        <w:rPr>
          <w:rFonts w:hint="eastAsia" w:ascii="宋体" w:hAnsi="宋体"/>
          <w:szCs w:val="21"/>
        </w:rPr>
        <w:t>7.1对于本文件中未列明，而磋商供应商认为必需的费用也需列入总报价。在合同实施时，采购人将不予支付成交供应商没有列入的项目费用，并认为此项目的费用已包括在总报价中。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ascii="宋体" w:hAnsi="宋体"/>
          <w:szCs w:val="21"/>
        </w:rPr>
      </w:pPr>
      <w:r>
        <w:rPr>
          <w:rFonts w:hint="eastAsia" w:ascii="宋体" w:hAnsi="宋体"/>
          <w:szCs w:val="21"/>
        </w:rPr>
        <w:t>7.2成交供应商负责本项目所需服务的提供、实施、售后服务等全部工作。</w:t>
      </w:r>
    </w:p>
    <w:p>
      <w:pPr>
        <w:pStyle w:val="21"/>
        <w:spacing w:line="420" w:lineRule="exact"/>
        <w:ind w:firstLine="420"/>
        <w:rPr>
          <w:rFonts w:hAnsi="宋体"/>
        </w:rPr>
      </w:pPr>
      <w:r>
        <w:rPr>
          <w:rFonts w:hint="eastAsia" w:hAnsi="宋体"/>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pPr>
        <w:spacing w:line="400" w:lineRule="exact"/>
        <w:ind w:firstLine="422" w:firstLineChars="200"/>
        <w:rPr>
          <w:b/>
        </w:rPr>
      </w:pPr>
      <w:r>
        <w:rPr>
          <w:rFonts w:hint="eastAsia" w:ascii="宋体" w:hAnsi="宋体" w:cs="Courier New"/>
          <w:b/>
          <w:szCs w:val="21"/>
        </w:rPr>
        <w:t>7.4</w:t>
      </w:r>
      <w:r>
        <w:rPr>
          <w:rFonts w:hint="eastAsia"/>
          <w:b/>
        </w:rPr>
        <w:t>磋商报价：供应商必须就所竞项目的全部内容作完整唯一报价，漏项报价的或有选择的或有条件的报价，其响应文件将视为无效。</w:t>
      </w:r>
    </w:p>
    <w:p>
      <w:pPr>
        <w:spacing w:line="400" w:lineRule="exact"/>
        <w:ind w:firstLine="422" w:firstLineChars="200"/>
        <w:rPr>
          <w:rFonts w:ascii="宋体" w:hAnsi="宋体" w:cs="Courier New"/>
          <w:b/>
          <w:szCs w:val="21"/>
        </w:rPr>
      </w:pPr>
      <w:r>
        <w:rPr>
          <w:rFonts w:hint="eastAsia" w:ascii="宋体" w:hAnsi="宋体" w:cs="Courier New"/>
          <w:b/>
          <w:szCs w:val="21"/>
        </w:rPr>
        <w:t>7.5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pPr>
        <w:spacing w:line="400" w:lineRule="exact"/>
        <w:ind w:firstLine="422" w:firstLineChars="200"/>
        <w:rPr>
          <w:rFonts w:ascii="宋体" w:hAnsi="宋体" w:cs="Courier New"/>
          <w:b/>
          <w:szCs w:val="21"/>
        </w:rPr>
      </w:pPr>
      <w:r>
        <w:rPr>
          <w:rFonts w:hint="eastAsia" w:ascii="宋体" w:hAnsi="宋体" w:cs="Courier New"/>
          <w:b/>
          <w:szCs w:val="21"/>
        </w:rPr>
        <w:t>四、</w:t>
      </w:r>
      <w:r>
        <w:rPr>
          <w:rFonts w:hint="eastAsia" w:ascii="宋体" w:hAnsi="宋体"/>
          <w:b/>
          <w:bCs/>
        </w:rPr>
        <w:t>竞争性磋商响应文件</w:t>
      </w:r>
      <w:r>
        <w:rPr>
          <w:rFonts w:hint="eastAsia" w:ascii="宋体" w:hAnsi="宋体"/>
          <w:b/>
          <w:szCs w:val="21"/>
        </w:rPr>
        <w:t>的份数、</w:t>
      </w:r>
      <w:r>
        <w:rPr>
          <w:rFonts w:hint="eastAsia" w:ascii="宋体" w:hAnsi="宋体"/>
          <w:b/>
          <w:bCs/>
        </w:rPr>
        <w:t>上传、提交、修改、撤回和解密</w:t>
      </w:r>
    </w:p>
    <w:p>
      <w:pPr>
        <w:spacing w:line="400" w:lineRule="exact"/>
        <w:ind w:firstLine="420" w:firstLineChars="200"/>
        <w:rPr>
          <w:rFonts w:ascii="宋体" w:hAnsi="宋体" w:cs="Courier New"/>
          <w:szCs w:val="21"/>
        </w:rPr>
      </w:pPr>
      <w:r>
        <w:rPr>
          <w:rFonts w:hint="eastAsia" w:ascii="宋体" w:hAnsi="宋体" w:cs="Courier New"/>
          <w:szCs w:val="21"/>
        </w:rPr>
        <w:t>8. 竞争性磋商响应文件的的份数、上传、提交、解密</w:t>
      </w:r>
    </w:p>
    <w:p>
      <w:pPr>
        <w:spacing w:line="400" w:lineRule="exact"/>
        <w:ind w:firstLine="420" w:firstLineChars="200"/>
        <w:rPr>
          <w:rFonts w:ascii="宋体" w:hAnsi="宋体" w:cs="Courier New"/>
          <w:szCs w:val="21"/>
        </w:rPr>
      </w:pPr>
      <w:r>
        <w:rPr>
          <w:rFonts w:hint="eastAsia" w:ascii="宋体" w:hAnsi="宋体" w:cs="Courier New"/>
          <w:szCs w:val="21"/>
        </w:rPr>
        <w:t>见须知前附表。</w:t>
      </w:r>
    </w:p>
    <w:p>
      <w:pPr>
        <w:spacing w:line="400" w:lineRule="exact"/>
        <w:ind w:firstLine="420" w:firstLineChars="200"/>
        <w:rPr>
          <w:rFonts w:ascii="宋体" w:hAnsi="宋体" w:cs="Courier New"/>
          <w:szCs w:val="21"/>
        </w:rPr>
      </w:pPr>
      <w:r>
        <w:rPr>
          <w:rFonts w:hint="eastAsia" w:ascii="宋体" w:hAnsi="宋体" w:cs="Courier New"/>
          <w:szCs w:val="21"/>
        </w:rPr>
        <w:t>9. 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spacing w:line="400" w:lineRule="exact"/>
        <w:ind w:firstLine="422" w:firstLineChars="200"/>
        <w:rPr>
          <w:rFonts w:ascii="宋体" w:hAnsi="宋体" w:cs="Courier New"/>
          <w:b/>
          <w:szCs w:val="21"/>
        </w:rPr>
      </w:pPr>
      <w:r>
        <w:rPr>
          <w:rFonts w:hint="eastAsia" w:ascii="宋体" w:hAnsi="宋体" w:cs="Courier New"/>
          <w:b/>
          <w:szCs w:val="21"/>
        </w:rPr>
        <w:t>五、磋商保证金</w:t>
      </w:r>
    </w:p>
    <w:p>
      <w:pPr>
        <w:spacing w:line="400" w:lineRule="exact"/>
        <w:ind w:firstLine="420" w:firstLineChars="200"/>
        <w:rPr>
          <w:rFonts w:ascii="宋体" w:hAnsi="宋体"/>
          <w:b/>
          <w:szCs w:val="21"/>
        </w:rPr>
      </w:pPr>
      <w:r>
        <w:rPr>
          <w:rFonts w:hint="eastAsia" w:ascii="宋体" w:hAnsi="宋体"/>
          <w:szCs w:val="21"/>
        </w:rPr>
        <w:t>10.1</w:t>
      </w:r>
      <w:r>
        <w:rPr>
          <w:rFonts w:hint="eastAsia" w:hAnsi="宋体"/>
        </w:rPr>
        <w:t>保证金应用人民币，</w:t>
      </w:r>
      <w:r>
        <w:rPr>
          <w:rFonts w:hint="eastAsia" w:ascii="宋体" w:hAnsi="宋体"/>
          <w:bCs/>
          <w:szCs w:val="21"/>
        </w:rPr>
        <w:t>具体金额及缴纳方式详见竞争性磋商。</w:t>
      </w:r>
    </w:p>
    <w:p>
      <w:pPr>
        <w:spacing w:line="400" w:lineRule="exact"/>
        <w:ind w:firstLine="420" w:firstLineChars="200"/>
        <w:rPr>
          <w:rFonts w:hAnsi="宋体"/>
        </w:rPr>
      </w:pPr>
      <w:r>
        <w:rPr>
          <w:rFonts w:hint="eastAsia" w:ascii="宋体" w:hAnsi="宋体"/>
          <w:szCs w:val="21"/>
        </w:rPr>
        <w:t>10.2</w:t>
      </w:r>
      <w:r>
        <w:rPr>
          <w:rFonts w:hint="eastAsia" w:hAnsi="宋体"/>
        </w:rPr>
        <w:t>未成交磋商供应商的保证金，将在成交通知书发出后四个工作日内予以退还，不计利息。成交供应商</w:t>
      </w:r>
      <w:r>
        <w:rPr>
          <w:rFonts w:hint="eastAsia" w:ascii="宋体" w:hAnsi="宋体"/>
          <w:szCs w:val="21"/>
        </w:rPr>
        <w:t>的保证金在合同签订后四个工作日内退还（</w:t>
      </w:r>
      <w:r>
        <w:rPr>
          <w:rFonts w:hint="eastAsia" w:hAnsi="宋体"/>
        </w:rPr>
        <w:t>合同签订后送达至</w:t>
      </w:r>
      <w:r>
        <w:rPr>
          <w:rFonts w:hint="eastAsia" w:ascii="宋体" w:hAnsi="宋体"/>
          <w:szCs w:val="21"/>
        </w:rPr>
        <w:t>天勤工程咨询有限公司），不计利息。</w:t>
      </w:r>
    </w:p>
    <w:p>
      <w:pPr>
        <w:spacing w:line="400" w:lineRule="exact"/>
        <w:ind w:firstLine="420" w:firstLineChars="200"/>
        <w:rPr>
          <w:rFonts w:ascii="宋体" w:hAnsi="宋体" w:cs="Courier New"/>
          <w:szCs w:val="21"/>
        </w:rPr>
      </w:pPr>
      <w:r>
        <w:rPr>
          <w:rFonts w:hint="eastAsia" w:ascii="宋体" w:hAnsi="宋体"/>
          <w:bCs/>
          <w:szCs w:val="21"/>
        </w:rPr>
        <w:t>10.3</w:t>
      </w:r>
      <w:r>
        <w:rPr>
          <w:rFonts w:hint="eastAsia" w:ascii="宋体" w:hAnsi="宋体" w:cs="宋体"/>
          <w:kern w:val="0"/>
          <w:szCs w:val="21"/>
        </w:rPr>
        <w:t>供应商为联合体的，可以由联合体中的一方或者多方共同交纳保证金，其交纳的保证金对联合体各方均具有约束力。</w:t>
      </w:r>
    </w:p>
    <w:p>
      <w:pPr>
        <w:tabs>
          <w:tab w:val="left" w:pos="975"/>
        </w:tabs>
        <w:snapToGrid w:val="0"/>
        <w:spacing w:line="360" w:lineRule="exact"/>
        <w:ind w:firstLine="413" w:firstLineChars="196"/>
        <w:jc w:val="left"/>
        <w:rPr>
          <w:rFonts w:ascii="宋体" w:hAnsi="宋体"/>
          <w:b/>
          <w:bCs/>
          <w:szCs w:val="21"/>
        </w:rPr>
      </w:pPr>
      <w:r>
        <w:rPr>
          <w:rFonts w:hint="eastAsia" w:ascii="宋体" w:hAnsi="宋体"/>
          <w:b/>
          <w:bCs/>
          <w:szCs w:val="21"/>
        </w:rPr>
        <w:t>10.4磋商供应商有下列情形之一的，保证金将不予退还：</w:t>
      </w:r>
    </w:p>
    <w:p>
      <w:pPr>
        <w:tabs>
          <w:tab w:val="left" w:pos="975"/>
        </w:tabs>
        <w:snapToGrid w:val="0"/>
        <w:spacing w:line="360" w:lineRule="exact"/>
        <w:ind w:firstLine="411" w:firstLineChars="196"/>
        <w:jc w:val="left"/>
        <w:rPr>
          <w:rFonts w:ascii="宋体" w:hAnsi="宋体" w:cs="宋体"/>
          <w:kern w:val="0"/>
          <w:szCs w:val="21"/>
        </w:rPr>
      </w:pPr>
      <w:r>
        <w:rPr>
          <w:rFonts w:hint="eastAsia" w:ascii="宋体" w:hAnsi="宋体" w:cs="宋体"/>
          <w:kern w:val="0"/>
          <w:szCs w:val="21"/>
        </w:rPr>
        <w:t>1）磋商供应商在提交</w:t>
      </w:r>
      <w:r>
        <w:rPr>
          <w:rFonts w:hint="eastAsia" w:ascii="宋体" w:hAnsi="宋体"/>
          <w:szCs w:val="21"/>
        </w:rPr>
        <w:t>竞争性磋商</w:t>
      </w:r>
      <w:r>
        <w:rPr>
          <w:rFonts w:hint="eastAsia" w:ascii="宋体" w:hAnsi="宋体" w:cs="宋体"/>
          <w:kern w:val="0"/>
          <w:szCs w:val="21"/>
        </w:rPr>
        <w:t>响应文件截止时间后撤回</w:t>
      </w:r>
      <w:r>
        <w:rPr>
          <w:rFonts w:hint="eastAsia" w:ascii="宋体" w:hAnsi="宋体"/>
          <w:szCs w:val="21"/>
        </w:rPr>
        <w:t>竞争性磋商</w:t>
      </w:r>
      <w:r>
        <w:rPr>
          <w:rFonts w:hint="eastAsia" w:ascii="宋体" w:hAnsi="宋体" w:cs="宋体"/>
          <w:kern w:val="0"/>
          <w:szCs w:val="21"/>
        </w:rPr>
        <w:t>响应文件的；</w:t>
      </w:r>
    </w:p>
    <w:p>
      <w:pPr>
        <w:tabs>
          <w:tab w:val="left" w:pos="975"/>
        </w:tabs>
        <w:snapToGrid w:val="0"/>
        <w:spacing w:line="360" w:lineRule="exact"/>
        <w:ind w:firstLine="411" w:firstLineChars="196"/>
        <w:jc w:val="left"/>
        <w:rPr>
          <w:rFonts w:ascii="宋体" w:hAnsi="宋体" w:cs="宋体"/>
          <w:kern w:val="0"/>
          <w:szCs w:val="21"/>
        </w:rPr>
      </w:pPr>
      <w:r>
        <w:rPr>
          <w:rFonts w:hint="eastAsia" w:ascii="宋体" w:hAnsi="宋体" w:cs="宋体"/>
          <w:kern w:val="0"/>
          <w:szCs w:val="21"/>
        </w:rPr>
        <w:t>2）磋商供应商在</w:t>
      </w:r>
      <w:r>
        <w:rPr>
          <w:rFonts w:hint="eastAsia" w:ascii="宋体" w:hAnsi="宋体"/>
          <w:szCs w:val="21"/>
        </w:rPr>
        <w:t>竞争性磋商</w:t>
      </w:r>
      <w:r>
        <w:rPr>
          <w:rFonts w:hint="eastAsia" w:ascii="宋体" w:hAnsi="宋体" w:cs="宋体"/>
          <w:kern w:val="0"/>
          <w:szCs w:val="21"/>
        </w:rPr>
        <w:t>响应文件中提供虚假材料的；</w:t>
      </w:r>
    </w:p>
    <w:p>
      <w:pPr>
        <w:tabs>
          <w:tab w:val="left" w:pos="975"/>
        </w:tabs>
        <w:snapToGrid w:val="0"/>
        <w:spacing w:line="360" w:lineRule="exact"/>
        <w:ind w:firstLine="411" w:firstLineChars="196"/>
        <w:jc w:val="left"/>
        <w:rPr>
          <w:rFonts w:ascii="宋体" w:hAnsi="宋体" w:cs="宋体"/>
          <w:kern w:val="0"/>
          <w:szCs w:val="21"/>
        </w:rPr>
      </w:pPr>
      <w:r>
        <w:rPr>
          <w:rFonts w:hint="eastAsia" w:ascii="宋体" w:hAnsi="宋体" w:cs="宋体"/>
          <w:kern w:val="0"/>
          <w:szCs w:val="21"/>
        </w:rPr>
        <w:t>3）除因不可抗力或</w:t>
      </w:r>
      <w:r>
        <w:rPr>
          <w:rFonts w:hint="eastAsia" w:ascii="宋体" w:hAnsi="宋体"/>
          <w:szCs w:val="21"/>
        </w:rPr>
        <w:t>竞争性</w:t>
      </w:r>
      <w:r>
        <w:rPr>
          <w:rFonts w:hint="eastAsia" w:ascii="宋体" w:hAnsi="宋体" w:cs="宋体"/>
          <w:kern w:val="0"/>
          <w:szCs w:val="21"/>
        </w:rPr>
        <w:t>磋商文件认可的情形以外，成交供应商不与采购人签订合同的；</w:t>
      </w:r>
    </w:p>
    <w:p>
      <w:pPr>
        <w:tabs>
          <w:tab w:val="left" w:pos="975"/>
        </w:tabs>
        <w:snapToGrid w:val="0"/>
        <w:spacing w:line="360" w:lineRule="exact"/>
        <w:ind w:firstLine="411" w:firstLineChars="196"/>
        <w:jc w:val="left"/>
        <w:rPr>
          <w:rFonts w:ascii="宋体" w:hAnsi="宋体" w:cs="宋体"/>
          <w:kern w:val="0"/>
          <w:szCs w:val="21"/>
        </w:rPr>
      </w:pPr>
      <w:r>
        <w:rPr>
          <w:rFonts w:hint="eastAsia" w:ascii="宋体" w:hAnsi="宋体" w:cs="宋体"/>
          <w:kern w:val="0"/>
          <w:szCs w:val="21"/>
        </w:rPr>
        <w:t>4）磋商供应商与采购人、其他供应商或者采购代理机构恶意串通的。</w:t>
      </w:r>
    </w:p>
    <w:p>
      <w:pPr>
        <w:tabs>
          <w:tab w:val="left" w:pos="975"/>
        </w:tabs>
        <w:snapToGrid w:val="0"/>
        <w:spacing w:line="360" w:lineRule="exact"/>
        <w:ind w:firstLine="411" w:firstLineChars="196"/>
        <w:jc w:val="left"/>
        <w:rPr>
          <w:rFonts w:ascii="宋体" w:hAnsi="宋体" w:cs="宋体"/>
          <w:kern w:val="0"/>
          <w:szCs w:val="21"/>
        </w:rPr>
      </w:pPr>
      <w:r>
        <w:rPr>
          <w:rFonts w:hint="eastAsia" w:ascii="宋体" w:hAnsi="宋体" w:cs="宋体"/>
          <w:kern w:val="0"/>
          <w:szCs w:val="21"/>
        </w:rPr>
        <w:t>5）法律法规规定的其他情形。</w:t>
      </w:r>
    </w:p>
    <w:p>
      <w:pPr>
        <w:tabs>
          <w:tab w:val="left" w:pos="975"/>
        </w:tabs>
        <w:snapToGrid w:val="0"/>
        <w:spacing w:line="360" w:lineRule="exact"/>
        <w:ind w:firstLine="413" w:firstLineChars="196"/>
        <w:jc w:val="left"/>
        <w:rPr>
          <w:rFonts w:hAnsi="宋体"/>
          <w:b/>
        </w:rPr>
      </w:pPr>
      <w:r>
        <w:rPr>
          <w:rFonts w:hint="eastAsia" w:ascii="宋体" w:hAnsi="宋体"/>
          <w:b/>
          <w:bCs/>
          <w:szCs w:val="21"/>
        </w:rPr>
        <w:t>注：</w:t>
      </w:r>
      <w:r>
        <w:rPr>
          <w:rFonts w:hint="eastAsia" w:ascii="宋体" w:hAnsi="宋体" w:cs="宋体"/>
          <w:b/>
          <w:kern w:val="0"/>
          <w:szCs w:val="21"/>
        </w:rPr>
        <w:t>磋商供应商</w:t>
      </w:r>
      <w:r>
        <w:rPr>
          <w:rFonts w:hint="eastAsia" w:hAnsi="宋体"/>
          <w:b/>
        </w:rPr>
        <w:t>已经被推荐为第一成交候选供应商后撤回</w:t>
      </w:r>
      <w:r>
        <w:rPr>
          <w:rFonts w:hint="eastAsia" w:ascii="宋体" w:hAnsi="宋体"/>
          <w:b/>
          <w:szCs w:val="21"/>
        </w:rPr>
        <w:t>竞争性磋商</w:t>
      </w:r>
      <w:r>
        <w:rPr>
          <w:rFonts w:hint="eastAsia" w:ascii="宋体" w:hAnsi="宋体" w:cs="宋体"/>
          <w:b/>
          <w:kern w:val="0"/>
          <w:szCs w:val="21"/>
        </w:rPr>
        <w:t>响应文件</w:t>
      </w:r>
      <w:r>
        <w:rPr>
          <w:rFonts w:hint="eastAsia" w:hAnsi="宋体"/>
          <w:b/>
        </w:rPr>
        <w:t>或</w:t>
      </w:r>
      <w:r>
        <w:rPr>
          <w:rFonts w:hint="eastAsia" w:ascii="宋体" w:hAnsi="宋体" w:cs="宋体"/>
          <w:b/>
          <w:kern w:val="0"/>
          <w:szCs w:val="21"/>
        </w:rPr>
        <w:t>拒绝签订政府采购合同的</w:t>
      </w:r>
      <w:r>
        <w:rPr>
          <w:rFonts w:hint="eastAsia" w:hAnsi="宋体"/>
          <w:b/>
        </w:rPr>
        <w:t>，</w:t>
      </w:r>
      <w:r>
        <w:rPr>
          <w:rFonts w:hint="eastAsia"/>
          <w:b/>
        </w:rPr>
        <w:t>其保证金将不予退还，并上缴国库，给采购人造成损失的，还应当赔偿损失，并作为不良行为记录在案</w:t>
      </w:r>
      <w:r>
        <w:rPr>
          <w:rFonts w:hint="eastAsia" w:hAnsi="宋体"/>
          <w:b/>
        </w:rPr>
        <w:t>。</w:t>
      </w:r>
    </w:p>
    <w:p>
      <w:pPr>
        <w:tabs>
          <w:tab w:val="left" w:pos="975"/>
        </w:tabs>
        <w:snapToGrid w:val="0"/>
        <w:spacing w:line="360" w:lineRule="exact"/>
        <w:ind w:firstLine="413" w:firstLineChars="196"/>
        <w:jc w:val="left"/>
        <w:rPr>
          <w:b/>
        </w:rPr>
      </w:pPr>
      <w:r>
        <w:rPr>
          <w:rFonts w:hint="eastAsia" w:ascii="宋体" w:hAnsi="宋体"/>
          <w:b/>
          <w:szCs w:val="21"/>
        </w:rPr>
        <w:t>六</w:t>
      </w:r>
      <w:r>
        <w:rPr>
          <w:rFonts w:hint="eastAsia"/>
          <w:b/>
        </w:rPr>
        <w:t>、磋商程序</w:t>
      </w:r>
      <w:r>
        <w:rPr>
          <w:rFonts w:hint="eastAsia" w:ascii="宋体" w:hAnsi="宋体"/>
          <w:b/>
          <w:szCs w:val="21"/>
        </w:rPr>
        <w:t>及</w:t>
      </w:r>
      <w:r>
        <w:rPr>
          <w:rFonts w:hint="eastAsia"/>
          <w:b/>
        </w:rPr>
        <w:t>评标方法</w:t>
      </w:r>
    </w:p>
    <w:p>
      <w:pPr>
        <w:tabs>
          <w:tab w:val="left" w:pos="975"/>
        </w:tabs>
        <w:snapToGrid w:val="0"/>
        <w:spacing w:line="360" w:lineRule="exact"/>
        <w:ind w:firstLine="413" w:firstLineChars="196"/>
        <w:jc w:val="left"/>
        <w:rPr>
          <w:b/>
        </w:rPr>
      </w:pPr>
      <w:r>
        <w:rPr>
          <w:rFonts w:hint="eastAsia"/>
          <w:b/>
        </w:rPr>
        <w:t>（一）竞争性磋商响应文件无效的情形：</w:t>
      </w:r>
    </w:p>
    <w:p>
      <w:pPr>
        <w:tabs>
          <w:tab w:val="left" w:pos="975"/>
        </w:tabs>
        <w:snapToGrid w:val="0"/>
        <w:spacing w:line="360" w:lineRule="exact"/>
        <w:ind w:firstLine="413" w:firstLineChars="196"/>
        <w:jc w:val="left"/>
        <w:rPr>
          <w:rFonts w:ascii="宋体" w:hAnsi="宋体"/>
          <w:b/>
        </w:rPr>
      </w:pPr>
      <w:r>
        <w:rPr>
          <w:rFonts w:hint="eastAsia"/>
          <w:b/>
        </w:rPr>
        <w:t>1.未</w:t>
      </w:r>
      <w:r>
        <w:rPr>
          <w:rFonts w:hint="eastAsia" w:ascii="宋体" w:hAnsi="宋体"/>
          <w:b/>
        </w:rPr>
        <w:t>实质性响应竞争性磋商文件的竞争性磋商响应文件按无效处理。</w:t>
      </w:r>
    </w:p>
    <w:p>
      <w:pPr>
        <w:tabs>
          <w:tab w:val="left" w:pos="975"/>
        </w:tabs>
        <w:snapToGrid w:val="0"/>
        <w:spacing w:line="360" w:lineRule="exact"/>
        <w:ind w:firstLine="413" w:firstLineChars="196"/>
        <w:jc w:val="left"/>
        <w:rPr>
          <w:rFonts w:ascii="宋体" w:hAnsi="宋体"/>
          <w:b/>
        </w:rPr>
      </w:pPr>
      <w:r>
        <w:rPr>
          <w:rFonts w:hint="eastAsia" w:ascii="宋体" w:hAnsi="宋体"/>
          <w:b/>
        </w:rPr>
        <w:t>2.有下列情形之一的视为供应商相互串通参与磋商活动，竞争性磋商响应文件将被视为无效：</w:t>
      </w:r>
    </w:p>
    <w:p>
      <w:pPr>
        <w:tabs>
          <w:tab w:val="left" w:pos="975"/>
        </w:tabs>
        <w:snapToGrid w:val="0"/>
        <w:spacing w:line="360" w:lineRule="exact"/>
        <w:ind w:firstLine="413" w:firstLineChars="196"/>
        <w:jc w:val="left"/>
        <w:rPr>
          <w:rFonts w:ascii="宋体" w:hAnsi="宋体"/>
          <w:b/>
        </w:rPr>
      </w:pPr>
      <w:r>
        <w:rPr>
          <w:rFonts w:hint="eastAsia" w:ascii="宋体" w:hAnsi="宋体"/>
          <w:b/>
        </w:rPr>
        <w:t>（1）不同供应商的竞争性磋商响应文件由同一单位或者个人编制；或不同供应商报名的IP地址一致的；</w:t>
      </w:r>
    </w:p>
    <w:p>
      <w:pPr>
        <w:tabs>
          <w:tab w:val="left" w:pos="975"/>
        </w:tabs>
        <w:snapToGrid w:val="0"/>
        <w:spacing w:line="360" w:lineRule="exact"/>
        <w:ind w:firstLine="413" w:firstLineChars="196"/>
        <w:jc w:val="left"/>
        <w:rPr>
          <w:rFonts w:ascii="宋体" w:hAnsi="宋体"/>
          <w:b/>
        </w:rPr>
      </w:pPr>
      <w:r>
        <w:rPr>
          <w:rFonts w:hint="eastAsia" w:ascii="宋体" w:hAnsi="宋体"/>
          <w:b/>
        </w:rPr>
        <w:t>（2）不同供应商委托同一单位或者个人办理磋商活动事宜；</w:t>
      </w:r>
    </w:p>
    <w:p>
      <w:pPr>
        <w:tabs>
          <w:tab w:val="left" w:pos="975"/>
        </w:tabs>
        <w:snapToGrid w:val="0"/>
        <w:spacing w:line="360" w:lineRule="exact"/>
        <w:ind w:firstLine="413" w:firstLineChars="196"/>
        <w:jc w:val="left"/>
        <w:rPr>
          <w:rFonts w:ascii="宋体" w:hAnsi="宋体"/>
          <w:b/>
        </w:rPr>
      </w:pPr>
      <w:r>
        <w:rPr>
          <w:rFonts w:hint="eastAsia" w:ascii="宋体" w:hAnsi="宋体"/>
          <w:b/>
        </w:rPr>
        <w:t>（3）不同的供应商的竞争性磋商响应文件载明的项目管理员或者联系人员为同一个人；</w:t>
      </w:r>
    </w:p>
    <w:p>
      <w:pPr>
        <w:tabs>
          <w:tab w:val="left" w:pos="975"/>
        </w:tabs>
        <w:snapToGrid w:val="0"/>
        <w:spacing w:line="360" w:lineRule="exact"/>
        <w:ind w:firstLine="413" w:firstLineChars="196"/>
        <w:jc w:val="left"/>
        <w:rPr>
          <w:rFonts w:ascii="宋体" w:hAnsi="宋体"/>
          <w:b/>
        </w:rPr>
      </w:pPr>
      <w:r>
        <w:rPr>
          <w:rFonts w:hint="eastAsia" w:ascii="宋体" w:hAnsi="宋体"/>
          <w:b/>
        </w:rPr>
        <w:t>（4）不同供应商的竞争性磋商响应文件异常一致或磋商报价呈规律性差异；</w:t>
      </w:r>
    </w:p>
    <w:p>
      <w:pPr>
        <w:tabs>
          <w:tab w:val="left" w:pos="975"/>
        </w:tabs>
        <w:snapToGrid w:val="0"/>
        <w:spacing w:line="360" w:lineRule="exact"/>
        <w:ind w:firstLine="413" w:firstLineChars="196"/>
        <w:jc w:val="left"/>
        <w:rPr>
          <w:rFonts w:ascii="宋体" w:hAnsi="宋体"/>
          <w:b/>
        </w:rPr>
      </w:pPr>
      <w:r>
        <w:rPr>
          <w:rFonts w:hint="eastAsia" w:ascii="宋体" w:hAnsi="宋体"/>
          <w:b/>
        </w:rPr>
        <w:t>（5）不同供应商的竞争性磋商响应文件相互混装；</w:t>
      </w:r>
    </w:p>
    <w:p>
      <w:pPr>
        <w:tabs>
          <w:tab w:val="left" w:pos="975"/>
        </w:tabs>
        <w:snapToGrid w:val="0"/>
        <w:spacing w:line="360" w:lineRule="exact"/>
        <w:ind w:firstLine="413" w:firstLineChars="196"/>
        <w:jc w:val="left"/>
        <w:rPr>
          <w:rFonts w:ascii="宋体" w:hAnsi="宋体"/>
          <w:b/>
        </w:rPr>
      </w:pPr>
      <w:r>
        <w:rPr>
          <w:rFonts w:hint="eastAsia" w:ascii="宋体" w:hAnsi="宋体"/>
          <w:b/>
        </w:rPr>
        <w:t>（6）不同供应商的保证金从同一单位或者个人账户转出。</w:t>
      </w:r>
    </w:p>
    <w:p>
      <w:pPr>
        <w:tabs>
          <w:tab w:val="left" w:pos="975"/>
        </w:tabs>
        <w:snapToGrid w:val="0"/>
        <w:spacing w:line="360" w:lineRule="exact"/>
        <w:ind w:firstLine="413" w:firstLineChars="196"/>
        <w:jc w:val="left"/>
        <w:rPr>
          <w:rFonts w:ascii="宋体" w:hAnsi="宋体"/>
          <w:b/>
        </w:rPr>
      </w:pPr>
      <w:r>
        <w:rPr>
          <w:rFonts w:hint="eastAsia" w:ascii="宋体" w:hAnsi="宋体"/>
          <w:b/>
        </w:rPr>
        <w:t>3.有下列情形之一的视为关联供应商参加同一合同项下政府采购活动，竞争性磋商响应文件将被视为无效：</w:t>
      </w:r>
    </w:p>
    <w:p>
      <w:pPr>
        <w:tabs>
          <w:tab w:val="left" w:pos="975"/>
        </w:tabs>
        <w:snapToGrid w:val="0"/>
        <w:spacing w:line="360" w:lineRule="exact"/>
        <w:ind w:firstLine="413" w:firstLineChars="196"/>
        <w:jc w:val="left"/>
        <w:rPr>
          <w:rFonts w:ascii="宋体" w:hAnsi="宋体"/>
          <w:b/>
        </w:rPr>
      </w:pPr>
      <w:r>
        <w:rPr>
          <w:rFonts w:hint="eastAsia" w:ascii="宋体" w:hAnsi="宋体"/>
          <w:b/>
        </w:rPr>
        <w:t>（1）单位负责人为同一人或者存在直接控股、管理关系的不同供应商，参加同一合同项下政府采购活动；</w:t>
      </w:r>
    </w:p>
    <w:p>
      <w:pPr>
        <w:tabs>
          <w:tab w:val="left" w:pos="975"/>
        </w:tabs>
        <w:snapToGrid w:val="0"/>
        <w:spacing w:line="360" w:lineRule="exact"/>
        <w:ind w:firstLine="413" w:firstLineChars="196"/>
        <w:jc w:val="left"/>
        <w:rPr>
          <w:rFonts w:ascii="宋体" w:hAnsi="宋体"/>
          <w:b/>
        </w:rPr>
      </w:pPr>
      <w:r>
        <w:rPr>
          <w:rFonts w:hint="eastAsia" w:ascii="宋体" w:hAnsi="宋体"/>
          <w:b/>
        </w:rPr>
        <w:t>（2）生产厂商授权给供应商后又参加同一合同项下的政府采购活动；生产厂商对同一品牌同一型号的货物委托多个代理商参加磋商活动。</w:t>
      </w:r>
    </w:p>
    <w:p>
      <w:pPr>
        <w:tabs>
          <w:tab w:val="left" w:pos="975"/>
        </w:tabs>
        <w:snapToGrid w:val="0"/>
        <w:spacing w:line="360" w:lineRule="exact"/>
        <w:ind w:firstLine="413" w:firstLineChars="196"/>
        <w:jc w:val="left"/>
        <w:rPr>
          <w:b/>
        </w:rPr>
      </w:pPr>
      <w:r>
        <w:rPr>
          <w:rFonts w:hint="eastAsia"/>
          <w:b/>
        </w:rPr>
        <w:t>4. 其他竞标无效的情形：</w:t>
      </w:r>
    </w:p>
    <w:p>
      <w:pPr>
        <w:tabs>
          <w:tab w:val="left" w:pos="975"/>
        </w:tabs>
        <w:snapToGrid w:val="0"/>
        <w:spacing w:line="360" w:lineRule="exact"/>
        <w:ind w:firstLine="413" w:firstLineChars="196"/>
        <w:jc w:val="left"/>
        <w:rPr>
          <w:b/>
        </w:rPr>
      </w:pPr>
      <w:r>
        <w:rPr>
          <w:rFonts w:hint="eastAsia"/>
          <w:b/>
        </w:rPr>
        <w:t>（1）竞争性磋商响应文件未按竞争性磋商文件要求签署或CA电子签章的；</w:t>
      </w:r>
    </w:p>
    <w:p>
      <w:pPr>
        <w:tabs>
          <w:tab w:val="left" w:pos="975"/>
        </w:tabs>
        <w:snapToGrid w:val="0"/>
        <w:spacing w:line="360" w:lineRule="exact"/>
        <w:ind w:firstLine="413" w:firstLineChars="196"/>
        <w:jc w:val="left"/>
        <w:rPr>
          <w:b/>
        </w:rPr>
      </w:pPr>
      <w:r>
        <w:rPr>
          <w:rFonts w:hint="eastAsia"/>
          <w:b/>
        </w:rPr>
        <w:t>（2）供应商提交两份或两份以上内容不同的竞争性磋商响应文件；</w:t>
      </w:r>
    </w:p>
    <w:p>
      <w:pPr>
        <w:tabs>
          <w:tab w:val="left" w:pos="975"/>
        </w:tabs>
        <w:snapToGrid w:val="0"/>
        <w:spacing w:line="360" w:lineRule="exact"/>
        <w:ind w:firstLine="413" w:firstLineChars="196"/>
        <w:jc w:val="left"/>
        <w:rPr>
          <w:b/>
        </w:rPr>
      </w:pPr>
      <w:r>
        <w:rPr>
          <w:rFonts w:hint="eastAsia"/>
          <w:b/>
        </w:rPr>
        <w:t>（3）磋商供应商在线制作竞争性磋商响应文件时填写的报价金额与解密后“电子加密响应文件”中《报价文件》填写的金额不一致并拒绝按采购文件要求接受调整的；</w:t>
      </w:r>
    </w:p>
    <w:p>
      <w:pPr>
        <w:tabs>
          <w:tab w:val="left" w:pos="975"/>
        </w:tabs>
        <w:snapToGrid w:val="0"/>
        <w:spacing w:line="360" w:lineRule="exact"/>
        <w:ind w:firstLine="413" w:firstLineChars="196"/>
        <w:jc w:val="left"/>
      </w:pPr>
      <w:r>
        <w:rPr>
          <w:rFonts w:hint="eastAsia"/>
          <w:b/>
        </w:rPr>
        <w:t>（4）法律、法规和采购文件规定的其他无效情形（或出现重大偏差）。</w:t>
      </w:r>
      <w:r>
        <w:t xml:space="preserve">  </w:t>
      </w:r>
    </w:p>
    <w:p>
      <w:pPr>
        <w:tabs>
          <w:tab w:val="left" w:pos="975"/>
        </w:tabs>
        <w:snapToGrid w:val="0"/>
        <w:spacing w:line="360" w:lineRule="exact"/>
        <w:ind w:firstLine="411" w:firstLineChars="196"/>
        <w:jc w:val="left"/>
      </w:pPr>
      <w:r>
        <w:rPr>
          <w:rFonts w:hint="eastAsia" w:ascii="宋体" w:hAnsi="宋体" w:cs="宋体"/>
          <w:kern w:val="0"/>
          <w:szCs w:val="21"/>
        </w:rPr>
        <w:t>5.</w:t>
      </w:r>
      <w:r>
        <w:rPr>
          <w:rFonts w:hint="eastAsia"/>
        </w:rPr>
        <w:t xml:space="preserve"> 被拒绝的响应文件为无效。</w:t>
      </w:r>
    </w:p>
    <w:p>
      <w:pPr>
        <w:tabs>
          <w:tab w:val="left" w:pos="975"/>
        </w:tabs>
        <w:snapToGrid w:val="0"/>
        <w:spacing w:line="360" w:lineRule="exact"/>
        <w:ind w:firstLine="413" w:firstLineChars="196"/>
        <w:jc w:val="left"/>
        <w:rPr>
          <w:rFonts w:ascii="宋体" w:hAnsi="宋体" w:cs="宋体"/>
          <w:b/>
          <w:kern w:val="0"/>
          <w:szCs w:val="21"/>
        </w:rPr>
      </w:pPr>
      <w:r>
        <w:rPr>
          <w:rFonts w:hint="eastAsia" w:ascii="宋体" w:hAnsi="宋体" w:cs="宋体"/>
          <w:b/>
          <w:kern w:val="0"/>
          <w:szCs w:val="21"/>
        </w:rPr>
        <w:t>磋商供应商竞争性磋商响应文件无效的，磋商小组应当告知有关供应商。</w:t>
      </w:r>
    </w:p>
    <w:p>
      <w:pPr>
        <w:spacing w:line="380" w:lineRule="exact"/>
        <w:ind w:firstLine="420" w:firstLineChars="200"/>
        <w:rPr>
          <w:rFonts w:ascii="宋体" w:hAnsi="宋体"/>
          <w:szCs w:val="21"/>
        </w:rPr>
      </w:pPr>
      <w:r>
        <w:rPr>
          <w:rFonts w:hint="eastAsia" w:ascii="宋体" w:hAnsi="宋体"/>
          <w:szCs w:val="21"/>
        </w:rPr>
        <w:t>（二）磋商</w:t>
      </w:r>
    </w:p>
    <w:p>
      <w:pPr>
        <w:spacing w:line="380" w:lineRule="exact"/>
        <w:ind w:firstLine="420" w:firstLineChars="200"/>
        <w:rPr>
          <w:rFonts w:ascii="宋体" w:hAnsi="宋体"/>
          <w:szCs w:val="21"/>
        </w:rPr>
      </w:pPr>
      <w:r>
        <w:rPr>
          <w:rFonts w:hint="eastAsia" w:ascii="宋体" w:hAnsi="宋体"/>
          <w:szCs w:val="21"/>
        </w:rPr>
        <w:t>11.1第一轮磋商</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1.磋商会由本公司主持，主持人宣布磋商会议开始；</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 xml:space="preserve">2.主持人介绍参加磋商会的人员名单； </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3.主持人宣布磋商会议纪律及评审期间的有关事项；告知应当回避的情形,提请有关人员回避；</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4.磋商及评审程序</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（1）在磋商开始时间截止后30分钟内由各供应商自行对磋商响应文件进行解密；</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（2）由磋商小组进行资格审查和符合性审查，审查结束后，在线通知无效磋商供应商磋商响应文件无效理由，有效磋商供应商进入磋商程序。</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（3）系统对各供应商的商务技术进行汇总；</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（4）磋商小组所有成员应当集中与单一供应商分别进行在线磋商，并给予所有参加磋商的供应商平等的磋商机会。</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5）当磋商小组一致确定供应商的竞争性磋商响应文件能够详细列明采购标的的技术、服务要求且符合竞争性磋商文件要求，无需再磋商的，磋商小组按竞争性磋商文件设定的11.4、11.6程序和综合评分法确定成交候选供应商。第一轮磋商后竞争性磋商文件有实质性变动或仍需磋商的，磋商小组对竞争性磋商文件变动或提出磋商意见后进行第二轮磋商。</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11.2竞争性磋商文件变动</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对竞争性磋商文件作出的实质性变动是竞争性磋商文件的有效组成部分，磋商小组应当在询标规定时间内及时通知所有参加磋商的供应商，并要求供应商做出响应（需盖CA电子签章）。</w:t>
      </w:r>
    </w:p>
    <w:p>
      <w:pPr>
        <w:widowControl/>
        <w:tabs>
          <w:tab w:val="left" w:pos="540"/>
        </w:tabs>
        <w:spacing w:line="380" w:lineRule="exact"/>
        <w:ind w:firstLine="420" w:firstLineChars="200"/>
        <w:jc w:val="left"/>
        <w:rPr>
          <w:rFonts w:ascii="宋体" w:hAnsi="宋体"/>
          <w:szCs w:val="21"/>
        </w:rPr>
      </w:pPr>
      <w:r>
        <w:rPr>
          <w:rFonts w:hint="eastAsia" w:ascii="宋体" w:hAnsi="宋体" w:cs="宋体"/>
          <w:kern w:val="0"/>
          <w:szCs w:val="21"/>
        </w:rPr>
        <w:t>11.3第二轮磋商</w:t>
      </w:r>
    </w:p>
    <w:p>
      <w:pPr>
        <w:widowControl/>
        <w:tabs>
          <w:tab w:val="left" w:pos="540"/>
        </w:tabs>
        <w:spacing w:line="380" w:lineRule="exact"/>
        <w:ind w:firstLine="420" w:firstLineChars="200"/>
        <w:jc w:val="left"/>
        <w:rPr>
          <w:rFonts w:ascii="宋体" w:hAnsi="宋体" w:cs="宋体"/>
          <w:kern w:val="0"/>
          <w:szCs w:val="21"/>
        </w:rPr>
      </w:pPr>
      <w:r>
        <w:rPr>
          <w:rFonts w:hint="eastAsia" w:ascii="宋体" w:hAnsi="宋体" w:cs="宋体"/>
          <w:kern w:val="0"/>
          <w:szCs w:val="21"/>
        </w:rPr>
        <w:t>磋商小组集中就重新递交的响应材料或磋商小组提出的磋商意见与单一响应供应商分别进行在线磋商。</w:t>
      </w:r>
    </w:p>
    <w:p>
      <w:pPr>
        <w:widowControl/>
        <w:tabs>
          <w:tab w:val="left" w:pos="540"/>
        </w:tabs>
        <w:spacing w:line="380" w:lineRule="exact"/>
        <w:ind w:firstLine="420" w:firstLineChars="200"/>
        <w:jc w:val="left"/>
        <w:rPr>
          <w:rFonts w:ascii="宋体" w:hAnsi="宋体" w:cs="宋体"/>
          <w:kern w:val="0"/>
          <w:szCs w:val="21"/>
        </w:rPr>
      </w:pPr>
      <w:r>
        <w:rPr>
          <w:rFonts w:hint="eastAsia" w:ascii="宋体" w:hAnsi="宋体" w:cs="宋体"/>
          <w:kern w:val="0"/>
          <w:szCs w:val="21"/>
        </w:rPr>
        <w:t>磋商后，在询标规定时间内供应商根据磋商小组统一整理的磋商记录要求做出承诺（需盖CA电子签章）。</w:t>
      </w:r>
    </w:p>
    <w:p>
      <w:pPr>
        <w:widowControl/>
        <w:tabs>
          <w:tab w:val="left" w:pos="540"/>
        </w:tabs>
        <w:spacing w:line="380" w:lineRule="exact"/>
        <w:ind w:firstLine="420" w:firstLineChars="200"/>
        <w:jc w:val="left"/>
        <w:rPr>
          <w:rFonts w:ascii="宋体" w:hAnsi="宋体" w:cs="宋体"/>
          <w:kern w:val="0"/>
          <w:szCs w:val="21"/>
        </w:rPr>
      </w:pPr>
      <w:r>
        <w:rPr>
          <w:rFonts w:hint="eastAsia" w:ascii="宋体" w:hAnsi="宋体" w:cs="宋体"/>
          <w:kern w:val="0"/>
          <w:szCs w:val="21"/>
        </w:rPr>
        <w:t>当磋商小组一致确定供应商的竞争性磋商响应文件能够详细列明采购标的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pPr>
        <w:widowControl/>
        <w:tabs>
          <w:tab w:val="left" w:pos="540"/>
        </w:tabs>
        <w:spacing w:line="380" w:lineRule="exact"/>
        <w:ind w:firstLine="420" w:firstLineChars="200"/>
        <w:jc w:val="left"/>
        <w:rPr>
          <w:rFonts w:ascii="宋体" w:hAnsi="宋体" w:cs="宋体"/>
          <w:kern w:val="0"/>
          <w:szCs w:val="21"/>
        </w:rPr>
      </w:pPr>
      <w:r>
        <w:rPr>
          <w:rFonts w:hint="eastAsia" w:ascii="宋体" w:hAnsi="宋体" w:cs="宋体"/>
          <w:kern w:val="0"/>
          <w:szCs w:val="21"/>
        </w:rPr>
        <w:t>特别说明：</w:t>
      </w:r>
    </w:p>
    <w:p>
      <w:pPr>
        <w:widowControl/>
        <w:tabs>
          <w:tab w:val="left" w:pos="540"/>
        </w:tabs>
        <w:spacing w:line="380" w:lineRule="exact"/>
        <w:ind w:firstLine="420" w:firstLineChars="200"/>
        <w:jc w:val="left"/>
        <w:rPr>
          <w:rFonts w:ascii="宋体" w:hAnsi="宋体" w:cs="宋体"/>
          <w:kern w:val="0"/>
          <w:szCs w:val="21"/>
        </w:rPr>
      </w:pPr>
      <w:r>
        <w:rPr>
          <w:rFonts w:hint="eastAsia" w:ascii="宋体" w:hAnsi="宋体" w:cs="宋体"/>
          <w:kern w:val="0"/>
          <w:szCs w:val="21"/>
        </w:rPr>
        <w:t>政采云公司如对电子化开标及评审程序有调整的，按调整后的程序操作。</w:t>
      </w:r>
    </w:p>
    <w:p>
      <w:pPr>
        <w:widowControl/>
        <w:tabs>
          <w:tab w:val="left" w:pos="540"/>
        </w:tabs>
        <w:spacing w:line="380" w:lineRule="exact"/>
        <w:ind w:firstLine="420" w:firstLineChars="200"/>
        <w:jc w:val="left"/>
        <w:rPr>
          <w:rFonts w:ascii="宋体" w:hAnsi="宋体" w:cs="宋体"/>
          <w:kern w:val="0"/>
          <w:szCs w:val="21"/>
        </w:rPr>
      </w:pPr>
      <w:r>
        <w:rPr>
          <w:rFonts w:hint="eastAsia" w:ascii="宋体" w:hAnsi="宋体" w:cs="宋体"/>
          <w:kern w:val="0"/>
          <w:szCs w:val="21"/>
        </w:rPr>
        <w:t>磋商评审在严格保密的情况下进行，磋商的任何一方不得透露与磋商有关的其他供应商的技术资料、价格和其他信息。</w:t>
      </w:r>
    </w:p>
    <w:p>
      <w:pPr>
        <w:widowControl/>
        <w:tabs>
          <w:tab w:val="left" w:pos="540"/>
        </w:tabs>
        <w:spacing w:line="380" w:lineRule="exact"/>
        <w:ind w:firstLine="420" w:firstLineChars="200"/>
        <w:jc w:val="left"/>
        <w:rPr>
          <w:rFonts w:ascii="宋体" w:hAnsi="宋体" w:cs="宋体"/>
          <w:kern w:val="0"/>
          <w:szCs w:val="21"/>
        </w:rPr>
      </w:pPr>
      <w:r>
        <w:rPr>
          <w:rFonts w:hint="eastAsia" w:ascii="宋体" w:hAnsi="宋体" w:cs="宋体"/>
          <w:kern w:val="0"/>
          <w:szCs w:val="21"/>
        </w:rPr>
        <w:t>电子磋商过程中需要供应商在线确认的所有内容，供应商不予确认的应说明理由，超过规定时间未确认的，将被视为放弃确认或者无异议。</w:t>
      </w:r>
    </w:p>
    <w:p>
      <w:pPr>
        <w:widowControl/>
        <w:tabs>
          <w:tab w:val="left" w:pos="540"/>
        </w:tabs>
        <w:spacing w:line="380" w:lineRule="exact"/>
        <w:ind w:firstLine="420" w:firstLineChars="200"/>
        <w:jc w:val="left"/>
        <w:rPr>
          <w:rFonts w:ascii="宋体" w:hAnsi="宋体"/>
          <w:szCs w:val="21"/>
        </w:rPr>
      </w:pPr>
      <w:r>
        <w:rPr>
          <w:rFonts w:hint="eastAsia" w:ascii="宋体" w:hAnsi="宋体" w:cs="宋体"/>
          <w:kern w:val="0"/>
          <w:szCs w:val="21"/>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widowControl/>
        <w:tabs>
          <w:tab w:val="left" w:pos="540"/>
        </w:tabs>
        <w:spacing w:line="380" w:lineRule="exact"/>
        <w:ind w:firstLine="420" w:firstLineChars="200"/>
        <w:jc w:val="left"/>
        <w:rPr>
          <w:rFonts w:ascii="宋体" w:hAnsi="宋体"/>
          <w:szCs w:val="21"/>
        </w:rPr>
      </w:pPr>
      <w:r>
        <w:rPr>
          <w:rFonts w:hint="eastAsia" w:ascii="宋体" w:hAnsi="宋体"/>
          <w:szCs w:val="21"/>
        </w:rPr>
        <w:t>11.4最后报价及成交候选供应商推荐</w:t>
      </w:r>
    </w:p>
    <w:p>
      <w:pPr>
        <w:widowControl/>
        <w:tabs>
          <w:tab w:val="left" w:pos="540"/>
        </w:tabs>
        <w:spacing w:line="360" w:lineRule="exact"/>
        <w:ind w:firstLine="420" w:firstLineChars="200"/>
        <w:jc w:val="left"/>
        <w:rPr>
          <w:rFonts w:ascii="宋体" w:hAnsi="宋体" w:cs="宋体"/>
          <w:kern w:val="0"/>
          <w:szCs w:val="21"/>
        </w:rPr>
      </w:pPr>
      <w:r>
        <w:rPr>
          <w:rFonts w:hint="eastAsia" w:ascii="宋体" w:hAnsi="宋体" w:cs="宋体"/>
          <w:kern w:val="0"/>
          <w:szCs w:val="21"/>
        </w:rPr>
        <w:t>磋商结束后，磋商小组要求所有继续参加磋商的供应商在规定时间内在线提交最后报价。继续参加磋商的供应商作最后报价，由其法定代表人(负责人)或授权代表CA电子签章后提交。</w:t>
      </w:r>
    </w:p>
    <w:p>
      <w:pPr>
        <w:widowControl/>
        <w:tabs>
          <w:tab w:val="left" w:pos="540"/>
        </w:tabs>
        <w:spacing w:line="360" w:lineRule="exact"/>
        <w:ind w:firstLine="420" w:firstLineChars="200"/>
        <w:jc w:val="left"/>
        <w:rPr>
          <w:rFonts w:ascii="宋体" w:hAnsi="宋体" w:cs="宋体"/>
          <w:kern w:val="0"/>
          <w:szCs w:val="21"/>
        </w:rPr>
      </w:pPr>
      <w:r>
        <w:rPr>
          <w:rFonts w:hint="eastAsia" w:ascii="宋体" w:hAnsi="宋体" w:cs="宋体"/>
          <w:kern w:val="0"/>
          <w:szCs w:val="21"/>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tabs>
          <w:tab w:val="left" w:pos="540"/>
        </w:tabs>
        <w:spacing w:line="360" w:lineRule="exact"/>
        <w:ind w:firstLine="420" w:firstLineChars="200"/>
        <w:jc w:val="left"/>
        <w:rPr>
          <w:rFonts w:ascii="宋体" w:hAnsi="宋体" w:cs="宋体"/>
          <w:kern w:val="0"/>
          <w:szCs w:val="21"/>
        </w:rPr>
      </w:pPr>
      <w:r>
        <w:rPr>
          <w:rFonts w:hint="eastAsia" w:ascii="宋体" w:hAnsi="宋体" w:cs="宋体"/>
          <w:kern w:val="0"/>
          <w:szCs w:val="21"/>
        </w:rPr>
        <w:t>磋商小组按照少数服从多数的原则推荐成交候选供应商，采购程序继续进行。对评审报告有异议的磋商小组成员，应当明确不同意见并说明理由。磋商小组成员拒绝提出理由的，视为同意评审结果。</w:t>
      </w:r>
    </w:p>
    <w:p>
      <w:pPr>
        <w:widowControl/>
        <w:tabs>
          <w:tab w:val="left" w:pos="540"/>
        </w:tabs>
        <w:spacing w:line="360" w:lineRule="exact"/>
        <w:ind w:firstLine="420" w:firstLineChars="200"/>
        <w:jc w:val="left"/>
        <w:rPr>
          <w:rFonts w:ascii="宋体" w:hAnsi="宋体"/>
          <w:szCs w:val="21"/>
        </w:rPr>
      </w:pPr>
      <w:r>
        <w:rPr>
          <w:rFonts w:hint="eastAsia" w:ascii="宋体" w:hAnsi="宋体"/>
          <w:szCs w:val="21"/>
        </w:rPr>
        <w:t>11.5供应商的报价均超过了政府采购最高限价，采购人不能支付的，磋商活动终止。</w:t>
      </w:r>
    </w:p>
    <w:p>
      <w:pPr>
        <w:widowControl/>
        <w:tabs>
          <w:tab w:val="left" w:pos="540"/>
        </w:tabs>
        <w:spacing w:line="360" w:lineRule="exact"/>
        <w:ind w:firstLine="420" w:firstLineChars="200"/>
        <w:jc w:val="left"/>
        <w:rPr>
          <w:rFonts w:ascii="宋体" w:hAnsi="宋体"/>
        </w:rPr>
      </w:pPr>
      <w:r>
        <w:rPr>
          <w:rFonts w:hint="eastAsia" w:ascii="宋体" w:hAnsi="宋体"/>
          <w:szCs w:val="21"/>
        </w:rPr>
        <w:t>11.6</w:t>
      </w:r>
      <w:r>
        <w:rPr>
          <w:rFonts w:hint="eastAsia"/>
        </w:rPr>
        <w:t>本采购</w:t>
      </w:r>
      <w:r>
        <w:rPr>
          <w:rFonts w:hint="eastAsia" w:ascii="宋体" w:hAnsi="宋体"/>
        </w:rPr>
        <w:t>项目的评审依据为竞争性磋商文件和竞争性磋商响应文件，采用的评标方法为</w:t>
      </w:r>
      <w:r>
        <w:rPr>
          <w:rFonts w:hint="eastAsia" w:ascii="宋体" w:hAnsi="宋体"/>
          <w:b/>
        </w:rPr>
        <w:t>综合评分法</w:t>
      </w:r>
      <w:r>
        <w:rPr>
          <w:rFonts w:hint="eastAsia" w:ascii="宋体" w:hAnsi="宋体"/>
        </w:rPr>
        <w:t>。</w:t>
      </w:r>
    </w:p>
    <w:p>
      <w:pPr>
        <w:widowControl/>
        <w:tabs>
          <w:tab w:val="left" w:pos="540"/>
        </w:tabs>
        <w:spacing w:line="360" w:lineRule="exact"/>
        <w:ind w:firstLine="420" w:firstLineChars="200"/>
        <w:jc w:val="left"/>
        <w:rPr>
          <w:rFonts w:ascii="宋体" w:hAnsi="宋体"/>
        </w:rPr>
      </w:pPr>
      <w:r>
        <w:rPr>
          <w:rFonts w:hint="eastAsia" w:ascii="宋体" w:hAnsi="宋体"/>
        </w:rPr>
        <w:t>11.7可中止电子交易活动的情形</w:t>
      </w:r>
    </w:p>
    <w:p>
      <w:pPr>
        <w:widowControl/>
        <w:tabs>
          <w:tab w:val="left" w:pos="540"/>
        </w:tabs>
        <w:spacing w:line="360" w:lineRule="exact"/>
        <w:ind w:firstLine="420" w:firstLineChars="200"/>
        <w:jc w:val="left"/>
        <w:rPr>
          <w:rFonts w:ascii="宋体" w:hAnsi="宋体"/>
        </w:rPr>
      </w:pPr>
      <w:r>
        <w:rPr>
          <w:rFonts w:hint="eastAsia" w:ascii="宋体" w:hAnsi="宋体"/>
        </w:rPr>
        <w:t>采购过程中出现以下情形，导致电子交易平台无法正常运行，或者无法保证电子交易的公平、公正和安全时，本公司可中止电子交易活动：</w:t>
      </w:r>
    </w:p>
    <w:p>
      <w:pPr>
        <w:widowControl/>
        <w:tabs>
          <w:tab w:val="left" w:pos="540"/>
        </w:tabs>
        <w:spacing w:line="360" w:lineRule="exact"/>
        <w:ind w:firstLine="420" w:firstLineChars="200"/>
        <w:jc w:val="left"/>
        <w:rPr>
          <w:rFonts w:ascii="宋体" w:hAnsi="宋体"/>
        </w:rPr>
      </w:pPr>
      <w:r>
        <w:rPr>
          <w:rFonts w:hint="eastAsia" w:ascii="宋体" w:hAnsi="宋体"/>
        </w:rPr>
        <w:t>(1)电子交易平台发生故障而无法登录访问的；</w:t>
      </w:r>
    </w:p>
    <w:p>
      <w:pPr>
        <w:widowControl/>
        <w:tabs>
          <w:tab w:val="left" w:pos="540"/>
        </w:tabs>
        <w:spacing w:line="360" w:lineRule="exact"/>
        <w:ind w:firstLine="420" w:firstLineChars="200"/>
        <w:jc w:val="left"/>
        <w:rPr>
          <w:rFonts w:ascii="宋体" w:hAnsi="宋体"/>
        </w:rPr>
      </w:pPr>
      <w:r>
        <w:rPr>
          <w:rFonts w:hint="eastAsia" w:ascii="宋体" w:hAnsi="宋体"/>
        </w:rPr>
        <w:t>(2)电子交易平台应用或数据库出现错误，不能进行正常操作的；</w:t>
      </w:r>
    </w:p>
    <w:p>
      <w:pPr>
        <w:widowControl/>
        <w:tabs>
          <w:tab w:val="left" w:pos="540"/>
        </w:tabs>
        <w:spacing w:line="360" w:lineRule="exact"/>
        <w:ind w:firstLine="420" w:firstLineChars="200"/>
        <w:jc w:val="left"/>
        <w:rPr>
          <w:rFonts w:ascii="宋体" w:hAnsi="宋体"/>
        </w:rPr>
      </w:pPr>
      <w:r>
        <w:rPr>
          <w:rFonts w:hint="eastAsia" w:ascii="宋体" w:hAnsi="宋体"/>
        </w:rPr>
        <w:t>(3)电子交易平台发现严重安全漏洞，有潜在泄密危险的；</w:t>
      </w:r>
    </w:p>
    <w:p>
      <w:pPr>
        <w:widowControl/>
        <w:tabs>
          <w:tab w:val="left" w:pos="540"/>
        </w:tabs>
        <w:spacing w:line="360" w:lineRule="exact"/>
        <w:ind w:firstLine="420" w:firstLineChars="200"/>
        <w:jc w:val="left"/>
        <w:rPr>
          <w:rFonts w:ascii="宋体" w:hAnsi="宋体"/>
        </w:rPr>
      </w:pPr>
      <w:r>
        <w:rPr>
          <w:rFonts w:hint="eastAsia" w:ascii="宋体" w:hAnsi="宋体"/>
        </w:rPr>
        <w:t>(4)病毒发作导致不能进行正常操作的；</w:t>
      </w:r>
    </w:p>
    <w:p>
      <w:pPr>
        <w:widowControl/>
        <w:tabs>
          <w:tab w:val="left" w:pos="540"/>
        </w:tabs>
        <w:spacing w:line="360" w:lineRule="exact"/>
        <w:ind w:firstLine="420" w:firstLineChars="200"/>
        <w:jc w:val="left"/>
        <w:rPr>
          <w:rFonts w:ascii="宋体" w:hAnsi="宋体"/>
        </w:rPr>
      </w:pPr>
      <w:r>
        <w:rPr>
          <w:rFonts w:hint="eastAsia" w:ascii="宋体" w:hAnsi="宋体"/>
        </w:rPr>
        <w:t>(5)其他无法保证电子交易的公平、公正和安全的情况。</w:t>
      </w:r>
    </w:p>
    <w:p>
      <w:pPr>
        <w:widowControl/>
        <w:tabs>
          <w:tab w:val="left" w:pos="540"/>
        </w:tabs>
        <w:spacing w:line="360" w:lineRule="exact"/>
        <w:ind w:firstLine="420" w:firstLineChars="200"/>
        <w:jc w:val="left"/>
        <w:rPr>
          <w:rFonts w:ascii="宋体" w:hAnsi="宋体"/>
        </w:rPr>
      </w:pPr>
      <w:r>
        <w:rPr>
          <w:rFonts w:hint="eastAsia" w:ascii="宋体" w:hAnsi="宋体"/>
        </w:rPr>
        <w:t>出现前款规定情形，不影响采购公平、公正性的，本公司待上述情形消除后继续组织电子交易活动；影响或可能影响采购公平、公正性的，重新组织采购活动。</w:t>
      </w:r>
    </w:p>
    <w:p>
      <w:pPr>
        <w:widowControl/>
        <w:tabs>
          <w:tab w:val="left" w:pos="540"/>
        </w:tabs>
        <w:spacing w:line="360" w:lineRule="exact"/>
        <w:ind w:firstLine="420" w:firstLineChars="200"/>
        <w:jc w:val="left"/>
        <w:rPr>
          <w:rFonts w:ascii="宋体" w:hAnsi="宋体"/>
        </w:rPr>
      </w:pPr>
      <w:r>
        <w:rPr>
          <w:rFonts w:hint="eastAsia" w:ascii="宋体" w:hAnsi="宋体"/>
        </w:rPr>
        <w:t>11.8.终止竞争性磋商采购活动</w:t>
      </w:r>
    </w:p>
    <w:p>
      <w:pPr>
        <w:widowControl/>
        <w:tabs>
          <w:tab w:val="left" w:pos="540"/>
        </w:tabs>
        <w:spacing w:line="360" w:lineRule="exact"/>
        <w:ind w:firstLine="420" w:firstLineChars="200"/>
        <w:jc w:val="left"/>
        <w:rPr>
          <w:rFonts w:ascii="宋体" w:hAnsi="宋体"/>
        </w:rPr>
      </w:pPr>
      <w:r>
        <w:rPr>
          <w:rFonts w:hint="eastAsia" w:ascii="宋体" w:hAnsi="宋体"/>
        </w:rPr>
        <w:t>在竞争性磋商采购活动过程中，出现下列情形之一的，采购人或者本公司将终止竞争性磋商采购活动，发布项目终止公告并说明原因，重新开展采购活动：</w:t>
      </w:r>
    </w:p>
    <w:p>
      <w:pPr>
        <w:widowControl/>
        <w:tabs>
          <w:tab w:val="left" w:pos="540"/>
        </w:tabs>
        <w:spacing w:line="360" w:lineRule="exact"/>
        <w:ind w:firstLine="420" w:firstLineChars="200"/>
        <w:jc w:val="left"/>
        <w:rPr>
          <w:rFonts w:ascii="宋体" w:hAnsi="宋体"/>
        </w:rPr>
      </w:pPr>
      <w:r>
        <w:rPr>
          <w:rFonts w:hint="eastAsia" w:ascii="宋体" w:hAnsi="宋体"/>
        </w:rPr>
        <w:t>(1)因情况变化，不再符合规定的竞争性磋商采购方式适用情形的；</w:t>
      </w:r>
    </w:p>
    <w:p>
      <w:pPr>
        <w:widowControl/>
        <w:tabs>
          <w:tab w:val="left" w:pos="540"/>
        </w:tabs>
        <w:spacing w:line="360" w:lineRule="exact"/>
        <w:ind w:firstLine="420" w:firstLineChars="200"/>
        <w:jc w:val="left"/>
        <w:rPr>
          <w:rFonts w:ascii="宋体" w:hAnsi="宋体"/>
        </w:rPr>
      </w:pPr>
      <w:r>
        <w:rPr>
          <w:rFonts w:hint="eastAsia" w:ascii="宋体" w:hAnsi="宋体"/>
        </w:rPr>
        <w:t>(2)出现影响采购公正的违法、违规行为的；</w:t>
      </w:r>
    </w:p>
    <w:p>
      <w:pPr>
        <w:widowControl/>
        <w:tabs>
          <w:tab w:val="left" w:pos="540"/>
        </w:tabs>
        <w:spacing w:line="360" w:lineRule="exact"/>
        <w:ind w:firstLine="420" w:firstLineChars="200"/>
        <w:jc w:val="left"/>
        <w:rPr>
          <w:rFonts w:ascii="宋体" w:hAnsi="宋体"/>
        </w:rPr>
      </w:pPr>
      <w:r>
        <w:rPr>
          <w:rFonts w:hint="eastAsia" w:ascii="宋体" w:hAnsi="宋体"/>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widowControl/>
        <w:tabs>
          <w:tab w:val="left" w:pos="540"/>
        </w:tabs>
        <w:spacing w:line="360" w:lineRule="exact"/>
        <w:ind w:firstLine="420" w:firstLineChars="200"/>
        <w:jc w:val="left"/>
        <w:rPr>
          <w:rFonts w:ascii="宋体" w:hAnsi="宋体"/>
        </w:rPr>
      </w:pPr>
      <w:r>
        <w:rPr>
          <w:rFonts w:hint="eastAsia" w:ascii="宋体" w:hAnsi="宋体"/>
        </w:rPr>
        <w:t>在采购活动中因重大变故，采购任务取消的，采购人或者本公司将终止采购活动，通知所有参加采购活动的供应商，并将项目实施情况和采购任务取消原因报送本级财政部门。</w:t>
      </w:r>
    </w:p>
    <w:p>
      <w:pPr>
        <w:widowControl/>
        <w:tabs>
          <w:tab w:val="left" w:pos="540"/>
        </w:tabs>
        <w:spacing w:line="360" w:lineRule="exact"/>
        <w:ind w:firstLine="422" w:firstLineChars="200"/>
        <w:jc w:val="left"/>
        <w:rPr>
          <w:rFonts w:ascii="宋体" w:hAnsi="宋体"/>
          <w:b/>
          <w:szCs w:val="21"/>
        </w:rPr>
      </w:pPr>
      <w:r>
        <w:rPr>
          <w:rFonts w:hint="eastAsia" w:ascii="宋体" w:hAnsi="宋体"/>
          <w:b/>
          <w:szCs w:val="21"/>
        </w:rPr>
        <w:t>七、确定成交供应商办法</w:t>
      </w:r>
    </w:p>
    <w:p>
      <w:pPr>
        <w:widowControl/>
        <w:tabs>
          <w:tab w:val="left" w:pos="540"/>
        </w:tabs>
        <w:spacing w:line="360" w:lineRule="exact"/>
        <w:ind w:firstLine="420" w:firstLineChars="200"/>
        <w:jc w:val="left"/>
        <w:rPr>
          <w:rFonts w:ascii="宋体" w:hAnsi="宋体" w:cs="宋体"/>
          <w:kern w:val="0"/>
          <w:szCs w:val="21"/>
        </w:rPr>
      </w:pPr>
      <w:r>
        <w:rPr>
          <w:rFonts w:hint="eastAsia" w:ascii="宋体" w:hAnsi="宋体" w:cs="宋体"/>
          <w:kern w:val="0"/>
          <w:szCs w:val="21"/>
        </w:rPr>
        <w:t>12.</w:t>
      </w:r>
      <w:r>
        <w:rPr>
          <w:rFonts w:ascii="宋体" w:hAnsi="宋体" w:cs="宋体"/>
          <w:kern w:val="0"/>
          <w:szCs w:val="21"/>
        </w:rPr>
        <w:t>根据以下原则确定成交供应商：</w:t>
      </w:r>
      <w:r>
        <w:rPr>
          <w:rFonts w:hint="eastAsia" w:ascii="宋体" w:hAnsi="宋体" w:cs="宋体"/>
          <w:kern w:val="0"/>
          <w:szCs w:val="21"/>
        </w:rPr>
        <w:t>质量和服务均能满足</w:t>
      </w:r>
      <w:r>
        <w:rPr>
          <w:rFonts w:hint="eastAsia"/>
        </w:rPr>
        <w:t>竞争性磋商文件</w:t>
      </w:r>
      <w:r>
        <w:rPr>
          <w:rFonts w:hint="eastAsia" w:ascii="宋体" w:hAnsi="宋体" w:cs="宋体"/>
          <w:kern w:val="0"/>
          <w:szCs w:val="21"/>
        </w:rPr>
        <w:t>实质性响应要求的供应商中</w:t>
      </w:r>
      <w:r>
        <w:rPr>
          <w:rFonts w:ascii="宋体" w:hAnsi="宋体" w:cs="宋体"/>
          <w:kern w:val="0"/>
          <w:szCs w:val="21"/>
        </w:rPr>
        <w:t>按综合评分法</w:t>
      </w:r>
      <w:r>
        <w:rPr>
          <w:rFonts w:hint="eastAsia" w:ascii="宋体" w:hAnsi="宋体" w:cs="宋体"/>
          <w:kern w:val="0"/>
          <w:szCs w:val="21"/>
        </w:rPr>
        <w:t>的成交候选供应商推荐原则</w:t>
      </w:r>
      <w:r>
        <w:rPr>
          <w:rFonts w:ascii="宋体" w:hAnsi="宋体" w:cs="宋体"/>
          <w:kern w:val="0"/>
          <w:szCs w:val="21"/>
        </w:rPr>
        <w:t>确定成交供应商</w:t>
      </w:r>
      <w:r>
        <w:rPr>
          <w:rFonts w:hint="eastAsia" w:ascii="宋体" w:hAnsi="宋体" w:cs="宋体"/>
          <w:kern w:val="0"/>
          <w:szCs w:val="21"/>
        </w:rPr>
        <w:t>。</w:t>
      </w:r>
    </w:p>
    <w:p>
      <w:pPr>
        <w:widowControl/>
        <w:tabs>
          <w:tab w:val="left" w:pos="540"/>
        </w:tabs>
        <w:spacing w:line="360" w:lineRule="exact"/>
        <w:ind w:firstLine="422" w:firstLineChars="200"/>
        <w:jc w:val="left"/>
        <w:rPr>
          <w:rFonts w:hAnsi="宋体"/>
          <w:b/>
        </w:rPr>
      </w:pPr>
      <w:r>
        <w:rPr>
          <w:rFonts w:hint="eastAsia" w:hAnsi="宋体"/>
          <w:b/>
        </w:rPr>
        <w:t>八、成交结果公告</w:t>
      </w:r>
    </w:p>
    <w:p>
      <w:pPr>
        <w:widowControl/>
        <w:tabs>
          <w:tab w:val="left" w:pos="540"/>
        </w:tabs>
        <w:wordWrap w:val="0"/>
        <w:spacing w:line="360" w:lineRule="exact"/>
        <w:ind w:firstLine="420" w:firstLineChars="200"/>
        <w:jc w:val="left"/>
        <w:rPr>
          <w:rFonts w:hAnsi="宋体"/>
        </w:rPr>
      </w:pPr>
      <w:r>
        <w:rPr>
          <w:rFonts w:hint="eastAsia" w:ascii="宋体" w:hAnsi="宋体" w:cs="宋体"/>
          <w:kern w:val="0"/>
          <w:szCs w:val="21"/>
        </w:rPr>
        <w:t>13.1</w:t>
      </w:r>
      <w:r>
        <w:rPr>
          <w:rFonts w:hint="eastAsia" w:hAnsi="宋体"/>
        </w:rPr>
        <w:t>采购代理机构在评审结束后2个工作日内将磋商评审报告送采购人确认，</w:t>
      </w:r>
      <w:r>
        <w:rPr>
          <w:rFonts w:hint="eastAsia" w:hAnsi="宋体" w:cs="宋体"/>
          <w:kern w:val="0"/>
        </w:rPr>
        <w:t>采购人</w:t>
      </w:r>
      <w:r>
        <w:rPr>
          <w:rFonts w:hint="eastAsia" w:hAnsi="宋体"/>
        </w:rPr>
        <w:t>确认后，成交结果公告将在财政部门指定的政府采购信息发布媒体上发布，</w:t>
      </w:r>
      <w:r>
        <w:rPr>
          <w:rFonts w:hint="eastAsia" w:hAnsi="宋体" w:cs="宋体"/>
          <w:kern w:val="0"/>
        </w:rPr>
        <w:t>同时向成交供应商发出成交通知书</w:t>
      </w:r>
      <w:r>
        <w:rPr>
          <w:rFonts w:hint="eastAsia" w:hAnsi="宋体"/>
        </w:rPr>
        <w:t>。</w:t>
      </w:r>
    </w:p>
    <w:p>
      <w:pPr>
        <w:pStyle w:val="21"/>
        <w:spacing w:line="380" w:lineRule="exact"/>
        <w:ind w:left="105" w:firstLine="315"/>
        <w:rPr>
          <w:rFonts w:hAnsi="宋体"/>
          <w:bCs/>
        </w:rPr>
      </w:pPr>
      <w:r>
        <w:rPr>
          <w:rFonts w:hint="eastAsia" w:hAnsi="宋体"/>
        </w:rPr>
        <w:t>13.2磋商供应商</w:t>
      </w:r>
      <w:r>
        <w:rPr>
          <w:rFonts w:hint="eastAsia" w:hAnsi="宋体" w:cs="宋体"/>
          <w:kern w:val="0"/>
        </w:rPr>
        <w:t>认为采购过程、成交结果使自己的权益受到损害的</w:t>
      </w:r>
      <w:r>
        <w:rPr>
          <w:rFonts w:hint="eastAsia" w:hAnsi="宋体"/>
        </w:rPr>
        <w:t>，</w:t>
      </w:r>
      <w:r>
        <w:rPr>
          <w:rFonts w:hint="eastAsia" w:hAnsi="宋体" w:cs="宋体"/>
          <w:kern w:val="0"/>
        </w:rPr>
        <w:t>可以在成交结果公告期限届满之日起</w:t>
      </w:r>
      <w:r>
        <w:rPr>
          <w:rFonts w:hint="eastAsia" w:hAnsi="宋体"/>
          <w:bCs/>
        </w:rPr>
        <w:t>七个工作日内以书面形式向采购代理机构提出质疑</w:t>
      </w:r>
      <w:r>
        <w:rPr>
          <w:rFonts w:hint="eastAsia" w:hAnsi="宋体"/>
        </w:rPr>
        <w:t>，供应商在法定质疑期内必须一次性提出针对同一采购程序环节的质疑</w:t>
      </w:r>
      <w:r>
        <w:rPr>
          <w:rFonts w:hint="eastAsia" w:hAnsi="宋体"/>
          <w:bCs/>
        </w:rPr>
        <w:t>。采购代理机构将在收到</w:t>
      </w:r>
      <w:r>
        <w:rPr>
          <w:rFonts w:hint="eastAsia" w:hAnsi="宋体"/>
        </w:rPr>
        <w:t>磋商供应商</w:t>
      </w:r>
      <w:r>
        <w:rPr>
          <w:rFonts w:hint="eastAsia" w:hAnsi="宋体"/>
          <w:bCs/>
        </w:rPr>
        <w:t>的书面质疑后七个工作日内做出答复，但答复的内容不得涉及商业秘密。</w:t>
      </w:r>
    </w:p>
    <w:p>
      <w:pPr>
        <w:pStyle w:val="21"/>
        <w:spacing w:line="380" w:lineRule="exact"/>
        <w:ind w:firstLine="420"/>
        <w:rPr>
          <w:rFonts w:hAnsi="宋体"/>
          <w:bCs/>
        </w:rPr>
      </w:pPr>
      <w:r>
        <w:rPr>
          <w:rFonts w:hint="eastAsia" w:hAnsi="宋体"/>
        </w:rPr>
        <w:t>13.3</w:t>
      </w:r>
      <w:r>
        <w:rPr>
          <w:rFonts w:hint="eastAsia" w:hAnsi="宋体"/>
          <w:bCs/>
        </w:rPr>
        <w:t>质疑</w:t>
      </w:r>
      <w:r>
        <w:rPr>
          <w:rFonts w:hint="eastAsia" w:hAnsi="宋体"/>
        </w:rPr>
        <w:t>磋商供应商</w:t>
      </w:r>
      <w:r>
        <w:rPr>
          <w:rFonts w:hint="eastAsia" w:hAnsi="宋体"/>
          <w:bCs/>
        </w:rPr>
        <w:t>必须首先经过质疑程序，在对采购代理机构的答复不满意或者采购代理机构未在规定的时间内做出答复的，可以在答复期满后十五个工作日内书面向相关监督管理部门投诉。</w:t>
      </w:r>
    </w:p>
    <w:p>
      <w:pPr>
        <w:pStyle w:val="21"/>
        <w:spacing w:line="340" w:lineRule="exact"/>
        <w:ind w:firstLine="420" w:firstLineChars="200"/>
        <w:rPr>
          <w:rFonts w:hAnsi="宋体"/>
        </w:rPr>
      </w:pPr>
      <w:r>
        <w:rPr>
          <w:rFonts w:hint="eastAsia" w:hAnsi="宋体"/>
        </w:rPr>
        <w:t xml:space="preserve">质疑联系部门及电话为：天勤工程咨询有限公司     </w:t>
      </w:r>
      <w:r>
        <w:rPr>
          <w:rFonts w:hAnsi="宋体"/>
        </w:rPr>
        <w:t>0771-5784126</w:t>
      </w:r>
    </w:p>
    <w:p>
      <w:pPr>
        <w:pStyle w:val="21"/>
        <w:spacing w:line="380" w:lineRule="exact"/>
        <w:ind w:firstLine="420"/>
        <w:rPr>
          <w:rFonts w:hAnsi="宋体"/>
        </w:rPr>
      </w:pPr>
      <w:r>
        <w:rPr>
          <w:rFonts w:hint="eastAsia" w:hAnsi="宋体"/>
        </w:rPr>
        <w:t>通讯地址：南宁市民族大道</w:t>
      </w:r>
      <w:r>
        <w:rPr>
          <w:rFonts w:hAnsi="宋体"/>
        </w:rPr>
        <w:t>157</w:t>
      </w:r>
      <w:r>
        <w:rPr>
          <w:rFonts w:hint="eastAsia" w:hAnsi="宋体"/>
        </w:rPr>
        <w:t>号财富国际广场</w:t>
      </w:r>
      <w:r>
        <w:rPr>
          <w:rFonts w:hAnsi="宋体"/>
        </w:rPr>
        <w:t>3</w:t>
      </w:r>
      <w:r>
        <w:rPr>
          <w:rFonts w:hint="eastAsia" w:hAnsi="宋体"/>
        </w:rPr>
        <w:t>号楼</w:t>
      </w:r>
      <w:r>
        <w:rPr>
          <w:rFonts w:hAnsi="宋体"/>
        </w:rPr>
        <w:t>2</w:t>
      </w:r>
      <w:r>
        <w:rPr>
          <w:rFonts w:hint="eastAsia" w:hAnsi="宋体"/>
        </w:rPr>
        <w:t>5</w:t>
      </w:r>
      <w:r>
        <w:rPr>
          <w:rFonts w:hAnsi="宋体"/>
        </w:rPr>
        <w:t>01</w:t>
      </w:r>
    </w:p>
    <w:p>
      <w:pPr>
        <w:pStyle w:val="21"/>
        <w:spacing w:line="380" w:lineRule="exact"/>
        <w:ind w:firstLine="420"/>
        <w:rPr>
          <w:rFonts w:hAnsi="宋体"/>
          <w:b/>
        </w:rPr>
      </w:pPr>
      <w:r>
        <w:rPr>
          <w:rFonts w:hint="eastAsia" w:hAnsi="宋体"/>
          <w:b/>
        </w:rPr>
        <w:t>九、签订合同</w:t>
      </w:r>
    </w:p>
    <w:p>
      <w:pPr>
        <w:pStyle w:val="21"/>
        <w:spacing w:line="380" w:lineRule="exact"/>
        <w:ind w:firstLine="420"/>
        <w:rPr>
          <w:rFonts w:hAnsi="宋体"/>
        </w:rPr>
      </w:pPr>
      <w:r>
        <w:rPr>
          <w:rFonts w:hint="eastAsia" w:hAnsi="宋体"/>
        </w:rPr>
        <w:t>14.1成交供应商自成交通知书发出之日起</w:t>
      </w:r>
      <w:r>
        <w:rPr>
          <w:rFonts w:hint="eastAsia" w:hAnsi="宋体"/>
          <w:b/>
        </w:rPr>
        <w:t>25日</w:t>
      </w:r>
      <w:r>
        <w:rPr>
          <w:rFonts w:hint="eastAsia" w:hAnsi="宋体"/>
        </w:rPr>
        <w:t>内与采购人签订合同。</w:t>
      </w:r>
    </w:p>
    <w:p>
      <w:pPr>
        <w:pStyle w:val="21"/>
        <w:spacing w:line="380" w:lineRule="exact"/>
        <w:ind w:firstLine="420"/>
        <w:rPr>
          <w:rFonts w:hAnsi="宋体" w:cs="宋体"/>
          <w:kern w:val="0"/>
        </w:rPr>
      </w:pPr>
      <w:r>
        <w:rPr>
          <w:rFonts w:hint="eastAsia" w:hAnsi="宋体"/>
        </w:rPr>
        <w:t>14.2</w:t>
      </w:r>
      <w:r>
        <w:rPr>
          <w:rFonts w:hint="eastAsia" w:hAnsi="宋体" w:cs="宋体"/>
          <w:kern w:val="0"/>
        </w:rPr>
        <w:t>成交供应商拒绝签订政府采购合同的</w:t>
      </w:r>
      <w:r>
        <w:rPr>
          <w:rFonts w:hint="eastAsia" w:hAnsi="宋体"/>
        </w:rPr>
        <w:t>，采购人可以根据磋商评审报告确定成交供应商之后排名第一的成交候选供应商</w:t>
      </w:r>
      <w:r>
        <w:rPr>
          <w:rFonts w:hint="eastAsia" w:hAnsi="宋体" w:cs="宋体"/>
          <w:kern w:val="0"/>
        </w:rPr>
        <w:t>作为</w:t>
      </w:r>
      <w:r>
        <w:rPr>
          <w:rFonts w:hint="eastAsia" w:hAnsi="宋体"/>
        </w:rPr>
        <w:t>成交供应商</w:t>
      </w:r>
      <w:r>
        <w:rPr>
          <w:rFonts w:hint="eastAsia" w:hAnsi="宋体" w:cs="宋体"/>
          <w:kern w:val="0"/>
        </w:rPr>
        <w:t>并签订政府采购合同，也可以重新开展采购活动。拒绝签订政府采购合同的成交供应商不得参加对该项目重新开展的采购活动。</w:t>
      </w:r>
    </w:p>
    <w:p>
      <w:pPr>
        <w:pStyle w:val="21"/>
        <w:spacing w:line="380" w:lineRule="exact"/>
        <w:ind w:firstLine="420"/>
        <w:rPr>
          <w:rFonts w:hAnsi="宋体"/>
          <w:b/>
        </w:rPr>
      </w:pPr>
      <w:r>
        <w:rPr>
          <w:rFonts w:hint="eastAsia"/>
          <w:b/>
        </w:rPr>
        <w:t>14.3</w:t>
      </w:r>
      <w:r>
        <w:rPr>
          <w:rFonts w:hint="eastAsia" w:hAnsi="宋体" w:cs="宋体"/>
          <w:b/>
          <w:kern w:val="0"/>
        </w:rPr>
        <w:t>成交供应商拒绝签订政府采购合同的</w:t>
      </w:r>
      <w:r>
        <w:rPr>
          <w:rFonts w:hint="eastAsia"/>
          <w:b/>
        </w:rPr>
        <w:t>，其保证金将不予退还，并上缴国库，给采购人造成损失的，还应当赔偿损失，并作为不良行为记录在案</w:t>
      </w:r>
      <w:r>
        <w:rPr>
          <w:rFonts w:hint="eastAsia" w:hAnsi="宋体"/>
          <w:b/>
        </w:rPr>
        <w:t>。</w:t>
      </w:r>
    </w:p>
    <w:p>
      <w:pPr>
        <w:pStyle w:val="21"/>
        <w:spacing w:line="380" w:lineRule="exact"/>
        <w:ind w:firstLine="420"/>
        <w:rPr>
          <w:rFonts w:hAnsi="宋体"/>
          <w:b/>
        </w:rPr>
      </w:pPr>
      <w:r>
        <w:rPr>
          <w:rFonts w:hint="eastAsia" w:hAnsi="宋体"/>
          <w:b/>
        </w:rPr>
        <w:t>14.4履约保证金</w:t>
      </w:r>
    </w:p>
    <w:p>
      <w:pPr>
        <w:pStyle w:val="21"/>
        <w:spacing w:line="360" w:lineRule="exact"/>
        <w:ind w:firstLine="420"/>
        <w:rPr>
          <w:rFonts w:hAnsi="宋体"/>
        </w:rPr>
      </w:pPr>
      <w:r>
        <w:rPr>
          <w:rFonts w:hint="eastAsia" w:hAnsi="宋体"/>
        </w:rPr>
        <w:t>1.成交人须于签订合同前按本项目关于履约保证金的规定进行办理。否则，不予签订合同。</w:t>
      </w:r>
    </w:p>
    <w:p>
      <w:pPr>
        <w:pStyle w:val="21"/>
        <w:spacing w:line="360" w:lineRule="exact"/>
        <w:ind w:firstLine="420"/>
        <w:rPr>
          <w:rFonts w:hAnsi="宋体"/>
        </w:rPr>
      </w:pPr>
      <w:r>
        <w:rPr>
          <w:rFonts w:hint="eastAsia" w:hAnsi="宋体"/>
        </w:rPr>
        <w:t>2.签订合同后，如成交人不按双方签订的合同规定履约，则没收其全部履约保证金，履约保证金不足以赔偿损失的，按实际损失赔偿。</w:t>
      </w:r>
    </w:p>
    <w:p>
      <w:pPr>
        <w:pStyle w:val="21"/>
        <w:spacing w:line="360" w:lineRule="exact"/>
        <w:ind w:firstLine="420"/>
        <w:rPr>
          <w:rFonts w:hAnsi="宋体"/>
        </w:rPr>
      </w:pPr>
      <w:r>
        <w:rPr>
          <w:rFonts w:hint="eastAsia" w:hAnsi="宋体"/>
        </w:rPr>
        <w:t>3.履约保证金在成交人按合同约定交货验收合格后，由成交人提供《政府采购项目履约保证金退付意见书》及《政府采购项目合同验收报告》（详见附件），履约保证金在收到合格材料后5个工作日内以银行转帐方式如数退还（不计利息）。</w:t>
      </w:r>
    </w:p>
    <w:p>
      <w:pPr>
        <w:pStyle w:val="21"/>
        <w:spacing w:line="360" w:lineRule="exact"/>
        <w:ind w:firstLine="420"/>
        <w:rPr>
          <w:rFonts w:hAnsi="宋体"/>
        </w:rPr>
      </w:pPr>
      <w:r>
        <w:rPr>
          <w:rFonts w:hint="eastAsia" w:hAnsi="宋体"/>
        </w:rPr>
        <w:t>4.在履约保证金退还日期前，若成交人的开户名称、开户银行、帐号有变动的，请以书面形式通知履约保证金收取机构，否则由此产生的后果由成交人自负。</w:t>
      </w:r>
    </w:p>
    <w:p>
      <w:pPr>
        <w:pStyle w:val="21"/>
        <w:spacing w:line="300" w:lineRule="exact"/>
        <w:ind w:firstLine="420"/>
        <w:rPr>
          <w:rFonts w:hAnsi="宋体"/>
          <w:b/>
        </w:rPr>
      </w:pPr>
      <w:r>
        <w:rPr>
          <w:rFonts w:hint="eastAsia" w:hAnsi="宋体"/>
          <w:b/>
        </w:rPr>
        <w:t>十、适用法律</w:t>
      </w:r>
    </w:p>
    <w:p>
      <w:pPr>
        <w:pStyle w:val="21"/>
        <w:spacing w:line="300" w:lineRule="exact"/>
        <w:ind w:firstLine="420"/>
        <w:rPr>
          <w:rFonts w:hAnsi="宋体"/>
        </w:rPr>
      </w:pPr>
      <w:r>
        <w:rPr>
          <w:rFonts w:hint="eastAsia" w:hAnsi="宋体"/>
        </w:rPr>
        <w:t>15.采购当事人的一切活动均适用于《中华人民共和国政府采购法》及相关规定。最终磋商结束后，</w:t>
      </w:r>
    </w:p>
    <w:p>
      <w:pPr>
        <w:spacing w:line="300" w:lineRule="exact"/>
        <w:rPr>
          <w:rFonts w:ascii="宋体" w:hAnsi="宋体"/>
          <w:szCs w:val="21"/>
        </w:rPr>
      </w:pPr>
      <w:r>
        <w:rPr>
          <w:rFonts w:hint="eastAsia" w:ascii="宋体" w:hAnsi="宋体"/>
          <w:szCs w:val="21"/>
        </w:rPr>
        <w:t>磋商小组不得再与磋商供应商进行任何形式的商谈。</w:t>
      </w:r>
    </w:p>
    <w:p>
      <w:pPr>
        <w:spacing w:line="300" w:lineRule="exact"/>
        <w:ind w:firstLine="422" w:firstLineChars="200"/>
        <w:rPr>
          <w:rFonts w:ascii="宋体" w:hAnsi="宋体"/>
          <w:b/>
          <w:szCs w:val="21"/>
        </w:rPr>
      </w:pPr>
      <w:r>
        <w:rPr>
          <w:rFonts w:hint="eastAsia" w:ascii="宋体" w:hAnsi="宋体"/>
          <w:b/>
          <w:szCs w:val="21"/>
        </w:rPr>
        <w:t>十一、其他事项</w:t>
      </w:r>
    </w:p>
    <w:p>
      <w:pPr>
        <w:spacing w:line="300" w:lineRule="exact"/>
        <w:ind w:firstLine="422" w:firstLineChars="200"/>
        <w:rPr>
          <w:rFonts w:ascii="宋体" w:hAnsi="宋体" w:cs="Courier New"/>
          <w:b/>
          <w:szCs w:val="21"/>
        </w:rPr>
      </w:pPr>
      <w:r>
        <w:rPr>
          <w:rFonts w:hint="eastAsia" w:ascii="宋体" w:hAnsi="宋体" w:cs="Courier New"/>
          <w:b/>
          <w:szCs w:val="21"/>
        </w:rPr>
        <w:t>16.1成交服务费</w:t>
      </w:r>
    </w:p>
    <w:p>
      <w:pPr>
        <w:pStyle w:val="21"/>
        <w:spacing w:line="340" w:lineRule="exact"/>
        <w:ind w:firstLine="420" w:firstLineChars="200"/>
      </w:pPr>
      <w:r>
        <w:rPr>
          <w:rFonts w:hint="eastAsia"/>
        </w:rPr>
        <w:t>（1）采购代理机构按（桂价费 〔2011〕55号）的收费标准，按差额定率累进法计取成交服务费。发布成交结果公告后，成交人须向</w:t>
      </w:r>
      <w:r>
        <w:rPr>
          <w:rFonts w:hint="eastAsia" w:hAnsi="宋体"/>
        </w:rPr>
        <w:t>天勤工程咨询有限公司</w:t>
      </w:r>
      <w:r>
        <w:rPr>
          <w:rFonts w:hint="eastAsia"/>
        </w:rPr>
        <w:t>一次付清成交服务费。</w:t>
      </w:r>
    </w:p>
    <w:p>
      <w:pPr>
        <w:pStyle w:val="21"/>
        <w:spacing w:line="300" w:lineRule="exact"/>
        <w:ind w:firstLine="435"/>
      </w:pPr>
      <w:r>
        <w:rPr>
          <w:rFonts w:hint="eastAsia"/>
        </w:rPr>
        <w:t>（2）代理服务收费标准：</w:t>
      </w:r>
    </w:p>
    <w:tbl>
      <w:tblPr>
        <w:tblStyle w:val="36"/>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00" w:lineRule="exact"/>
              <w:rPr>
                <w:szCs w:val="21"/>
              </w:rPr>
            </w:pPr>
            <w:r>
              <w:rPr>
                <w:rFonts w:hint="eastAsia"/>
                <w:szCs w:val="21"/>
              </w:rPr>
              <w:t xml:space="preserve">               费率</w:t>
            </w:r>
          </w:p>
          <w:p>
            <w:pPr>
              <w:spacing w:line="300" w:lineRule="exact"/>
              <w:rPr>
                <w:szCs w:val="21"/>
              </w:rPr>
            </w:pPr>
            <w:r>
              <w:rPr>
                <w:rFonts w:hint="eastAsia"/>
                <w:szCs w:val="21"/>
              </w:rPr>
              <w:t>中标金额</w:t>
            </w:r>
          </w:p>
        </w:tc>
        <w:tc>
          <w:tcPr>
            <w:tcW w:w="1659" w:type="dxa"/>
            <w:vAlign w:val="center"/>
          </w:tcPr>
          <w:p>
            <w:pPr>
              <w:spacing w:line="300" w:lineRule="exact"/>
              <w:ind w:firstLine="105" w:firstLineChars="50"/>
              <w:jc w:val="center"/>
              <w:rPr>
                <w:szCs w:val="21"/>
              </w:rPr>
            </w:pPr>
            <w:r>
              <w:rPr>
                <w:rFonts w:hint="eastAsia"/>
                <w:szCs w:val="21"/>
              </w:rPr>
              <w:t>货物招标</w:t>
            </w:r>
          </w:p>
        </w:tc>
        <w:tc>
          <w:tcPr>
            <w:tcW w:w="1687" w:type="dxa"/>
            <w:vAlign w:val="center"/>
          </w:tcPr>
          <w:p>
            <w:pPr>
              <w:spacing w:line="300" w:lineRule="exact"/>
              <w:jc w:val="center"/>
              <w:rPr>
                <w:szCs w:val="21"/>
              </w:rPr>
            </w:pPr>
            <w:r>
              <w:rPr>
                <w:rFonts w:hint="eastAsia"/>
                <w:szCs w:val="21"/>
              </w:rPr>
              <w:t>服务招标</w:t>
            </w:r>
          </w:p>
        </w:tc>
        <w:tc>
          <w:tcPr>
            <w:tcW w:w="1659" w:type="dxa"/>
            <w:vAlign w:val="center"/>
          </w:tcPr>
          <w:p>
            <w:pPr>
              <w:spacing w:line="300" w:lineRule="exact"/>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100万元以下</w:t>
            </w:r>
          </w:p>
        </w:tc>
        <w:tc>
          <w:tcPr>
            <w:tcW w:w="1659" w:type="dxa"/>
          </w:tcPr>
          <w:p>
            <w:pPr>
              <w:spacing w:line="300" w:lineRule="exact"/>
              <w:rPr>
                <w:rFonts w:ascii="宋体" w:hAnsi="宋体"/>
                <w:szCs w:val="21"/>
              </w:rPr>
            </w:pPr>
            <w:r>
              <w:rPr>
                <w:rFonts w:hint="eastAsia" w:ascii="宋体" w:hAnsi="宋体" w:cs="宋体"/>
                <w:kern w:val="0"/>
                <w:szCs w:val="21"/>
              </w:rPr>
              <w:t xml:space="preserve">  1.5%                </w:t>
            </w:r>
          </w:p>
        </w:tc>
        <w:tc>
          <w:tcPr>
            <w:tcW w:w="1687" w:type="dxa"/>
          </w:tcPr>
          <w:p>
            <w:pPr>
              <w:spacing w:line="300" w:lineRule="exact"/>
              <w:ind w:firstLine="210" w:firstLineChars="100"/>
              <w:rPr>
                <w:rFonts w:ascii="宋体" w:hAnsi="宋体"/>
                <w:szCs w:val="21"/>
              </w:rPr>
            </w:pPr>
            <w:r>
              <w:rPr>
                <w:rFonts w:hint="eastAsia" w:ascii="宋体" w:hAnsi="宋体" w:cs="宋体"/>
                <w:kern w:val="0"/>
                <w:szCs w:val="21"/>
              </w:rPr>
              <w:t>1.5%</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100～500万元</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 xml:space="preserve">1.1%                 </w:t>
            </w:r>
          </w:p>
        </w:tc>
        <w:tc>
          <w:tcPr>
            <w:tcW w:w="1687" w:type="dxa"/>
          </w:tcPr>
          <w:p>
            <w:pPr>
              <w:spacing w:line="300" w:lineRule="exact"/>
              <w:ind w:firstLine="210" w:firstLineChars="100"/>
              <w:rPr>
                <w:rFonts w:ascii="宋体" w:hAnsi="宋体"/>
                <w:szCs w:val="21"/>
              </w:rPr>
            </w:pPr>
            <w:r>
              <w:rPr>
                <w:rFonts w:hint="eastAsia" w:ascii="宋体" w:hAnsi="宋体" w:cs="宋体"/>
                <w:kern w:val="0"/>
                <w:szCs w:val="21"/>
              </w:rPr>
              <w:t>0.8%</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500～1000万元</w:t>
            </w:r>
          </w:p>
        </w:tc>
        <w:tc>
          <w:tcPr>
            <w:tcW w:w="1659" w:type="dxa"/>
          </w:tcPr>
          <w:p>
            <w:pPr>
              <w:spacing w:line="300" w:lineRule="exact"/>
              <w:rPr>
                <w:rFonts w:ascii="宋体" w:hAnsi="宋体"/>
                <w:szCs w:val="21"/>
              </w:rPr>
            </w:pPr>
            <w:r>
              <w:rPr>
                <w:rFonts w:hint="eastAsia" w:ascii="宋体" w:hAnsi="宋体" w:cs="宋体"/>
                <w:kern w:val="0"/>
                <w:szCs w:val="21"/>
              </w:rPr>
              <w:t xml:space="preserve">  0.8%                </w:t>
            </w:r>
          </w:p>
        </w:tc>
        <w:tc>
          <w:tcPr>
            <w:tcW w:w="1687" w:type="dxa"/>
          </w:tcPr>
          <w:p>
            <w:pPr>
              <w:spacing w:line="300" w:lineRule="exact"/>
              <w:ind w:firstLine="210" w:firstLineChars="100"/>
              <w:rPr>
                <w:rFonts w:ascii="宋体" w:hAnsi="宋体"/>
                <w:szCs w:val="21"/>
              </w:rPr>
            </w:pPr>
            <w:r>
              <w:rPr>
                <w:rFonts w:hint="eastAsia" w:ascii="宋体" w:hAnsi="宋体" w:cs="宋体"/>
                <w:kern w:val="0"/>
                <w:szCs w:val="21"/>
              </w:rPr>
              <w:t>0.45%</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1000～5000万元</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 xml:space="preserve">0.5%                </w:t>
            </w:r>
          </w:p>
        </w:tc>
        <w:tc>
          <w:tcPr>
            <w:tcW w:w="1687" w:type="dxa"/>
          </w:tcPr>
          <w:p>
            <w:pPr>
              <w:spacing w:line="300" w:lineRule="exact"/>
              <w:ind w:firstLine="210" w:firstLineChars="100"/>
              <w:rPr>
                <w:rFonts w:ascii="宋体" w:hAnsi="宋体"/>
                <w:szCs w:val="21"/>
              </w:rPr>
            </w:pPr>
            <w:r>
              <w:rPr>
                <w:rFonts w:hint="eastAsia" w:ascii="宋体" w:hAnsi="宋体" w:cs="宋体"/>
                <w:kern w:val="0"/>
                <w:szCs w:val="21"/>
              </w:rPr>
              <w:t>0.25%</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5000万元～1亿元</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 xml:space="preserve">0.25%                 </w:t>
            </w:r>
          </w:p>
        </w:tc>
        <w:tc>
          <w:tcPr>
            <w:tcW w:w="1687" w:type="dxa"/>
          </w:tcPr>
          <w:p>
            <w:pPr>
              <w:spacing w:line="300" w:lineRule="exact"/>
              <w:ind w:firstLine="210" w:firstLineChars="100"/>
              <w:rPr>
                <w:rFonts w:ascii="宋体" w:hAnsi="宋体"/>
                <w:szCs w:val="21"/>
              </w:rPr>
            </w:pPr>
            <w:r>
              <w:rPr>
                <w:rFonts w:hint="eastAsia" w:ascii="宋体" w:hAnsi="宋体" w:cs="宋体"/>
                <w:kern w:val="0"/>
                <w:szCs w:val="21"/>
              </w:rPr>
              <w:t>0.1%</w:t>
            </w:r>
          </w:p>
        </w:tc>
        <w:tc>
          <w:tcPr>
            <w:tcW w:w="1659" w:type="dxa"/>
          </w:tcPr>
          <w:p>
            <w:pPr>
              <w:spacing w:line="300" w:lineRule="exact"/>
              <w:ind w:firstLine="210" w:firstLineChars="100"/>
              <w:rPr>
                <w:rFonts w:ascii="宋体" w:hAnsi="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1～5亿元</w:t>
            </w:r>
          </w:p>
        </w:tc>
        <w:tc>
          <w:tcPr>
            <w:tcW w:w="1659" w:type="dxa"/>
          </w:tcPr>
          <w:p>
            <w:pPr>
              <w:spacing w:line="300" w:lineRule="exact"/>
              <w:ind w:firstLine="210" w:firstLineChars="100"/>
              <w:rPr>
                <w:rFonts w:ascii="宋体" w:hAnsi="宋体"/>
                <w:szCs w:val="21"/>
              </w:rPr>
            </w:pPr>
            <w:r>
              <w:rPr>
                <w:rFonts w:hint="eastAsia" w:ascii="宋体" w:hAnsi="宋体"/>
                <w:szCs w:val="21"/>
              </w:rPr>
              <w:t>0.05%</w:t>
            </w:r>
          </w:p>
        </w:tc>
        <w:tc>
          <w:tcPr>
            <w:tcW w:w="1687" w:type="dxa"/>
          </w:tcPr>
          <w:p>
            <w:pPr>
              <w:spacing w:line="300" w:lineRule="exact"/>
              <w:rPr>
                <w:rFonts w:ascii="宋体" w:hAnsi="宋体"/>
                <w:szCs w:val="21"/>
              </w:rPr>
            </w:pPr>
            <w:r>
              <w:rPr>
                <w:rFonts w:hint="eastAsia" w:ascii="宋体" w:hAnsi="宋体"/>
                <w:szCs w:val="21"/>
              </w:rPr>
              <w:t xml:space="preserve">  0.05%</w:t>
            </w:r>
          </w:p>
        </w:tc>
        <w:tc>
          <w:tcPr>
            <w:tcW w:w="1659" w:type="dxa"/>
          </w:tcPr>
          <w:p>
            <w:pPr>
              <w:spacing w:line="300" w:lineRule="exact"/>
              <w:rPr>
                <w:rFonts w:ascii="宋体" w:hAnsi="宋体"/>
                <w:szCs w:val="21"/>
              </w:rPr>
            </w:pPr>
            <w:r>
              <w:rPr>
                <w:rFonts w:hint="eastAsia" w:ascii="宋体" w:hAnsi="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5～10亿元</w:t>
            </w:r>
          </w:p>
        </w:tc>
        <w:tc>
          <w:tcPr>
            <w:tcW w:w="1659" w:type="dxa"/>
          </w:tcPr>
          <w:p>
            <w:pPr>
              <w:spacing w:line="300" w:lineRule="exact"/>
              <w:ind w:firstLine="105" w:firstLineChars="50"/>
              <w:rPr>
                <w:rFonts w:ascii="宋体" w:hAnsi="宋体"/>
                <w:szCs w:val="21"/>
              </w:rPr>
            </w:pPr>
            <w:r>
              <w:rPr>
                <w:rFonts w:hint="eastAsia" w:ascii="宋体" w:hAnsi="宋体"/>
                <w:szCs w:val="21"/>
              </w:rPr>
              <w:t>0.035%</w:t>
            </w:r>
          </w:p>
        </w:tc>
        <w:tc>
          <w:tcPr>
            <w:tcW w:w="1687" w:type="dxa"/>
          </w:tcPr>
          <w:p>
            <w:pPr>
              <w:spacing w:line="300" w:lineRule="exact"/>
              <w:rPr>
                <w:rFonts w:ascii="宋体" w:hAnsi="宋体"/>
                <w:szCs w:val="21"/>
              </w:rPr>
            </w:pPr>
            <w:r>
              <w:rPr>
                <w:rFonts w:hint="eastAsia" w:ascii="宋体" w:hAnsi="宋体"/>
                <w:szCs w:val="21"/>
              </w:rPr>
              <w:t xml:space="preserve">  0.035%</w:t>
            </w:r>
          </w:p>
        </w:tc>
        <w:tc>
          <w:tcPr>
            <w:tcW w:w="1659" w:type="dxa"/>
          </w:tcPr>
          <w:p>
            <w:pPr>
              <w:spacing w:line="300" w:lineRule="exact"/>
              <w:ind w:firstLine="105" w:firstLineChars="50"/>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10～50亿元</w:t>
            </w:r>
          </w:p>
        </w:tc>
        <w:tc>
          <w:tcPr>
            <w:tcW w:w="1659" w:type="dxa"/>
          </w:tcPr>
          <w:p>
            <w:pPr>
              <w:spacing w:line="300" w:lineRule="exact"/>
              <w:ind w:firstLine="105" w:firstLineChars="50"/>
              <w:rPr>
                <w:rFonts w:ascii="宋体" w:hAnsi="宋体"/>
                <w:szCs w:val="21"/>
              </w:rPr>
            </w:pPr>
            <w:r>
              <w:rPr>
                <w:rFonts w:hint="eastAsia" w:ascii="宋体" w:hAnsi="宋体"/>
                <w:szCs w:val="21"/>
              </w:rPr>
              <w:t>0.008%</w:t>
            </w:r>
          </w:p>
        </w:tc>
        <w:tc>
          <w:tcPr>
            <w:tcW w:w="1687" w:type="dxa"/>
          </w:tcPr>
          <w:p>
            <w:pPr>
              <w:spacing w:line="300" w:lineRule="exact"/>
              <w:ind w:firstLine="210" w:firstLineChars="100"/>
              <w:rPr>
                <w:rFonts w:ascii="宋体" w:hAnsi="宋体"/>
                <w:szCs w:val="21"/>
              </w:rPr>
            </w:pPr>
            <w:r>
              <w:rPr>
                <w:rFonts w:hint="eastAsia" w:ascii="宋体" w:hAnsi="宋体"/>
                <w:szCs w:val="21"/>
              </w:rPr>
              <w:t>0.008%</w:t>
            </w:r>
          </w:p>
        </w:tc>
        <w:tc>
          <w:tcPr>
            <w:tcW w:w="1659" w:type="dxa"/>
          </w:tcPr>
          <w:p>
            <w:pPr>
              <w:spacing w:line="300" w:lineRule="exact"/>
              <w:ind w:firstLine="105" w:firstLineChars="50"/>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50～100亿元</w:t>
            </w:r>
          </w:p>
        </w:tc>
        <w:tc>
          <w:tcPr>
            <w:tcW w:w="1659" w:type="dxa"/>
          </w:tcPr>
          <w:p>
            <w:pPr>
              <w:spacing w:line="300" w:lineRule="exact"/>
              <w:rPr>
                <w:rFonts w:ascii="宋体" w:hAnsi="宋体"/>
                <w:szCs w:val="21"/>
              </w:rPr>
            </w:pPr>
            <w:r>
              <w:rPr>
                <w:rFonts w:hint="eastAsia" w:ascii="宋体" w:hAnsi="宋体"/>
                <w:szCs w:val="21"/>
              </w:rPr>
              <w:t xml:space="preserve"> 0.006%</w:t>
            </w:r>
          </w:p>
        </w:tc>
        <w:tc>
          <w:tcPr>
            <w:tcW w:w="1687" w:type="dxa"/>
          </w:tcPr>
          <w:p>
            <w:pPr>
              <w:spacing w:line="300" w:lineRule="exact"/>
              <w:ind w:firstLine="210" w:firstLineChars="100"/>
              <w:rPr>
                <w:rFonts w:ascii="宋体" w:hAnsi="宋体"/>
                <w:szCs w:val="21"/>
              </w:rPr>
            </w:pPr>
            <w:r>
              <w:rPr>
                <w:rFonts w:hint="eastAsia" w:ascii="宋体" w:hAnsi="宋体"/>
                <w:szCs w:val="21"/>
              </w:rPr>
              <w:t>0.006%</w:t>
            </w:r>
          </w:p>
        </w:tc>
        <w:tc>
          <w:tcPr>
            <w:tcW w:w="1659" w:type="dxa"/>
          </w:tcPr>
          <w:p>
            <w:pPr>
              <w:spacing w:line="300" w:lineRule="exact"/>
              <w:ind w:firstLine="105" w:firstLineChars="50"/>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00" w:lineRule="exact"/>
              <w:rPr>
                <w:rFonts w:ascii="宋体" w:hAnsi="宋体"/>
                <w:szCs w:val="21"/>
              </w:rPr>
            </w:pPr>
            <w:r>
              <w:rPr>
                <w:rFonts w:hint="eastAsia" w:ascii="宋体" w:hAnsi="宋体"/>
                <w:szCs w:val="21"/>
              </w:rPr>
              <w:t>100亿以上</w:t>
            </w:r>
          </w:p>
        </w:tc>
        <w:tc>
          <w:tcPr>
            <w:tcW w:w="1659" w:type="dxa"/>
          </w:tcPr>
          <w:p>
            <w:pPr>
              <w:spacing w:line="300" w:lineRule="exact"/>
              <w:rPr>
                <w:rFonts w:ascii="宋体" w:hAnsi="宋体"/>
                <w:szCs w:val="21"/>
              </w:rPr>
            </w:pPr>
            <w:r>
              <w:rPr>
                <w:rFonts w:hint="eastAsia" w:ascii="宋体" w:hAnsi="宋体"/>
                <w:szCs w:val="21"/>
              </w:rPr>
              <w:t xml:space="preserve"> 0.004%</w:t>
            </w:r>
          </w:p>
        </w:tc>
        <w:tc>
          <w:tcPr>
            <w:tcW w:w="1687" w:type="dxa"/>
          </w:tcPr>
          <w:p>
            <w:pPr>
              <w:spacing w:line="300" w:lineRule="exact"/>
              <w:ind w:firstLine="210" w:firstLineChars="100"/>
              <w:rPr>
                <w:rFonts w:ascii="宋体" w:hAnsi="宋体"/>
                <w:szCs w:val="21"/>
              </w:rPr>
            </w:pPr>
            <w:r>
              <w:rPr>
                <w:rFonts w:hint="eastAsia" w:ascii="宋体" w:hAnsi="宋体"/>
                <w:szCs w:val="21"/>
              </w:rPr>
              <w:t>0.004%</w:t>
            </w:r>
          </w:p>
        </w:tc>
        <w:tc>
          <w:tcPr>
            <w:tcW w:w="1659" w:type="dxa"/>
          </w:tcPr>
          <w:p>
            <w:pPr>
              <w:spacing w:line="300" w:lineRule="exact"/>
              <w:ind w:firstLine="105" w:firstLineChars="50"/>
              <w:rPr>
                <w:rFonts w:ascii="宋体" w:hAnsi="宋体"/>
                <w:szCs w:val="21"/>
              </w:rPr>
            </w:pPr>
            <w:r>
              <w:rPr>
                <w:rFonts w:hint="eastAsia" w:ascii="宋体" w:hAnsi="宋体"/>
                <w:szCs w:val="21"/>
              </w:rPr>
              <w:t>0.004%</w:t>
            </w:r>
          </w:p>
        </w:tc>
      </w:tr>
    </w:tbl>
    <w:p>
      <w:pPr>
        <w:pStyle w:val="21"/>
        <w:spacing w:line="300" w:lineRule="exact"/>
        <w:ind w:firstLine="435"/>
      </w:pPr>
    </w:p>
    <w:p>
      <w:pPr>
        <w:pStyle w:val="21"/>
        <w:spacing w:line="300" w:lineRule="exact"/>
        <w:ind w:firstLine="435"/>
      </w:pPr>
    </w:p>
    <w:p>
      <w:pPr>
        <w:pStyle w:val="21"/>
        <w:spacing w:line="300" w:lineRule="exact"/>
        <w:ind w:firstLine="435"/>
      </w:pPr>
      <w:r>
        <w:rPr>
          <w:rFonts w:hint="eastAsia"/>
        </w:rPr>
        <w:t>注:招标代理服务收费按差额定率累进法计算。</w:t>
      </w:r>
    </w:p>
    <w:p>
      <w:pPr>
        <w:pStyle w:val="21"/>
        <w:spacing w:line="300" w:lineRule="exact"/>
        <w:ind w:firstLine="435"/>
      </w:pPr>
      <w:r>
        <w:rPr>
          <w:rFonts w:hint="eastAsia"/>
        </w:rPr>
        <w:t>（3）服务费指定银行账户：</w:t>
      </w:r>
    </w:p>
    <w:p>
      <w:pPr>
        <w:spacing w:line="400" w:lineRule="exact"/>
        <w:ind w:firstLine="422" w:firstLineChars="200"/>
        <w:rPr>
          <w:rFonts w:ascii="宋体" w:cs="Courier New"/>
          <w:b/>
          <w:szCs w:val="21"/>
        </w:rPr>
      </w:pPr>
      <w:r>
        <w:rPr>
          <w:rFonts w:hint="eastAsia" w:ascii="宋体" w:hAnsi="宋体" w:cs="Courier New"/>
          <w:b/>
          <w:szCs w:val="21"/>
        </w:rPr>
        <w:t>开户名称：天勤工程咨询有限公司南宁分公司</w:t>
      </w:r>
    </w:p>
    <w:p>
      <w:pPr>
        <w:spacing w:line="400" w:lineRule="exact"/>
        <w:ind w:firstLine="422" w:firstLineChars="200"/>
        <w:rPr>
          <w:rFonts w:ascii="宋体" w:cs="Courier New"/>
          <w:b/>
          <w:szCs w:val="21"/>
        </w:rPr>
      </w:pPr>
      <w:r>
        <w:rPr>
          <w:rFonts w:hint="eastAsia" w:ascii="宋体" w:hAnsi="宋体" w:cs="Courier New"/>
          <w:b/>
          <w:szCs w:val="21"/>
        </w:rPr>
        <w:t>开户银行：中国建设银行股份有限公司南宁五象广场支行</w:t>
      </w:r>
    </w:p>
    <w:p>
      <w:pPr>
        <w:spacing w:line="400" w:lineRule="exact"/>
        <w:ind w:firstLine="422" w:firstLineChars="200"/>
        <w:rPr>
          <w:rFonts w:ascii="宋体" w:hAnsi="宋体" w:cs="Courier New"/>
          <w:szCs w:val="21"/>
        </w:rPr>
      </w:pPr>
      <w:r>
        <w:rPr>
          <w:rFonts w:hint="eastAsia" w:ascii="宋体" w:hAnsi="宋体" w:cs="Courier New"/>
          <w:b/>
          <w:szCs w:val="21"/>
        </w:rPr>
        <w:t>账号：</w:t>
      </w:r>
      <w:r>
        <w:rPr>
          <w:rFonts w:ascii="宋体" w:hAnsi="宋体" w:cs="Courier New"/>
          <w:b/>
          <w:szCs w:val="21"/>
        </w:rPr>
        <w:t>45050160466300000319</w:t>
      </w:r>
    </w:p>
    <w:p>
      <w:pPr>
        <w:spacing w:line="300" w:lineRule="exact"/>
        <w:ind w:firstLine="422" w:firstLineChars="200"/>
        <w:rPr>
          <w:rFonts w:hAnsi="宋体"/>
          <w:b/>
        </w:rPr>
      </w:pPr>
      <w:r>
        <w:rPr>
          <w:rFonts w:hint="eastAsia" w:ascii="宋体" w:hAnsi="宋体" w:cs="Courier New"/>
          <w:b/>
          <w:szCs w:val="21"/>
        </w:rPr>
        <w:t>16.2</w:t>
      </w:r>
      <w:r>
        <w:rPr>
          <w:rFonts w:hint="eastAsia" w:hAnsi="宋体"/>
          <w:b/>
        </w:rPr>
        <w:t>解释权</w:t>
      </w:r>
    </w:p>
    <w:p>
      <w:pPr>
        <w:spacing w:line="300" w:lineRule="exact"/>
        <w:ind w:firstLine="404" w:firstLineChars="200"/>
        <w:rPr>
          <w:rFonts w:hAnsi="宋体"/>
          <w:spacing w:val="-4"/>
        </w:rPr>
      </w:pPr>
      <w:r>
        <w:rPr>
          <w:rFonts w:hint="eastAsia" w:hAnsi="宋体"/>
          <w:spacing w:val="-4"/>
        </w:rPr>
        <w:t>本竞争性磋商文件是根据国家有关法律、法规以及政府采购管理的有关规定和参照国际惯例编制，解释权属本采购代理机构。</w:t>
      </w:r>
    </w:p>
    <w:p>
      <w:pPr>
        <w:spacing w:line="300" w:lineRule="exact"/>
        <w:ind w:firstLine="422" w:firstLineChars="200"/>
        <w:rPr>
          <w:rFonts w:hAnsi="宋体"/>
          <w:b/>
        </w:rPr>
      </w:pPr>
      <w:r>
        <w:rPr>
          <w:rFonts w:hint="eastAsia" w:ascii="宋体" w:hAnsi="宋体" w:cs="Courier New"/>
          <w:b/>
          <w:szCs w:val="21"/>
        </w:rPr>
        <w:t>16.3</w:t>
      </w:r>
      <w:r>
        <w:rPr>
          <w:rFonts w:hint="eastAsia" w:hAnsi="宋体"/>
          <w:b/>
        </w:rPr>
        <w:t>有关事宜</w:t>
      </w:r>
    </w:p>
    <w:p>
      <w:pPr>
        <w:spacing w:line="300" w:lineRule="exact"/>
        <w:ind w:firstLine="420" w:firstLineChars="200"/>
        <w:rPr>
          <w:rFonts w:hAnsi="宋体"/>
        </w:rPr>
      </w:pPr>
      <w:r>
        <w:rPr>
          <w:rFonts w:hint="eastAsia" w:hAnsi="宋体"/>
        </w:rPr>
        <w:t>所有与本竞争性磋商文件有关的函电请按下列通讯地址联系：</w:t>
      </w:r>
    </w:p>
    <w:p>
      <w:pPr>
        <w:pStyle w:val="21"/>
        <w:spacing w:line="340" w:lineRule="exact"/>
        <w:ind w:firstLine="420" w:firstLineChars="200"/>
        <w:rPr>
          <w:rFonts w:hAnsi="宋体"/>
        </w:rPr>
      </w:pPr>
      <w:r>
        <w:rPr>
          <w:rFonts w:hint="eastAsia" w:hAnsi="宋体"/>
        </w:rPr>
        <w:t>天勤工程咨询有限公司</w:t>
      </w:r>
    </w:p>
    <w:p>
      <w:pPr>
        <w:pStyle w:val="21"/>
        <w:tabs>
          <w:tab w:val="left" w:pos="1990"/>
        </w:tabs>
        <w:spacing w:line="340" w:lineRule="exact"/>
        <w:ind w:firstLine="420" w:firstLineChars="200"/>
        <w:rPr>
          <w:rFonts w:hAnsi="宋体"/>
          <w:u w:val="single"/>
        </w:rPr>
      </w:pPr>
      <w:r>
        <w:rPr>
          <w:rFonts w:hint="eastAsia" w:hAnsi="宋体"/>
        </w:rPr>
        <w:t>邮政编码：</w:t>
      </w:r>
      <w:r>
        <w:rPr>
          <w:rFonts w:hAnsi="宋体"/>
        </w:rPr>
        <w:t>530000</w:t>
      </w:r>
    </w:p>
    <w:p>
      <w:pPr>
        <w:pStyle w:val="21"/>
        <w:tabs>
          <w:tab w:val="left" w:pos="1990"/>
        </w:tabs>
        <w:spacing w:line="340" w:lineRule="exact"/>
        <w:ind w:firstLine="420" w:firstLineChars="200"/>
        <w:rPr>
          <w:rFonts w:hAnsi="宋体"/>
          <w:spacing w:val="-4"/>
        </w:rPr>
      </w:pPr>
      <w:r>
        <w:rPr>
          <w:rFonts w:hint="eastAsia" w:hAnsi="宋体"/>
        </w:rPr>
        <w:t>通讯地址：南宁市民族大道</w:t>
      </w:r>
      <w:r>
        <w:rPr>
          <w:rFonts w:hAnsi="宋体"/>
        </w:rPr>
        <w:t>157</w:t>
      </w:r>
      <w:r>
        <w:rPr>
          <w:rFonts w:hint="eastAsia" w:hAnsi="宋体"/>
        </w:rPr>
        <w:t>号财富国际广场</w:t>
      </w:r>
      <w:r>
        <w:rPr>
          <w:rFonts w:hAnsi="宋体"/>
        </w:rPr>
        <w:t>3</w:t>
      </w:r>
      <w:r>
        <w:rPr>
          <w:rFonts w:hint="eastAsia" w:hAnsi="宋体"/>
        </w:rPr>
        <w:t>号楼</w:t>
      </w:r>
      <w:r>
        <w:rPr>
          <w:rFonts w:hAnsi="宋体"/>
        </w:rPr>
        <w:t>2</w:t>
      </w:r>
      <w:r>
        <w:rPr>
          <w:rFonts w:hint="eastAsia" w:hAnsi="宋体"/>
        </w:rPr>
        <w:t>5</w:t>
      </w:r>
      <w:r>
        <w:rPr>
          <w:rFonts w:hAnsi="宋体"/>
        </w:rPr>
        <w:t>01</w:t>
      </w:r>
    </w:p>
    <w:p>
      <w:pPr>
        <w:pStyle w:val="21"/>
        <w:spacing w:line="340" w:lineRule="exact"/>
        <w:ind w:firstLine="420" w:firstLineChars="200"/>
        <w:rPr>
          <w:rFonts w:hAnsi="宋体"/>
        </w:rPr>
      </w:pPr>
      <w:r>
        <w:rPr>
          <w:rFonts w:hint="eastAsia" w:hAnsi="宋体"/>
        </w:rPr>
        <w:t>电</w:t>
      </w:r>
      <w:r>
        <w:rPr>
          <w:rFonts w:hAnsi="宋体"/>
        </w:rPr>
        <w:t xml:space="preserve">    </w:t>
      </w:r>
      <w:r>
        <w:rPr>
          <w:rFonts w:hint="eastAsia" w:hAnsi="宋体"/>
        </w:rPr>
        <w:t>话：</w:t>
      </w:r>
      <w:r>
        <w:rPr>
          <w:rFonts w:hAnsi="宋体"/>
        </w:rPr>
        <w:t>0771-5784126</w:t>
      </w:r>
    </w:p>
    <w:p>
      <w:pPr>
        <w:snapToGrid w:val="0"/>
        <w:rPr>
          <w:rFonts w:ascii="宋体" w:hAnsi="宋体"/>
          <w:kern w:val="0"/>
          <w:sz w:val="32"/>
          <w:szCs w:val="32"/>
        </w:rPr>
      </w:pPr>
      <w:r>
        <w:rPr>
          <w:rFonts w:ascii="宋体" w:hAnsi="宋体"/>
          <w:b/>
          <w:sz w:val="32"/>
          <w:szCs w:val="32"/>
        </w:rPr>
        <w:br w:type="page"/>
      </w:r>
      <w:r>
        <w:rPr>
          <w:rFonts w:hint="eastAsia" w:ascii="宋体" w:hAnsi="宋体"/>
          <w:kern w:val="0"/>
          <w:sz w:val="32"/>
          <w:szCs w:val="32"/>
        </w:rPr>
        <w:t>附件1：</w:t>
      </w:r>
    </w:p>
    <w:p>
      <w:pPr>
        <w:widowControl/>
        <w:shd w:val="clear" w:color="auto" w:fill="FFFFFF"/>
        <w:spacing w:line="720" w:lineRule="auto"/>
        <w:jc w:val="center"/>
        <w:rPr>
          <w:rFonts w:ascii="宋体" w:hAnsi="宋体" w:cs="宋体"/>
          <w:kern w:val="0"/>
          <w:sz w:val="32"/>
          <w:szCs w:val="32"/>
        </w:rPr>
      </w:pPr>
      <w:r>
        <w:rPr>
          <w:rFonts w:hint="eastAsia" w:ascii="宋体" w:hAnsi="宋体" w:cs="黑体"/>
          <w:kern w:val="0"/>
          <w:sz w:val="32"/>
          <w:szCs w:val="32"/>
        </w:rPr>
        <w:t>广西壮族自治区政府采购项目合同验收书</w:t>
      </w:r>
      <w:r>
        <w:rPr>
          <w:rFonts w:hint="eastAsia" w:ascii="宋体" w:hAnsi="宋体" w:cs="宋体"/>
          <w:kern w:val="0"/>
          <w:sz w:val="32"/>
          <w:szCs w:val="32"/>
        </w:rPr>
        <w:t>（格式）</w:t>
      </w:r>
    </w:p>
    <w:p>
      <w:pPr>
        <w:widowControl/>
        <w:shd w:val="clear" w:color="auto" w:fill="FFFFFF"/>
        <w:snapToGrid w:val="0"/>
        <w:spacing w:line="380" w:lineRule="exact"/>
        <w:jc w:val="left"/>
        <w:rPr>
          <w:rFonts w:ascii="宋体" w:hAnsi="宋体" w:cs="宋体"/>
          <w:kern w:val="0"/>
          <w:szCs w:val="21"/>
        </w:rPr>
      </w:pPr>
      <w:r>
        <w:rPr>
          <w:rFonts w:hint="eastAsia" w:ascii="宋体" w:hAnsi="宋体" w:cs="宋体"/>
          <w:kern w:val="0"/>
          <w:szCs w:val="21"/>
        </w:rPr>
        <w:t xml:space="preserve">    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36"/>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838"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kern w:val="0"/>
                <w:szCs w:val="21"/>
              </w:rPr>
            </w:pPr>
            <w:r>
              <w:rPr>
                <w:rFonts w:ascii="宋体" w:hAnsi="宋体" w:cs="宋体"/>
                <w:kern w:val="0"/>
                <w:szCs w:val="21"/>
              </w:rPr>
              <w:t>□自行验收 □委托验收</w:t>
            </w:r>
          </w:p>
        </w:tc>
      </w:tr>
      <w:tr>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215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 称</w:t>
            </w:r>
          </w:p>
        </w:tc>
        <w:tc>
          <w:tcPr>
            <w:tcW w:w="326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160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 额</w:t>
            </w:r>
          </w:p>
        </w:tc>
      </w:tr>
      <w:tr>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 计</w:t>
            </w:r>
          </w:p>
        </w:tc>
        <w:tc>
          <w:tcPr>
            <w:tcW w:w="970"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kern w:val="0"/>
                <w:szCs w:val="21"/>
              </w:rPr>
              <w:t>合计大写金额： 仟 佰 拾 万 仟 佰 拾 元</w:t>
            </w:r>
          </w:p>
        </w:tc>
      </w:tr>
      <w:tr>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305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565"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37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7997"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验收结论性意见：</w:t>
            </w:r>
          </w:p>
        </w:tc>
      </w:tr>
      <w:tr>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pPr>
              <w:rPr>
                <w:rFonts w:ascii="宋体" w:hAnsi="宋体"/>
              </w:rPr>
            </w:pPr>
          </w:p>
        </w:tc>
        <w:tc>
          <w:tcPr>
            <w:tcW w:w="7997"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kern w:val="0"/>
                <w:szCs w:val="21"/>
              </w:rPr>
            </w:pPr>
            <w:r>
              <w:rPr>
                <w:rFonts w:ascii="宋体" w:hAnsi="宋体" w:cs="宋体"/>
                <w:kern w:val="0"/>
                <w:szCs w:val="21"/>
              </w:rPr>
              <w:t>有异议的意见和说明理由：</w:t>
            </w:r>
          </w:p>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签字：</w:t>
            </w:r>
          </w:p>
        </w:tc>
      </w:tr>
      <w:tr>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监督人员或其他相关人员签字：</w:t>
            </w:r>
          </w:p>
          <w:p>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或受邀机构的意见（盖章）：</w:t>
            </w:r>
          </w:p>
        </w:tc>
      </w:tr>
      <w:tr>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中标或者成交供应商负责人签字或盖章：</w:t>
            </w:r>
          </w:p>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联系电话： 年 月 日</w:t>
            </w:r>
          </w:p>
        </w:tc>
        <w:tc>
          <w:tcPr>
            <w:tcW w:w="4827"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采购人或受托机构的意见（盖章）：</w:t>
            </w:r>
          </w:p>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联系电话： 年 月 日</w:t>
            </w:r>
          </w:p>
        </w:tc>
      </w:tr>
    </w:tbl>
    <w:p>
      <w:pPr>
        <w:jc w:val="left"/>
        <w:rPr>
          <w:rFonts w:ascii="宋体" w:hAnsi="宋体"/>
        </w:rPr>
      </w:pPr>
    </w:p>
    <w:p>
      <w:pPr>
        <w:jc w:val="left"/>
      </w:pPr>
      <w:r>
        <w:rPr>
          <w:rFonts w:ascii="宋体" w:hAnsi="宋体"/>
        </w:rPr>
        <w:br w:type="page"/>
      </w:r>
      <w:r>
        <w:rPr>
          <w:rFonts w:hint="eastAsia" w:ascii="楷体" w:eastAsia="楷体"/>
          <w:kern w:val="0"/>
          <w:sz w:val="32"/>
          <w:szCs w:val="32"/>
        </w:rPr>
        <w:t>附件2：</w:t>
      </w:r>
    </w:p>
    <w:p>
      <w:pPr>
        <w:jc w:val="center"/>
        <w:rPr>
          <w:rFonts w:ascii="黑体" w:eastAsia="黑体"/>
          <w:sz w:val="32"/>
          <w:szCs w:val="32"/>
        </w:rPr>
      </w:pPr>
      <w:r>
        <w:rPr>
          <w:rFonts w:hint="eastAsia" w:ascii="黑体" w:eastAsia="黑体"/>
          <w:sz w:val="32"/>
          <w:szCs w:val="32"/>
        </w:rPr>
        <w:t>政府采购项目履约保证金退付意见书</w:t>
      </w:r>
      <w:r>
        <w:rPr>
          <w:rFonts w:hint="eastAsia" w:ascii="仿宋" w:eastAsia="仿宋" w:cs="宋体"/>
          <w:kern w:val="0"/>
          <w:sz w:val="32"/>
          <w:szCs w:val="32"/>
        </w:rPr>
        <w:t>（格式）</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szCs w:val="21"/>
              </w:rPr>
            </w:pPr>
            <w:r>
              <w:rPr>
                <w:rFonts w:hint="eastAsia"/>
                <w:szCs w:val="21"/>
              </w:rPr>
              <w:t>供</w:t>
            </w:r>
          </w:p>
          <w:p>
            <w:pPr>
              <w:jc w:val="center"/>
              <w:rPr>
                <w:szCs w:val="21"/>
              </w:rPr>
            </w:pPr>
            <w:r>
              <w:rPr>
                <w:rFonts w:hint="eastAsia"/>
                <w:szCs w:val="21"/>
              </w:rPr>
              <w:t>应</w:t>
            </w:r>
          </w:p>
          <w:p>
            <w:pPr>
              <w:jc w:val="center"/>
              <w:rPr>
                <w:szCs w:val="21"/>
              </w:rPr>
            </w:pPr>
            <w:r>
              <w:rPr>
                <w:rFonts w:hint="eastAsia"/>
                <w:szCs w:val="21"/>
              </w:rPr>
              <w:t>商</w:t>
            </w:r>
          </w:p>
          <w:p>
            <w:pPr>
              <w:jc w:val="center"/>
              <w:rPr>
                <w:szCs w:val="21"/>
              </w:rPr>
            </w:pPr>
            <w:r>
              <w:rPr>
                <w:rFonts w:hint="eastAsia"/>
                <w:szCs w:val="21"/>
              </w:rPr>
              <w:t>申</w:t>
            </w:r>
          </w:p>
          <w:p>
            <w:pPr>
              <w:jc w:val="center"/>
              <w:rPr>
                <w:szCs w:val="21"/>
              </w:rPr>
            </w:pPr>
            <w:r>
              <w:rPr>
                <w:rFonts w:hint="eastAsia"/>
                <w:szCs w:val="21"/>
              </w:rPr>
              <w:t>请</w:t>
            </w:r>
          </w:p>
        </w:tc>
        <w:tc>
          <w:tcPr>
            <w:tcW w:w="8640" w:type="dxa"/>
            <w:vAlign w:val="center"/>
          </w:tcPr>
          <w:p>
            <w:pPr>
              <w:rPr>
                <w:szCs w:val="21"/>
              </w:rPr>
            </w:pPr>
            <w:r>
              <w:rPr>
                <w:rFonts w:hint="eastAsia"/>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tc>
        <w:tc>
          <w:tcPr>
            <w:tcW w:w="8640" w:type="dxa"/>
            <w:vAlign w:val="center"/>
          </w:tcPr>
          <w:p>
            <w:pPr>
              <w:rPr>
                <w:szCs w:val="21"/>
              </w:rPr>
            </w:pPr>
            <w:r>
              <w:rPr>
                <w:rFonts w:hint="eastAsia"/>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tc>
        <w:tc>
          <w:tcPr>
            <w:tcW w:w="8640" w:type="dxa"/>
          </w:tcPr>
          <w:p>
            <w:pPr>
              <w:rPr>
                <w:szCs w:val="21"/>
              </w:rPr>
            </w:pPr>
            <w:r>
              <w:rPr>
                <w:rFonts w:hint="eastAsia"/>
                <w:szCs w:val="21"/>
              </w:rPr>
              <w:t xml:space="preserve">  </w:t>
            </w:r>
          </w:p>
          <w:p>
            <w:pPr>
              <w:spacing w:line="400" w:lineRule="exact"/>
              <w:ind w:firstLine="420" w:firstLineChars="200"/>
              <w:rPr>
                <w:szCs w:val="21"/>
              </w:rPr>
            </w:pPr>
            <w:r>
              <w:rPr>
                <w:rFonts w:hint="eastAsia"/>
                <w:szCs w:val="21"/>
              </w:rPr>
              <w:t>该项目已于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日验收并交付使用。根据合同规定，该项目的履约保证金期限于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日已满，请将履约保证金</w:t>
            </w:r>
          </w:p>
          <w:p>
            <w:pPr>
              <w:spacing w:line="400" w:lineRule="exact"/>
              <w:rPr>
                <w:szCs w:val="21"/>
              </w:rPr>
            </w:pPr>
            <w:r>
              <w:rPr>
                <w:rFonts w:hint="eastAsia"/>
                <w:szCs w:val="21"/>
                <w:u w:val="single"/>
              </w:rPr>
              <w:t xml:space="preserve">                                        </w:t>
            </w:r>
            <w:r>
              <w:rPr>
                <w:rFonts w:hint="eastAsia"/>
                <w:szCs w:val="21"/>
              </w:rPr>
              <w:t>（大写）¥</w:t>
            </w:r>
            <w:r>
              <w:rPr>
                <w:rFonts w:hint="eastAsia"/>
                <w:szCs w:val="21"/>
                <w:u w:val="single"/>
              </w:rPr>
              <w:t xml:space="preserve">          </w:t>
            </w:r>
            <w:r>
              <w:rPr>
                <w:rFonts w:hint="eastAsia"/>
                <w:szCs w:val="21"/>
              </w:rPr>
              <w:t>（小写）退付到达以下帐户。</w:t>
            </w:r>
          </w:p>
          <w:p>
            <w:pPr>
              <w:spacing w:line="400" w:lineRule="exact"/>
              <w:ind w:firstLine="705"/>
              <w:rPr>
                <w:szCs w:val="21"/>
              </w:rPr>
            </w:pPr>
            <w:r>
              <w:rPr>
                <w:rFonts w:hint="eastAsia"/>
                <w:szCs w:val="21"/>
              </w:rPr>
              <w:t>单位名称：</w:t>
            </w:r>
          </w:p>
          <w:p>
            <w:pPr>
              <w:spacing w:line="400" w:lineRule="exact"/>
              <w:ind w:firstLine="705"/>
              <w:rPr>
                <w:szCs w:val="21"/>
              </w:rPr>
            </w:pPr>
            <w:r>
              <w:rPr>
                <w:rFonts w:hint="eastAsia"/>
                <w:szCs w:val="21"/>
              </w:rPr>
              <w:t>开户银行：</w:t>
            </w:r>
          </w:p>
          <w:p>
            <w:pPr>
              <w:spacing w:line="400" w:lineRule="exact"/>
              <w:ind w:firstLine="705"/>
              <w:rPr>
                <w:szCs w:val="21"/>
              </w:rPr>
            </w:pPr>
            <w:r>
              <w:rPr>
                <w:rFonts w:hint="eastAsia"/>
                <w:szCs w:val="21"/>
              </w:rPr>
              <w:t>帐   号：</w:t>
            </w:r>
          </w:p>
          <w:p>
            <w:pPr>
              <w:spacing w:line="400" w:lineRule="exact"/>
              <w:rPr>
                <w:szCs w:val="21"/>
              </w:rPr>
            </w:pPr>
            <w:r>
              <w:rPr>
                <w:rFonts w:hint="eastAsia"/>
                <w:szCs w:val="21"/>
              </w:rPr>
              <w:t>联系人及电话：</w:t>
            </w:r>
          </w:p>
          <w:p>
            <w:pPr>
              <w:spacing w:line="400" w:lineRule="exact"/>
              <w:rPr>
                <w:szCs w:val="21"/>
              </w:rPr>
            </w:pPr>
          </w:p>
          <w:p>
            <w:pPr>
              <w:spacing w:line="520" w:lineRule="exact"/>
              <w:jc w:val="center"/>
              <w:rPr>
                <w:szCs w:val="21"/>
              </w:rPr>
            </w:pPr>
            <w:r>
              <w:rPr>
                <w:rFonts w:hint="eastAsia"/>
                <w:szCs w:val="21"/>
              </w:rPr>
              <w:t xml:space="preserve">                                     供应商签章：</w:t>
            </w:r>
          </w:p>
          <w:p>
            <w:pPr>
              <w:spacing w:line="520" w:lineRule="exact"/>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Cs w:val="21"/>
              </w:rPr>
            </w:pPr>
            <w:r>
              <w:rPr>
                <w:rFonts w:hint="eastAsia"/>
                <w:szCs w:val="21"/>
              </w:rPr>
              <w:t>采</w:t>
            </w:r>
          </w:p>
          <w:p>
            <w:pPr>
              <w:jc w:val="center"/>
              <w:rPr>
                <w:szCs w:val="21"/>
              </w:rPr>
            </w:pPr>
            <w:r>
              <w:rPr>
                <w:rFonts w:hint="eastAsia"/>
                <w:szCs w:val="21"/>
              </w:rPr>
              <w:t>购</w:t>
            </w:r>
          </w:p>
          <w:p>
            <w:pPr>
              <w:jc w:val="center"/>
              <w:rPr>
                <w:szCs w:val="21"/>
              </w:rPr>
            </w:pPr>
            <w:r>
              <w:rPr>
                <w:rFonts w:hint="eastAsia"/>
                <w:szCs w:val="21"/>
              </w:rPr>
              <w:t>单</w:t>
            </w:r>
          </w:p>
          <w:p>
            <w:pPr>
              <w:jc w:val="center"/>
              <w:rPr>
                <w:szCs w:val="21"/>
              </w:rPr>
            </w:pPr>
            <w:r>
              <w:rPr>
                <w:rFonts w:hint="eastAsia"/>
                <w:szCs w:val="21"/>
              </w:rPr>
              <w:t>位</w:t>
            </w:r>
          </w:p>
          <w:p>
            <w:pPr>
              <w:jc w:val="center"/>
              <w:rPr>
                <w:szCs w:val="21"/>
              </w:rPr>
            </w:pPr>
            <w:r>
              <w:rPr>
                <w:rFonts w:hint="eastAsia"/>
                <w:szCs w:val="21"/>
              </w:rPr>
              <w:t>意</w:t>
            </w:r>
          </w:p>
          <w:p>
            <w:pPr>
              <w:jc w:val="center"/>
              <w:rPr>
                <w:szCs w:val="21"/>
              </w:rPr>
            </w:pPr>
            <w:r>
              <w:rPr>
                <w:rFonts w:hint="eastAsia"/>
                <w:szCs w:val="21"/>
              </w:rPr>
              <w:t>见</w:t>
            </w:r>
          </w:p>
        </w:tc>
        <w:tc>
          <w:tcPr>
            <w:tcW w:w="8640" w:type="dxa"/>
          </w:tcPr>
          <w:p>
            <w:pPr>
              <w:rPr>
                <w:szCs w:val="21"/>
              </w:rPr>
            </w:pPr>
          </w:p>
          <w:p>
            <w:pPr>
              <w:rPr>
                <w:szCs w:val="21"/>
              </w:rPr>
            </w:pPr>
            <w:r>
              <w:rPr>
                <w:rFonts w:hint="eastAsia"/>
                <w:szCs w:val="21"/>
              </w:rPr>
              <w:t>退付意见：是否同意退付履约保证金及退付金额：</w:t>
            </w:r>
          </w:p>
          <w:p>
            <w:pPr>
              <w:rPr>
                <w:szCs w:val="21"/>
              </w:rPr>
            </w:pPr>
          </w:p>
          <w:p>
            <w:pPr>
              <w:rPr>
                <w:szCs w:val="21"/>
              </w:rPr>
            </w:pPr>
          </w:p>
          <w:p>
            <w:pPr>
              <w:spacing w:line="520" w:lineRule="exact"/>
              <w:rPr>
                <w:szCs w:val="21"/>
              </w:rPr>
            </w:pPr>
            <w:r>
              <w:rPr>
                <w:rFonts w:hint="eastAsia"/>
                <w:szCs w:val="21"/>
              </w:rPr>
              <w:t>联系人及电话：                                 采购单位签章</w:t>
            </w:r>
          </w:p>
          <w:p>
            <w:pPr>
              <w:spacing w:line="520" w:lineRule="exact"/>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Cs w:val="21"/>
              </w:rPr>
            </w:pPr>
            <w:r>
              <w:rPr>
                <w:rFonts w:hint="eastAsia"/>
                <w:szCs w:val="21"/>
              </w:rPr>
              <w:t>财</w:t>
            </w:r>
          </w:p>
          <w:p>
            <w:pPr>
              <w:jc w:val="center"/>
              <w:rPr>
                <w:szCs w:val="21"/>
              </w:rPr>
            </w:pPr>
            <w:r>
              <w:rPr>
                <w:rFonts w:hint="eastAsia"/>
                <w:szCs w:val="21"/>
              </w:rPr>
              <w:t>务</w:t>
            </w:r>
          </w:p>
          <w:p>
            <w:pPr>
              <w:jc w:val="center"/>
              <w:rPr>
                <w:szCs w:val="21"/>
              </w:rPr>
            </w:pPr>
            <w:r>
              <w:rPr>
                <w:rFonts w:hint="eastAsia"/>
                <w:szCs w:val="21"/>
              </w:rPr>
              <w:t>部</w:t>
            </w:r>
          </w:p>
          <w:p>
            <w:pPr>
              <w:jc w:val="center"/>
              <w:rPr>
                <w:szCs w:val="21"/>
              </w:rPr>
            </w:pPr>
            <w:r>
              <w:rPr>
                <w:rFonts w:hint="eastAsia"/>
                <w:szCs w:val="21"/>
              </w:rPr>
              <w:t>门</w:t>
            </w:r>
          </w:p>
          <w:p>
            <w:pPr>
              <w:jc w:val="center"/>
              <w:rPr>
                <w:szCs w:val="21"/>
              </w:rPr>
            </w:pPr>
            <w:r>
              <w:rPr>
                <w:rFonts w:hint="eastAsia"/>
                <w:szCs w:val="21"/>
              </w:rPr>
              <w:t>意</w:t>
            </w:r>
          </w:p>
          <w:p>
            <w:pPr>
              <w:jc w:val="center"/>
              <w:rPr>
                <w:szCs w:val="21"/>
              </w:rPr>
            </w:pPr>
            <w:r>
              <w:rPr>
                <w:rFonts w:hint="eastAsia"/>
                <w:szCs w:val="21"/>
              </w:rPr>
              <w:t>见</w:t>
            </w:r>
          </w:p>
        </w:tc>
        <w:tc>
          <w:tcPr>
            <w:tcW w:w="8640" w:type="dxa"/>
          </w:tcPr>
          <w:p>
            <w:pPr>
              <w:spacing w:line="640" w:lineRule="exact"/>
              <w:rPr>
                <w:szCs w:val="21"/>
              </w:rPr>
            </w:pPr>
            <w:r>
              <w:rPr>
                <w:rFonts w:hint="eastAsia"/>
                <w:szCs w:val="21"/>
              </w:rPr>
              <w:t>此表于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日收到。</w:t>
            </w:r>
          </w:p>
          <w:p>
            <w:pPr>
              <w:spacing w:line="640" w:lineRule="exact"/>
              <w:rPr>
                <w:szCs w:val="21"/>
              </w:rPr>
            </w:pPr>
            <w:r>
              <w:rPr>
                <w:rFonts w:hint="eastAsia"/>
                <w:szCs w:val="21"/>
              </w:rPr>
              <w:t>会计审核：</w:t>
            </w:r>
          </w:p>
          <w:p>
            <w:pPr>
              <w:spacing w:line="640" w:lineRule="exact"/>
              <w:rPr>
                <w:szCs w:val="21"/>
              </w:rPr>
            </w:pPr>
            <w:r>
              <w:rPr>
                <w:rFonts w:hint="eastAsia"/>
                <w:szCs w:val="21"/>
              </w:rPr>
              <w:t>财务负责人审核：</w:t>
            </w:r>
          </w:p>
          <w:p>
            <w:pPr>
              <w:spacing w:line="640" w:lineRule="exact"/>
              <w:rPr>
                <w:szCs w:val="21"/>
              </w:rPr>
            </w:pPr>
            <w:r>
              <w:rPr>
                <w:rFonts w:hint="eastAsia"/>
                <w:szCs w:val="21"/>
              </w:rPr>
              <w:t>单位负责人签字：</w:t>
            </w:r>
          </w:p>
          <w:p>
            <w:pPr>
              <w:spacing w:line="640" w:lineRule="exact"/>
              <w:rPr>
                <w:szCs w:val="21"/>
              </w:rPr>
            </w:pPr>
            <w:r>
              <w:rPr>
                <w:rFonts w:hint="eastAsia"/>
                <w:szCs w:val="21"/>
              </w:rPr>
              <w:t>出纳办理转帐日期：</w:t>
            </w:r>
          </w:p>
        </w:tc>
      </w:tr>
    </w:tbl>
    <w:p>
      <w:pPr>
        <w:spacing w:line="380" w:lineRule="exact"/>
        <w:ind w:left="420" w:leftChars="114" w:hanging="181" w:hangingChars="100"/>
      </w:pPr>
      <w:r>
        <w:rPr>
          <w:rFonts w:hint="eastAsia" w:ascii="宋体"/>
          <w:b/>
          <w:bCs/>
          <w:kern w:val="0"/>
          <w:sz w:val="18"/>
        </w:rPr>
        <w:t>注：供应商凭经采购单位审批的退付意见书办理履约保证金退付事宜。</w:t>
      </w:r>
    </w:p>
    <w:p>
      <w:pPr>
        <w:jc w:val="left"/>
        <w:rPr>
          <w:rFonts w:ascii="楷体" w:eastAsia="楷体"/>
          <w:kern w:val="0"/>
          <w:sz w:val="32"/>
          <w:szCs w:val="32"/>
        </w:rPr>
      </w:pPr>
      <w:r>
        <w:rPr>
          <w:rFonts w:ascii="宋体" w:hAnsi="宋体"/>
        </w:rPr>
        <w:br w:type="page"/>
      </w:r>
      <w:r>
        <w:rPr>
          <w:rFonts w:hint="eastAsia" w:ascii="楷体" w:eastAsia="楷体"/>
          <w:kern w:val="0"/>
          <w:sz w:val="32"/>
          <w:szCs w:val="32"/>
        </w:rPr>
        <w:t>附件3：</w:t>
      </w:r>
    </w:p>
    <w:p>
      <w:pPr>
        <w:spacing w:line="528" w:lineRule="exact"/>
        <w:ind w:firstLine="2000" w:firstLineChars="500"/>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36"/>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bCs/>
                <w:kern w:val="0"/>
                <w:szCs w:val="21"/>
              </w:rPr>
            </w:pPr>
            <w:r>
              <w:rPr>
                <w:rFonts w:hint="eastAsia" w:ascii="宋体" w:hAnsi="宋体" w:cs="宋体"/>
                <w:b/>
                <w:bCs/>
                <w:kern w:val="0"/>
                <w:szCs w:val="21"/>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A02010609图形图像输入设备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A0201060901扫描仪</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A020202投影仪</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A020204多功能一体机</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A020519泵</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A02051901离心泵</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★A02052301制冷压缩机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冷水机组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水源热泵机组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溴化锂吸收式冷水机组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★A02052305空调机组</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多联式空调（热泵）机组(制冷量&gt;14000W)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单元式空气调节机(制冷量&gt;14000W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★A02052309专用制冷、空调设备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机房空调</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A02052399其他制冷空调设备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冷却塔</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A020601电机</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A020602变压器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配电变压器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★A020609镇流器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管型荧光灯镇流器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A020618生活用电器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A0206180101电冰箱</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★A0206180203空调机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房间空气调节器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多联式空调（热泵）机组（制冷量≤ 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单元式空气调节机(制冷量≤14000W)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A0206180301洗衣机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A02061808热水器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★电热水器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燃气热水器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热泵热水器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太阳能热水系统</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A020619照明设备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★普通照明用双端荧光灯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LED道路/隧道照明产品</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LED筒灯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普通照明用非定向自镇流LED灯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12</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★A020910电视设备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A02091001普通电视设备（电视机）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13</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★A020911视频设备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A02091107视频监控设备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监视器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14</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A031210饮食炊事机械</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商用燃气灶具</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15</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★A060805便器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坐便器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蹲便器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小便器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16</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★A060806水嘴</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17</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A060807便器冲洗阀</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18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《淋浴器用水效率限定值及用水效率等级》（GB28378）</w:t>
            </w:r>
          </w:p>
        </w:tc>
      </w:tr>
    </w:tbl>
    <w:p>
      <w:pPr>
        <w:pStyle w:val="17"/>
        <w:spacing w:line="360" w:lineRule="auto"/>
        <w:rPr>
          <w:spacing w:val="-3"/>
          <w:sz w:val="21"/>
          <w:szCs w:val="21"/>
        </w:rPr>
      </w:pPr>
    </w:p>
    <w:p>
      <w:pPr>
        <w:pStyle w:val="17"/>
        <w:spacing w:line="360" w:lineRule="auto"/>
        <w:rPr>
          <w:rFonts w:ascii="宋体" w:hAnsi="宋体"/>
          <w:sz w:val="21"/>
          <w:szCs w:val="21"/>
        </w:rPr>
      </w:pPr>
      <w:r>
        <w:rPr>
          <w:rFonts w:hint="eastAsia"/>
          <w:spacing w:val="-3"/>
          <w:sz w:val="21"/>
          <w:szCs w:val="21"/>
        </w:rPr>
        <w:t>注：</w:t>
      </w:r>
      <w:r>
        <w:rPr>
          <w:spacing w:val="-3"/>
          <w:sz w:val="21"/>
          <w:szCs w:val="21"/>
        </w:rPr>
        <w:t>1.</w:t>
      </w:r>
      <w:r>
        <w:rPr>
          <w:rFonts w:hint="eastAsia"/>
          <w:spacing w:val="-3"/>
          <w:sz w:val="21"/>
          <w:szCs w:val="21"/>
        </w:rPr>
        <w:t>节能产品认证应依据相关国家标准的最新版本，依据国家标准中二级能效（水效）</w:t>
      </w:r>
      <w:r>
        <w:rPr>
          <w:rFonts w:hint="eastAsia"/>
          <w:sz w:val="21"/>
          <w:szCs w:val="21"/>
        </w:rPr>
        <w:t>指标。</w:t>
      </w:r>
    </w:p>
    <w:p>
      <w:pPr>
        <w:spacing w:line="400" w:lineRule="exact"/>
        <w:rPr>
          <w:rFonts w:ascii="宋体" w:hAnsi="宋体"/>
          <w:b/>
          <w:sz w:val="32"/>
          <w:szCs w:val="32"/>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pPr>
        <w:spacing w:line="400" w:lineRule="exact"/>
        <w:jc w:val="center"/>
        <w:rPr>
          <w:rFonts w:ascii="宋体" w:hAnsi="宋体"/>
          <w:b/>
          <w:sz w:val="32"/>
          <w:szCs w:val="32"/>
        </w:rPr>
      </w:pPr>
      <w:r>
        <w:rPr>
          <w:rFonts w:ascii="宋体" w:hAnsi="宋体"/>
          <w:b/>
          <w:sz w:val="32"/>
          <w:szCs w:val="32"/>
        </w:rPr>
        <w:br w:type="page"/>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pPr>
    </w:p>
    <w:p>
      <w:pPr>
        <w:pStyle w:val="34"/>
        <w:rPr>
          <w:sz w:val="44"/>
          <w:szCs w:val="44"/>
        </w:rPr>
      </w:pPr>
      <w:bookmarkStart w:id="49" w:name="_Toc476258664"/>
      <w:bookmarkStart w:id="50" w:name="_Toc476258758"/>
      <w:r>
        <w:rPr>
          <w:rFonts w:hint="eastAsia"/>
          <w:sz w:val="44"/>
          <w:szCs w:val="44"/>
        </w:rPr>
        <w:t>第三章  采购需求</w:t>
      </w:r>
      <w:bookmarkEnd w:id="49"/>
      <w:bookmarkEnd w:id="50"/>
    </w:p>
    <w:p>
      <w:pPr>
        <w:spacing w:line="720" w:lineRule="auto"/>
        <w:jc w:val="center"/>
        <w:rPr>
          <w:rFonts w:ascii="宋体" w:hAnsi="宋体"/>
          <w:b/>
          <w:sz w:val="32"/>
          <w:szCs w:val="32"/>
        </w:rPr>
      </w:pPr>
      <w:r>
        <w:rPr>
          <w:rFonts w:ascii="仿宋_GB2312" w:hAnsi="宋体" w:eastAsia="仿宋_GB2312"/>
          <w:b/>
          <w:sz w:val="32"/>
          <w:szCs w:val="32"/>
        </w:rPr>
        <w:br w:type="page"/>
      </w:r>
      <w:r>
        <w:rPr>
          <w:rFonts w:hint="eastAsia" w:ascii="宋体" w:hAnsi="宋体"/>
          <w:b/>
          <w:sz w:val="32"/>
          <w:szCs w:val="32"/>
        </w:rPr>
        <w:t>采购项目技术规格、参数及要求</w:t>
      </w:r>
    </w:p>
    <w:p>
      <w:pPr>
        <w:tabs>
          <w:tab w:val="left" w:pos="180"/>
          <w:tab w:val="left" w:pos="1620"/>
        </w:tabs>
        <w:spacing w:line="440" w:lineRule="exact"/>
        <w:ind w:firstLine="420" w:firstLineChars="200"/>
        <w:rPr>
          <w:rFonts w:ascii="宋体" w:hAnsi="宋体"/>
          <w:szCs w:val="21"/>
          <w:u w:val="single"/>
        </w:rPr>
      </w:pPr>
      <w:r>
        <w:rPr>
          <w:rFonts w:hint="eastAsia" w:ascii="宋体" w:hAnsi="宋体"/>
          <w:szCs w:val="21"/>
        </w:rPr>
        <w:t>一、采购项目编号：GXZC2024-C3-004824-TQGC</w:t>
      </w:r>
    </w:p>
    <w:p>
      <w:pPr>
        <w:tabs>
          <w:tab w:val="left" w:pos="180"/>
          <w:tab w:val="left" w:pos="1620"/>
        </w:tabs>
        <w:spacing w:line="440" w:lineRule="exact"/>
        <w:ind w:firstLine="420" w:firstLineChars="200"/>
        <w:rPr>
          <w:rFonts w:ascii="宋体" w:hAnsi="宋体"/>
          <w:szCs w:val="21"/>
          <w:u w:val="single"/>
        </w:rPr>
      </w:pPr>
      <w:r>
        <w:rPr>
          <w:rFonts w:hint="eastAsia" w:ascii="宋体" w:hAnsi="宋体"/>
          <w:szCs w:val="21"/>
        </w:rPr>
        <w:t>二、采购项目类别：</w:t>
      </w:r>
      <w:r>
        <w:rPr>
          <w:rFonts w:hint="eastAsia" w:ascii="宋体" w:hAnsi="宋体"/>
          <w:szCs w:val="21"/>
          <w:u w:val="single"/>
        </w:rPr>
        <w:t xml:space="preserve">  服务类  </w:t>
      </w:r>
    </w:p>
    <w:p>
      <w:pPr>
        <w:tabs>
          <w:tab w:val="left" w:pos="180"/>
          <w:tab w:val="left" w:pos="1620"/>
        </w:tabs>
        <w:spacing w:line="440" w:lineRule="exact"/>
        <w:ind w:firstLine="420" w:firstLineChars="200"/>
        <w:rPr>
          <w:rFonts w:ascii="宋体" w:hAnsi="宋体"/>
          <w:szCs w:val="21"/>
        </w:rPr>
      </w:pPr>
      <w:r>
        <w:rPr>
          <w:rFonts w:hint="eastAsia" w:ascii="宋体" w:hAnsi="宋体"/>
          <w:szCs w:val="21"/>
        </w:rPr>
        <w:t>三、采购需求一览表</w:t>
      </w:r>
    </w:p>
    <w:p>
      <w:pPr>
        <w:spacing w:line="440" w:lineRule="exact"/>
        <w:ind w:firstLine="437"/>
        <w:rPr>
          <w:rFonts w:ascii="宋体" w:hAnsi="宋体"/>
          <w:szCs w:val="21"/>
        </w:rPr>
      </w:pPr>
      <w:r>
        <w:rPr>
          <w:rFonts w:hint="eastAsia" w:ascii="宋体" w:hAnsi="宋体"/>
          <w:szCs w:val="21"/>
        </w:rPr>
        <w:t>说明：</w:t>
      </w:r>
    </w:p>
    <w:p>
      <w:pPr>
        <w:spacing w:line="440" w:lineRule="exact"/>
        <w:ind w:firstLine="437"/>
        <w:rPr>
          <w:rFonts w:ascii="宋体" w:hAnsi="宋体"/>
          <w:szCs w:val="21"/>
        </w:rPr>
      </w:pPr>
      <w:r>
        <w:rPr>
          <w:rFonts w:hint="eastAsia" w:ascii="宋体" w:hAnsi="宋体"/>
          <w:szCs w:val="21"/>
        </w:rPr>
        <w:t>1、本项目需求表中带有“▲”的技术参数或要求为实质性要求，必须满足，竞标响应不得低于该技术指标或要求。未标注“▲”的参数或条款发生负偏离或不响应达</w:t>
      </w:r>
      <w:r>
        <w:rPr>
          <w:rFonts w:hint="eastAsia" w:ascii="宋体" w:hAnsi="宋体"/>
          <w:szCs w:val="21"/>
          <w:u w:val="single"/>
        </w:rPr>
        <w:t>3</w:t>
      </w:r>
      <w:r>
        <w:rPr>
          <w:rFonts w:hint="eastAsia" w:ascii="宋体" w:hAnsi="宋体"/>
          <w:szCs w:val="21"/>
        </w:rPr>
        <w:t>项（含）以上的，响应无效。</w:t>
      </w:r>
    </w:p>
    <w:p>
      <w:pPr>
        <w:widowControl/>
        <w:tabs>
          <w:tab w:val="left" w:pos="1531"/>
        </w:tabs>
        <w:ind w:firstLine="420" w:firstLineChars="200"/>
        <w:jc w:val="left"/>
        <w:rPr>
          <w:rFonts w:ascii="宋体" w:hAnsi="宋体" w:eastAsia="仿宋"/>
          <w:szCs w:val="21"/>
        </w:rPr>
      </w:pPr>
      <w:r>
        <w:rPr>
          <w:rFonts w:hint="eastAsia" w:ascii="宋体" w:hAnsi="宋体"/>
          <w:szCs w:val="21"/>
        </w:rPr>
        <w:t>2、供应商所竞标货物或服务如国家有强制性要求的按国家规定执行，若执行标准有修改或更新按最新版本执行。</w:t>
      </w:r>
    </w:p>
    <w:p>
      <w:pPr>
        <w:spacing w:line="440" w:lineRule="exact"/>
        <w:ind w:firstLine="437"/>
        <w:rPr>
          <w:rFonts w:ascii="宋体" w:hAnsi="宋体" w:cs="Arial"/>
          <w:b/>
          <w:szCs w:val="21"/>
        </w:rPr>
      </w:pPr>
      <w:r>
        <w:rPr>
          <w:rFonts w:hint="eastAsia" w:ascii="宋体" w:hAnsi="宋体"/>
          <w:szCs w:val="21"/>
        </w:rPr>
        <w:t>3、采购标的对应的中小企业划分标准所属行业：根据《关于印发中小企业划型标准规定的通知》（工信部联企业〔2011〕300号），本次采购标的属于：其他未列明行业。</w:t>
      </w:r>
    </w:p>
    <w:tbl>
      <w:tblPr>
        <w:tblStyle w:val="36"/>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36"/>
        <w:gridCol w:w="500"/>
        <w:gridCol w:w="948"/>
        <w:gridCol w:w="616"/>
        <w:gridCol w:w="70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19"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szCs w:val="21"/>
              </w:rPr>
            </w:pPr>
            <w:r>
              <w:rPr>
                <w:rFonts w:hint="eastAsia" w:ascii="宋体" w:hAnsi="宋体" w:cs="宋体"/>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Cs/>
                <w:szCs w:val="21"/>
              </w:rPr>
              <w:t>项号</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Cs/>
                <w:kern w:val="0"/>
                <w:szCs w:val="21"/>
              </w:rPr>
              <w:t>分项</w:t>
            </w: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Cs/>
                <w:szCs w:val="21"/>
              </w:rPr>
              <w:t>服务名称</w:t>
            </w:r>
          </w:p>
        </w:tc>
        <w:tc>
          <w:tcPr>
            <w:tcW w:w="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Cs/>
                <w:szCs w:val="21"/>
              </w:rPr>
              <w:t>数量</w:t>
            </w:r>
          </w:p>
        </w:tc>
        <w:tc>
          <w:tcPr>
            <w:tcW w:w="7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Cs/>
                <w:szCs w:val="21"/>
              </w:rPr>
              <w:t>单位</w:t>
            </w:r>
          </w:p>
        </w:tc>
        <w:tc>
          <w:tcPr>
            <w:tcW w:w="56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Cs/>
                <w:szCs w:val="21"/>
              </w:rPr>
              <w:t>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restart"/>
            <w:tcBorders>
              <w:top w:val="single" w:color="auto" w:sz="4" w:space="0"/>
              <w:left w:val="single" w:color="auto" w:sz="4" w:space="0"/>
              <w:right w:val="single" w:color="auto" w:sz="4" w:space="0"/>
            </w:tcBorders>
            <w:vAlign w:val="center"/>
          </w:tcPr>
          <w:p>
            <w:pPr>
              <w:spacing w:line="380" w:lineRule="exact"/>
              <w:jc w:val="center"/>
              <w:rPr>
                <w:rFonts w:ascii="宋体" w:hAnsi="宋体" w:cs="宋体"/>
                <w:bCs/>
                <w:kern w:val="0"/>
                <w:szCs w:val="21"/>
              </w:rPr>
            </w:pPr>
            <w:r>
              <w:rPr>
                <w:rFonts w:hint="eastAsia" w:ascii="宋体" w:hAnsi="宋体" w:cs="宋体"/>
                <w:bCs/>
                <w:kern w:val="0"/>
                <w:szCs w:val="21"/>
              </w:rPr>
              <w:t>中心1：</w:t>
            </w:r>
          </w:p>
          <w:p>
            <w:pPr>
              <w:spacing w:line="380" w:lineRule="exact"/>
              <w:jc w:val="center"/>
              <w:rPr>
                <w:rFonts w:ascii="宋体" w:hAnsi="宋体" w:cs="宋体"/>
                <w:bCs/>
                <w:kern w:val="0"/>
                <w:szCs w:val="21"/>
              </w:rPr>
            </w:pPr>
          </w:p>
          <w:p>
            <w:pPr>
              <w:spacing w:line="380" w:lineRule="exact"/>
              <w:jc w:val="center"/>
              <w:rPr>
                <w:rFonts w:ascii="宋体" w:hAnsi="宋体" w:cs="宋体"/>
                <w:kern w:val="0"/>
                <w:szCs w:val="21"/>
              </w:rPr>
            </w:pPr>
            <w:r>
              <w:rPr>
                <w:rFonts w:hint="eastAsia" w:ascii="宋体" w:hAnsi="宋体" w:cs="宋体"/>
                <w:bCs/>
                <w:kern w:val="0"/>
                <w:szCs w:val="21"/>
              </w:rPr>
              <w:t>北斗专业虚拟仿真教学实训中心</w:t>
            </w: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图形工作站</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26</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kern w:val="0"/>
                <w:szCs w:val="21"/>
              </w:rPr>
            </w:pPr>
            <w:r>
              <w:rPr>
                <w:rFonts w:hint="eastAsia" w:ascii="宋体" w:hAnsi="宋体" w:cs="宋体"/>
                <w:kern w:val="0"/>
                <w:szCs w:val="21"/>
              </w:rPr>
              <w:t>一、硬件要求：</w:t>
            </w:r>
          </w:p>
          <w:p>
            <w:pPr>
              <w:widowControl/>
              <w:spacing w:line="380" w:lineRule="exact"/>
              <w:jc w:val="left"/>
              <w:rPr>
                <w:rFonts w:ascii="宋体" w:hAnsi="宋体" w:cs="宋体"/>
                <w:kern w:val="0"/>
                <w:szCs w:val="21"/>
              </w:rPr>
            </w:pPr>
            <w:r>
              <w:rPr>
                <w:rFonts w:hint="eastAsia" w:ascii="宋体" w:hAnsi="宋体"/>
                <w:szCs w:val="21"/>
              </w:rPr>
              <w:t>▲</w:t>
            </w:r>
            <w:r>
              <w:rPr>
                <w:rFonts w:hint="eastAsia" w:ascii="宋体" w:hAnsi="宋体" w:cs="宋体"/>
                <w:kern w:val="0"/>
                <w:szCs w:val="21"/>
              </w:rPr>
              <w:t>1、处理器：不低于Intel Core I7 14700 ，基础频率≥2.1G ，核心≥20， 线程≥28；</w:t>
            </w:r>
          </w:p>
          <w:p>
            <w:pPr>
              <w:widowControl/>
              <w:spacing w:line="380" w:lineRule="exact"/>
              <w:jc w:val="left"/>
              <w:rPr>
                <w:rFonts w:ascii="宋体" w:hAnsi="宋体" w:cs="宋体"/>
                <w:kern w:val="0"/>
                <w:szCs w:val="21"/>
              </w:rPr>
            </w:pPr>
            <w:r>
              <w:rPr>
                <w:rFonts w:hint="eastAsia" w:ascii="宋体" w:hAnsi="宋体"/>
                <w:szCs w:val="21"/>
              </w:rPr>
              <w:t>▲</w:t>
            </w:r>
            <w:r>
              <w:rPr>
                <w:rFonts w:hint="eastAsia" w:ascii="宋体" w:hAnsi="宋体" w:cs="宋体"/>
                <w:kern w:val="0"/>
                <w:szCs w:val="21"/>
              </w:rPr>
              <w:t>2、内存：≥16G DDR5 4800MHz，≥4个内存插槽，最大内存支持≥128G；</w:t>
            </w:r>
          </w:p>
          <w:p>
            <w:pPr>
              <w:widowControl/>
              <w:spacing w:line="380" w:lineRule="exact"/>
              <w:jc w:val="left"/>
              <w:rPr>
                <w:rFonts w:ascii="宋体" w:hAnsi="宋体" w:cs="宋体"/>
                <w:kern w:val="0"/>
                <w:szCs w:val="21"/>
              </w:rPr>
            </w:pPr>
            <w:r>
              <w:rPr>
                <w:rFonts w:hint="eastAsia" w:ascii="宋体" w:hAnsi="宋体" w:cs="宋体"/>
                <w:kern w:val="0"/>
                <w:szCs w:val="21"/>
              </w:rPr>
              <w:t>3、硬盘：≥1TB M.2 SSD固态硬盘；</w:t>
            </w:r>
          </w:p>
          <w:p>
            <w:pPr>
              <w:widowControl/>
              <w:spacing w:line="380" w:lineRule="exact"/>
              <w:jc w:val="left"/>
              <w:rPr>
                <w:rFonts w:ascii="宋体" w:hAnsi="宋体" w:cs="宋体"/>
                <w:kern w:val="0"/>
                <w:szCs w:val="21"/>
              </w:rPr>
            </w:pPr>
            <w:r>
              <w:rPr>
                <w:rFonts w:hint="eastAsia" w:ascii="宋体" w:hAnsi="宋体"/>
                <w:szCs w:val="21"/>
              </w:rPr>
              <w:t>▲</w:t>
            </w:r>
            <w:r>
              <w:rPr>
                <w:rFonts w:hint="eastAsia" w:ascii="宋体" w:hAnsi="宋体" w:cs="宋体"/>
                <w:kern w:val="0"/>
                <w:szCs w:val="21"/>
              </w:rPr>
              <w:t>4、显卡：原厂预装RTX4060 或以上 专业独立显卡；</w:t>
            </w:r>
          </w:p>
          <w:p>
            <w:pPr>
              <w:widowControl/>
              <w:spacing w:line="380" w:lineRule="exact"/>
              <w:jc w:val="left"/>
              <w:rPr>
                <w:rFonts w:ascii="宋体" w:hAnsi="宋体" w:cs="宋体"/>
                <w:kern w:val="0"/>
                <w:szCs w:val="21"/>
              </w:rPr>
            </w:pPr>
            <w:r>
              <w:rPr>
                <w:rFonts w:hint="eastAsia" w:ascii="宋体" w:hAnsi="宋体" w:cs="宋体"/>
                <w:kern w:val="0"/>
                <w:szCs w:val="21"/>
              </w:rPr>
              <w:t>5、网卡：集成千兆网卡；</w:t>
            </w:r>
          </w:p>
          <w:p>
            <w:pPr>
              <w:widowControl/>
              <w:spacing w:line="380" w:lineRule="exact"/>
              <w:jc w:val="left"/>
              <w:rPr>
                <w:rFonts w:ascii="宋体" w:hAnsi="宋体" w:cs="宋体"/>
                <w:kern w:val="0"/>
                <w:szCs w:val="21"/>
              </w:rPr>
            </w:pPr>
            <w:r>
              <w:rPr>
                <w:rFonts w:hint="eastAsia" w:ascii="宋体" w:hAnsi="宋体"/>
                <w:szCs w:val="21"/>
              </w:rPr>
              <w:t>▲</w:t>
            </w:r>
            <w:r>
              <w:rPr>
                <w:rFonts w:hint="eastAsia" w:ascii="宋体" w:hAnsi="宋体" w:cs="宋体"/>
                <w:kern w:val="0"/>
                <w:szCs w:val="21"/>
              </w:rPr>
              <w:t>6、主板芯片组不低于Q670系列；</w:t>
            </w:r>
          </w:p>
          <w:p>
            <w:pPr>
              <w:widowControl/>
              <w:spacing w:line="380" w:lineRule="exact"/>
              <w:jc w:val="left"/>
              <w:rPr>
                <w:rFonts w:ascii="宋体" w:hAnsi="宋体" w:cs="宋体"/>
                <w:kern w:val="0"/>
                <w:szCs w:val="21"/>
              </w:rPr>
            </w:pPr>
            <w:r>
              <w:rPr>
                <w:rFonts w:hint="eastAsia" w:ascii="宋体" w:hAnsi="宋体" w:cs="宋体"/>
                <w:kern w:val="0"/>
                <w:szCs w:val="21"/>
              </w:rPr>
              <w:t>7、接口：≥8个USB 3.2接口，主板集成至少1个VGA接口，1个HDMI接口；</w:t>
            </w:r>
          </w:p>
          <w:p>
            <w:pPr>
              <w:widowControl/>
              <w:spacing w:line="380" w:lineRule="exact"/>
              <w:jc w:val="left"/>
              <w:rPr>
                <w:rFonts w:ascii="宋体" w:hAnsi="宋体" w:cs="宋体"/>
                <w:kern w:val="0"/>
                <w:szCs w:val="21"/>
              </w:rPr>
            </w:pPr>
            <w:r>
              <w:rPr>
                <w:rFonts w:hint="eastAsia" w:ascii="宋体" w:hAnsi="宋体" w:cs="宋体"/>
                <w:kern w:val="0"/>
                <w:szCs w:val="21"/>
              </w:rPr>
              <w:t>8、扩展槽：至少1个PCIE x16 、2个PCIE x1、3个PCIe M.2 接口；</w:t>
            </w:r>
          </w:p>
          <w:p>
            <w:pPr>
              <w:widowControl/>
              <w:spacing w:line="380" w:lineRule="exact"/>
              <w:jc w:val="left"/>
              <w:rPr>
                <w:rFonts w:ascii="宋体" w:hAnsi="宋体" w:cs="宋体"/>
                <w:kern w:val="0"/>
                <w:szCs w:val="21"/>
              </w:rPr>
            </w:pPr>
            <w:r>
              <w:rPr>
                <w:rFonts w:hint="eastAsia" w:ascii="宋体" w:hAnsi="宋体" w:cs="宋体"/>
                <w:kern w:val="0"/>
                <w:szCs w:val="21"/>
              </w:rPr>
              <w:t>9、键盘、鼠标：标配原厂USB光电鼠标/防水键盘；</w:t>
            </w:r>
          </w:p>
          <w:p>
            <w:pPr>
              <w:widowControl/>
              <w:spacing w:line="380" w:lineRule="exact"/>
              <w:jc w:val="left"/>
              <w:rPr>
                <w:rFonts w:ascii="宋体" w:hAnsi="宋体" w:cs="宋体"/>
                <w:kern w:val="0"/>
                <w:szCs w:val="21"/>
              </w:rPr>
            </w:pPr>
            <w:r>
              <w:rPr>
                <w:rFonts w:hint="eastAsia" w:ascii="宋体" w:hAnsi="宋体" w:cs="宋体"/>
                <w:kern w:val="0"/>
                <w:szCs w:val="21"/>
              </w:rPr>
              <w:t>10、安全技术：配置USB管控功能，可以在BIOS底层实现对USB端口管控，仅识别USB键盘/鼠标设备，无法识别其它USB读取设备，有效防止数据泄露；</w:t>
            </w:r>
          </w:p>
          <w:p>
            <w:pPr>
              <w:widowControl/>
              <w:spacing w:line="380" w:lineRule="exact"/>
              <w:jc w:val="left"/>
              <w:rPr>
                <w:rFonts w:ascii="宋体" w:hAnsi="宋体" w:cs="宋体"/>
                <w:kern w:val="0"/>
                <w:szCs w:val="21"/>
              </w:rPr>
            </w:pPr>
            <w:r>
              <w:rPr>
                <w:rFonts w:hint="eastAsia" w:ascii="宋体" w:hAnsi="宋体" w:cs="宋体"/>
                <w:kern w:val="0"/>
                <w:szCs w:val="21"/>
              </w:rPr>
              <w:t>11、电源：配置≥750W节能电源；</w:t>
            </w:r>
          </w:p>
          <w:p>
            <w:pPr>
              <w:widowControl/>
              <w:spacing w:line="380" w:lineRule="exact"/>
              <w:jc w:val="left"/>
              <w:rPr>
                <w:rFonts w:ascii="宋体" w:hAnsi="宋体" w:cs="宋体"/>
                <w:kern w:val="0"/>
                <w:szCs w:val="21"/>
              </w:rPr>
            </w:pPr>
            <w:r>
              <w:rPr>
                <w:rFonts w:hint="eastAsia" w:ascii="宋体" w:hAnsi="宋体" w:cs="宋体"/>
                <w:kern w:val="0"/>
                <w:szCs w:val="21"/>
              </w:rPr>
              <w:t>12、机箱：塔式标准机箱；</w:t>
            </w:r>
          </w:p>
          <w:p>
            <w:pPr>
              <w:widowControl/>
              <w:spacing w:line="380" w:lineRule="exact"/>
              <w:jc w:val="left"/>
              <w:rPr>
                <w:rFonts w:ascii="宋体" w:hAnsi="宋体" w:cs="宋体"/>
                <w:kern w:val="0"/>
                <w:szCs w:val="21"/>
              </w:rPr>
            </w:pPr>
            <w:r>
              <w:rPr>
                <w:rFonts w:hint="eastAsia" w:ascii="宋体" w:hAnsi="宋体" w:cs="宋体"/>
                <w:kern w:val="0"/>
                <w:szCs w:val="21"/>
              </w:rPr>
              <w:t>13、服务保修：原厂提供三年（含显示器）上门保修服务，设备所有部件均要求为原厂正品；</w:t>
            </w:r>
          </w:p>
          <w:p>
            <w:pPr>
              <w:widowControl/>
              <w:spacing w:line="380" w:lineRule="exact"/>
              <w:jc w:val="left"/>
              <w:rPr>
                <w:rFonts w:ascii="宋体" w:hAnsi="宋体" w:cs="宋体"/>
                <w:kern w:val="0"/>
                <w:szCs w:val="21"/>
              </w:rPr>
            </w:pPr>
            <w:r>
              <w:rPr>
                <w:rFonts w:hint="eastAsia" w:ascii="宋体" w:hAnsi="宋体" w:cs="宋体"/>
                <w:kern w:val="0"/>
                <w:szCs w:val="21"/>
              </w:rPr>
              <w:t>14、在产品3C或节能认证中证明机型为工作站产品；</w:t>
            </w:r>
          </w:p>
          <w:p>
            <w:pPr>
              <w:widowControl/>
              <w:spacing w:line="380" w:lineRule="exact"/>
              <w:jc w:val="left"/>
              <w:rPr>
                <w:rFonts w:ascii="宋体" w:hAnsi="宋体" w:cs="宋体"/>
                <w:kern w:val="0"/>
                <w:szCs w:val="21"/>
              </w:rPr>
            </w:pPr>
            <w:r>
              <w:rPr>
                <w:rFonts w:hint="eastAsia" w:ascii="宋体" w:hAnsi="宋体" w:cs="宋体"/>
                <w:kern w:val="0"/>
                <w:szCs w:val="21"/>
              </w:rPr>
              <w:t>二、管理平台及电子教学软件功能：</w:t>
            </w:r>
          </w:p>
          <w:p>
            <w:pPr>
              <w:widowControl/>
              <w:spacing w:line="380" w:lineRule="exact"/>
              <w:jc w:val="left"/>
              <w:rPr>
                <w:rFonts w:ascii="宋体" w:hAnsi="宋体" w:cs="宋体"/>
                <w:kern w:val="0"/>
                <w:szCs w:val="21"/>
              </w:rPr>
            </w:pPr>
            <w:r>
              <w:rPr>
                <w:rFonts w:hint="eastAsia" w:ascii="宋体" w:hAnsi="宋体"/>
                <w:szCs w:val="21"/>
              </w:rPr>
              <w:t>▲</w:t>
            </w:r>
            <w:r>
              <w:rPr>
                <w:rFonts w:hint="eastAsia" w:ascii="宋体" w:hAnsi="宋体" w:cs="宋体"/>
                <w:kern w:val="0"/>
                <w:szCs w:val="21"/>
              </w:rPr>
              <w:t>1、配备网络同传卡或满足实训室计算机集中管控功能，包括系统镜像传输、可在正常上课的同时完成镜像缓存下载；同一局域网内的设备可互相分享文档；镜像下载支持断点续传，避免网络中断等情况需要重复传输。</w:t>
            </w:r>
          </w:p>
          <w:p>
            <w:pPr>
              <w:widowControl/>
              <w:spacing w:line="380" w:lineRule="exact"/>
              <w:jc w:val="left"/>
              <w:rPr>
                <w:rFonts w:ascii="宋体" w:hAnsi="宋体" w:cs="宋体"/>
                <w:kern w:val="0"/>
                <w:szCs w:val="21"/>
              </w:rPr>
            </w:pPr>
            <w:r>
              <w:rPr>
                <w:rFonts w:hint="eastAsia" w:ascii="宋体" w:hAnsi="宋体" w:cs="宋体"/>
                <w:kern w:val="0"/>
                <w:szCs w:val="21"/>
              </w:rPr>
              <w:t>2、可独立设置某一系统盘数据盘的还原、写入模式；支持对操作系统还原后，对计算机名、IP地址、域用户等信息进行保存。</w:t>
            </w:r>
          </w:p>
          <w:p>
            <w:pPr>
              <w:widowControl/>
              <w:spacing w:line="380" w:lineRule="exact"/>
              <w:jc w:val="left"/>
              <w:rPr>
                <w:rFonts w:ascii="宋体" w:hAnsi="宋体" w:cs="宋体"/>
                <w:kern w:val="0"/>
                <w:szCs w:val="21"/>
              </w:rPr>
            </w:pPr>
            <w:r>
              <w:rPr>
                <w:rFonts w:hint="eastAsia" w:ascii="宋体" w:hAnsi="宋体" w:cs="宋体"/>
                <w:kern w:val="0"/>
                <w:szCs w:val="21"/>
              </w:rPr>
              <w:t>3、支持做好模板、完成系统镜像下发后自动执行关机、重启等操作。</w:t>
            </w:r>
          </w:p>
          <w:p>
            <w:pPr>
              <w:widowControl/>
              <w:spacing w:line="380" w:lineRule="exact"/>
              <w:jc w:val="left"/>
              <w:rPr>
                <w:rFonts w:ascii="宋体" w:hAnsi="宋体" w:cs="宋体"/>
                <w:kern w:val="0"/>
                <w:szCs w:val="21"/>
              </w:rPr>
            </w:pPr>
            <w:r>
              <w:rPr>
                <w:rFonts w:hint="eastAsia" w:ascii="宋体" w:hAnsi="宋体" w:cs="宋体"/>
                <w:kern w:val="0"/>
                <w:szCs w:val="21"/>
              </w:rPr>
              <w:t>4、支持在管理集群内将主服务器内镜像提前下发至节点服务器，提升局域网内镜像的更新速度。（竞标时提供此功能界面截图证明加盖供应商单位公章）</w:t>
            </w:r>
          </w:p>
          <w:p>
            <w:pPr>
              <w:widowControl/>
              <w:spacing w:line="380" w:lineRule="exact"/>
              <w:jc w:val="left"/>
              <w:rPr>
                <w:rFonts w:ascii="宋体" w:hAnsi="宋体" w:cs="宋体"/>
                <w:kern w:val="0"/>
                <w:szCs w:val="21"/>
              </w:rPr>
            </w:pPr>
            <w:r>
              <w:rPr>
                <w:rFonts w:hint="eastAsia" w:ascii="宋体" w:hAnsi="宋体" w:cs="宋体"/>
                <w:kern w:val="0"/>
                <w:szCs w:val="21"/>
              </w:rPr>
              <w:t>5、计划任务：平台可以进行计划任务设置，可以设置固定时间、每天、每周、每月进行定时执行各种任务类型，包括开机、关机、切换模板、还原数据盘。（竞标时提供此功能界面截图证明加盖供应商单位公章）</w:t>
            </w:r>
          </w:p>
          <w:p>
            <w:pPr>
              <w:spacing w:line="380" w:lineRule="exact"/>
              <w:rPr>
                <w:rFonts w:ascii="宋体" w:hAnsi="宋体" w:cs="宋体"/>
                <w:szCs w:val="21"/>
              </w:rPr>
            </w:pPr>
            <w:r>
              <w:rPr>
                <w:rFonts w:hint="eastAsia" w:ascii="宋体" w:hAnsi="宋体" w:cs="宋体"/>
                <w:kern w:val="0"/>
                <w:szCs w:val="21"/>
              </w:rPr>
              <w:t>6、具备多媒体教学管理系统，包括教师机学生机设定、屏幕广播、学生演示、远程遥控、屏幕录制、屏幕回放、文件分发、电子画板、黑屏肃静、远程控制、发布消息、电子举手、文件提交、作业查看、点名签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kern w:val="0"/>
                <w:szCs w:val="21"/>
              </w:rPr>
            </w:pPr>
            <w:r>
              <w:rPr>
                <w:rFonts w:hint="eastAsia" w:ascii="宋体" w:hAnsi="宋体" w:cs="宋体"/>
              </w:rPr>
              <w:t>桌面三维交互一体机</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Cs/>
                <w:kern w:val="0"/>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Cs/>
                <w:kern w:val="0"/>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rPr>
            </w:pPr>
            <w:r>
              <w:rPr>
                <w:rFonts w:hint="eastAsia" w:ascii="宋体" w:hAnsi="宋体" w:cs="宋体"/>
              </w:rPr>
              <w:t>1.支持2D/3D 显示动态或手动切换；</w:t>
            </w:r>
          </w:p>
          <w:p>
            <w:pPr>
              <w:widowControl/>
              <w:spacing w:line="380" w:lineRule="exact"/>
              <w:jc w:val="left"/>
              <w:rPr>
                <w:rFonts w:ascii="宋体" w:hAnsi="宋体" w:cs="宋体"/>
              </w:rPr>
            </w:pPr>
            <w:r>
              <w:rPr>
                <w:rFonts w:hint="eastAsia" w:ascii="宋体" w:hAnsi="宋体" w:cs="宋体"/>
              </w:rPr>
              <w:t>▲2.显示尺寸不小于24英寸，具有帧连续1920*1080@120Hz、屏幕比例16:9的帧率3D偏振立体效果，动态响应时间不高于1ms，可视角度不低于170/160°；</w:t>
            </w:r>
          </w:p>
          <w:p>
            <w:pPr>
              <w:widowControl/>
              <w:spacing w:line="380" w:lineRule="exact"/>
              <w:jc w:val="left"/>
              <w:rPr>
                <w:rFonts w:ascii="宋体" w:hAnsi="宋体" w:cs="宋体"/>
              </w:rPr>
            </w:pPr>
            <w:r>
              <w:rPr>
                <w:rFonts w:hint="eastAsia" w:ascii="宋体" w:hAnsi="宋体" w:cs="宋体"/>
              </w:rPr>
              <w:t>▲3.整机支持不少于四种交互方式，包括语音交互、键鼠交互、空间六自由度笔交互、触摸压感交互等功能；</w:t>
            </w:r>
          </w:p>
          <w:p>
            <w:pPr>
              <w:widowControl/>
              <w:spacing w:line="380" w:lineRule="exact"/>
              <w:jc w:val="left"/>
              <w:rPr>
                <w:rFonts w:ascii="宋体" w:hAnsi="宋体" w:cs="宋体"/>
              </w:rPr>
            </w:pPr>
            <w:r>
              <w:rPr>
                <w:rFonts w:hint="eastAsia" w:ascii="宋体" w:hAnsi="宋体" w:cs="宋体"/>
              </w:rPr>
              <w:t>4.六自由度交互笔无电池，不需要充电；具有至少三个逻辑操作按键；</w:t>
            </w:r>
          </w:p>
          <w:p>
            <w:pPr>
              <w:widowControl/>
              <w:spacing w:line="380" w:lineRule="exact"/>
              <w:jc w:val="left"/>
              <w:rPr>
                <w:rFonts w:ascii="宋体" w:hAnsi="宋体" w:cs="宋体"/>
              </w:rPr>
            </w:pPr>
            <w:r>
              <w:rPr>
                <w:rFonts w:hint="eastAsia" w:ascii="宋体" w:hAnsi="宋体" w:cs="宋体"/>
              </w:rPr>
              <w:t>▲5.包含屏偏振式3D跟踪眼镜一副，具备≥5个光学反光标志物；提供3D观看眼镜一副，3D 眼镜无需配对及充电；</w:t>
            </w:r>
          </w:p>
          <w:p>
            <w:pPr>
              <w:widowControl/>
              <w:spacing w:line="380" w:lineRule="exact"/>
              <w:jc w:val="left"/>
              <w:rPr>
                <w:rFonts w:ascii="宋体" w:hAnsi="宋体" w:cs="宋体"/>
              </w:rPr>
            </w:pPr>
            <w:r>
              <w:rPr>
                <w:rFonts w:hint="eastAsia" w:ascii="宋体" w:hAnsi="宋体" w:cs="宋体"/>
              </w:rPr>
              <w:t>6.提供不低于Windows 10正版系统，设备背面清晰可见微软正版系统防伪标签；</w:t>
            </w:r>
          </w:p>
          <w:p>
            <w:pPr>
              <w:widowControl/>
              <w:spacing w:line="380" w:lineRule="exact"/>
              <w:jc w:val="left"/>
              <w:rPr>
                <w:rFonts w:ascii="宋体" w:hAnsi="宋体" w:cs="宋体"/>
                <w:bCs/>
                <w:kern w:val="0"/>
                <w:szCs w:val="21"/>
              </w:rPr>
            </w:pPr>
            <w:r>
              <w:rPr>
                <w:rFonts w:hint="eastAsia" w:ascii="宋体" w:hAnsi="宋体" w:cs="宋体"/>
              </w:rPr>
              <w:t>7.计算机性能不低于：</w:t>
            </w:r>
            <w:r>
              <w:rPr>
                <w:rFonts w:hint="eastAsia" w:ascii="宋体" w:hAnsi="宋体" w:cs="宋体"/>
                <w:kern w:val="0"/>
                <w:szCs w:val="21"/>
              </w:rPr>
              <w:t>INTEL I7-12代/32GB DDR5内存/1TGB SSD/ T1000 8GB 独立显卡，芯片组性能不低于H670规格。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VR眼镜</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26</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bCs/>
                <w:kern w:val="0"/>
                <w:szCs w:val="21"/>
              </w:rPr>
            </w:pPr>
            <w:r>
              <w:rPr>
                <w:rFonts w:hint="eastAsia" w:ascii="宋体" w:hAnsi="宋体" w:cs="宋体"/>
                <w:bCs/>
                <w:kern w:val="0"/>
                <w:szCs w:val="21"/>
              </w:rPr>
              <w:t>VR眼镜是通过360°交互展示资源，能够在完全沉浸式的环境下学习、训练和体验。</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双眼分辨率：≥4320*2160 </w:t>
            </w:r>
          </w:p>
          <w:p>
            <w:pPr>
              <w:widowControl/>
              <w:spacing w:line="380" w:lineRule="exact"/>
              <w:jc w:val="left"/>
              <w:rPr>
                <w:rFonts w:ascii="宋体" w:hAnsi="宋体" w:cs="宋体"/>
                <w:bCs/>
                <w:kern w:val="0"/>
                <w:szCs w:val="21"/>
              </w:rPr>
            </w:pPr>
            <w:r>
              <w:rPr>
                <w:rFonts w:hint="eastAsia" w:ascii="宋体" w:hAnsi="宋体" w:cs="宋体"/>
                <w:bCs/>
                <w:kern w:val="0"/>
                <w:szCs w:val="21"/>
              </w:rPr>
              <w:t>单眼分辨率：≥2160*2160</w:t>
            </w:r>
          </w:p>
          <w:p>
            <w:pPr>
              <w:widowControl/>
              <w:spacing w:line="380" w:lineRule="exact"/>
              <w:jc w:val="left"/>
              <w:rPr>
                <w:rFonts w:ascii="宋体" w:hAnsi="宋体" w:cs="宋体"/>
                <w:bCs/>
                <w:kern w:val="0"/>
                <w:szCs w:val="21"/>
              </w:rPr>
            </w:pPr>
            <w:r>
              <w:rPr>
                <w:rFonts w:hint="eastAsia" w:ascii="宋体" w:hAnsi="宋体" w:cs="宋体"/>
                <w:bCs/>
                <w:kern w:val="0"/>
                <w:szCs w:val="21"/>
              </w:rPr>
              <w:t>视场角：≥105度</w:t>
            </w:r>
          </w:p>
          <w:p>
            <w:pPr>
              <w:widowControl/>
              <w:spacing w:line="380" w:lineRule="exact"/>
              <w:jc w:val="left"/>
              <w:rPr>
                <w:rFonts w:ascii="宋体" w:hAnsi="宋体" w:cs="宋体"/>
                <w:bCs/>
                <w:kern w:val="0"/>
                <w:szCs w:val="21"/>
              </w:rPr>
            </w:pPr>
            <w:r>
              <w:rPr>
                <w:rFonts w:hint="eastAsia" w:ascii="宋体" w:hAnsi="宋体" w:cs="宋体"/>
                <w:bCs/>
                <w:kern w:val="0"/>
                <w:szCs w:val="21"/>
              </w:rPr>
              <w:t>刷新率：≥72Hz（最高支持90Hz）</w:t>
            </w:r>
          </w:p>
          <w:p>
            <w:pPr>
              <w:widowControl/>
              <w:spacing w:line="380" w:lineRule="exact"/>
              <w:jc w:val="left"/>
              <w:rPr>
                <w:rFonts w:ascii="宋体" w:hAnsi="宋体" w:cs="宋体"/>
                <w:bCs/>
                <w:kern w:val="0"/>
                <w:szCs w:val="21"/>
              </w:rPr>
            </w:pPr>
            <w:r>
              <w:rPr>
                <w:rFonts w:hint="eastAsia" w:ascii="宋体" w:hAnsi="宋体" w:cs="宋体"/>
                <w:bCs/>
                <w:kern w:val="0"/>
                <w:szCs w:val="21"/>
              </w:rPr>
              <w:t>CPU：高通骁龙XR2或以上</w:t>
            </w:r>
          </w:p>
          <w:p>
            <w:pPr>
              <w:widowControl/>
              <w:spacing w:line="380" w:lineRule="exact"/>
              <w:jc w:val="left"/>
              <w:rPr>
                <w:rFonts w:ascii="宋体" w:hAnsi="宋体" w:cs="宋体"/>
                <w:bCs/>
                <w:kern w:val="0"/>
                <w:szCs w:val="21"/>
              </w:rPr>
            </w:pPr>
            <w:r>
              <w:rPr>
                <w:rFonts w:hint="eastAsia" w:ascii="宋体" w:hAnsi="宋体" w:cs="宋体"/>
                <w:bCs/>
                <w:kern w:val="0"/>
                <w:szCs w:val="21"/>
              </w:rPr>
              <w:t>RAM：≥8GB</w:t>
            </w:r>
          </w:p>
          <w:p>
            <w:pPr>
              <w:spacing w:line="380" w:lineRule="exact"/>
              <w:rPr>
                <w:rFonts w:ascii="宋体" w:hAnsi="宋体" w:cs="宋体"/>
                <w:szCs w:val="21"/>
              </w:rPr>
            </w:pPr>
            <w:r>
              <w:rPr>
                <w:rFonts w:hint="eastAsia" w:ascii="宋体" w:hAnsi="宋体" w:cs="宋体"/>
                <w:bCs/>
                <w:kern w:val="0"/>
                <w:szCs w:val="21"/>
              </w:rPr>
              <w:t>接口：Type-C接口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交换设备</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2</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tcPr>
          <w:p>
            <w:pPr>
              <w:spacing w:line="380" w:lineRule="exact"/>
              <w:rPr>
                <w:rFonts w:ascii="宋体" w:hAnsi="宋体" w:cs="宋体"/>
                <w:bCs/>
                <w:kern w:val="0"/>
                <w:szCs w:val="21"/>
              </w:rPr>
            </w:pPr>
            <w:r>
              <w:rPr>
                <w:rFonts w:hint="eastAsia" w:ascii="宋体" w:hAnsi="宋体" w:cs="宋体"/>
                <w:bCs/>
                <w:kern w:val="0"/>
                <w:szCs w:val="21"/>
              </w:rPr>
              <w:t>包转发率：108Mpps/126Mpps</w:t>
            </w:r>
          </w:p>
          <w:p>
            <w:pPr>
              <w:spacing w:line="380" w:lineRule="exact"/>
              <w:rPr>
                <w:rFonts w:ascii="宋体" w:hAnsi="宋体" w:cs="宋体"/>
                <w:bCs/>
                <w:kern w:val="0"/>
                <w:szCs w:val="21"/>
              </w:rPr>
            </w:pPr>
            <w:r>
              <w:rPr>
                <w:rFonts w:hint="eastAsia" w:ascii="宋体" w:hAnsi="宋体" w:cs="宋体"/>
                <w:bCs/>
                <w:kern w:val="0"/>
                <w:szCs w:val="21"/>
              </w:rPr>
              <w:t>交换容量：4.32Gbps/4.32Tbps</w:t>
            </w:r>
          </w:p>
          <w:p>
            <w:pPr>
              <w:spacing w:line="380" w:lineRule="exact"/>
              <w:rPr>
                <w:rFonts w:ascii="宋体" w:hAnsi="宋体" w:cs="宋体"/>
                <w:bCs/>
                <w:kern w:val="0"/>
                <w:szCs w:val="21"/>
              </w:rPr>
            </w:pPr>
            <w:r>
              <w:rPr>
                <w:rFonts w:hint="eastAsia" w:ascii="宋体" w:hAnsi="宋体" w:cs="宋体"/>
                <w:bCs/>
                <w:kern w:val="0"/>
                <w:szCs w:val="21"/>
              </w:rPr>
              <w:t>固定接口数：24*10/100/1000Base-T RJ45端口+4*GE SEP端口</w:t>
            </w:r>
          </w:p>
          <w:p>
            <w:pPr>
              <w:spacing w:line="380" w:lineRule="exact"/>
              <w:rPr>
                <w:rFonts w:ascii="宋体" w:hAnsi="宋体" w:cs="宋体"/>
                <w:szCs w:val="21"/>
              </w:rPr>
            </w:pPr>
            <w:r>
              <w:rPr>
                <w:rFonts w:hint="eastAsia" w:ascii="宋体" w:hAnsi="宋体" w:cs="宋体"/>
                <w:bCs/>
                <w:kern w:val="0"/>
                <w:szCs w:val="21"/>
              </w:rPr>
              <w:t>管理口：1个RJ45 Console口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教学用音响系统</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4</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音响：</w:t>
            </w:r>
          </w:p>
          <w:p>
            <w:pPr>
              <w:widowControl/>
              <w:spacing w:line="380" w:lineRule="exact"/>
              <w:jc w:val="left"/>
              <w:rPr>
                <w:rFonts w:ascii="宋体" w:hAnsi="宋体" w:cs="宋体"/>
                <w:bCs/>
                <w:kern w:val="0"/>
                <w:szCs w:val="21"/>
              </w:rPr>
            </w:pPr>
            <w:r>
              <w:rPr>
                <w:rFonts w:hint="eastAsia" w:ascii="宋体" w:hAnsi="宋体" w:cs="宋体"/>
                <w:bCs/>
                <w:kern w:val="0"/>
                <w:szCs w:val="21"/>
              </w:rPr>
              <w:t>2路3单元低音反射音箱</w:t>
            </w:r>
          </w:p>
          <w:p>
            <w:pPr>
              <w:widowControl/>
              <w:spacing w:line="380" w:lineRule="exact"/>
              <w:jc w:val="left"/>
              <w:rPr>
                <w:rFonts w:ascii="宋体" w:hAnsi="宋体" w:cs="宋体"/>
                <w:bCs/>
                <w:kern w:val="0"/>
                <w:szCs w:val="21"/>
              </w:rPr>
            </w:pPr>
            <w:r>
              <w:rPr>
                <w:rFonts w:hint="eastAsia" w:ascii="宋体" w:hAnsi="宋体" w:cs="宋体"/>
                <w:bCs/>
                <w:kern w:val="0"/>
                <w:szCs w:val="21"/>
              </w:rPr>
              <w:t>低音单元：20cm锥形</w:t>
            </w:r>
          </w:p>
          <w:p>
            <w:pPr>
              <w:widowControl/>
              <w:spacing w:line="380" w:lineRule="exact"/>
              <w:jc w:val="left"/>
              <w:rPr>
                <w:rFonts w:ascii="宋体" w:hAnsi="宋体" w:cs="宋体"/>
                <w:bCs/>
                <w:kern w:val="0"/>
                <w:szCs w:val="21"/>
              </w:rPr>
            </w:pPr>
            <w:r>
              <w:rPr>
                <w:rFonts w:hint="eastAsia" w:ascii="宋体" w:hAnsi="宋体" w:cs="宋体"/>
                <w:bCs/>
                <w:kern w:val="0"/>
                <w:szCs w:val="21"/>
              </w:rPr>
              <w:t>高音单元：7.7cm锥形</w:t>
            </w:r>
          </w:p>
          <w:p>
            <w:pPr>
              <w:widowControl/>
              <w:spacing w:line="380" w:lineRule="exact"/>
              <w:jc w:val="left"/>
              <w:rPr>
                <w:rFonts w:ascii="宋体" w:hAnsi="宋体" w:cs="宋体"/>
                <w:bCs/>
                <w:kern w:val="0"/>
                <w:szCs w:val="21"/>
              </w:rPr>
            </w:pPr>
            <w:r>
              <w:rPr>
                <w:rFonts w:hint="eastAsia" w:ascii="宋体" w:hAnsi="宋体" w:cs="宋体"/>
                <w:bCs/>
                <w:kern w:val="0"/>
                <w:szCs w:val="21"/>
              </w:rPr>
              <w:t>功率（额定/最大）：≥80W/240W</w:t>
            </w:r>
          </w:p>
          <w:p>
            <w:pPr>
              <w:widowControl/>
              <w:spacing w:line="380" w:lineRule="exact"/>
              <w:jc w:val="left"/>
              <w:rPr>
                <w:rFonts w:ascii="宋体" w:hAnsi="宋体" w:cs="宋体"/>
                <w:bCs/>
                <w:kern w:val="0"/>
                <w:szCs w:val="21"/>
              </w:rPr>
            </w:pPr>
            <w:r>
              <w:rPr>
                <w:rFonts w:hint="eastAsia" w:ascii="宋体" w:hAnsi="宋体" w:cs="宋体"/>
                <w:bCs/>
                <w:kern w:val="0"/>
                <w:szCs w:val="21"/>
              </w:rPr>
              <w:t>频率响应：60Hz-20kHz(-10dB)</w:t>
            </w:r>
          </w:p>
          <w:p>
            <w:pPr>
              <w:widowControl/>
              <w:spacing w:line="380" w:lineRule="exact"/>
              <w:jc w:val="left"/>
              <w:rPr>
                <w:rFonts w:ascii="宋体" w:hAnsi="宋体" w:cs="宋体"/>
                <w:bCs/>
                <w:kern w:val="0"/>
                <w:szCs w:val="21"/>
              </w:rPr>
            </w:pPr>
            <w:r>
              <w:rPr>
                <w:rFonts w:hint="eastAsia" w:ascii="宋体" w:hAnsi="宋体" w:cs="宋体"/>
                <w:bCs/>
                <w:kern w:val="0"/>
                <w:szCs w:val="21"/>
              </w:rPr>
              <w:t>标称阻抗：8Ω</w:t>
            </w:r>
          </w:p>
          <w:p>
            <w:pPr>
              <w:widowControl/>
              <w:spacing w:line="380" w:lineRule="exact"/>
              <w:jc w:val="left"/>
              <w:rPr>
                <w:rFonts w:ascii="宋体" w:hAnsi="宋体" w:cs="宋体"/>
                <w:bCs/>
                <w:kern w:val="0"/>
                <w:szCs w:val="21"/>
              </w:rPr>
            </w:pPr>
            <w:r>
              <w:rPr>
                <w:rFonts w:hint="eastAsia" w:ascii="宋体" w:hAnsi="宋体" w:cs="宋体"/>
                <w:bCs/>
                <w:kern w:val="0"/>
                <w:szCs w:val="21"/>
              </w:rPr>
              <w:t>灵敏度：90dB，2.83V/1m</w:t>
            </w:r>
          </w:p>
          <w:p>
            <w:pPr>
              <w:widowControl/>
              <w:spacing w:line="380" w:lineRule="exact"/>
              <w:jc w:val="left"/>
              <w:rPr>
                <w:rFonts w:ascii="宋体" w:hAnsi="宋体" w:cs="宋体"/>
                <w:bCs/>
                <w:kern w:val="0"/>
                <w:szCs w:val="21"/>
              </w:rPr>
            </w:pPr>
            <w:r>
              <w:rPr>
                <w:rFonts w:hint="eastAsia" w:ascii="宋体" w:hAnsi="宋体" w:cs="宋体"/>
                <w:bCs/>
                <w:kern w:val="0"/>
                <w:szCs w:val="21"/>
              </w:rPr>
              <w:t>分频点：2.6kHz/15kHz</w:t>
            </w:r>
          </w:p>
          <w:p>
            <w:pPr>
              <w:widowControl/>
              <w:spacing w:line="380" w:lineRule="exact"/>
              <w:jc w:val="left"/>
              <w:rPr>
                <w:rFonts w:ascii="宋体" w:hAnsi="宋体" w:cs="宋体"/>
                <w:bCs/>
                <w:kern w:val="0"/>
                <w:szCs w:val="21"/>
              </w:rPr>
            </w:pPr>
            <w:r>
              <w:rPr>
                <w:rFonts w:hint="eastAsia" w:ascii="宋体" w:hAnsi="宋体" w:cs="宋体"/>
                <w:bCs/>
                <w:kern w:val="0"/>
                <w:szCs w:val="21"/>
              </w:rPr>
              <w:t>颜色：黑色，红色，白色</w:t>
            </w:r>
          </w:p>
          <w:p>
            <w:pPr>
              <w:widowControl/>
              <w:spacing w:line="380" w:lineRule="exact"/>
              <w:jc w:val="left"/>
              <w:rPr>
                <w:rFonts w:ascii="宋体" w:hAnsi="宋体" w:cs="宋体"/>
                <w:bCs/>
                <w:kern w:val="0"/>
                <w:szCs w:val="21"/>
              </w:rPr>
            </w:pPr>
            <w:r>
              <w:rPr>
                <w:rFonts w:hint="eastAsia" w:ascii="宋体" w:hAnsi="宋体" w:cs="宋体"/>
                <w:bCs/>
                <w:kern w:val="0"/>
                <w:szCs w:val="21"/>
              </w:rPr>
              <w:t>尺寸：≤452*259*284mm</w:t>
            </w:r>
          </w:p>
          <w:p>
            <w:pPr>
              <w:widowControl/>
              <w:spacing w:line="380" w:lineRule="exact"/>
              <w:jc w:val="left"/>
              <w:rPr>
                <w:rFonts w:ascii="宋体" w:hAnsi="宋体" w:cs="宋体"/>
                <w:kern w:val="0"/>
                <w:szCs w:val="21"/>
              </w:rPr>
            </w:pPr>
            <w:r>
              <w:rPr>
                <w:rFonts w:hint="eastAsia" w:ascii="宋体" w:hAnsi="宋体" w:cs="宋体"/>
                <w:bCs/>
                <w:kern w:val="0"/>
                <w:szCs w:val="21"/>
              </w:rPr>
              <w:t>单只重量：≤8.0kg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话筒设备</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套</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bCs/>
                <w:kern w:val="0"/>
                <w:szCs w:val="21"/>
              </w:rPr>
            </w:pPr>
            <w:r>
              <w:rPr>
                <w:rFonts w:hint="eastAsia" w:ascii="宋体" w:hAnsi="宋体" w:cs="宋体"/>
                <w:bCs/>
                <w:kern w:val="0"/>
                <w:szCs w:val="21"/>
              </w:rPr>
              <w:t>话筒设备：</w:t>
            </w:r>
          </w:p>
          <w:p>
            <w:pPr>
              <w:widowControl/>
              <w:spacing w:line="380" w:lineRule="exact"/>
              <w:jc w:val="left"/>
              <w:rPr>
                <w:rFonts w:ascii="宋体" w:hAnsi="宋体" w:cs="宋体"/>
                <w:bCs/>
                <w:kern w:val="0"/>
                <w:szCs w:val="21"/>
              </w:rPr>
            </w:pPr>
            <w:r>
              <w:rPr>
                <w:rFonts w:hint="eastAsia" w:ascii="宋体" w:hAnsi="宋体" w:cs="宋体"/>
                <w:bCs/>
                <w:kern w:val="0"/>
                <w:szCs w:val="21"/>
              </w:rPr>
              <w:t>灵敏度：12dBuV (80dBS/N)</w:t>
            </w:r>
          </w:p>
          <w:p>
            <w:pPr>
              <w:widowControl/>
              <w:spacing w:line="380" w:lineRule="exact"/>
              <w:jc w:val="left"/>
              <w:rPr>
                <w:rFonts w:ascii="宋体" w:hAnsi="宋体" w:cs="宋体"/>
                <w:bCs/>
                <w:kern w:val="0"/>
                <w:szCs w:val="21"/>
              </w:rPr>
            </w:pPr>
            <w:r>
              <w:rPr>
                <w:rFonts w:hint="eastAsia" w:ascii="宋体" w:hAnsi="宋体" w:cs="宋体"/>
                <w:bCs/>
                <w:kern w:val="0"/>
                <w:szCs w:val="21"/>
              </w:rPr>
              <w:t>频率响应：740-790MHz</w:t>
            </w:r>
          </w:p>
          <w:p>
            <w:pPr>
              <w:spacing w:line="380" w:lineRule="exact"/>
              <w:rPr>
                <w:rFonts w:ascii="宋体" w:hAnsi="宋体" w:cs="宋体"/>
                <w:szCs w:val="21"/>
              </w:rPr>
            </w:pPr>
            <w:r>
              <w:rPr>
                <w:rFonts w:hint="eastAsia" w:ascii="宋体" w:hAnsi="宋体" w:cs="宋体"/>
                <w:bCs/>
                <w:kern w:val="0"/>
                <w:szCs w:val="21"/>
              </w:rPr>
              <w:t>信噪比：&gt;105dB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音频功率放大器设备</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bCs/>
                <w:kern w:val="0"/>
                <w:szCs w:val="21"/>
              </w:rPr>
            </w:pPr>
            <w:r>
              <w:rPr>
                <w:rFonts w:hint="eastAsia" w:ascii="宋体" w:hAnsi="宋体" w:cs="宋体"/>
                <w:bCs/>
                <w:kern w:val="0"/>
                <w:szCs w:val="21"/>
              </w:rPr>
              <w:t>音频功率放大器设备：</w:t>
            </w:r>
          </w:p>
          <w:p>
            <w:pPr>
              <w:widowControl/>
              <w:spacing w:line="380" w:lineRule="exact"/>
              <w:jc w:val="left"/>
              <w:rPr>
                <w:rFonts w:ascii="宋体" w:hAnsi="宋体" w:cs="宋体"/>
                <w:bCs/>
                <w:kern w:val="0"/>
                <w:szCs w:val="21"/>
              </w:rPr>
            </w:pPr>
            <w:r>
              <w:rPr>
                <w:rFonts w:hint="eastAsia" w:ascii="宋体" w:hAnsi="宋体" w:cs="宋体"/>
                <w:bCs/>
                <w:kern w:val="0"/>
                <w:szCs w:val="21"/>
              </w:rPr>
              <w:t>输出功率：300W x2（8Ω），500W x2（4Ω），300W x2（2Ω）</w:t>
            </w:r>
          </w:p>
          <w:p>
            <w:pPr>
              <w:widowControl/>
              <w:spacing w:line="380" w:lineRule="exact"/>
              <w:jc w:val="left"/>
              <w:rPr>
                <w:rFonts w:ascii="宋体" w:hAnsi="宋体" w:cs="宋体"/>
                <w:bCs/>
                <w:kern w:val="0"/>
                <w:szCs w:val="21"/>
              </w:rPr>
            </w:pPr>
            <w:r>
              <w:rPr>
                <w:rFonts w:hint="eastAsia" w:ascii="宋体" w:hAnsi="宋体" w:cs="宋体"/>
                <w:bCs/>
                <w:kern w:val="0"/>
                <w:szCs w:val="21"/>
              </w:rPr>
              <w:t>信噪比：100dB</w:t>
            </w:r>
          </w:p>
          <w:p>
            <w:pPr>
              <w:widowControl/>
              <w:spacing w:line="380" w:lineRule="exact"/>
              <w:jc w:val="left"/>
              <w:rPr>
                <w:rFonts w:ascii="宋体" w:hAnsi="宋体" w:cs="宋体"/>
                <w:bCs/>
                <w:kern w:val="0"/>
                <w:szCs w:val="21"/>
              </w:rPr>
            </w:pPr>
            <w:r>
              <w:rPr>
                <w:rFonts w:hint="eastAsia" w:ascii="宋体" w:hAnsi="宋体" w:cs="宋体"/>
                <w:bCs/>
                <w:kern w:val="0"/>
                <w:szCs w:val="21"/>
              </w:rPr>
              <w:t>电路保护：过热，过电流，过电压，整体电源</w:t>
            </w:r>
          </w:p>
          <w:p>
            <w:pPr>
              <w:widowControl/>
              <w:spacing w:line="380" w:lineRule="exact"/>
              <w:jc w:val="left"/>
              <w:rPr>
                <w:rFonts w:ascii="宋体" w:hAnsi="宋体" w:cs="宋体"/>
                <w:bCs/>
                <w:kern w:val="0"/>
                <w:szCs w:val="21"/>
              </w:rPr>
            </w:pPr>
            <w:r>
              <w:rPr>
                <w:rFonts w:hint="eastAsia" w:ascii="宋体" w:hAnsi="宋体" w:cs="宋体"/>
                <w:bCs/>
                <w:kern w:val="0"/>
                <w:szCs w:val="21"/>
              </w:rPr>
              <w:t>功放类型：D类，平衡输出电路</w:t>
            </w:r>
          </w:p>
          <w:p>
            <w:pPr>
              <w:widowControl/>
              <w:spacing w:line="380" w:lineRule="exact"/>
              <w:jc w:val="left"/>
              <w:rPr>
                <w:rFonts w:ascii="宋体" w:hAnsi="宋体" w:cs="宋体"/>
                <w:bCs/>
                <w:kern w:val="0"/>
                <w:szCs w:val="21"/>
              </w:rPr>
            </w:pPr>
            <w:r>
              <w:rPr>
                <w:rFonts w:hint="eastAsia" w:ascii="宋体" w:hAnsi="宋体" w:cs="宋体"/>
                <w:bCs/>
                <w:kern w:val="0"/>
                <w:szCs w:val="21"/>
              </w:rPr>
              <w:t>冷却：16级变速风扇 x2，前后空气流通</w:t>
            </w:r>
          </w:p>
          <w:p>
            <w:pPr>
              <w:widowControl/>
              <w:spacing w:line="380" w:lineRule="exact"/>
              <w:jc w:val="left"/>
              <w:rPr>
                <w:rFonts w:ascii="宋体" w:hAnsi="宋体" w:cs="宋体"/>
                <w:bCs/>
                <w:kern w:val="0"/>
                <w:szCs w:val="21"/>
              </w:rPr>
            </w:pPr>
            <w:r>
              <w:rPr>
                <w:rFonts w:hint="eastAsia" w:ascii="宋体" w:hAnsi="宋体" w:cs="宋体"/>
                <w:bCs/>
                <w:kern w:val="0"/>
                <w:szCs w:val="21"/>
              </w:rPr>
              <w:t>尺寸：≤480*388*88mm</w:t>
            </w:r>
          </w:p>
          <w:p>
            <w:pPr>
              <w:spacing w:line="380" w:lineRule="exact"/>
              <w:rPr>
                <w:rFonts w:ascii="宋体" w:hAnsi="宋体" w:cs="宋体"/>
                <w:szCs w:val="21"/>
              </w:rPr>
            </w:pPr>
            <w:r>
              <w:rPr>
                <w:rFonts w:hint="eastAsia" w:ascii="宋体" w:hAnsi="宋体" w:cs="宋体"/>
                <w:bCs/>
                <w:kern w:val="0"/>
                <w:szCs w:val="21"/>
              </w:rPr>
              <w:t>重量：≤6.9kg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调音台</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套</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bCs/>
                <w:kern w:val="0"/>
                <w:szCs w:val="21"/>
              </w:rPr>
            </w:pPr>
            <w:r>
              <w:rPr>
                <w:rFonts w:hint="eastAsia" w:ascii="宋体" w:hAnsi="宋体" w:cs="宋体"/>
                <w:bCs/>
                <w:kern w:val="0"/>
                <w:szCs w:val="21"/>
              </w:rPr>
              <w:t>调音台：</w:t>
            </w:r>
          </w:p>
          <w:p>
            <w:pPr>
              <w:widowControl/>
              <w:spacing w:line="380" w:lineRule="exact"/>
              <w:jc w:val="left"/>
              <w:rPr>
                <w:rFonts w:ascii="宋体" w:hAnsi="宋体" w:cs="宋体"/>
                <w:bCs/>
                <w:kern w:val="0"/>
                <w:szCs w:val="21"/>
              </w:rPr>
            </w:pPr>
            <w:r>
              <w:rPr>
                <w:rFonts w:hint="eastAsia" w:ascii="宋体" w:hAnsi="宋体" w:cs="宋体"/>
                <w:bCs/>
                <w:kern w:val="0"/>
                <w:szCs w:val="21"/>
              </w:rPr>
              <w:t>话筒：4</w:t>
            </w:r>
          </w:p>
          <w:p>
            <w:pPr>
              <w:widowControl/>
              <w:spacing w:line="380" w:lineRule="exact"/>
              <w:jc w:val="left"/>
              <w:rPr>
                <w:rFonts w:ascii="宋体" w:hAnsi="宋体" w:cs="宋体"/>
                <w:bCs/>
                <w:kern w:val="0"/>
                <w:szCs w:val="21"/>
              </w:rPr>
            </w:pPr>
            <w:r>
              <w:rPr>
                <w:rFonts w:hint="eastAsia" w:ascii="宋体" w:hAnsi="宋体" w:cs="宋体"/>
                <w:bCs/>
                <w:kern w:val="0"/>
                <w:szCs w:val="21"/>
              </w:rPr>
              <w:t>频响：+0.5dB/-0.5dB（20Hz-20kHz）</w:t>
            </w:r>
          </w:p>
          <w:p>
            <w:pPr>
              <w:widowControl/>
              <w:spacing w:line="380" w:lineRule="exact"/>
              <w:jc w:val="left"/>
              <w:rPr>
                <w:rFonts w:ascii="宋体" w:hAnsi="宋体" w:cs="宋体"/>
                <w:bCs/>
                <w:kern w:val="0"/>
                <w:szCs w:val="21"/>
              </w:rPr>
            </w:pPr>
            <w:r>
              <w:rPr>
                <w:rFonts w:hint="eastAsia" w:ascii="宋体" w:hAnsi="宋体" w:cs="宋体"/>
                <w:bCs/>
                <w:kern w:val="0"/>
                <w:szCs w:val="21"/>
              </w:rPr>
              <w:t>总谐波失真：0.02%@+14dBu（20 Hz-20kHz）</w:t>
            </w:r>
          </w:p>
          <w:p>
            <w:pPr>
              <w:widowControl/>
              <w:spacing w:line="380" w:lineRule="exact"/>
              <w:jc w:val="left"/>
              <w:rPr>
                <w:rFonts w:ascii="宋体" w:hAnsi="宋体" w:cs="宋体"/>
                <w:bCs/>
                <w:kern w:val="0"/>
                <w:szCs w:val="21"/>
              </w:rPr>
            </w:pPr>
            <w:r>
              <w:rPr>
                <w:rFonts w:hint="eastAsia" w:ascii="宋体" w:hAnsi="宋体" w:cs="宋体"/>
                <w:bCs/>
                <w:kern w:val="0"/>
                <w:szCs w:val="21"/>
              </w:rPr>
              <w:t>输入通道：10通道：单声道：4；立体声：3</w:t>
            </w:r>
          </w:p>
          <w:p>
            <w:pPr>
              <w:widowControl/>
              <w:spacing w:line="380" w:lineRule="exact"/>
              <w:jc w:val="left"/>
              <w:rPr>
                <w:rFonts w:ascii="宋体" w:hAnsi="宋体" w:cs="宋体"/>
                <w:bCs/>
                <w:kern w:val="0"/>
                <w:szCs w:val="21"/>
              </w:rPr>
            </w:pPr>
            <w:r>
              <w:rPr>
                <w:rFonts w:hint="eastAsia" w:ascii="宋体" w:hAnsi="宋体" w:cs="宋体"/>
                <w:bCs/>
                <w:kern w:val="0"/>
                <w:szCs w:val="21"/>
              </w:rPr>
              <w:t>输出通道：STEREO OUT：2；PHONES：1</w:t>
            </w:r>
          </w:p>
          <w:p>
            <w:pPr>
              <w:widowControl/>
              <w:spacing w:line="380" w:lineRule="exact"/>
              <w:jc w:val="left"/>
              <w:rPr>
                <w:rFonts w:ascii="宋体" w:hAnsi="宋体" w:cs="宋体"/>
                <w:bCs/>
                <w:kern w:val="0"/>
                <w:szCs w:val="21"/>
              </w:rPr>
            </w:pPr>
            <w:r>
              <w:rPr>
                <w:rFonts w:hint="eastAsia" w:ascii="宋体" w:hAnsi="宋体" w:cs="宋体"/>
                <w:bCs/>
                <w:kern w:val="0"/>
                <w:szCs w:val="21"/>
              </w:rPr>
              <w:t>母线：立体声：1</w:t>
            </w:r>
          </w:p>
          <w:p>
            <w:pPr>
              <w:widowControl/>
              <w:spacing w:line="380" w:lineRule="exact"/>
              <w:jc w:val="left"/>
              <w:rPr>
                <w:rFonts w:ascii="宋体" w:hAnsi="宋体" w:cs="宋体"/>
                <w:bCs/>
                <w:kern w:val="0"/>
                <w:szCs w:val="21"/>
              </w:rPr>
            </w:pPr>
            <w:r>
              <w:rPr>
                <w:rFonts w:hint="eastAsia" w:ascii="宋体" w:hAnsi="宋体" w:cs="宋体"/>
                <w:bCs/>
                <w:kern w:val="0"/>
                <w:szCs w:val="21"/>
              </w:rPr>
              <w:t>电平表：2x7 - 点距LED电平表[PEAK，+6，+3，0，-3，-10，-20dB]</w:t>
            </w:r>
          </w:p>
          <w:p>
            <w:pPr>
              <w:widowControl/>
              <w:spacing w:line="380" w:lineRule="exact"/>
              <w:jc w:val="left"/>
              <w:rPr>
                <w:rFonts w:ascii="宋体" w:hAnsi="宋体" w:cs="宋体"/>
                <w:bCs/>
                <w:kern w:val="0"/>
                <w:szCs w:val="21"/>
              </w:rPr>
            </w:pPr>
            <w:r>
              <w:rPr>
                <w:rFonts w:hint="eastAsia" w:ascii="宋体" w:hAnsi="宋体" w:cs="宋体"/>
                <w:bCs/>
                <w:kern w:val="0"/>
                <w:szCs w:val="21"/>
              </w:rPr>
              <w:t>幻象电源电压：+48V</w:t>
            </w:r>
          </w:p>
          <w:p>
            <w:pPr>
              <w:widowControl/>
              <w:spacing w:line="380" w:lineRule="exact"/>
              <w:jc w:val="left"/>
              <w:rPr>
                <w:rFonts w:ascii="宋体" w:hAnsi="宋体" w:cs="宋体"/>
                <w:bCs/>
                <w:kern w:val="0"/>
                <w:szCs w:val="21"/>
              </w:rPr>
            </w:pPr>
            <w:r>
              <w:rPr>
                <w:rFonts w:hint="eastAsia" w:ascii="宋体" w:hAnsi="宋体" w:cs="宋体"/>
                <w:bCs/>
                <w:kern w:val="0"/>
                <w:szCs w:val="21"/>
              </w:rPr>
              <w:t>电源适配器：PA-10（AC38 VCT，0.62A，电缆长度=3.6m）</w:t>
            </w:r>
          </w:p>
          <w:p>
            <w:pPr>
              <w:widowControl/>
              <w:spacing w:line="380" w:lineRule="exact"/>
              <w:jc w:val="left"/>
              <w:rPr>
                <w:rFonts w:ascii="宋体" w:hAnsi="宋体" w:cs="宋体"/>
                <w:bCs/>
                <w:kern w:val="0"/>
                <w:szCs w:val="21"/>
              </w:rPr>
            </w:pPr>
            <w:r>
              <w:rPr>
                <w:rFonts w:hint="eastAsia" w:ascii="宋体" w:hAnsi="宋体" w:cs="宋体"/>
                <w:bCs/>
                <w:kern w:val="0"/>
                <w:szCs w:val="21"/>
              </w:rPr>
              <w:t>外观尺寸：≤244×71×294mm</w:t>
            </w:r>
          </w:p>
          <w:p>
            <w:pPr>
              <w:widowControl/>
              <w:spacing w:line="380" w:lineRule="exact"/>
              <w:jc w:val="left"/>
              <w:rPr>
                <w:rFonts w:ascii="宋体" w:hAnsi="宋体" w:cs="宋体"/>
                <w:bCs/>
                <w:kern w:val="0"/>
                <w:szCs w:val="21"/>
              </w:rPr>
            </w:pPr>
            <w:r>
              <w:rPr>
                <w:rFonts w:hint="eastAsia" w:ascii="宋体" w:hAnsi="宋体" w:cs="宋体"/>
                <w:bCs/>
                <w:kern w:val="0"/>
                <w:szCs w:val="21"/>
              </w:rPr>
              <w:t>功耗：≤23W</w:t>
            </w:r>
          </w:p>
          <w:p>
            <w:pPr>
              <w:widowControl/>
              <w:spacing w:line="380" w:lineRule="exact"/>
              <w:jc w:val="left"/>
              <w:rPr>
                <w:rFonts w:ascii="宋体" w:hAnsi="宋体" w:cs="宋体"/>
                <w:bCs/>
                <w:kern w:val="0"/>
                <w:szCs w:val="21"/>
              </w:rPr>
            </w:pPr>
            <w:r>
              <w:rPr>
                <w:rFonts w:hint="eastAsia" w:ascii="宋体" w:hAnsi="宋体" w:cs="宋体"/>
                <w:bCs/>
                <w:kern w:val="0"/>
                <w:szCs w:val="21"/>
              </w:rPr>
              <w:t>操作温度：0-40℃</w:t>
            </w:r>
          </w:p>
          <w:p>
            <w:pPr>
              <w:spacing w:line="380" w:lineRule="exact"/>
              <w:rPr>
                <w:rFonts w:ascii="宋体" w:hAnsi="宋体" w:cs="宋体"/>
                <w:szCs w:val="21"/>
              </w:rPr>
            </w:pPr>
            <w:r>
              <w:rPr>
                <w:rFonts w:hint="eastAsia" w:ascii="宋体" w:hAnsi="宋体" w:cs="宋体"/>
                <w:bCs/>
                <w:kern w:val="0"/>
                <w:szCs w:val="21"/>
              </w:rPr>
              <w:t>净重：≤1.9kg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均衡器</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套</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bCs/>
                <w:kern w:val="0"/>
                <w:szCs w:val="21"/>
              </w:rPr>
            </w:pPr>
            <w:r>
              <w:rPr>
                <w:rFonts w:hint="eastAsia" w:ascii="宋体" w:hAnsi="宋体" w:cs="宋体"/>
                <w:bCs/>
                <w:kern w:val="0"/>
                <w:szCs w:val="21"/>
              </w:rPr>
              <w:t>均衡器：</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供电方式 220V </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传声增益 1dB或11dB </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线路输入阻抗 15KΩ </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线路输出阻抗 300Q </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频率响应 20HZ-20KHz </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信噪比 82dB </w:t>
            </w:r>
          </w:p>
          <w:p>
            <w:pPr>
              <w:widowControl/>
              <w:spacing w:line="380" w:lineRule="exact"/>
              <w:jc w:val="left"/>
              <w:rPr>
                <w:rFonts w:ascii="宋体" w:hAnsi="宋体" w:cs="宋体"/>
                <w:szCs w:val="21"/>
              </w:rPr>
            </w:pPr>
            <w:r>
              <w:rPr>
                <w:rFonts w:hint="eastAsia" w:ascii="宋体" w:hAnsi="宋体" w:cs="宋体"/>
                <w:bCs/>
                <w:kern w:val="0"/>
                <w:szCs w:val="21"/>
              </w:rPr>
              <w:t>电源消耗 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bCs/>
                <w:kern w:val="0"/>
                <w:szCs w:val="21"/>
              </w:rPr>
              <w:t>信息系统集成实施服务</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项</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bCs/>
                <w:kern w:val="0"/>
                <w:szCs w:val="21"/>
              </w:rPr>
            </w:pPr>
            <w:r>
              <w:rPr>
                <w:rFonts w:hint="eastAsia" w:ascii="宋体" w:hAnsi="宋体" w:cs="宋体"/>
                <w:bCs/>
                <w:kern w:val="0"/>
                <w:szCs w:val="21"/>
              </w:rPr>
              <w:t>“中心1：北斗专业虚拟仿真教学实训中心”和“中心2：北斗系统与产业认知体验中心”的设备安装、调试，强弱电改造等：</w:t>
            </w:r>
          </w:p>
          <w:p>
            <w:pPr>
              <w:widowControl/>
              <w:spacing w:line="380" w:lineRule="exact"/>
              <w:jc w:val="left"/>
              <w:rPr>
                <w:rFonts w:ascii="宋体" w:hAnsi="宋体" w:cs="宋体"/>
                <w:bCs/>
                <w:kern w:val="0"/>
                <w:szCs w:val="21"/>
              </w:rPr>
            </w:pPr>
            <w:r>
              <w:rPr>
                <w:rFonts w:hint="eastAsia" w:ascii="宋体" w:hAnsi="宋体" w:cs="宋体"/>
                <w:bCs/>
                <w:kern w:val="0"/>
                <w:szCs w:val="21"/>
              </w:rPr>
              <w:t>工作站安装集成。包括配置、安装和调试；</w:t>
            </w:r>
          </w:p>
          <w:p>
            <w:pPr>
              <w:widowControl/>
              <w:spacing w:line="380" w:lineRule="exact"/>
              <w:jc w:val="left"/>
              <w:rPr>
                <w:rFonts w:ascii="宋体" w:hAnsi="宋体" w:cs="宋体"/>
                <w:bCs/>
                <w:kern w:val="0"/>
                <w:szCs w:val="21"/>
              </w:rPr>
            </w:pPr>
            <w:r>
              <w:rPr>
                <w:rFonts w:hint="eastAsia" w:ascii="宋体" w:hAnsi="宋体" w:cs="宋体"/>
                <w:bCs/>
                <w:kern w:val="0"/>
                <w:szCs w:val="21"/>
              </w:rPr>
              <w:t>VR眼镜调试：与电脑连接并完成调试；</w:t>
            </w:r>
          </w:p>
          <w:p>
            <w:pPr>
              <w:widowControl/>
              <w:spacing w:line="380" w:lineRule="exact"/>
              <w:jc w:val="left"/>
              <w:rPr>
                <w:rFonts w:ascii="宋体" w:hAnsi="宋体" w:cs="宋体"/>
                <w:bCs/>
                <w:kern w:val="0"/>
                <w:szCs w:val="21"/>
              </w:rPr>
            </w:pPr>
            <w:r>
              <w:rPr>
                <w:rFonts w:hint="eastAsia" w:ascii="宋体" w:hAnsi="宋体" w:cs="宋体"/>
                <w:bCs/>
                <w:kern w:val="0"/>
                <w:szCs w:val="21"/>
              </w:rPr>
              <w:t>网络设备集成：涉及路由器、交换机、防火墙等设备的集成，以及各个设备间网络互通；</w:t>
            </w:r>
          </w:p>
          <w:p>
            <w:pPr>
              <w:widowControl/>
              <w:spacing w:line="380" w:lineRule="exact"/>
              <w:jc w:val="left"/>
              <w:rPr>
                <w:rFonts w:ascii="宋体" w:hAnsi="宋体" w:cs="宋体"/>
                <w:bCs/>
                <w:kern w:val="0"/>
                <w:szCs w:val="21"/>
              </w:rPr>
            </w:pPr>
            <w:r>
              <w:rPr>
                <w:rFonts w:hint="eastAsia" w:ascii="宋体" w:hAnsi="宋体" w:cs="宋体"/>
                <w:bCs/>
                <w:kern w:val="0"/>
                <w:szCs w:val="21"/>
              </w:rPr>
              <w:t>其他终端设备集成：如大屏、音响系统等。</w:t>
            </w:r>
          </w:p>
          <w:p>
            <w:pPr>
              <w:spacing w:line="380" w:lineRule="exact"/>
              <w:rPr>
                <w:rFonts w:ascii="宋体" w:hAnsi="宋体" w:cs="宋体"/>
                <w:bCs/>
                <w:kern w:val="0"/>
                <w:szCs w:val="21"/>
              </w:rPr>
            </w:pPr>
            <w:r>
              <w:rPr>
                <w:rFonts w:hint="eastAsia" w:ascii="宋体" w:hAnsi="宋体" w:cs="宋体"/>
                <w:bCs/>
                <w:kern w:val="0"/>
                <w:szCs w:val="21"/>
              </w:rPr>
              <w:t>硬件1年及以上质保期。</w:t>
            </w:r>
          </w:p>
          <w:p>
            <w:pPr>
              <w:spacing w:line="380" w:lineRule="exact"/>
              <w:rPr>
                <w:rFonts w:ascii="宋体" w:hAnsi="宋体" w:cs="宋体"/>
                <w:bCs/>
                <w:kern w:val="0"/>
                <w:szCs w:val="21"/>
              </w:rPr>
            </w:pPr>
            <w:r>
              <w:rPr>
                <w:rFonts w:hint="eastAsia" w:ascii="宋体" w:hAnsi="宋体" w:cs="宋体"/>
                <w:kern w:val="0"/>
                <w:szCs w:val="21"/>
              </w:rPr>
              <w:t>具备多媒体教学管理系统，包括教师机学生机设定、屏幕广播、学生演示、远程遥控、屏幕录制、屏幕回放、文件分发、电子画板、黑屏肃静、远程控制、发布消息、电子举手、文件提交、作业查看、点名签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restart"/>
            <w:tcBorders>
              <w:top w:val="single" w:color="auto" w:sz="4" w:space="0"/>
              <w:left w:val="single" w:color="auto" w:sz="4" w:space="0"/>
              <w:right w:val="single" w:color="auto" w:sz="4" w:space="0"/>
            </w:tcBorders>
            <w:vAlign w:val="center"/>
          </w:tcPr>
          <w:p>
            <w:pPr>
              <w:widowControl/>
              <w:spacing w:line="380" w:lineRule="exact"/>
              <w:jc w:val="center"/>
              <w:rPr>
                <w:rFonts w:ascii="宋体" w:hAnsi="宋体" w:cs="宋体"/>
                <w:bCs/>
                <w:kern w:val="0"/>
                <w:szCs w:val="21"/>
              </w:rPr>
            </w:pPr>
            <w:r>
              <w:rPr>
                <w:rFonts w:hint="eastAsia" w:ascii="宋体" w:hAnsi="宋体" w:cs="宋体"/>
                <w:bCs/>
                <w:kern w:val="0"/>
                <w:szCs w:val="21"/>
              </w:rPr>
              <w:t>中心2：</w:t>
            </w:r>
          </w:p>
          <w:p>
            <w:pPr>
              <w:widowControl/>
              <w:spacing w:line="380" w:lineRule="exact"/>
              <w:jc w:val="center"/>
              <w:rPr>
                <w:rFonts w:ascii="宋体" w:hAnsi="宋体" w:cs="宋体"/>
                <w:bCs/>
                <w:kern w:val="0"/>
                <w:szCs w:val="21"/>
              </w:rPr>
            </w:pPr>
            <w:r>
              <w:rPr>
                <w:rFonts w:hint="eastAsia" w:ascii="宋体" w:hAnsi="宋体" w:cs="宋体"/>
                <w:bCs/>
                <w:kern w:val="0"/>
                <w:szCs w:val="21"/>
              </w:rPr>
              <w:t>北斗系统与产业认知</w:t>
            </w:r>
          </w:p>
          <w:p>
            <w:pPr>
              <w:widowControl/>
              <w:spacing w:line="380" w:lineRule="exact"/>
              <w:jc w:val="center"/>
              <w:rPr>
                <w:rFonts w:ascii="宋体" w:hAnsi="宋体" w:cs="宋体"/>
                <w:kern w:val="0"/>
                <w:szCs w:val="21"/>
              </w:rPr>
            </w:pPr>
            <w:r>
              <w:rPr>
                <w:rFonts w:hint="eastAsia" w:ascii="宋体" w:hAnsi="宋体" w:cs="宋体"/>
                <w:bCs/>
                <w:kern w:val="0"/>
                <w:szCs w:val="21"/>
              </w:rPr>
              <w:t>体验中心</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VR眼镜</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7</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VR眼镜是通过360°交互展示资源，能够在完全沉浸式的环境下学习、训练和体验。</w:t>
            </w:r>
          </w:p>
          <w:p>
            <w:pPr>
              <w:widowControl/>
              <w:spacing w:line="380" w:lineRule="exact"/>
              <w:jc w:val="left"/>
              <w:rPr>
                <w:rFonts w:ascii="宋体" w:hAnsi="宋体" w:cs="宋体"/>
                <w:bCs/>
                <w:kern w:val="0"/>
                <w:szCs w:val="21"/>
              </w:rPr>
            </w:pPr>
            <w:r>
              <w:rPr>
                <w:rFonts w:hint="eastAsia" w:ascii="宋体" w:hAnsi="宋体" w:cs="宋体"/>
                <w:bCs/>
                <w:kern w:val="0"/>
                <w:szCs w:val="21"/>
              </w:rPr>
              <w:t xml:space="preserve">双眼分辨率：≥4320*2160 </w:t>
            </w:r>
          </w:p>
          <w:p>
            <w:pPr>
              <w:widowControl/>
              <w:spacing w:line="380" w:lineRule="exact"/>
              <w:jc w:val="left"/>
              <w:rPr>
                <w:rFonts w:ascii="宋体" w:hAnsi="宋体" w:cs="宋体"/>
                <w:bCs/>
                <w:kern w:val="0"/>
                <w:szCs w:val="21"/>
              </w:rPr>
            </w:pPr>
            <w:r>
              <w:rPr>
                <w:rFonts w:hint="eastAsia" w:ascii="宋体" w:hAnsi="宋体" w:cs="宋体"/>
                <w:bCs/>
                <w:kern w:val="0"/>
                <w:szCs w:val="21"/>
              </w:rPr>
              <w:t>单眼分辨率：≥2160*2160</w:t>
            </w:r>
          </w:p>
          <w:p>
            <w:pPr>
              <w:widowControl/>
              <w:spacing w:line="380" w:lineRule="exact"/>
              <w:jc w:val="left"/>
              <w:rPr>
                <w:rFonts w:ascii="宋体" w:hAnsi="宋体" w:cs="宋体"/>
                <w:bCs/>
                <w:kern w:val="0"/>
                <w:szCs w:val="21"/>
              </w:rPr>
            </w:pPr>
            <w:r>
              <w:rPr>
                <w:rFonts w:hint="eastAsia" w:ascii="宋体" w:hAnsi="宋体" w:cs="宋体"/>
                <w:bCs/>
                <w:kern w:val="0"/>
                <w:szCs w:val="21"/>
              </w:rPr>
              <w:t>视场角：≥105度</w:t>
            </w:r>
          </w:p>
          <w:p>
            <w:pPr>
              <w:widowControl/>
              <w:spacing w:line="380" w:lineRule="exact"/>
              <w:jc w:val="left"/>
              <w:rPr>
                <w:rFonts w:ascii="宋体" w:hAnsi="宋体" w:cs="宋体"/>
                <w:bCs/>
                <w:kern w:val="0"/>
                <w:szCs w:val="21"/>
              </w:rPr>
            </w:pPr>
            <w:r>
              <w:rPr>
                <w:rFonts w:hint="eastAsia" w:ascii="宋体" w:hAnsi="宋体" w:cs="宋体"/>
                <w:bCs/>
                <w:kern w:val="0"/>
                <w:szCs w:val="21"/>
              </w:rPr>
              <w:t>刷新率：≥72Hz（最高支持90Hz）</w:t>
            </w:r>
          </w:p>
          <w:p>
            <w:pPr>
              <w:widowControl/>
              <w:spacing w:line="380" w:lineRule="exact"/>
              <w:jc w:val="left"/>
              <w:rPr>
                <w:rFonts w:ascii="宋体" w:hAnsi="宋体" w:cs="宋体"/>
                <w:bCs/>
                <w:kern w:val="0"/>
                <w:szCs w:val="21"/>
              </w:rPr>
            </w:pPr>
            <w:r>
              <w:rPr>
                <w:rFonts w:hint="eastAsia" w:ascii="宋体" w:hAnsi="宋体" w:cs="宋体"/>
                <w:bCs/>
                <w:kern w:val="0"/>
                <w:szCs w:val="21"/>
              </w:rPr>
              <w:t>CPU：高通骁龙XR2或以上</w:t>
            </w:r>
          </w:p>
          <w:p>
            <w:pPr>
              <w:widowControl/>
              <w:spacing w:line="380" w:lineRule="exact"/>
              <w:jc w:val="left"/>
              <w:rPr>
                <w:rFonts w:ascii="宋体" w:hAnsi="宋体" w:cs="宋体"/>
                <w:bCs/>
                <w:kern w:val="0"/>
                <w:szCs w:val="21"/>
              </w:rPr>
            </w:pPr>
            <w:r>
              <w:rPr>
                <w:rFonts w:hint="eastAsia" w:ascii="宋体" w:hAnsi="宋体" w:cs="宋体"/>
                <w:bCs/>
                <w:kern w:val="0"/>
                <w:szCs w:val="21"/>
              </w:rPr>
              <w:t>RAM：≥8GB</w:t>
            </w:r>
          </w:p>
          <w:p>
            <w:pPr>
              <w:widowControl/>
              <w:spacing w:line="380" w:lineRule="exact"/>
              <w:jc w:val="left"/>
              <w:rPr>
                <w:rFonts w:ascii="宋体" w:hAnsi="宋体" w:cs="宋体"/>
                <w:szCs w:val="21"/>
              </w:rPr>
            </w:pPr>
            <w:r>
              <w:rPr>
                <w:rFonts w:hint="eastAsia" w:ascii="宋体" w:hAnsi="宋体" w:cs="宋体"/>
                <w:bCs/>
                <w:kern w:val="0"/>
                <w:szCs w:val="21"/>
              </w:rPr>
              <w:t>接口：Type-C接口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widowControl/>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3D眼镜</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30</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个</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光学特性：工作模式为液晶快门式</w:t>
            </w:r>
          </w:p>
          <w:p>
            <w:pPr>
              <w:widowControl/>
              <w:spacing w:line="380" w:lineRule="exact"/>
              <w:jc w:val="left"/>
              <w:rPr>
                <w:rFonts w:ascii="宋体" w:hAnsi="宋体" w:cs="宋体"/>
                <w:bCs/>
                <w:kern w:val="0"/>
                <w:szCs w:val="21"/>
              </w:rPr>
            </w:pPr>
            <w:r>
              <w:rPr>
                <w:rFonts w:hint="eastAsia" w:ascii="宋体" w:hAnsi="宋体" w:cs="宋体"/>
                <w:bCs/>
                <w:kern w:val="0"/>
                <w:szCs w:val="21"/>
              </w:rPr>
              <w:t>场频：96-480Hz</w:t>
            </w:r>
          </w:p>
          <w:p>
            <w:pPr>
              <w:widowControl/>
              <w:spacing w:line="380" w:lineRule="exact"/>
              <w:jc w:val="left"/>
              <w:rPr>
                <w:rFonts w:ascii="宋体" w:hAnsi="宋体" w:cs="宋体"/>
                <w:bCs/>
                <w:kern w:val="0"/>
                <w:szCs w:val="21"/>
              </w:rPr>
            </w:pPr>
            <w:r>
              <w:rPr>
                <w:rFonts w:hint="eastAsia" w:ascii="宋体" w:hAnsi="宋体" w:cs="宋体"/>
                <w:bCs/>
                <w:kern w:val="0"/>
                <w:szCs w:val="21"/>
              </w:rPr>
              <w:t>供电方式：充电型眼镜</w:t>
            </w:r>
          </w:p>
          <w:p>
            <w:pPr>
              <w:widowControl/>
              <w:spacing w:line="380" w:lineRule="exact"/>
              <w:jc w:val="left"/>
              <w:rPr>
                <w:rFonts w:ascii="宋体" w:hAnsi="宋体" w:cs="宋体"/>
                <w:bCs/>
                <w:kern w:val="0"/>
                <w:szCs w:val="21"/>
              </w:rPr>
            </w:pPr>
            <w:r>
              <w:rPr>
                <w:rFonts w:hint="eastAsia" w:ascii="宋体" w:hAnsi="宋体" w:cs="宋体"/>
                <w:bCs/>
                <w:kern w:val="0"/>
                <w:szCs w:val="21"/>
              </w:rPr>
              <w:t>连续工作时间：≥50 小时</w:t>
            </w:r>
          </w:p>
          <w:p>
            <w:pPr>
              <w:widowControl/>
              <w:spacing w:line="380" w:lineRule="exact"/>
              <w:jc w:val="left"/>
              <w:rPr>
                <w:rFonts w:ascii="宋体" w:hAnsi="宋体" w:cs="宋体"/>
                <w:szCs w:val="21"/>
              </w:rPr>
            </w:pPr>
            <w:r>
              <w:rPr>
                <w:rFonts w:hint="eastAsia" w:ascii="宋体" w:hAnsi="宋体" w:cs="宋体"/>
                <w:bCs/>
                <w:kern w:val="0"/>
                <w:szCs w:val="21"/>
              </w:rPr>
              <w:t>射频传输特性：接收距离 ≥80M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3D眼镜发射器</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套</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工作频率：2.4Ghz-2.5Ghz</w:t>
            </w:r>
          </w:p>
          <w:p>
            <w:pPr>
              <w:widowControl/>
              <w:spacing w:line="380" w:lineRule="exact"/>
              <w:jc w:val="left"/>
              <w:rPr>
                <w:rFonts w:ascii="宋体" w:hAnsi="宋体" w:cs="宋体"/>
                <w:bCs/>
                <w:kern w:val="0"/>
                <w:szCs w:val="21"/>
              </w:rPr>
            </w:pPr>
            <w:r>
              <w:rPr>
                <w:rFonts w:hint="eastAsia" w:ascii="宋体" w:hAnsi="宋体" w:cs="宋体"/>
                <w:bCs/>
                <w:kern w:val="0"/>
                <w:szCs w:val="21"/>
              </w:rPr>
              <w:t>发射角度：360°</w:t>
            </w:r>
          </w:p>
          <w:p>
            <w:pPr>
              <w:widowControl/>
              <w:spacing w:line="380" w:lineRule="exact"/>
              <w:jc w:val="left"/>
              <w:rPr>
                <w:rFonts w:ascii="宋体" w:hAnsi="宋体" w:cs="宋体"/>
                <w:bCs/>
                <w:kern w:val="0"/>
                <w:szCs w:val="21"/>
              </w:rPr>
            </w:pPr>
            <w:r>
              <w:rPr>
                <w:rFonts w:hint="eastAsia" w:ascii="宋体" w:hAnsi="宋体" w:cs="宋体"/>
                <w:bCs/>
                <w:kern w:val="0"/>
                <w:szCs w:val="21"/>
              </w:rPr>
              <w:t>支持信道：≥100个</w:t>
            </w:r>
          </w:p>
          <w:p>
            <w:pPr>
              <w:widowControl/>
              <w:spacing w:line="380" w:lineRule="exact"/>
              <w:jc w:val="left"/>
              <w:rPr>
                <w:rFonts w:ascii="宋体" w:hAnsi="宋体" w:cs="宋体"/>
                <w:bCs/>
                <w:kern w:val="0"/>
                <w:szCs w:val="21"/>
              </w:rPr>
            </w:pPr>
            <w:r>
              <w:rPr>
                <w:rFonts w:hint="eastAsia" w:ascii="宋体" w:hAnsi="宋体" w:cs="宋体"/>
                <w:bCs/>
                <w:kern w:val="0"/>
                <w:szCs w:val="21"/>
              </w:rPr>
              <w:t>发射距离 ：≥20m</w:t>
            </w:r>
          </w:p>
          <w:p>
            <w:pPr>
              <w:widowControl/>
              <w:spacing w:line="380" w:lineRule="exact"/>
              <w:jc w:val="left"/>
              <w:rPr>
                <w:rFonts w:ascii="宋体" w:hAnsi="宋体" w:cs="宋体"/>
                <w:szCs w:val="21"/>
              </w:rPr>
            </w:pPr>
            <w:r>
              <w:rPr>
                <w:rFonts w:hint="eastAsia" w:ascii="宋体" w:hAnsi="宋体" w:cs="宋体"/>
                <w:bCs/>
                <w:kern w:val="0"/>
                <w:szCs w:val="21"/>
              </w:rPr>
              <w:t>刷新率：96-240Hz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restart"/>
            <w:tcBorders>
              <w:top w:val="single" w:color="auto" w:sz="4" w:space="0"/>
              <w:left w:val="single" w:color="auto" w:sz="4" w:space="0"/>
              <w:right w:val="single" w:color="auto" w:sz="4" w:space="0"/>
            </w:tcBorders>
            <w:vAlign w:val="center"/>
          </w:tcPr>
          <w:p>
            <w:pPr>
              <w:widowControl/>
              <w:spacing w:line="380" w:lineRule="exact"/>
              <w:jc w:val="center"/>
              <w:rPr>
                <w:rFonts w:ascii="宋体" w:hAnsi="宋体" w:cs="宋体"/>
                <w:b/>
                <w:bCs/>
                <w:kern w:val="0"/>
                <w:szCs w:val="21"/>
              </w:rPr>
            </w:pPr>
            <w:r>
              <w:rPr>
                <w:rFonts w:hint="eastAsia" w:ascii="宋体" w:hAnsi="宋体" w:cs="宋体"/>
                <w:bCs/>
                <w:kern w:val="0"/>
                <w:szCs w:val="21"/>
              </w:rPr>
              <w:t>场地环境建设</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装修工程</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项</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1. 教室尺寸：1950cm*820cm。</w:t>
            </w:r>
          </w:p>
          <w:p>
            <w:pPr>
              <w:widowControl/>
              <w:spacing w:line="380" w:lineRule="exact"/>
              <w:jc w:val="left"/>
              <w:rPr>
                <w:rFonts w:ascii="宋体" w:hAnsi="宋体" w:cs="宋体"/>
                <w:bCs/>
                <w:kern w:val="0"/>
                <w:szCs w:val="21"/>
              </w:rPr>
            </w:pPr>
            <w:r>
              <w:rPr>
                <w:rFonts w:hint="eastAsia" w:ascii="宋体" w:hAnsi="宋体" w:cs="宋体"/>
                <w:bCs/>
                <w:kern w:val="0"/>
                <w:szCs w:val="21"/>
              </w:rPr>
              <w:t>2.包括地砖铲除、垃圾装袋、垃圾运下楼、地面贴砖、踢脚线、大地砖材料、踢脚线材料、沙子、水泥、搬运费、垃圾清运。</w:t>
            </w:r>
          </w:p>
          <w:p>
            <w:pPr>
              <w:widowControl/>
              <w:spacing w:line="380" w:lineRule="exact"/>
              <w:jc w:val="left"/>
              <w:rPr>
                <w:rFonts w:ascii="宋体" w:hAnsi="宋体" w:cs="宋体"/>
                <w:bCs/>
                <w:kern w:val="0"/>
                <w:szCs w:val="21"/>
              </w:rPr>
            </w:pPr>
            <w:r>
              <w:rPr>
                <w:rFonts w:hint="eastAsia" w:ascii="宋体" w:hAnsi="宋体" w:cs="宋体"/>
                <w:bCs/>
                <w:kern w:val="0"/>
                <w:szCs w:val="21"/>
              </w:rPr>
              <w:t>3. 墙面基层处理、墙面刮腻子、墙面打磨、墙面刷漆、美巢腻子材料、墙堌材料、墙面漆材料。</w:t>
            </w:r>
          </w:p>
          <w:p>
            <w:pPr>
              <w:widowControl/>
              <w:spacing w:line="380" w:lineRule="exact"/>
              <w:jc w:val="left"/>
              <w:rPr>
                <w:rFonts w:ascii="宋体" w:hAnsi="宋体" w:cs="宋体"/>
                <w:bCs/>
                <w:kern w:val="0"/>
                <w:szCs w:val="21"/>
              </w:rPr>
            </w:pPr>
            <w:r>
              <w:rPr>
                <w:rFonts w:hint="eastAsia" w:ascii="宋体" w:hAnsi="宋体" w:cs="宋体"/>
                <w:bCs/>
                <w:kern w:val="0"/>
                <w:szCs w:val="21"/>
              </w:rPr>
              <w:t>4．吊顶人工费以及吊顶材料费。</w:t>
            </w:r>
          </w:p>
          <w:p>
            <w:pPr>
              <w:widowControl/>
              <w:spacing w:line="380" w:lineRule="exact"/>
              <w:jc w:val="left"/>
              <w:rPr>
                <w:rFonts w:ascii="宋体" w:hAnsi="宋体" w:cs="宋体"/>
                <w:b/>
                <w:bCs/>
                <w:kern w:val="0"/>
                <w:szCs w:val="21"/>
              </w:rPr>
            </w:pPr>
            <w:r>
              <w:rPr>
                <w:rFonts w:hint="eastAsia" w:ascii="宋体" w:hAnsi="宋体" w:cs="宋体"/>
                <w:bCs/>
                <w:kern w:val="0"/>
                <w:szCs w:val="21"/>
              </w:rPr>
              <w:t>5. 电路改造、电线材料、灯材料、开关面板材料、安装费。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widowControl/>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窗帘</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20</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米</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主体材质：涤纶</w:t>
            </w:r>
          </w:p>
          <w:p>
            <w:pPr>
              <w:widowControl/>
              <w:spacing w:line="380" w:lineRule="exact"/>
              <w:jc w:val="left"/>
              <w:rPr>
                <w:rFonts w:ascii="宋体" w:hAnsi="宋体" w:cs="宋体"/>
                <w:bCs/>
                <w:kern w:val="0"/>
                <w:szCs w:val="21"/>
              </w:rPr>
            </w:pPr>
            <w:r>
              <w:rPr>
                <w:rFonts w:hint="eastAsia" w:ascii="宋体" w:hAnsi="宋体" w:cs="宋体"/>
                <w:bCs/>
                <w:kern w:val="0"/>
                <w:szCs w:val="21"/>
              </w:rPr>
              <w:t>遮光率：60%及以上</w:t>
            </w:r>
          </w:p>
          <w:p>
            <w:pPr>
              <w:widowControl/>
              <w:spacing w:line="380" w:lineRule="exact"/>
              <w:jc w:val="left"/>
              <w:rPr>
                <w:rFonts w:ascii="宋体" w:hAnsi="宋体" w:cs="宋体"/>
                <w:bCs/>
                <w:kern w:val="0"/>
                <w:szCs w:val="21"/>
              </w:rPr>
            </w:pPr>
            <w:r>
              <w:rPr>
                <w:rFonts w:hint="eastAsia" w:ascii="宋体" w:hAnsi="宋体" w:cs="宋体"/>
                <w:bCs/>
                <w:kern w:val="0"/>
                <w:szCs w:val="21"/>
              </w:rPr>
              <w:t>轨道：直轨</w:t>
            </w:r>
          </w:p>
          <w:p>
            <w:pPr>
              <w:widowControl/>
              <w:spacing w:line="380" w:lineRule="exact"/>
              <w:jc w:val="left"/>
              <w:rPr>
                <w:rFonts w:ascii="宋体" w:hAnsi="宋体" w:cs="宋体"/>
                <w:bCs/>
                <w:kern w:val="0"/>
                <w:szCs w:val="21"/>
              </w:rPr>
            </w:pPr>
            <w:r>
              <w:rPr>
                <w:rFonts w:hint="eastAsia" w:ascii="宋体" w:hAnsi="宋体" w:cs="宋体"/>
                <w:bCs/>
                <w:kern w:val="0"/>
                <w:szCs w:val="21"/>
              </w:rPr>
              <w:t>窗户高度：3m</w:t>
            </w:r>
          </w:p>
          <w:p>
            <w:pPr>
              <w:widowControl/>
              <w:spacing w:line="380" w:lineRule="exact"/>
              <w:jc w:val="left"/>
              <w:rPr>
                <w:rFonts w:ascii="宋体" w:hAnsi="宋体" w:cs="宋体"/>
                <w:kern w:val="0"/>
                <w:szCs w:val="21"/>
              </w:rPr>
            </w:pPr>
            <w:r>
              <w:rPr>
                <w:rFonts w:hint="eastAsia" w:ascii="宋体" w:hAnsi="宋体" w:cs="宋体"/>
                <w:bCs/>
                <w:kern w:val="0"/>
                <w:szCs w:val="21"/>
              </w:rPr>
              <w:t>窗户宽度：20m。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right w:val="single" w:color="auto" w:sz="4" w:space="0"/>
            </w:tcBorders>
            <w:vAlign w:val="center"/>
          </w:tcPr>
          <w:p>
            <w:pPr>
              <w:widowControl/>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锁</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个</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智慧门锁：</w:t>
            </w:r>
          </w:p>
          <w:p>
            <w:pPr>
              <w:widowControl/>
              <w:spacing w:line="380" w:lineRule="exact"/>
              <w:jc w:val="left"/>
              <w:rPr>
                <w:rFonts w:ascii="宋体" w:hAnsi="宋体" w:cs="宋体"/>
                <w:bCs/>
                <w:kern w:val="0"/>
                <w:szCs w:val="21"/>
              </w:rPr>
            </w:pPr>
            <w:r>
              <w:rPr>
                <w:rFonts w:hint="eastAsia" w:ascii="宋体" w:hAnsi="宋体" w:cs="宋体"/>
                <w:bCs/>
                <w:kern w:val="0"/>
                <w:szCs w:val="21"/>
              </w:rPr>
              <w:t>开锁方式：人脸识别、密码输入</w:t>
            </w:r>
          </w:p>
          <w:p>
            <w:pPr>
              <w:widowControl/>
              <w:spacing w:line="380" w:lineRule="exact"/>
              <w:jc w:val="left"/>
              <w:rPr>
                <w:rFonts w:ascii="宋体" w:hAnsi="宋体" w:cs="宋体"/>
                <w:bCs/>
                <w:kern w:val="0"/>
                <w:szCs w:val="21"/>
              </w:rPr>
            </w:pPr>
            <w:r>
              <w:rPr>
                <w:rFonts w:hint="eastAsia" w:ascii="宋体" w:hAnsi="宋体" w:cs="宋体"/>
                <w:bCs/>
                <w:kern w:val="0"/>
                <w:szCs w:val="21"/>
              </w:rPr>
              <w:t>电源类型：锂电池</w:t>
            </w:r>
          </w:p>
          <w:p>
            <w:pPr>
              <w:widowControl/>
              <w:spacing w:line="380" w:lineRule="exact"/>
              <w:jc w:val="left"/>
              <w:rPr>
                <w:rFonts w:ascii="宋体" w:hAnsi="宋体" w:cs="宋体"/>
                <w:bCs/>
                <w:kern w:val="0"/>
                <w:szCs w:val="21"/>
              </w:rPr>
            </w:pPr>
            <w:r>
              <w:rPr>
                <w:rFonts w:hint="eastAsia" w:ascii="宋体" w:hAnsi="宋体" w:cs="宋体"/>
                <w:bCs/>
                <w:kern w:val="0"/>
                <w:szCs w:val="21"/>
              </w:rPr>
              <w:t>锁体类型：全自动锁</w:t>
            </w:r>
          </w:p>
          <w:p>
            <w:pPr>
              <w:widowControl/>
              <w:spacing w:line="380" w:lineRule="exact"/>
              <w:jc w:val="left"/>
              <w:rPr>
                <w:rFonts w:ascii="宋体" w:hAnsi="宋体" w:cs="宋体"/>
                <w:bCs/>
                <w:kern w:val="0"/>
                <w:szCs w:val="21"/>
              </w:rPr>
            </w:pPr>
            <w:r>
              <w:rPr>
                <w:rFonts w:hint="eastAsia" w:ascii="宋体" w:hAnsi="宋体" w:cs="宋体"/>
                <w:bCs/>
                <w:kern w:val="0"/>
                <w:szCs w:val="21"/>
              </w:rPr>
              <w:t>锁芯等级：C级锁芯</w:t>
            </w:r>
          </w:p>
          <w:p>
            <w:pPr>
              <w:widowControl/>
              <w:spacing w:line="380" w:lineRule="exact"/>
              <w:jc w:val="left"/>
              <w:rPr>
                <w:rFonts w:ascii="宋体" w:hAnsi="宋体" w:cs="宋体"/>
                <w:kern w:val="0"/>
                <w:szCs w:val="21"/>
              </w:rPr>
            </w:pPr>
            <w:r>
              <w:rPr>
                <w:rFonts w:hint="eastAsia" w:ascii="宋体" w:hAnsi="宋体" w:cs="宋体"/>
                <w:bCs/>
                <w:kern w:val="0"/>
                <w:szCs w:val="21"/>
              </w:rPr>
              <w:t>附加功能：防小黑盒破解，静音模式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vMerge w:val="continue"/>
            <w:tcBorders>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电子班牌</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台</w:t>
            </w:r>
          </w:p>
        </w:tc>
        <w:tc>
          <w:tcPr>
            <w:tcW w:w="5619" w:type="dxa"/>
            <w:tcBorders>
              <w:top w:val="single" w:color="auto" w:sz="4" w:space="0"/>
              <w:left w:val="single" w:color="auto" w:sz="4" w:space="0"/>
              <w:right w:val="single" w:color="auto" w:sz="4" w:space="0"/>
            </w:tcBorders>
            <w:vAlign w:val="center"/>
          </w:tcPr>
          <w:p>
            <w:pPr>
              <w:widowControl/>
              <w:spacing w:line="380" w:lineRule="exact"/>
              <w:jc w:val="left"/>
              <w:rPr>
                <w:rFonts w:ascii="宋体" w:hAnsi="宋体" w:cs="宋体"/>
                <w:bCs/>
                <w:kern w:val="0"/>
                <w:szCs w:val="21"/>
              </w:rPr>
            </w:pPr>
            <w:r>
              <w:rPr>
                <w:rFonts w:hint="eastAsia" w:ascii="宋体" w:hAnsi="宋体" w:cs="宋体"/>
                <w:bCs/>
                <w:kern w:val="0"/>
                <w:szCs w:val="21"/>
              </w:rPr>
              <w:t>电子班牌：</w:t>
            </w:r>
          </w:p>
          <w:p>
            <w:pPr>
              <w:widowControl/>
              <w:spacing w:line="380" w:lineRule="exact"/>
              <w:jc w:val="left"/>
              <w:rPr>
                <w:rFonts w:ascii="宋体" w:hAnsi="宋体" w:cs="宋体"/>
                <w:bCs/>
                <w:kern w:val="0"/>
                <w:szCs w:val="21"/>
              </w:rPr>
            </w:pPr>
            <w:r>
              <w:rPr>
                <w:rFonts w:hint="eastAsia" w:ascii="宋体" w:hAnsi="宋体" w:cs="宋体"/>
                <w:bCs/>
                <w:kern w:val="0"/>
                <w:szCs w:val="21"/>
              </w:rPr>
              <w:t>屏幕尺寸：≥10.1寸非触摸屏</w:t>
            </w:r>
          </w:p>
          <w:p>
            <w:pPr>
              <w:widowControl/>
              <w:spacing w:line="380" w:lineRule="exact"/>
              <w:jc w:val="left"/>
              <w:rPr>
                <w:rFonts w:ascii="宋体" w:hAnsi="宋体" w:cs="宋体"/>
                <w:bCs/>
                <w:kern w:val="0"/>
                <w:szCs w:val="21"/>
              </w:rPr>
            </w:pPr>
            <w:r>
              <w:rPr>
                <w:rFonts w:hint="eastAsia" w:ascii="宋体" w:hAnsi="宋体" w:cs="宋体"/>
                <w:bCs/>
                <w:kern w:val="0"/>
                <w:szCs w:val="21"/>
              </w:rPr>
              <w:t>供电方式：POE供电</w:t>
            </w:r>
          </w:p>
          <w:p>
            <w:pPr>
              <w:widowControl/>
              <w:spacing w:line="380" w:lineRule="exact"/>
              <w:jc w:val="left"/>
              <w:rPr>
                <w:rFonts w:ascii="宋体" w:hAnsi="宋体" w:cs="宋体"/>
                <w:bCs/>
                <w:kern w:val="0"/>
                <w:szCs w:val="21"/>
              </w:rPr>
            </w:pPr>
            <w:r>
              <w:rPr>
                <w:rFonts w:hint="eastAsia" w:ascii="宋体" w:hAnsi="宋体" w:cs="宋体"/>
                <w:bCs/>
                <w:kern w:val="0"/>
                <w:szCs w:val="21"/>
              </w:rPr>
              <w:t>分辨率：1280*800</w:t>
            </w:r>
          </w:p>
          <w:p>
            <w:pPr>
              <w:widowControl/>
              <w:spacing w:line="380" w:lineRule="exact"/>
              <w:jc w:val="left"/>
              <w:rPr>
                <w:rFonts w:ascii="宋体" w:hAnsi="宋体" w:cs="宋体"/>
                <w:kern w:val="0"/>
                <w:szCs w:val="21"/>
              </w:rPr>
            </w:pPr>
            <w:r>
              <w:rPr>
                <w:rFonts w:hint="eastAsia" w:ascii="宋体" w:hAnsi="宋体" w:cs="宋体"/>
                <w:bCs/>
                <w:kern w:val="0"/>
                <w:szCs w:val="21"/>
              </w:rPr>
              <w:t>运行内存：≥2G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tcBorders>
              <w:top w:val="single" w:color="auto" w:sz="4" w:space="0"/>
              <w:left w:val="single" w:color="auto" w:sz="4" w:space="0"/>
              <w:right w:val="single" w:color="auto" w:sz="4" w:space="0"/>
            </w:tcBorders>
            <w:vAlign w:val="center"/>
          </w:tcPr>
          <w:p>
            <w:pPr>
              <w:widowControl/>
              <w:tabs>
                <w:tab w:val="left" w:pos="1531"/>
              </w:tabs>
              <w:spacing w:line="380" w:lineRule="exact"/>
              <w:jc w:val="left"/>
              <w:rPr>
                <w:rFonts w:ascii="宋体" w:hAnsi="宋体" w:cs="宋体"/>
                <w:bCs/>
                <w:kern w:val="0"/>
                <w:szCs w:val="21"/>
              </w:rPr>
            </w:pPr>
            <w:r>
              <w:rPr>
                <w:rFonts w:hint="eastAsia" w:ascii="宋体" w:hAnsi="宋体" w:cs="宋体"/>
                <w:kern w:val="0"/>
                <w:szCs w:val="21"/>
              </w:rPr>
              <w:t>虚拟仿真实训基地管理与共享平台</w:t>
            </w:r>
          </w:p>
          <w:p>
            <w:pPr>
              <w:spacing w:line="380" w:lineRule="exact"/>
              <w:jc w:val="center"/>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项</w:t>
            </w:r>
          </w:p>
        </w:tc>
        <w:tc>
          <w:tcPr>
            <w:tcW w:w="5619" w:type="dxa"/>
            <w:tcBorders>
              <w:top w:val="single" w:color="auto" w:sz="4" w:space="0"/>
              <w:left w:val="single" w:color="auto" w:sz="4" w:space="0"/>
              <w:right w:val="single" w:color="auto" w:sz="4" w:space="0"/>
            </w:tcBorders>
          </w:tcPr>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一、实训基地管理模块</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1.针对基地管理与共享系统正常运行的监控和管理的模块，可以满足对网络服务、服务器服务、数据库服务等内容进行监控管理，帮助用户及时发现并解决服务中断和异常问题，提高服务的稳定性和可用性。</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2.日志管理功能，可形成登录和操作日志可以满足教员管理查看所有用户在系统中的登陆情况和操作使用情况。</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 登录日志：展示所有用户信息的登录信息，如登录人员、登录时间。</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 操作日志：展示所有用户信息的操作内容，如操作人员、操作内容。</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3.用户管理功能，系统中主要分为教员和学员两级用户，教员通过该功能可完成对学员个人信息的管理，可以满足用户添加、删除、修改功能。</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（1）用户添加：能够直接添加用户基本信息，如用户名称、联系方式和密码等信息。</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（2）用户删除：删除用户功能是为保证用户冲突时，随时删除。删除后的用户将无法恢复。</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（3）用户修改：可以修改用户账号的基础信息，其中包括用户名称、联系方式和密码。</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（4）用户查看：可以通过用户账号类型进行分类查看，也可以通过用户名称、ID等关键字进行精确查询用户信息。</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二、仿真实训课程模块</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主要用于本项目建设中实训课程和资源建设等内容的管理。</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1.实训课程管理，实现对实训课程的控制管理，可以满足实训课程的新增和下载等操作，保证不同的实训课程模拟。</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（1）课程新增：需输入对应的课程名称、课程描述等内容。</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（2）课程下载：课程下载后，可根据教员设定的课程完成学习。</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2.资源建设管理，实现对资源的管理，资源包括影音视频资料、其他多媒体资料。可以满足对本项目建设的资源进行查看和删除等操作。</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（1）资源查看：可以查看资源的相关详细信息并对资源内容进行详细展示。</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（2）资源删除：将数据库中的资源完成删除，无法恢复。</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三、仿真资源模块</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仿真资源模块主要是对项目展示中三维数据模型的管理，可以满足资源的新增、下载、预览、删除等功能操作。在新增仿真资源时，仿真资源可以根据设备的类型进行划分，能够更好的完成对三维数据模型资源的管控，方便后续查找。</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（1）仿真资源新增：在新增仿真资源时，需填写类型、仿真资源名称、仿真资源描述等信息。</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（2）仿真资源删除：将数据库中的仿真资源信息完成删除，无法恢复。</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（3）仿真资源修改：可以对已添加的仿真资源进行修改。</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（4）仿真资源查看：可以查看仿真资源的相关详细信息并对仿真资源内容进行详细展示。</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四、教学管理模块</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主要用于本项目建设中教学资源和教学课程等内容的管理。</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1.教学资源管理是指对教学课程电子教材、教学大纲、实验指导书等电子化教学资料的管理。可以满足教学资源的新增、下载、预览、删除等功能操作。</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（1）教学资源新增：在新增教学资源时，需填写类型、教学资源名称、教学资源描述等信息。</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（2）教学资源下载：教学资源下载后，可对教学课程电子教材、教学大纲、实验指导书等电子化教学资料进行学习。</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（3）教学资源预览：可以对教学资源的进行预览，并对教学资源内容进行详细展示。</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（4）教学资源删除：将数据库中的教学资源信息完成删除，无法恢复。</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 课程管理支持用户按照教学章节进行课件、文档和教学案例的管理。主要用于完成基于教学案例的课程创建、教学组训，包括课程的增、删、改、查等操作。</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（1）课程新增：在新增课程时，需填写课程名称、教学章节、课程内容、课程时间等信息。</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（2）课程删除：将数据库中的课程信息完成删除，无法恢复。</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（3）课程修改：可以对增加的课程信息进行修改，修改内容为课程名称、教学章节、课程内容、课程时间等信息。</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（4）课程查看：可以查看课程的相关详细信息。</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五、教学大数据分析与评价模块</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功能模块包含成绩查询、成绩统计分析、训练数据评价等内容。</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1.成绩查询，通过成绩查询功能可对历史记录、成绩等内容进行查询查看，同时可查看学员单次考核成绩详细记录，如操作用时。</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2.成绩统计分析，可以通过此功能对学员成绩进行统计分析，系统通过学员、试题类型进行实现，并以图、表等方式进行呈现。</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训练数据评价，围绕虚拟技能训练和虚拟任务训练过程中学员的训练内容和要求，依据考核评分规则，对学员训练操作情况实时打分，通过操作时间、操作步骤、操作成效等维度进行考核评估，使教员和学员能够在训练的同时及时准确地掌握自身训练情况，从而提高训练质量，并为训练考核提供精确的成绩评定。</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六、仿真基地中控模块</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仿真基地中控是通过对基地的硬件设备连接，能够实现集中管理和控制，可实现对硬件设备统一启动、软件及课程资源批量传输等功能。同时可以监控设备的运行状态和课件的安装情况。</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七、开发工具</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 模型轻量化转换和处理。轻量化工具包（50套）:包括通用三维模型转换器、通用三维模型阅读器、通用三维模型编辑器。</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（1）自主可控的格式标准</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具有自主可控的三维轻量化模型数据格式，数据格式透明、可扩展、可定制，符合国家的有关要求，适合学校、虚拟仿真、AR/VR等深度集成与开发新；</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（2）数据压缩比高</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软件具有三维模型轻量化功能，通过面向原生三维CAD/BIM数据进行底层解析、重建的方法，压缩比至少达到10%，且浏览、交互快速、平稳，达到国际领域的先进水平；</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（3）转换速度快</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针对各三维CAD设计软件使用转换器进行轻量化模型的转换，平均转换速度可达到1.5M/s，减少模型转换过程的等待时间；</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▲（4）多格式支持</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支持多种三维CAD格式，如CATIA、Solidworks、Creo、UG，以及中性数据格式如STEP、OBJ、FBX等；</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▲（5）模型精度高</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轻量化模型转换应确保模型树、尺寸信息、颜色等均与原生三维模型高度一致，模型的尺寸精度可达到0.01mm，实现了模型的高精度装配，为虚拟仿真课程的制作提供基础。同时保留原有BOM树信息，利于模型编辑，保证模型的零、部件信息完整、装配关系、颜色材质、模型比例、属性信息、PMI信息等均与原生三维模型一致；</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（6）操作便利</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支持模型树、参数信息的浏览，支持零部件移动、隐藏、颜色更改、视图切换、动画播放、剖切、测量、批注的添加删除导出等操作。</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2.沉浸教学设备套装（系统）编辑</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通过1：1 构建设备系统、零部件的三维数据模型，根据设备系统的结构组成，对各部分的功用、系统组成、属性参数信息等内容，以整体视图、半透明视图、剖面视图和结构动态爆炸视图等形式展示，供学员对设备系统的构造、组成、安装位置、性能、功能、属性等知识进行系统的了解。</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▲（1）场景中同时呈现1600万面面片的三维模型时，保持虚拟场景显示帧速率不小于60帧/s。</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 xml:space="preserve">（2）支持UI界面拖拽式响应。 </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（3）支持应用案例单机版发布和B/S网络版发布。</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▲（4）具备结构动态爆炸范围设置等，支持预览和重置效果编辑。</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▲（5）支持单个模型和零部件组合模型任意角度实时剖面和补面功能。</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八、原理教学资源编辑</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根据设备的工况表现，通过剖面视图、三维动画和原理动画相结合的形式，将设备各系统的工作原理及运动状态动态地表现出来，并可与案例进行交互。同时针对以电信号传输为主的知识点，以二维交互动画展示为主，三维交互动画展示为辅的交互方式呈现；针对以物理运动为主的知识点，以三维交互动画展示为主，二维交互动画展示为辅的交互方式呈现。</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（1）案例演示过程中能随时暂停，能任意改变视角，视场能放大、缩小，可直观、全面的展示设备的各部件信息。</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（2）支持动态柔性阴影可为整体渲染场景添加丰富的细节，最终呈现接近于照片级的高仿真度渲染效果。</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九、操作使用资源编辑</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操作使用是针对某一设备的操作进行系统的训练学习，在训练系统中按照操作步骤进行训练和学习。依据设备操作使用过程，通过对设备模型、动画、操作使用脚本等基本素材的进行编辑并生成为新的训练案例，满足训练需求。</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▲（1）支持虚拟装配过程和装配序列蓝图式编辑和生成。</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（2）支持操作提示、合法性、延时等判断功能。</w:t>
            </w:r>
          </w:p>
          <w:p>
            <w:pPr>
              <w:widowControl/>
              <w:tabs>
                <w:tab w:val="left" w:pos="1531"/>
              </w:tabs>
              <w:spacing w:line="380" w:lineRule="exact"/>
              <w:jc w:val="left"/>
              <w:rPr>
                <w:rFonts w:ascii="宋体" w:hAnsi="宋体" w:cs="宋体"/>
                <w:b/>
                <w:bCs/>
                <w:kern w:val="0"/>
                <w:szCs w:val="21"/>
              </w:rPr>
            </w:pPr>
            <w:r>
              <w:rPr>
                <w:rFonts w:hint="eastAsia" w:ascii="宋体" w:hAnsi="宋体" w:cs="宋体"/>
                <w:b/>
                <w:bCs/>
                <w:kern w:val="0"/>
                <w:szCs w:val="21"/>
              </w:rPr>
              <w:t>十、维护维修资源编辑</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维修训练案例主要依据设备维护维修过程，参考设备工作内容，结合外场经常维护工作，以重要结构、主要系统部件以及重要机载设备的拆装、操作、维护为主，对各专业操作训练标准化流程进行虚拟拆装训练。</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（1）支持零件级碰撞预测与实时监测，碰撞精度达到部件级。</w:t>
            </w:r>
          </w:p>
          <w:p>
            <w:pPr>
              <w:tabs>
                <w:tab w:val="left" w:pos="1531"/>
              </w:tabs>
              <w:spacing w:line="380" w:lineRule="exact"/>
              <w:rPr>
                <w:rFonts w:ascii="宋体" w:hAnsi="宋体" w:cs="宋体"/>
                <w:szCs w:val="21"/>
              </w:rPr>
            </w:pPr>
            <w:r>
              <w:rPr>
                <w:rFonts w:hint="eastAsia" w:ascii="宋体" w:hAnsi="宋体" w:cs="宋体"/>
                <w:kern w:val="0"/>
                <w:szCs w:val="21"/>
              </w:rPr>
              <w:t>▲（2）支持维修工具模型编辑和交互设置功能。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tcBorders>
              <w:left w:val="single" w:color="auto" w:sz="4" w:space="0"/>
              <w:right w:val="single" w:color="auto" w:sz="4" w:space="0"/>
            </w:tcBorders>
            <w:vAlign w:val="center"/>
          </w:tcPr>
          <w:p>
            <w:pPr>
              <w:spacing w:line="380" w:lineRule="exact"/>
              <w:jc w:val="center"/>
              <w:rPr>
                <w:rFonts w:ascii="宋体" w:hAnsi="宋体" w:cs="宋体"/>
                <w:b/>
                <w:bCs/>
                <w:kern w:val="0"/>
                <w:szCs w:val="21"/>
              </w:rPr>
            </w:pPr>
            <w:r>
              <w:rPr>
                <w:rFonts w:hint="eastAsia" w:ascii="宋体" w:hAnsi="宋体" w:cs="宋体"/>
                <w:kern w:val="0"/>
                <w:szCs w:val="21"/>
              </w:rPr>
              <w:t>实训课程和资源建设(北斗应用相关三大类资源)</w:t>
            </w: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highlight w:val="yellow"/>
              </w:rPr>
            </w:pPr>
            <w:r>
              <w:rPr>
                <w:rFonts w:hint="eastAsia" w:ascii="宋体" w:hAnsi="宋体" w:cs="宋体"/>
                <w:kern w:val="0"/>
                <w:szCs w:val="21"/>
              </w:rPr>
              <w:t>实训课程和资源建设(北斗应用相关三大类资源)</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highlight w:val="yellow"/>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highlight w:val="yellow"/>
              </w:rPr>
            </w:pPr>
            <w:r>
              <w:rPr>
                <w:rFonts w:hint="eastAsia" w:ascii="宋体" w:hAnsi="宋体" w:cs="宋体"/>
                <w:bCs/>
                <w:kern w:val="0"/>
                <w:szCs w:val="21"/>
              </w:rPr>
              <w:t>项</w:t>
            </w:r>
          </w:p>
        </w:tc>
        <w:tc>
          <w:tcPr>
            <w:tcW w:w="5619" w:type="dxa"/>
            <w:tcBorders>
              <w:top w:val="single" w:color="auto" w:sz="4" w:space="0"/>
              <w:left w:val="single" w:color="auto" w:sz="4" w:space="0"/>
              <w:right w:val="single" w:color="auto" w:sz="4" w:space="0"/>
            </w:tcBorders>
          </w:tcPr>
          <w:p>
            <w:pPr>
              <w:widowControl/>
              <w:spacing w:line="380" w:lineRule="exact"/>
              <w:jc w:val="left"/>
              <w:rPr>
                <w:rFonts w:ascii="宋体" w:hAnsi="宋体" w:cs="宋体"/>
                <w:b/>
                <w:bCs/>
                <w:kern w:val="0"/>
                <w:szCs w:val="21"/>
              </w:rPr>
            </w:pPr>
            <w:r>
              <w:rPr>
                <w:rFonts w:hint="eastAsia" w:ascii="宋体" w:hAnsi="宋体" w:cs="宋体"/>
                <w:b/>
                <w:bCs/>
                <w:kern w:val="0"/>
                <w:szCs w:val="21"/>
              </w:rPr>
              <w:t>一、四大卫星导航系统介绍</w:t>
            </w:r>
          </w:p>
          <w:p>
            <w:pPr>
              <w:widowControl/>
              <w:spacing w:line="380" w:lineRule="exact"/>
              <w:jc w:val="left"/>
              <w:rPr>
                <w:rFonts w:ascii="宋体" w:hAnsi="宋体" w:cs="宋体"/>
                <w:kern w:val="0"/>
                <w:szCs w:val="21"/>
              </w:rPr>
            </w:pPr>
            <w:r>
              <w:rPr>
                <w:rFonts w:hint="eastAsia" w:ascii="宋体" w:hAnsi="宋体" w:cs="宋体"/>
                <w:kern w:val="0"/>
                <w:szCs w:val="21"/>
              </w:rPr>
              <w:t>核心目的为结合课本所学习内容，构建文字、视频、3D等多样化的展示可操作手段，使学习了解四大导航系统，掌握四大导航系统的名称、地域、基本作用、优缺点等。</w:t>
            </w:r>
          </w:p>
          <w:p>
            <w:pPr>
              <w:widowControl/>
              <w:spacing w:line="380" w:lineRule="exact"/>
              <w:jc w:val="left"/>
              <w:rPr>
                <w:rFonts w:ascii="宋体" w:hAnsi="宋体" w:cs="宋体"/>
                <w:kern w:val="0"/>
                <w:szCs w:val="21"/>
              </w:rPr>
            </w:pPr>
            <w:r>
              <w:rPr>
                <w:rFonts w:hint="eastAsia" w:ascii="宋体" w:hAnsi="宋体" w:cs="宋体"/>
                <w:kern w:val="0"/>
                <w:szCs w:val="21"/>
              </w:rPr>
              <w:t>具体建设内容如下：</w:t>
            </w:r>
          </w:p>
          <w:p>
            <w:pPr>
              <w:widowControl/>
              <w:spacing w:line="380" w:lineRule="exact"/>
              <w:jc w:val="left"/>
              <w:rPr>
                <w:rFonts w:ascii="宋体" w:hAnsi="宋体" w:cs="宋体"/>
                <w:kern w:val="0"/>
                <w:szCs w:val="21"/>
              </w:rPr>
            </w:pPr>
            <w:r>
              <w:rPr>
                <w:rFonts w:hint="eastAsia" w:ascii="宋体" w:hAnsi="宋体" w:cs="宋体"/>
                <w:kern w:val="0"/>
                <w:szCs w:val="21"/>
              </w:rPr>
              <w:t>1、四大导航系统文字+视频介绍资源1份，内容涵盖四大卫星导航系统（GPS、GLONASS、BDS、Galileo）的起源、发展历程、技术特点、应用领域等方面。这些资料应基于权威的数据和文献，确保信息的准确性和权威性；</w:t>
            </w:r>
          </w:p>
          <w:p>
            <w:pPr>
              <w:widowControl/>
              <w:spacing w:line="380" w:lineRule="exact"/>
              <w:jc w:val="left"/>
              <w:rPr>
                <w:rFonts w:ascii="宋体" w:hAnsi="宋体" w:cs="宋体"/>
                <w:kern w:val="0"/>
                <w:szCs w:val="21"/>
              </w:rPr>
            </w:pPr>
            <w:r>
              <w:rPr>
                <w:rFonts w:hint="eastAsia" w:ascii="宋体" w:hAnsi="宋体" w:cs="宋体"/>
                <w:kern w:val="0"/>
                <w:szCs w:val="21"/>
              </w:rPr>
              <w:t>2、四大导航系统3D模型构建：包括地球模型、导航卫星模型、轨道模型等内容，并进行灯光、贴图的渲染。同时根据卫星的实际运行轨道，构建相应的3D轨道模型。这些模型应能够动态展示卫星在地球周围的运行轨迹，帮助学生理解卫星导航系统的空间覆盖范围和信号传输机制；</w:t>
            </w:r>
          </w:p>
          <w:p>
            <w:pPr>
              <w:widowControl/>
              <w:spacing w:line="380" w:lineRule="exact"/>
              <w:jc w:val="left"/>
              <w:rPr>
                <w:rFonts w:ascii="宋体" w:hAnsi="宋体" w:cs="宋体"/>
                <w:kern w:val="0"/>
                <w:szCs w:val="21"/>
              </w:rPr>
            </w:pPr>
            <w:r>
              <w:rPr>
                <w:rFonts w:hint="eastAsia" w:ascii="宋体" w:hAnsi="宋体" w:cs="宋体"/>
                <w:kern w:val="0"/>
                <w:szCs w:val="21"/>
              </w:rPr>
              <w:t>3、四大导航系统的训练系统：在训练系统中实现与3D模型的交互功能，如控制显示和隐藏不同导航系统的卫星和轨道。学生可以通过这些操作，深入了解各个导航系统的特点和差异。通过虚拟仿真技术，模拟卫星导航系统的定位和导航过程。学生可以在虚拟环境中进行定位、导航等实际操作，从而加深对卫星导航系统工作原理和应用场景的理解。</w:t>
            </w:r>
          </w:p>
          <w:p>
            <w:pPr>
              <w:widowControl/>
              <w:spacing w:line="380" w:lineRule="exact"/>
              <w:jc w:val="left"/>
              <w:rPr>
                <w:rFonts w:ascii="宋体" w:hAnsi="宋体" w:cs="宋体"/>
                <w:kern w:val="0"/>
                <w:szCs w:val="21"/>
              </w:rPr>
            </w:pPr>
            <w:r>
              <w:rPr>
                <w:rFonts w:hint="eastAsia" w:ascii="宋体" w:hAnsi="宋体" w:cs="宋体"/>
                <w:b/>
                <w:bCs/>
                <w:kern w:val="0"/>
                <w:szCs w:val="21"/>
              </w:rPr>
              <w:t>二、认识北斗卫星导航系统</w:t>
            </w:r>
          </w:p>
          <w:p>
            <w:pPr>
              <w:widowControl/>
              <w:spacing w:line="380" w:lineRule="exact"/>
              <w:jc w:val="left"/>
              <w:rPr>
                <w:rFonts w:ascii="宋体" w:hAnsi="宋体" w:cs="宋体"/>
                <w:kern w:val="0"/>
                <w:szCs w:val="21"/>
              </w:rPr>
            </w:pPr>
            <w:r>
              <w:rPr>
                <w:rFonts w:hint="eastAsia" w:ascii="宋体" w:hAnsi="宋体" w:cs="宋体"/>
                <w:kern w:val="0"/>
                <w:szCs w:val="21"/>
              </w:rPr>
              <w:t>通过对中国历史中的导航定位技术的发展，包括北斗1号、2号、3号的发展历程的学习，了解北斗导航系统。</w:t>
            </w:r>
          </w:p>
          <w:p>
            <w:pPr>
              <w:widowControl/>
              <w:spacing w:line="380" w:lineRule="exact"/>
              <w:jc w:val="left"/>
              <w:rPr>
                <w:rFonts w:ascii="宋体" w:hAnsi="宋体" w:cs="宋体"/>
                <w:kern w:val="0"/>
                <w:szCs w:val="21"/>
              </w:rPr>
            </w:pPr>
            <w:r>
              <w:rPr>
                <w:rFonts w:hint="eastAsia" w:ascii="宋体" w:hAnsi="宋体" w:cs="宋体"/>
                <w:kern w:val="0"/>
                <w:szCs w:val="21"/>
              </w:rPr>
              <w:t>主要建设内容如下：</w:t>
            </w:r>
          </w:p>
          <w:p>
            <w:pPr>
              <w:widowControl/>
              <w:spacing w:line="380" w:lineRule="exact"/>
              <w:jc w:val="left"/>
              <w:rPr>
                <w:rFonts w:ascii="宋体" w:hAnsi="宋体" w:cs="宋体"/>
                <w:kern w:val="0"/>
                <w:szCs w:val="21"/>
              </w:rPr>
            </w:pPr>
            <w:r>
              <w:rPr>
                <w:rFonts w:hint="eastAsia" w:ascii="宋体" w:hAnsi="宋体" w:cs="宋体"/>
                <w:kern w:val="0"/>
                <w:szCs w:val="21"/>
              </w:rPr>
              <w:t>1、文字及视频介绍导航定位技术的发展历程，包括指南车、司南模型、六分仪等方式；</w:t>
            </w:r>
          </w:p>
          <w:p>
            <w:pPr>
              <w:widowControl/>
              <w:spacing w:line="380" w:lineRule="exact"/>
              <w:jc w:val="left"/>
              <w:rPr>
                <w:rFonts w:ascii="宋体" w:hAnsi="宋体" w:cs="宋体"/>
                <w:kern w:val="0"/>
                <w:szCs w:val="21"/>
              </w:rPr>
            </w:pPr>
            <w:r>
              <w:rPr>
                <w:rFonts w:hint="eastAsia" w:ascii="宋体" w:hAnsi="宋体" w:cs="宋体"/>
                <w:kern w:val="0"/>
                <w:szCs w:val="21"/>
              </w:rPr>
              <w:t>2、文字及视频介绍北斗导航系统的发展历程，从北斗1号到3号的发展历程，北斗导航3大功能；</w:t>
            </w:r>
          </w:p>
          <w:p>
            <w:pPr>
              <w:widowControl/>
              <w:spacing w:line="380" w:lineRule="exact"/>
              <w:jc w:val="left"/>
              <w:rPr>
                <w:rFonts w:ascii="宋体" w:hAnsi="宋体" w:cs="宋体"/>
                <w:kern w:val="0"/>
                <w:szCs w:val="21"/>
              </w:rPr>
            </w:pPr>
            <w:r>
              <w:rPr>
                <w:rFonts w:hint="eastAsia" w:ascii="宋体" w:hAnsi="宋体" w:cs="宋体"/>
                <w:kern w:val="0"/>
                <w:szCs w:val="21"/>
              </w:rPr>
              <w:t>3、北斗3号导航3D模型运行原理展示，以及GEO、IGSO、MEO轨道的3D交互式培训资源建设</w:t>
            </w:r>
          </w:p>
          <w:p>
            <w:pPr>
              <w:widowControl/>
              <w:numPr>
                <w:ilvl w:val="0"/>
                <w:numId w:val="5"/>
              </w:numPr>
              <w:spacing w:line="380" w:lineRule="exact"/>
              <w:jc w:val="left"/>
              <w:rPr>
                <w:rFonts w:ascii="宋体" w:hAnsi="宋体" w:cs="宋体"/>
                <w:kern w:val="0"/>
                <w:szCs w:val="21"/>
              </w:rPr>
            </w:pPr>
            <w:r>
              <w:rPr>
                <w:rFonts w:hint="eastAsia" w:ascii="宋体" w:hAnsi="宋体" w:cs="宋体"/>
                <w:kern w:val="0"/>
                <w:szCs w:val="21"/>
              </w:rPr>
              <w:t>北斗导航系统的应用领域介绍。根据不同的功能需求，介绍北斗在不同的场景和环境下的应用领域</w:t>
            </w:r>
          </w:p>
          <w:p>
            <w:pPr>
              <w:widowControl/>
              <w:spacing w:line="380" w:lineRule="exact"/>
              <w:jc w:val="left"/>
              <w:rPr>
                <w:rFonts w:ascii="宋体" w:hAnsi="宋体" w:cs="宋体"/>
                <w:kern w:val="0"/>
                <w:szCs w:val="21"/>
              </w:rPr>
            </w:pPr>
            <w:r>
              <w:rPr>
                <w:rFonts w:hint="eastAsia" w:ascii="宋体" w:hAnsi="宋体" w:cs="宋体"/>
                <w:kern w:val="0"/>
                <w:szCs w:val="21"/>
              </w:rPr>
              <w:t>其中部分介绍课程内容细节参考如下：</w:t>
            </w:r>
          </w:p>
          <w:p>
            <w:pPr>
              <w:widowControl/>
              <w:spacing w:line="380" w:lineRule="exact"/>
              <w:jc w:val="left"/>
              <w:rPr>
                <w:rFonts w:ascii="宋体" w:hAnsi="宋体" w:cs="宋体"/>
                <w:kern w:val="0"/>
                <w:szCs w:val="21"/>
              </w:rPr>
            </w:pPr>
            <w:r>
              <w:rPr>
                <w:rFonts w:hint="eastAsia" w:ascii="宋体" w:hAnsi="宋体" w:cs="宋体"/>
                <w:kern w:val="0"/>
                <w:szCs w:val="21"/>
              </w:rPr>
              <w:t>北斗三号概述</w:t>
            </w:r>
          </w:p>
          <w:p>
            <w:pPr>
              <w:widowControl/>
              <w:spacing w:line="380" w:lineRule="exact"/>
              <w:jc w:val="left"/>
              <w:rPr>
                <w:rFonts w:ascii="宋体" w:hAnsi="宋体" w:cs="宋体"/>
                <w:kern w:val="0"/>
                <w:szCs w:val="21"/>
              </w:rPr>
            </w:pPr>
            <w:r>
              <w:rPr>
                <w:rFonts w:hint="eastAsia" w:ascii="宋体" w:hAnsi="宋体" w:cs="宋体"/>
                <w:kern w:val="0"/>
                <w:szCs w:val="21"/>
              </w:rPr>
              <w:t xml:space="preserve">北斗卫星导航系统是中国自主研发的卫星定位系统。北斗三号是其最新版本，是目前世界上最大规模的卫星导航系统之一，由全球5颗地球同步卫星和30颗非地球同步卫星组成。 </w:t>
            </w:r>
          </w:p>
          <w:p>
            <w:pPr>
              <w:widowControl/>
              <w:spacing w:line="380" w:lineRule="exact"/>
              <w:jc w:val="left"/>
              <w:rPr>
                <w:rFonts w:ascii="宋体" w:hAnsi="宋体" w:cs="宋体"/>
                <w:kern w:val="0"/>
                <w:szCs w:val="21"/>
              </w:rPr>
            </w:pPr>
            <w:r>
              <w:rPr>
                <w:rFonts w:hint="eastAsia" w:ascii="宋体" w:hAnsi="宋体" w:cs="宋体"/>
                <w:kern w:val="0"/>
                <w:szCs w:val="21"/>
              </w:rPr>
              <w:t>北斗三号卫星分类</w:t>
            </w:r>
          </w:p>
          <w:p>
            <w:pPr>
              <w:widowControl/>
              <w:spacing w:line="380" w:lineRule="exact"/>
              <w:jc w:val="left"/>
              <w:rPr>
                <w:rFonts w:ascii="宋体" w:hAnsi="宋体" w:cs="宋体"/>
                <w:kern w:val="0"/>
                <w:szCs w:val="21"/>
              </w:rPr>
            </w:pPr>
            <w:r>
              <w:rPr>
                <w:rFonts w:hint="eastAsia" w:ascii="宋体" w:hAnsi="宋体" w:cs="宋体"/>
                <w:kern w:val="0"/>
                <w:szCs w:val="21"/>
              </w:rPr>
              <w:t>北斗三号卫星分为地球同步轨道卫星和非地球同步轨道卫星两种。地球同步轨道卫星可以提供更加精准的导航信号，常用于高精度应用场景；非地球同步轨道卫星则可以增加覆盖面积，常用于全球性导航服务。</w:t>
            </w:r>
          </w:p>
          <w:p>
            <w:pPr>
              <w:widowControl/>
              <w:spacing w:line="380" w:lineRule="exact"/>
              <w:jc w:val="left"/>
              <w:rPr>
                <w:rFonts w:ascii="宋体" w:hAnsi="宋体" w:cs="宋体"/>
                <w:kern w:val="0"/>
                <w:szCs w:val="21"/>
              </w:rPr>
            </w:pPr>
            <w:r>
              <w:rPr>
                <w:rFonts w:hint="eastAsia" w:ascii="宋体" w:hAnsi="宋体" w:cs="宋体"/>
                <w:kern w:val="0"/>
                <w:szCs w:val="21"/>
              </w:rPr>
              <w:t>北斗三号卫星布局</w:t>
            </w:r>
          </w:p>
          <w:p>
            <w:pPr>
              <w:widowControl/>
              <w:spacing w:line="380" w:lineRule="exact"/>
              <w:jc w:val="left"/>
              <w:rPr>
                <w:rFonts w:ascii="宋体" w:hAnsi="宋体" w:cs="宋体"/>
                <w:kern w:val="0"/>
                <w:szCs w:val="21"/>
              </w:rPr>
            </w:pPr>
            <w:r>
              <w:rPr>
                <w:rFonts w:hint="eastAsia" w:ascii="宋体" w:hAnsi="宋体" w:cs="宋体"/>
                <w:kern w:val="0"/>
                <w:szCs w:val="21"/>
              </w:rPr>
              <w:t>北斗三号卫星按照功能和任务需求被分配到不同的轨道上，地球同步卫星位于轨道倾角55度的倾斜地球同步轨道上，非地球同步卫星位于距地球36,000公里的中圆轨道和倾斜轨道上。</w:t>
            </w:r>
          </w:p>
          <w:p>
            <w:pPr>
              <w:widowControl/>
              <w:spacing w:line="380" w:lineRule="exact"/>
              <w:jc w:val="left"/>
              <w:rPr>
                <w:rFonts w:ascii="宋体" w:hAnsi="宋体" w:cs="宋体"/>
                <w:kern w:val="0"/>
                <w:szCs w:val="21"/>
              </w:rPr>
            </w:pPr>
            <w:r>
              <w:rPr>
                <w:rFonts w:hint="eastAsia" w:ascii="宋体" w:hAnsi="宋体" w:cs="宋体"/>
                <w:kern w:val="0"/>
                <w:szCs w:val="21"/>
              </w:rPr>
              <w:t>北斗三号卫星定位能力</w:t>
            </w:r>
          </w:p>
          <w:p>
            <w:pPr>
              <w:widowControl/>
              <w:spacing w:line="380" w:lineRule="exact"/>
              <w:jc w:val="left"/>
              <w:rPr>
                <w:rFonts w:ascii="宋体" w:hAnsi="宋体" w:cs="宋体"/>
                <w:kern w:val="0"/>
                <w:szCs w:val="21"/>
              </w:rPr>
            </w:pPr>
            <w:r>
              <w:rPr>
                <w:rFonts w:hint="eastAsia" w:ascii="宋体" w:hAnsi="宋体" w:cs="宋体"/>
                <w:kern w:val="0"/>
                <w:szCs w:val="21"/>
              </w:rPr>
              <w:t>北斗三号卫星采用多点定位技术，能够提供高精度的位置、速度和时间信息。在全球范围内，北斗三号卫星最大定位误差小于10米，可以满足众多应用领域的需求。</w:t>
            </w:r>
          </w:p>
          <w:p>
            <w:pPr>
              <w:widowControl/>
              <w:spacing w:line="380" w:lineRule="exact"/>
              <w:jc w:val="left"/>
              <w:rPr>
                <w:rFonts w:ascii="宋体" w:hAnsi="宋体" w:cs="宋体"/>
                <w:kern w:val="0"/>
                <w:szCs w:val="21"/>
              </w:rPr>
            </w:pPr>
            <w:r>
              <w:rPr>
                <w:rFonts w:hint="eastAsia" w:ascii="宋体" w:hAnsi="宋体" w:cs="宋体"/>
                <w:b/>
                <w:bCs/>
                <w:kern w:val="0"/>
                <w:szCs w:val="21"/>
              </w:rPr>
              <w:t>三、导航定位功能详细介绍</w:t>
            </w:r>
          </w:p>
          <w:p>
            <w:pPr>
              <w:widowControl/>
              <w:spacing w:line="380" w:lineRule="exact"/>
              <w:jc w:val="left"/>
              <w:rPr>
                <w:rFonts w:ascii="宋体" w:hAnsi="宋体" w:cs="宋体"/>
                <w:kern w:val="0"/>
                <w:szCs w:val="21"/>
              </w:rPr>
            </w:pPr>
            <w:r>
              <w:rPr>
                <w:rFonts w:hint="eastAsia" w:ascii="宋体" w:hAnsi="宋体" w:cs="宋体"/>
                <w:kern w:val="0"/>
                <w:szCs w:val="21"/>
              </w:rPr>
              <w:t>1、导航定位原理介绍：文字+视频介绍为主；</w:t>
            </w:r>
          </w:p>
          <w:p>
            <w:pPr>
              <w:widowControl/>
              <w:spacing w:line="380" w:lineRule="exact"/>
              <w:jc w:val="left"/>
              <w:rPr>
                <w:rFonts w:ascii="宋体" w:hAnsi="宋体" w:cs="宋体"/>
                <w:kern w:val="0"/>
                <w:szCs w:val="21"/>
              </w:rPr>
            </w:pPr>
            <w:r>
              <w:rPr>
                <w:rFonts w:hint="eastAsia" w:ascii="宋体" w:hAnsi="宋体" w:cs="宋体"/>
                <w:kern w:val="0"/>
                <w:szCs w:val="21"/>
              </w:rPr>
              <w:t>2、导航定位设备组成：北斗导航相关设备3D模型，并制作3D培训类资源；</w:t>
            </w:r>
          </w:p>
          <w:p>
            <w:pPr>
              <w:widowControl/>
              <w:spacing w:line="380" w:lineRule="exact"/>
              <w:jc w:val="left"/>
              <w:rPr>
                <w:rFonts w:ascii="宋体" w:hAnsi="宋体" w:cs="宋体"/>
                <w:kern w:val="0"/>
                <w:szCs w:val="21"/>
              </w:rPr>
            </w:pPr>
            <w:r>
              <w:rPr>
                <w:rFonts w:hint="eastAsia" w:ascii="宋体" w:hAnsi="宋体" w:cs="宋体"/>
                <w:kern w:val="0"/>
                <w:szCs w:val="21"/>
              </w:rPr>
              <w:t>3、导航定位信号传递关系：构建导航设备信号传递关系的3D模型、场景；</w:t>
            </w:r>
          </w:p>
          <w:p>
            <w:pPr>
              <w:widowControl/>
              <w:spacing w:line="380" w:lineRule="exact"/>
              <w:jc w:val="left"/>
              <w:rPr>
                <w:rFonts w:ascii="宋体" w:hAnsi="宋体" w:cs="宋体"/>
                <w:kern w:val="0"/>
                <w:szCs w:val="21"/>
              </w:rPr>
            </w:pPr>
            <w:r>
              <w:rPr>
                <w:rFonts w:hint="eastAsia" w:ascii="宋体" w:hAnsi="宋体" w:cs="宋体"/>
                <w:kern w:val="0"/>
                <w:szCs w:val="21"/>
              </w:rPr>
              <w:t>4、导航定位应用场景：构建宏观3D应用场景，至少包含城市车辆高精导航、农用机械导航、船舶导航等不同场景的培训类资源。</w:t>
            </w:r>
          </w:p>
          <w:p>
            <w:pPr>
              <w:widowControl/>
              <w:spacing w:line="380" w:lineRule="exact"/>
              <w:jc w:val="left"/>
              <w:rPr>
                <w:rFonts w:ascii="宋体" w:hAnsi="宋体" w:cs="宋体"/>
                <w:kern w:val="0"/>
                <w:szCs w:val="21"/>
              </w:rPr>
            </w:pPr>
            <w:r>
              <w:rPr>
                <w:rFonts w:hint="eastAsia" w:ascii="宋体" w:hAnsi="宋体" w:cs="宋体"/>
                <w:b/>
                <w:bCs/>
                <w:kern w:val="0"/>
                <w:szCs w:val="21"/>
              </w:rPr>
              <w:t>四、授时授频功能详细介绍</w:t>
            </w:r>
          </w:p>
          <w:p>
            <w:pPr>
              <w:widowControl/>
              <w:spacing w:line="380" w:lineRule="exact"/>
              <w:jc w:val="left"/>
              <w:rPr>
                <w:rFonts w:ascii="宋体" w:hAnsi="宋体" w:cs="宋体"/>
                <w:kern w:val="0"/>
                <w:szCs w:val="21"/>
              </w:rPr>
            </w:pPr>
            <w:r>
              <w:rPr>
                <w:rFonts w:hint="eastAsia" w:ascii="宋体" w:hAnsi="宋体" w:cs="宋体"/>
                <w:kern w:val="0"/>
                <w:szCs w:val="21"/>
              </w:rPr>
              <w:t>1、授时授频介绍：文字+视频介绍为主；</w:t>
            </w:r>
          </w:p>
          <w:p>
            <w:pPr>
              <w:widowControl/>
              <w:spacing w:line="380" w:lineRule="exact"/>
              <w:jc w:val="left"/>
              <w:rPr>
                <w:rFonts w:ascii="宋体" w:hAnsi="宋体" w:cs="宋体"/>
                <w:kern w:val="0"/>
                <w:szCs w:val="21"/>
              </w:rPr>
            </w:pPr>
            <w:r>
              <w:rPr>
                <w:rFonts w:hint="eastAsia" w:ascii="宋体" w:hAnsi="宋体" w:cs="宋体"/>
                <w:kern w:val="0"/>
                <w:szCs w:val="21"/>
              </w:rPr>
              <w:t>2、授时授频设备组成：授时授频相关设备3D模型，并制作3D培训类资源；</w:t>
            </w:r>
          </w:p>
          <w:p>
            <w:pPr>
              <w:widowControl/>
              <w:spacing w:line="380" w:lineRule="exact"/>
              <w:jc w:val="left"/>
              <w:rPr>
                <w:rFonts w:ascii="宋体" w:hAnsi="宋体" w:cs="宋体"/>
                <w:kern w:val="0"/>
                <w:szCs w:val="21"/>
              </w:rPr>
            </w:pPr>
            <w:r>
              <w:rPr>
                <w:rFonts w:hint="eastAsia" w:ascii="宋体" w:hAnsi="宋体" w:cs="宋体"/>
                <w:kern w:val="0"/>
                <w:szCs w:val="21"/>
              </w:rPr>
              <w:t>3、授时授频信号传递关系：构建授时授频信号传递关系的3D模型、设备连接关系；</w:t>
            </w:r>
          </w:p>
          <w:p>
            <w:pPr>
              <w:widowControl/>
              <w:spacing w:line="380" w:lineRule="exact"/>
              <w:jc w:val="left"/>
              <w:rPr>
                <w:rFonts w:ascii="宋体" w:hAnsi="宋体" w:cs="宋体"/>
                <w:kern w:val="0"/>
                <w:szCs w:val="21"/>
              </w:rPr>
            </w:pPr>
            <w:r>
              <w:rPr>
                <w:rFonts w:hint="eastAsia" w:ascii="宋体" w:hAnsi="宋体" w:cs="宋体"/>
                <w:kern w:val="0"/>
                <w:szCs w:val="21"/>
              </w:rPr>
              <w:t>4、授时授频应用场景：构建宏观3D应用场景，至少包含电网、金融、通信等不同场景的培训类资源。</w:t>
            </w:r>
          </w:p>
          <w:p>
            <w:pPr>
              <w:widowControl/>
              <w:spacing w:line="380" w:lineRule="exact"/>
              <w:jc w:val="left"/>
              <w:rPr>
                <w:rFonts w:ascii="宋体" w:hAnsi="宋体" w:cs="宋体"/>
                <w:kern w:val="0"/>
                <w:szCs w:val="21"/>
              </w:rPr>
            </w:pPr>
            <w:r>
              <w:rPr>
                <w:rFonts w:hint="eastAsia" w:ascii="宋体" w:hAnsi="宋体" w:cs="宋体"/>
                <w:b/>
                <w:bCs/>
                <w:kern w:val="0"/>
                <w:szCs w:val="21"/>
              </w:rPr>
              <w:t>五、短报文通信功能详细介绍</w:t>
            </w:r>
          </w:p>
          <w:p>
            <w:pPr>
              <w:widowControl/>
              <w:spacing w:line="380" w:lineRule="exact"/>
              <w:jc w:val="left"/>
              <w:rPr>
                <w:rFonts w:ascii="宋体" w:hAnsi="宋体" w:cs="宋体"/>
                <w:kern w:val="0"/>
                <w:szCs w:val="21"/>
              </w:rPr>
            </w:pPr>
            <w:r>
              <w:rPr>
                <w:rFonts w:hint="eastAsia" w:ascii="宋体" w:hAnsi="宋体" w:cs="宋体"/>
                <w:kern w:val="0"/>
                <w:szCs w:val="21"/>
              </w:rPr>
              <w:t>1、短报文通信介绍：文字+视频介绍为主；</w:t>
            </w:r>
          </w:p>
          <w:p>
            <w:pPr>
              <w:widowControl/>
              <w:spacing w:line="380" w:lineRule="exact"/>
              <w:jc w:val="left"/>
              <w:rPr>
                <w:rFonts w:ascii="宋体" w:hAnsi="宋体" w:cs="宋体"/>
                <w:kern w:val="0"/>
                <w:szCs w:val="21"/>
              </w:rPr>
            </w:pPr>
            <w:r>
              <w:rPr>
                <w:rFonts w:hint="eastAsia" w:ascii="宋体" w:hAnsi="宋体" w:cs="宋体"/>
                <w:kern w:val="0"/>
                <w:szCs w:val="21"/>
              </w:rPr>
              <w:t>2、短报文通信设备组成：短报文通信设备3D模型，并制作3D培训类资源；</w:t>
            </w:r>
          </w:p>
          <w:p>
            <w:pPr>
              <w:widowControl/>
              <w:spacing w:line="380" w:lineRule="exact"/>
              <w:jc w:val="left"/>
              <w:rPr>
                <w:rFonts w:ascii="宋体" w:hAnsi="宋体" w:cs="宋体"/>
                <w:kern w:val="0"/>
                <w:szCs w:val="21"/>
              </w:rPr>
            </w:pPr>
            <w:r>
              <w:rPr>
                <w:rFonts w:hint="eastAsia" w:ascii="宋体" w:hAnsi="宋体" w:cs="宋体"/>
                <w:kern w:val="0"/>
                <w:szCs w:val="21"/>
              </w:rPr>
              <w:t>3、短报文通信信号传递关系：构建短报文信号传递关系的3D模型、设备连接关系；</w:t>
            </w:r>
          </w:p>
          <w:p>
            <w:pPr>
              <w:widowControl/>
              <w:spacing w:line="380" w:lineRule="exact"/>
              <w:jc w:val="left"/>
              <w:rPr>
                <w:rFonts w:ascii="宋体" w:hAnsi="宋体" w:cs="宋体"/>
                <w:kern w:val="0"/>
                <w:szCs w:val="21"/>
              </w:rPr>
            </w:pPr>
            <w:r>
              <w:rPr>
                <w:rFonts w:hint="eastAsia" w:ascii="宋体" w:hAnsi="宋体" w:cs="宋体"/>
                <w:kern w:val="0"/>
                <w:szCs w:val="21"/>
              </w:rPr>
              <w:t>4、短报文通信应用场景：构建宏观3D应用场景，至少包含灾害如地震环境、远洋通信等培训类资源。</w:t>
            </w:r>
          </w:p>
          <w:p>
            <w:pPr>
              <w:widowControl/>
              <w:spacing w:line="380" w:lineRule="exact"/>
              <w:jc w:val="left"/>
              <w:rPr>
                <w:rFonts w:ascii="宋体" w:hAnsi="宋体" w:cs="宋体"/>
                <w:b/>
                <w:bCs/>
                <w:kern w:val="0"/>
                <w:szCs w:val="21"/>
              </w:rPr>
            </w:pPr>
            <w:r>
              <w:rPr>
                <w:rFonts w:hint="eastAsia" w:ascii="宋体" w:hAnsi="宋体" w:cs="宋体"/>
                <w:b/>
                <w:bCs/>
                <w:kern w:val="0"/>
                <w:szCs w:val="21"/>
              </w:rPr>
              <w:t>六、体验资源</w:t>
            </w:r>
          </w:p>
          <w:p>
            <w:pPr>
              <w:widowControl/>
              <w:spacing w:line="380" w:lineRule="exact"/>
              <w:jc w:val="left"/>
              <w:rPr>
                <w:rFonts w:ascii="宋体" w:hAnsi="宋体" w:cs="宋体"/>
                <w:kern w:val="0"/>
                <w:szCs w:val="21"/>
              </w:rPr>
            </w:pPr>
            <w:r>
              <w:rPr>
                <w:rFonts w:hint="eastAsia" w:ascii="宋体" w:hAnsi="宋体" w:cs="宋体"/>
                <w:kern w:val="0"/>
                <w:szCs w:val="21"/>
              </w:rPr>
              <w:t>通过视频、互动体验等方式实现至少以下资源内容：</w:t>
            </w:r>
          </w:p>
          <w:p>
            <w:pPr>
              <w:widowControl/>
              <w:spacing w:line="380" w:lineRule="exact"/>
              <w:jc w:val="left"/>
              <w:rPr>
                <w:rFonts w:ascii="宋体" w:hAnsi="宋体" w:cs="宋体"/>
                <w:kern w:val="0"/>
                <w:szCs w:val="21"/>
              </w:rPr>
            </w:pPr>
            <w:r>
              <w:rPr>
                <w:rFonts w:hint="eastAsia" w:ascii="宋体" w:hAnsi="宋体" w:cs="宋体"/>
                <w:kern w:val="0"/>
                <w:szCs w:val="21"/>
              </w:rPr>
              <w:t>1、北斗精神：北斗精神介绍、内涵等；珠峰测量案例体验；</w:t>
            </w:r>
          </w:p>
          <w:p>
            <w:pPr>
              <w:widowControl/>
              <w:spacing w:line="380" w:lineRule="exact"/>
              <w:jc w:val="left"/>
              <w:rPr>
                <w:rFonts w:ascii="宋体" w:hAnsi="宋体" w:cs="宋体"/>
                <w:kern w:val="0"/>
                <w:szCs w:val="21"/>
              </w:rPr>
            </w:pPr>
            <w:r>
              <w:rPr>
                <w:rFonts w:hint="eastAsia" w:ascii="宋体" w:hAnsi="宋体" w:cs="宋体"/>
                <w:kern w:val="0"/>
                <w:szCs w:val="21"/>
              </w:rPr>
              <w:t>2、原理介绍：卫星导航重要设备介绍；</w:t>
            </w:r>
          </w:p>
          <w:p>
            <w:pPr>
              <w:widowControl/>
              <w:spacing w:line="380" w:lineRule="exact"/>
              <w:jc w:val="left"/>
              <w:rPr>
                <w:rFonts w:ascii="宋体" w:hAnsi="宋体" w:cs="宋体"/>
                <w:kern w:val="0"/>
                <w:szCs w:val="21"/>
              </w:rPr>
            </w:pPr>
            <w:r>
              <w:rPr>
                <w:rFonts w:hint="eastAsia" w:ascii="宋体" w:hAnsi="宋体" w:cs="宋体"/>
                <w:kern w:val="0"/>
                <w:szCs w:val="21"/>
              </w:rPr>
              <w:t>3、领域应用：领域应用价值，如：车辆监控、地图导航、应急通讯、授时应用、测量测绘、精准农业；</w:t>
            </w:r>
          </w:p>
          <w:p>
            <w:pPr>
              <w:widowControl/>
              <w:spacing w:line="380" w:lineRule="exact"/>
              <w:jc w:val="left"/>
              <w:rPr>
                <w:rFonts w:ascii="宋体" w:hAnsi="宋体" w:cs="宋体"/>
                <w:kern w:val="0"/>
                <w:szCs w:val="21"/>
              </w:rPr>
            </w:pPr>
            <w:r>
              <w:rPr>
                <w:rFonts w:hint="eastAsia" w:ascii="宋体" w:hAnsi="宋体" w:cs="宋体"/>
                <w:kern w:val="0"/>
                <w:szCs w:val="21"/>
              </w:rPr>
              <w:t>4、生活应用：手机导航、可穿戴设备；</w:t>
            </w:r>
          </w:p>
          <w:p>
            <w:pPr>
              <w:widowControl/>
              <w:spacing w:line="380" w:lineRule="exact"/>
              <w:jc w:val="left"/>
              <w:rPr>
                <w:rFonts w:ascii="宋体" w:hAnsi="宋体" w:cs="宋体"/>
                <w:kern w:val="0"/>
                <w:szCs w:val="21"/>
              </w:rPr>
            </w:pPr>
            <w:r>
              <w:rPr>
                <w:rFonts w:hint="eastAsia" w:ascii="宋体" w:hAnsi="宋体" w:cs="宋体"/>
                <w:kern w:val="0"/>
                <w:szCs w:val="21"/>
              </w:rPr>
              <w:t>5、未来应用：领域应用案例（北斗网格码）。</w:t>
            </w:r>
          </w:p>
          <w:p>
            <w:pPr>
              <w:widowControl/>
              <w:spacing w:line="380" w:lineRule="exact"/>
              <w:jc w:val="left"/>
              <w:rPr>
                <w:rFonts w:ascii="宋体" w:hAnsi="宋体" w:cs="宋体"/>
                <w:b/>
                <w:bCs/>
                <w:kern w:val="0"/>
                <w:szCs w:val="21"/>
              </w:rPr>
            </w:pPr>
            <w:r>
              <w:rPr>
                <w:rFonts w:hint="eastAsia" w:ascii="宋体" w:hAnsi="宋体" w:cs="宋体"/>
                <w:b/>
                <w:bCs/>
                <w:kern w:val="0"/>
                <w:szCs w:val="21"/>
              </w:rPr>
              <w:t>七、导航定位原理培训资源建设</w:t>
            </w:r>
          </w:p>
          <w:p>
            <w:pPr>
              <w:widowControl/>
              <w:spacing w:line="380" w:lineRule="exact"/>
              <w:jc w:val="left"/>
              <w:rPr>
                <w:rFonts w:ascii="宋体" w:hAnsi="宋体" w:cs="宋体"/>
                <w:kern w:val="0"/>
                <w:szCs w:val="21"/>
              </w:rPr>
            </w:pPr>
            <w:r>
              <w:rPr>
                <w:rFonts w:hint="eastAsia" w:ascii="宋体" w:hAnsi="宋体" w:cs="宋体"/>
                <w:kern w:val="0"/>
                <w:szCs w:val="21"/>
              </w:rPr>
              <w:t>北斗导航系统的定位原理是三点定位原理。当地面设备接收到三颗卫星的信号时，可以通过计算三颗卫星的位置和地面设备的距离，来确定地面设备的位置。具体来说，地面设备接收到卫星发射的导航信号后，可以根据信号的传播时间计算出卫星和地面设备之间的距离。当地面设备接收到三颗卫星的信号时，可以利用三点定位原理计算出地面设备的位置。</w:t>
            </w:r>
          </w:p>
          <w:p>
            <w:pPr>
              <w:widowControl/>
              <w:spacing w:line="380" w:lineRule="exact"/>
              <w:jc w:val="left"/>
              <w:rPr>
                <w:rFonts w:ascii="宋体" w:hAnsi="宋体" w:cs="宋体"/>
                <w:kern w:val="0"/>
                <w:szCs w:val="21"/>
              </w:rPr>
            </w:pPr>
            <w:r>
              <w:rPr>
                <w:rFonts w:hint="eastAsia" w:ascii="宋体" w:hAnsi="宋体" w:cs="宋体"/>
                <w:kern w:val="0"/>
                <w:szCs w:val="21"/>
              </w:rPr>
              <w:t>培训内容如下：</w:t>
            </w:r>
          </w:p>
          <w:p>
            <w:pPr>
              <w:widowControl/>
              <w:spacing w:line="380" w:lineRule="exact"/>
              <w:jc w:val="left"/>
              <w:rPr>
                <w:rFonts w:ascii="宋体" w:hAnsi="宋体" w:cs="宋体"/>
                <w:kern w:val="0"/>
                <w:szCs w:val="21"/>
              </w:rPr>
            </w:pPr>
            <w:r>
              <w:rPr>
                <w:rFonts w:hint="eastAsia" w:ascii="宋体" w:hAnsi="宋体" w:cs="宋体"/>
                <w:kern w:val="0"/>
                <w:szCs w:val="21"/>
              </w:rPr>
              <w:t>1、三角定位原理培训资源制作；</w:t>
            </w:r>
          </w:p>
          <w:p>
            <w:pPr>
              <w:widowControl/>
              <w:spacing w:line="380" w:lineRule="exact"/>
              <w:jc w:val="left"/>
              <w:rPr>
                <w:rFonts w:ascii="宋体" w:hAnsi="宋体" w:cs="宋体"/>
                <w:kern w:val="0"/>
                <w:szCs w:val="21"/>
              </w:rPr>
            </w:pPr>
            <w:r>
              <w:rPr>
                <w:rFonts w:hint="eastAsia" w:ascii="宋体" w:hAnsi="宋体" w:cs="宋体"/>
                <w:kern w:val="0"/>
                <w:szCs w:val="21"/>
              </w:rPr>
              <w:t>2、坐标系分类培训资源制作；</w:t>
            </w:r>
          </w:p>
          <w:p>
            <w:pPr>
              <w:widowControl/>
              <w:spacing w:line="380" w:lineRule="exact"/>
              <w:jc w:val="left"/>
              <w:rPr>
                <w:rFonts w:ascii="宋体" w:hAnsi="宋体" w:cs="宋体"/>
                <w:kern w:val="0"/>
                <w:szCs w:val="21"/>
              </w:rPr>
            </w:pPr>
            <w:r>
              <w:rPr>
                <w:rFonts w:hint="eastAsia" w:ascii="宋体" w:hAnsi="宋体" w:cs="宋体"/>
                <w:kern w:val="0"/>
                <w:szCs w:val="21"/>
              </w:rPr>
              <w:t>3、伪距培训资源制作；</w:t>
            </w:r>
          </w:p>
          <w:p>
            <w:pPr>
              <w:widowControl/>
              <w:spacing w:line="380" w:lineRule="exact"/>
              <w:jc w:val="left"/>
              <w:rPr>
                <w:rFonts w:ascii="宋体" w:hAnsi="宋体" w:cs="宋体"/>
                <w:kern w:val="0"/>
                <w:szCs w:val="21"/>
              </w:rPr>
            </w:pPr>
            <w:r>
              <w:rPr>
                <w:rFonts w:hint="eastAsia" w:ascii="宋体" w:hAnsi="宋体" w:cs="宋体"/>
                <w:kern w:val="0"/>
                <w:szCs w:val="21"/>
              </w:rPr>
              <w:t>4、接收机钟差培训资源制作；</w:t>
            </w:r>
          </w:p>
          <w:p>
            <w:pPr>
              <w:widowControl/>
              <w:spacing w:line="380" w:lineRule="exact"/>
              <w:jc w:val="left"/>
              <w:rPr>
                <w:rFonts w:ascii="宋体" w:hAnsi="宋体" w:cs="宋体"/>
                <w:kern w:val="0"/>
                <w:szCs w:val="21"/>
              </w:rPr>
            </w:pPr>
            <w:r>
              <w:rPr>
                <w:rFonts w:hint="eastAsia" w:ascii="宋体" w:hAnsi="宋体" w:cs="宋体"/>
                <w:kern w:val="0"/>
                <w:szCs w:val="21"/>
              </w:rPr>
              <w:t>5、观测方程建立方法培训资源制作。</w:t>
            </w:r>
          </w:p>
          <w:p>
            <w:pPr>
              <w:widowControl/>
              <w:spacing w:line="380" w:lineRule="exact"/>
              <w:jc w:val="left"/>
              <w:rPr>
                <w:rFonts w:ascii="宋体" w:hAnsi="宋体" w:cs="宋体"/>
                <w:kern w:val="0"/>
                <w:szCs w:val="21"/>
              </w:rPr>
            </w:pPr>
            <w:r>
              <w:rPr>
                <w:rFonts w:hint="eastAsia" w:ascii="宋体" w:hAnsi="宋体" w:cs="宋体"/>
                <w:kern w:val="0"/>
                <w:szCs w:val="21"/>
              </w:rPr>
              <w:t>以观测方程的建立为例，了解北斗坐标系，选择待测点进行定位解算，首先通过3D交互的方式随机选择4颗卫星，然后就可以看到各个卫星到待测点的观测信息，然后学习观测方程建立知识点，操作建立观测方程，然后继续学习观测方程组的求解方法，设定初始位置进入方程组迭代计算，经过几次迭代会得到满足预设精度下的位置收敛结果，然后即可出现待测点的三维位置坐标，这样整个导航定位的基本原理与观测方程的计算就得到了学习与提升。</w:t>
            </w:r>
          </w:p>
          <w:p>
            <w:pPr>
              <w:widowControl/>
              <w:spacing w:line="380" w:lineRule="exact"/>
              <w:jc w:val="left"/>
              <w:rPr>
                <w:rFonts w:ascii="宋体" w:hAnsi="宋体" w:cs="宋体"/>
                <w:b/>
                <w:bCs/>
                <w:kern w:val="0"/>
                <w:szCs w:val="21"/>
              </w:rPr>
            </w:pPr>
            <w:r>
              <w:rPr>
                <w:rFonts w:hint="eastAsia" w:ascii="宋体" w:hAnsi="宋体" w:cs="宋体"/>
                <w:b/>
                <w:bCs/>
                <w:kern w:val="0"/>
                <w:szCs w:val="21"/>
              </w:rPr>
              <w:t>八、授时授频原理培训资源建设</w:t>
            </w:r>
          </w:p>
          <w:p>
            <w:pPr>
              <w:widowControl/>
              <w:spacing w:line="380" w:lineRule="exact"/>
              <w:jc w:val="left"/>
              <w:rPr>
                <w:rFonts w:ascii="宋体" w:hAnsi="宋体" w:cs="宋体"/>
                <w:kern w:val="0"/>
                <w:szCs w:val="21"/>
              </w:rPr>
            </w:pPr>
            <w:r>
              <w:rPr>
                <w:rFonts w:hint="eastAsia" w:ascii="宋体" w:hAnsi="宋体" w:cs="宋体"/>
                <w:kern w:val="0"/>
                <w:szCs w:val="21"/>
              </w:rPr>
              <w:t>斗导航授时授频技术是基于北斗卫星导航系统提供的时间和位置信息来实现精确时间同步和频率校准的技术。</w:t>
            </w:r>
          </w:p>
          <w:p>
            <w:pPr>
              <w:widowControl/>
              <w:spacing w:line="380" w:lineRule="exact"/>
              <w:jc w:val="left"/>
              <w:rPr>
                <w:rFonts w:ascii="宋体" w:hAnsi="宋体" w:cs="宋体"/>
                <w:kern w:val="0"/>
                <w:szCs w:val="21"/>
              </w:rPr>
            </w:pPr>
            <w:r>
              <w:rPr>
                <w:rFonts w:hint="eastAsia" w:ascii="宋体" w:hAnsi="宋体" w:cs="宋体"/>
                <w:kern w:val="0"/>
                <w:szCs w:val="21"/>
              </w:rPr>
              <w:t>授时方面，北斗导航系统通过卫星发射精确的时间信号，接收设备接收这些信号并据此校准本地时钟，以实现全球范围内的高精度时间同步。这种技术可以广泛应用于需要精确时间同步的领域，如通信、电力、金融等。北斗授时技术的核心是利用北斗导航系统提供的时间服务，通过各种通信手段将时间信息传输到需要同步时间的设备，实现设备之间的时间一致性。北斗授时具有单向授时和双向授时两种方式，授时精度可达到纳秒级别。</w:t>
            </w:r>
          </w:p>
          <w:p>
            <w:pPr>
              <w:widowControl/>
              <w:spacing w:line="380" w:lineRule="exact"/>
              <w:jc w:val="left"/>
              <w:rPr>
                <w:rFonts w:ascii="宋体" w:hAnsi="宋体" w:cs="宋体"/>
                <w:kern w:val="0"/>
                <w:szCs w:val="21"/>
              </w:rPr>
            </w:pPr>
            <w:r>
              <w:rPr>
                <w:rFonts w:hint="eastAsia" w:ascii="宋体" w:hAnsi="宋体" w:cs="宋体"/>
                <w:kern w:val="0"/>
                <w:szCs w:val="21"/>
              </w:rPr>
              <w:t>授频方面，北斗导航系统同样可以提供高精度的频率信号，用于校准设备的本地振荡器，实现频率的精确同步。这对于通信、广播电视等需要稳定频率源的应用领域具有重要意义。</w:t>
            </w:r>
          </w:p>
          <w:p>
            <w:pPr>
              <w:widowControl/>
              <w:spacing w:line="380" w:lineRule="exact"/>
              <w:jc w:val="left"/>
              <w:rPr>
                <w:rFonts w:ascii="宋体" w:hAnsi="宋体" w:cs="宋体"/>
                <w:kern w:val="0"/>
                <w:szCs w:val="21"/>
              </w:rPr>
            </w:pPr>
            <w:r>
              <w:rPr>
                <w:rFonts w:hint="eastAsia" w:ascii="宋体" w:hAnsi="宋体" w:cs="宋体"/>
                <w:kern w:val="0"/>
                <w:szCs w:val="21"/>
              </w:rPr>
              <w:t>培训资源及内容如下：</w:t>
            </w:r>
          </w:p>
          <w:p>
            <w:pPr>
              <w:widowControl/>
              <w:spacing w:line="380" w:lineRule="exact"/>
              <w:jc w:val="left"/>
              <w:rPr>
                <w:rFonts w:ascii="宋体" w:hAnsi="宋体" w:cs="宋体"/>
                <w:kern w:val="0"/>
                <w:szCs w:val="21"/>
              </w:rPr>
            </w:pPr>
            <w:r>
              <w:rPr>
                <w:rFonts w:hint="eastAsia" w:ascii="宋体" w:hAnsi="宋体" w:cs="宋体"/>
                <w:kern w:val="0"/>
                <w:szCs w:val="21"/>
              </w:rPr>
              <w:t>1、RNSS授时培训资源；</w:t>
            </w:r>
          </w:p>
          <w:p>
            <w:pPr>
              <w:widowControl/>
              <w:spacing w:line="380" w:lineRule="exact"/>
              <w:jc w:val="left"/>
              <w:rPr>
                <w:rFonts w:ascii="宋体" w:hAnsi="宋体" w:cs="宋体"/>
                <w:kern w:val="0"/>
                <w:szCs w:val="21"/>
              </w:rPr>
            </w:pPr>
            <w:r>
              <w:rPr>
                <w:rFonts w:hint="eastAsia" w:ascii="宋体" w:hAnsi="宋体" w:cs="宋体"/>
                <w:kern w:val="0"/>
                <w:szCs w:val="21"/>
              </w:rPr>
              <w:t>2、RDSS单向授时培训资源；</w:t>
            </w:r>
          </w:p>
          <w:p>
            <w:pPr>
              <w:widowControl/>
              <w:spacing w:line="380" w:lineRule="exact"/>
              <w:jc w:val="left"/>
              <w:rPr>
                <w:rFonts w:ascii="宋体" w:hAnsi="宋体" w:cs="宋体"/>
                <w:kern w:val="0"/>
                <w:szCs w:val="21"/>
              </w:rPr>
            </w:pPr>
            <w:r>
              <w:rPr>
                <w:rFonts w:hint="eastAsia" w:ascii="宋体" w:hAnsi="宋体" w:cs="宋体"/>
                <w:kern w:val="0"/>
                <w:szCs w:val="21"/>
              </w:rPr>
              <w:t>3、RDSS双向授时培训资源；</w:t>
            </w:r>
          </w:p>
          <w:p>
            <w:pPr>
              <w:widowControl/>
              <w:spacing w:line="380" w:lineRule="exact"/>
              <w:jc w:val="left"/>
              <w:rPr>
                <w:rFonts w:ascii="宋体" w:hAnsi="宋体" w:cs="宋体"/>
                <w:kern w:val="0"/>
                <w:szCs w:val="21"/>
              </w:rPr>
            </w:pPr>
            <w:r>
              <w:rPr>
                <w:rFonts w:hint="eastAsia" w:ascii="宋体" w:hAnsi="宋体" w:cs="宋体"/>
                <w:kern w:val="0"/>
                <w:szCs w:val="21"/>
              </w:rPr>
              <w:t>4、授时架构组成培训资源。</w:t>
            </w:r>
          </w:p>
          <w:p>
            <w:pPr>
              <w:widowControl/>
              <w:spacing w:line="380" w:lineRule="exact"/>
              <w:jc w:val="left"/>
              <w:rPr>
                <w:rFonts w:ascii="宋体" w:hAnsi="宋体" w:cs="宋体"/>
                <w:b/>
                <w:bCs/>
                <w:kern w:val="0"/>
                <w:szCs w:val="21"/>
              </w:rPr>
            </w:pPr>
            <w:r>
              <w:rPr>
                <w:rFonts w:hint="eastAsia" w:ascii="宋体" w:hAnsi="宋体" w:cs="宋体"/>
                <w:b/>
                <w:bCs/>
                <w:kern w:val="0"/>
                <w:szCs w:val="21"/>
              </w:rPr>
              <w:t>九、短报文通信原理培训资源建设</w:t>
            </w:r>
          </w:p>
          <w:p>
            <w:pPr>
              <w:widowControl/>
              <w:spacing w:line="380" w:lineRule="exact"/>
              <w:jc w:val="left"/>
              <w:rPr>
                <w:rFonts w:ascii="宋体" w:hAnsi="宋体" w:cs="宋体"/>
                <w:kern w:val="0"/>
                <w:szCs w:val="21"/>
              </w:rPr>
            </w:pPr>
            <w:r>
              <w:rPr>
                <w:rFonts w:hint="eastAsia" w:ascii="宋体" w:hAnsi="宋体" w:cs="宋体"/>
                <w:kern w:val="0"/>
                <w:szCs w:val="21"/>
              </w:rPr>
              <w:t>北斗短报文通信的主要原理依赖于北斗卫星导航系统的通信功能。当用户需要发送短报文时，通过地面设备或卫星终端，将报文信息上传至北斗卫星。北斗卫星接收到信息后，会将其转发至目标用户或中心控制系统。</w:t>
            </w:r>
          </w:p>
          <w:p>
            <w:pPr>
              <w:widowControl/>
              <w:spacing w:line="380" w:lineRule="exact"/>
              <w:jc w:val="left"/>
              <w:rPr>
                <w:rFonts w:ascii="宋体" w:hAnsi="宋体" w:cs="宋体"/>
                <w:kern w:val="0"/>
                <w:szCs w:val="21"/>
              </w:rPr>
            </w:pPr>
            <w:r>
              <w:rPr>
                <w:rFonts w:hint="eastAsia" w:ascii="宋体" w:hAnsi="宋体" w:cs="宋体"/>
                <w:kern w:val="0"/>
                <w:szCs w:val="21"/>
              </w:rPr>
              <w:t>北斗短报文具有覆盖范围广的特点，北斗卫星系统由35颗卫星组成，可以实现范围内的通信覆盖，无论是在陆地、海洋还是空中，都可以使用北斗短报文进行通信。此外，北斗短报文还具有双向通信的能力，即北斗的用户与用户、用户与中心控制系统间可实现双向简短数字报文通信。</w:t>
            </w:r>
          </w:p>
          <w:p>
            <w:pPr>
              <w:widowControl/>
              <w:spacing w:line="380" w:lineRule="exact"/>
              <w:jc w:val="left"/>
              <w:rPr>
                <w:rFonts w:ascii="宋体" w:hAnsi="宋体" w:cs="宋体"/>
                <w:kern w:val="0"/>
                <w:szCs w:val="21"/>
              </w:rPr>
            </w:pPr>
            <w:r>
              <w:rPr>
                <w:rFonts w:hint="eastAsia" w:ascii="宋体" w:hAnsi="宋体" w:cs="宋体"/>
                <w:kern w:val="0"/>
                <w:szCs w:val="21"/>
              </w:rPr>
              <w:t>北斗短报文通信的应用场景十分丰富。在紧急救援方面，如地震、海啸等自然灾害发生时，北斗短报文通信可以作为传递求救信息、拯救生命的最后保险索。在物流行业中，北斗短报文通信可以用于实时跟踪货物的位置和状态，提供更好的物流服务。此外，北斗短报文还在海洋渔业、极端天气下的数据上报等领域发挥着重要作用。</w:t>
            </w:r>
          </w:p>
          <w:p>
            <w:pPr>
              <w:widowControl/>
              <w:spacing w:line="380" w:lineRule="exact"/>
              <w:jc w:val="left"/>
              <w:rPr>
                <w:rFonts w:ascii="宋体" w:hAnsi="宋体" w:cs="宋体"/>
                <w:kern w:val="0"/>
                <w:szCs w:val="21"/>
              </w:rPr>
            </w:pPr>
            <w:r>
              <w:rPr>
                <w:rFonts w:hint="eastAsia" w:ascii="宋体" w:hAnsi="宋体" w:cs="宋体"/>
                <w:kern w:val="0"/>
                <w:szCs w:val="21"/>
              </w:rPr>
              <w:t>因此针对北斗专业的学生来说，应该深入了解北斗短报文系统的作用、原理，为后续的工作打下基础。</w:t>
            </w:r>
          </w:p>
          <w:p>
            <w:pPr>
              <w:widowControl/>
              <w:spacing w:line="380" w:lineRule="exact"/>
              <w:jc w:val="left"/>
              <w:rPr>
                <w:rFonts w:ascii="宋体" w:hAnsi="宋体" w:cs="宋体"/>
                <w:kern w:val="0"/>
                <w:szCs w:val="21"/>
              </w:rPr>
            </w:pPr>
            <w:r>
              <w:rPr>
                <w:rFonts w:hint="eastAsia" w:ascii="宋体" w:hAnsi="宋体" w:cs="宋体"/>
                <w:kern w:val="0"/>
                <w:szCs w:val="21"/>
              </w:rPr>
              <w:t>培训内容如下：</w:t>
            </w:r>
          </w:p>
          <w:p>
            <w:pPr>
              <w:widowControl/>
              <w:spacing w:line="380" w:lineRule="exact"/>
              <w:jc w:val="left"/>
              <w:rPr>
                <w:rFonts w:ascii="宋体" w:hAnsi="宋体" w:cs="宋体"/>
                <w:kern w:val="0"/>
                <w:szCs w:val="21"/>
              </w:rPr>
            </w:pPr>
            <w:r>
              <w:rPr>
                <w:rFonts w:hint="eastAsia" w:ascii="宋体" w:hAnsi="宋体" w:cs="宋体"/>
                <w:kern w:val="0"/>
                <w:szCs w:val="21"/>
              </w:rPr>
              <w:t>1、北斗短报文接口规范简介；</w:t>
            </w:r>
          </w:p>
          <w:p>
            <w:pPr>
              <w:widowControl/>
              <w:spacing w:line="380" w:lineRule="exact"/>
              <w:jc w:val="left"/>
              <w:rPr>
                <w:rFonts w:ascii="宋体" w:hAnsi="宋体" w:cs="宋体"/>
                <w:kern w:val="0"/>
                <w:szCs w:val="21"/>
              </w:rPr>
            </w:pPr>
            <w:r>
              <w:rPr>
                <w:rFonts w:hint="eastAsia" w:ascii="宋体" w:hAnsi="宋体" w:cs="宋体"/>
                <w:kern w:val="0"/>
                <w:szCs w:val="21"/>
              </w:rPr>
              <w:t>2、常用短报文组成资源建设；</w:t>
            </w:r>
          </w:p>
          <w:p>
            <w:pPr>
              <w:widowControl/>
              <w:spacing w:line="380" w:lineRule="exact"/>
              <w:jc w:val="left"/>
              <w:rPr>
                <w:rFonts w:ascii="宋体" w:hAnsi="宋体" w:cs="宋体"/>
                <w:kern w:val="0"/>
                <w:szCs w:val="21"/>
              </w:rPr>
            </w:pPr>
            <w:r>
              <w:rPr>
                <w:rFonts w:hint="eastAsia" w:ascii="宋体" w:hAnsi="宋体" w:cs="宋体"/>
                <w:kern w:val="0"/>
                <w:szCs w:val="21"/>
              </w:rPr>
              <w:t>3、短报文发送接收流程；</w:t>
            </w:r>
          </w:p>
          <w:p>
            <w:pPr>
              <w:widowControl/>
              <w:spacing w:line="380" w:lineRule="exact"/>
              <w:jc w:val="left"/>
              <w:rPr>
                <w:rFonts w:ascii="宋体" w:hAnsi="宋体" w:cs="宋体"/>
                <w:kern w:val="0"/>
                <w:szCs w:val="21"/>
              </w:rPr>
            </w:pPr>
            <w:r>
              <w:rPr>
                <w:rFonts w:hint="eastAsia" w:ascii="宋体" w:hAnsi="宋体" w:cs="宋体"/>
                <w:kern w:val="0"/>
                <w:szCs w:val="21"/>
              </w:rPr>
              <w:t>4、短报文语句转换为文字模拟培训；</w:t>
            </w:r>
          </w:p>
          <w:p>
            <w:pPr>
              <w:widowControl/>
              <w:spacing w:line="380" w:lineRule="exact"/>
              <w:jc w:val="left"/>
              <w:rPr>
                <w:rFonts w:ascii="宋体" w:hAnsi="宋体" w:cs="宋体"/>
                <w:kern w:val="0"/>
                <w:szCs w:val="21"/>
              </w:rPr>
            </w:pPr>
            <w:r>
              <w:rPr>
                <w:rFonts w:hint="eastAsia" w:ascii="宋体" w:hAnsi="宋体" w:cs="宋体"/>
                <w:kern w:val="0"/>
                <w:szCs w:val="21"/>
              </w:rPr>
              <w:t>5、文字转换为短报文语句模拟培训。</w:t>
            </w:r>
          </w:p>
          <w:p>
            <w:pPr>
              <w:widowControl/>
              <w:spacing w:line="380" w:lineRule="exact"/>
              <w:jc w:val="left"/>
              <w:rPr>
                <w:rFonts w:ascii="宋体" w:hAnsi="宋体" w:cs="宋体"/>
                <w:b/>
                <w:bCs/>
                <w:kern w:val="0"/>
                <w:szCs w:val="21"/>
              </w:rPr>
            </w:pPr>
            <w:r>
              <w:rPr>
                <w:rFonts w:hint="eastAsia" w:ascii="宋体" w:hAnsi="宋体" w:cs="宋体"/>
                <w:b/>
                <w:bCs/>
                <w:kern w:val="0"/>
                <w:szCs w:val="21"/>
              </w:rPr>
              <w:t>▲十、卫星实物模型</w:t>
            </w:r>
          </w:p>
          <w:p>
            <w:pPr>
              <w:widowControl/>
              <w:spacing w:line="380" w:lineRule="exact"/>
              <w:jc w:val="left"/>
              <w:rPr>
                <w:rFonts w:ascii="宋体" w:hAnsi="宋体" w:cs="宋体"/>
                <w:kern w:val="0"/>
                <w:szCs w:val="21"/>
              </w:rPr>
            </w:pPr>
            <w:r>
              <w:rPr>
                <w:rFonts w:hint="eastAsia" w:ascii="宋体" w:hAnsi="宋体" w:cs="宋体"/>
                <w:kern w:val="0"/>
                <w:szCs w:val="21"/>
              </w:rPr>
              <w:t>为更深入的了解卫星模型，在本项目中需建设比例1：2的卫星实物模型，具体参数如下：</w:t>
            </w:r>
          </w:p>
          <w:p>
            <w:pPr>
              <w:pStyle w:val="101"/>
              <w:widowControl/>
              <w:spacing w:line="380" w:lineRule="exact"/>
              <w:ind w:left="427" w:leftChars="195" w:hanging="18" w:hangingChars="9"/>
              <w:jc w:val="left"/>
              <w:rPr>
                <w:rFonts w:ascii="宋体" w:hAnsi="宋体" w:cs="宋体"/>
                <w:kern w:val="0"/>
                <w:szCs w:val="21"/>
              </w:rPr>
            </w:pPr>
            <w:r>
              <w:rPr>
                <w:rFonts w:hint="eastAsia" w:ascii="宋体" w:hAnsi="宋体" w:cs="宋体"/>
                <w:kern w:val="0"/>
                <w:szCs w:val="21"/>
              </w:rPr>
              <w:t>卫星实物模型1套，比例1:2，</w:t>
            </w:r>
          </w:p>
          <w:p>
            <w:pPr>
              <w:pStyle w:val="101"/>
              <w:widowControl/>
              <w:spacing w:line="380" w:lineRule="exact"/>
              <w:ind w:left="427" w:leftChars="195" w:hanging="18" w:hangingChars="9"/>
              <w:jc w:val="left"/>
              <w:rPr>
                <w:rFonts w:ascii="宋体" w:hAnsi="宋体" w:cs="宋体"/>
                <w:kern w:val="0"/>
                <w:szCs w:val="21"/>
              </w:rPr>
            </w:pPr>
            <w:r>
              <w:rPr>
                <w:rFonts w:hint="eastAsia" w:ascii="宋体" w:hAnsi="宋体" w:cs="宋体"/>
                <w:kern w:val="0"/>
                <w:szCs w:val="21"/>
              </w:rPr>
              <w:t>三维软件构建三维数字模型，还原卫星外形，仿真程度达90%以上</w:t>
            </w:r>
          </w:p>
          <w:p>
            <w:pPr>
              <w:pStyle w:val="101"/>
              <w:widowControl/>
              <w:spacing w:line="380" w:lineRule="exact"/>
              <w:ind w:left="427" w:leftChars="195" w:hanging="18" w:hangingChars="9"/>
              <w:jc w:val="left"/>
              <w:rPr>
                <w:rFonts w:ascii="宋体" w:hAnsi="宋体" w:cs="宋体"/>
                <w:kern w:val="0"/>
                <w:szCs w:val="21"/>
              </w:rPr>
            </w:pPr>
            <w:r>
              <w:rPr>
                <w:rFonts w:hint="eastAsia" w:ascii="宋体" w:hAnsi="宋体" w:cs="宋体"/>
                <w:kern w:val="0"/>
                <w:szCs w:val="21"/>
              </w:rPr>
              <w:t>主体采用铝材钣金焊接加工，星体与太阳板部件、零件与零件之间是可拆卸、可更换的结构形式。星体组装时，各紧固件或各零件间，涂抹防松胶；具有结构的载荷，仿真作出载荷的运动原理，应具有活动时的质感，载荷的结构部分进行细化设计，模拟载荷的真实工作过程。活动部位为太阳翼板之间铰链部分，可实现折叠打开功能，零件与零件之间的配合符合机械装配要求，结构与星体主体框架在现场进行装配连接，颜色根据效果配色。各零件表面处理：采用喷涂处理。</w:t>
            </w:r>
          </w:p>
          <w:p>
            <w:pPr>
              <w:pStyle w:val="101"/>
              <w:widowControl/>
              <w:spacing w:line="380" w:lineRule="exact"/>
              <w:ind w:left="427" w:leftChars="195" w:hanging="18" w:hangingChars="9"/>
              <w:jc w:val="left"/>
              <w:rPr>
                <w:rFonts w:ascii="宋体" w:hAnsi="宋体" w:cs="宋体"/>
                <w:kern w:val="0"/>
                <w:szCs w:val="21"/>
              </w:rPr>
            </w:pPr>
            <w:r>
              <w:rPr>
                <w:rFonts w:hint="eastAsia" w:ascii="宋体" w:hAnsi="宋体" w:cs="宋体"/>
                <w:kern w:val="0"/>
                <w:szCs w:val="21"/>
              </w:rPr>
              <w:t>卫星底座为金属材质，须有一定重量，能够稳固支撑</w:t>
            </w:r>
          </w:p>
          <w:p>
            <w:pPr>
              <w:pStyle w:val="101"/>
              <w:widowControl/>
              <w:spacing w:line="380" w:lineRule="exact"/>
              <w:ind w:left="427" w:leftChars="195" w:hanging="18" w:hangingChars="9"/>
              <w:jc w:val="left"/>
              <w:rPr>
                <w:rFonts w:ascii="宋体" w:hAnsi="宋体" w:cs="宋体"/>
                <w:kern w:val="0"/>
                <w:szCs w:val="21"/>
              </w:rPr>
            </w:pPr>
            <w:r>
              <w:rPr>
                <w:rFonts w:hint="eastAsia" w:ascii="宋体" w:hAnsi="宋体" w:cs="宋体"/>
                <w:kern w:val="0"/>
                <w:szCs w:val="21"/>
              </w:rPr>
              <w:t>表面包覆：采用金色仿空间热控多层进行包覆，质感和视觉均符合正样效果。</w:t>
            </w:r>
          </w:p>
          <w:p>
            <w:pPr>
              <w:pStyle w:val="101"/>
              <w:widowControl/>
              <w:spacing w:line="380" w:lineRule="exact"/>
              <w:ind w:left="427" w:leftChars="195" w:hanging="18" w:hangingChars="9"/>
              <w:jc w:val="left"/>
              <w:rPr>
                <w:rFonts w:ascii="宋体" w:hAnsi="宋体" w:cs="宋体"/>
                <w:kern w:val="0"/>
                <w:szCs w:val="21"/>
              </w:rPr>
            </w:pPr>
            <w:r>
              <w:rPr>
                <w:rFonts w:hint="eastAsia" w:ascii="宋体" w:hAnsi="宋体" w:cs="宋体"/>
                <w:kern w:val="0"/>
                <w:szCs w:val="21"/>
              </w:rPr>
              <w:t>太阳翼板：主体采用金属框架（建议使用铝合金）；太阳翼电池块外观仿真，采用轻质材质。卫星外部载荷零件，容易损坏或容易掉落的部件，应备1～2件相应的备用件。</w:t>
            </w:r>
          </w:p>
          <w:p>
            <w:pPr>
              <w:widowControl/>
              <w:spacing w:line="380" w:lineRule="exact"/>
              <w:jc w:val="left"/>
              <w:rPr>
                <w:rFonts w:ascii="宋体" w:hAnsi="宋体" w:cs="宋体"/>
                <w:b/>
                <w:bCs/>
                <w:kern w:val="0"/>
                <w:szCs w:val="21"/>
              </w:rPr>
            </w:pPr>
            <w:r>
              <w:rPr>
                <w:rFonts w:hint="eastAsia" w:ascii="宋体" w:hAnsi="宋体" w:cs="宋体"/>
                <w:b/>
                <w:bCs/>
                <w:kern w:val="0"/>
                <w:szCs w:val="21"/>
              </w:rPr>
              <w:t>十一、北斗卫星导航创新应用</w:t>
            </w:r>
          </w:p>
          <w:p>
            <w:pPr>
              <w:widowControl/>
              <w:spacing w:line="380" w:lineRule="exact"/>
              <w:jc w:val="left"/>
              <w:rPr>
                <w:rFonts w:ascii="宋体" w:hAnsi="宋体" w:cs="宋体"/>
                <w:kern w:val="0"/>
                <w:szCs w:val="21"/>
              </w:rPr>
            </w:pPr>
            <w:r>
              <w:rPr>
                <w:rFonts w:hint="eastAsia" w:ascii="宋体" w:hAnsi="宋体" w:cs="宋体"/>
                <w:kern w:val="0"/>
                <w:szCs w:val="21"/>
              </w:rPr>
              <w:t>1.背景介绍。通过文字和视频的方式对整个实验的实验原理和背景进行详细介绍，让学生通过这些对该实验有一个初步的了解。</w:t>
            </w:r>
          </w:p>
          <w:p>
            <w:pPr>
              <w:widowControl/>
              <w:spacing w:line="380" w:lineRule="exact"/>
              <w:jc w:val="left"/>
              <w:rPr>
                <w:rFonts w:ascii="宋体" w:hAnsi="宋体" w:cs="宋体"/>
                <w:kern w:val="0"/>
                <w:szCs w:val="21"/>
              </w:rPr>
            </w:pPr>
            <w:r>
              <w:rPr>
                <w:rFonts w:hint="eastAsia" w:ascii="宋体" w:hAnsi="宋体" w:cs="宋体"/>
                <w:kern w:val="0"/>
                <w:szCs w:val="21"/>
              </w:rPr>
              <w:t>2.导航数据仿真模块。通过学生自行调整配置参数，让学生了解各类传感器的测量原理及仿真过程，掌握各类传感器的数据格式及解码方法。</w:t>
            </w:r>
          </w:p>
          <w:p>
            <w:pPr>
              <w:widowControl/>
              <w:spacing w:line="380" w:lineRule="exact"/>
              <w:jc w:val="left"/>
              <w:rPr>
                <w:rFonts w:ascii="宋体" w:hAnsi="宋体" w:cs="宋体"/>
                <w:kern w:val="0"/>
                <w:szCs w:val="21"/>
              </w:rPr>
            </w:pPr>
            <w:r>
              <w:rPr>
                <w:rFonts w:hint="eastAsia" w:ascii="宋体" w:hAnsi="宋体" w:cs="宋体"/>
                <w:kern w:val="0"/>
                <w:szCs w:val="21"/>
              </w:rPr>
              <w:t>3.导航数据解算模块。通过导航数据解算模块，了解LEO增强GNSS定位的原理及效果，针对复杂环境下的自动驾驶，认识到单一传感器的局限性，并对比不同数量传感器的增强效果等全部北斗/低轨星座增强的多传感器组合导航定位。</w:t>
            </w:r>
          </w:p>
          <w:p>
            <w:pPr>
              <w:widowControl/>
              <w:spacing w:line="380" w:lineRule="exact"/>
              <w:jc w:val="left"/>
              <w:rPr>
                <w:rFonts w:ascii="宋体" w:hAnsi="宋体" w:cs="宋体"/>
                <w:kern w:val="0"/>
                <w:szCs w:val="21"/>
              </w:rPr>
            </w:pPr>
            <w:r>
              <w:rPr>
                <w:rFonts w:hint="eastAsia" w:ascii="宋体" w:hAnsi="宋体" w:cs="宋体"/>
                <w:kern w:val="0"/>
                <w:szCs w:val="21"/>
              </w:rPr>
              <w:t>4.导航结果分析与评估。通过导航结果分析与评估模块前述操作中存在的问题，并在多次的仿真实训中积累经验直到正确完成全部实训过程，实现完整、真实情景化、包含数据处理闭环的实践教学过程。</w:t>
            </w:r>
          </w:p>
          <w:p>
            <w:pPr>
              <w:widowControl/>
              <w:spacing w:line="380" w:lineRule="exact"/>
              <w:jc w:val="left"/>
              <w:rPr>
                <w:rFonts w:ascii="宋体" w:hAnsi="宋体" w:cs="宋体"/>
                <w:b/>
                <w:bCs/>
                <w:kern w:val="0"/>
                <w:szCs w:val="21"/>
              </w:rPr>
            </w:pPr>
            <w:r>
              <w:rPr>
                <w:rFonts w:hint="eastAsia" w:ascii="宋体" w:hAnsi="宋体" w:cs="宋体"/>
                <w:b/>
                <w:bCs/>
                <w:kern w:val="0"/>
                <w:szCs w:val="21"/>
              </w:rPr>
              <w:t>十二、接收机虚拟拆装训练</w:t>
            </w:r>
          </w:p>
          <w:p>
            <w:pPr>
              <w:widowControl/>
              <w:spacing w:line="380" w:lineRule="exact"/>
              <w:jc w:val="left"/>
              <w:rPr>
                <w:rFonts w:ascii="宋体" w:hAnsi="宋体" w:cs="宋体"/>
                <w:kern w:val="0"/>
                <w:szCs w:val="21"/>
              </w:rPr>
            </w:pPr>
            <w:r>
              <w:rPr>
                <w:rFonts w:hint="eastAsia" w:ascii="宋体" w:hAnsi="宋体" w:cs="宋体"/>
                <w:kern w:val="0"/>
                <w:szCs w:val="21"/>
              </w:rPr>
              <w:t>北斗接收机是指用于接受北斗导航信号并解算位置、速度、时间等信息的设备。它是北斗卫星导航系统的核心组成部分，是实现导航定位、数据通信、时间同步等应用的重要设备。</w:t>
            </w:r>
          </w:p>
          <w:p>
            <w:pPr>
              <w:widowControl/>
              <w:spacing w:line="380" w:lineRule="exact"/>
              <w:jc w:val="left"/>
              <w:rPr>
                <w:rFonts w:ascii="宋体" w:hAnsi="宋体" w:cs="宋体"/>
                <w:kern w:val="0"/>
                <w:szCs w:val="21"/>
              </w:rPr>
            </w:pPr>
            <w:r>
              <w:rPr>
                <w:rFonts w:hint="eastAsia" w:ascii="宋体" w:hAnsi="宋体" w:cs="宋体"/>
                <w:kern w:val="0"/>
                <w:szCs w:val="21"/>
              </w:rPr>
              <w:t>且由于北斗导航广泛应用于农业农机、渔船、车载导航等各个方面，而这些设备的信号接收均离不开接收机。且对于职业院校的学生来说，极有可能从事于接收机的装配、维修等工作岗位，因此在拆装训练上选择北斗接收机进行讲解和学习，提高学生对接收机的设备组成、原理的了解，并掌握一定的接收机故障现象和维修方法，便于后续的工作确定及职业规划，提高学校就业率。</w:t>
            </w:r>
          </w:p>
          <w:p>
            <w:pPr>
              <w:widowControl/>
              <w:spacing w:line="380" w:lineRule="exact"/>
              <w:jc w:val="left"/>
              <w:rPr>
                <w:rFonts w:ascii="宋体" w:hAnsi="宋体" w:cs="宋体"/>
                <w:kern w:val="0"/>
                <w:szCs w:val="21"/>
              </w:rPr>
            </w:pPr>
            <w:r>
              <w:rPr>
                <w:rFonts w:hint="eastAsia" w:ascii="宋体" w:hAnsi="宋体" w:cs="宋体"/>
                <w:kern w:val="0"/>
                <w:szCs w:val="21"/>
              </w:rPr>
              <w:t>具体培训内容如下：</w:t>
            </w:r>
          </w:p>
          <w:p>
            <w:pPr>
              <w:widowControl/>
              <w:spacing w:line="380" w:lineRule="exact"/>
              <w:jc w:val="left"/>
              <w:rPr>
                <w:rFonts w:ascii="宋体" w:hAnsi="宋体" w:cs="宋体"/>
                <w:kern w:val="0"/>
                <w:szCs w:val="21"/>
              </w:rPr>
            </w:pPr>
            <w:r>
              <w:rPr>
                <w:rFonts w:hint="eastAsia" w:ascii="宋体" w:hAnsi="宋体" w:cs="宋体"/>
                <w:kern w:val="0"/>
                <w:szCs w:val="21"/>
              </w:rPr>
              <w:t>1、不同接收机的种类介绍、应用场景介绍，文字+视频为主</w:t>
            </w:r>
          </w:p>
          <w:p>
            <w:pPr>
              <w:widowControl/>
              <w:spacing w:line="380" w:lineRule="exact"/>
              <w:jc w:val="left"/>
              <w:rPr>
                <w:rFonts w:ascii="宋体" w:hAnsi="宋体" w:cs="宋体"/>
                <w:kern w:val="0"/>
                <w:szCs w:val="21"/>
              </w:rPr>
            </w:pPr>
            <w:r>
              <w:rPr>
                <w:rFonts w:hint="eastAsia" w:ascii="宋体" w:hAnsi="宋体" w:cs="宋体"/>
                <w:kern w:val="0"/>
                <w:szCs w:val="21"/>
              </w:rPr>
              <w:t>2、典型接收机功能模块及原理培训资源：以3D形式，学习介绍每个模块功能</w:t>
            </w:r>
          </w:p>
          <w:p>
            <w:pPr>
              <w:widowControl/>
              <w:spacing w:line="380" w:lineRule="exact"/>
              <w:jc w:val="left"/>
              <w:rPr>
                <w:rFonts w:ascii="宋体" w:hAnsi="宋体" w:cs="宋体"/>
                <w:kern w:val="0"/>
                <w:szCs w:val="21"/>
              </w:rPr>
            </w:pPr>
            <w:r>
              <w:rPr>
                <w:rFonts w:hint="eastAsia" w:ascii="宋体" w:hAnsi="宋体" w:cs="宋体"/>
                <w:kern w:val="0"/>
                <w:szCs w:val="21"/>
              </w:rPr>
              <w:t>3、典型接收机3D模型拆装训练资源：以3D形式，对接收机的部件进行拆装训练</w:t>
            </w:r>
          </w:p>
          <w:p>
            <w:pPr>
              <w:widowControl/>
              <w:spacing w:line="380" w:lineRule="exact"/>
              <w:jc w:val="left"/>
              <w:rPr>
                <w:rFonts w:ascii="宋体" w:hAnsi="宋体" w:cs="宋体"/>
                <w:b/>
                <w:bCs/>
                <w:kern w:val="0"/>
                <w:szCs w:val="21"/>
              </w:rPr>
            </w:pPr>
            <w:r>
              <w:rPr>
                <w:rFonts w:hint="eastAsia" w:ascii="宋体" w:hAnsi="宋体" w:cs="宋体"/>
                <w:b/>
                <w:bCs/>
                <w:kern w:val="0"/>
                <w:szCs w:val="21"/>
              </w:rPr>
              <w:t>▲十三、立方星虚拟拆装训练</w:t>
            </w:r>
          </w:p>
          <w:p>
            <w:pPr>
              <w:widowControl/>
              <w:spacing w:line="380" w:lineRule="exact"/>
              <w:jc w:val="left"/>
              <w:rPr>
                <w:rFonts w:ascii="宋体" w:hAnsi="宋体" w:cs="宋体"/>
                <w:kern w:val="0"/>
                <w:szCs w:val="21"/>
              </w:rPr>
            </w:pPr>
            <w:r>
              <w:rPr>
                <w:rFonts w:hint="eastAsia" w:ascii="宋体" w:hAnsi="宋体" w:cs="宋体"/>
                <w:kern w:val="0"/>
                <w:szCs w:val="21"/>
              </w:rPr>
              <w:t>卫星种类很多，按用途来划分，人造卫星可以分为通信卫星、气象卫星、侦察卫星、导航卫星、测地卫星、截击卫星等。按照发射质量划分为小卫星、中卫星和大卫星等。从虚拟培训的角度看，本次选择典型的立方星作为虚拟培训对象。</w:t>
            </w:r>
          </w:p>
          <w:p>
            <w:pPr>
              <w:widowControl/>
              <w:spacing w:line="380" w:lineRule="exact"/>
              <w:jc w:val="left"/>
              <w:rPr>
                <w:rFonts w:ascii="宋体" w:hAnsi="宋体" w:cs="宋体"/>
                <w:kern w:val="0"/>
                <w:szCs w:val="21"/>
              </w:rPr>
            </w:pPr>
            <w:r>
              <w:rPr>
                <w:rFonts w:hint="eastAsia" w:ascii="宋体" w:hAnsi="宋体" w:cs="宋体"/>
                <w:kern w:val="0"/>
                <w:szCs w:val="21"/>
              </w:rPr>
              <w:t>立方星是一种小卫星，广泛应用于大学的航天科学研究与教育领域。它具有成本低、功能密度大、研制周期短、入轨快等特点。立方星采用边长为10厘米的立方体构型，即1U（1个单元），其质量不超过1.33千克。根据任务需求，立方星的结构可以沿横纵轴扩展单元数目，形成更复杂的2U、3U、6U，甚至12U及以上构型。</w:t>
            </w:r>
          </w:p>
          <w:p>
            <w:pPr>
              <w:widowControl/>
              <w:spacing w:line="380" w:lineRule="exact"/>
              <w:jc w:val="left"/>
              <w:rPr>
                <w:rFonts w:ascii="宋体" w:hAnsi="宋体" w:cs="宋体"/>
                <w:kern w:val="0"/>
                <w:szCs w:val="21"/>
              </w:rPr>
            </w:pPr>
            <w:r>
              <w:rPr>
                <w:rFonts w:hint="eastAsia" w:ascii="宋体" w:hAnsi="宋体" w:cs="宋体"/>
                <w:kern w:val="0"/>
                <w:szCs w:val="21"/>
              </w:rPr>
              <w:t>立方星一般为小卫星，但麻雀虽小五脏俱全，其同样含有结构模块、通信模块、电源模块、热控模块、星务系统、姿态控制系统等内容，通过对立方星的学习，可大大提升学生对卫星的了解和熟悉程度</w:t>
            </w:r>
          </w:p>
          <w:p>
            <w:pPr>
              <w:widowControl/>
              <w:spacing w:line="380" w:lineRule="exact"/>
              <w:jc w:val="left"/>
              <w:rPr>
                <w:rFonts w:ascii="宋体" w:hAnsi="宋体" w:cs="宋体"/>
                <w:kern w:val="0"/>
                <w:szCs w:val="21"/>
              </w:rPr>
            </w:pPr>
            <w:r>
              <w:rPr>
                <w:rFonts w:hint="eastAsia" w:ascii="宋体" w:hAnsi="宋体" w:cs="宋体"/>
                <w:kern w:val="0"/>
                <w:szCs w:val="21"/>
              </w:rPr>
              <w:t>具体资源内容如下：</w:t>
            </w:r>
          </w:p>
          <w:p>
            <w:pPr>
              <w:widowControl/>
              <w:spacing w:line="380" w:lineRule="exact"/>
              <w:jc w:val="left"/>
              <w:rPr>
                <w:rFonts w:ascii="宋体" w:hAnsi="宋体" w:cs="宋体"/>
                <w:kern w:val="0"/>
                <w:szCs w:val="21"/>
              </w:rPr>
            </w:pPr>
            <w:r>
              <w:rPr>
                <w:rFonts w:hint="eastAsia" w:ascii="宋体" w:hAnsi="宋体" w:cs="宋体"/>
                <w:kern w:val="0"/>
                <w:szCs w:val="21"/>
              </w:rPr>
              <w:t>1、立方星介绍、应用场景介绍，文字+视频为主；</w:t>
            </w:r>
          </w:p>
          <w:p>
            <w:pPr>
              <w:widowControl/>
              <w:spacing w:line="380" w:lineRule="exact"/>
              <w:jc w:val="left"/>
              <w:rPr>
                <w:rFonts w:ascii="宋体" w:hAnsi="宋体" w:cs="宋体"/>
                <w:kern w:val="0"/>
                <w:szCs w:val="21"/>
              </w:rPr>
            </w:pPr>
            <w:r>
              <w:rPr>
                <w:rFonts w:hint="eastAsia" w:ascii="宋体" w:hAnsi="宋体" w:cs="宋体"/>
                <w:kern w:val="0"/>
                <w:szCs w:val="21"/>
              </w:rPr>
              <w:t>2、立方星典型功能模块及原理培训资源：以3D形式，学习介绍每个模块功能；</w:t>
            </w:r>
          </w:p>
          <w:p>
            <w:pPr>
              <w:widowControl/>
              <w:spacing w:line="380" w:lineRule="exact"/>
              <w:jc w:val="left"/>
              <w:rPr>
                <w:rFonts w:ascii="宋体" w:hAnsi="宋体" w:cs="宋体"/>
                <w:kern w:val="0"/>
                <w:szCs w:val="21"/>
              </w:rPr>
            </w:pPr>
            <w:r>
              <w:rPr>
                <w:rFonts w:hint="eastAsia" w:ascii="宋体" w:hAnsi="宋体" w:cs="宋体"/>
                <w:kern w:val="0"/>
                <w:szCs w:val="21"/>
              </w:rPr>
              <w:t>3、立方星3D模型拆装训练资源：以3D形式，对接收机的部件进行拆装训练；</w:t>
            </w:r>
          </w:p>
          <w:p>
            <w:pPr>
              <w:widowControl/>
              <w:spacing w:line="380" w:lineRule="exact"/>
              <w:jc w:val="left"/>
              <w:rPr>
                <w:rFonts w:ascii="宋体" w:hAnsi="宋体" w:cs="宋体"/>
                <w:kern w:val="0"/>
                <w:szCs w:val="21"/>
              </w:rPr>
            </w:pPr>
            <w:r>
              <w:rPr>
                <w:rFonts w:hint="eastAsia" w:ascii="宋体" w:hAnsi="宋体" w:cs="宋体"/>
                <w:kern w:val="0"/>
                <w:szCs w:val="21"/>
              </w:rPr>
              <w:t>4、立方星除虚拟模型外，还包括实物训练相关的材料，实物模型的具体参数如下：</w:t>
            </w:r>
          </w:p>
          <w:p>
            <w:pPr>
              <w:pStyle w:val="101"/>
              <w:widowControl/>
              <w:spacing w:line="380" w:lineRule="exact"/>
              <w:jc w:val="left"/>
              <w:rPr>
                <w:rFonts w:ascii="宋体" w:hAnsi="宋体" w:cs="宋体"/>
                <w:kern w:val="0"/>
                <w:szCs w:val="21"/>
              </w:rPr>
            </w:pPr>
            <w:r>
              <w:rPr>
                <w:rFonts w:hint="eastAsia" w:ascii="宋体" w:hAnsi="宋体" w:cs="宋体"/>
                <w:kern w:val="0"/>
                <w:szCs w:val="21"/>
              </w:rPr>
              <w:t>尺寸大小不低于2U</w:t>
            </w:r>
          </w:p>
          <w:p>
            <w:pPr>
              <w:pStyle w:val="101"/>
              <w:widowControl/>
              <w:spacing w:line="380" w:lineRule="exact"/>
              <w:jc w:val="left"/>
              <w:rPr>
                <w:rFonts w:ascii="宋体" w:hAnsi="宋体" w:cs="宋体"/>
                <w:kern w:val="0"/>
                <w:szCs w:val="21"/>
              </w:rPr>
            </w:pPr>
            <w:r>
              <w:rPr>
                <w:rFonts w:hint="eastAsia" w:ascii="宋体" w:hAnsi="宋体" w:cs="宋体"/>
                <w:kern w:val="0"/>
                <w:szCs w:val="21"/>
              </w:rPr>
              <w:t>通讯模块具有2.4GHz ESP32-CAM WiFi视频传输模块或5.8GHz 图传模块</w:t>
            </w:r>
          </w:p>
          <w:p>
            <w:pPr>
              <w:pStyle w:val="101"/>
              <w:widowControl/>
              <w:spacing w:line="380" w:lineRule="exact"/>
              <w:ind w:left="427" w:leftChars="195" w:hanging="18" w:hangingChars="9"/>
              <w:jc w:val="left"/>
              <w:rPr>
                <w:rFonts w:ascii="宋体" w:hAnsi="宋体" w:cs="宋体"/>
                <w:kern w:val="0"/>
                <w:szCs w:val="21"/>
              </w:rPr>
            </w:pPr>
            <w:r>
              <w:rPr>
                <w:rFonts w:hint="eastAsia" w:ascii="宋体" w:hAnsi="宋体" w:cs="宋体"/>
                <w:kern w:val="0"/>
                <w:szCs w:val="21"/>
              </w:rPr>
              <w:t>电源模块采用太阳能板、充电升压一体模块移动电源主板以及带保护板的3.7V聚合物锂电池。</w:t>
            </w:r>
          </w:p>
          <w:p>
            <w:pPr>
              <w:widowControl/>
              <w:spacing w:line="380" w:lineRule="exact"/>
              <w:jc w:val="left"/>
              <w:rPr>
                <w:rFonts w:ascii="宋体" w:hAnsi="宋体" w:cs="宋体"/>
                <w:b/>
                <w:bCs/>
                <w:kern w:val="0"/>
                <w:szCs w:val="21"/>
              </w:rPr>
            </w:pPr>
            <w:r>
              <w:rPr>
                <w:rFonts w:hint="eastAsia" w:ascii="宋体" w:hAnsi="宋体" w:cs="宋体"/>
                <w:b/>
                <w:bCs/>
                <w:kern w:val="0"/>
                <w:szCs w:val="21"/>
              </w:rPr>
              <w:t>十四、接收机故障检测与排除训练</w:t>
            </w:r>
          </w:p>
          <w:p>
            <w:pPr>
              <w:widowControl/>
              <w:spacing w:line="380" w:lineRule="exact"/>
              <w:jc w:val="left"/>
              <w:rPr>
                <w:rFonts w:ascii="宋体" w:hAnsi="宋体" w:cs="宋体"/>
                <w:kern w:val="0"/>
                <w:szCs w:val="21"/>
              </w:rPr>
            </w:pPr>
            <w:r>
              <w:rPr>
                <w:rFonts w:hint="eastAsia" w:ascii="宋体" w:hAnsi="宋体" w:cs="宋体"/>
                <w:kern w:val="0"/>
                <w:szCs w:val="21"/>
              </w:rPr>
              <w:t>第一部分完成了对接收机和立方星的培训讲解，从后续广信职院的学生就业来讲，接收机的故障检测与维修将会是一个重要的就业方向，因此针对接收的典型故障，进行检测与排故训练，提升学生操作技能。</w:t>
            </w:r>
          </w:p>
          <w:p>
            <w:pPr>
              <w:widowControl/>
              <w:spacing w:line="380" w:lineRule="exact"/>
              <w:jc w:val="left"/>
              <w:rPr>
                <w:rFonts w:ascii="宋体" w:hAnsi="宋体" w:cs="宋体"/>
                <w:kern w:val="0"/>
                <w:szCs w:val="21"/>
              </w:rPr>
            </w:pPr>
            <w:r>
              <w:rPr>
                <w:rFonts w:hint="eastAsia" w:ascii="宋体" w:hAnsi="宋体" w:cs="宋体"/>
                <w:kern w:val="0"/>
                <w:szCs w:val="21"/>
              </w:rPr>
              <w:t>接收机故障检测与排除训练的内容如下：</w:t>
            </w:r>
          </w:p>
          <w:p>
            <w:pPr>
              <w:widowControl/>
              <w:spacing w:line="380" w:lineRule="exact"/>
              <w:jc w:val="left"/>
              <w:rPr>
                <w:rFonts w:ascii="宋体" w:hAnsi="宋体" w:cs="宋体"/>
                <w:kern w:val="0"/>
                <w:szCs w:val="21"/>
              </w:rPr>
            </w:pPr>
            <w:r>
              <w:rPr>
                <w:rFonts w:hint="eastAsia" w:ascii="宋体" w:hAnsi="宋体" w:cs="宋体"/>
                <w:kern w:val="0"/>
                <w:szCs w:val="21"/>
              </w:rPr>
              <w:t>1、常见的接收机故障类型、产生原因及其影响；</w:t>
            </w:r>
          </w:p>
          <w:p>
            <w:pPr>
              <w:widowControl/>
              <w:spacing w:line="380" w:lineRule="exact"/>
              <w:jc w:val="left"/>
              <w:rPr>
                <w:rFonts w:ascii="宋体" w:hAnsi="宋体" w:cs="宋体"/>
                <w:kern w:val="0"/>
                <w:szCs w:val="21"/>
              </w:rPr>
            </w:pPr>
            <w:r>
              <w:rPr>
                <w:rFonts w:hint="eastAsia" w:ascii="宋体" w:hAnsi="宋体" w:cs="宋体"/>
                <w:kern w:val="0"/>
                <w:szCs w:val="21"/>
              </w:rPr>
              <w:t>2、故障诊断方法训练资源；</w:t>
            </w:r>
          </w:p>
          <w:p>
            <w:pPr>
              <w:widowControl/>
              <w:spacing w:line="380" w:lineRule="exact"/>
              <w:jc w:val="left"/>
              <w:rPr>
                <w:rFonts w:ascii="宋体" w:hAnsi="宋体" w:cs="宋体"/>
                <w:kern w:val="0"/>
                <w:szCs w:val="21"/>
              </w:rPr>
            </w:pPr>
            <w:r>
              <w:rPr>
                <w:rFonts w:hint="eastAsia" w:ascii="宋体" w:hAnsi="宋体" w:cs="宋体"/>
                <w:kern w:val="0"/>
                <w:szCs w:val="21"/>
              </w:rPr>
              <w:t>3、故障现象识别训练资源；</w:t>
            </w:r>
          </w:p>
          <w:p>
            <w:pPr>
              <w:widowControl/>
              <w:spacing w:line="380" w:lineRule="exact"/>
              <w:jc w:val="left"/>
              <w:rPr>
                <w:rFonts w:ascii="宋体" w:hAnsi="宋体" w:cs="宋体"/>
                <w:kern w:val="0"/>
                <w:szCs w:val="21"/>
              </w:rPr>
            </w:pPr>
            <w:r>
              <w:rPr>
                <w:rFonts w:hint="eastAsia" w:ascii="宋体" w:hAnsi="宋体" w:cs="宋体"/>
                <w:kern w:val="0"/>
                <w:szCs w:val="21"/>
              </w:rPr>
              <w:t>4、维修操作规范及故障修复方法训练资源。</w:t>
            </w:r>
          </w:p>
          <w:p>
            <w:pPr>
              <w:widowControl/>
              <w:spacing w:line="380" w:lineRule="exact"/>
              <w:jc w:val="left"/>
              <w:rPr>
                <w:rFonts w:ascii="宋体" w:hAnsi="宋体" w:cs="宋体"/>
                <w:b/>
                <w:bCs/>
                <w:kern w:val="0"/>
                <w:szCs w:val="21"/>
              </w:rPr>
            </w:pPr>
            <w:r>
              <w:rPr>
                <w:rFonts w:hint="eastAsia" w:ascii="宋体" w:hAnsi="宋体" w:cs="宋体"/>
                <w:b/>
                <w:bCs/>
                <w:kern w:val="0"/>
                <w:szCs w:val="21"/>
              </w:rPr>
              <w:t>十五、创新创业思维培养</w:t>
            </w:r>
          </w:p>
          <w:p>
            <w:pPr>
              <w:widowControl/>
              <w:spacing w:line="380" w:lineRule="exact"/>
              <w:jc w:val="left"/>
              <w:rPr>
                <w:rFonts w:ascii="宋体" w:hAnsi="宋体" w:cs="宋体"/>
                <w:kern w:val="0"/>
                <w:szCs w:val="21"/>
              </w:rPr>
            </w:pPr>
            <w:r>
              <w:rPr>
                <w:rFonts w:hint="eastAsia" w:ascii="宋体" w:hAnsi="宋体" w:cs="宋体"/>
                <w:kern w:val="0"/>
                <w:szCs w:val="21"/>
              </w:rPr>
              <w:t>导师可在系统中提出创业相关问题或发布相关任务，学生可以回复讨论。激发学生的创新思维，同时增加动手能力，实现能力和思维的双重提升。</w:t>
            </w:r>
          </w:p>
          <w:p>
            <w:pPr>
              <w:widowControl/>
              <w:spacing w:line="380" w:lineRule="exact"/>
              <w:jc w:val="left"/>
              <w:rPr>
                <w:rFonts w:ascii="宋体" w:hAnsi="宋体" w:cs="宋体"/>
                <w:b/>
                <w:bCs/>
                <w:kern w:val="0"/>
                <w:szCs w:val="21"/>
              </w:rPr>
            </w:pPr>
            <w:r>
              <w:rPr>
                <w:rFonts w:hint="eastAsia" w:ascii="宋体" w:hAnsi="宋体" w:cs="宋体"/>
                <w:b/>
                <w:bCs/>
                <w:kern w:val="0"/>
                <w:szCs w:val="21"/>
              </w:rPr>
              <w:t>十六、应用考核</w:t>
            </w:r>
          </w:p>
          <w:p>
            <w:pPr>
              <w:widowControl/>
              <w:spacing w:line="380" w:lineRule="exact"/>
              <w:jc w:val="left"/>
              <w:rPr>
                <w:rFonts w:ascii="宋体" w:hAnsi="宋体" w:cs="宋体"/>
                <w:kern w:val="0"/>
                <w:szCs w:val="21"/>
              </w:rPr>
            </w:pPr>
            <w:r>
              <w:rPr>
                <w:rFonts w:hint="eastAsia" w:ascii="宋体" w:hAnsi="宋体" w:cs="宋体"/>
                <w:kern w:val="0"/>
                <w:szCs w:val="21"/>
              </w:rPr>
              <w:t>1、基础知识掌握考核模块：构建选择、填空题库，充分考核对基础知识的掌握程度；</w:t>
            </w:r>
          </w:p>
          <w:p>
            <w:pPr>
              <w:widowControl/>
              <w:spacing w:line="380" w:lineRule="exact"/>
              <w:jc w:val="left"/>
              <w:rPr>
                <w:rFonts w:ascii="宋体" w:hAnsi="宋体" w:cs="宋体"/>
                <w:kern w:val="0"/>
                <w:szCs w:val="21"/>
              </w:rPr>
            </w:pPr>
            <w:r>
              <w:rPr>
                <w:rFonts w:hint="eastAsia" w:ascii="宋体" w:hAnsi="宋体" w:cs="宋体"/>
                <w:kern w:val="0"/>
                <w:szCs w:val="21"/>
              </w:rPr>
              <w:t>2、典型故障识别考核模块：以3D实际操作进行考核，根据操作步骤及内容确定分值；</w:t>
            </w:r>
          </w:p>
          <w:p>
            <w:pPr>
              <w:widowControl/>
              <w:spacing w:line="380" w:lineRule="exact"/>
              <w:jc w:val="left"/>
              <w:rPr>
                <w:rFonts w:ascii="宋体" w:hAnsi="宋体" w:cs="宋体"/>
                <w:kern w:val="0"/>
                <w:szCs w:val="21"/>
              </w:rPr>
            </w:pPr>
            <w:r>
              <w:rPr>
                <w:rFonts w:hint="eastAsia" w:ascii="宋体" w:hAnsi="宋体" w:cs="宋体"/>
                <w:kern w:val="0"/>
                <w:szCs w:val="21"/>
              </w:rPr>
              <w:t>3、故障修复操作模块：以3D实际操作进行考核，能准确找到并排除故障；</w:t>
            </w:r>
          </w:p>
          <w:p>
            <w:pPr>
              <w:widowControl/>
              <w:spacing w:line="380" w:lineRule="exact"/>
              <w:jc w:val="left"/>
              <w:rPr>
                <w:rFonts w:ascii="宋体" w:hAnsi="宋体" w:cs="宋体"/>
                <w:szCs w:val="21"/>
                <w:highlight w:val="yellow"/>
              </w:rPr>
            </w:pPr>
            <w:r>
              <w:rPr>
                <w:rFonts w:hint="eastAsia" w:ascii="宋体" w:hAnsi="宋体" w:cs="宋体"/>
                <w:kern w:val="0"/>
                <w:szCs w:val="21"/>
              </w:rPr>
              <w:t>4、考核系统开发：系统自动记录学生的交互操作，并依据设定分值整体评定学习人员的操作能力。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tcBorders>
              <w:left w:val="single" w:color="auto" w:sz="4" w:space="0"/>
              <w:right w:val="single" w:color="auto" w:sz="4" w:space="0"/>
            </w:tcBorders>
            <w:vAlign w:val="center"/>
          </w:tcPr>
          <w:p>
            <w:pPr>
              <w:spacing w:line="380" w:lineRule="exact"/>
              <w:jc w:val="center"/>
              <w:rPr>
                <w:rFonts w:ascii="宋体" w:hAnsi="宋体" w:cs="宋体"/>
                <w:szCs w:val="21"/>
                <w:highlight w:val="yellow"/>
              </w:rPr>
            </w:pPr>
            <w:r>
              <w:rPr>
                <w:rFonts w:hint="eastAsia" w:ascii="宋体" w:hAnsi="宋体" w:cs="宋体"/>
                <w:kern w:val="0"/>
                <w:szCs w:val="21"/>
              </w:rPr>
              <w:t>教学团队培训</w:t>
            </w: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highlight w:val="yellow"/>
              </w:rPr>
            </w:pPr>
            <w:r>
              <w:rPr>
                <w:rFonts w:hint="eastAsia" w:ascii="宋体" w:hAnsi="宋体" w:cs="宋体"/>
                <w:kern w:val="0"/>
                <w:szCs w:val="21"/>
              </w:rPr>
              <w:t>教学团队培训</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Cs w:val="21"/>
                <w:highlight w:val="yellow"/>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Cs w:val="21"/>
                <w:highlight w:val="yellow"/>
              </w:rPr>
            </w:pPr>
            <w:r>
              <w:rPr>
                <w:rFonts w:hint="eastAsia" w:ascii="宋体" w:hAnsi="宋体" w:cs="宋体"/>
                <w:bCs/>
                <w:kern w:val="0"/>
                <w:szCs w:val="21"/>
              </w:rPr>
              <w:t>项</w:t>
            </w:r>
          </w:p>
        </w:tc>
        <w:tc>
          <w:tcPr>
            <w:tcW w:w="5619" w:type="dxa"/>
            <w:tcBorders>
              <w:top w:val="single" w:color="auto" w:sz="4" w:space="0"/>
              <w:left w:val="single" w:color="auto" w:sz="4" w:space="0"/>
              <w:right w:val="single" w:color="auto" w:sz="4" w:space="0"/>
            </w:tcBorders>
          </w:tcPr>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1、完成建立校企教师团队建设制度1项；</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2、深化校企融合：引入企业高管、行业专家为外聘导师，不少于2人；</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3、专业教师研学：提供教师入企研学，不少于2次；</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▲4、产业大咖进校园：聘请外部专家，如北斗卫星核心研发人员、总师等，进校园培训，不少于1次。</w:t>
            </w:r>
          </w:p>
          <w:p>
            <w:pPr>
              <w:tabs>
                <w:tab w:val="left" w:pos="1531"/>
              </w:tabs>
              <w:spacing w:line="380" w:lineRule="exact"/>
              <w:rPr>
                <w:rFonts w:ascii="宋体" w:hAnsi="宋体" w:cs="宋体"/>
                <w:kern w:val="0"/>
                <w:szCs w:val="21"/>
              </w:rPr>
            </w:pPr>
            <w:r>
              <w:rPr>
                <w:rFonts w:hint="eastAsia" w:ascii="宋体" w:hAnsi="宋体" w:cs="宋体"/>
                <w:kern w:val="0"/>
                <w:szCs w:val="21"/>
              </w:rPr>
              <w:t>5、建设第三方职业技能等级认定服务站：双方依托包括但不限于导航与位置服务、物联网应用技术等专业教师资源，结合企业资源，建设职业技能等级认定服务站。企业配合学校提供解决方案，以学校为主体向当地人社部门提交职业技能等级认定服务机构立项申请等材料，完成整个申报、初审、立项、论证、修订等全流程环节，建成第三方职业技能等级认定站，企业积极协助学校运营工作站，使能提升学校在社会培训任务、学生持证毕业、教师专业升级、区域企业服务等方面的综合能力。企业协助学校申请数量不少于1个。</w:t>
            </w:r>
          </w:p>
          <w:p>
            <w:pPr>
              <w:tabs>
                <w:tab w:val="left" w:pos="1531"/>
              </w:tabs>
              <w:spacing w:line="380" w:lineRule="exact"/>
              <w:rPr>
                <w:rFonts w:ascii="宋体" w:hAnsi="宋体" w:cs="宋体"/>
                <w:kern w:val="0"/>
                <w:szCs w:val="21"/>
                <w:highlight w:val="yellow"/>
              </w:rPr>
            </w:pPr>
            <w:r>
              <w:rPr>
                <w:rFonts w:hint="eastAsia" w:ascii="宋体" w:hAnsi="宋体" w:cs="宋体"/>
                <w:kern w:val="0"/>
                <w:szCs w:val="21"/>
              </w:rPr>
              <w:t>6、以上2~5项，如因教学时间安排冲突等原因无法在本合同期内完成的，须在签订合同时向采购人出具完成工作内容及时限的有效承诺书。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jc w:val="right"/>
              <w:rPr>
                <w:rFonts w:ascii="宋体" w:hAnsi="宋体" w:cs="宋体"/>
                <w:b/>
                <w:szCs w:val="21"/>
              </w:rPr>
            </w:pPr>
          </w:p>
        </w:tc>
        <w:tc>
          <w:tcPr>
            <w:tcW w:w="1436" w:type="dxa"/>
            <w:gridSpan w:val="2"/>
            <w:tcBorders>
              <w:left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kern w:val="0"/>
                <w:szCs w:val="21"/>
              </w:rPr>
              <w:t>社会共享服务</w:t>
            </w:r>
          </w:p>
        </w:tc>
        <w:tc>
          <w:tcPr>
            <w:tcW w:w="9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kern w:val="0"/>
                <w:szCs w:val="21"/>
              </w:rPr>
              <w:t>社会共享服务</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Cs w:val="21"/>
              </w:rPr>
            </w:pPr>
            <w:r>
              <w:rPr>
                <w:rFonts w:hint="eastAsia" w:ascii="宋体" w:hAnsi="宋体" w:cs="宋体"/>
                <w:bCs/>
                <w:kern w:val="0"/>
                <w:szCs w:val="21"/>
              </w:rPr>
              <w:t>项</w:t>
            </w:r>
          </w:p>
        </w:tc>
        <w:tc>
          <w:tcPr>
            <w:tcW w:w="5619" w:type="dxa"/>
            <w:tcBorders>
              <w:top w:val="single" w:color="auto" w:sz="4" w:space="0"/>
              <w:left w:val="single" w:color="auto" w:sz="4" w:space="0"/>
              <w:right w:val="single" w:color="auto" w:sz="4" w:space="0"/>
            </w:tcBorders>
          </w:tcPr>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借助于虚拟仿真实训教学管理与共享平台，在服务于虚拟仿真教学实训与课程运行，同时兼顾资源管理与对外展示、社会服务。</w:t>
            </w:r>
          </w:p>
          <w:p>
            <w:pPr>
              <w:widowControl/>
              <w:tabs>
                <w:tab w:val="left" w:pos="1531"/>
              </w:tabs>
              <w:spacing w:line="380" w:lineRule="exact"/>
              <w:jc w:val="left"/>
              <w:rPr>
                <w:rFonts w:ascii="宋体" w:hAnsi="宋体" w:cs="宋体"/>
                <w:kern w:val="0"/>
                <w:szCs w:val="21"/>
              </w:rPr>
            </w:pPr>
            <w:r>
              <w:rPr>
                <w:rFonts w:hint="eastAsia" w:ascii="宋体" w:hAnsi="宋体" w:cs="宋体"/>
                <w:kern w:val="0"/>
                <w:szCs w:val="21"/>
              </w:rPr>
              <w:t>具体内容如下：</w:t>
            </w:r>
          </w:p>
          <w:p>
            <w:pPr>
              <w:tabs>
                <w:tab w:val="left" w:pos="1531"/>
              </w:tabs>
              <w:spacing w:line="380" w:lineRule="exact"/>
              <w:rPr>
                <w:rFonts w:ascii="宋体" w:hAnsi="宋体" w:cs="宋体"/>
                <w:kern w:val="0"/>
                <w:szCs w:val="21"/>
              </w:rPr>
            </w:pPr>
            <w:r>
              <w:rPr>
                <w:rFonts w:hint="eastAsia" w:ascii="宋体" w:hAnsi="宋体" w:cs="宋体"/>
                <w:kern w:val="0"/>
                <w:szCs w:val="21"/>
              </w:rPr>
              <w:t>1、结合开放大学平台，将虚拟构建内容（视频）科普输出，课时不低于20课时；</w:t>
            </w:r>
          </w:p>
          <w:p>
            <w:pPr>
              <w:tabs>
                <w:tab w:val="left" w:pos="1531"/>
              </w:tabs>
              <w:spacing w:line="380" w:lineRule="exact"/>
              <w:rPr>
                <w:rFonts w:ascii="宋体" w:hAnsi="宋体" w:cs="宋体"/>
                <w:kern w:val="0"/>
                <w:szCs w:val="21"/>
              </w:rPr>
            </w:pPr>
            <w:r>
              <w:rPr>
                <w:rFonts w:hint="eastAsia" w:ascii="宋体" w:hAnsi="宋体" w:cs="宋体"/>
                <w:kern w:val="0"/>
                <w:szCs w:val="21"/>
              </w:rPr>
              <w:t xml:space="preserve">2、结合广信职院平台，开放3D虚拟训练资源，实现区域内职业院校实训共享，课时不低于10课时； </w:t>
            </w:r>
          </w:p>
          <w:p>
            <w:pPr>
              <w:tabs>
                <w:tab w:val="left" w:pos="1531"/>
              </w:tabs>
              <w:spacing w:line="380" w:lineRule="exact"/>
              <w:rPr>
                <w:rFonts w:ascii="宋体" w:hAnsi="宋体" w:cs="宋体"/>
                <w:kern w:val="0"/>
                <w:szCs w:val="21"/>
              </w:rPr>
            </w:pPr>
            <w:r>
              <w:rPr>
                <w:rFonts w:hint="eastAsia" w:ascii="宋体" w:hAnsi="宋体" w:cs="宋体"/>
                <w:kern w:val="0"/>
                <w:szCs w:val="21"/>
              </w:rPr>
              <w:t>3、企业培训：利用虚拟训练平台，提供相关企业新员工培训，课时不低于10课时；</w:t>
            </w:r>
          </w:p>
          <w:p>
            <w:pPr>
              <w:tabs>
                <w:tab w:val="left" w:pos="1531"/>
              </w:tabs>
              <w:spacing w:line="380" w:lineRule="exact"/>
              <w:rPr>
                <w:rFonts w:ascii="宋体" w:hAnsi="宋体" w:cs="宋体"/>
                <w:kern w:val="0"/>
                <w:szCs w:val="21"/>
              </w:rPr>
            </w:pPr>
            <w:r>
              <w:rPr>
                <w:rFonts w:hint="eastAsia" w:ascii="宋体" w:hAnsi="宋体" w:cs="宋体"/>
                <w:kern w:val="0"/>
                <w:szCs w:val="21"/>
              </w:rPr>
              <w:t>4、社会培训：利用虚拟训练平台，提供相关社会人员培训，课时不低于5课时。</w:t>
            </w:r>
          </w:p>
          <w:p>
            <w:pPr>
              <w:tabs>
                <w:tab w:val="left" w:pos="1531"/>
              </w:tabs>
              <w:spacing w:line="380" w:lineRule="exact"/>
              <w:rPr>
                <w:rFonts w:ascii="宋体" w:hAnsi="宋体" w:cs="宋体"/>
                <w:kern w:val="0"/>
                <w:szCs w:val="21"/>
              </w:rPr>
            </w:pPr>
            <w:r>
              <w:rPr>
                <w:rFonts w:hint="eastAsia" w:ascii="宋体" w:hAnsi="宋体" w:cs="宋体"/>
                <w:kern w:val="0"/>
                <w:szCs w:val="21"/>
              </w:rPr>
              <w:t>5、以上1~4项，如因教学时间安排冲突等原因无法在本合同期内完成的，须在签订合同时向采购人出具完成工作内容及时限的有效承诺书。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19"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b/>
                <w:szCs w:val="21"/>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80" w:lineRule="exact"/>
              <w:jc w:val="center"/>
              <w:rPr>
                <w:rFonts w:ascii="宋体" w:hAnsi="宋体" w:cs="宋体"/>
                <w:szCs w:val="21"/>
              </w:rPr>
            </w:pPr>
            <w:r>
              <w:rPr>
                <w:rFonts w:hint="eastAsia" w:ascii="宋体" w:hAnsi="宋体" w:cs="宋体"/>
                <w:szCs w:val="21"/>
              </w:rPr>
              <w:t>合同履约期限及地点</w:t>
            </w:r>
          </w:p>
        </w:tc>
        <w:tc>
          <w:tcPr>
            <w:tcW w:w="8387" w:type="dxa"/>
            <w:gridSpan w:val="5"/>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80" w:lineRule="exact"/>
              <w:jc w:val="left"/>
              <w:rPr>
                <w:rFonts w:ascii="宋体" w:hAnsi="宋体" w:cs="宋体"/>
                <w:szCs w:val="21"/>
              </w:rPr>
            </w:pPr>
            <w:r>
              <w:rPr>
                <w:rFonts w:hint="eastAsia" w:ascii="宋体" w:hAnsi="宋体" w:cs="宋体"/>
                <w:szCs w:val="21"/>
              </w:rPr>
              <w:t>1、合同履约期限：自合同签订起3个月内；</w:t>
            </w:r>
          </w:p>
          <w:p>
            <w:pPr>
              <w:tabs>
                <w:tab w:val="left" w:pos="180"/>
                <w:tab w:val="left" w:pos="1620"/>
              </w:tabs>
              <w:spacing w:line="380" w:lineRule="exact"/>
              <w:jc w:val="left"/>
              <w:rPr>
                <w:rFonts w:ascii="宋体" w:hAnsi="宋体" w:cs="宋体"/>
                <w:szCs w:val="21"/>
              </w:rPr>
            </w:pPr>
            <w:r>
              <w:rPr>
                <w:rFonts w:hint="eastAsia" w:ascii="宋体" w:hAnsi="宋体" w:cs="宋体"/>
                <w:szCs w:val="21"/>
              </w:rPr>
              <w:t>2、地点：广西南宁市广西信息职业技术学院内。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center"/>
              <w:rPr>
                <w:rFonts w:ascii="宋体" w:hAnsi="宋体" w:cs="宋体"/>
                <w:szCs w:val="21"/>
              </w:rPr>
            </w:pPr>
            <w:r>
              <w:rPr>
                <w:rFonts w:hint="eastAsia" w:ascii="宋体" w:hAnsi="宋体" w:cs="宋体"/>
                <w:b/>
                <w:bCs/>
                <w:szCs w:val="21"/>
              </w:rPr>
              <w:t>质保期</w:t>
            </w:r>
          </w:p>
        </w:tc>
        <w:tc>
          <w:tcPr>
            <w:tcW w:w="838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textAlignment w:val="top"/>
              <w:rPr>
                <w:rFonts w:ascii="宋体" w:hAnsi="宋体" w:cs="宋体"/>
                <w:szCs w:val="21"/>
              </w:rPr>
            </w:pPr>
            <w:r>
              <w:rPr>
                <w:rFonts w:hint="eastAsia" w:ascii="宋体" w:hAnsi="宋体" w:cs="宋体"/>
                <w:szCs w:val="21"/>
              </w:rPr>
              <w:t>1、除另行特别注明外，按国家有关产品“三包”规定执行“三包”。质保期自交货并验收合格之日起计不少于一年（若产品生产厂家质保期超过此年限的，合同履行过程中按厂家规定执行，并提供终身维护支持；若成交供应商质保期承诺优于产品生产厂家质保年限的，以成交供应商承诺执行）。</w:t>
            </w:r>
          </w:p>
          <w:p>
            <w:pPr>
              <w:snapToGrid w:val="0"/>
              <w:spacing w:line="380" w:lineRule="exact"/>
              <w:textAlignment w:val="top"/>
              <w:rPr>
                <w:rFonts w:ascii="宋体" w:hAnsi="宋体" w:cs="宋体"/>
                <w:szCs w:val="21"/>
              </w:rPr>
            </w:pPr>
            <w:r>
              <w:rPr>
                <w:rFonts w:hint="eastAsia" w:ascii="宋体" w:hAnsi="宋体" w:cs="宋体"/>
                <w:szCs w:val="21"/>
              </w:rPr>
              <w:t>2、质保期内负责上门服务、维修、更换损坏的设备和配件及对产品进行维护和保养、货物质量事故和质量缺陷由成交供应商无偿保修。所有设备和配件提供终身维修。</w:t>
            </w:r>
          </w:p>
          <w:p>
            <w:pPr>
              <w:widowControl/>
              <w:snapToGrid w:val="0"/>
              <w:spacing w:line="380" w:lineRule="exact"/>
              <w:textAlignment w:val="center"/>
              <w:rPr>
                <w:rFonts w:ascii="宋体" w:hAnsi="宋体" w:cs="宋体"/>
                <w:szCs w:val="21"/>
              </w:rPr>
            </w:pPr>
            <w:r>
              <w:rPr>
                <w:rFonts w:hint="eastAsia" w:ascii="宋体" w:hAnsi="宋体" w:cs="宋体"/>
                <w:szCs w:val="21"/>
              </w:rPr>
              <w:t>3、成交供应商提供的货物在质量保证期内，因设计、工艺或材料的缺陷和其他质量问题造成的问题，由成交供应商负责；因采购人人员人为因素造成的问题，由成交供应商负责维保，相关费用与采购人进行协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textAlignment w:val="center"/>
              <w:rPr>
                <w:rFonts w:ascii="宋体" w:hAnsi="宋体" w:cs="宋体"/>
                <w:szCs w:val="21"/>
              </w:rPr>
            </w:pPr>
            <w:r>
              <w:rPr>
                <w:rFonts w:hint="eastAsia" w:ascii="宋体" w:hAnsi="宋体" w:cs="宋体"/>
                <w:b/>
                <w:bCs/>
                <w:szCs w:val="21"/>
              </w:rPr>
              <w:t>售后技术服务要求</w:t>
            </w:r>
          </w:p>
        </w:tc>
        <w:tc>
          <w:tcPr>
            <w:tcW w:w="838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textAlignment w:val="top"/>
              <w:rPr>
                <w:rFonts w:ascii="宋体" w:hAnsi="宋体" w:cs="宋体"/>
                <w:szCs w:val="21"/>
              </w:rPr>
            </w:pPr>
            <w:r>
              <w:rPr>
                <w:rFonts w:hint="eastAsia" w:ascii="宋体" w:hAnsi="宋体" w:cs="宋体"/>
                <w:szCs w:val="21"/>
              </w:rPr>
              <w:t>除另行特别注明外，售后服务要求如下：</w:t>
            </w:r>
          </w:p>
          <w:p>
            <w:pPr>
              <w:snapToGrid w:val="0"/>
              <w:spacing w:line="380" w:lineRule="exact"/>
              <w:textAlignment w:val="top"/>
              <w:rPr>
                <w:rFonts w:ascii="宋体" w:hAnsi="宋体" w:cs="宋体"/>
                <w:szCs w:val="21"/>
              </w:rPr>
            </w:pPr>
            <w:r>
              <w:rPr>
                <w:rFonts w:hint="eastAsia" w:ascii="宋体" w:hAnsi="宋体" w:cs="宋体"/>
                <w:szCs w:val="21"/>
              </w:rPr>
              <w:t>1、成交供应商按采购人指定的地点负责送货上门、安装、调试，负责培训使用人员和维护人员。</w:t>
            </w:r>
          </w:p>
          <w:p>
            <w:pPr>
              <w:snapToGrid w:val="0"/>
              <w:spacing w:line="380" w:lineRule="exact"/>
              <w:textAlignment w:val="top"/>
              <w:rPr>
                <w:rFonts w:ascii="宋体" w:hAnsi="宋体" w:cs="宋体"/>
                <w:szCs w:val="21"/>
              </w:rPr>
            </w:pPr>
            <w:r>
              <w:rPr>
                <w:rFonts w:hint="eastAsia" w:ascii="宋体" w:hAnsi="宋体" w:cs="宋体"/>
                <w:szCs w:val="21"/>
              </w:rPr>
              <w:t>2、成交供应商必须提供安装、配线以及软硬件的测试和调整服务。安装设备之前，应先对用户人员进行现场培训。开始安装时，应让用户的硬软件和系统集成人员参与安装、检测和排除故障。成交供应商在施工、安装、调试等全过程中接受用户的监督。</w:t>
            </w:r>
          </w:p>
          <w:p>
            <w:pPr>
              <w:snapToGrid w:val="0"/>
              <w:spacing w:line="380" w:lineRule="exact"/>
              <w:textAlignment w:val="top"/>
              <w:rPr>
                <w:rFonts w:ascii="宋体" w:hAnsi="宋体" w:cs="宋体"/>
                <w:szCs w:val="21"/>
              </w:rPr>
            </w:pPr>
            <w:r>
              <w:rPr>
                <w:rFonts w:hint="eastAsia" w:ascii="宋体" w:hAnsi="宋体" w:cs="宋体"/>
                <w:szCs w:val="21"/>
              </w:rPr>
              <w:t>3、在成交供应商承诺的保修期内，设备保修包换所需要的配件均是原厂原装，不得使用兼容货物。</w:t>
            </w:r>
          </w:p>
          <w:p>
            <w:pPr>
              <w:snapToGrid w:val="0"/>
              <w:spacing w:line="380" w:lineRule="exact"/>
              <w:textAlignment w:val="top"/>
              <w:rPr>
                <w:rFonts w:ascii="宋体" w:hAnsi="宋体" w:cs="宋体"/>
                <w:szCs w:val="21"/>
              </w:rPr>
            </w:pPr>
            <w:r>
              <w:rPr>
                <w:rFonts w:hint="eastAsia" w:ascii="宋体" w:hAnsi="宋体" w:cs="宋体"/>
                <w:szCs w:val="21"/>
              </w:rPr>
              <w:t>4、售后服务按厂家承诺执行。超过厂家承诺标准的，按成交供应商提交的售后服务承诺书执行。成交供应商应定期回访以及对设备进行维护；质保期后需提供维修维护服务。</w:t>
            </w:r>
          </w:p>
          <w:p>
            <w:pPr>
              <w:snapToGrid w:val="0"/>
              <w:spacing w:line="380" w:lineRule="exact"/>
              <w:textAlignment w:val="top"/>
              <w:rPr>
                <w:rFonts w:ascii="宋体" w:hAnsi="宋体" w:cs="宋体"/>
                <w:szCs w:val="21"/>
              </w:rPr>
            </w:pPr>
            <w:r>
              <w:rPr>
                <w:rFonts w:hint="eastAsia" w:ascii="宋体" w:hAnsi="宋体" w:cs="宋体"/>
                <w:szCs w:val="21"/>
              </w:rPr>
              <w:t>5、成交供应商在质量保证期内应当为采购人提供以下技术支持和服务：</w:t>
            </w:r>
          </w:p>
          <w:p>
            <w:pPr>
              <w:snapToGrid w:val="0"/>
              <w:spacing w:line="380" w:lineRule="exact"/>
              <w:textAlignment w:val="top"/>
              <w:rPr>
                <w:rFonts w:ascii="宋体" w:hAnsi="宋体" w:cs="宋体"/>
                <w:szCs w:val="21"/>
              </w:rPr>
            </w:pPr>
            <w:r>
              <w:rPr>
                <w:rFonts w:hint="eastAsia" w:ascii="宋体" w:hAnsi="宋体" w:cs="宋体"/>
                <w:szCs w:val="21"/>
              </w:rPr>
              <w:t>5.1电话咨询</w:t>
            </w:r>
          </w:p>
          <w:p>
            <w:pPr>
              <w:snapToGrid w:val="0"/>
              <w:spacing w:line="380" w:lineRule="exact"/>
              <w:textAlignment w:val="top"/>
              <w:rPr>
                <w:rFonts w:ascii="宋体" w:hAnsi="宋体" w:cs="宋体"/>
                <w:szCs w:val="21"/>
              </w:rPr>
            </w:pPr>
            <w:r>
              <w:rPr>
                <w:rFonts w:hint="eastAsia" w:ascii="宋体" w:hAnsi="宋体" w:cs="宋体"/>
                <w:szCs w:val="21"/>
              </w:rPr>
              <w:t>成交供应商应当为采购人提供技术援助电话，解答采购人在使用中遇到的问题，及时为采购人提出解决问题的建议。</w:t>
            </w:r>
          </w:p>
          <w:p>
            <w:pPr>
              <w:snapToGrid w:val="0"/>
              <w:spacing w:line="380" w:lineRule="exact"/>
              <w:textAlignment w:val="top"/>
              <w:rPr>
                <w:rFonts w:ascii="宋体" w:hAnsi="宋体" w:cs="宋体"/>
                <w:szCs w:val="21"/>
              </w:rPr>
            </w:pPr>
            <w:r>
              <w:rPr>
                <w:rFonts w:hint="eastAsia" w:ascii="宋体" w:hAnsi="宋体" w:cs="宋体"/>
                <w:szCs w:val="21"/>
              </w:rPr>
              <w:t>5.2服务响应时间</w:t>
            </w:r>
          </w:p>
          <w:p>
            <w:pPr>
              <w:snapToGrid w:val="0"/>
              <w:spacing w:line="380" w:lineRule="exact"/>
              <w:textAlignment w:val="top"/>
              <w:rPr>
                <w:rFonts w:ascii="宋体" w:hAnsi="宋体" w:cs="宋体"/>
                <w:szCs w:val="21"/>
              </w:rPr>
            </w:pPr>
            <w:r>
              <w:rPr>
                <w:rFonts w:hint="eastAsia" w:ascii="宋体" w:hAnsi="宋体" w:cs="宋体"/>
                <w:szCs w:val="21"/>
              </w:rPr>
              <w:t>质保期内，用户遇到使用或技术问题，电话咨询不能解决的，成交供应商应在8小时内到达现场进行处理，到达现场后3小时内排除故障，恢复正常使用。未能修复的直接更换，保证采购人正常使用，产生的一切费用由成交供应商承担。</w:t>
            </w:r>
          </w:p>
          <w:p>
            <w:pPr>
              <w:snapToGrid w:val="0"/>
              <w:spacing w:line="380" w:lineRule="exact"/>
              <w:textAlignment w:val="top"/>
              <w:rPr>
                <w:rFonts w:ascii="宋体" w:hAnsi="宋体" w:cs="宋体"/>
                <w:szCs w:val="21"/>
              </w:rPr>
            </w:pPr>
            <w:r>
              <w:rPr>
                <w:rFonts w:hint="eastAsia" w:ascii="宋体" w:hAnsi="宋体" w:cs="宋体"/>
                <w:szCs w:val="21"/>
              </w:rPr>
              <w:t>5.3技术升级</w:t>
            </w:r>
          </w:p>
          <w:p>
            <w:pPr>
              <w:snapToGrid w:val="0"/>
              <w:spacing w:line="380" w:lineRule="exact"/>
              <w:textAlignment w:val="top"/>
              <w:rPr>
                <w:rFonts w:ascii="宋体" w:hAnsi="宋体" w:cs="宋体"/>
                <w:szCs w:val="21"/>
              </w:rPr>
            </w:pPr>
            <w:r>
              <w:rPr>
                <w:rFonts w:hint="eastAsia" w:ascii="宋体" w:hAnsi="宋体" w:cs="宋体"/>
                <w:szCs w:val="21"/>
              </w:rPr>
              <w:t>在质保期内，如果成交供应商的产品或服务升级，成交供应商应及时通知采购人，如采购人有相应要求，成交供应商应对采购人购买的产品或服务进行升级。</w:t>
            </w:r>
          </w:p>
          <w:p>
            <w:pPr>
              <w:snapToGrid w:val="0"/>
              <w:spacing w:line="380" w:lineRule="exact"/>
              <w:textAlignment w:val="top"/>
              <w:rPr>
                <w:rFonts w:ascii="宋体" w:hAnsi="宋体" w:cs="宋体"/>
                <w:szCs w:val="21"/>
              </w:rPr>
            </w:pPr>
            <w:r>
              <w:rPr>
                <w:rFonts w:hint="eastAsia" w:ascii="宋体" w:hAnsi="宋体" w:cs="宋体"/>
                <w:szCs w:val="21"/>
              </w:rPr>
              <w:t>6、质保期外服务要求</w:t>
            </w:r>
          </w:p>
          <w:p>
            <w:pPr>
              <w:snapToGrid w:val="0"/>
              <w:spacing w:line="380" w:lineRule="exact"/>
              <w:textAlignment w:val="top"/>
              <w:rPr>
                <w:rFonts w:ascii="宋体" w:hAnsi="宋体" w:cs="宋体"/>
                <w:szCs w:val="21"/>
              </w:rPr>
            </w:pPr>
            <w:r>
              <w:rPr>
                <w:rFonts w:hint="eastAsia" w:ascii="宋体" w:hAnsi="宋体" w:cs="宋体"/>
                <w:szCs w:val="21"/>
              </w:rPr>
              <w:t>6.1质量保证期过后，成交供应商应同样无偿提供电话咨询服务，并应承诺提供产品或服务上门维护。</w:t>
            </w:r>
          </w:p>
          <w:p>
            <w:pPr>
              <w:snapToGrid w:val="0"/>
              <w:spacing w:line="380" w:lineRule="exact"/>
              <w:textAlignment w:val="top"/>
              <w:rPr>
                <w:rFonts w:ascii="宋体" w:hAnsi="宋体" w:cs="宋体"/>
                <w:szCs w:val="21"/>
              </w:rPr>
            </w:pPr>
            <w:r>
              <w:rPr>
                <w:rFonts w:hint="eastAsia" w:ascii="宋体" w:hAnsi="宋体" w:cs="宋体"/>
                <w:szCs w:val="21"/>
              </w:rPr>
              <w:t>6.2质量保证期过后，采购人需要继续由原成交供应商提供售后服务的，成交供应商和制造商应以优惠价格提供售后服务。</w:t>
            </w:r>
          </w:p>
          <w:p>
            <w:pPr>
              <w:snapToGrid w:val="0"/>
              <w:spacing w:line="380" w:lineRule="exact"/>
              <w:textAlignment w:val="top"/>
              <w:rPr>
                <w:rFonts w:ascii="宋体" w:hAnsi="宋体" w:cs="宋体"/>
                <w:szCs w:val="21"/>
              </w:rPr>
            </w:pPr>
            <w:r>
              <w:rPr>
                <w:rFonts w:hint="eastAsia" w:ascii="宋体" w:hAnsi="宋体" w:cs="宋体"/>
                <w:szCs w:val="21"/>
              </w:rPr>
              <w:t>7、备品备件及易损件</w:t>
            </w:r>
          </w:p>
          <w:p>
            <w:pPr>
              <w:snapToGrid w:val="0"/>
              <w:spacing w:line="380" w:lineRule="exact"/>
              <w:textAlignment w:val="top"/>
              <w:rPr>
                <w:rFonts w:ascii="宋体" w:hAnsi="宋体" w:cs="宋体"/>
                <w:szCs w:val="21"/>
              </w:rPr>
            </w:pPr>
            <w:r>
              <w:rPr>
                <w:rFonts w:hint="eastAsia" w:ascii="宋体" w:hAnsi="宋体" w:cs="宋体"/>
                <w:szCs w:val="21"/>
              </w:rPr>
              <w:t>成交供应商售后服务中，维修使用的备品备件及易损件应为原厂配件，未经采购人同意不得使用非原厂配件。</w:t>
            </w:r>
          </w:p>
          <w:p>
            <w:pPr>
              <w:widowControl/>
              <w:snapToGrid w:val="0"/>
              <w:spacing w:line="380" w:lineRule="exact"/>
              <w:textAlignment w:val="center"/>
              <w:rPr>
                <w:rFonts w:ascii="宋体" w:hAnsi="宋体" w:cs="宋体"/>
                <w:szCs w:val="21"/>
              </w:rPr>
            </w:pPr>
            <w:r>
              <w:rPr>
                <w:rFonts w:hint="eastAsia" w:ascii="宋体" w:hAnsi="宋体" w:cs="宋体"/>
                <w:szCs w:val="21"/>
              </w:rPr>
              <w:t>8、培训要求：成交供应商对其提供产品或服务的使用和操作应尽培训义务。成交供应商应提供对本项目的使用单位进行培训服务，涉及的相关费用应计算在项目报价内，并使使用人员能独立、熟练操作设备。要求竞标时在响应文件中提供详细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付款条件</w:t>
            </w:r>
          </w:p>
        </w:tc>
        <w:tc>
          <w:tcPr>
            <w:tcW w:w="8387" w:type="dxa"/>
            <w:gridSpan w:val="5"/>
            <w:tcBorders>
              <w:top w:val="single" w:color="auto" w:sz="4" w:space="0"/>
              <w:left w:val="single" w:color="auto" w:sz="4" w:space="0"/>
              <w:bottom w:val="single" w:color="auto" w:sz="4" w:space="0"/>
              <w:right w:val="single" w:color="auto" w:sz="4" w:space="0"/>
            </w:tcBorders>
            <w:vAlign w:val="center"/>
          </w:tcPr>
          <w:p>
            <w:pPr>
              <w:numPr>
                <w:ilvl w:val="0"/>
                <w:numId w:val="6"/>
              </w:numPr>
              <w:spacing w:line="380" w:lineRule="exact"/>
              <w:textAlignment w:val="top"/>
              <w:rPr>
                <w:rFonts w:ascii="宋体" w:hAnsi="宋体" w:cs="宋体"/>
                <w:szCs w:val="21"/>
              </w:rPr>
            </w:pPr>
            <w:r>
              <w:rPr>
                <w:rFonts w:hint="eastAsia" w:ascii="宋体" w:hAnsi="宋体" w:cs="宋体"/>
                <w:szCs w:val="21"/>
              </w:rPr>
              <w:t>签订合同后10个工作日内支付合同总金额的30%作为预付款，(成交供应商须先提供符合采购人要求的发票)，所有货物送至采购人指定地点、安装调试完毕并验收合格后，成交供应商开具符合采购人要求的发票给采购人，采购人收到发票后在20个工作日内向成交供应商支付合同款剩余的70%。</w:t>
            </w:r>
          </w:p>
          <w:p>
            <w:pPr>
              <w:tabs>
                <w:tab w:val="left" w:pos="180"/>
                <w:tab w:val="left" w:pos="1620"/>
              </w:tabs>
              <w:spacing w:line="380" w:lineRule="exact"/>
              <w:jc w:val="left"/>
              <w:rPr>
                <w:rFonts w:ascii="宋体" w:hAnsi="宋体" w:cs="宋体"/>
                <w:szCs w:val="21"/>
              </w:rPr>
            </w:pPr>
            <w:r>
              <w:rPr>
                <w:rFonts w:hint="eastAsia" w:ascii="宋体" w:hAnsi="宋体" w:cs="宋体"/>
                <w:szCs w:val="21"/>
              </w:rPr>
              <w:t>2、采购人未收到发票的，有权不予支付相应款项并不承担延迟付款责任。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szCs w:val="21"/>
              </w:rPr>
            </w:pPr>
            <w:r>
              <w:rPr>
                <w:rFonts w:hint="eastAsia" w:ascii="宋体" w:hAnsi="宋体" w:cs="宋体"/>
                <w:b/>
                <w:bCs/>
                <w:szCs w:val="21"/>
              </w:rPr>
              <w:t>报价及其他</w:t>
            </w:r>
          </w:p>
          <w:p>
            <w:pPr>
              <w:widowControl/>
              <w:snapToGrid w:val="0"/>
              <w:spacing w:line="380" w:lineRule="exact"/>
              <w:jc w:val="center"/>
              <w:textAlignment w:val="center"/>
              <w:rPr>
                <w:rFonts w:ascii="宋体" w:hAnsi="宋体" w:cs="宋体"/>
                <w:szCs w:val="21"/>
              </w:rPr>
            </w:pPr>
            <w:r>
              <w:rPr>
                <w:rFonts w:hint="eastAsia" w:ascii="宋体" w:hAnsi="宋体" w:cs="宋体"/>
                <w:b/>
                <w:bCs/>
                <w:szCs w:val="21"/>
              </w:rPr>
              <w:t>要求</w:t>
            </w:r>
          </w:p>
        </w:tc>
        <w:tc>
          <w:tcPr>
            <w:tcW w:w="838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textAlignment w:val="top"/>
              <w:rPr>
                <w:rFonts w:ascii="宋体" w:hAnsi="宋体" w:cs="宋体"/>
                <w:szCs w:val="21"/>
              </w:rPr>
            </w:pPr>
            <w:r>
              <w:rPr>
                <w:rFonts w:hint="eastAsia" w:ascii="宋体" w:hAnsi="宋体" w:cs="宋体"/>
                <w:szCs w:val="21"/>
              </w:rPr>
              <w:t>1、本项目竞标人报价为采购人指定地点的现场交货价，竞标人自行考虑完成项目所需的辅材、杂配件等数量，竞标人报价中应包含全部内容，成交后采购人不再另行支付额外费用。包括但不限于：</w:t>
            </w:r>
          </w:p>
          <w:p>
            <w:pPr>
              <w:snapToGrid w:val="0"/>
              <w:spacing w:line="380" w:lineRule="exact"/>
              <w:textAlignment w:val="top"/>
              <w:rPr>
                <w:rFonts w:ascii="宋体" w:hAnsi="宋体" w:cs="宋体"/>
                <w:szCs w:val="21"/>
              </w:rPr>
            </w:pPr>
            <w:r>
              <w:rPr>
                <w:rFonts w:hint="eastAsia" w:ascii="宋体" w:hAnsi="宋体" w:cs="宋体"/>
                <w:szCs w:val="21"/>
              </w:rPr>
              <w:t>（1）货物的价格：包括货款、杂配件、安装调试费、履约验收费；</w:t>
            </w:r>
          </w:p>
          <w:p>
            <w:pPr>
              <w:snapToGrid w:val="0"/>
              <w:spacing w:line="380" w:lineRule="exact"/>
              <w:textAlignment w:val="top"/>
              <w:rPr>
                <w:rFonts w:ascii="宋体" w:hAnsi="宋体" w:cs="宋体"/>
                <w:szCs w:val="21"/>
              </w:rPr>
            </w:pPr>
            <w:r>
              <w:rPr>
                <w:rFonts w:hint="eastAsia" w:ascii="宋体" w:hAnsi="宋体" w:cs="宋体"/>
                <w:szCs w:val="21"/>
              </w:rPr>
              <w:t>（2）货物的标准附件、备品备件、专用工具的价格；</w:t>
            </w:r>
          </w:p>
          <w:p>
            <w:pPr>
              <w:snapToGrid w:val="0"/>
              <w:spacing w:line="380" w:lineRule="exact"/>
              <w:textAlignment w:val="top"/>
              <w:rPr>
                <w:rFonts w:ascii="宋体" w:hAnsi="宋体" w:cs="宋体"/>
                <w:szCs w:val="21"/>
              </w:rPr>
            </w:pPr>
            <w:r>
              <w:rPr>
                <w:rFonts w:hint="eastAsia" w:ascii="宋体" w:hAnsi="宋体" w:cs="宋体"/>
                <w:szCs w:val="21"/>
              </w:rPr>
              <w:t>（3）运输、装卸、调试、培训、技术支持、售后服务费；</w:t>
            </w:r>
          </w:p>
          <w:p>
            <w:pPr>
              <w:snapToGrid w:val="0"/>
              <w:spacing w:line="380" w:lineRule="exact"/>
              <w:textAlignment w:val="top"/>
              <w:rPr>
                <w:rFonts w:ascii="宋体" w:hAnsi="宋体" w:cs="宋体"/>
                <w:szCs w:val="21"/>
              </w:rPr>
            </w:pPr>
            <w:r>
              <w:rPr>
                <w:rFonts w:hint="eastAsia" w:ascii="宋体" w:hAnsi="宋体" w:cs="宋体"/>
                <w:szCs w:val="21"/>
              </w:rPr>
              <w:t>（4）各类软件、系统等的安装、集成、试运行等费用；</w:t>
            </w:r>
          </w:p>
          <w:p>
            <w:pPr>
              <w:snapToGrid w:val="0"/>
              <w:spacing w:line="380" w:lineRule="exact"/>
              <w:textAlignment w:val="top"/>
              <w:rPr>
                <w:rFonts w:ascii="宋体" w:hAnsi="宋体" w:cs="宋体"/>
                <w:szCs w:val="21"/>
              </w:rPr>
            </w:pPr>
            <w:r>
              <w:rPr>
                <w:rFonts w:hint="eastAsia" w:ascii="宋体" w:hAnsi="宋体" w:cs="宋体"/>
                <w:szCs w:val="21"/>
              </w:rPr>
              <w:t>（5）服务的费用；</w:t>
            </w:r>
          </w:p>
          <w:p>
            <w:pPr>
              <w:snapToGrid w:val="0"/>
              <w:spacing w:line="380" w:lineRule="exact"/>
              <w:textAlignment w:val="top"/>
              <w:rPr>
                <w:rFonts w:ascii="宋体" w:hAnsi="宋体" w:cs="宋体"/>
                <w:szCs w:val="21"/>
              </w:rPr>
            </w:pPr>
            <w:r>
              <w:rPr>
                <w:rFonts w:hint="eastAsia" w:ascii="宋体" w:hAnsi="宋体" w:cs="宋体"/>
                <w:szCs w:val="21"/>
              </w:rPr>
              <w:t>（6）代理服务费、保险费和各项税金。</w:t>
            </w:r>
          </w:p>
          <w:p>
            <w:pPr>
              <w:snapToGrid w:val="0"/>
              <w:spacing w:line="380" w:lineRule="exact"/>
              <w:textAlignment w:val="top"/>
              <w:rPr>
                <w:rFonts w:ascii="宋体" w:hAnsi="宋体" w:cs="宋体"/>
                <w:szCs w:val="21"/>
              </w:rPr>
            </w:pPr>
            <w:r>
              <w:rPr>
                <w:rFonts w:hint="eastAsia" w:ascii="宋体" w:hAnsi="宋体" w:cs="宋体"/>
                <w:szCs w:val="21"/>
              </w:rPr>
              <w:t>2、竞标人所提供产品为货物生产厂家的全新正品，所有货物应满足采购文件所述项目要求及技术需求。</w:t>
            </w:r>
          </w:p>
          <w:p>
            <w:pPr>
              <w:snapToGrid w:val="0"/>
              <w:spacing w:line="380" w:lineRule="exact"/>
              <w:textAlignment w:val="top"/>
              <w:rPr>
                <w:rFonts w:ascii="宋体" w:hAnsi="宋体" w:cs="宋体"/>
                <w:szCs w:val="21"/>
              </w:rPr>
            </w:pPr>
            <w:r>
              <w:rPr>
                <w:rFonts w:hint="eastAsia" w:ascii="宋体" w:hAnsi="宋体" w:cs="宋体"/>
                <w:szCs w:val="21"/>
              </w:rPr>
              <w:t>3、成交供应商负责本项目人员的人身、设备安全责任，验收前，设备丢失自行负责。</w:t>
            </w:r>
          </w:p>
          <w:p>
            <w:pPr>
              <w:snapToGrid w:val="0"/>
              <w:spacing w:line="380" w:lineRule="exact"/>
              <w:textAlignment w:val="top"/>
              <w:rPr>
                <w:rFonts w:ascii="宋体" w:hAnsi="宋体" w:cs="宋体"/>
                <w:szCs w:val="21"/>
              </w:rPr>
            </w:pPr>
            <w:r>
              <w:rPr>
                <w:rFonts w:hint="eastAsia" w:ascii="宋体" w:hAnsi="宋体" w:cs="宋体"/>
                <w:szCs w:val="21"/>
              </w:rPr>
              <w:t>4、采购人在中华人民共和国境内使用成交供应商提供的产品及技术服务时免受第三方提出的侵犯其专利权或其它知识产权的起诉。如果第三方提出侵权指控，成交供应商应承担由此而引起的一切法律责任和费用。</w:t>
            </w:r>
          </w:p>
          <w:p>
            <w:pPr>
              <w:snapToGrid w:val="0"/>
              <w:spacing w:line="380" w:lineRule="exact"/>
              <w:textAlignment w:val="top"/>
              <w:rPr>
                <w:rFonts w:ascii="宋体" w:hAnsi="宋体" w:cs="宋体"/>
                <w:szCs w:val="21"/>
              </w:rPr>
            </w:pPr>
            <w:r>
              <w:rPr>
                <w:rFonts w:hint="eastAsia" w:ascii="宋体" w:hAnsi="宋体" w:cs="宋体"/>
                <w:szCs w:val="21"/>
              </w:rPr>
              <w:t>5、在货物验收时候，如发现存在虚假响应，采购人将终止合同。</w:t>
            </w:r>
          </w:p>
          <w:p>
            <w:pPr>
              <w:snapToGrid w:val="0"/>
              <w:spacing w:line="380" w:lineRule="exact"/>
              <w:textAlignment w:val="top"/>
              <w:rPr>
                <w:rFonts w:ascii="宋体" w:hAnsi="宋体" w:cs="宋体"/>
                <w:szCs w:val="21"/>
              </w:rPr>
            </w:pPr>
            <w:r>
              <w:rPr>
                <w:rFonts w:hint="eastAsia" w:ascii="宋体" w:hAnsi="宋体" w:cs="宋体"/>
                <w:szCs w:val="21"/>
              </w:rPr>
              <w:t>6、成交供应商如因教学时间安排冲突等原因无法在本合同期内完成“教学团队培训”及“社会共享服务”的:须在签订合同时向采购人出具完成工作内容及时限承诺书。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80" w:lineRule="exact"/>
              <w:jc w:val="center"/>
              <w:rPr>
                <w:rFonts w:ascii="宋体" w:hAnsi="宋体" w:cs="宋体"/>
                <w:szCs w:val="21"/>
              </w:rPr>
            </w:pPr>
            <w:r>
              <w:rPr>
                <w:rFonts w:hint="eastAsia" w:ascii="宋体" w:hAnsi="宋体" w:cs="宋体"/>
                <w:szCs w:val="21"/>
              </w:rPr>
              <w:t>履约保证金</w:t>
            </w:r>
          </w:p>
        </w:tc>
        <w:tc>
          <w:tcPr>
            <w:tcW w:w="838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履约保证金金额：本项目成交金额的2%。</w:t>
            </w:r>
          </w:p>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成交供应商在收到成交通知书后，须在5个工作日内向采购人足额提交履约保证金，否则视为自动放弃其成交人资格。</w:t>
            </w:r>
          </w:p>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履约保证金提交方式：支票、汇票、本票、银行转账或者金融机构、担保机构出具的保函等非现金形式。</w:t>
            </w:r>
          </w:p>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履约保证金指定账户：</w:t>
            </w:r>
          </w:p>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开户名： 广西信息职业技术学院</w:t>
            </w:r>
          </w:p>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开户行： 农业银行南宁青年国际支行</w:t>
            </w:r>
          </w:p>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账  号： 20023301040009198</w:t>
            </w:r>
          </w:p>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提醒：提交时请务必备注注明：“项目名称+履约保证金”字样</w:t>
            </w:r>
          </w:p>
          <w:p>
            <w:pPr>
              <w:autoSpaceDE w:val="0"/>
              <w:autoSpaceDN w:val="0"/>
              <w:snapToGrid w:val="0"/>
              <w:spacing w:line="380" w:lineRule="exact"/>
              <w:ind w:firstLine="420" w:firstLineChars="200"/>
              <w:textAlignment w:val="bottom"/>
              <w:rPr>
                <w:rFonts w:ascii="宋体" w:hAnsi="宋体" w:cs="宋体"/>
                <w:szCs w:val="21"/>
              </w:rPr>
            </w:pPr>
            <w:r>
              <w:rPr>
                <w:rFonts w:ascii="宋体" w:hAnsi="宋体" w:cs="宋体"/>
                <w:szCs w:val="21"/>
              </w:rPr>
              <w:t>履约保证金在项目</w:t>
            </w:r>
            <w:r>
              <w:rPr>
                <w:rFonts w:hint="eastAsia" w:ascii="宋体" w:hAnsi="宋体" w:cs="宋体"/>
                <w:szCs w:val="21"/>
              </w:rPr>
              <w:t>质量保证期</w:t>
            </w:r>
            <w:r>
              <w:rPr>
                <w:rFonts w:ascii="宋体" w:hAnsi="宋体" w:cs="宋体"/>
                <w:szCs w:val="21"/>
              </w:rPr>
              <w:t>截止并履行完毕合同全部义务后，由</w:t>
            </w:r>
            <w:r>
              <w:rPr>
                <w:rFonts w:hint="eastAsia" w:ascii="宋体" w:hAnsi="宋体" w:cs="宋体"/>
                <w:szCs w:val="21"/>
              </w:rPr>
              <w:t>乙方</w:t>
            </w:r>
            <w:r>
              <w:rPr>
                <w:rFonts w:ascii="宋体" w:hAnsi="宋体" w:cs="宋体"/>
                <w:szCs w:val="21"/>
              </w:rPr>
              <w:t>提出申请，</w:t>
            </w:r>
            <w:r>
              <w:rPr>
                <w:rFonts w:hint="eastAsia" w:ascii="宋体" w:hAnsi="宋体" w:cs="宋体"/>
                <w:szCs w:val="21"/>
              </w:rPr>
              <w:t>甲方</w:t>
            </w:r>
            <w:r>
              <w:rPr>
                <w:rFonts w:ascii="宋体" w:hAnsi="宋体" w:cs="宋体"/>
                <w:szCs w:val="21"/>
              </w:rPr>
              <w:t>审核合格无误后十五个工作日内以银行转账、支票、汇票、本票或者金融、担保机构出具的保函等非现金方式方式原路退还（不计利息）。涉及违约的违约金和损失赔偿从履约保证金中扣减，履约保证金不足以支付违约金、赔偿损失的，</w:t>
            </w:r>
            <w:r>
              <w:rPr>
                <w:rFonts w:hint="eastAsia" w:ascii="宋体" w:hAnsi="宋体" w:cs="宋体"/>
                <w:szCs w:val="21"/>
              </w:rPr>
              <w:t>乙方</w:t>
            </w:r>
            <w:r>
              <w:rPr>
                <w:rFonts w:ascii="宋体" w:hAnsi="宋体" w:cs="宋体"/>
                <w:szCs w:val="21"/>
              </w:rPr>
              <w:t>仍应承担相应的违约赔偿责任。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19" w:type="dxa"/>
            <w:gridSpan w:val="7"/>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80" w:lineRule="exact"/>
              <w:jc w:val="left"/>
              <w:rPr>
                <w:rFonts w:ascii="宋体" w:hAnsi="宋体" w:cs="宋体"/>
                <w:b/>
                <w:szCs w:val="21"/>
              </w:rPr>
            </w:pPr>
            <w:r>
              <w:rPr>
                <w:rFonts w:hint="eastAsia" w:ascii="宋体" w:hAnsi="宋体" w:cs="宋体"/>
                <w:b/>
                <w:kern w:val="0"/>
                <w:szCs w:val="21"/>
              </w:rPr>
              <w:t>磋商小组根据与供应商磋商情况可能实质性变动的内容：</w:t>
            </w:r>
          </w:p>
          <w:p>
            <w:pPr>
              <w:tabs>
                <w:tab w:val="left" w:pos="180"/>
                <w:tab w:val="left" w:pos="1620"/>
              </w:tabs>
              <w:spacing w:line="380" w:lineRule="exact"/>
              <w:jc w:val="left"/>
              <w:rPr>
                <w:rFonts w:ascii="宋体" w:hAnsi="宋体" w:cs="宋体"/>
                <w:szCs w:val="21"/>
              </w:rPr>
            </w:pPr>
            <w:r>
              <w:rPr>
                <w:rFonts w:hint="eastAsia" w:ascii="宋体" w:hAnsi="宋体" w:cs="宋体"/>
                <w:szCs w:val="21"/>
              </w:rPr>
              <w:t>未标注“▲”的内容。</w:t>
            </w:r>
          </w:p>
        </w:tc>
      </w:tr>
    </w:tbl>
    <w:p>
      <w:pPr>
        <w:rPr>
          <w:rFonts w:ascii="宋体" w:hAnsi="宋体"/>
          <w:b/>
          <w:sz w:val="32"/>
          <w:szCs w:val="32"/>
        </w:rPr>
      </w:pPr>
      <w:r>
        <w:rPr>
          <w:rFonts w:ascii="宋体" w:hAnsi="宋体"/>
          <w:b/>
          <w:sz w:val="32"/>
          <w:szCs w:val="32"/>
        </w:rPr>
        <w:br w:type="page"/>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34"/>
        <w:rPr>
          <w:sz w:val="44"/>
          <w:szCs w:val="44"/>
        </w:rPr>
      </w:pPr>
      <w:bookmarkStart w:id="51" w:name="_Toc476258665"/>
      <w:bookmarkStart w:id="52" w:name="_Toc476258759"/>
      <w:r>
        <w:rPr>
          <w:rFonts w:hint="eastAsia"/>
          <w:sz w:val="44"/>
          <w:szCs w:val="44"/>
        </w:rPr>
        <w:t>第四章  竞争性磋商响应文件格式</w:t>
      </w:r>
      <w:bookmarkEnd w:id="51"/>
      <w:bookmarkEnd w:id="52"/>
    </w:p>
    <w:p>
      <w:pPr>
        <w:spacing w:line="500" w:lineRule="exact"/>
        <w:jc w:val="center"/>
        <w:rPr>
          <w:rFonts w:ascii="仿宋_GB2312" w:hAnsi="宋体" w:eastAsia="仿宋_GB2312"/>
          <w:b/>
          <w:sz w:val="32"/>
          <w:szCs w:val="32"/>
        </w:rPr>
      </w:pPr>
    </w:p>
    <w:p>
      <w:pPr>
        <w:spacing w:line="720" w:lineRule="auto"/>
        <w:jc w:val="center"/>
        <w:rPr>
          <w:rFonts w:ascii="宋体" w:hAnsi="宋体"/>
          <w:b/>
          <w:bCs/>
          <w:sz w:val="30"/>
          <w:szCs w:val="30"/>
        </w:rPr>
      </w:pPr>
      <w:r>
        <w:rPr>
          <w:rFonts w:ascii="仿宋_GB2312" w:hAnsi="宋体" w:eastAsia="仿宋_GB2312"/>
          <w:b/>
          <w:sz w:val="32"/>
          <w:szCs w:val="32"/>
        </w:rPr>
        <w:br w:type="page"/>
      </w:r>
      <w:r>
        <w:rPr>
          <w:rFonts w:hint="eastAsia" w:ascii="宋体" w:hAnsi="宋体"/>
          <w:b/>
          <w:bCs/>
          <w:sz w:val="30"/>
          <w:szCs w:val="30"/>
        </w:rPr>
        <w:t>一、</w:t>
      </w:r>
      <w:r>
        <w:rPr>
          <w:rFonts w:hint="eastAsia"/>
          <w:b/>
          <w:sz w:val="30"/>
          <w:szCs w:val="30"/>
        </w:rPr>
        <w:t>竞争性磋商响应文件</w:t>
      </w:r>
      <w:r>
        <w:rPr>
          <w:rFonts w:hint="eastAsia" w:ascii="宋体" w:hAnsi="宋体"/>
          <w:b/>
          <w:bCs/>
          <w:sz w:val="30"/>
          <w:szCs w:val="30"/>
        </w:rPr>
        <w:t>格式</w:t>
      </w:r>
    </w:p>
    <w:p>
      <w:pPr>
        <w:spacing w:line="240" w:lineRule="atLeast"/>
        <w:rPr>
          <w:rFonts w:ascii="仿宋_GB2312" w:hAnsi="宋体" w:eastAsia="仿宋_GB2312"/>
          <w:b/>
          <w:sz w:val="32"/>
          <w:szCs w:val="32"/>
          <w:u w:val="single"/>
        </w:rPr>
      </w:pPr>
    </w:p>
    <w:p>
      <w:pPr>
        <w:spacing w:line="240" w:lineRule="atLeast"/>
        <w:rPr>
          <w:rFonts w:ascii="仿宋_GB2312" w:hAnsi="宋体" w:eastAsia="仿宋_GB2312"/>
          <w:b/>
          <w:sz w:val="32"/>
          <w:szCs w:val="32"/>
        </w:rPr>
      </w:pPr>
    </w:p>
    <w:p>
      <w:pPr>
        <w:snapToGrid w:val="0"/>
        <w:spacing w:beforeLines="50" w:after="50" w:line="360" w:lineRule="exact"/>
        <w:ind w:left="8400" w:hanging="8400" w:hangingChars="3000"/>
        <w:rPr>
          <w:rFonts w:ascii="仿宋_GB2312" w:hAnsi="宋体" w:eastAsia="仿宋_GB2312"/>
          <w:bCs/>
          <w:sz w:val="28"/>
          <w:szCs w:val="28"/>
        </w:rPr>
      </w:pPr>
    </w:p>
    <w:p>
      <w:pPr>
        <w:snapToGrid w:val="0"/>
        <w:spacing w:beforeLines="50" w:after="50" w:line="360" w:lineRule="exact"/>
        <w:jc w:val="center"/>
        <w:rPr>
          <w:rFonts w:ascii="仿宋_GB2312" w:hAnsi="宋体" w:eastAsia="仿宋_GB2312"/>
          <w:bCs/>
          <w:sz w:val="24"/>
        </w:rPr>
      </w:pPr>
      <w:r>
        <w:rPr>
          <w:rFonts w:hint="eastAsia" w:ascii="仿宋_GB2312" w:hAnsi="宋体" w:eastAsia="仿宋_GB2312"/>
          <w:b/>
          <w:sz w:val="44"/>
          <w:szCs w:val="44"/>
        </w:rPr>
        <w:t>竞争性磋商响应文件</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p>
    <w:p>
      <w:pPr>
        <w:spacing w:line="600" w:lineRule="auto"/>
        <w:ind w:firstLine="420" w:firstLineChars="200"/>
        <w:jc w:val="left"/>
        <w:rPr>
          <w:rFonts w:ascii="宋体" w:hAnsi="宋体"/>
          <w:sz w:val="28"/>
          <w:szCs w:val="28"/>
        </w:rPr>
      </w:pPr>
      <w:r>
        <w:rPr>
          <w:rFonts w:hint="eastAsia" w:ascii="宋体" w:hAnsi="宋体"/>
          <w:szCs w:val="21"/>
        </w:rPr>
        <w:t xml:space="preserve">        </w:t>
      </w:r>
      <w:r>
        <w:rPr>
          <w:rFonts w:hint="eastAsia" w:ascii="宋体" w:hAnsi="宋体"/>
          <w:sz w:val="28"/>
          <w:szCs w:val="28"/>
        </w:rPr>
        <w:t xml:space="preserve"> 采购项目名称：北斗卫星导航智能应用虚拟仿真实训基地</w:t>
      </w:r>
    </w:p>
    <w:p>
      <w:pPr>
        <w:spacing w:line="600" w:lineRule="auto"/>
      </w:pPr>
      <w:r>
        <w:rPr>
          <w:rFonts w:hint="eastAsia"/>
        </w:rPr>
        <w:t xml:space="preserve"> </w:t>
      </w:r>
      <w:r>
        <w:rPr>
          <w:rFonts w:hint="eastAsia" w:ascii="宋体" w:hAnsi="宋体"/>
          <w:sz w:val="28"/>
          <w:szCs w:val="28"/>
        </w:rPr>
        <w:t xml:space="preserve">         采购项目编号：GXZC2024-C3-004824-TQGC</w:t>
      </w:r>
    </w:p>
    <w:p>
      <w:pPr>
        <w:spacing w:line="600" w:lineRule="auto"/>
        <w:ind w:firstLine="560" w:firstLineChars="200"/>
        <w:rPr>
          <w:rFonts w:ascii="宋体" w:hAnsi="宋体"/>
          <w:sz w:val="28"/>
          <w:szCs w:val="28"/>
          <w:u w:val="single"/>
        </w:rPr>
      </w:pPr>
      <w:r>
        <w:rPr>
          <w:rFonts w:hint="eastAsia"/>
          <w:bCs/>
          <w:sz w:val="28"/>
          <w:szCs w:val="28"/>
        </w:rPr>
        <w:t xml:space="preserve">      分标号（如有）</w:t>
      </w:r>
      <w:r>
        <w:rPr>
          <w:rFonts w:hint="eastAsia" w:ascii="宋体" w:hAnsi="宋体"/>
          <w:sz w:val="28"/>
          <w:szCs w:val="28"/>
        </w:rPr>
        <w:t>：</w:t>
      </w:r>
      <w:r>
        <w:rPr>
          <w:rFonts w:hint="eastAsia" w:ascii="宋体" w:hAnsi="宋体"/>
          <w:sz w:val="28"/>
          <w:szCs w:val="28"/>
          <w:u w:val="single"/>
        </w:rPr>
        <w:t xml:space="preserve">                         </w:t>
      </w:r>
    </w:p>
    <w:p>
      <w:pPr>
        <w:snapToGrid w:val="0"/>
        <w:spacing w:beforeLines="50" w:after="50" w:line="600" w:lineRule="auto"/>
        <w:ind w:firstLine="560" w:firstLineChars="200"/>
        <w:rPr>
          <w:rFonts w:ascii="宋体" w:hAnsi="宋体"/>
          <w:bCs/>
          <w:sz w:val="28"/>
          <w:szCs w:val="28"/>
        </w:rPr>
      </w:pPr>
      <w:r>
        <w:rPr>
          <w:rFonts w:hint="eastAsia" w:ascii="宋体" w:hAnsi="宋体"/>
          <w:sz w:val="28"/>
          <w:szCs w:val="28"/>
        </w:rPr>
        <w:t xml:space="preserve">      磋商供应商名称</w:t>
      </w:r>
      <w:r>
        <w:rPr>
          <w:rFonts w:hint="eastAsia" w:ascii="宋体" w:hAnsi="宋体"/>
          <w:bCs/>
          <w:sz w:val="28"/>
          <w:szCs w:val="28"/>
        </w:rPr>
        <w:t>：</w:t>
      </w:r>
      <w:r>
        <w:rPr>
          <w:rFonts w:hint="eastAsia" w:ascii="宋体" w:hAnsi="宋体"/>
          <w:sz w:val="28"/>
          <w:szCs w:val="28"/>
          <w:u w:val="single"/>
        </w:rPr>
        <w:t xml:space="preserve">                        </w:t>
      </w:r>
    </w:p>
    <w:p>
      <w:pPr>
        <w:spacing w:line="500" w:lineRule="exact"/>
        <w:jc w:val="center"/>
        <w:rPr>
          <w:rFonts w:ascii="宋体" w:hAnsi="宋体"/>
          <w:szCs w:val="21"/>
        </w:rPr>
      </w:pPr>
      <w:r>
        <w:rPr>
          <w:rFonts w:hint="eastAsia" w:ascii="仿宋_GB2312" w:hAnsi="宋体" w:eastAsia="仿宋_GB2312"/>
          <w:sz w:val="24"/>
        </w:rPr>
        <w:t xml:space="preserve">                      </w:t>
      </w:r>
    </w:p>
    <w:p>
      <w:pPr>
        <w:rPr>
          <w:sz w:val="28"/>
          <w:szCs w:val="28"/>
        </w:rPr>
      </w:pPr>
      <w:r>
        <w:rPr>
          <w:rFonts w:hint="eastAsia"/>
        </w:rPr>
        <w:t xml:space="preserve">                                   </w:t>
      </w:r>
      <w:r>
        <w:rPr>
          <w:rFonts w:hint="eastAsia"/>
          <w:sz w:val="28"/>
          <w:szCs w:val="28"/>
        </w:rPr>
        <w:t xml:space="preserve">                     年</w:t>
      </w:r>
      <w:r>
        <w:rPr>
          <w:rFonts w:hint="eastAsia" w:cs="宋体"/>
          <w:sz w:val="28"/>
          <w:szCs w:val="28"/>
        </w:rPr>
        <w:t xml:space="preserve">    </w:t>
      </w:r>
      <w:r>
        <w:rPr>
          <w:rFonts w:hint="eastAsia"/>
          <w:sz w:val="28"/>
          <w:szCs w:val="28"/>
        </w:rPr>
        <w:t>月    日</w:t>
      </w:r>
    </w:p>
    <w:p>
      <w:pPr>
        <w:spacing w:line="520" w:lineRule="exact"/>
        <w:rPr>
          <w:rFonts w:ascii="宋体" w:hAnsi="宋体"/>
          <w:szCs w:val="21"/>
        </w:rPr>
      </w:pPr>
    </w:p>
    <w:p>
      <w:pPr>
        <w:spacing w:line="520" w:lineRule="exact"/>
        <w:ind w:firstLine="3767" w:firstLineChars="1340"/>
        <w:rPr>
          <w:rFonts w:ascii="宋体" w:hAnsi="宋体"/>
          <w:b/>
          <w:sz w:val="28"/>
          <w:szCs w:val="28"/>
        </w:rPr>
      </w:pPr>
    </w:p>
    <w:p>
      <w:pPr>
        <w:spacing w:line="520" w:lineRule="exact"/>
        <w:ind w:firstLine="3767" w:firstLineChars="1340"/>
        <w:rPr>
          <w:rFonts w:ascii="宋体" w:hAnsi="宋体"/>
          <w:b/>
          <w:sz w:val="28"/>
          <w:szCs w:val="28"/>
        </w:rPr>
      </w:pPr>
    </w:p>
    <w:p>
      <w:pPr>
        <w:spacing w:line="520" w:lineRule="exact"/>
        <w:ind w:firstLine="3767" w:firstLineChars="1340"/>
        <w:rPr>
          <w:rFonts w:ascii="宋体" w:hAnsi="宋体"/>
          <w:b/>
          <w:sz w:val="28"/>
          <w:szCs w:val="28"/>
        </w:rPr>
      </w:pPr>
    </w:p>
    <w:p>
      <w:pPr>
        <w:spacing w:line="520" w:lineRule="exact"/>
        <w:ind w:firstLine="3767" w:firstLineChars="1340"/>
        <w:rPr>
          <w:rFonts w:ascii="宋体" w:hAnsi="宋体"/>
          <w:b/>
          <w:sz w:val="28"/>
          <w:szCs w:val="28"/>
        </w:rPr>
      </w:pPr>
    </w:p>
    <w:p>
      <w:pPr>
        <w:spacing w:line="720" w:lineRule="auto"/>
        <w:jc w:val="center"/>
        <w:rPr>
          <w:rFonts w:ascii="宋体" w:hAnsi="宋体"/>
          <w:b/>
          <w:sz w:val="30"/>
          <w:szCs w:val="30"/>
        </w:rPr>
      </w:pPr>
      <w:r>
        <w:rPr>
          <w:rFonts w:ascii="宋体" w:hAnsi="宋体"/>
          <w:b/>
          <w:sz w:val="30"/>
          <w:szCs w:val="30"/>
        </w:rPr>
        <w:br w:type="page"/>
      </w:r>
      <w:r>
        <w:rPr>
          <w:rFonts w:hint="eastAsia" w:ascii="宋体" w:hAnsi="宋体"/>
          <w:b/>
          <w:sz w:val="30"/>
          <w:szCs w:val="30"/>
        </w:rPr>
        <w:t>二、附  件</w:t>
      </w:r>
    </w:p>
    <w:p>
      <w:pPr>
        <w:spacing w:line="500" w:lineRule="exact"/>
        <w:rPr>
          <w:rFonts w:ascii="宋体" w:hAnsi="宋体"/>
          <w:b/>
          <w:szCs w:val="21"/>
        </w:rPr>
      </w:pPr>
      <w:r>
        <w:rPr>
          <w:rFonts w:hint="eastAsia" w:ascii="宋体" w:hAnsi="宋体"/>
          <w:b/>
          <w:szCs w:val="21"/>
        </w:rPr>
        <w:t xml:space="preserve">附件一 </w:t>
      </w: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报  价  表</w:t>
      </w:r>
    </w:p>
    <w:p>
      <w:pPr>
        <w:spacing w:line="500" w:lineRule="exact"/>
        <w:rPr>
          <w:rFonts w:ascii="宋体" w:hAnsi="宋体"/>
          <w:szCs w:val="21"/>
          <w:u w:val="single"/>
        </w:rPr>
      </w:pPr>
      <w:r>
        <w:rPr>
          <w:rFonts w:hint="eastAsia" w:ascii="宋体" w:hAnsi="宋体"/>
          <w:szCs w:val="21"/>
        </w:rPr>
        <w:t>采购项目名称:</w:t>
      </w:r>
      <w:r>
        <w:rPr>
          <w:rFonts w:hint="eastAsia" w:ascii="宋体" w:hAnsi="宋体" w:cs="宋体"/>
        </w:rPr>
        <w:t>北斗卫星导航智能应用虚拟仿真实训基地</w:t>
      </w:r>
    </w:p>
    <w:p>
      <w:pPr>
        <w:spacing w:line="500" w:lineRule="exact"/>
        <w:rPr>
          <w:rFonts w:ascii="宋体" w:hAnsi="宋体"/>
          <w:szCs w:val="21"/>
        </w:rPr>
      </w:pPr>
      <w:r>
        <w:rPr>
          <w:rFonts w:hint="eastAsia" w:ascii="宋体" w:hAnsi="宋体"/>
          <w:szCs w:val="21"/>
        </w:rPr>
        <w:t>采购项目编号: GXZC2024-C3-004824-TQGC</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88"/>
        <w:gridCol w:w="3840"/>
        <w:gridCol w:w="1305"/>
        <w:gridCol w:w="118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27" w:type="dxa"/>
            <w:tcBorders>
              <w:bottom w:val="single" w:color="auto" w:sz="4" w:space="0"/>
            </w:tcBorders>
            <w:vAlign w:val="center"/>
          </w:tcPr>
          <w:p>
            <w:pPr>
              <w:pStyle w:val="21"/>
              <w:spacing w:line="400" w:lineRule="exact"/>
              <w:ind w:left="480" w:hanging="480"/>
              <w:jc w:val="center"/>
              <w:rPr>
                <w:rFonts w:hAnsi="宋体"/>
                <w:spacing w:val="-20"/>
              </w:rPr>
            </w:pPr>
            <w:r>
              <w:rPr>
                <w:rFonts w:hint="eastAsia" w:hAnsi="宋体"/>
                <w:spacing w:val="-20"/>
              </w:rPr>
              <w:t>序号</w:t>
            </w:r>
          </w:p>
        </w:tc>
        <w:tc>
          <w:tcPr>
            <w:tcW w:w="1588" w:type="dxa"/>
            <w:tcBorders>
              <w:bottom w:val="single" w:color="auto" w:sz="4" w:space="0"/>
            </w:tcBorders>
            <w:vAlign w:val="center"/>
          </w:tcPr>
          <w:p>
            <w:pPr>
              <w:tabs>
                <w:tab w:val="left" w:pos="180"/>
                <w:tab w:val="left" w:pos="1620"/>
              </w:tabs>
              <w:spacing w:line="400" w:lineRule="exact"/>
              <w:jc w:val="center"/>
              <w:rPr>
                <w:rFonts w:ascii="宋体" w:hAnsi="宋体"/>
                <w:szCs w:val="21"/>
              </w:rPr>
            </w:pPr>
            <w:r>
              <w:rPr>
                <w:rFonts w:hint="eastAsia" w:ascii="宋体" w:hAnsi="宋体"/>
                <w:szCs w:val="21"/>
              </w:rPr>
              <w:t>标的名称</w:t>
            </w:r>
          </w:p>
        </w:tc>
        <w:tc>
          <w:tcPr>
            <w:tcW w:w="3840" w:type="dxa"/>
            <w:tcBorders>
              <w:bottom w:val="single" w:color="auto" w:sz="4" w:space="0"/>
            </w:tcBorders>
            <w:vAlign w:val="center"/>
          </w:tcPr>
          <w:p>
            <w:pPr>
              <w:pStyle w:val="21"/>
              <w:spacing w:line="400" w:lineRule="exact"/>
              <w:ind w:left="560" w:hanging="560"/>
              <w:jc w:val="center"/>
              <w:rPr>
                <w:rFonts w:hAnsi="宋体"/>
              </w:rPr>
            </w:pPr>
            <w:r>
              <w:rPr>
                <w:rFonts w:hint="eastAsia" w:hAnsi="宋体" w:cs="Times New Roman"/>
              </w:rPr>
              <w:t>货物品牌、型号、技术参数或服务内容</w:t>
            </w:r>
          </w:p>
        </w:tc>
        <w:tc>
          <w:tcPr>
            <w:tcW w:w="1305" w:type="dxa"/>
            <w:tcBorders>
              <w:bottom w:val="single" w:color="auto" w:sz="4" w:space="0"/>
            </w:tcBorders>
            <w:vAlign w:val="center"/>
          </w:tcPr>
          <w:p>
            <w:pPr>
              <w:pStyle w:val="21"/>
              <w:spacing w:line="400" w:lineRule="exact"/>
              <w:ind w:left="560" w:hanging="560"/>
              <w:jc w:val="center"/>
              <w:rPr>
                <w:rFonts w:hAnsi="宋体" w:cs="Times New Roman"/>
              </w:rPr>
            </w:pPr>
            <w:r>
              <w:rPr>
                <w:rFonts w:hint="eastAsia" w:hAnsi="宋体" w:cs="Times New Roman"/>
              </w:rPr>
              <w:t>数量</w:t>
            </w:r>
          </w:p>
        </w:tc>
        <w:tc>
          <w:tcPr>
            <w:tcW w:w="1185" w:type="dxa"/>
            <w:tcBorders>
              <w:bottom w:val="single" w:color="auto" w:sz="4" w:space="0"/>
            </w:tcBorders>
            <w:vAlign w:val="center"/>
          </w:tcPr>
          <w:p>
            <w:pPr>
              <w:pStyle w:val="21"/>
              <w:spacing w:line="400" w:lineRule="exact"/>
              <w:ind w:left="560" w:hanging="560"/>
              <w:jc w:val="center"/>
              <w:rPr>
                <w:rFonts w:hAnsi="宋体" w:cs="Times New Roman"/>
              </w:rPr>
            </w:pPr>
            <w:r>
              <w:rPr>
                <w:rFonts w:hint="eastAsia" w:hAnsi="宋体" w:cs="Times New Roman"/>
              </w:rPr>
              <w:t>单价（元）</w:t>
            </w:r>
          </w:p>
        </w:tc>
        <w:tc>
          <w:tcPr>
            <w:tcW w:w="1304" w:type="dxa"/>
            <w:tcBorders>
              <w:bottom w:val="single" w:color="auto" w:sz="4" w:space="0"/>
            </w:tcBorders>
            <w:vAlign w:val="center"/>
          </w:tcPr>
          <w:p>
            <w:pPr>
              <w:pStyle w:val="21"/>
              <w:spacing w:line="400" w:lineRule="exact"/>
              <w:ind w:left="560" w:hanging="560"/>
              <w:jc w:val="center"/>
              <w:rPr>
                <w:rFonts w:hAnsi="宋体"/>
              </w:rPr>
            </w:pPr>
            <w:r>
              <w:rPr>
                <w:rFonts w:hint="eastAsia" w:hAnsi="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pPr>
              <w:pStyle w:val="21"/>
              <w:spacing w:line="400" w:lineRule="exact"/>
              <w:ind w:left="480" w:hanging="480"/>
              <w:jc w:val="center"/>
              <w:rPr>
                <w:rFonts w:hAnsi="宋体"/>
                <w:spacing w:val="-20"/>
              </w:rPr>
            </w:pPr>
            <w:r>
              <w:rPr>
                <w:rFonts w:hint="eastAsia" w:hAnsi="宋体"/>
                <w:spacing w:val="-20"/>
              </w:rPr>
              <w:t>1</w:t>
            </w:r>
          </w:p>
        </w:tc>
        <w:tc>
          <w:tcPr>
            <w:tcW w:w="1588" w:type="dxa"/>
            <w:tcBorders>
              <w:bottom w:val="single" w:color="auto" w:sz="4" w:space="0"/>
            </w:tcBorders>
            <w:vAlign w:val="center"/>
          </w:tcPr>
          <w:p>
            <w:pPr>
              <w:tabs>
                <w:tab w:val="left" w:pos="180"/>
                <w:tab w:val="left" w:pos="1620"/>
              </w:tabs>
              <w:spacing w:line="400" w:lineRule="exact"/>
              <w:jc w:val="center"/>
              <w:rPr>
                <w:rFonts w:ascii="宋体" w:hAnsi="宋体"/>
                <w:szCs w:val="21"/>
              </w:rPr>
            </w:pPr>
          </w:p>
        </w:tc>
        <w:tc>
          <w:tcPr>
            <w:tcW w:w="3840" w:type="dxa"/>
            <w:tcBorders>
              <w:bottom w:val="single" w:color="auto" w:sz="4" w:space="0"/>
            </w:tcBorders>
            <w:vAlign w:val="center"/>
          </w:tcPr>
          <w:p>
            <w:pPr>
              <w:pStyle w:val="21"/>
              <w:spacing w:line="400" w:lineRule="exact"/>
              <w:ind w:left="560" w:hanging="560"/>
              <w:jc w:val="center"/>
              <w:rPr>
                <w:rFonts w:hAnsi="宋体" w:cs="Times New Roman"/>
              </w:rPr>
            </w:pPr>
          </w:p>
        </w:tc>
        <w:tc>
          <w:tcPr>
            <w:tcW w:w="1305" w:type="dxa"/>
            <w:tcBorders>
              <w:bottom w:val="single" w:color="auto" w:sz="4" w:space="0"/>
            </w:tcBorders>
            <w:vAlign w:val="center"/>
          </w:tcPr>
          <w:p>
            <w:pPr>
              <w:pStyle w:val="21"/>
              <w:spacing w:line="400" w:lineRule="exact"/>
              <w:ind w:left="560" w:hanging="560"/>
              <w:jc w:val="center"/>
              <w:rPr>
                <w:rFonts w:hAnsi="宋体" w:cs="Times New Roman"/>
              </w:rPr>
            </w:pPr>
          </w:p>
        </w:tc>
        <w:tc>
          <w:tcPr>
            <w:tcW w:w="1185" w:type="dxa"/>
            <w:tcBorders>
              <w:bottom w:val="single" w:color="auto" w:sz="4" w:space="0"/>
            </w:tcBorders>
            <w:vAlign w:val="center"/>
          </w:tcPr>
          <w:p>
            <w:pPr>
              <w:pStyle w:val="21"/>
              <w:spacing w:line="400" w:lineRule="exact"/>
              <w:ind w:left="560" w:hanging="560"/>
              <w:jc w:val="center"/>
              <w:rPr>
                <w:rFonts w:hAnsi="宋体" w:cs="Times New Roman"/>
              </w:rPr>
            </w:pPr>
          </w:p>
        </w:tc>
        <w:tc>
          <w:tcPr>
            <w:tcW w:w="1304" w:type="dxa"/>
            <w:tcBorders>
              <w:bottom w:val="single" w:color="auto" w:sz="4" w:space="0"/>
            </w:tcBorders>
            <w:vAlign w:val="center"/>
          </w:tcPr>
          <w:p>
            <w:pPr>
              <w:pStyle w:val="21"/>
              <w:spacing w:line="400" w:lineRule="exact"/>
              <w:ind w:left="560" w:hanging="56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pPr>
              <w:pStyle w:val="21"/>
              <w:spacing w:line="400" w:lineRule="exact"/>
              <w:ind w:left="480" w:hanging="480"/>
              <w:jc w:val="center"/>
              <w:rPr>
                <w:rFonts w:hAnsi="宋体"/>
                <w:spacing w:val="-20"/>
              </w:rPr>
            </w:pPr>
            <w:r>
              <w:rPr>
                <w:rFonts w:hint="eastAsia" w:hAnsi="宋体"/>
                <w:spacing w:val="-20"/>
              </w:rPr>
              <w:t>2</w:t>
            </w:r>
          </w:p>
        </w:tc>
        <w:tc>
          <w:tcPr>
            <w:tcW w:w="1588" w:type="dxa"/>
            <w:tcBorders>
              <w:bottom w:val="single" w:color="auto" w:sz="4" w:space="0"/>
            </w:tcBorders>
            <w:vAlign w:val="center"/>
          </w:tcPr>
          <w:p>
            <w:pPr>
              <w:tabs>
                <w:tab w:val="left" w:pos="180"/>
                <w:tab w:val="left" w:pos="1620"/>
              </w:tabs>
              <w:spacing w:line="400" w:lineRule="exact"/>
              <w:jc w:val="center"/>
              <w:rPr>
                <w:rFonts w:ascii="宋体" w:hAnsi="宋体"/>
                <w:szCs w:val="21"/>
              </w:rPr>
            </w:pPr>
          </w:p>
        </w:tc>
        <w:tc>
          <w:tcPr>
            <w:tcW w:w="3840" w:type="dxa"/>
            <w:tcBorders>
              <w:bottom w:val="single" w:color="auto" w:sz="4" w:space="0"/>
            </w:tcBorders>
            <w:vAlign w:val="center"/>
          </w:tcPr>
          <w:p>
            <w:pPr>
              <w:pStyle w:val="21"/>
              <w:spacing w:line="400" w:lineRule="exact"/>
              <w:ind w:left="560" w:hanging="560"/>
              <w:jc w:val="center"/>
              <w:rPr>
                <w:rFonts w:hAnsi="宋体" w:cs="Times New Roman"/>
              </w:rPr>
            </w:pPr>
          </w:p>
        </w:tc>
        <w:tc>
          <w:tcPr>
            <w:tcW w:w="1305" w:type="dxa"/>
            <w:tcBorders>
              <w:bottom w:val="single" w:color="auto" w:sz="4" w:space="0"/>
            </w:tcBorders>
            <w:vAlign w:val="center"/>
          </w:tcPr>
          <w:p>
            <w:pPr>
              <w:pStyle w:val="21"/>
              <w:spacing w:line="400" w:lineRule="exact"/>
              <w:ind w:left="560" w:hanging="560"/>
              <w:jc w:val="center"/>
              <w:rPr>
                <w:rFonts w:hAnsi="宋体" w:cs="Times New Roman"/>
              </w:rPr>
            </w:pPr>
          </w:p>
        </w:tc>
        <w:tc>
          <w:tcPr>
            <w:tcW w:w="1185" w:type="dxa"/>
            <w:tcBorders>
              <w:bottom w:val="single" w:color="auto" w:sz="4" w:space="0"/>
            </w:tcBorders>
            <w:vAlign w:val="center"/>
          </w:tcPr>
          <w:p>
            <w:pPr>
              <w:pStyle w:val="21"/>
              <w:spacing w:line="400" w:lineRule="exact"/>
              <w:ind w:left="560" w:hanging="560"/>
              <w:jc w:val="center"/>
              <w:rPr>
                <w:rFonts w:hAnsi="宋体" w:cs="Times New Roman"/>
              </w:rPr>
            </w:pPr>
          </w:p>
        </w:tc>
        <w:tc>
          <w:tcPr>
            <w:tcW w:w="1304" w:type="dxa"/>
            <w:tcBorders>
              <w:bottom w:val="single" w:color="auto" w:sz="4" w:space="0"/>
            </w:tcBorders>
            <w:vAlign w:val="center"/>
          </w:tcPr>
          <w:p>
            <w:pPr>
              <w:pStyle w:val="21"/>
              <w:spacing w:line="400" w:lineRule="exact"/>
              <w:ind w:left="560" w:hanging="56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pPr>
              <w:pStyle w:val="21"/>
              <w:spacing w:line="400" w:lineRule="exact"/>
              <w:ind w:left="480" w:hanging="480"/>
              <w:jc w:val="center"/>
              <w:rPr>
                <w:rFonts w:hAnsi="宋体"/>
                <w:spacing w:val="-20"/>
              </w:rPr>
            </w:pPr>
            <w:r>
              <w:rPr>
                <w:rFonts w:hint="eastAsia" w:hAnsi="宋体"/>
                <w:spacing w:val="-20"/>
              </w:rPr>
              <w:t>3</w:t>
            </w:r>
          </w:p>
        </w:tc>
        <w:tc>
          <w:tcPr>
            <w:tcW w:w="1588" w:type="dxa"/>
            <w:tcBorders>
              <w:bottom w:val="single" w:color="auto" w:sz="4" w:space="0"/>
            </w:tcBorders>
            <w:vAlign w:val="center"/>
          </w:tcPr>
          <w:p>
            <w:pPr>
              <w:tabs>
                <w:tab w:val="left" w:pos="180"/>
                <w:tab w:val="left" w:pos="1620"/>
              </w:tabs>
              <w:spacing w:line="400" w:lineRule="exact"/>
              <w:jc w:val="center"/>
              <w:rPr>
                <w:rFonts w:ascii="宋体" w:hAnsi="宋体"/>
                <w:szCs w:val="21"/>
              </w:rPr>
            </w:pPr>
          </w:p>
        </w:tc>
        <w:tc>
          <w:tcPr>
            <w:tcW w:w="3840" w:type="dxa"/>
            <w:tcBorders>
              <w:bottom w:val="single" w:color="auto" w:sz="4" w:space="0"/>
            </w:tcBorders>
            <w:vAlign w:val="center"/>
          </w:tcPr>
          <w:p>
            <w:pPr>
              <w:pStyle w:val="21"/>
              <w:spacing w:line="400" w:lineRule="exact"/>
              <w:ind w:left="560" w:hanging="560"/>
              <w:jc w:val="center"/>
              <w:rPr>
                <w:rFonts w:hAnsi="宋体" w:cs="Times New Roman"/>
              </w:rPr>
            </w:pPr>
          </w:p>
        </w:tc>
        <w:tc>
          <w:tcPr>
            <w:tcW w:w="1305" w:type="dxa"/>
            <w:tcBorders>
              <w:bottom w:val="single" w:color="auto" w:sz="4" w:space="0"/>
            </w:tcBorders>
            <w:vAlign w:val="center"/>
          </w:tcPr>
          <w:p>
            <w:pPr>
              <w:pStyle w:val="21"/>
              <w:spacing w:line="400" w:lineRule="exact"/>
              <w:ind w:left="560" w:hanging="560"/>
              <w:jc w:val="center"/>
              <w:rPr>
                <w:rFonts w:hAnsi="宋体" w:cs="Times New Roman"/>
              </w:rPr>
            </w:pPr>
          </w:p>
        </w:tc>
        <w:tc>
          <w:tcPr>
            <w:tcW w:w="1185" w:type="dxa"/>
            <w:tcBorders>
              <w:bottom w:val="single" w:color="auto" w:sz="4" w:space="0"/>
            </w:tcBorders>
            <w:vAlign w:val="center"/>
          </w:tcPr>
          <w:p>
            <w:pPr>
              <w:pStyle w:val="21"/>
              <w:spacing w:line="400" w:lineRule="exact"/>
              <w:ind w:left="560" w:hanging="560"/>
              <w:jc w:val="center"/>
              <w:rPr>
                <w:rFonts w:hAnsi="宋体" w:cs="Times New Roman"/>
              </w:rPr>
            </w:pPr>
          </w:p>
        </w:tc>
        <w:tc>
          <w:tcPr>
            <w:tcW w:w="1304" w:type="dxa"/>
            <w:tcBorders>
              <w:bottom w:val="single" w:color="auto" w:sz="4" w:space="0"/>
            </w:tcBorders>
            <w:vAlign w:val="center"/>
          </w:tcPr>
          <w:p>
            <w:pPr>
              <w:pStyle w:val="21"/>
              <w:spacing w:line="400" w:lineRule="exact"/>
              <w:ind w:left="560" w:hanging="56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pPr>
              <w:pStyle w:val="21"/>
              <w:spacing w:line="400" w:lineRule="exact"/>
              <w:ind w:left="480" w:hanging="480"/>
              <w:jc w:val="center"/>
              <w:rPr>
                <w:rFonts w:hAnsi="宋体" w:cs="宋体"/>
                <w:spacing w:val="-20"/>
              </w:rPr>
            </w:pPr>
            <w:r>
              <w:rPr>
                <w:rFonts w:hint="eastAsia" w:hAnsi="宋体" w:cs="宋体"/>
                <w:spacing w:val="-20"/>
              </w:rPr>
              <w:t>…</w:t>
            </w:r>
          </w:p>
        </w:tc>
        <w:tc>
          <w:tcPr>
            <w:tcW w:w="1588" w:type="dxa"/>
            <w:tcBorders>
              <w:bottom w:val="single" w:color="auto" w:sz="4" w:space="0"/>
            </w:tcBorders>
            <w:vAlign w:val="center"/>
          </w:tcPr>
          <w:p>
            <w:pPr>
              <w:tabs>
                <w:tab w:val="left" w:pos="180"/>
                <w:tab w:val="left" w:pos="1620"/>
              </w:tabs>
              <w:spacing w:line="400" w:lineRule="exact"/>
              <w:jc w:val="center"/>
              <w:rPr>
                <w:rFonts w:ascii="宋体" w:hAnsi="宋体"/>
                <w:szCs w:val="21"/>
              </w:rPr>
            </w:pPr>
            <w:r>
              <w:rPr>
                <w:rFonts w:hint="eastAsia" w:ascii="宋体" w:hAnsi="宋体" w:cs="宋体"/>
                <w:spacing w:val="-20"/>
              </w:rPr>
              <w:t>…</w:t>
            </w:r>
          </w:p>
        </w:tc>
        <w:tc>
          <w:tcPr>
            <w:tcW w:w="3840" w:type="dxa"/>
            <w:tcBorders>
              <w:bottom w:val="single" w:color="auto" w:sz="4" w:space="0"/>
            </w:tcBorders>
            <w:vAlign w:val="center"/>
          </w:tcPr>
          <w:p>
            <w:pPr>
              <w:pStyle w:val="21"/>
              <w:spacing w:line="400" w:lineRule="exact"/>
              <w:ind w:left="560" w:hanging="560"/>
              <w:jc w:val="center"/>
              <w:rPr>
                <w:rFonts w:hAnsi="宋体" w:cs="Times New Roman"/>
              </w:rPr>
            </w:pPr>
            <w:r>
              <w:rPr>
                <w:rFonts w:hint="eastAsia" w:hAnsi="宋体" w:cs="宋体"/>
                <w:spacing w:val="-20"/>
              </w:rPr>
              <w:t>…</w:t>
            </w:r>
          </w:p>
        </w:tc>
        <w:tc>
          <w:tcPr>
            <w:tcW w:w="1305" w:type="dxa"/>
            <w:tcBorders>
              <w:bottom w:val="single" w:color="auto" w:sz="4" w:space="0"/>
            </w:tcBorders>
            <w:vAlign w:val="center"/>
          </w:tcPr>
          <w:p>
            <w:pPr>
              <w:pStyle w:val="21"/>
              <w:spacing w:line="400" w:lineRule="exact"/>
              <w:ind w:left="560" w:hanging="560"/>
              <w:jc w:val="center"/>
              <w:rPr>
                <w:rFonts w:hAnsi="宋体" w:cs="Times New Roman"/>
              </w:rPr>
            </w:pPr>
            <w:r>
              <w:rPr>
                <w:rFonts w:hint="eastAsia" w:hAnsi="宋体" w:cs="宋体"/>
                <w:spacing w:val="-20"/>
              </w:rPr>
              <w:t>…</w:t>
            </w:r>
          </w:p>
        </w:tc>
        <w:tc>
          <w:tcPr>
            <w:tcW w:w="1185" w:type="dxa"/>
            <w:tcBorders>
              <w:bottom w:val="single" w:color="auto" w:sz="4" w:space="0"/>
            </w:tcBorders>
            <w:vAlign w:val="center"/>
          </w:tcPr>
          <w:p>
            <w:pPr>
              <w:pStyle w:val="21"/>
              <w:spacing w:line="400" w:lineRule="exact"/>
              <w:ind w:left="560" w:hanging="560"/>
              <w:jc w:val="center"/>
              <w:rPr>
                <w:rFonts w:hAnsi="宋体" w:cs="Times New Roman"/>
              </w:rPr>
            </w:pPr>
            <w:r>
              <w:rPr>
                <w:rFonts w:hint="eastAsia" w:hAnsi="宋体" w:cs="宋体"/>
                <w:spacing w:val="-20"/>
              </w:rPr>
              <w:t>…</w:t>
            </w:r>
          </w:p>
        </w:tc>
        <w:tc>
          <w:tcPr>
            <w:tcW w:w="1304" w:type="dxa"/>
            <w:tcBorders>
              <w:bottom w:val="single" w:color="auto" w:sz="4" w:space="0"/>
            </w:tcBorders>
            <w:vAlign w:val="center"/>
          </w:tcPr>
          <w:p>
            <w:pPr>
              <w:pStyle w:val="21"/>
              <w:spacing w:line="400" w:lineRule="exact"/>
              <w:ind w:left="560" w:hanging="560"/>
              <w:jc w:val="center"/>
              <w:rPr>
                <w:rFonts w:hAnsi="宋体"/>
              </w:rPr>
            </w:pPr>
            <w:r>
              <w:rPr>
                <w:rFonts w:hint="eastAsia" w:hAnsi="宋体" w:cs="宋体"/>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49" w:type="dxa"/>
            <w:gridSpan w:val="6"/>
            <w:vAlign w:val="center"/>
          </w:tcPr>
          <w:p>
            <w:pPr>
              <w:pStyle w:val="21"/>
              <w:ind w:left="536" w:hanging="536"/>
              <w:rPr>
                <w:rFonts w:hAnsi="宋体"/>
                <w:spacing w:val="-6"/>
              </w:rPr>
            </w:pPr>
            <w:r>
              <w:rPr>
                <w:rFonts w:hint="eastAsia" w:hAnsi="宋体"/>
                <w:spacing w:val="-6"/>
              </w:rPr>
              <w:t>总报价（人民币大写）：</w:t>
            </w:r>
            <w:r>
              <w:rPr>
                <w:rFonts w:hint="eastAsia" w:hAnsi="宋体"/>
                <w:spacing w:val="-6"/>
                <w:u w:val="single"/>
              </w:rPr>
              <w:t xml:space="preserve">                                       </w:t>
            </w:r>
            <w:r>
              <w:rPr>
                <w:rFonts w:hint="eastAsia" w:hAnsi="宋体"/>
                <w:spacing w:val="-6"/>
              </w:rPr>
              <w:t>（¥</w:t>
            </w:r>
            <w:r>
              <w:rPr>
                <w:rFonts w:hint="eastAsia" w:hAnsi="宋体"/>
                <w:spacing w:val="-6"/>
                <w:u w:val="single"/>
              </w:rPr>
              <w:t xml:space="preserve">                </w:t>
            </w:r>
            <w:r>
              <w:rPr>
                <w:rFonts w:hint="eastAsia" w:hAnsi="宋体"/>
                <w:spacing w:val="-6"/>
              </w:rPr>
              <w:t>元）</w:t>
            </w:r>
          </w:p>
        </w:tc>
      </w:tr>
    </w:tbl>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注：1、所有价格均用人民币表示，单位为元，精确到小数点后两位数。</w:t>
      </w:r>
    </w:p>
    <w:p>
      <w:pPr>
        <w:spacing w:line="400" w:lineRule="exact"/>
        <w:ind w:firstLine="411" w:firstLineChars="196"/>
        <w:rPr>
          <w:rFonts w:ascii="宋体" w:hAnsi="宋体"/>
          <w:szCs w:val="21"/>
        </w:rPr>
      </w:pPr>
      <w:r>
        <w:rPr>
          <w:rFonts w:hint="eastAsia" w:hAnsi="宋体"/>
          <w:bCs/>
        </w:rPr>
        <w:t>2、报价指服务费、管理费、验收费、利润、税金及其它所有成本、费用的总和</w:t>
      </w:r>
      <w:r>
        <w:rPr>
          <w:rFonts w:hint="eastAsia" w:ascii="宋体" w:hAnsi="宋体"/>
          <w:szCs w:val="21"/>
        </w:rPr>
        <w:t>。</w:t>
      </w:r>
    </w:p>
    <w:p>
      <w:pPr>
        <w:pStyle w:val="21"/>
        <w:spacing w:line="500" w:lineRule="exact"/>
        <w:ind w:firstLine="420" w:firstLineChars="200"/>
        <w:rPr>
          <w:rFonts w:hAnsi="宋体"/>
        </w:rPr>
      </w:pPr>
    </w:p>
    <w:p>
      <w:pPr>
        <w:pStyle w:val="21"/>
        <w:spacing w:line="500" w:lineRule="exact"/>
        <w:ind w:firstLine="420" w:firstLineChars="200"/>
        <w:rPr>
          <w:rFonts w:hAnsi="宋体"/>
          <w:u w:val="single"/>
        </w:rPr>
      </w:pPr>
      <w:r>
        <w:rPr>
          <w:rFonts w:hint="eastAsia" w:hAnsi="宋体"/>
        </w:rPr>
        <w:t>法定代表人或委托代理人（签字或盖章）:</w:t>
      </w:r>
      <w:r>
        <w:rPr>
          <w:rFonts w:hint="eastAsia" w:hAnsi="宋体"/>
          <w:u w:val="single"/>
        </w:rPr>
        <w:t xml:space="preserve">              </w:t>
      </w:r>
    </w:p>
    <w:p>
      <w:pPr>
        <w:pStyle w:val="21"/>
        <w:spacing w:line="500" w:lineRule="exact"/>
        <w:ind w:firstLine="420" w:firstLineChars="200"/>
        <w:rPr>
          <w:rFonts w:hAnsi="宋体"/>
          <w:u w:val="single"/>
        </w:rPr>
      </w:pPr>
      <w:r>
        <w:rPr>
          <w:rFonts w:hint="eastAsia" w:hAnsi="宋体"/>
        </w:rPr>
        <w:t>磋商供应商名称（盖章）：</w:t>
      </w:r>
      <w:r>
        <w:rPr>
          <w:rFonts w:hint="eastAsia" w:hAnsi="宋体"/>
          <w:u w:val="single"/>
        </w:rPr>
        <w:t xml:space="preserve">                             </w:t>
      </w:r>
    </w:p>
    <w:p>
      <w:pPr>
        <w:spacing w:line="500" w:lineRule="exact"/>
        <w:ind w:firstLine="420" w:firstLineChars="200"/>
        <w:rPr>
          <w:rFonts w:hAnsi="宋体"/>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adjustRightInd w:val="0"/>
        <w:snapToGrid w:val="0"/>
        <w:spacing w:line="500" w:lineRule="exact"/>
        <w:ind w:left="-88" w:leftChars="-42"/>
        <w:rPr>
          <w:rFonts w:ascii="宋体" w:hAnsi="宋体"/>
          <w:szCs w:val="21"/>
        </w:rPr>
      </w:pPr>
      <w:r>
        <w:rPr>
          <w:rFonts w:hAnsi="宋体"/>
        </w:rPr>
        <w:br w:type="page"/>
      </w:r>
      <w:r>
        <w:rPr>
          <w:rFonts w:hint="eastAsia" w:ascii="宋体" w:hAnsi="宋体"/>
          <w:b/>
          <w:szCs w:val="21"/>
        </w:rPr>
        <w:t>附件二</w:t>
      </w:r>
    </w:p>
    <w:p>
      <w:pPr>
        <w:spacing w:line="520" w:lineRule="exact"/>
        <w:jc w:val="center"/>
        <w:rPr>
          <w:rFonts w:ascii="宋体" w:hAnsi="宋体"/>
          <w:b/>
          <w:sz w:val="32"/>
          <w:szCs w:val="32"/>
        </w:rPr>
      </w:pPr>
      <w:r>
        <w:rPr>
          <w:rFonts w:hint="eastAsia" w:ascii="宋体" w:hAnsi="宋体"/>
          <w:b/>
          <w:sz w:val="32"/>
          <w:szCs w:val="32"/>
        </w:rPr>
        <w:t>磋  商  书</w:t>
      </w:r>
    </w:p>
    <w:p>
      <w:pPr>
        <w:spacing w:line="520" w:lineRule="exact"/>
        <w:jc w:val="center"/>
        <w:rPr>
          <w:rFonts w:ascii="宋体" w:hAnsi="宋体"/>
          <w:b/>
          <w:szCs w:val="21"/>
        </w:rPr>
      </w:pPr>
    </w:p>
    <w:p>
      <w:pPr>
        <w:pStyle w:val="21"/>
        <w:spacing w:line="520" w:lineRule="exact"/>
        <w:rPr>
          <w:rFonts w:hAnsi="宋体"/>
        </w:rPr>
      </w:pPr>
      <w:r>
        <w:rPr>
          <w:rFonts w:hint="eastAsia" w:hAnsi="宋体"/>
          <w:u w:val="single"/>
        </w:rPr>
        <w:t>天勤工程咨询有限公司</w:t>
      </w:r>
      <w:r>
        <w:rPr>
          <w:rFonts w:hint="eastAsia" w:hAnsi="宋体"/>
        </w:rPr>
        <w:t>：</w:t>
      </w:r>
    </w:p>
    <w:p>
      <w:pPr>
        <w:pStyle w:val="21"/>
        <w:spacing w:line="520" w:lineRule="exact"/>
        <w:ind w:firstLine="480"/>
        <w:rPr>
          <w:rFonts w:hAnsi="宋体"/>
        </w:rPr>
      </w:pPr>
      <w:r>
        <w:rPr>
          <w:rFonts w:hint="eastAsia" w:hAnsi="宋体"/>
        </w:rPr>
        <w:t>依据贵方</w:t>
      </w:r>
      <w:r>
        <w:rPr>
          <w:rFonts w:hint="eastAsia" w:hAnsi="宋体"/>
          <w:u w:val="single"/>
        </w:rPr>
        <w:t>（</w:t>
      </w:r>
      <w:r>
        <w:rPr>
          <w:rFonts w:hint="eastAsia" w:hAnsi="宋体" w:cs="宋体"/>
        </w:rPr>
        <w:t>北斗卫星导航智能应用虚拟仿真实训基地</w:t>
      </w:r>
      <w:r>
        <w:rPr>
          <w:rFonts w:hint="eastAsia" w:hAnsi="宋体"/>
          <w:u w:val="single"/>
        </w:rPr>
        <w:t>/采购项目编号）</w:t>
      </w:r>
      <w:r>
        <w:rPr>
          <w:rFonts w:hint="eastAsia" w:hAnsi="宋体"/>
        </w:rPr>
        <w:t>项目政府采购的磋商邀请，我方</w:t>
      </w:r>
      <w:r>
        <w:rPr>
          <w:rFonts w:hint="eastAsia" w:hAnsi="宋体"/>
          <w:u w:val="single"/>
        </w:rPr>
        <w:t>（姓名和职务）</w:t>
      </w:r>
      <w:r>
        <w:rPr>
          <w:rFonts w:hint="eastAsia" w:hAnsi="宋体"/>
        </w:rPr>
        <w:t>经正式授权并代表本单位</w:t>
      </w:r>
      <w:r>
        <w:rPr>
          <w:rFonts w:hint="eastAsia" w:hAnsi="宋体"/>
          <w:u w:val="single"/>
        </w:rPr>
        <w:t>（磋商供应商名称、地址）</w:t>
      </w:r>
      <w:r>
        <w:rPr>
          <w:rFonts w:hint="eastAsia" w:hAnsi="宋体"/>
        </w:rPr>
        <w:t>提交下述竞争性磋商响应文件</w:t>
      </w:r>
      <w:r>
        <w:rPr>
          <w:rFonts w:hint="eastAsia" w:hAnsi="宋体"/>
          <w:b/>
        </w:rPr>
        <w:t>（价格文件、商务技术文件）。</w:t>
      </w:r>
    </w:p>
    <w:p>
      <w:pPr>
        <w:pStyle w:val="21"/>
        <w:spacing w:line="520" w:lineRule="exact"/>
        <w:ind w:firstLine="480"/>
        <w:rPr>
          <w:rFonts w:hAnsi="宋体"/>
        </w:rPr>
      </w:pPr>
      <w:r>
        <w:rPr>
          <w:rFonts w:hint="eastAsia" w:hAnsi="宋体"/>
        </w:rPr>
        <w:t>1. 报价表；</w:t>
      </w:r>
    </w:p>
    <w:p>
      <w:pPr>
        <w:pStyle w:val="21"/>
        <w:spacing w:line="520" w:lineRule="exact"/>
        <w:ind w:firstLine="480"/>
        <w:rPr>
          <w:rFonts w:hAnsi="宋体"/>
        </w:rPr>
      </w:pPr>
      <w:r>
        <w:rPr>
          <w:rFonts w:hint="eastAsia" w:hAnsi="宋体"/>
        </w:rPr>
        <w:t>2. 商务、服务响应、偏离情况说明表；</w:t>
      </w:r>
    </w:p>
    <w:p>
      <w:pPr>
        <w:pStyle w:val="21"/>
        <w:spacing w:line="520" w:lineRule="exact"/>
        <w:ind w:firstLine="480"/>
        <w:rPr>
          <w:rFonts w:hAnsi="宋体"/>
        </w:rPr>
      </w:pPr>
      <w:r>
        <w:rPr>
          <w:rFonts w:hint="eastAsia" w:hAnsi="宋体"/>
        </w:rPr>
        <w:t>3. 资格证明文件；</w:t>
      </w:r>
    </w:p>
    <w:p>
      <w:pPr>
        <w:pStyle w:val="21"/>
        <w:spacing w:line="520" w:lineRule="exact"/>
        <w:ind w:firstLine="480"/>
        <w:rPr>
          <w:rFonts w:hAnsi="宋体"/>
        </w:rPr>
      </w:pPr>
      <w:r>
        <w:rPr>
          <w:rFonts w:hint="eastAsia" w:hAnsi="宋体"/>
        </w:rPr>
        <w:t>4. 按竞争性磋商文件磋商供应商须知和采购需求提供的有关文件；</w:t>
      </w:r>
    </w:p>
    <w:p>
      <w:pPr>
        <w:pStyle w:val="21"/>
        <w:spacing w:line="520" w:lineRule="exact"/>
        <w:ind w:firstLine="480"/>
        <w:rPr>
          <w:rFonts w:hAnsi="宋体"/>
        </w:rPr>
      </w:pPr>
      <w:r>
        <w:rPr>
          <w:rFonts w:hint="eastAsia" w:hAnsi="宋体"/>
        </w:rPr>
        <w:t>在此，授权代表宣布同意如下：</w:t>
      </w:r>
    </w:p>
    <w:p>
      <w:pPr>
        <w:pStyle w:val="21"/>
        <w:spacing w:line="520" w:lineRule="exact"/>
        <w:ind w:firstLine="480"/>
        <w:rPr>
          <w:rFonts w:hAnsi="宋体"/>
        </w:rPr>
      </w:pPr>
      <w:r>
        <w:rPr>
          <w:rFonts w:hint="eastAsia" w:hAnsi="宋体"/>
        </w:rPr>
        <w:t>1. 将按竞争性磋商文件的约定履行合同责任和义务；</w:t>
      </w:r>
    </w:p>
    <w:p>
      <w:pPr>
        <w:pStyle w:val="21"/>
        <w:spacing w:line="520" w:lineRule="exact"/>
        <w:ind w:firstLine="480"/>
        <w:rPr>
          <w:rFonts w:hAnsi="宋体"/>
        </w:rPr>
      </w:pPr>
      <w:r>
        <w:rPr>
          <w:rFonts w:hint="eastAsia" w:hAnsi="宋体"/>
        </w:rPr>
        <w:t>2. 已详细审查全部竞争性磋商文件，包括</w:t>
      </w:r>
      <w:r>
        <w:rPr>
          <w:rFonts w:hint="eastAsia" w:hAnsi="宋体"/>
          <w:u w:val="single"/>
        </w:rPr>
        <w:t>（补遗文件）（如果有的话）</w:t>
      </w:r>
      <w:r>
        <w:rPr>
          <w:rFonts w:hint="eastAsia" w:hAnsi="宋体"/>
        </w:rPr>
        <w:t>；</w:t>
      </w:r>
    </w:p>
    <w:p>
      <w:pPr>
        <w:pStyle w:val="21"/>
        <w:spacing w:line="520" w:lineRule="exact"/>
        <w:ind w:firstLine="480"/>
        <w:rPr>
          <w:rFonts w:hAnsi="宋体"/>
        </w:rPr>
      </w:pPr>
      <w:r>
        <w:rPr>
          <w:rFonts w:hint="eastAsia" w:hAnsi="宋体"/>
        </w:rPr>
        <w:t>3. 同意提供按照贵方可能要求的与其磋商有关的一切数据或资料；</w:t>
      </w:r>
    </w:p>
    <w:p>
      <w:pPr>
        <w:pStyle w:val="21"/>
        <w:spacing w:line="520" w:lineRule="exact"/>
        <w:ind w:firstLine="480"/>
        <w:rPr>
          <w:rFonts w:hAnsi="宋体"/>
          <w:u w:val="single"/>
        </w:rPr>
      </w:pPr>
      <w:r>
        <w:rPr>
          <w:rFonts w:hint="eastAsia" w:hAnsi="宋体"/>
        </w:rPr>
        <w:t>4. 与本磋商有关的一切正式往来信函请寄：</w:t>
      </w:r>
      <w:r>
        <w:rPr>
          <w:rFonts w:hint="eastAsia" w:hAnsi="宋体"/>
          <w:u w:val="single"/>
        </w:rPr>
        <w:t xml:space="preserve">                                    </w:t>
      </w:r>
    </w:p>
    <w:p>
      <w:pPr>
        <w:pStyle w:val="21"/>
        <w:spacing w:line="520" w:lineRule="exact"/>
        <w:ind w:firstLine="840"/>
        <w:rPr>
          <w:rFonts w:hAnsi="宋体"/>
          <w:u w:val="single"/>
        </w:rPr>
      </w:pPr>
      <w:r>
        <w:rPr>
          <w:rFonts w:hint="eastAsia" w:hAnsi="宋体"/>
        </w:rPr>
        <w:t>开户银行：</w:t>
      </w:r>
      <w:r>
        <w:rPr>
          <w:rFonts w:hint="eastAsia" w:hAnsi="宋体"/>
          <w:u w:val="single"/>
        </w:rPr>
        <w:t xml:space="preserve">                         </w:t>
      </w:r>
      <w:r>
        <w:rPr>
          <w:rFonts w:hint="eastAsia" w:hAnsi="宋体"/>
        </w:rPr>
        <w:t xml:space="preserve">  账号/行号：</w:t>
      </w:r>
      <w:r>
        <w:rPr>
          <w:rFonts w:hint="eastAsia" w:hAnsi="宋体"/>
          <w:u w:val="single"/>
        </w:rPr>
        <w:t xml:space="preserve">                       </w:t>
      </w:r>
    </w:p>
    <w:p>
      <w:pPr>
        <w:pStyle w:val="21"/>
        <w:spacing w:line="520" w:lineRule="exact"/>
        <w:ind w:firstLine="840"/>
        <w:rPr>
          <w:rFonts w:hAnsi="宋体"/>
        </w:rPr>
      </w:pPr>
      <w:r>
        <w:rPr>
          <w:rFonts w:hint="eastAsia" w:hAnsi="宋体"/>
        </w:rPr>
        <w:t>电话/传真：</w:t>
      </w:r>
      <w:r>
        <w:rPr>
          <w:rFonts w:hint="eastAsia" w:hAnsi="宋体"/>
          <w:u w:val="single"/>
        </w:rPr>
        <w:t xml:space="preserve">                        </w:t>
      </w:r>
      <w:r>
        <w:rPr>
          <w:rFonts w:hint="eastAsia" w:hAnsi="宋体"/>
        </w:rPr>
        <w:t xml:space="preserve"> 电子函件：</w:t>
      </w:r>
      <w:r>
        <w:rPr>
          <w:rFonts w:hint="eastAsia" w:hAnsi="宋体"/>
          <w:u w:val="single"/>
        </w:rPr>
        <w:t xml:space="preserve">                         </w:t>
      </w:r>
    </w:p>
    <w:p>
      <w:pPr>
        <w:pStyle w:val="21"/>
        <w:spacing w:line="520" w:lineRule="exact"/>
        <w:ind w:firstLine="840"/>
        <w:rPr>
          <w:rFonts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21"/>
        <w:spacing w:line="520" w:lineRule="exact"/>
        <w:ind w:firstLine="840"/>
        <w:rPr>
          <w:rFonts w:hAnsi="宋体"/>
          <w:u w:val="single"/>
        </w:rPr>
      </w:pPr>
      <w:r>
        <w:rPr>
          <w:rFonts w:hint="eastAsia" w:hAnsi="宋体"/>
        </w:rPr>
        <w:t>法定代表人或</w:t>
      </w:r>
      <w:r>
        <w:rPr>
          <w:rFonts w:hint="eastAsia"/>
        </w:rPr>
        <w:t>委托代理人（被授权人）</w:t>
      </w:r>
      <w:r>
        <w:rPr>
          <w:rFonts w:hint="eastAsia" w:hAnsi="宋体"/>
        </w:rPr>
        <w:t>签字或盖章：</w:t>
      </w:r>
      <w:r>
        <w:rPr>
          <w:rFonts w:hint="eastAsia" w:hAnsi="宋体"/>
          <w:u w:val="single"/>
        </w:rPr>
        <w:t xml:space="preserve">                       </w:t>
      </w:r>
    </w:p>
    <w:p>
      <w:pPr>
        <w:pStyle w:val="21"/>
        <w:spacing w:line="520" w:lineRule="exact"/>
        <w:ind w:firstLine="840"/>
        <w:rPr>
          <w:rFonts w:hAnsi="宋体"/>
        </w:rPr>
      </w:pPr>
      <w:r>
        <w:rPr>
          <w:rFonts w:hint="eastAsia" w:hAnsi="宋体"/>
        </w:rPr>
        <w:t>磋商供应商名称（盖章）：</w:t>
      </w:r>
      <w:r>
        <w:rPr>
          <w:rFonts w:hint="eastAsia" w:hAnsi="宋体"/>
          <w:u w:val="single"/>
        </w:rPr>
        <w:t xml:space="preserve">                                                </w:t>
      </w:r>
    </w:p>
    <w:p>
      <w:pPr>
        <w:pStyle w:val="21"/>
        <w:spacing w:line="520" w:lineRule="exact"/>
        <w:ind w:firstLine="840"/>
        <w:rPr>
          <w:rFonts w:hAnsi="宋体"/>
        </w:rPr>
      </w:pPr>
      <w:r>
        <w:rPr>
          <w:rFonts w:hint="eastAsia" w:hAnsi="宋体"/>
        </w:rPr>
        <w:t xml:space="preserve">                     </w:t>
      </w:r>
    </w:p>
    <w:p>
      <w:pPr>
        <w:adjustRightInd w:val="0"/>
        <w:snapToGrid w:val="0"/>
        <w:spacing w:line="300" w:lineRule="auto"/>
        <w:ind w:left="-88" w:leftChars="-42"/>
        <w:rPr>
          <w:rFonts w:ascii="宋体" w:hAnsi="宋体"/>
          <w:szCs w:val="21"/>
        </w:rPr>
      </w:pPr>
    </w:p>
    <w:p>
      <w:pPr>
        <w:adjustRightInd w:val="0"/>
        <w:snapToGrid w:val="0"/>
        <w:spacing w:line="300" w:lineRule="auto"/>
        <w:ind w:left="-88" w:leftChars="-42"/>
        <w:rPr>
          <w:rFonts w:ascii="宋体" w:hAnsi="宋体"/>
          <w:szCs w:val="21"/>
        </w:rPr>
      </w:pPr>
    </w:p>
    <w:p>
      <w:pPr>
        <w:adjustRightInd w:val="0"/>
        <w:snapToGrid w:val="0"/>
        <w:spacing w:line="300" w:lineRule="auto"/>
        <w:ind w:left="-88" w:leftChars="-42"/>
        <w:rPr>
          <w:rFonts w:ascii="宋体" w:hAnsi="宋体"/>
          <w:szCs w:val="21"/>
        </w:rPr>
      </w:pPr>
    </w:p>
    <w:p>
      <w:pPr>
        <w:adjustRightInd w:val="0"/>
        <w:snapToGrid w:val="0"/>
        <w:spacing w:line="300" w:lineRule="auto"/>
        <w:ind w:left="-88" w:leftChars="-42"/>
        <w:rPr>
          <w:rFonts w:ascii="宋体" w:hAnsi="宋体"/>
          <w:szCs w:val="21"/>
        </w:rPr>
      </w:pPr>
    </w:p>
    <w:p>
      <w:pPr>
        <w:adjustRightInd w:val="0"/>
        <w:snapToGrid w:val="0"/>
        <w:spacing w:line="300" w:lineRule="auto"/>
        <w:ind w:left="-88" w:leftChars="-42"/>
        <w:rPr>
          <w:rFonts w:ascii="宋体" w:hAnsi="宋体"/>
          <w:szCs w:val="21"/>
        </w:rPr>
      </w:pPr>
    </w:p>
    <w:p>
      <w:pPr>
        <w:adjustRightInd w:val="0"/>
        <w:snapToGrid w:val="0"/>
        <w:spacing w:line="300" w:lineRule="auto"/>
        <w:ind w:left="-88" w:leftChars="-42"/>
        <w:rPr>
          <w:rFonts w:ascii="宋体" w:hAnsi="宋体"/>
          <w:szCs w:val="21"/>
        </w:rPr>
      </w:pPr>
    </w:p>
    <w:p>
      <w:pPr>
        <w:spacing w:line="520" w:lineRule="exact"/>
        <w:jc w:val="center"/>
        <w:rPr>
          <w:rFonts w:ascii="宋体" w:hAnsi="宋体"/>
          <w:b/>
          <w:sz w:val="32"/>
          <w:szCs w:val="32"/>
        </w:rPr>
      </w:pPr>
      <w:r>
        <w:rPr>
          <w:rFonts w:ascii="宋体" w:hAnsi="宋体"/>
          <w:sz w:val="32"/>
          <w:szCs w:val="32"/>
        </w:rPr>
        <w:br w:type="page"/>
      </w:r>
      <w:r>
        <w:rPr>
          <w:rFonts w:hint="eastAsia" w:ascii="宋体" w:hAnsi="宋体"/>
          <w:b/>
          <w:sz w:val="32"/>
          <w:szCs w:val="32"/>
        </w:rPr>
        <w:t>磋商声明书</w:t>
      </w:r>
    </w:p>
    <w:p>
      <w:pPr>
        <w:spacing w:line="320" w:lineRule="exact"/>
        <w:jc w:val="center"/>
        <w:rPr>
          <w:rFonts w:ascii="宋体" w:hAnsi="宋体"/>
          <w:sz w:val="24"/>
          <w:szCs w:val="20"/>
        </w:rPr>
      </w:pPr>
    </w:p>
    <w:p>
      <w:pPr>
        <w:snapToGrid w:val="0"/>
        <w:spacing w:beforeLines="50" w:after="50" w:line="380" w:lineRule="exact"/>
        <w:rPr>
          <w:rFonts w:ascii="宋体" w:hAnsi="宋体"/>
          <w:szCs w:val="21"/>
        </w:rPr>
      </w:pPr>
      <w:r>
        <w:rPr>
          <w:rFonts w:hint="eastAsia" w:ascii="宋体" w:hAnsi="宋体"/>
          <w:szCs w:val="21"/>
        </w:rPr>
        <w:t>致：</w:t>
      </w:r>
      <w:r>
        <w:rPr>
          <w:rFonts w:hint="eastAsia" w:ascii="宋体" w:hAnsi="宋体"/>
          <w:szCs w:val="21"/>
          <w:u w:val="single"/>
        </w:rPr>
        <w:t>天勤工程咨询有限公司</w:t>
      </w:r>
      <w:r>
        <w:rPr>
          <w:rFonts w:hint="eastAsia" w:ascii="宋体" w:hAnsi="宋体"/>
          <w:szCs w:val="21"/>
        </w:rPr>
        <w:t>：</w:t>
      </w:r>
    </w:p>
    <w:p>
      <w:pPr>
        <w:snapToGrid w:val="0"/>
        <w:spacing w:beforeLines="50" w:after="50" w:line="38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（供应商名称）系中华人民共和国合法企业，经营地址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beforeLines="50" w:line="38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（供应商名称）的法定代表人，我方愿意参加贵方组织的</w:t>
      </w:r>
      <w:r>
        <w:rPr>
          <w:rFonts w:hint="eastAsia" w:ascii="宋体" w:hAnsi="宋体"/>
          <w:szCs w:val="21"/>
          <w:u w:val="single"/>
        </w:rPr>
        <w:t xml:space="preserve">              </w:t>
      </w:r>
      <w:r>
        <w:rPr>
          <w:rFonts w:hint="eastAsia" w:ascii="宋体" w:hAnsi="宋体"/>
          <w:szCs w:val="21"/>
        </w:rPr>
        <w:t>项目的磋商活动，为便于贵方公正、择优地确定成交供应商及其竞标产品和服务，我方就本次磋商有关事项郑重声明如下：</w:t>
      </w:r>
    </w:p>
    <w:p>
      <w:pPr>
        <w:snapToGrid w:val="0"/>
        <w:spacing w:line="38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pPr>
        <w:snapToGrid w:val="0"/>
        <w:spacing w:beforeLines="50" w:line="38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Lines="50" w:line="380" w:lineRule="exact"/>
        <w:ind w:firstLine="420" w:firstLineChars="200"/>
        <w:rPr>
          <w:rFonts w:ascii="宋体" w:hAnsi="宋体"/>
          <w:szCs w:val="21"/>
        </w:rPr>
      </w:pPr>
      <w:r>
        <w:rPr>
          <w:rFonts w:hint="eastAsia" w:ascii="宋体" w:hAnsi="宋体"/>
          <w:szCs w:val="21"/>
        </w:rPr>
        <w:t>3.我方此次向贵方提供的产品（服务）名称为：</w:t>
      </w:r>
      <w:r>
        <w:rPr>
          <w:rFonts w:hint="eastAsia" w:ascii="宋体" w:hAnsi="宋体"/>
          <w:szCs w:val="21"/>
          <w:u w:val="single"/>
        </w:rPr>
        <w:t xml:space="preserve">                              </w:t>
      </w:r>
      <w:r>
        <w:rPr>
          <w:rFonts w:hint="eastAsia" w:ascii="宋体" w:hAnsi="宋体"/>
          <w:szCs w:val="21"/>
        </w:rPr>
        <w:t>；我方承诺具备履行合同所必需的设备和专业技术能力。</w:t>
      </w:r>
    </w:p>
    <w:p>
      <w:pPr>
        <w:snapToGrid w:val="0"/>
        <w:spacing w:beforeLines="50" w:line="380" w:lineRule="exact"/>
        <w:ind w:firstLine="420" w:firstLineChars="200"/>
        <w:rPr>
          <w:rFonts w:ascii="宋体" w:hAnsi="宋体"/>
          <w:szCs w:val="21"/>
        </w:rPr>
      </w:pPr>
      <w:r>
        <w:rPr>
          <w:rFonts w:hint="eastAsia" w:ascii="宋体" w:hAnsi="宋体"/>
          <w:szCs w:val="21"/>
        </w:rPr>
        <w:t>4.我方诚意提请贵方关注：近期有关该型号产品（服务）的生产、供货、售后服务以及性能等方面的重大决策和事项有：</w:t>
      </w:r>
    </w:p>
    <w:p>
      <w:pPr>
        <w:snapToGrid w:val="0"/>
        <w:spacing w:beforeLines="50" w:line="380" w:lineRule="exact"/>
        <w:ind w:firstLine="420" w:firstLineChars="200"/>
        <w:rPr>
          <w:rFonts w:ascii="宋体" w:hAnsi="宋体"/>
          <w:szCs w:val="21"/>
          <w:u w:val="single"/>
        </w:rPr>
      </w:pPr>
      <w:r>
        <w:rPr>
          <w:rFonts w:hint="eastAsia" w:ascii="宋体" w:hAnsi="宋体"/>
          <w:szCs w:val="21"/>
          <w:u w:val="single"/>
        </w:rPr>
        <w:t>　　　　　　　　　　　　　　　　　　　　　　　　　　　</w:t>
      </w:r>
    </w:p>
    <w:p>
      <w:pPr>
        <w:snapToGrid w:val="0"/>
        <w:spacing w:beforeLines="50" w:line="380" w:lineRule="exact"/>
        <w:ind w:firstLine="420" w:firstLineChars="200"/>
        <w:rPr>
          <w:rFonts w:ascii="宋体" w:hAnsi="宋体"/>
          <w:szCs w:val="21"/>
        </w:rPr>
      </w:pPr>
      <w:r>
        <w:rPr>
          <w:rFonts w:hint="eastAsia" w:ascii="宋体" w:hAnsi="宋体"/>
          <w:szCs w:val="21"/>
          <w:u w:val="single"/>
        </w:rPr>
        <w:t>　　　　　　　　　　　　　　　　　　　　　　　　　　　</w:t>
      </w:r>
    </w:p>
    <w:p>
      <w:pPr>
        <w:pStyle w:val="18"/>
        <w:snapToGrid w:val="0"/>
        <w:spacing w:line="380" w:lineRule="exact"/>
        <w:ind w:firstLine="420" w:firstLineChars="200"/>
        <w:rPr>
          <w:rFonts w:ascii="宋体" w:hAnsi="宋体"/>
          <w:sz w:val="21"/>
          <w:szCs w:val="21"/>
          <w:u w:val="single"/>
        </w:rPr>
      </w:pPr>
      <w:r>
        <w:rPr>
          <w:rFonts w:hint="eastAsia" w:ascii="宋体" w:hAnsi="宋体" w:eastAsia="宋体"/>
          <w:sz w:val="21"/>
          <w:szCs w:val="21"/>
        </w:rPr>
        <w:t>5. 以上事项如有虚假或隐瞒，我方愿意承担一切后果，并不再寻求任何旨在减轻或免除法律责任的辩解。</w:t>
      </w:r>
    </w:p>
    <w:p>
      <w:pPr>
        <w:spacing w:line="380" w:lineRule="exact"/>
        <w:ind w:firstLine="420" w:firstLineChars="200"/>
        <w:rPr>
          <w:rFonts w:ascii="宋体" w:hAnsi="宋体"/>
          <w:szCs w:val="21"/>
        </w:rPr>
      </w:pPr>
      <w:r>
        <w:rPr>
          <w:rFonts w:hint="eastAsia" w:ascii="宋体" w:hAnsi="宋体"/>
          <w:szCs w:val="21"/>
        </w:rPr>
        <w:t>6. 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pPr>
        <w:spacing w:line="380" w:lineRule="exact"/>
        <w:ind w:firstLine="420" w:firstLineChars="200"/>
        <w:rPr>
          <w:rFonts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pPr>
        <w:spacing w:line="380" w:lineRule="exact"/>
        <w:ind w:firstLine="420" w:firstLineChars="200"/>
        <w:rPr>
          <w:rFonts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80" w:lineRule="exact"/>
        <w:ind w:firstLine="420" w:firstLineChars="200"/>
        <w:rPr>
          <w:rFonts w:ascii="宋体" w:hAnsi="宋体"/>
          <w:szCs w:val="21"/>
        </w:rPr>
      </w:pPr>
      <w:r>
        <w:rPr>
          <w:rFonts w:hint="eastAsia" w:ascii="宋体" w:hAnsi="宋体"/>
          <w:szCs w:val="21"/>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20"/>
        <w:tabs>
          <w:tab w:val="left" w:pos="939"/>
        </w:tabs>
        <w:snapToGrid w:val="0"/>
        <w:spacing w:line="380" w:lineRule="exact"/>
        <w:ind w:left="849" w:leftChars="150" w:hanging="534" w:hangingChars="191"/>
        <w:rPr>
          <w:rFonts w:ascii="宋体" w:hAnsi="宋体"/>
          <w:szCs w:val="21"/>
        </w:rPr>
      </w:pPr>
    </w:p>
    <w:p>
      <w:pPr>
        <w:pStyle w:val="100"/>
        <w:snapToGrid w:val="0"/>
        <w:spacing w:beforeLines="50" w:line="380" w:lineRule="exact"/>
        <w:ind w:firstLine="200"/>
        <w:rPr>
          <w:rFonts w:ascii="宋体" w:hAnsi="宋体"/>
          <w:sz w:val="21"/>
          <w:szCs w:val="21"/>
        </w:rPr>
      </w:pPr>
    </w:p>
    <w:p>
      <w:pPr>
        <w:snapToGrid w:val="0"/>
        <w:spacing w:beforeLines="50" w:line="380" w:lineRule="exact"/>
        <w:ind w:right="480" w:firstLine="5628" w:firstLineChars="2680"/>
        <w:rPr>
          <w:rFonts w:ascii="宋体" w:hAnsi="宋体"/>
          <w:szCs w:val="21"/>
          <w:u w:val="single"/>
        </w:rPr>
      </w:pPr>
      <w:r>
        <w:rPr>
          <w:rFonts w:hint="eastAsia" w:ascii="宋体" w:hAnsi="宋体"/>
          <w:szCs w:val="21"/>
        </w:rPr>
        <w:t>法定代表人签字或盖章：</w:t>
      </w:r>
      <w:r>
        <w:rPr>
          <w:rFonts w:hint="eastAsia" w:ascii="宋体" w:hAnsi="宋体"/>
          <w:szCs w:val="21"/>
          <w:u w:val="single"/>
        </w:rPr>
        <w:t xml:space="preserve">             </w:t>
      </w:r>
    </w:p>
    <w:p>
      <w:pPr>
        <w:snapToGrid w:val="0"/>
        <w:spacing w:beforeLines="50" w:after="50" w:line="380" w:lineRule="exact"/>
        <w:ind w:right="480" w:firstLine="5670" w:firstLineChars="2700"/>
        <w:rPr>
          <w:rFonts w:ascii="宋体" w:hAnsi="宋体"/>
          <w:szCs w:val="21"/>
        </w:rPr>
      </w:pPr>
      <w:r>
        <w:rPr>
          <w:rFonts w:hint="eastAsia" w:ascii="宋体" w:hAnsi="宋体"/>
          <w:szCs w:val="21"/>
        </w:rPr>
        <w:t>供应商公章：</w:t>
      </w:r>
      <w:r>
        <w:rPr>
          <w:rFonts w:hint="eastAsia" w:ascii="宋体" w:hAnsi="宋体"/>
          <w:szCs w:val="21"/>
          <w:u w:val="single"/>
        </w:rPr>
        <w:t xml:space="preserve">                 </w:t>
      </w:r>
    </w:p>
    <w:p>
      <w:pPr>
        <w:snapToGrid w:val="0"/>
        <w:spacing w:beforeLines="50" w:after="50" w:line="380" w:lineRule="exact"/>
        <w:ind w:right="900" w:firstLine="210" w:firstLineChars="100"/>
        <w:jc w:val="right"/>
        <w:rPr>
          <w:rFonts w:ascii="宋体" w:hAnsi="宋体"/>
          <w:szCs w:val="21"/>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adjustRightInd w:val="0"/>
        <w:snapToGrid w:val="0"/>
        <w:spacing w:line="500" w:lineRule="exact"/>
        <w:rPr>
          <w:rFonts w:ascii="宋体" w:hAnsi="宋体"/>
          <w:b/>
          <w:szCs w:val="21"/>
        </w:rPr>
      </w:pPr>
      <w:r>
        <w:rPr>
          <w:rFonts w:ascii="宋体" w:hAnsi="宋体"/>
          <w:szCs w:val="21"/>
        </w:rPr>
        <w:br w:type="page"/>
      </w:r>
      <w:r>
        <w:rPr>
          <w:rFonts w:hint="eastAsia" w:ascii="宋体" w:hAnsi="宋体"/>
          <w:b/>
          <w:szCs w:val="21"/>
        </w:rPr>
        <w:t xml:space="preserve">附件三 </w:t>
      </w:r>
    </w:p>
    <w:p>
      <w:pPr>
        <w:spacing w:line="300" w:lineRule="auto"/>
        <w:jc w:val="center"/>
        <w:rPr>
          <w:rFonts w:ascii="宋体" w:hAnsi="宋体"/>
          <w:b/>
          <w:sz w:val="32"/>
          <w:szCs w:val="32"/>
        </w:rPr>
      </w:pPr>
      <w:r>
        <w:rPr>
          <w:rFonts w:hint="eastAsia" w:ascii="宋体" w:hAnsi="宋体"/>
          <w:b/>
          <w:sz w:val="32"/>
          <w:szCs w:val="32"/>
        </w:rPr>
        <w:t>商务、服务响应、偏离情况说明表</w:t>
      </w:r>
    </w:p>
    <w:p>
      <w:pPr>
        <w:spacing w:line="300" w:lineRule="auto"/>
        <w:rPr>
          <w:rFonts w:ascii="宋体" w:hAnsi="宋体"/>
          <w:szCs w:val="21"/>
        </w:rPr>
      </w:pPr>
    </w:p>
    <w:p>
      <w:pPr>
        <w:spacing w:line="500" w:lineRule="exact"/>
        <w:rPr>
          <w:rFonts w:ascii="宋体" w:hAnsi="宋体" w:cs="宋体"/>
        </w:rPr>
      </w:pPr>
      <w:r>
        <w:rPr>
          <w:rFonts w:hint="eastAsia" w:ascii="宋体" w:hAnsi="宋体"/>
          <w:szCs w:val="21"/>
        </w:rPr>
        <w:t>采购项目名称:</w:t>
      </w:r>
      <w:r>
        <w:rPr>
          <w:rFonts w:hint="eastAsia" w:ascii="宋体" w:hAnsi="宋体" w:cs="宋体"/>
        </w:rPr>
        <w:t>北斗卫星导航智能应用虚拟仿真实训基地</w:t>
      </w:r>
    </w:p>
    <w:p>
      <w:pPr>
        <w:spacing w:line="500" w:lineRule="exact"/>
        <w:rPr>
          <w:rFonts w:ascii="宋体" w:hAnsi="宋体"/>
          <w:szCs w:val="21"/>
          <w:u w:val="single"/>
        </w:rPr>
      </w:pPr>
      <w:r>
        <w:rPr>
          <w:rFonts w:hint="eastAsia" w:ascii="宋体" w:hAnsi="宋体"/>
          <w:szCs w:val="21"/>
        </w:rPr>
        <w:t>采购项目编号:GXZC2024-C3-004824-TQGC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pPr>
              <w:jc w:val="center"/>
            </w:pPr>
            <w:bookmarkStart w:id="53" w:name="_Toc173211900"/>
            <w:bookmarkStart w:id="54" w:name="_Toc173066401"/>
            <w:bookmarkStart w:id="55" w:name="_Toc254970729"/>
            <w:bookmarkStart w:id="56" w:name="_Toc254970588"/>
            <w:r>
              <w:rPr>
                <w:rFonts w:hint="eastAsia"/>
              </w:rPr>
              <w:t>序号</w:t>
            </w:r>
            <w:bookmarkEnd w:id="53"/>
            <w:bookmarkEnd w:id="54"/>
            <w:bookmarkEnd w:id="55"/>
            <w:bookmarkEnd w:id="56"/>
          </w:p>
        </w:tc>
        <w:tc>
          <w:tcPr>
            <w:tcW w:w="3013" w:type="dxa"/>
            <w:vAlign w:val="center"/>
          </w:tcPr>
          <w:p>
            <w:pPr>
              <w:jc w:val="center"/>
            </w:pPr>
            <w:bookmarkStart w:id="57" w:name="_Toc254970730"/>
            <w:bookmarkStart w:id="58" w:name="_Toc173066402"/>
            <w:bookmarkStart w:id="59" w:name="_Toc173211901"/>
            <w:bookmarkStart w:id="60" w:name="_Toc254970589"/>
            <w:r>
              <w:rPr>
                <w:rFonts w:hint="eastAsia"/>
              </w:rPr>
              <w:t>竞争性磋商文件要求</w:t>
            </w:r>
            <w:bookmarkEnd w:id="57"/>
            <w:bookmarkEnd w:id="58"/>
            <w:bookmarkEnd w:id="59"/>
            <w:bookmarkEnd w:id="60"/>
          </w:p>
        </w:tc>
        <w:tc>
          <w:tcPr>
            <w:tcW w:w="3159" w:type="dxa"/>
            <w:vAlign w:val="center"/>
          </w:tcPr>
          <w:p>
            <w:pPr>
              <w:jc w:val="center"/>
            </w:pPr>
            <w:bookmarkStart w:id="61" w:name="_Toc254970590"/>
            <w:bookmarkStart w:id="62" w:name="_Toc254970731"/>
            <w:bookmarkStart w:id="63" w:name="_Toc173211902"/>
            <w:bookmarkStart w:id="64" w:name="_Toc173066403"/>
            <w:r>
              <w:rPr>
                <w:rFonts w:hint="eastAsia"/>
              </w:rPr>
              <w:t>竞争性磋商响应文件具体响应</w:t>
            </w:r>
            <w:bookmarkEnd w:id="61"/>
            <w:bookmarkEnd w:id="62"/>
            <w:bookmarkEnd w:id="63"/>
            <w:bookmarkEnd w:id="64"/>
          </w:p>
        </w:tc>
        <w:tc>
          <w:tcPr>
            <w:tcW w:w="1571" w:type="dxa"/>
            <w:vAlign w:val="center"/>
          </w:tcPr>
          <w:p>
            <w:pPr>
              <w:jc w:val="center"/>
            </w:pPr>
            <w:bookmarkStart w:id="65" w:name="_Toc173066404"/>
            <w:bookmarkStart w:id="66" w:name="_Toc254970732"/>
            <w:bookmarkStart w:id="67" w:name="_Toc173211903"/>
            <w:bookmarkStart w:id="68" w:name="_Toc254970591"/>
            <w:r>
              <w:rPr>
                <w:rFonts w:hint="eastAsia"/>
              </w:rPr>
              <w:t>响应/偏离</w:t>
            </w:r>
            <w:bookmarkEnd w:id="65"/>
            <w:bookmarkEnd w:id="66"/>
            <w:bookmarkEnd w:id="67"/>
            <w:bookmarkEnd w:id="68"/>
          </w:p>
        </w:tc>
        <w:tc>
          <w:tcPr>
            <w:tcW w:w="146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pPr>
              <w:jc w:val="center"/>
            </w:pPr>
            <w:bookmarkStart w:id="69" w:name="_Toc476258666"/>
            <w:r>
              <w:rPr>
                <w:rFonts w:hint="eastAsia"/>
              </w:rPr>
              <w:t>商务部分</w:t>
            </w:r>
            <w:bookmarkEnd w:id="69"/>
            <w:r>
              <w:rPr>
                <w:rFonts w:hint="eastAsia"/>
              </w:rPr>
              <w:t>（商务要求表）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pPr>
              <w:jc w:val="center"/>
            </w:pPr>
            <w:bookmarkStart w:id="70" w:name="_Toc254970593"/>
            <w:bookmarkStart w:id="71" w:name="_Toc173066406"/>
            <w:bookmarkStart w:id="72" w:name="_Toc173211905"/>
            <w:bookmarkStart w:id="73" w:name="_Toc254970734"/>
            <w:r>
              <w:rPr>
                <w:rFonts w:hint="eastAsia"/>
              </w:rPr>
              <w:t>1</w:t>
            </w:r>
            <w:bookmarkEnd w:id="70"/>
            <w:bookmarkEnd w:id="71"/>
            <w:bookmarkEnd w:id="72"/>
            <w:bookmarkEnd w:id="73"/>
          </w:p>
        </w:tc>
        <w:tc>
          <w:tcPr>
            <w:tcW w:w="3013" w:type="dxa"/>
            <w:vAlign w:val="center"/>
          </w:tcPr>
          <w:p>
            <w:pPr>
              <w:tabs>
                <w:tab w:val="left" w:pos="180"/>
                <w:tab w:val="left" w:pos="1620"/>
              </w:tabs>
              <w:spacing w:line="400" w:lineRule="exact"/>
              <w:jc w:val="center"/>
              <w:rPr>
                <w:rFonts w:ascii="宋体" w:hAnsi="宋体"/>
                <w:szCs w:val="21"/>
              </w:rPr>
            </w:pPr>
            <w:r>
              <w:rPr>
                <w:rFonts w:hint="eastAsia" w:ascii="宋体" w:hAnsi="宋体" w:cs="宋体"/>
                <w:szCs w:val="21"/>
              </w:rPr>
              <w:t>合同履约期限及地点</w:t>
            </w:r>
          </w:p>
        </w:tc>
        <w:tc>
          <w:tcPr>
            <w:tcW w:w="3159" w:type="dxa"/>
          </w:tcPr>
          <w:p/>
        </w:tc>
        <w:tc>
          <w:tcPr>
            <w:tcW w:w="1571" w:type="dxa"/>
            <w:vAlign w:val="center"/>
          </w:tcPr>
          <w:p>
            <w:pPr>
              <w:jc w:val="center"/>
            </w:pPr>
          </w:p>
        </w:tc>
        <w:tc>
          <w:tcPr>
            <w:tcW w:w="14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bookmarkStart w:id="74" w:name="_Toc173066407"/>
            <w:bookmarkStart w:id="75" w:name="_Toc254970594"/>
            <w:bookmarkStart w:id="76" w:name="_Toc173211906"/>
            <w:bookmarkStart w:id="77" w:name="_Toc254970735"/>
            <w:r>
              <w:rPr>
                <w:rFonts w:hint="eastAsia"/>
              </w:rPr>
              <w:t>2</w:t>
            </w:r>
            <w:bookmarkEnd w:id="74"/>
            <w:bookmarkEnd w:id="75"/>
            <w:bookmarkEnd w:id="76"/>
            <w:bookmarkEnd w:id="77"/>
          </w:p>
        </w:tc>
        <w:tc>
          <w:tcPr>
            <w:tcW w:w="3013" w:type="dxa"/>
            <w:vAlign w:val="center"/>
          </w:tcPr>
          <w:p>
            <w:pPr>
              <w:widowControl/>
              <w:snapToGrid w:val="0"/>
              <w:spacing w:line="380" w:lineRule="exact"/>
              <w:jc w:val="center"/>
              <w:textAlignment w:val="center"/>
              <w:rPr>
                <w:rFonts w:ascii="宋体" w:hAnsi="宋体"/>
                <w:szCs w:val="21"/>
              </w:rPr>
            </w:pPr>
            <w:r>
              <w:rPr>
                <w:rFonts w:hint="eastAsia" w:ascii="宋体" w:hAnsi="宋体" w:cs="宋体"/>
                <w:szCs w:val="21"/>
              </w:rPr>
              <w:t>质保期</w:t>
            </w:r>
          </w:p>
        </w:tc>
        <w:tc>
          <w:tcPr>
            <w:tcW w:w="3159" w:type="dxa"/>
          </w:tcPr>
          <w:p/>
        </w:tc>
        <w:tc>
          <w:tcPr>
            <w:tcW w:w="1571" w:type="dxa"/>
            <w:vAlign w:val="center"/>
          </w:tcPr>
          <w:p>
            <w:pPr>
              <w:jc w:val="center"/>
            </w:pPr>
          </w:p>
        </w:tc>
        <w:tc>
          <w:tcPr>
            <w:tcW w:w="14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bookmarkStart w:id="78" w:name="_Toc254970736"/>
            <w:bookmarkStart w:id="79" w:name="_Toc173066408"/>
            <w:bookmarkStart w:id="80" w:name="_Toc173211907"/>
            <w:bookmarkStart w:id="81" w:name="_Toc254970595"/>
            <w:r>
              <w:rPr>
                <w:rFonts w:hint="eastAsia"/>
              </w:rPr>
              <w:t>3</w:t>
            </w:r>
            <w:bookmarkEnd w:id="78"/>
            <w:bookmarkEnd w:id="79"/>
            <w:bookmarkEnd w:id="80"/>
            <w:bookmarkEnd w:id="81"/>
          </w:p>
        </w:tc>
        <w:tc>
          <w:tcPr>
            <w:tcW w:w="3013" w:type="dxa"/>
            <w:vAlign w:val="center"/>
          </w:tcPr>
          <w:p>
            <w:pPr>
              <w:widowControl/>
              <w:snapToGrid w:val="0"/>
              <w:spacing w:line="380" w:lineRule="exact"/>
              <w:jc w:val="center"/>
              <w:textAlignment w:val="center"/>
              <w:rPr>
                <w:rFonts w:ascii="宋体" w:hAnsi="宋体"/>
                <w:szCs w:val="21"/>
              </w:rPr>
            </w:pPr>
            <w:r>
              <w:rPr>
                <w:rFonts w:hint="eastAsia" w:ascii="宋体" w:hAnsi="宋体" w:cs="宋体"/>
                <w:szCs w:val="21"/>
              </w:rPr>
              <w:t>售后技术服务要求</w:t>
            </w:r>
          </w:p>
        </w:tc>
        <w:tc>
          <w:tcPr>
            <w:tcW w:w="3159" w:type="dxa"/>
          </w:tcPr>
          <w:p/>
        </w:tc>
        <w:tc>
          <w:tcPr>
            <w:tcW w:w="1571" w:type="dxa"/>
            <w:vAlign w:val="center"/>
          </w:tcPr>
          <w:p>
            <w:pPr>
              <w:jc w:val="center"/>
            </w:pPr>
          </w:p>
        </w:tc>
        <w:tc>
          <w:tcPr>
            <w:tcW w:w="14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r>
              <w:rPr>
                <w:rFonts w:hint="eastAsia"/>
              </w:rPr>
              <w:t>4</w:t>
            </w:r>
          </w:p>
        </w:tc>
        <w:tc>
          <w:tcPr>
            <w:tcW w:w="3013" w:type="dxa"/>
            <w:vAlign w:val="center"/>
          </w:tcPr>
          <w:p>
            <w:pPr>
              <w:spacing w:line="400" w:lineRule="exact"/>
              <w:jc w:val="center"/>
              <w:rPr>
                <w:rFonts w:ascii="宋体" w:hAnsi="宋体"/>
                <w:szCs w:val="21"/>
              </w:rPr>
            </w:pPr>
            <w:r>
              <w:rPr>
                <w:rFonts w:hint="eastAsia" w:ascii="宋体" w:hAnsi="宋体" w:cs="宋体"/>
                <w:szCs w:val="21"/>
              </w:rPr>
              <w:t>付款条件</w:t>
            </w:r>
          </w:p>
        </w:tc>
        <w:tc>
          <w:tcPr>
            <w:tcW w:w="3159" w:type="dxa"/>
          </w:tcPr>
          <w:p/>
        </w:tc>
        <w:tc>
          <w:tcPr>
            <w:tcW w:w="1571" w:type="dxa"/>
            <w:vAlign w:val="center"/>
          </w:tcPr>
          <w:p>
            <w:pPr>
              <w:jc w:val="center"/>
            </w:pPr>
          </w:p>
        </w:tc>
        <w:tc>
          <w:tcPr>
            <w:tcW w:w="14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r>
              <w:rPr>
                <w:rFonts w:hint="eastAsia"/>
              </w:rPr>
              <w:t>5</w:t>
            </w:r>
          </w:p>
        </w:tc>
        <w:tc>
          <w:tcPr>
            <w:tcW w:w="3013" w:type="dxa"/>
            <w:vAlign w:val="center"/>
          </w:tcPr>
          <w:p>
            <w:pPr>
              <w:spacing w:line="380" w:lineRule="exact"/>
              <w:jc w:val="center"/>
              <w:rPr>
                <w:rFonts w:ascii="宋体" w:hAnsi="宋体" w:cs="宋体"/>
                <w:szCs w:val="21"/>
              </w:rPr>
            </w:pPr>
            <w:r>
              <w:rPr>
                <w:rFonts w:hint="eastAsia" w:ascii="宋体" w:hAnsi="宋体" w:cs="宋体"/>
                <w:szCs w:val="21"/>
              </w:rPr>
              <w:t>报价及其他</w:t>
            </w:r>
          </w:p>
          <w:p>
            <w:pPr>
              <w:widowControl/>
              <w:snapToGrid w:val="0"/>
              <w:spacing w:line="380" w:lineRule="exact"/>
              <w:jc w:val="center"/>
              <w:textAlignment w:val="center"/>
              <w:rPr>
                <w:rFonts w:ascii="宋体" w:hAnsi="宋体"/>
                <w:szCs w:val="21"/>
              </w:rPr>
            </w:pPr>
            <w:r>
              <w:rPr>
                <w:rFonts w:hint="eastAsia" w:ascii="宋体" w:hAnsi="宋体" w:cs="宋体"/>
                <w:szCs w:val="21"/>
              </w:rPr>
              <w:t>要求</w:t>
            </w:r>
          </w:p>
        </w:tc>
        <w:tc>
          <w:tcPr>
            <w:tcW w:w="3159" w:type="dxa"/>
          </w:tcPr>
          <w:p/>
        </w:tc>
        <w:tc>
          <w:tcPr>
            <w:tcW w:w="1571" w:type="dxa"/>
            <w:vAlign w:val="center"/>
          </w:tcPr>
          <w:p>
            <w:pPr>
              <w:jc w:val="center"/>
            </w:pPr>
          </w:p>
        </w:tc>
        <w:tc>
          <w:tcPr>
            <w:tcW w:w="14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r>
              <w:rPr>
                <w:rFonts w:hint="eastAsia"/>
              </w:rPr>
              <w:t>6</w:t>
            </w:r>
          </w:p>
        </w:tc>
        <w:tc>
          <w:tcPr>
            <w:tcW w:w="3013" w:type="dxa"/>
            <w:vAlign w:val="center"/>
          </w:tcPr>
          <w:p>
            <w:pPr>
              <w:tabs>
                <w:tab w:val="left" w:pos="180"/>
                <w:tab w:val="left" w:pos="1620"/>
              </w:tabs>
              <w:spacing w:line="400" w:lineRule="exact"/>
              <w:jc w:val="center"/>
            </w:pPr>
            <w:r>
              <w:rPr>
                <w:rFonts w:hint="eastAsia" w:ascii="宋体" w:hAnsi="宋体" w:cs="宋体"/>
                <w:szCs w:val="21"/>
              </w:rPr>
              <w:t>履约保证金</w:t>
            </w:r>
          </w:p>
        </w:tc>
        <w:tc>
          <w:tcPr>
            <w:tcW w:w="3159" w:type="dxa"/>
          </w:tcPr>
          <w:p/>
        </w:tc>
        <w:tc>
          <w:tcPr>
            <w:tcW w:w="1571" w:type="dxa"/>
            <w:vAlign w:val="center"/>
          </w:tcPr>
          <w:p>
            <w:pPr>
              <w:jc w:val="center"/>
            </w:pPr>
          </w:p>
        </w:tc>
        <w:tc>
          <w:tcPr>
            <w:tcW w:w="14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pPr>
              <w:jc w:val="center"/>
            </w:pPr>
            <w:bookmarkStart w:id="82" w:name="_Toc476258667"/>
            <w:r>
              <w:rPr>
                <w:rFonts w:hint="eastAsia"/>
              </w:rPr>
              <w:t>服务部分</w:t>
            </w:r>
            <w:bookmarkEnd w:id="82"/>
            <w:r>
              <w:rPr>
                <w:rFonts w:hint="eastAsia"/>
              </w:rPr>
              <w:t>（内容和要求）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bookmarkStart w:id="83" w:name="_Toc476258668"/>
            <w:r>
              <w:rPr>
                <w:rFonts w:hint="eastAsia"/>
              </w:rPr>
              <w:t>1</w:t>
            </w:r>
            <w:bookmarkEnd w:id="83"/>
          </w:p>
        </w:tc>
        <w:tc>
          <w:tcPr>
            <w:tcW w:w="3013" w:type="dxa"/>
            <w:vAlign w:val="center"/>
          </w:tcPr>
          <w:p/>
        </w:tc>
        <w:tc>
          <w:tcPr>
            <w:tcW w:w="3159" w:type="dxa"/>
            <w:vAlign w:val="center"/>
          </w:tcPr>
          <w:p/>
        </w:tc>
        <w:tc>
          <w:tcPr>
            <w:tcW w:w="1571" w:type="dxa"/>
            <w:vAlign w:val="center"/>
          </w:tcPr>
          <w:p/>
        </w:tc>
        <w:tc>
          <w:tcPr>
            <w:tcW w:w="1460"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bookmarkStart w:id="84" w:name="_Toc476258669"/>
            <w:r>
              <w:rPr>
                <w:rFonts w:hint="eastAsia"/>
              </w:rPr>
              <w:t>2</w:t>
            </w:r>
            <w:bookmarkEnd w:id="84"/>
          </w:p>
        </w:tc>
        <w:tc>
          <w:tcPr>
            <w:tcW w:w="3013" w:type="dxa"/>
            <w:vAlign w:val="center"/>
          </w:tcPr>
          <w:p/>
        </w:tc>
        <w:tc>
          <w:tcPr>
            <w:tcW w:w="3159" w:type="dxa"/>
            <w:vAlign w:val="center"/>
          </w:tcPr>
          <w:p/>
        </w:tc>
        <w:tc>
          <w:tcPr>
            <w:tcW w:w="1571" w:type="dxa"/>
            <w:vAlign w:val="center"/>
          </w:tcPr>
          <w:p/>
        </w:tc>
        <w:tc>
          <w:tcPr>
            <w:tcW w:w="1460"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pPr>
              <w:jc w:val="center"/>
            </w:pPr>
            <w:bookmarkStart w:id="85" w:name="_Toc476258670"/>
            <w:r>
              <w:rPr>
                <w:rFonts w:hint="eastAsia"/>
              </w:rPr>
              <w:t>3</w:t>
            </w:r>
            <w:bookmarkEnd w:id="85"/>
          </w:p>
        </w:tc>
        <w:tc>
          <w:tcPr>
            <w:tcW w:w="3013" w:type="dxa"/>
            <w:vAlign w:val="center"/>
          </w:tcPr>
          <w:p/>
        </w:tc>
        <w:tc>
          <w:tcPr>
            <w:tcW w:w="3159" w:type="dxa"/>
            <w:vAlign w:val="center"/>
          </w:tcPr>
          <w:p/>
        </w:tc>
        <w:tc>
          <w:tcPr>
            <w:tcW w:w="1571" w:type="dxa"/>
            <w:vAlign w:val="center"/>
          </w:tcPr>
          <w:p/>
        </w:tc>
        <w:tc>
          <w:tcPr>
            <w:tcW w:w="1460"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pPr>
              <w:jc w:val="center"/>
            </w:pPr>
            <w:bookmarkStart w:id="86" w:name="_Toc476258671"/>
            <w:r>
              <w:rPr>
                <w:rFonts w:hint="eastAsia"/>
              </w:rPr>
              <w:t>…</w:t>
            </w:r>
            <w:bookmarkEnd w:id="86"/>
          </w:p>
        </w:tc>
        <w:tc>
          <w:tcPr>
            <w:tcW w:w="3013" w:type="dxa"/>
            <w:vAlign w:val="center"/>
          </w:tcPr>
          <w:p/>
        </w:tc>
        <w:tc>
          <w:tcPr>
            <w:tcW w:w="3159" w:type="dxa"/>
            <w:vAlign w:val="center"/>
          </w:tcPr>
          <w:p/>
        </w:tc>
        <w:tc>
          <w:tcPr>
            <w:tcW w:w="1571" w:type="dxa"/>
            <w:tcBorders>
              <w:right w:val="single" w:color="auto" w:sz="4" w:space="0"/>
            </w:tcBorders>
            <w:vAlign w:val="center"/>
          </w:tcPr>
          <w:p/>
        </w:tc>
        <w:tc>
          <w:tcPr>
            <w:tcW w:w="1460" w:type="dxa"/>
            <w:tcBorders>
              <w:left w:val="single" w:color="auto" w:sz="4" w:space="0"/>
            </w:tcBorders>
            <w:vAlign w:val="center"/>
          </w:tcPr>
          <w:p/>
        </w:tc>
      </w:tr>
    </w:tbl>
    <w:p>
      <w:pPr>
        <w:adjustRightInd w:val="0"/>
        <w:snapToGrid w:val="0"/>
        <w:spacing w:line="360" w:lineRule="exact"/>
        <w:rPr>
          <w:rFonts w:ascii="宋体" w:hAnsi="宋体"/>
          <w:b/>
          <w:szCs w:val="21"/>
        </w:rPr>
      </w:pPr>
      <w:r>
        <w:rPr>
          <w:rFonts w:hint="eastAsia" w:ascii="宋体" w:hAnsi="宋体"/>
          <w:b/>
          <w:szCs w:val="21"/>
        </w:rPr>
        <w:t>说明：</w:t>
      </w:r>
      <w:r>
        <w:rPr>
          <w:rFonts w:hint="eastAsia" w:hAnsi="宋体"/>
          <w:b/>
        </w:rPr>
        <w:t>1、应写明竞</w:t>
      </w:r>
      <w:r>
        <w:rPr>
          <w:rFonts w:hint="eastAsia" w:ascii="宋体" w:hAnsi="宋体"/>
          <w:b/>
          <w:szCs w:val="21"/>
        </w:rPr>
        <w:t>争性磋商响应文件对</w:t>
      </w:r>
      <w:r>
        <w:rPr>
          <w:rFonts w:hint="eastAsia"/>
          <w:b/>
        </w:rPr>
        <w:t>商务</w:t>
      </w:r>
      <w:r>
        <w:rPr>
          <w:rFonts w:hint="eastAsia" w:hAnsi="宋体"/>
          <w:b/>
        </w:rPr>
        <w:t>与服务要求的</w:t>
      </w:r>
      <w:r>
        <w:rPr>
          <w:rFonts w:hint="eastAsia" w:ascii="宋体" w:hAnsi="宋体"/>
          <w:b/>
          <w:szCs w:val="21"/>
        </w:rPr>
        <w:t>响应和偏离情况</w:t>
      </w:r>
      <w:r>
        <w:rPr>
          <w:rFonts w:hint="eastAsia"/>
          <w:b/>
          <w:bCs/>
          <w:szCs w:val="21"/>
        </w:rPr>
        <w:t>；</w:t>
      </w:r>
    </w:p>
    <w:p>
      <w:pPr>
        <w:pStyle w:val="18"/>
        <w:spacing w:line="360" w:lineRule="exact"/>
        <w:ind w:firstLine="632" w:firstLineChars="300"/>
        <w:rPr>
          <w:rFonts w:ascii="宋体" w:hAnsi="宋体" w:eastAsia="宋体"/>
          <w:b/>
          <w:sz w:val="21"/>
          <w:szCs w:val="21"/>
        </w:rPr>
      </w:pPr>
      <w:r>
        <w:rPr>
          <w:rFonts w:hint="eastAsia" w:ascii="宋体" w:hAnsi="宋体" w:eastAsia="宋体"/>
          <w:b/>
          <w:sz w:val="21"/>
          <w:szCs w:val="21"/>
        </w:rPr>
        <w:t>2、应对照竞争性磋商文件“第三章 采购项目技术规格、参数及要求”，逐条说明所提供货物和服务已对竞争性磋商文件的商务、服务做出了实质性的响应，并申明商务、技术条文的响应或偏离。特别对有具体商务、服务参数要求的，磋商供应商必须提供对应的详细应答。</w:t>
      </w:r>
    </w:p>
    <w:p>
      <w:pPr>
        <w:pStyle w:val="21"/>
        <w:spacing w:line="360" w:lineRule="exact"/>
        <w:rPr>
          <w:rFonts w:hAnsi="宋体"/>
        </w:rPr>
      </w:pPr>
    </w:p>
    <w:p>
      <w:pPr>
        <w:pStyle w:val="21"/>
        <w:spacing w:line="500" w:lineRule="exact"/>
        <w:ind w:firstLine="4200" w:firstLineChars="2000"/>
        <w:rPr>
          <w:rFonts w:hAnsi="宋体"/>
          <w:u w:val="single"/>
        </w:rPr>
      </w:pPr>
      <w:r>
        <w:rPr>
          <w:rFonts w:hint="eastAsia" w:hAnsi="宋体"/>
        </w:rPr>
        <w:t>法定代表人或委托代理人（签字或盖章）:</w:t>
      </w:r>
      <w:r>
        <w:rPr>
          <w:rFonts w:hint="eastAsia" w:hAnsi="宋体"/>
          <w:u w:val="single"/>
        </w:rPr>
        <w:t xml:space="preserve">              </w:t>
      </w:r>
    </w:p>
    <w:p>
      <w:pPr>
        <w:pStyle w:val="21"/>
        <w:spacing w:line="500" w:lineRule="exact"/>
        <w:ind w:firstLine="4200" w:firstLineChars="2000"/>
        <w:rPr>
          <w:rFonts w:hAnsi="宋体"/>
          <w:u w:val="single"/>
        </w:rPr>
      </w:pPr>
      <w:r>
        <w:rPr>
          <w:rFonts w:hint="eastAsia" w:hAnsi="宋体"/>
        </w:rPr>
        <w:t>磋商供应商名称（盖章）：</w:t>
      </w:r>
      <w:r>
        <w:rPr>
          <w:rFonts w:hint="eastAsia" w:hAnsi="宋体"/>
          <w:u w:val="single"/>
        </w:rPr>
        <w:t xml:space="preserve">                     </w:t>
      </w:r>
    </w:p>
    <w:p>
      <w:pPr>
        <w:spacing w:line="500" w:lineRule="exact"/>
        <w:ind w:firstLine="4200" w:firstLineChars="2000"/>
        <w:rPr>
          <w:rFonts w:hAnsi="宋体"/>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napToGrid w:val="0"/>
        <w:spacing w:beforeLines="50" w:line="380" w:lineRule="exact"/>
        <w:ind w:right="480" w:firstLine="4792" w:firstLineChars="2282"/>
        <w:rPr>
          <w:rFonts w:hAnsi="宋体"/>
          <w:u w:val="single"/>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500" w:lineRule="exact"/>
        <w:rPr>
          <w:rFonts w:ascii="宋体" w:hAnsi="宋体"/>
          <w:b/>
          <w:szCs w:val="21"/>
        </w:rPr>
      </w:pPr>
      <w:r>
        <w:rPr>
          <w:rFonts w:ascii="宋体" w:hAnsi="宋体"/>
          <w:szCs w:val="21"/>
        </w:rPr>
        <w:br w:type="page"/>
      </w:r>
      <w:r>
        <w:rPr>
          <w:rFonts w:hint="eastAsia" w:ascii="宋体" w:hAnsi="宋体"/>
          <w:b/>
          <w:szCs w:val="21"/>
        </w:rPr>
        <w:t>附件四</w:t>
      </w:r>
    </w:p>
    <w:p>
      <w:pPr>
        <w:adjustRightInd w:val="0"/>
        <w:snapToGrid w:val="0"/>
        <w:spacing w:line="300" w:lineRule="auto"/>
        <w:jc w:val="center"/>
        <w:rPr>
          <w:rFonts w:ascii="宋体" w:hAnsi="宋体"/>
          <w:b/>
          <w:sz w:val="32"/>
          <w:szCs w:val="32"/>
        </w:rPr>
      </w:pPr>
      <w:r>
        <w:rPr>
          <w:rFonts w:hint="eastAsia" w:ascii="宋体" w:hAnsi="宋体"/>
          <w:b/>
          <w:sz w:val="32"/>
          <w:szCs w:val="32"/>
        </w:rPr>
        <w:t>法定代表人授权委托书</w:t>
      </w:r>
    </w:p>
    <w:p>
      <w:pPr>
        <w:adjustRightInd w:val="0"/>
        <w:snapToGrid w:val="0"/>
        <w:spacing w:line="520" w:lineRule="exact"/>
        <w:rPr>
          <w:rFonts w:ascii="宋体" w:hAnsi="宋体"/>
          <w:szCs w:val="21"/>
        </w:rPr>
      </w:pPr>
    </w:p>
    <w:p>
      <w:pPr>
        <w:spacing w:line="520" w:lineRule="exact"/>
        <w:rPr>
          <w:rFonts w:ascii="宋体" w:hAnsi="宋体"/>
          <w:szCs w:val="21"/>
        </w:rPr>
      </w:pPr>
      <w:r>
        <w:rPr>
          <w:rFonts w:hint="eastAsia" w:ascii="宋体" w:hAnsi="宋体"/>
          <w:szCs w:val="21"/>
          <w:u w:val="single"/>
        </w:rPr>
        <w:t>天勤工程咨询有限公司</w:t>
      </w:r>
      <w:r>
        <w:rPr>
          <w:rFonts w:hint="eastAsia" w:ascii="宋体" w:hAnsi="宋体"/>
          <w:szCs w:val="21"/>
        </w:rPr>
        <w:t>：</w:t>
      </w:r>
    </w:p>
    <w:p>
      <w:pPr>
        <w:spacing w:line="520" w:lineRule="exact"/>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w:t>
      </w:r>
      <w:r>
        <w:rPr>
          <w:rFonts w:hint="eastAsia" w:ascii="宋体" w:hAnsi="宋体" w:cs="宋体"/>
        </w:rPr>
        <w:t>北斗卫星导航智能应用虚拟仿真实训基地</w:t>
      </w:r>
      <w:r>
        <w:rPr>
          <w:rFonts w:hint="eastAsia" w:ascii="宋体" w:hAnsi="宋体"/>
          <w:szCs w:val="21"/>
          <w:u w:val="single"/>
        </w:rPr>
        <w:t>、采购项目编号）竞争性磋商</w:t>
      </w:r>
      <w:r>
        <w:rPr>
          <w:rFonts w:hint="eastAsia" w:ascii="宋体" w:hAnsi="宋体"/>
          <w:szCs w:val="21"/>
        </w:rPr>
        <w:t>采购活动的委托代理人，全权代表我公司处理在该项目活动中的一切事宜。代理期限从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pPr>
        <w:spacing w:line="520" w:lineRule="exact"/>
        <w:rPr>
          <w:rFonts w:ascii="宋体" w:hAnsi="宋体"/>
          <w:szCs w:val="21"/>
        </w:rPr>
      </w:pPr>
    </w:p>
    <w:p>
      <w:pPr>
        <w:spacing w:line="520" w:lineRule="exact"/>
        <w:rPr>
          <w:rFonts w:ascii="宋体" w:hAnsi="宋体"/>
          <w:szCs w:val="21"/>
        </w:rPr>
      </w:pPr>
      <w:r>
        <w:rPr>
          <w:rFonts w:hint="eastAsia" w:ascii="宋体" w:hAnsi="宋体"/>
          <w:szCs w:val="21"/>
        </w:rPr>
        <w:t>磋商供应商（盖章）：</w:t>
      </w:r>
      <w:r>
        <w:rPr>
          <w:rFonts w:hint="eastAsia" w:ascii="宋体" w:hAnsi="宋体"/>
          <w:szCs w:val="21"/>
          <w:u w:val="single"/>
        </w:rPr>
        <w:t xml:space="preserve">                   </w:t>
      </w:r>
    </w:p>
    <w:p>
      <w:pPr>
        <w:spacing w:line="520" w:lineRule="exact"/>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520" w:lineRule="exact"/>
        <w:rPr>
          <w:rFonts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20" w:lineRule="exact"/>
        <w:rPr>
          <w:rFonts w:ascii="宋体" w:hAnsi="宋体"/>
          <w:szCs w:val="21"/>
        </w:rPr>
      </w:pPr>
    </w:p>
    <w:p>
      <w:pPr>
        <w:spacing w:line="520" w:lineRule="exact"/>
        <w:rPr>
          <w:rFonts w:ascii="宋体" w:hAnsi="宋体"/>
          <w:szCs w:val="21"/>
        </w:rPr>
      </w:pPr>
      <w:r>
        <w:rPr>
          <w:rFonts w:hint="eastAsia" w:ascii="宋体" w:hAnsi="宋体"/>
          <w:szCs w:val="21"/>
        </w:rPr>
        <w:t>附：委托代理人工作单位：</w:t>
      </w:r>
      <w:r>
        <w:rPr>
          <w:rFonts w:hint="eastAsia" w:ascii="宋体" w:hAnsi="宋体"/>
          <w:szCs w:val="21"/>
          <w:u w:val="single"/>
        </w:rPr>
        <w:t xml:space="preserve">                      </w:t>
      </w:r>
    </w:p>
    <w:p>
      <w:pPr>
        <w:spacing w:line="520" w:lineRule="exact"/>
        <w:ind w:firstLine="420" w:firstLineChars="200"/>
        <w:rPr>
          <w:rFonts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pPr>
        <w:adjustRightInd w:val="0"/>
        <w:snapToGrid w:val="0"/>
        <w:spacing w:line="520" w:lineRule="exact"/>
        <w:ind w:firstLine="420"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adjustRightInd w:val="0"/>
        <w:snapToGrid w:val="0"/>
        <w:spacing w:line="520" w:lineRule="exact"/>
        <w:ind w:firstLine="420" w:firstLineChars="200"/>
        <w:rPr>
          <w:rFonts w:ascii="宋体" w:hAnsi="宋体"/>
          <w:szCs w:val="21"/>
          <w:u w:val="single"/>
        </w:rPr>
      </w:pPr>
    </w:p>
    <w:tbl>
      <w:tblPr>
        <w:tblStyle w:val="3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pPr>
              <w:spacing w:line="300" w:lineRule="auto"/>
              <w:rPr>
                <w:rFonts w:ascii="宋体" w:hAnsi="宋体"/>
                <w:szCs w:val="21"/>
              </w:rPr>
            </w:pPr>
            <w:r>
              <w:rPr>
                <w:rFonts w:hint="eastAsia" w:ascii="宋体" w:hAnsi="宋体"/>
                <w:szCs w:val="21"/>
              </w:rPr>
              <w:t>粘贴委托代理人的有效身份证正面及反面复印件</w:t>
            </w:r>
          </w:p>
        </w:tc>
      </w:tr>
    </w:tbl>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pStyle w:val="21"/>
        <w:spacing w:line="300" w:lineRule="auto"/>
        <w:rPr>
          <w:rFonts w:hAnsi="宋体"/>
        </w:rPr>
      </w:pPr>
    </w:p>
    <w:p>
      <w:pPr>
        <w:pStyle w:val="21"/>
        <w:spacing w:line="300" w:lineRule="auto"/>
        <w:rPr>
          <w:rFonts w:hAnsi="宋体"/>
        </w:rPr>
      </w:pPr>
    </w:p>
    <w:p>
      <w:pPr>
        <w:pStyle w:val="21"/>
        <w:spacing w:line="300" w:lineRule="auto"/>
        <w:rPr>
          <w:rFonts w:hAnsi="宋体"/>
        </w:rPr>
      </w:pPr>
    </w:p>
    <w:p>
      <w:pPr>
        <w:pStyle w:val="21"/>
        <w:spacing w:line="300" w:lineRule="auto"/>
        <w:rPr>
          <w:rFonts w:hAnsi="宋体"/>
        </w:rPr>
      </w:pPr>
    </w:p>
    <w:p>
      <w:pPr>
        <w:pStyle w:val="21"/>
        <w:spacing w:line="300" w:lineRule="auto"/>
        <w:rPr>
          <w:rFonts w:hAnsi="宋体"/>
        </w:rPr>
      </w:pPr>
    </w:p>
    <w:p>
      <w:pPr>
        <w:pStyle w:val="21"/>
        <w:spacing w:line="300" w:lineRule="auto"/>
        <w:rPr>
          <w:rFonts w:hAnsi="宋体"/>
        </w:rPr>
      </w:pPr>
    </w:p>
    <w:p>
      <w:pPr>
        <w:spacing w:line="500" w:lineRule="exact"/>
        <w:rPr>
          <w:kern w:val="0"/>
        </w:rPr>
      </w:pPr>
      <w:r>
        <w:rPr>
          <w:kern w:val="0"/>
        </w:rPr>
        <w:t xml:space="preserve"> </w:t>
      </w:r>
    </w:p>
    <w:p>
      <w:pPr>
        <w:spacing w:line="500" w:lineRule="exact"/>
        <w:rPr>
          <w:rFonts w:ascii="宋体" w:hAnsi="宋体"/>
          <w:b/>
          <w:szCs w:val="21"/>
        </w:rPr>
      </w:pPr>
      <w:r>
        <w:rPr>
          <w:kern w:val="0"/>
        </w:rPr>
        <w:br w:type="page"/>
      </w:r>
      <w:r>
        <w:rPr>
          <w:rFonts w:hint="eastAsia" w:ascii="宋体" w:hAnsi="宋体"/>
          <w:b/>
          <w:szCs w:val="21"/>
        </w:rPr>
        <w:t>附件五</w:t>
      </w:r>
    </w:p>
    <w:p>
      <w:pPr>
        <w:spacing w:line="500" w:lineRule="exact"/>
        <w:rPr>
          <w:rFonts w:ascii="宋体" w:hAnsi="宋体"/>
          <w:b/>
          <w:szCs w:val="21"/>
        </w:rPr>
      </w:pPr>
    </w:p>
    <w:p>
      <w:pPr>
        <w:pStyle w:val="21"/>
        <w:spacing w:line="500" w:lineRule="exact"/>
        <w:jc w:val="center"/>
        <w:rPr>
          <w:rFonts w:hAnsi="宋体"/>
          <w:b/>
          <w:bCs/>
          <w:sz w:val="30"/>
          <w:szCs w:val="30"/>
        </w:rPr>
      </w:pPr>
      <w:r>
        <w:rPr>
          <w:rFonts w:hAnsi="宋体"/>
          <w:b/>
          <w:bCs/>
          <w:sz w:val="30"/>
          <w:szCs w:val="30"/>
        </w:rPr>
        <w:t>中小企业声明函（</w:t>
      </w:r>
      <w:r>
        <w:rPr>
          <w:rFonts w:hint="eastAsia" w:hAnsi="宋体"/>
          <w:b/>
          <w:bCs/>
          <w:sz w:val="30"/>
          <w:szCs w:val="30"/>
        </w:rPr>
        <w:t>服务</w:t>
      </w:r>
      <w:r>
        <w:rPr>
          <w:rFonts w:hAnsi="宋体"/>
          <w:b/>
          <w:bCs/>
          <w:sz w:val="30"/>
          <w:szCs w:val="30"/>
        </w:rPr>
        <w:t>）</w:t>
      </w:r>
    </w:p>
    <w:p/>
    <w:p>
      <w:pPr>
        <w:pStyle w:val="21"/>
        <w:spacing w:line="500" w:lineRule="exact"/>
        <w:ind w:firstLine="525" w:firstLineChars="250"/>
        <w:jc w:val="left"/>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采购活动，服务全部由符合政策要求的中小企业承接。相关企业（含联合体中的中小企业、签订分包意向协议的中小企业）的具体情况如下：</w:t>
      </w:r>
    </w:p>
    <w:p>
      <w:pPr>
        <w:pStyle w:val="21"/>
        <w:spacing w:line="500" w:lineRule="exact"/>
        <w:ind w:firstLine="420" w:firstLineChars="200"/>
        <w:jc w:val="left"/>
      </w:pPr>
      <w:r>
        <w:rPr>
          <w:rFonts w:hint="eastAsia"/>
        </w:rPr>
        <w:t>1.</w:t>
      </w:r>
      <w:r>
        <w:rPr>
          <w:rFonts w:hint="eastAsia"/>
          <w:u w:val="single"/>
        </w:rPr>
        <w:t xml:space="preserve">（标的名称） </w:t>
      </w:r>
      <w:r>
        <w:rPr>
          <w:rFonts w:hint="eastAsia"/>
        </w:rPr>
        <w:t>，属于</w:t>
      </w:r>
      <w:r>
        <w:rPr>
          <w:rFonts w:hint="eastAsia"/>
          <w:u w:val="single"/>
        </w:rPr>
        <w:t>（采购文件中明确的所属行业）</w:t>
      </w:r>
      <w:r>
        <w:rPr>
          <w:rFonts w:hint="eastAsia"/>
        </w:rPr>
        <w:t>；承接企业为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 xml:space="preserve">； </w:t>
      </w:r>
    </w:p>
    <w:p>
      <w:pPr>
        <w:pStyle w:val="21"/>
        <w:spacing w:line="500" w:lineRule="exact"/>
        <w:ind w:firstLine="420" w:firstLineChars="200"/>
        <w:jc w:val="left"/>
      </w:pPr>
      <w:r>
        <w:rPr>
          <w:rFonts w:hint="eastAsia"/>
        </w:rPr>
        <w:t>2.</w:t>
      </w:r>
      <w:r>
        <w:rPr>
          <w:rFonts w:hint="eastAsia"/>
          <w:u w:val="single"/>
        </w:rPr>
        <w:t xml:space="preserve">（标的名称） </w:t>
      </w:r>
      <w:r>
        <w:rPr>
          <w:rFonts w:hint="eastAsia"/>
        </w:rPr>
        <w:t>，属于</w:t>
      </w:r>
      <w:r>
        <w:rPr>
          <w:rFonts w:hint="eastAsia"/>
          <w:u w:val="single"/>
        </w:rPr>
        <w:t>（采购文件中明确的所属行业）</w:t>
      </w:r>
      <w:r>
        <w:rPr>
          <w:rFonts w:hint="eastAsia"/>
        </w:rPr>
        <w:t>；承接企业为（企业名称），从业人员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w:t>
      </w:r>
    </w:p>
    <w:p>
      <w:pPr>
        <w:pStyle w:val="21"/>
        <w:spacing w:line="500" w:lineRule="exact"/>
        <w:ind w:firstLine="420" w:firstLineChars="200"/>
        <w:jc w:val="left"/>
      </w:pPr>
      <w:r>
        <w:rPr>
          <w:rFonts w:hint="eastAsia"/>
        </w:rPr>
        <w:t>……</w:t>
      </w:r>
    </w:p>
    <w:p>
      <w:pPr>
        <w:pStyle w:val="21"/>
        <w:spacing w:line="500" w:lineRule="exact"/>
        <w:ind w:firstLine="420" w:firstLineChars="200"/>
        <w:jc w:val="left"/>
      </w:pPr>
      <w:r>
        <w:rPr>
          <w:rFonts w:hint="eastAsia"/>
        </w:rPr>
        <w:t>以上企业，不属于大企业的分支机构，不存在控股股东为大企业的情形，也不存在与大企业的负责人为同一人的情形。</w:t>
      </w:r>
    </w:p>
    <w:p>
      <w:pPr>
        <w:pStyle w:val="21"/>
        <w:spacing w:line="500" w:lineRule="exact"/>
        <w:ind w:firstLine="420" w:firstLineChars="200"/>
        <w:jc w:val="left"/>
      </w:pPr>
      <w:r>
        <w:rPr>
          <w:rFonts w:hint="eastAsia"/>
        </w:rPr>
        <w:t>本企业对上述声明内容的真实性负责。如有虚假，将依法承担相应责任。</w:t>
      </w:r>
    </w:p>
    <w:p>
      <w:pPr>
        <w:pStyle w:val="21"/>
        <w:spacing w:line="500" w:lineRule="exact"/>
        <w:ind w:firstLine="420" w:firstLineChars="200"/>
        <w:jc w:val="left"/>
      </w:pPr>
    </w:p>
    <w:p>
      <w:pPr>
        <w:pStyle w:val="21"/>
        <w:spacing w:line="500" w:lineRule="exact"/>
        <w:ind w:firstLine="4620" w:firstLineChars="2200"/>
        <w:jc w:val="left"/>
      </w:pPr>
      <w:r>
        <w:rPr>
          <w:rFonts w:hint="eastAsia"/>
        </w:rPr>
        <w:t>企业名称（盖章）：</w:t>
      </w:r>
    </w:p>
    <w:p>
      <w:pPr>
        <w:pStyle w:val="21"/>
        <w:spacing w:line="500" w:lineRule="exact"/>
        <w:ind w:firstLine="4620" w:firstLineChars="2200"/>
        <w:jc w:val="left"/>
      </w:pPr>
      <w:r>
        <w:rPr>
          <w:rFonts w:hint="eastAsia"/>
        </w:rPr>
        <w:t>日 期：</w:t>
      </w:r>
    </w:p>
    <w:p>
      <w:pPr>
        <w:snapToGrid w:val="0"/>
        <w:spacing w:line="380" w:lineRule="exact"/>
        <w:ind w:firstLine="411" w:firstLineChars="196"/>
        <w:jc w:val="left"/>
        <w:rPr>
          <w:rFonts w:ascii="宋体"/>
          <w:szCs w:val="21"/>
        </w:rPr>
      </w:pPr>
    </w:p>
    <w:p>
      <w:pPr>
        <w:snapToGrid w:val="0"/>
        <w:spacing w:line="380" w:lineRule="exact"/>
        <w:ind w:firstLine="352" w:firstLineChars="196"/>
        <w:jc w:val="left"/>
        <w:rPr>
          <w:sz w:val="18"/>
          <w:szCs w:val="18"/>
        </w:rPr>
      </w:pPr>
    </w:p>
    <w:p>
      <w:pPr>
        <w:snapToGrid w:val="0"/>
        <w:spacing w:line="380" w:lineRule="exact"/>
        <w:ind w:firstLine="352" w:firstLineChars="196"/>
        <w:jc w:val="left"/>
        <w:rPr>
          <w:rFonts w:ascii="宋体" w:hAnsi="宋体"/>
          <w:sz w:val="18"/>
          <w:szCs w:val="18"/>
        </w:rPr>
      </w:pPr>
      <w:r>
        <w:rPr>
          <w:rFonts w:hint="eastAsia" w:ascii="宋体" w:hAnsi="宋体"/>
          <w:sz w:val="18"/>
          <w:szCs w:val="18"/>
        </w:rPr>
        <w:t>注：1、从业人员、营业收入、资产总额填报上一年度数据，无上一年度数据的新成立企业可不填报。</w:t>
      </w:r>
    </w:p>
    <w:p>
      <w:pPr>
        <w:snapToGrid w:val="0"/>
        <w:spacing w:line="380" w:lineRule="exact"/>
        <w:ind w:firstLine="712" w:firstLineChars="396"/>
        <w:jc w:val="left"/>
        <w:rPr>
          <w:rFonts w:ascii="宋体" w:hAnsi="宋体"/>
          <w:sz w:val="18"/>
          <w:szCs w:val="18"/>
        </w:rPr>
      </w:pPr>
      <w:r>
        <w:rPr>
          <w:rFonts w:hint="eastAsia" w:ascii="宋体" w:hAnsi="宋体"/>
          <w:sz w:val="18"/>
          <w:szCs w:val="18"/>
        </w:rPr>
        <w:t>2、请根据自己的真实情况出具《中小企业声明函》。依法享受中小企业优惠政策的，采购人或者采购代理机构在公告中标结果时，同时公告其《中小企业声明函》，接受社会监督。</w:t>
      </w:r>
    </w:p>
    <w:p>
      <w:pPr>
        <w:snapToGrid w:val="0"/>
        <w:spacing w:line="380" w:lineRule="exact"/>
        <w:ind w:firstLine="712" w:firstLineChars="396"/>
        <w:jc w:val="left"/>
        <w:rPr>
          <w:rFonts w:ascii="宋体" w:hAnsi="宋体"/>
          <w:sz w:val="18"/>
          <w:szCs w:val="18"/>
        </w:rPr>
      </w:pPr>
      <w:r>
        <w:rPr>
          <w:rFonts w:hint="eastAsia" w:ascii="宋体" w:hAnsi="宋体"/>
          <w:sz w:val="18"/>
          <w:szCs w:val="18"/>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pPr>
        <w:spacing w:line="528" w:lineRule="exact"/>
        <w:ind w:left="1871" w:leftChars="891" w:firstLine="540" w:firstLineChars="300"/>
        <w:rPr>
          <w:rFonts w:ascii="宋体" w:hAnsi="宋体" w:cs="Arial Unicode MS"/>
          <w:sz w:val="40"/>
          <w:szCs w:val="40"/>
        </w:rPr>
      </w:pPr>
      <w:r>
        <w:rPr>
          <w:rFonts w:ascii="宋体" w:hAnsi="宋体"/>
          <w:sz w:val="18"/>
          <w:szCs w:val="18"/>
        </w:rPr>
        <w:br w:type="page"/>
      </w:r>
      <w:r>
        <w:rPr>
          <w:rFonts w:hint="eastAsia" w:ascii="宋体" w:hAnsi="宋体" w:cs="微软雅黑"/>
          <w:sz w:val="40"/>
          <w:szCs w:val="40"/>
        </w:rPr>
        <w:t>中小微企业划型标准</w:t>
      </w:r>
    </w:p>
    <w:tbl>
      <w:tblPr>
        <w:tblStyle w:val="36"/>
        <w:tblW w:w="8591" w:type="dxa"/>
        <w:tblInd w:w="250" w:type="dxa"/>
        <w:tblLayout w:type="fixed"/>
        <w:tblCellMar>
          <w:top w:w="0" w:type="dxa"/>
          <w:left w:w="108" w:type="dxa"/>
          <w:bottom w:w="0" w:type="dxa"/>
          <w:right w:w="108" w:type="dxa"/>
        </w:tblCellMar>
      </w:tblPr>
      <w:tblGrid>
        <w:gridCol w:w="1831"/>
        <w:gridCol w:w="1489"/>
        <w:gridCol w:w="983"/>
        <w:gridCol w:w="1743"/>
        <w:gridCol w:w="1549"/>
        <w:gridCol w:w="996"/>
      </w:tblGrid>
      <w:tr>
        <w:tblPrEx>
          <w:tblCellMar>
            <w:top w:w="0" w:type="dxa"/>
            <w:left w:w="108" w:type="dxa"/>
            <w:bottom w:w="0" w:type="dxa"/>
            <w:right w:w="108" w:type="dxa"/>
          </w:tblCellMar>
        </w:tblPrEx>
        <w:trPr>
          <w:trHeight w:val="287" w:hRule="atLeast"/>
        </w:trPr>
        <w:tc>
          <w:tcPr>
            <w:tcW w:w="18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行业名称</w:t>
            </w:r>
          </w:p>
        </w:tc>
        <w:tc>
          <w:tcPr>
            <w:tcW w:w="148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指标名称</w:t>
            </w:r>
          </w:p>
        </w:tc>
        <w:tc>
          <w:tcPr>
            <w:tcW w:w="98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计量单位</w:t>
            </w:r>
          </w:p>
        </w:tc>
        <w:tc>
          <w:tcPr>
            <w:tcW w:w="17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中型</w:t>
            </w:r>
          </w:p>
        </w:tc>
        <w:tc>
          <w:tcPr>
            <w:tcW w:w="15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小型</w:t>
            </w:r>
          </w:p>
        </w:tc>
        <w:tc>
          <w:tcPr>
            <w:tcW w:w="99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微型</w:t>
            </w:r>
          </w:p>
        </w:tc>
      </w:tr>
      <w:tr>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50≤Y＜500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2000≤Y＜40000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300≤Y＜2000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6000≤Y＜80000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300≤Y＜6000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5000≤Z＜80000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300≤Z＜5000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Z＜300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20≤X＜200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5≤X＜20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X＜5</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5000≤Y＜40000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50≤X＜300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10≤X＜50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100≤Y＜500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3000≤Y＜30000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200≤Y＜3000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20≤X＜100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1000≤Y＜30000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2000≤Y＜30000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50≤Y＜1000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1000≤Y＜200000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100≤X＜1000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5000≤Z＜10000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2000≤Y＜5000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500≤Y＜1000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Y＜500</w:t>
            </w:r>
          </w:p>
        </w:tc>
      </w:tr>
      <w:tr>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8000≤Z＜120000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100≤Z＜8000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4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bl>
    <w:p>
      <w:pPr>
        <w:pStyle w:val="21"/>
        <w:spacing w:line="500" w:lineRule="exact"/>
        <w:ind w:firstLine="420" w:firstLineChars="200"/>
        <w:jc w:val="left"/>
        <w:rPr>
          <w:sz w:val="18"/>
          <w:szCs w:val="18"/>
        </w:rPr>
      </w:pPr>
      <w:r>
        <w:rPr>
          <w:rFonts w:hint="eastAsia" w:hAnsi="宋体" w:cs="Times New Roman"/>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line="380" w:lineRule="exact"/>
        <w:ind w:firstLine="831" w:firstLineChars="396"/>
        <w:jc w:val="left"/>
        <w:rPr>
          <w:rFonts w:ascii="宋体" w:hAnsi="宋体"/>
          <w:szCs w:val="21"/>
        </w:rPr>
      </w:pPr>
    </w:p>
    <w:p>
      <w:pPr>
        <w:pStyle w:val="21"/>
        <w:spacing w:line="500" w:lineRule="exact"/>
        <w:jc w:val="center"/>
        <w:rPr>
          <w:rFonts w:hAnsi="宋体"/>
          <w:sz w:val="32"/>
          <w:szCs w:val="32"/>
        </w:rPr>
      </w:pPr>
      <w:r>
        <w:rPr>
          <w:kern w:val="0"/>
        </w:rPr>
        <w:br w:type="page"/>
      </w:r>
    </w:p>
    <w:p>
      <w:pPr>
        <w:snapToGrid w:val="0"/>
        <w:spacing w:beforeLines="50" w:after="50" w:line="400" w:lineRule="exact"/>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ind w:left="420" w:hanging="420"/>
        <w:jc w:val="center"/>
        <w:rPr>
          <w:rFonts w:ascii="宋体" w:hAnsi="宋体"/>
          <w:b/>
          <w:kern w:val="0"/>
          <w:sz w:val="32"/>
          <w:szCs w:val="32"/>
        </w:rPr>
      </w:pPr>
    </w:p>
    <w:p>
      <w:pPr>
        <w:spacing w:line="400" w:lineRule="exact"/>
        <w:rPr>
          <w:rFonts w:ascii="宋体" w:hAnsi="宋体"/>
          <w:b/>
          <w:kern w:val="0"/>
          <w:sz w:val="32"/>
          <w:szCs w:val="32"/>
        </w:rPr>
      </w:pPr>
    </w:p>
    <w:p>
      <w:pPr>
        <w:pStyle w:val="34"/>
        <w:rPr>
          <w:kern w:val="0"/>
          <w:sz w:val="44"/>
          <w:szCs w:val="44"/>
        </w:rPr>
      </w:pPr>
      <w:bookmarkStart w:id="87" w:name="_Toc476258760"/>
      <w:bookmarkStart w:id="88" w:name="_Toc476258672"/>
      <w:r>
        <w:rPr>
          <w:rFonts w:hint="eastAsia"/>
          <w:kern w:val="0"/>
          <w:sz w:val="44"/>
          <w:szCs w:val="44"/>
        </w:rPr>
        <w:t>第五章  合同主要条款</w:t>
      </w:r>
      <w:bookmarkEnd w:id="87"/>
      <w:bookmarkEnd w:id="88"/>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pStyle w:val="21"/>
        <w:spacing w:line="720" w:lineRule="auto"/>
        <w:ind w:right="420"/>
        <w:jc w:val="center"/>
        <w:rPr>
          <w:rFonts w:hAnsi="宋体"/>
          <w:b/>
          <w:bCs/>
          <w:sz w:val="32"/>
          <w:szCs w:val="32"/>
        </w:rPr>
      </w:pPr>
      <w:r>
        <w:br w:type="page"/>
      </w:r>
      <w:r>
        <w:rPr>
          <w:rFonts w:hint="eastAsia" w:hAnsi="宋体"/>
          <w:b/>
          <w:bCs/>
          <w:sz w:val="32"/>
          <w:szCs w:val="32"/>
        </w:rPr>
        <w:t>广西壮族自治区政府采购合同（格式）</w:t>
      </w:r>
    </w:p>
    <w:p>
      <w:pPr>
        <w:snapToGrid w:val="0"/>
        <w:spacing w:line="360" w:lineRule="exact"/>
        <w:ind w:right="480" w:firstLine="5985" w:firstLineChars="2850"/>
        <w:rPr>
          <w:rFonts w:ascii="宋体" w:hAnsi="宋体"/>
          <w:bCs/>
          <w:szCs w:val="21"/>
          <w:u w:val="single"/>
        </w:rPr>
      </w:pPr>
      <w:r>
        <w:rPr>
          <w:rFonts w:hint="eastAsia" w:ascii="宋体" w:hAnsi="宋体"/>
          <w:bCs/>
          <w:szCs w:val="21"/>
        </w:rPr>
        <w:t>合同编号：</w:t>
      </w:r>
    </w:p>
    <w:p>
      <w:pPr>
        <w:snapToGrid w:val="0"/>
        <w:spacing w:line="360" w:lineRule="exact"/>
        <w:rPr>
          <w:rFonts w:ascii="宋体" w:hAnsi="宋体"/>
          <w:szCs w:val="21"/>
        </w:rPr>
      </w:pPr>
    </w:p>
    <w:p>
      <w:pPr>
        <w:snapToGrid w:val="0"/>
        <w:spacing w:line="360" w:lineRule="exact"/>
        <w:rPr>
          <w:rFonts w:ascii="宋体" w:hAnsi="宋体"/>
          <w:szCs w:val="21"/>
          <w:u w:val="single"/>
        </w:rPr>
      </w:pPr>
      <w:r>
        <w:rPr>
          <w:rFonts w:hint="eastAsia" w:ascii="宋体" w:hAnsi="宋体"/>
          <w:szCs w:val="21"/>
        </w:rPr>
        <w:t>甲方（采购单位）</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乙方（供 应 商）</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pacing w:val="-20"/>
          <w:szCs w:val="21"/>
        </w:rPr>
        <w:t>编 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 </w:t>
      </w:r>
      <w:r>
        <w:rPr>
          <w:rFonts w:hint="eastAsia" w:ascii="宋体" w:hAnsi="宋体"/>
          <w:szCs w:val="21"/>
          <w:u w:val="single"/>
        </w:rPr>
        <w:t xml:space="preserve">                       </w:t>
      </w:r>
    </w:p>
    <w:p>
      <w:pPr>
        <w:snapToGrid w:val="0"/>
        <w:spacing w:line="360" w:lineRule="exact"/>
        <w:ind w:firstLine="420" w:firstLineChars="200"/>
        <w:rPr>
          <w:rFonts w:ascii="宋体" w:hAnsi="宋体"/>
          <w:szCs w:val="21"/>
        </w:rPr>
      </w:pPr>
    </w:p>
    <w:p>
      <w:pPr>
        <w:pStyle w:val="21"/>
        <w:spacing w:line="420" w:lineRule="exact"/>
        <w:ind w:firstLine="420" w:firstLineChars="200"/>
      </w:pPr>
      <w:r>
        <w:rPr>
          <w:rFonts w:hint="eastAsia"/>
        </w:rPr>
        <w:t>根据《中华人民共和国政府采购法》、《中华人民共和国民法典》等法律、法规规定，按照采购文件规定条款和成交供应商响应文件及其承诺，甲乙双方签订本合同。</w:t>
      </w:r>
    </w:p>
    <w:p>
      <w:pPr>
        <w:numPr>
          <w:ilvl w:val="0"/>
          <w:numId w:val="7"/>
        </w:numPr>
        <w:snapToGrid w:val="0"/>
        <w:spacing w:line="360" w:lineRule="exact"/>
        <w:outlineLvl w:val="0"/>
        <w:rPr>
          <w:rFonts w:ascii="宋体" w:hAnsi="宋体"/>
          <w:b/>
          <w:szCs w:val="21"/>
        </w:rPr>
      </w:pPr>
      <w:r>
        <w:rPr>
          <w:rFonts w:hint="eastAsia" w:ascii="宋体" w:hAnsi="宋体"/>
          <w:b/>
          <w:szCs w:val="21"/>
        </w:rPr>
        <w:t>合同标的</w:t>
      </w:r>
    </w:p>
    <w:p>
      <w:pPr>
        <w:snapToGrid w:val="0"/>
        <w:spacing w:line="360" w:lineRule="exact"/>
        <w:ind w:firstLine="422" w:firstLineChars="200"/>
        <w:outlineLvl w:val="0"/>
        <w:rPr>
          <w:rFonts w:ascii="宋体" w:hAnsi="宋体"/>
          <w:b/>
          <w:szCs w:val="21"/>
        </w:rPr>
      </w:pPr>
      <w:r>
        <w:rPr>
          <w:rFonts w:hint="eastAsia" w:ascii="宋体" w:hAnsi="宋体"/>
          <w:b/>
          <w:szCs w:val="21"/>
        </w:rPr>
        <w:t>1、服务名称:</w:t>
      </w:r>
      <w:r>
        <w:rPr>
          <w:rFonts w:hint="eastAsia"/>
        </w:rPr>
        <w:t>北斗卫星导航智能应用虚拟仿真实训基地</w:t>
      </w:r>
    </w:p>
    <w:p>
      <w:pPr>
        <w:snapToGrid w:val="0"/>
        <w:spacing w:line="360" w:lineRule="exact"/>
        <w:ind w:firstLine="422" w:firstLineChars="200"/>
        <w:outlineLvl w:val="0"/>
        <w:rPr>
          <w:rFonts w:ascii="宋体" w:hAnsi="宋体"/>
          <w:b/>
          <w:szCs w:val="21"/>
        </w:rPr>
      </w:pPr>
      <w:r>
        <w:rPr>
          <w:rFonts w:hint="eastAsia" w:ascii="宋体" w:hAnsi="宋体"/>
          <w:b/>
          <w:szCs w:val="21"/>
        </w:rPr>
        <w:t>2、服务数量:1项</w:t>
      </w:r>
    </w:p>
    <w:p>
      <w:pPr>
        <w:snapToGrid w:val="0"/>
        <w:spacing w:line="360" w:lineRule="exact"/>
        <w:ind w:firstLine="422" w:firstLineChars="200"/>
        <w:outlineLvl w:val="0"/>
        <w:rPr>
          <w:rFonts w:ascii="宋体" w:hAnsi="宋体"/>
          <w:b/>
          <w:szCs w:val="21"/>
        </w:rPr>
      </w:pPr>
      <w:r>
        <w:rPr>
          <w:rFonts w:hint="eastAsia" w:ascii="宋体" w:hAnsi="宋体"/>
          <w:b/>
          <w:szCs w:val="21"/>
        </w:rPr>
        <w:t>3、服务内容:</w:t>
      </w:r>
      <w:r>
        <w:rPr>
          <w:rFonts w:hint="eastAsia"/>
        </w:rPr>
        <w:t>采购需求全部内容</w:t>
      </w:r>
    </w:p>
    <w:p>
      <w:pPr>
        <w:snapToGrid w:val="0"/>
        <w:spacing w:line="360" w:lineRule="exact"/>
        <w:ind w:firstLine="422" w:firstLineChars="200"/>
        <w:rPr>
          <w:rFonts w:ascii="宋体" w:hAnsi="宋体"/>
          <w:b/>
          <w:szCs w:val="21"/>
        </w:rPr>
      </w:pPr>
      <w:r>
        <w:rPr>
          <w:rFonts w:hint="eastAsia" w:ascii="宋体" w:hAnsi="宋体"/>
          <w:b/>
          <w:szCs w:val="21"/>
        </w:rPr>
        <w:t>第二条　合同金额</w:t>
      </w:r>
    </w:p>
    <w:p>
      <w:pPr>
        <w:snapToGrid w:val="0"/>
        <w:spacing w:line="360" w:lineRule="exact"/>
        <w:ind w:left="727" w:leftChars="346"/>
        <w:rPr>
          <w:rFonts w:ascii="宋体" w:hAnsi="宋体"/>
          <w:b/>
          <w:szCs w:val="21"/>
        </w:rPr>
      </w:pPr>
      <w:r>
        <w:rPr>
          <w:rFonts w:hint="eastAsia" w:ascii="宋体" w:hAnsi="宋体"/>
          <w:b/>
          <w:szCs w:val="21"/>
        </w:rPr>
        <w:t>本项目合同金额(大写)人民币________ (</w:t>
      </w:r>
      <w:r>
        <w:rPr>
          <w:rFonts w:hint="eastAsia" w:ascii="宋体" w:hAnsi="宋体"/>
          <w:szCs w:val="21"/>
        </w:rPr>
        <w:t>¥</w:t>
      </w:r>
      <w:r>
        <w:rPr>
          <w:rFonts w:hint="eastAsia" w:ascii="宋体" w:hAnsi="宋体"/>
          <w:szCs w:val="21"/>
          <w:u w:val="single"/>
        </w:rPr>
        <w:t xml:space="preserve">           元 )</w:t>
      </w:r>
      <w:r>
        <w:rPr>
          <w:rFonts w:hint="eastAsia" w:ascii="宋体" w:hAnsi="宋体"/>
          <w:szCs w:val="21"/>
        </w:rPr>
        <w:t>。</w:t>
      </w:r>
    </w:p>
    <w:p>
      <w:pPr>
        <w:snapToGrid w:val="0"/>
        <w:spacing w:line="360" w:lineRule="exact"/>
        <w:ind w:firstLine="422" w:firstLineChars="200"/>
        <w:outlineLvl w:val="0"/>
        <w:rPr>
          <w:rFonts w:ascii="宋体" w:hAnsi="宋体"/>
          <w:b/>
          <w:szCs w:val="21"/>
        </w:rPr>
      </w:pPr>
      <w:r>
        <w:rPr>
          <w:rFonts w:hint="eastAsia" w:ascii="宋体" w:hAnsi="宋体"/>
          <w:b/>
          <w:szCs w:val="21"/>
        </w:rPr>
        <w:t>第三条　合同履约期限及地点</w:t>
      </w:r>
    </w:p>
    <w:p>
      <w:pPr>
        <w:snapToGrid w:val="0"/>
        <w:spacing w:line="360" w:lineRule="exact"/>
        <w:ind w:firstLine="422" w:firstLineChars="200"/>
        <w:outlineLvl w:val="0"/>
        <w:rPr>
          <w:rFonts w:ascii="宋体" w:hAnsi="宋体"/>
          <w:b/>
          <w:szCs w:val="21"/>
        </w:rPr>
      </w:pPr>
      <w:r>
        <w:rPr>
          <w:rFonts w:hint="eastAsia" w:ascii="宋体" w:hAnsi="宋体"/>
          <w:b/>
          <w:szCs w:val="21"/>
        </w:rPr>
        <w:t>1、合同履约期限:</w:t>
      </w:r>
      <w:r>
        <w:rPr>
          <w:rFonts w:hint="eastAsia" w:ascii="宋体" w:hAnsi="宋体" w:cs="宋体"/>
          <w:szCs w:val="21"/>
        </w:rPr>
        <w:t>自合同签订起3个月内</w:t>
      </w:r>
    </w:p>
    <w:p>
      <w:pPr>
        <w:snapToGrid w:val="0"/>
        <w:spacing w:line="360" w:lineRule="exact"/>
        <w:ind w:firstLine="422" w:firstLineChars="200"/>
        <w:outlineLvl w:val="0"/>
        <w:rPr>
          <w:rFonts w:ascii="宋体" w:hAnsi="宋体"/>
          <w:szCs w:val="21"/>
        </w:rPr>
      </w:pPr>
      <w:r>
        <w:rPr>
          <w:rFonts w:hint="eastAsia" w:ascii="宋体" w:hAnsi="宋体"/>
          <w:b/>
          <w:szCs w:val="21"/>
        </w:rPr>
        <w:t>2、地点:</w:t>
      </w:r>
      <w:r>
        <w:rPr>
          <w:rFonts w:hint="eastAsia" w:ascii="宋体" w:hAnsi="宋体" w:cs="宋体"/>
          <w:kern w:val="0"/>
          <w:szCs w:val="21"/>
          <w:lang w:val="zh-CN"/>
        </w:rPr>
        <w:t>广西南宁市（采购人指定地点）</w:t>
      </w:r>
    </w:p>
    <w:p>
      <w:pPr>
        <w:snapToGrid w:val="0"/>
        <w:spacing w:line="360" w:lineRule="exact"/>
        <w:ind w:firstLine="422" w:firstLineChars="200"/>
        <w:outlineLvl w:val="0"/>
        <w:rPr>
          <w:rFonts w:ascii="宋体" w:hAnsi="宋体"/>
          <w:b/>
          <w:szCs w:val="21"/>
        </w:rPr>
      </w:pPr>
      <w:r>
        <w:rPr>
          <w:rFonts w:hint="eastAsia" w:ascii="宋体" w:hAnsi="宋体"/>
          <w:b/>
          <w:szCs w:val="21"/>
        </w:rPr>
        <w:t>第四条　售后服务、质保期</w:t>
      </w:r>
    </w:p>
    <w:p>
      <w:pPr>
        <w:snapToGrid w:val="0"/>
        <w:spacing w:line="360" w:lineRule="exact"/>
        <w:ind w:firstLine="420" w:firstLineChars="200"/>
        <w:rPr>
          <w:rFonts w:ascii="宋体" w:hAnsi="宋体"/>
          <w:szCs w:val="21"/>
          <w:u w:val="single"/>
        </w:rPr>
      </w:pPr>
      <w:r>
        <w:rPr>
          <w:rFonts w:hint="eastAsia" w:ascii="宋体" w:hAnsi="宋体"/>
          <w:szCs w:val="21"/>
        </w:rPr>
        <w:t>乙方所提供的服务必须与采购文件和承诺相一致且符合相应的服务规范及标准。</w:t>
      </w:r>
    </w:p>
    <w:p>
      <w:pPr>
        <w:snapToGrid w:val="0"/>
        <w:spacing w:line="360" w:lineRule="exact"/>
        <w:ind w:firstLine="422" w:firstLineChars="200"/>
        <w:outlineLvl w:val="0"/>
        <w:rPr>
          <w:rFonts w:ascii="宋体" w:hAnsi="宋体"/>
          <w:szCs w:val="21"/>
        </w:rPr>
      </w:pPr>
      <w:r>
        <w:rPr>
          <w:rFonts w:hint="eastAsia" w:ascii="宋体" w:hAnsi="宋体"/>
          <w:b/>
          <w:szCs w:val="21"/>
        </w:rPr>
        <w:t>第五条　付款方式</w:t>
      </w:r>
    </w:p>
    <w:p>
      <w:pPr>
        <w:snapToGrid w:val="0"/>
        <w:spacing w:line="320" w:lineRule="exact"/>
        <w:ind w:left="-61" w:leftChars="-29" w:firstLine="525" w:firstLineChars="249"/>
        <w:rPr>
          <w:rFonts w:ascii="宋体" w:hAnsi="宋体" w:cs="Courier New"/>
          <w:b/>
          <w:szCs w:val="21"/>
        </w:rPr>
      </w:pPr>
      <w:r>
        <w:rPr>
          <w:rFonts w:hint="eastAsia" w:ascii="宋体" w:hAnsi="宋体"/>
          <w:b/>
          <w:szCs w:val="21"/>
          <w:u w:val="single"/>
        </w:rPr>
        <w:t>详见采购需求</w:t>
      </w:r>
      <w:r>
        <w:rPr>
          <w:rFonts w:hint="eastAsia" w:ascii="宋体" w:hAnsi="宋体"/>
          <w:szCs w:val="21"/>
        </w:rPr>
        <w:t>。</w:t>
      </w:r>
    </w:p>
    <w:p>
      <w:pPr>
        <w:snapToGrid w:val="0"/>
        <w:spacing w:line="320" w:lineRule="exact"/>
        <w:ind w:left="-61" w:leftChars="-29" w:firstLine="517" w:firstLineChars="245"/>
        <w:outlineLvl w:val="0"/>
        <w:rPr>
          <w:rFonts w:ascii="宋体" w:hAnsi="宋体" w:cs="Courier New"/>
          <w:b/>
          <w:szCs w:val="21"/>
          <w:u w:val="single"/>
        </w:rPr>
      </w:pPr>
      <w:r>
        <w:rPr>
          <w:rFonts w:hint="eastAsia" w:ascii="宋体" w:hAnsi="宋体" w:cs="Courier New"/>
          <w:b/>
          <w:szCs w:val="21"/>
        </w:rPr>
        <w:t>第六条　履约保证金：</w:t>
      </w:r>
    </w:p>
    <w:p>
      <w:pPr>
        <w:snapToGrid w:val="0"/>
        <w:ind w:left="-61" w:leftChars="-29" w:firstLine="514" w:firstLineChars="245"/>
        <w:outlineLvl w:val="0"/>
        <w:rPr>
          <w:rFonts w:ascii="宋体" w:hAnsi="宋体"/>
          <w:bCs/>
          <w:szCs w:val="21"/>
        </w:rPr>
      </w:pPr>
      <w:r>
        <w:rPr>
          <w:rFonts w:hint="eastAsia" w:ascii="宋体" w:hAnsi="宋体"/>
          <w:bCs/>
          <w:szCs w:val="21"/>
        </w:rPr>
        <w:t>履约保证金金额：本项目成交金额的2%。</w:t>
      </w:r>
    </w:p>
    <w:p>
      <w:pPr>
        <w:snapToGrid w:val="0"/>
        <w:ind w:left="-61" w:leftChars="-29" w:firstLine="514" w:firstLineChars="245"/>
        <w:outlineLvl w:val="0"/>
        <w:rPr>
          <w:rFonts w:ascii="宋体" w:hAnsi="宋体"/>
          <w:bCs/>
          <w:szCs w:val="21"/>
        </w:rPr>
      </w:pPr>
      <w:r>
        <w:rPr>
          <w:rFonts w:hint="eastAsia" w:ascii="宋体" w:hAnsi="宋体"/>
          <w:bCs/>
          <w:szCs w:val="21"/>
        </w:rPr>
        <w:t>乙方在收到成交通知书后，须在5个工作日内向甲方足额提交履约保证金，否则视为自动放弃其成交人资格。</w:t>
      </w:r>
    </w:p>
    <w:p>
      <w:pPr>
        <w:snapToGrid w:val="0"/>
        <w:ind w:left="-61" w:leftChars="-29" w:firstLine="514" w:firstLineChars="245"/>
        <w:outlineLvl w:val="0"/>
        <w:rPr>
          <w:rFonts w:ascii="宋体" w:hAnsi="宋体"/>
          <w:bCs/>
          <w:szCs w:val="21"/>
        </w:rPr>
      </w:pPr>
      <w:r>
        <w:rPr>
          <w:rFonts w:hint="eastAsia" w:ascii="宋体" w:hAnsi="宋体"/>
          <w:bCs/>
          <w:szCs w:val="21"/>
        </w:rPr>
        <w:t>履约保证金提交方式：支票、汇票、本票、银行转账或者金融机构、担保机构出具的保函等非现金形式。</w:t>
      </w:r>
    </w:p>
    <w:p>
      <w:pPr>
        <w:snapToGrid w:val="0"/>
        <w:ind w:left="-61" w:leftChars="-29" w:firstLine="514" w:firstLineChars="245"/>
        <w:outlineLvl w:val="0"/>
        <w:rPr>
          <w:rFonts w:ascii="宋体" w:hAnsi="宋体"/>
          <w:bCs/>
          <w:szCs w:val="21"/>
        </w:rPr>
      </w:pPr>
      <w:r>
        <w:rPr>
          <w:rFonts w:hint="eastAsia" w:ascii="宋体" w:hAnsi="宋体"/>
          <w:bCs/>
          <w:szCs w:val="21"/>
        </w:rPr>
        <w:t>履约保证金指定账户：</w:t>
      </w:r>
    </w:p>
    <w:p>
      <w:pPr>
        <w:snapToGrid w:val="0"/>
        <w:ind w:left="-61" w:leftChars="-29" w:firstLine="514" w:firstLineChars="245"/>
        <w:outlineLvl w:val="0"/>
        <w:rPr>
          <w:rFonts w:ascii="宋体" w:hAnsi="宋体"/>
          <w:bCs/>
          <w:szCs w:val="21"/>
        </w:rPr>
      </w:pPr>
      <w:r>
        <w:rPr>
          <w:rFonts w:hint="eastAsia" w:ascii="宋体" w:hAnsi="宋体"/>
          <w:bCs/>
          <w:szCs w:val="21"/>
        </w:rPr>
        <w:t>开户名： 广西信息职业技术学院</w:t>
      </w:r>
    </w:p>
    <w:p>
      <w:pPr>
        <w:snapToGrid w:val="0"/>
        <w:ind w:left="-61" w:leftChars="-29" w:firstLine="514" w:firstLineChars="245"/>
        <w:outlineLvl w:val="0"/>
        <w:rPr>
          <w:rFonts w:ascii="宋体" w:hAnsi="宋体"/>
          <w:bCs/>
          <w:szCs w:val="21"/>
        </w:rPr>
      </w:pPr>
      <w:r>
        <w:rPr>
          <w:rFonts w:hint="eastAsia" w:ascii="宋体" w:hAnsi="宋体"/>
          <w:bCs/>
          <w:szCs w:val="21"/>
        </w:rPr>
        <w:t>开户行： 农业银行南宁青年国际支行</w:t>
      </w:r>
    </w:p>
    <w:p>
      <w:pPr>
        <w:snapToGrid w:val="0"/>
        <w:ind w:left="-61" w:leftChars="-29" w:firstLine="514" w:firstLineChars="245"/>
        <w:outlineLvl w:val="0"/>
        <w:rPr>
          <w:rFonts w:ascii="宋体" w:hAnsi="宋体"/>
          <w:bCs/>
          <w:szCs w:val="21"/>
        </w:rPr>
      </w:pPr>
      <w:r>
        <w:rPr>
          <w:rFonts w:hint="eastAsia" w:ascii="宋体" w:hAnsi="宋体"/>
          <w:bCs/>
          <w:szCs w:val="21"/>
        </w:rPr>
        <w:t>账  号： 20023301040009198</w:t>
      </w:r>
    </w:p>
    <w:p>
      <w:pPr>
        <w:snapToGrid w:val="0"/>
        <w:ind w:left="-61" w:leftChars="-29" w:firstLine="514" w:firstLineChars="245"/>
        <w:outlineLvl w:val="0"/>
        <w:rPr>
          <w:rFonts w:ascii="宋体" w:hAnsi="宋体"/>
          <w:bCs/>
          <w:szCs w:val="21"/>
        </w:rPr>
      </w:pPr>
      <w:r>
        <w:rPr>
          <w:rFonts w:hint="eastAsia" w:ascii="宋体" w:hAnsi="宋体"/>
          <w:bCs/>
          <w:szCs w:val="21"/>
        </w:rPr>
        <w:t>提醒：提交时请务必备注注明：“项目名称+履约保证金”字样</w:t>
      </w:r>
    </w:p>
    <w:p>
      <w:pPr>
        <w:snapToGrid w:val="0"/>
        <w:ind w:left="-61" w:leftChars="-29" w:firstLine="514" w:firstLineChars="245"/>
        <w:outlineLvl w:val="0"/>
        <w:rPr>
          <w:rFonts w:ascii="宋体" w:hAnsi="宋体" w:cs="宋体"/>
          <w:szCs w:val="21"/>
        </w:rPr>
      </w:pPr>
      <w:r>
        <w:rPr>
          <w:rFonts w:ascii="宋体" w:hAnsi="宋体" w:cs="宋体"/>
          <w:szCs w:val="21"/>
        </w:rPr>
        <w:t>履约保证金在项目</w:t>
      </w:r>
      <w:r>
        <w:rPr>
          <w:rFonts w:hint="eastAsia" w:ascii="宋体" w:hAnsi="宋体" w:cs="宋体"/>
          <w:szCs w:val="21"/>
        </w:rPr>
        <w:t>质量保证期</w:t>
      </w:r>
      <w:r>
        <w:rPr>
          <w:rFonts w:ascii="宋体" w:hAnsi="宋体" w:cs="宋体"/>
          <w:szCs w:val="21"/>
        </w:rPr>
        <w:t>截止并履行完毕合同全部义务后，由</w:t>
      </w:r>
      <w:r>
        <w:rPr>
          <w:rFonts w:hint="eastAsia" w:ascii="宋体" w:hAnsi="宋体" w:cs="宋体"/>
          <w:szCs w:val="21"/>
        </w:rPr>
        <w:t>乙方</w:t>
      </w:r>
      <w:r>
        <w:rPr>
          <w:rFonts w:ascii="宋体" w:hAnsi="宋体" w:cs="宋体"/>
          <w:szCs w:val="21"/>
        </w:rPr>
        <w:t>提出申请，</w:t>
      </w:r>
      <w:r>
        <w:rPr>
          <w:rFonts w:hint="eastAsia" w:ascii="宋体" w:hAnsi="宋体" w:cs="宋体"/>
          <w:szCs w:val="21"/>
        </w:rPr>
        <w:t>甲方</w:t>
      </w:r>
      <w:r>
        <w:rPr>
          <w:rFonts w:ascii="宋体" w:hAnsi="宋体" w:cs="宋体"/>
          <w:szCs w:val="21"/>
        </w:rPr>
        <w:t>审核合格无误后十五个工作日内以银行转账、支票、汇票、本票或者金融、担保机构出具的保函等非现金方式方式原路退还（不计利息）。涉及违约的违约金和损失赔偿从履约保证金中扣减，履约保证金不足以支付违约金、赔偿损失的，</w:t>
      </w:r>
      <w:r>
        <w:rPr>
          <w:rFonts w:hint="eastAsia" w:ascii="宋体" w:hAnsi="宋体" w:cs="宋体"/>
          <w:szCs w:val="21"/>
        </w:rPr>
        <w:t>乙方</w:t>
      </w:r>
      <w:r>
        <w:rPr>
          <w:rFonts w:ascii="宋体" w:hAnsi="宋体" w:cs="宋体"/>
          <w:szCs w:val="21"/>
        </w:rPr>
        <w:t>仍应承担相应的违约赔偿责任。</w:t>
      </w:r>
    </w:p>
    <w:p>
      <w:pPr>
        <w:snapToGrid w:val="0"/>
        <w:ind w:left="-61" w:leftChars="-29" w:firstLine="517" w:firstLineChars="245"/>
        <w:outlineLvl w:val="0"/>
        <w:rPr>
          <w:rFonts w:ascii="宋体" w:hAnsi="宋体"/>
          <w:b/>
          <w:szCs w:val="21"/>
        </w:rPr>
      </w:pPr>
      <w:r>
        <w:rPr>
          <w:rFonts w:hint="eastAsia" w:ascii="宋体" w:hAnsi="宋体"/>
          <w:b/>
          <w:szCs w:val="21"/>
        </w:rPr>
        <w:t>第七条  税费  本合同执行中相关的一切税费均由乙方负担。</w:t>
      </w:r>
    </w:p>
    <w:p>
      <w:pPr>
        <w:pStyle w:val="21"/>
        <w:snapToGrid w:val="0"/>
        <w:spacing w:before="120" w:after="120" w:line="360" w:lineRule="exact"/>
        <w:ind w:firstLine="413" w:firstLineChars="196"/>
        <w:outlineLvl w:val="0"/>
        <w:rPr>
          <w:b/>
        </w:rPr>
      </w:pPr>
      <w:r>
        <w:rPr>
          <w:rFonts w:hint="eastAsia"/>
          <w:b/>
        </w:rPr>
        <w:t>第八条  验收</w:t>
      </w:r>
    </w:p>
    <w:p>
      <w:pPr>
        <w:pStyle w:val="21"/>
        <w:snapToGrid w:val="0"/>
        <w:spacing w:before="120" w:after="120" w:line="360" w:lineRule="exact"/>
        <w:ind w:firstLine="420" w:firstLineChars="200"/>
        <w:jc w:val="left"/>
      </w:pPr>
      <w:r>
        <w:rPr>
          <w:rFonts w:hint="eastAsia"/>
        </w:rPr>
        <w:t>1. 甲方对乙方提交的服务依据采购文件上的服务要求和国家有关质量标准进行现场初步验收，符合采购文件技术要求的，给予签收，初步验收不合格的不予签收。</w:t>
      </w:r>
      <w:r>
        <w:rPr>
          <w:rFonts w:hint="eastAsia"/>
          <w:bCs/>
        </w:rPr>
        <w:t>甲方应当在到成交人的服务成果提交后七个工作日内进行验收</w:t>
      </w:r>
      <w:r>
        <w:rPr>
          <w:rFonts w:hint="eastAsia"/>
        </w:rPr>
        <w:t>。</w:t>
      </w:r>
    </w:p>
    <w:p>
      <w:pPr>
        <w:pStyle w:val="21"/>
        <w:snapToGrid w:val="0"/>
        <w:spacing w:before="120" w:after="120" w:line="360" w:lineRule="exact"/>
        <w:ind w:firstLine="420" w:firstLineChars="200"/>
      </w:pPr>
      <w:r>
        <w:rPr>
          <w:rFonts w:hint="eastAsia"/>
        </w:rPr>
        <w:t>2. 乙方提交服务成果前应对提交的服务成果作出全面检查和对验收文件进行整理，并列出清单，作为甲方验收和使用的技术条件依据，检验的结果应随服务成果交给甲方。</w:t>
      </w:r>
    </w:p>
    <w:p>
      <w:pPr>
        <w:pStyle w:val="21"/>
        <w:snapToGrid w:val="0"/>
        <w:spacing w:before="120" w:after="120" w:line="360" w:lineRule="exact"/>
        <w:ind w:firstLine="420" w:firstLineChars="200"/>
      </w:pPr>
      <w:r>
        <w:rPr>
          <w:rFonts w:hint="eastAsia"/>
        </w:rPr>
        <w:t>3. 对技术复杂的服务，甲方应请国家认可的专业检测机构参与初步验收及最终验收，并由其出具质量检测报告。</w:t>
      </w:r>
    </w:p>
    <w:p>
      <w:pPr>
        <w:pStyle w:val="21"/>
        <w:snapToGrid w:val="0"/>
        <w:spacing w:before="120" w:after="120" w:line="360" w:lineRule="exact"/>
        <w:ind w:firstLine="420" w:firstLineChars="200"/>
      </w:pPr>
      <w:r>
        <w:rPr>
          <w:rFonts w:hint="eastAsia"/>
        </w:rPr>
        <w:t>4. 验收时乙方必须在现场，验收完毕后作出验收结果报告；验收费用由乙方负责。</w:t>
      </w:r>
    </w:p>
    <w:p>
      <w:pPr>
        <w:snapToGrid w:val="0"/>
        <w:spacing w:line="360" w:lineRule="exact"/>
        <w:ind w:firstLine="422" w:firstLineChars="200"/>
        <w:outlineLvl w:val="0"/>
        <w:rPr>
          <w:rFonts w:ascii="宋体" w:hAnsi="宋体"/>
          <w:b/>
          <w:szCs w:val="21"/>
        </w:rPr>
      </w:pPr>
      <w:r>
        <w:rPr>
          <w:rFonts w:hint="eastAsia" w:ascii="宋体" w:hAnsi="宋体"/>
          <w:b/>
          <w:szCs w:val="21"/>
        </w:rPr>
        <w:t>第九条　违约责任</w:t>
      </w:r>
    </w:p>
    <w:p>
      <w:pPr>
        <w:snapToGrid w:val="0"/>
        <w:spacing w:line="360" w:lineRule="exact"/>
        <w:ind w:firstLine="525" w:firstLineChars="250"/>
        <w:rPr>
          <w:rFonts w:ascii="宋体" w:hAnsi="宋体"/>
          <w:szCs w:val="21"/>
        </w:rPr>
      </w:pPr>
      <w:r>
        <w:rPr>
          <w:rFonts w:hint="eastAsia" w:ascii="宋体" w:hAnsi="宋体"/>
          <w:szCs w:val="21"/>
        </w:rPr>
        <w:t xml:space="preserve">1、乙方所提供的服务成果质量不合格的，应及时更换，更换不及时的按逾期提交服务成果向甲方支付违约金；因质量问题甲方不同意接收的或特殊情况甲方同意接收的，乙方应向甲方支付违约服务成果款额5%违约金并赔偿甲方经济损失。                                       </w:t>
      </w:r>
    </w:p>
    <w:p>
      <w:pPr>
        <w:snapToGrid w:val="0"/>
        <w:spacing w:line="360" w:lineRule="exact"/>
        <w:ind w:left="210" w:leftChars="100" w:firstLine="210" w:firstLineChars="100"/>
        <w:rPr>
          <w:rFonts w:ascii="宋体" w:hAnsi="宋体"/>
          <w:szCs w:val="21"/>
        </w:rPr>
      </w:pPr>
      <w:r>
        <w:rPr>
          <w:rFonts w:hint="eastAsia" w:ascii="宋体" w:hAnsi="宋体"/>
          <w:szCs w:val="21"/>
        </w:rPr>
        <w:t>2、乙方逾期提交服务成果的，每逾期一日应向甲方偿付违约服务成果款额 3‰违约金，违约金不设上限，直至扣完合同价款为止，逾期超过15天甲方有权解除合同，乙方</w:t>
      </w:r>
      <w:r>
        <w:rPr>
          <w:rFonts w:hint="eastAsia" w:ascii="宋体" w:hAnsi="宋体" w:cs="宋体"/>
          <w:szCs w:val="21"/>
        </w:rPr>
        <w:t>向甲方支付合同总额10%的违约金并</w:t>
      </w:r>
      <w:r>
        <w:rPr>
          <w:rFonts w:hint="eastAsia" w:ascii="宋体" w:hAnsi="宋体"/>
          <w:szCs w:val="21"/>
        </w:rPr>
        <w:t>承担因此给甲方造成的全部经济损失。甲方逾期支付服务成果款项的，每天向乙方偿付逾期服务成果款额 1</w:t>
      </w:r>
      <w:r>
        <w:rPr>
          <w:rFonts w:hint="eastAsia" w:ascii="宋体" w:hAnsi="宋体"/>
          <w:szCs w:val="21"/>
          <w:u w:val="single"/>
        </w:rPr>
        <w:t xml:space="preserve">‰ </w:t>
      </w:r>
      <w:r>
        <w:rPr>
          <w:rFonts w:hint="eastAsia" w:ascii="宋体" w:hAnsi="宋体"/>
          <w:szCs w:val="21"/>
        </w:rPr>
        <w:t>违约金，</w:t>
      </w:r>
      <w:r>
        <w:rPr>
          <w:rFonts w:hint="eastAsia" w:ascii="宋体" w:hAnsi="宋体" w:cs="宋体"/>
          <w:szCs w:val="21"/>
        </w:rPr>
        <w:t>但违约金累计不得超过应付未付货款额</w:t>
      </w:r>
      <w:r>
        <w:rPr>
          <w:rFonts w:hint="eastAsia" w:ascii="宋体" w:hAnsi="宋体" w:cs="宋体"/>
          <w:szCs w:val="21"/>
          <w:u w:val="single"/>
        </w:rPr>
        <w:t>3%</w:t>
      </w:r>
      <w:r>
        <w:rPr>
          <w:rFonts w:hint="eastAsia" w:ascii="宋体" w:hAnsi="宋体" w:cs="宋体"/>
          <w:szCs w:val="21"/>
        </w:rPr>
        <w:t>。</w:t>
      </w:r>
    </w:p>
    <w:p>
      <w:pPr>
        <w:snapToGrid w:val="0"/>
        <w:spacing w:line="360" w:lineRule="exact"/>
        <w:ind w:firstLine="420" w:firstLineChars="200"/>
        <w:rPr>
          <w:rFonts w:ascii="宋体" w:hAnsi="宋体"/>
          <w:szCs w:val="21"/>
        </w:rPr>
      </w:pPr>
      <w:r>
        <w:rPr>
          <w:rFonts w:hint="eastAsia" w:ascii="宋体" w:hAnsi="宋体"/>
          <w:szCs w:val="21"/>
        </w:rPr>
        <w:t>3、乙方未按本合同和投标文件中规定的服务承诺提供售后服务的，乙方应按本合同合计金额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w:t>
      </w:r>
    </w:p>
    <w:p>
      <w:pPr>
        <w:snapToGrid w:val="0"/>
        <w:spacing w:line="360" w:lineRule="exact"/>
        <w:ind w:firstLine="420" w:firstLineChars="200"/>
        <w:rPr>
          <w:rFonts w:ascii="宋体" w:hAnsi="宋体"/>
          <w:szCs w:val="21"/>
        </w:rPr>
      </w:pPr>
      <w:r>
        <w:rPr>
          <w:rFonts w:hint="eastAsia" w:ascii="宋体" w:hAnsi="宋体"/>
          <w:szCs w:val="21"/>
        </w:rPr>
        <w:t>4、乙方提供的服务成果在质量保证期内，因乙方和其它质量原因造成的问题，由乙方负责。</w:t>
      </w:r>
    </w:p>
    <w:p>
      <w:pPr>
        <w:snapToGrid w:val="0"/>
        <w:spacing w:line="360" w:lineRule="exact"/>
        <w:ind w:firstLine="420" w:firstLineChars="200"/>
        <w:rPr>
          <w:rFonts w:ascii="宋体" w:hAnsi="宋体"/>
          <w:szCs w:val="21"/>
        </w:rPr>
      </w:pPr>
      <w:r>
        <w:rPr>
          <w:rFonts w:hint="eastAsia" w:ascii="宋体" w:hAnsi="宋体"/>
          <w:szCs w:val="21"/>
        </w:rPr>
        <w:t>5、其它违约行为按违约服务成果款额10%收取违约金。</w:t>
      </w:r>
    </w:p>
    <w:p>
      <w:pPr>
        <w:snapToGrid w:val="0"/>
        <w:spacing w:line="360" w:lineRule="exact"/>
        <w:ind w:firstLine="420" w:firstLineChars="200"/>
        <w:rPr>
          <w:rFonts w:ascii="宋体" w:hAnsi="宋体"/>
          <w:szCs w:val="21"/>
        </w:rPr>
      </w:pPr>
      <w:r>
        <w:rPr>
          <w:rFonts w:hint="eastAsia" w:ascii="宋体" w:hAnsi="宋体"/>
          <w:szCs w:val="21"/>
        </w:rPr>
        <w:t>6、乙方应向甲方支付的违约金，甲方有权直接从应支付给乙方的服务费用或履约保证金中扣除。乙方支付的违约金（含履约保证金）不足以弥补甲方损失的，还应赔偿由此给甲方造成的全部损失。</w:t>
      </w:r>
    </w:p>
    <w:p>
      <w:pPr>
        <w:snapToGrid w:val="0"/>
        <w:spacing w:line="360" w:lineRule="exact"/>
        <w:ind w:firstLine="420" w:firstLineChars="200"/>
        <w:rPr>
          <w:rFonts w:ascii="宋体" w:hAnsi="宋体"/>
          <w:szCs w:val="21"/>
        </w:rPr>
      </w:pPr>
      <w:r>
        <w:rPr>
          <w:rFonts w:hint="eastAsia" w:ascii="宋体" w:hAnsi="宋体"/>
          <w:szCs w:val="21"/>
        </w:rPr>
        <w:t>7、违约方应承担守约方为实现权利而产生的诉讼费、律师费、保全费、保函保险费等。</w:t>
      </w:r>
    </w:p>
    <w:p>
      <w:pPr>
        <w:pStyle w:val="21"/>
        <w:snapToGrid w:val="0"/>
        <w:spacing w:before="120" w:after="120" w:line="360" w:lineRule="exact"/>
        <w:ind w:firstLine="413" w:firstLineChars="196"/>
        <w:outlineLvl w:val="0"/>
        <w:rPr>
          <w:b/>
        </w:rPr>
      </w:pPr>
      <w:r>
        <w:rPr>
          <w:rFonts w:hint="eastAsia"/>
          <w:b/>
        </w:rPr>
        <w:t>第十条 不可抗力事件处理</w:t>
      </w:r>
    </w:p>
    <w:p>
      <w:pPr>
        <w:pStyle w:val="21"/>
        <w:snapToGrid w:val="0"/>
        <w:spacing w:before="120" w:after="120" w:line="360" w:lineRule="exact"/>
        <w:ind w:firstLine="420" w:firstLineChars="200"/>
      </w:pPr>
      <w:r>
        <w:rPr>
          <w:rFonts w:hint="eastAsia"/>
        </w:rPr>
        <w:t>1. 在合同有效期内，任何一方因不可抗力事件导致不能履行合同，则合同履行期可延长，其延长期与不可抗力影响期相同。</w:t>
      </w:r>
    </w:p>
    <w:p>
      <w:pPr>
        <w:pStyle w:val="21"/>
        <w:snapToGrid w:val="0"/>
        <w:spacing w:before="120" w:after="120" w:line="360" w:lineRule="exact"/>
        <w:ind w:firstLine="420" w:firstLineChars="200"/>
      </w:pPr>
      <w:r>
        <w:rPr>
          <w:rFonts w:hint="eastAsia"/>
        </w:rPr>
        <w:t>2. 不可抗力事件发生后，应立即通知对方，并寄送有关权威机构出具的证明。</w:t>
      </w:r>
    </w:p>
    <w:p>
      <w:pPr>
        <w:pStyle w:val="21"/>
        <w:snapToGrid w:val="0"/>
        <w:spacing w:before="120" w:after="120" w:line="360" w:lineRule="exact"/>
        <w:ind w:firstLine="420" w:firstLineChars="200"/>
      </w:pPr>
      <w:r>
        <w:rPr>
          <w:rFonts w:hint="eastAsia"/>
        </w:rPr>
        <w:t>3. 不可抗力事件延续一百二十天以上，双方应通过友好协商，确定是否继续履行合同。</w:t>
      </w:r>
    </w:p>
    <w:p>
      <w:pPr>
        <w:snapToGrid w:val="0"/>
        <w:spacing w:line="360" w:lineRule="exact"/>
        <w:ind w:firstLine="422" w:firstLineChars="200"/>
        <w:outlineLvl w:val="0"/>
        <w:rPr>
          <w:rFonts w:ascii="宋体" w:hAnsi="宋体"/>
          <w:szCs w:val="21"/>
        </w:rPr>
      </w:pPr>
      <w:r>
        <w:rPr>
          <w:rFonts w:hint="eastAsia" w:ascii="宋体" w:hAnsi="宋体"/>
          <w:b/>
          <w:szCs w:val="21"/>
        </w:rPr>
        <w:t>第十一条  合同争议解决</w:t>
      </w:r>
    </w:p>
    <w:p>
      <w:pPr>
        <w:snapToGrid w:val="0"/>
        <w:spacing w:line="360" w:lineRule="exact"/>
        <w:ind w:firstLine="420" w:firstLineChars="200"/>
        <w:rPr>
          <w:rFonts w:ascii="宋体" w:hAnsi="宋体"/>
          <w:szCs w:val="21"/>
        </w:rPr>
      </w:pPr>
      <w:r>
        <w:rPr>
          <w:rFonts w:hint="eastAsia" w:ascii="宋体" w:hAnsi="宋体"/>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36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2、因履行本合同引起的或与本合同有关的争议，甲乙双方应首先通过友好协商解决，如果协商不能解决，向甲方所在地人民法院提起诉讼。</w:t>
      </w:r>
    </w:p>
    <w:p>
      <w:pPr>
        <w:snapToGrid w:val="0"/>
        <w:spacing w:line="360" w:lineRule="exact"/>
        <w:ind w:firstLine="420" w:firstLineChars="200"/>
        <w:rPr>
          <w:rFonts w:ascii="宋体" w:hAnsi="宋体"/>
          <w:szCs w:val="21"/>
        </w:rPr>
      </w:pPr>
      <w:r>
        <w:rPr>
          <w:rFonts w:hint="eastAsia" w:ascii="宋体" w:hAnsi="宋体"/>
          <w:szCs w:val="21"/>
        </w:rPr>
        <w:t>3、诉讼期间，如甲方未通知解除合同，则本合同继续履行。</w:t>
      </w:r>
    </w:p>
    <w:p>
      <w:pPr>
        <w:pStyle w:val="21"/>
        <w:snapToGrid w:val="0"/>
        <w:spacing w:before="120" w:after="120" w:line="360" w:lineRule="exact"/>
        <w:ind w:left="561" w:leftChars="267"/>
        <w:outlineLvl w:val="0"/>
        <w:rPr>
          <w:b/>
        </w:rPr>
      </w:pPr>
      <w:r>
        <w:rPr>
          <w:rFonts w:hint="eastAsia"/>
          <w:b/>
        </w:rPr>
        <w:t>第十二条 合同生效及其它</w:t>
      </w:r>
    </w:p>
    <w:p>
      <w:pPr>
        <w:pStyle w:val="21"/>
        <w:snapToGrid w:val="0"/>
        <w:spacing w:before="120" w:after="120" w:line="360" w:lineRule="exact"/>
        <w:ind w:firstLine="413" w:firstLineChars="196"/>
        <w:rPr>
          <w:b/>
        </w:rPr>
      </w:pPr>
      <w:r>
        <w:rPr>
          <w:rFonts w:hint="eastAsia"/>
          <w:b/>
        </w:rPr>
        <w:t>1．合同经双方法定代表人(负责人)或委托代理人签字并加盖单位公章后生效。</w:t>
      </w:r>
    </w:p>
    <w:p>
      <w:pPr>
        <w:pStyle w:val="21"/>
        <w:snapToGrid w:val="0"/>
        <w:spacing w:before="120" w:after="120" w:line="360" w:lineRule="exact"/>
        <w:ind w:firstLine="413" w:firstLineChars="196"/>
        <w:rPr>
          <w:b/>
        </w:rPr>
      </w:pPr>
      <w:r>
        <w:rPr>
          <w:rFonts w:hint="eastAsia"/>
          <w:b/>
        </w:rPr>
        <w:t>2．合同执行中涉及采购资金和采购内容修改或补充的，须签书面补充协议报财政部门备案，方可作为主合同不可分割的一部分。</w:t>
      </w:r>
    </w:p>
    <w:p>
      <w:pPr>
        <w:pStyle w:val="21"/>
        <w:snapToGrid w:val="0"/>
        <w:spacing w:before="120" w:after="120" w:line="360" w:lineRule="exact"/>
        <w:ind w:firstLine="413" w:firstLineChars="196"/>
        <w:rPr>
          <w:b/>
        </w:rPr>
      </w:pPr>
      <w:r>
        <w:rPr>
          <w:rFonts w:hint="eastAsia"/>
          <w:b/>
        </w:rPr>
        <w:t>3．本合同未尽事宜，遵照《中华人民共和国民法典》有关条文执行。</w:t>
      </w:r>
    </w:p>
    <w:p>
      <w:pPr>
        <w:snapToGrid w:val="0"/>
        <w:spacing w:line="360" w:lineRule="exact"/>
        <w:ind w:firstLine="525" w:firstLineChars="249"/>
        <w:outlineLvl w:val="0"/>
        <w:rPr>
          <w:rFonts w:ascii="宋体" w:hAnsi="宋体"/>
          <w:b/>
          <w:szCs w:val="21"/>
        </w:rPr>
      </w:pPr>
      <w:r>
        <w:rPr>
          <w:rFonts w:hint="eastAsia" w:ascii="宋体" w:hAnsi="宋体"/>
          <w:b/>
          <w:szCs w:val="21"/>
        </w:rPr>
        <w:t>第十三条　合同的变更、终止与转让</w:t>
      </w:r>
    </w:p>
    <w:p>
      <w:pPr>
        <w:snapToGrid w:val="0"/>
        <w:spacing w:line="360" w:lineRule="exact"/>
        <w:ind w:firstLine="42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pStyle w:val="21"/>
        <w:snapToGrid w:val="0"/>
        <w:spacing w:before="120" w:after="120" w:line="360" w:lineRule="exact"/>
        <w:ind w:firstLine="411" w:firstLineChars="196"/>
        <w:rPr>
          <w:b/>
        </w:rPr>
      </w:pPr>
      <w:r>
        <w:rPr>
          <w:rFonts w:hint="eastAsia"/>
        </w:rPr>
        <w:t>2、乙方不得擅自转让其应履行的合同义务。</w:t>
      </w:r>
    </w:p>
    <w:p>
      <w:pPr>
        <w:snapToGrid w:val="0"/>
        <w:spacing w:line="360" w:lineRule="exact"/>
        <w:ind w:firstLine="422" w:firstLineChars="200"/>
        <w:outlineLvl w:val="0"/>
        <w:rPr>
          <w:rFonts w:ascii="宋体" w:hAnsi="宋体"/>
          <w:b/>
          <w:szCs w:val="21"/>
        </w:rPr>
      </w:pPr>
      <w:r>
        <w:rPr>
          <w:rFonts w:hint="eastAsia" w:ascii="宋体" w:hAnsi="宋体"/>
          <w:b/>
          <w:szCs w:val="21"/>
        </w:rPr>
        <w:t>第十四条　签订本合同依据</w:t>
      </w:r>
    </w:p>
    <w:p>
      <w:pPr>
        <w:snapToGrid w:val="0"/>
        <w:spacing w:line="360" w:lineRule="exact"/>
        <w:ind w:firstLine="420" w:firstLineChars="200"/>
        <w:rPr>
          <w:rFonts w:ascii="宋体" w:hAnsi="宋体"/>
          <w:szCs w:val="21"/>
        </w:rPr>
      </w:pPr>
      <w:r>
        <w:rPr>
          <w:rFonts w:hint="eastAsia" w:ascii="宋体" w:hAnsi="宋体"/>
          <w:szCs w:val="21"/>
        </w:rPr>
        <w:t>1、政府采购文件；</w:t>
      </w:r>
    </w:p>
    <w:p>
      <w:pPr>
        <w:snapToGrid w:val="0"/>
        <w:spacing w:line="360" w:lineRule="exact"/>
        <w:ind w:firstLine="420" w:firstLineChars="200"/>
        <w:rPr>
          <w:rFonts w:ascii="宋体" w:hAnsi="宋体"/>
          <w:szCs w:val="21"/>
        </w:rPr>
      </w:pPr>
      <w:r>
        <w:rPr>
          <w:rFonts w:hint="eastAsia" w:ascii="宋体" w:hAnsi="宋体"/>
          <w:szCs w:val="21"/>
        </w:rPr>
        <w:t>2、乙方提供的响应文件；</w:t>
      </w:r>
    </w:p>
    <w:p>
      <w:pPr>
        <w:snapToGrid w:val="0"/>
        <w:spacing w:line="360" w:lineRule="exact"/>
        <w:ind w:firstLine="420" w:firstLineChars="200"/>
        <w:rPr>
          <w:rFonts w:ascii="宋体" w:hAnsi="宋体"/>
          <w:szCs w:val="21"/>
        </w:rPr>
      </w:pPr>
      <w:r>
        <w:rPr>
          <w:rFonts w:hint="eastAsia" w:ascii="宋体" w:hAnsi="宋体"/>
          <w:szCs w:val="21"/>
        </w:rPr>
        <w:t>3、成交通知书。</w:t>
      </w:r>
    </w:p>
    <w:p>
      <w:pPr>
        <w:snapToGrid w:val="0"/>
        <w:spacing w:line="382" w:lineRule="exact"/>
        <w:ind w:firstLine="422" w:firstLineChars="200"/>
        <w:rPr>
          <w:rFonts w:ascii="宋体" w:hAnsi="宋体"/>
          <w:szCs w:val="21"/>
        </w:rPr>
      </w:pPr>
      <w:r>
        <w:rPr>
          <w:rFonts w:hint="eastAsia" w:ascii="宋体" w:hAnsi="宋体"/>
          <w:b/>
          <w:szCs w:val="21"/>
        </w:rPr>
        <w:t>第十五条　</w:t>
      </w:r>
      <w:r>
        <w:rPr>
          <w:rFonts w:hint="eastAsia" w:ascii="宋体" w:hAnsi="宋体"/>
          <w:szCs w:val="21"/>
        </w:rPr>
        <w:t>本合同一式陆份，具有同等法律效力，</w:t>
      </w:r>
      <w:r>
        <w:rPr>
          <w:rFonts w:hint="eastAsia" w:ascii="宋体" w:hAnsi="宋体"/>
          <w:spacing w:val="4"/>
          <w:szCs w:val="21"/>
        </w:rPr>
        <w:t>广西壮族自治区财政厅政府采购监督管理处、采购代理机构</w:t>
      </w:r>
      <w:r>
        <w:rPr>
          <w:rFonts w:hint="eastAsia" w:ascii="宋体" w:hAnsi="宋体"/>
          <w:szCs w:val="21"/>
        </w:rPr>
        <w:t>各一份，甲方叁份，乙份一份。自签订之日起7个工作日内，甲方应当将合同副本报</w:t>
      </w:r>
      <w:r>
        <w:rPr>
          <w:rFonts w:hint="eastAsia" w:ascii="宋体" w:hAnsi="宋体"/>
          <w:spacing w:val="4"/>
          <w:szCs w:val="21"/>
        </w:rPr>
        <w:t>同级政府采购监督管理部门和有关部门</w:t>
      </w:r>
      <w:r>
        <w:rPr>
          <w:rFonts w:hint="eastAsia" w:ascii="宋体" w:hAnsi="宋体"/>
          <w:szCs w:val="21"/>
        </w:rPr>
        <w:t>备案，并应当自签订之日起2个工作日内，将政府采购合同在省级以上人民政府财政部门指定的媒体上公告。</w:t>
      </w:r>
    </w:p>
    <w:p>
      <w:pPr>
        <w:snapToGrid w:val="0"/>
        <w:spacing w:line="360" w:lineRule="exact"/>
        <w:ind w:firstLine="420" w:firstLineChars="200"/>
        <w:rPr>
          <w:rFonts w:ascii="宋体" w:hAnsi="宋体"/>
          <w:szCs w:val="21"/>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tcPr>
          <w:p>
            <w:pPr>
              <w:snapToGrid w:val="0"/>
              <w:spacing w:line="360" w:lineRule="exact"/>
              <w:rPr>
                <w:rFonts w:ascii="宋体" w:hAnsi="宋体"/>
                <w:szCs w:val="21"/>
              </w:rPr>
            </w:pPr>
            <w:r>
              <w:rPr>
                <w:rFonts w:hint="eastAsia" w:ascii="宋体" w:hAnsi="宋体"/>
                <w:szCs w:val="21"/>
              </w:rPr>
              <w:t xml:space="preserve">甲方（章）           </w:t>
            </w:r>
          </w:p>
          <w:p>
            <w:pPr>
              <w:snapToGrid w:val="0"/>
              <w:spacing w:line="360" w:lineRule="exact"/>
              <w:rPr>
                <w:rFonts w:ascii="宋体" w:hAnsi="宋体"/>
                <w:szCs w:val="21"/>
              </w:rPr>
            </w:pPr>
          </w:p>
          <w:p>
            <w:pPr>
              <w:snapToGrid w:val="0"/>
              <w:spacing w:line="360" w:lineRule="exact"/>
              <w:ind w:firstLine="945" w:firstLineChars="450"/>
              <w:rPr>
                <w:rFonts w:ascii="宋体" w:hAnsi="宋体"/>
                <w:szCs w:val="21"/>
              </w:rPr>
            </w:pPr>
            <w:r>
              <w:rPr>
                <w:rFonts w:hint="eastAsia" w:ascii="宋体" w:hAnsi="宋体"/>
                <w:szCs w:val="21"/>
              </w:rPr>
              <w:t xml:space="preserve">                 年   月   日</w:t>
            </w:r>
          </w:p>
        </w:tc>
        <w:tc>
          <w:tcPr>
            <w:tcW w:w="4826" w:type="dxa"/>
          </w:tcPr>
          <w:p>
            <w:pPr>
              <w:snapToGrid w:val="0"/>
              <w:spacing w:line="360" w:lineRule="exact"/>
              <w:rPr>
                <w:rFonts w:ascii="宋体" w:hAnsi="宋体"/>
                <w:szCs w:val="21"/>
              </w:rPr>
            </w:pPr>
            <w:r>
              <w:rPr>
                <w:rFonts w:hint="eastAsia" w:ascii="宋体" w:hAnsi="宋体"/>
                <w:szCs w:val="21"/>
              </w:rPr>
              <w:t xml:space="preserve">乙方（章）              </w:t>
            </w:r>
          </w:p>
          <w:p>
            <w:pPr>
              <w:snapToGrid w:val="0"/>
              <w:spacing w:line="360" w:lineRule="exact"/>
              <w:rPr>
                <w:rFonts w:ascii="宋体" w:hAnsi="宋体"/>
                <w:szCs w:val="21"/>
              </w:rPr>
            </w:pPr>
          </w:p>
          <w:p>
            <w:pPr>
              <w:snapToGrid w:val="0"/>
              <w:spacing w:line="360" w:lineRule="exac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单位地址：</w:t>
            </w:r>
          </w:p>
        </w:tc>
        <w:tc>
          <w:tcPr>
            <w:tcW w:w="4826" w:type="dxa"/>
          </w:tcPr>
          <w:p>
            <w:pPr>
              <w:snapToGrid w:val="0"/>
              <w:spacing w:line="36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法定代表人(负责人)：</w:t>
            </w:r>
          </w:p>
        </w:tc>
        <w:tc>
          <w:tcPr>
            <w:tcW w:w="4826" w:type="dxa"/>
          </w:tcPr>
          <w:p>
            <w:pPr>
              <w:snapToGrid w:val="0"/>
              <w:spacing w:line="360" w:lineRule="exact"/>
              <w:rPr>
                <w:rFonts w:ascii="宋体" w:hAnsi="宋体"/>
                <w:szCs w:val="21"/>
              </w:rPr>
            </w:pPr>
            <w:r>
              <w:rPr>
                <w:rFonts w:hint="eastAsia" w:ascii="宋体" w:hAnsi="宋体"/>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委托代理人：</w:t>
            </w:r>
          </w:p>
        </w:tc>
        <w:tc>
          <w:tcPr>
            <w:tcW w:w="4826" w:type="dxa"/>
          </w:tcPr>
          <w:p>
            <w:pPr>
              <w:snapToGrid w:val="0"/>
              <w:spacing w:line="36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电话：</w:t>
            </w:r>
          </w:p>
        </w:tc>
        <w:tc>
          <w:tcPr>
            <w:tcW w:w="4826" w:type="dxa"/>
          </w:tcPr>
          <w:p>
            <w:pPr>
              <w:snapToGrid w:val="0"/>
              <w:spacing w:line="36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电子邮箱：</w:t>
            </w:r>
          </w:p>
        </w:tc>
        <w:tc>
          <w:tcPr>
            <w:tcW w:w="4826" w:type="dxa"/>
          </w:tcPr>
          <w:p>
            <w:pPr>
              <w:snapToGrid w:val="0"/>
              <w:spacing w:line="36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开户银行：</w:t>
            </w:r>
          </w:p>
        </w:tc>
        <w:tc>
          <w:tcPr>
            <w:tcW w:w="4826" w:type="dxa"/>
          </w:tcPr>
          <w:p>
            <w:pPr>
              <w:snapToGrid w:val="0"/>
              <w:spacing w:line="36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账号：</w:t>
            </w:r>
          </w:p>
        </w:tc>
        <w:tc>
          <w:tcPr>
            <w:tcW w:w="4826" w:type="dxa"/>
          </w:tcPr>
          <w:p>
            <w:pPr>
              <w:snapToGrid w:val="0"/>
              <w:spacing w:line="36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400" w:lineRule="exact"/>
              <w:rPr>
                <w:rFonts w:ascii="宋体" w:hAnsi="宋体"/>
                <w:szCs w:val="21"/>
              </w:rPr>
            </w:pPr>
            <w:r>
              <w:rPr>
                <w:rFonts w:hint="eastAsia" w:ascii="宋体" w:hAnsi="宋体"/>
              </w:rPr>
              <w:t>纳税人识别号或统一社会信用代码：</w:t>
            </w:r>
          </w:p>
        </w:tc>
        <w:tc>
          <w:tcPr>
            <w:tcW w:w="4826" w:type="dxa"/>
          </w:tcPr>
          <w:p>
            <w:pPr>
              <w:snapToGrid w:val="0"/>
              <w:spacing w:line="400" w:lineRule="exact"/>
              <w:rPr>
                <w:rFonts w:ascii="宋体" w:hAnsi="宋体"/>
                <w:szCs w:val="21"/>
              </w:rPr>
            </w:pPr>
            <w:r>
              <w:rPr>
                <w:rFonts w:hint="eastAsia" w:ascii="宋体" w:hAnsi="宋体"/>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tcPr>
          <w:p>
            <w:pPr>
              <w:snapToGrid w:val="0"/>
              <w:spacing w:line="360" w:lineRule="exact"/>
              <w:rPr>
                <w:rFonts w:ascii="宋体" w:hAnsi="宋体"/>
                <w:szCs w:val="21"/>
              </w:rPr>
            </w:pPr>
            <w:r>
              <w:rPr>
                <w:rFonts w:hint="eastAsia" w:ascii="宋体" w:hAnsi="宋体"/>
                <w:szCs w:val="21"/>
              </w:rPr>
              <w:t>邮政编码：</w:t>
            </w:r>
          </w:p>
        </w:tc>
        <w:tc>
          <w:tcPr>
            <w:tcW w:w="4826" w:type="dxa"/>
          </w:tcPr>
          <w:p>
            <w:pPr>
              <w:snapToGrid w:val="0"/>
              <w:spacing w:line="360" w:lineRule="exact"/>
              <w:rPr>
                <w:rFonts w:ascii="宋体" w:hAnsi="宋体"/>
                <w:szCs w:val="21"/>
              </w:rPr>
            </w:pPr>
            <w:r>
              <w:rPr>
                <w:rFonts w:hint="eastAsia" w:ascii="宋体" w:hAnsi="宋体"/>
                <w:szCs w:val="21"/>
              </w:rPr>
              <w:t>邮政编码：</w:t>
            </w:r>
          </w:p>
        </w:tc>
      </w:tr>
    </w:tbl>
    <w:p>
      <w:pPr>
        <w:spacing w:line="480" w:lineRule="auto"/>
        <w:jc w:val="center"/>
        <w:rPr>
          <w:b/>
          <w:kern w:val="1"/>
          <w:sz w:val="28"/>
          <w:szCs w:val="28"/>
        </w:rPr>
      </w:pPr>
      <w:r>
        <w:rPr>
          <w:b/>
          <w:kern w:val="1"/>
          <w:sz w:val="28"/>
          <w:szCs w:val="28"/>
        </w:rPr>
        <w:t>合 同 附 件</w:t>
      </w:r>
    </w:p>
    <w:tbl>
      <w:tblPr>
        <w:tblStyle w:val="36"/>
        <w:tblW w:w="0" w:type="auto"/>
        <w:jc w:val="center"/>
        <w:tblLayout w:type="fixed"/>
        <w:tblCellMar>
          <w:top w:w="0" w:type="dxa"/>
          <w:left w:w="108" w:type="dxa"/>
          <w:bottom w:w="0" w:type="dxa"/>
          <w:right w:w="108" w:type="dxa"/>
        </w:tblCellMar>
      </w:tblPr>
      <w:tblGrid>
        <w:gridCol w:w="4742"/>
        <w:gridCol w:w="4634"/>
      </w:tblGrid>
      <w:tr>
        <w:tblPrEx>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cs="宋体"/>
                <w:kern w:val="1"/>
                <w:szCs w:val="21"/>
              </w:rPr>
            </w:pPr>
            <w:r>
              <w:rPr>
                <w:rFonts w:cs="宋体"/>
                <w:kern w:val="1"/>
                <w:szCs w:val="21"/>
              </w:rPr>
              <w:t>1、供应商承诺具体事项：详见响应文件。</w:t>
            </w:r>
          </w:p>
        </w:tc>
      </w:tr>
      <w:tr>
        <w:tblPrEx>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cs="宋体"/>
                <w:kern w:val="1"/>
                <w:szCs w:val="21"/>
              </w:rPr>
            </w:pPr>
            <w:r>
              <w:rPr>
                <w:rFonts w:cs="宋体"/>
                <w:kern w:val="1"/>
                <w:szCs w:val="21"/>
              </w:rPr>
              <w:t>2、售后服务具体事项：详见响应文件。</w:t>
            </w:r>
          </w:p>
        </w:tc>
      </w:tr>
      <w:tr>
        <w:tblPrEx>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cs="宋体"/>
                <w:kern w:val="1"/>
                <w:szCs w:val="21"/>
              </w:rPr>
            </w:pPr>
            <w:r>
              <w:rPr>
                <w:rFonts w:cs="宋体"/>
                <w:kern w:val="1"/>
                <w:szCs w:val="21"/>
              </w:rPr>
              <w:t>3、</w:t>
            </w:r>
            <w:r>
              <w:rPr>
                <w:rFonts w:hint="eastAsia" w:cs="宋体"/>
                <w:kern w:val="1"/>
                <w:szCs w:val="21"/>
              </w:rPr>
              <w:t>服务</w:t>
            </w:r>
            <w:r>
              <w:rPr>
                <w:rFonts w:cs="宋体"/>
                <w:kern w:val="1"/>
                <w:szCs w:val="21"/>
              </w:rPr>
              <w:t>期责任：详见响应文件。</w:t>
            </w:r>
          </w:p>
        </w:tc>
      </w:tr>
      <w:tr>
        <w:tblPrEx>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cs="宋体"/>
                <w:kern w:val="1"/>
                <w:szCs w:val="21"/>
              </w:rPr>
            </w:pPr>
            <w:r>
              <w:rPr>
                <w:rFonts w:cs="宋体"/>
                <w:kern w:val="1"/>
                <w:szCs w:val="21"/>
              </w:rPr>
              <w:t>4、其他具体事项：详见响应文件。</w:t>
            </w:r>
          </w:p>
        </w:tc>
      </w:tr>
      <w:tr>
        <w:tblPrEx>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kern w:val="1"/>
                <w:szCs w:val="21"/>
              </w:rPr>
            </w:pPr>
            <w:r>
              <w:rPr>
                <w:rFonts w:cs="宋体"/>
                <w:kern w:val="1"/>
                <w:szCs w:val="21"/>
              </w:rPr>
              <w:t>甲方（章）</w:t>
            </w:r>
          </w:p>
          <w:p>
            <w:pPr>
              <w:spacing w:line="360" w:lineRule="exact"/>
              <w:ind w:firstLine="422"/>
              <w:rPr>
                <w:rFonts w:cs="宋体"/>
                <w:kern w:val="1"/>
                <w:szCs w:val="21"/>
              </w:rPr>
            </w:pPr>
          </w:p>
          <w:p>
            <w:pPr>
              <w:spacing w:line="360" w:lineRule="exact"/>
              <w:ind w:firstLine="422"/>
              <w:rPr>
                <w:rFonts w:cs="宋体"/>
                <w:kern w:val="1"/>
                <w:szCs w:val="21"/>
              </w:rPr>
            </w:pPr>
          </w:p>
          <w:p>
            <w:pPr>
              <w:spacing w:line="360" w:lineRule="exact"/>
              <w:ind w:firstLine="422"/>
              <w:rPr>
                <w:rFonts w:cs="宋体"/>
                <w:kern w:val="1"/>
                <w:szCs w:val="21"/>
              </w:rPr>
            </w:pPr>
          </w:p>
          <w:p>
            <w:pPr>
              <w:spacing w:line="360" w:lineRule="exact"/>
              <w:ind w:firstLine="422"/>
              <w:rPr>
                <w:rFonts w:cs="宋体"/>
                <w:kern w:val="1"/>
                <w:szCs w:val="21"/>
              </w:rPr>
            </w:pPr>
            <w:r>
              <w:rPr>
                <w:rFonts w:cs="宋体"/>
                <w:kern w:val="1"/>
                <w:szCs w:val="21"/>
              </w:rPr>
              <w:t xml:space="preserve">                      年   月   日 </w:t>
            </w:r>
          </w:p>
        </w:tc>
        <w:tc>
          <w:tcPr>
            <w:tcW w:w="463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kern w:val="1"/>
                <w:szCs w:val="21"/>
              </w:rPr>
            </w:pPr>
            <w:r>
              <w:rPr>
                <w:rFonts w:cs="宋体"/>
                <w:kern w:val="1"/>
                <w:szCs w:val="21"/>
              </w:rPr>
              <w:t>乙方（章）</w:t>
            </w:r>
          </w:p>
          <w:p>
            <w:pPr>
              <w:spacing w:line="360" w:lineRule="exact"/>
              <w:ind w:firstLine="422"/>
              <w:rPr>
                <w:rFonts w:cs="宋体"/>
                <w:kern w:val="1"/>
                <w:szCs w:val="21"/>
              </w:rPr>
            </w:pPr>
          </w:p>
          <w:p>
            <w:pPr>
              <w:spacing w:line="360" w:lineRule="exact"/>
              <w:ind w:firstLine="422"/>
              <w:rPr>
                <w:rFonts w:cs="宋体"/>
                <w:kern w:val="1"/>
                <w:szCs w:val="21"/>
              </w:rPr>
            </w:pPr>
          </w:p>
          <w:p>
            <w:pPr>
              <w:spacing w:line="360" w:lineRule="exact"/>
              <w:ind w:firstLine="422"/>
              <w:rPr>
                <w:rFonts w:cs="宋体"/>
                <w:kern w:val="1"/>
                <w:szCs w:val="21"/>
              </w:rPr>
            </w:pPr>
          </w:p>
          <w:p>
            <w:pPr>
              <w:spacing w:line="360" w:lineRule="exact"/>
              <w:ind w:firstLine="422"/>
              <w:rPr>
                <w:rFonts w:cs="宋体"/>
                <w:kern w:val="1"/>
                <w:szCs w:val="21"/>
              </w:rPr>
            </w:pPr>
            <w:r>
              <w:rPr>
                <w:rFonts w:cs="宋体"/>
                <w:kern w:val="1"/>
                <w:szCs w:val="21"/>
              </w:rPr>
              <w:t xml:space="preserve">                       年   月   日</w:t>
            </w:r>
          </w:p>
        </w:tc>
      </w:tr>
    </w:tbl>
    <w:p>
      <w:pPr>
        <w:spacing w:line="360" w:lineRule="exact"/>
        <w:rPr>
          <w:rFonts w:ascii="宋体" w:hAnsi="宋体" w:cs="宋体"/>
          <w:kern w:val="1"/>
          <w:szCs w:val="21"/>
        </w:rPr>
      </w:pPr>
      <w:r>
        <w:rPr>
          <w:rFonts w:ascii="宋体" w:hAnsi="宋体" w:cs="宋体"/>
          <w:kern w:val="1"/>
          <w:szCs w:val="21"/>
        </w:rPr>
        <w:t xml:space="preserve">  注：售后服务事项填不下时可另加附页。</w:t>
      </w:r>
    </w:p>
    <w:p>
      <w:pPr>
        <w:pStyle w:val="21"/>
        <w:spacing w:line="360" w:lineRule="auto"/>
        <w:rPr>
          <w:rFonts w:hAnsi="宋体"/>
          <w:sz w:val="32"/>
          <w:szCs w:val="32"/>
        </w:rPr>
      </w:pPr>
      <w:r>
        <w:rPr>
          <w:rFonts w:hAnsi="宋体"/>
          <w:b/>
        </w:rPr>
        <w:br w:type="page"/>
      </w: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pStyle w:val="34"/>
        <w:rPr>
          <w:kern w:val="0"/>
          <w:sz w:val="44"/>
          <w:szCs w:val="44"/>
        </w:rPr>
      </w:pPr>
      <w:bookmarkStart w:id="89" w:name="_Toc476258673"/>
      <w:bookmarkStart w:id="90" w:name="_Toc476258761"/>
      <w:r>
        <w:rPr>
          <w:rFonts w:hint="eastAsia"/>
          <w:kern w:val="0"/>
          <w:sz w:val="44"/>
          <w:szCs w:val="44"/>
        </w:rPr>
        <w:t>第六章  评标标准</w:t>
      </w:r>
      <w:bookmarkEnd w:id="89"/>
      <w:bookmarkEnd w:id="90"/>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ascii="黑体" w:hAnsi="宋体" w:eastAsia="黑体"/>
          <w:b/>
          <w:kern w:val="0"/>
          <w:sz w:val="32"/>
          <w:szCs w:val="32"/>
        </w:rPr>
      </w:pPr>
    </w:p>
    <w:p>
      <w:pPr>
        <w:pStyle w:val="21"/>
        <w:spacing w:line="440" w:lineRule="exact"/>
        <w:rPr>
          <w:rFonts w:hAnsi="宋体"/>
          <w:b/>
          <w:kern w:val="0"/>
        </w:rPr>
      </w:pPr>
    </w:p>
    <w:p>
      <w:pPr>
        <w:pStyle w:val="21"/>
        <w:jc w:val="center"/>
        <w:rPr>
          <w:rFonts w:ascii="仿宋_GB2312" w:hAnsi="宋体" w:eastAsia="仿宋_GB2312"/>
          <w:b/>
          <w:kern w:val="0"/>
          <w:sz w:val="32"/>
          <w:szCs w:val="32"/>
        </w:rPr>
      </w:pPr>
      <w:r>
        <w:rPr>
          <w:rFonts w:ascii="仿宋_GB2312" w:hAnsi="宋体" w:eastAsia="仿宋_GB2312"/>
          <w:b/>
          <w:kern w:val="0"/>
          <w:sz w:val="32"/>
          <w:szCs w:val="32"/>
        </w:rPr>
        <w:br w:type="page"/>
      </w:r>
      <w:r>
        <w:rPr>
          <w:rFonts w:hint="eastAsia" w:ascii="仿宋_GB2312" w:hAnsi="宋体" w:eastAsia="仿宋_GB2312"/>
          <w:b/>
          <w:kern w:val="0"/>
          <w:sz w:val="32"/>
          <w:szCs w:val="32"/>
        </w:rPr>
        <w:t>评标标准</w:t>
      </w:r>
    </w:p>
    <w:p>
      <w:pPr>
        <w:pStyle w:val="30"/>
        <w:spacing w:line="360" w:lineRule="exact"/>
        <w:ind w:left="0"/>
        <w:rPr>
          <w:b/>
          <w:bCs/>
          <w:szCs w:val="21"/>
        </w:rPr>
      </w:pPr>
      <w:r>
        <w:rPr>
          <w:rFonts w:hint="eastAsia"/>
          <w:b/>
          <w:bCs/>
          <w:szCs w:val="21"/>
        </w:rPr>
        <w:t>一、评标原则</w:t>
      </w:r>
    </w:p>
    <w:p>
      <w:pPr>
        <w:pStyle w:val="30"/>
        <w:spacing w:line="360" w:lineRule="exact"/>
        <w:ind w:left="0"/>
        <w:rPr>
          <w:bCs/>
          <w:szCs w:val="21"/>
        </w:rPr>
      </w:pPr>
      <w:r>
        <w:rPr>
          <w:rFonts w:hint="eastAsia"/>
          <w:bCs/>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pPr>
        <w:spacing w:line="360" w:lineRule="exact"/>
        <w:rPr>
          <w:rFonts w:ascii="宋体" w:hAnsi="宋体"/>
          <w:b/>
        </w:rPr>
      </w:pPr>
      <w:r>
        <w:rPr>
          <w:rFonts w:hint="eastAsia"/>
          <w:bCs/>
          <w:szCs w:val="21"/>
        </w:rPr>
        <w:t xml:space="preserve">    （二）评标依据：评委将以竞争性磋商文件和竞</w:t>
      </w:r>
      <w:r>
        <w:rPr>
          <w:rFonts w:hint="eastAsia" w:ascii="宋体" w:hAnsi="宋体"/>
          <w:bCs/>
          <w:szCs w:val="21"/>
        </w:rPr>
        <w:t>争性磋商响应文件为评标依据，对供应商的响应文件内容按百分制打分。</w:t>
      </w:r>
    </w:p>
    <w:p>
      <w:pPr>
        <w:pStyle w:val="30"/>
        <w:spacing w:line="360" w:lineRule="exact"/>
        <w:ind w:left="0" w:firstLine="420" w:firstLineChars="200"/>
        <w:rPr>
          <w:rFonts w:ascii="宋体" w:hAnsi="宋体"/>
          <w:bCs/>
          <w:szCs w:val="21"/>
        </w:rPr>
      </w:pPr>
      <w:r>
        <w:rPr>
          <w:rFonts w:hint="eastAsia" w:ascii="宋体" w:hAnsi="宋体"/>
          <w:bCs/>
          <w:szCs w:val="21"/>
        </w:rPr>
        <w:t>（三）评标方式：以封闭方式进行。</w:t>
      </w:r>
    </w:p>
    <w:p>
      <w:pPr>
        <w:pStyle w:val="30"/>
        <w:spacing w:line="360" w:lineRule="exact"/>
        <w:ind w:left="0"/>
        <w:rPr>
          <w:rFonts w:ascii="宋体" w:hAnsi="宋体"/>
          <w:b/>
          <w:bCs/>
          <w:szCs w:val="21"/>
        </w:rPr>
      </w:pPr>
      <w:r>
        <w:rPr>
          <w:rFonts w:hint="eastAsia" w:ascii="宋体" w:hAnsi="宋体"/>
          <w:b/>
          <w:bCs/>
          <w:szCs w:val="21"/>
        </w:rPr>
        <w:t>二、评标方法</w:t>
      </w:r>
    </w:p>
    <w:p>
      <w:pPr>
        <w:pStyle w:val="30"/>
        <w:spacing w:line="360" w:lineRule="exact"/>
        <w:ind w:left="0"/>
        <w:rPr>
          <w:rFonts w:ascii="宋体" w:hAnsi="宋体"/>
          <w:bCs/>
          <w:szCs w:val="21"/>
        </w:rPr>
      </w:pPr>
      <w:r>
        <w:rPr>
          <w:rFonts w:hint="eastAsia" w:ascii="宋体" w:hAnsi="宋体"/>
          <w:bCs/>
          <w:szCs w:val="21"/>
        </w:rPr>
        <w:t>（一）对进入详评的，采用百分制综合评分法。</w:t>
      </w:r>
    </w:p>
    <w:p>
      <w:pPr>
        <w:pStyle w:val="30"/>
        <w:spacing w:line="360" w:lineRule="exact"/>
        <w:ind w:left="0"/>
        <w:rPr>
          <w:rFonts w:ascii="宋体" w:hAnsi="宋体"/>
          <w:bCs/>
          <w:szCs w:val="21"/>
        </w:rPr>
      </w:pPr>
      <w:r>
        <w:rPr>
          <w:rFonts w:hint="eastAsia" w:ascii="宋体" w:hAnsi="宋体"/>
          <w:bCs/>
          <w:szCs w:val="21"/>
        </w:rPr>
        <w:t>（二）计分办法（按四舍五入取至百分位）：</w:t>
      </w:r>
    </w:p>
    <w:p>
      <w:pPr>
        <w:spacing w:line="360" w:lineRule="exact"/>
        <w:rPr>
          <w:rFonts w:ascii="宋体" w:hAnsi="宋体"/>
          <w:b/>
          <w:szCs w:val="21"/>
        </w:rPr>
      </w:pPr>
      <w:r>
        <w:rPr>
          <w:rFonts w:ascii="宋体" w:hAnsi="宋体"/>
          <w:b/>
          <w:szCs w:val="21"/>
        </w:rPr>
        <w:t>1</w:t>
      </w:r>
      <w:r>
        <w:rPr>
          <w:rFonts w:hint="eastAsia" w:ascii="宋体" w:hAnsi="宋体"/>
          <w:b/>
          <w:szCs w:val="21"/>
        </w:rPr>
        <w:t>、价格分………………………………………………………………………………………………………2</w:t>
      </w:r>
      <w:r>
        <w:rPr>
          <w:rFonts w:ascii="宋体" w:hAnsi="宋体"/>
          <w:b/>
          <w:szCs w:val="21"/>
        </w:rPr>
        <w:t>0</w:t>
      </w:r>
      <w:r>
        <w:rPr>
          <w:rFonts w:hint="eastAsia" w:ascii="宋体" w:hAnsi="宋体"/>
          <w:b/>
          <w:szCs w:val="21"/>
        </w:rPr>
        <w:t>分</w:t>
      </w:r>
    </w:p>
    <w:p>
      <w:pPr>
        <w:pStyle w:val="21"/>
        <w:spacing w:line="360" w:lineRule="exact"/>
        <w:ind w:firstLine="420" w:firstLineChars="200"/>
        <w:rPr>
          <w:rFonts w:hAnsi="宋体"/>
          <w:bCs/>
          <w:kern w:val="0"/>
        </w:rPr>
      </w:pPr>
      <w:r>
        <w:rPr>
          <w:rFonts w:hint="eastAsia" w:hAnsi="宋体"/>
          <w:bCs/>
          <w:kern w:val="0"/>
        </w:rPr>
        <w:t>（1）</w:t>
      </w:r>
      <w:r>
        <w:rPr>
          <w:rFonts w:hint="eastAsia" w:hAnsi="宋体"/>
        </w:rPr>
        <w:t>本项目为专门面向中小企业采购的项目，不再执行价格评审优惠的扶持政策。</w:t>
      </w:r>
    </w:p>
    <w:p>
      <w:pPr>
        <w:pStyle w:val="21"/>
        <w:spacing w:line="360" w:lineRule="exact"/>
        <w:ind w:firstLine="420" w:firstLineChars="200"/>
        <w:rPr>
          <w:rFonts w:hAnsi="宋体"/>
          <w:bCs/>
          <w:kern w:val="0"/>
        </w:rPr>
      </w:pPr>
      <w:r>
        <w:rPr>
          <w:rFonts w:hint="eastAsia" w:hAnsi="宋体"/>
          <w:bCs/>
          <w:kern w:val="0"/>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1"/>
        <w:spacing w:line="360" w:lineRule="exact"/>
        <w:ind w:firstLine="420" w:firstLineChars="200"/>
        <w:rPr>
          <w:rFonts w:hAnsi="宋体"/>
          <w:bCs/>
          <w:kern w:val="0"/>
        </w:rPr>
      </w:pPr>
      <w:r>
        <w:rPr>
          <w:rFonts w:hint="eastAsia" w:hAnsi="宋体"/>
          <w:bCs/>
          <w:kern w:val="0"/>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pPr>
        <w:pStyle w:val="21"/>
        <w:spacing w:line="360" w:lineRule="exact"/>
        <w:ind w:firstLine="420" w:firstLineChars="200"/>
        <w:rPr>
          <w:rFonts w:hAnsi="宋体"/>
          <w:bCs/>
          <w:kern w:val="0"/>
        </w:rPr>
      </w:pPr>
      <w:r>
        <w:rPr>
          <w:rFonts w:hint="eastAsia" w:hAnsi="宋体"/>
          <w:bCs/>
          <w:kern w:val="0"/>
        </w:rPr>
        <w:t>（2）以进入评审的最低的评标价为</w:t>
      </w:r>
      <w:r>
        <w:rPr>
          <w:rFonts w:hint="eastAsia" w:hAnsi="宋体"/>
          <w:bCs/>
          <w:kern w:val="0"/>
          <w:u w:val="single"/>
        </w:rPr>
        <w:t>20</w:t>
      </w:r>
      <w:r>
        <w:rPr>
          <w:rFonts w:hint="eastAsia" w:hAnsi="宋体"/>
          <w:bCs/>
          <w:kern w:val="0"/>
        </w:rPr>
        <w:t>分。</w:t>
      </w:r>
    </w:p>
    <w:p>
      <w:pPr>
        <w:spacing w:line="360" w:lineRule="exact"/>
        <w:ind w:firstLine="420" w:firstLineChars="200"/>
        <w:rPr>
          <w:rFonts w:ascii="宋体" w:hAnsi="宋体" w:cs="宋体"/>
          <w:szCs w:val="21"/>
        </w:rPr>
      </w:pPr>
      <w:r>
        <w:rPr>
          <w:rFonts w:hint="eastAsia" w:ascii="宋体" w:hAnsi="宋体"/>
          <w:bCs/>
          <w:kern w:val="0"/>
        </w:rPr>
        <w:t>（3）某供应商价格分 = 供应商最低评标报价（金额）/某供应商评标报价（金额）× 20分</w:t>
      </w:r>
    </w:p>
    <w:p>
      <w:pPr>
        <w:pStyle w:val="30"/>
        <w:spacing w:line="360" w:lineRule="exact"/>
        <w:ind w:left="0"/>
        <w:rPr>
          <w:rFonts w:ascii="宋体" w:hAnsi="宋体"/>
          <w:b/>
          <w:szCs w:val="21"/>
        </w:rPr>
      </w:pPr>
      <w:r>
        <w:rPr>
          <w:rFonts w:ascii="宋体" w:hAnsi="宋体"/>
          <w:b/>
          <w:szCs w:val="21"/>
        </w:rPr>
        <w:t>2</w:t>
      </w:r>
      <w:r>
        <w:rPr>
          <w:rFonts w:hint="eastAsia" w:ascii="宋体" w:hAnsi="宋体"/>
          <w:b/>
          <w:szCs w:val="21"/>
        </w:rPr>
        <w:t>、技术分…………………………………………………………………………………………………65分</w:t>
      </w:r>
    </w:p>
    <w:p>
      <w:pPr>
        <w:spacing w:line="360" w:lineRule="exact"/>
        <w:ind w:firstLine="420" w:firstLineChars="199"/>
        <w:rPr>
          <w:rFonts w:ascii="宋体" w:hAnsi="宋体"/>
          <w:b/>
        </w:rPr>
      </w:pPr>
      <w:r>
        <w:rPr>
          <w:rFonts w:hint="eastAsia" w:ascii="宋体" w:hAnsi="宋体"/>
          <w:b/>
        </w:rPr>
        <w:t>（1）项目实施方案分（满分25分）</w:t>
      </w:r>
    </w:p>
    <w:p>
      <w:pPr>
        <w:spacing w:line="440" w:lineRule="exact"/>
        <w:ind w:firstLine="415" w:firstLineChars="198"/>
        <w:jc w:val="left"/>
        <w:rPr>
          <w:rFonts w:ascii="宋体" w:hAnsi="宋体" w:cs="宋体"/>
          <w:kern w:val="0"/>
          <w:szCs w:val="21"/>
        </w:rPr>
      </w:pPr>
      <w:r>
        <w:rPr>
          <w:rFonts w:hint="eastAsia" w:ascii="宋体" w:hAnsi="宋体" w:cs="宋体"/>
          <w:kern w:val="0"/>
          <w:szCs w:val="21"/>
        </w:rPr>
        <w:t>磋商小组根据采购文件要求及各供应商响应文件提供的安装及实施方案的完整性、可行性、实训室的现状、需求与现有设备相互搭配等内容确定各供应商所属档次，并进行打分。（没有相关内容，或不符合最低入档条件的，按不入档处理并计0分）</w:t>
      </w:r>
    </w:p>
    <w:p>
      <w:pPr>
        <w:spacing w:line="440" w:lineRule="exact"/>
        <w:ind w:firstLine="415" w:firstLineChars="198"/>
        <w:jc w:val="left"/>
        <w:rPr>
          <w:rFonts w:ascii="宋体" w:hAnsi="宋体" w:cs="宋体"/>
          <w:kern w:val="0"/>
          <w:szCs w:val="21"/>
        </w:rPr>
      </w:pPr>
      <w:r>
        <w:rPr>
          <w:rFonts w:hint="eastAsia" w:ascii="宋体" w:hAnsi="宋体" w:cs="宋体"/>
          <w:kern w:val="0"/>
          <w:szCs w:val="21"/>
        </w:rPr>
        <w:t>一档（10分）：所提供的实施方案不完整，整体内容差，总体评价差；安装及实施方案简单，内容不完整。</w:t>
      </w:r>
    </w:p>
    <w:p>
      <w:pPr>
        <w:spacing w:line="440" w:lineRule="exact"/>
        <w:ind w:firstLine="415" w:firstLineChars="198"/>
        <w:jc w:val="left"/>
        <w:rPr>
          <w:rFonts w:ascii="宋体" w:hAnsi="宋体" w:cs="宋体"/>
          <w:kern w:val="0"/>
          <w:szCs w:val="21"/>
        </w:rPr>
      </w:pPr>
      <w:r>
        <w:rPr>
          <w:rFonts w:hint="eastAsia" w:ascii="宋体" w:hAnsi="宋体" w:cs="宋体"/>
          <w:kern w:val="0"/>
          <w:szCs w:val="21"/>
        </w:rPr>
        <w:t>二档（15分）：所提供的实施方案完整，整体内容不严谨，总体评价一般；安装及实施方案简单，对本项目的工作重点、难点的理解和认识不够准确；教学团队培训和社会共享服务基本满足项目要求。</w:t>
      </w:r>
    </w:p>
    <w:p>
      <w:pPr>
        <w:spacing w:line="440" w:lineRule="exact"/>
        <w:ind w:firstLine="415" w:firstLineChars="198"/>
        <w:jc w:val="left"/>
        <w:rPr>
          <w:rFonts w:ascii="宋体" w:hAnsi="宋体" w:cs="宋体"/>
          <w:kern w:val="0"/>
          <w:szCs w:val="21"/>
        </w:rPr>
      </w:pPr>
    </w:p>
    <w:p>
      <w:pPr>
        <w:spacing w:line="440" w:lineRule="exact"/>
        <w:ind w:firstLine="415" w:firstLineChars="198"/>
        <w:jc w:val="left"/>
        <w:rPr>
          <w:rFonts w:ascii="宋体" w:hAnsi="宋体" w:cs="宋体"/>
          <w:kern w:val="0"/>
          <w:szCs w:val="21"/>
        </w:rPr>
      </w:pPr>
      <w:r>
        <w:rPr>
          <w:rFonts w:hint="eastAsia" w:ascii="宋体" w:hAnsi="宋体" w:cs="宋体"/>
          <w:kern w:val="0"/>
          <w:szCs w:val="21"/>
        </w:rPr>
        <w:t>三档（20分）：所提供的实施方案完整，各技术指标较合理，较严谨，整体内容好，总体评价中，能满足采购人的基本要求；安装及实施方案较详细，内容较完整，对本项目的工作重点、难点的理解和认识较准确、具备一定的可行性，教学团队培训和社会共享服务承诺至少有一项优于项目需求，综合评定良好。</w:t>
      </w:r>
    </w:p>
    <w:p>
      <w:pPr>
        <w:spacing w:line="440" w:lineRule="exact"/>
        <w:ind w:firstLine="415" w:firstLineChars="198"/>
        <w:jc w:val="left"/>
        <w:rPr>
          <w:rFonts w:ascii="宋体" w:hAnsi="宋体" w:cs="宋体"/>
          <w:szCs w:val="21"/>
        </w:rPr>
      </w:pPr>
      <w:r>
        <w:rPr>
          <w:rFonts w:hint="eastAsia" w:ascii="宋体" w:hAnsi="宋体" w:cs="宋体"/>
          <w:kern w:val="0"/>
          <w:szCs w:val="21"/>
        </w:rPr>
        <w:t>四档（25分）：所提供的实施方案总体设计思路非常清晰、非常完整，提供方案优缺点对比分析；设计图纸涉及专业非常完整，专业技术指标非常合理，非常严谨，整体内容优，总体评价优秀；安装及实施方案内容严谨细致，对本项目的工作重点、难点的理解和认识非常清晰准确，服务方案具备可操作性，教学团队培训和社会共享服务承诺至少有三项优于项目需求，能在满足采购人的要求的基础上提出较好的合理化建议，优化布局，综合评定优秀。</w:t>
      </w:r>
    </w:p>
    <w:p>
      <w:pPr>
        <w:spacing w:line="360" w:lineRule="exact"/>
        <w:ind w:firstLine="420" w:firstLineChars="199"/>
        <w:rPr>
          <w:rFonts w:ascii="宋体" w:hAnsi="宋体"/>
          <w:b/>
        </w:rPr>
      </w:pPr>
      <w:r>
        <w:rPr>
          <w:rFonts w:hint="eastAsia" w:ascii="宋体" w:hAnsi="宋体"/>
          <w:b/>
        </w:rPr>
        <w:t>（2）售后服务分（满分15分）</w:t>
      </w:r>
    </w:p>
    <w:p>
      <w:pPr>
        <w:ind w:firstLine="415" w:firstLineChars="198"/>
        <w:jc w:val="left"/>
        <w:rPr>
          <w:rFonts w:hAnsi="宋体" w:cs="宋体"/>
        </w:rPr>
      </w:pPr>
      <w:r>
        <w:rPr>
          <w:rFonts w:hint="eastAsia" w:hAnsi="宋体" w:cs="宋体"/>
        </w:rPr>
        <w:t>由磋商小组依据供应商响应文件中售后服务承诺书内容的完整性、可行性、免费保修期限、到达故障现场时间、故障出现解决方案、定期维护（注明时间）、免费技术培训方案、保修期外维修方案、其他优惠措施等方面进行独立打分。</w:t>
      </w:r>
      <w:r>
        <w:rPr>
          <w:rFonts w:hint="eastAsia" w:ascii="宋体" w:hAnsi="宋体" w:cs="宋体"/>
          <w:kern w:val="0"/>
          <w:szCs w:val="21"/>
        </w:rPr>
        <w:t>（没有相关内容，或不符合最低入档条件的，按不入档处理并计0分）</w:t>
      </w:r>
    </w:p>
    <w:p>
      <w:pPr>
        <w:pStyle w:val="21"/>
        <w:spacing w:line="440" w:lineRule="exact"/>
        <w:ind w:firstLine="420" w:firstLineChars="200"/>
        <w:rPr>
          <w:rFonts w:hAnsi="宋体" w:cs="宋体"/>
        </w:rPr>
      </w:pPr>
      <w:r>
        <w:rPr>
          <w:rFonts w:hint="eastAsia" w:hAnsi="宋体" w:cs="宋体"/>
        </w:rPr>
        <w:t>一档（5分）：售后服务方案、实现功能要求的解决方案、质保措施等简单；设备特定的技术服务要求基本满足招标文件要求，实施方案简单，无本地化服务。</w:t>
      </w:r>
    </w:p>
    <w:p>
      <w:pPr>
        <w:pStyle w:val="21"/>
        <w:spacing w:line="440" w:lineRule="exact"/>
        <w:ind w:firstLine="420" w:firstLineChars="200"/>
        <w:rPr>
          <w:rFonts w:hAnsi="宋体" w:cs="宋体"/>
        </w:rPr>
      </w:pPr>
      <w:r>
        <w:rPr>
          <w:rFonts w:hint="eastAsia" w:hAnsi="宋体" w:cs="宋体"/>
        </w:rPr>
        <w:t>二档（10分）：售后服务方案、实现功能要求的解决方案等较详细；售后服务体系较完善，售后服务保证措施较得力；设备特定的技术服务要求完全满足招标文件要求；本地化服务配备情况一般，实施方案一般。</w:t>
      </w:r>
    </w:p>
    <w:p>
      <w:pPr>
        <w:pStyle w:val="21"/>
        <w:spacing w:line="440" w:lineRule="exact"/>
        <w:ind w:firstLine="420" w:firstLineChars="200"/>
        <w:rPr>
          <w:rFonts w:hAnsi="宋体" w:cs="宋体"/>
        </w:rPr>
      </w:pPr>
      <w:r>
        <w:rPr>
          <w:rFonts w:hint="eastAsia" w:hAnsi="宋体" w:cs="宋体"/>
        </w:rPr>
        <w:t>三档（15分）：售后服务方案、实现功能要求的解决方案等售后服务方案详实；售后服务体系完善，售后服务保证措施得力，有可行性；设备特定的技术服务要求优于采购文件要求；本地化服务配备情况良好，在项目实施地点有售后服务机构。接到故障报修时，承诺在6小时内到达现场进行处理，到达现场后2小时内排除故障，恢复正常使用。磋商时响应文件中需提供相关证明材料复印件，实施方案详细。</w:t>
      </w:r>
    </w:p>
    <w:p>
      <w:pPr>
        <w:numPr>
          <w:ilvl w:val="0"/>
          <w:numId w:val="8"/>
        </w:numPr>
        <w:spacing w:line="360" w:lineRule="exact"/>
        <w:ind w:firstLine="420" w:firstLineChars="199"/>
        <w:rPr>
          <w:rFonts w:ascii="宋体" w:hAnsi="宋体"/>
          <w:b/>
        </w:rPr>
      </w:pPr>
      <w:r>
        <w:rPr>
          <w:rFonts w:hint="eastAsia" w:ascii="宋体" w:hAnsi="宋体"/>
          <w:b/>
        </w:rPr>
        <w:t>质量保证承诺分（15分）</w:t>
      </w:r>
    </w:p>
    <w:p>
      <w:pPr>
        <w:spacing w:line="440" w:lineRule="exact"/>
        <w:ind w:firstLine="415" w:firstLineChars="198"/>
        <w:jc w:val="left"/>
        <w:rPr>
          <w:rFonts w:ascii="宋体" w:hAnsi="宋体"/>
          <w:b/>
        </w:rPr>
      </w:pPr>
      <w:r>
        <w:rPr>
          <w:rFonts w:hint="eastAsia" w:ascii="宋体" w:hAnsi="宋体" w:cs="宋体"/>
          <w:kern w:val="0"/>
          <w:szCs w:val="21"/>
        </w:rPr>
        <w:t>注：没有相关内容，或不符合最低入档条件的，按不入档处理并计0分。</w:t>
      </w:r>
    </w:p>
    <w:p>
      <w:pPr>
        <w:spacing w:line="360" w:lineRule="exact"/>
        <w:ind w:firstLine="420" w:firstLineChars="200"/>
        <w:rPr>
          <w:rFonts w:ascii="宋体" w:hAnsi="宋体"/>
        </w:rPr>
      </w:pPr>
      <w:r>
        <w:rPr>
          <w:rFonts w:hint="eastAsia" w:ascii="宋体" w:hAnsi="宋体"/>
        </w:rPr>
        <w:t>一档（5分）：质量保证措施承诺不完善，安排不具体，响应时间不及时或较慢；售后服务承诺简单、有基本的服务流程，服务工作思路基本合理；</w:t>
      </w:r>
    </w:p>
    <w:p>
      <w:pPr>
        <w:spacing w:line="360" w:lineRule="exact"/>
        <w:ind w:firstLine="420" w:firstLineChars="200"/>
        <w:rPr>
          <w:rFonts w:ascii="宋体" w:hAnsi="宋体"/>
        </w:rPr>
      </w:pPr>
      <w:r>
        <w:rPr>
          <w:rFonts w:hint="eastAsia" w:ascii="宋体" w:hAnsi="宋体"/>
        </w:rPr>
        <w:t>二档（10分）：质量保证措施承诺较完善，安排较具体，内容较完整、可行，响应程度良好；售后服务承诺较完整、有一定针对性，有具体的服务流程说明，服务工作思路清晰合理；</w:t>
      </w:r>
    </w:p>
    <w:p>
      <w:pPr>
        <w:spacing w:line="360" w:lineRule="exact"/>
        <w:ind w:firstLine="420" w:firstLineChars="200"/>
        <w:rPr>
          <w:rFonts w:ascii="宋体" w:hAnsi="宋体"/>
        </w:rPr>
      </w:pPr>
      <w:r>
        <w:rPr>
          <w:rFonts w:hint="eastAsia" w:ascii="宋体" w:hAnsi="宋体"/>
        </w:rPr>
        <w:t>三档（15分）：质量保证措施承诺详细、完善，安排详细具体，内容完整、齐全、可行，响应程度高；售后服务承诺全面、合理，预见性及可操作性强，针对性强，服务工作思路全面，且考虑到项目实际情况。</w:t>
      </w:r>
    </w:p>
    <w:p>
      <w:pPr>
        <w:numPr>
          <w:ilvl w:val="0"/>
          <w:numId w:val="8"/>
        </w:numPr>
        <w:spacing w:line="360" w:lineRule="exact"/>
        <w:ind w:firstLine="420" w:firstLineChars="199"/>
        <w:rPr>
          <w:rFonts w:ascii="宋体" w:hAnsi="宋体"/>
          <w:b/>
        </w:rPr>
      </w:pPr>
      <w:r>
        <w:rPr>
          <w:rFonts w:hint="eastAsia" w:ascii="宋体" w:hAnsi="宋体"/>
          <w:b/>
        </w:rPr>
        <w:t>DEMO演示（满分10分）</w:t>
      </w:r>
    </w:p>
    <w:p>
      <w:pPr>
        <w:spacing w:line="360" w:lineRule="exact"/>
        <w:ind w:firstLine="420" w:firstLineChars="200"/>
        <w:rPr>
          <w:rFonts w:ascii="宋体" w:hAnsi="宋体"/>
        </w:rPr>
      </w:pPr>
      <w:r>
        <w:rPr>
          <w:rFonts w:hint="eastAsia" w:ascii="宋体" w:hAnsi="宋体"/>
        </w:rPr>
        <w:t>结合本项目技术要求，能够在VR眼镜中通过三维交互的方式展示接收机、立方星的虚拟拆装训练，展示拆装训练步骤，具有培训、教学的特点，素材包括但不限于文字、语音、三维模型动画等。组成结构完整，外观逼真，画面清晰度高。本项目采用线上演示的方式进行演示，时间不得超过10分钟。磋商小组根据供应商演示情况打分，无演示不得分：</w:t>
      </w:r>
    </w:p>
    <w:p>
      <w:pPr>
        <w:spacing w:line="360" w:lineRule="exact"/>
        <w:ind w:firstLine="420" w:firstLineChars="200"/>
        <w:rPr>
          <w:rFonts w:ascii="宋体" w:hAnsi="宋体"/>
        </w:rPr>
      </w:pPr>
      <w:r>
        <w:rPr>
          <w:rFonts w:hint="eastAsia" w:ascii="宋体" w:hAnsi="宋体"/>
        </w:rPr>
        <w:t>一档（3分）：系统功能不完整性，界面场景无设计感，操作演示不流畅。</w:t>
      </w:r>
    </w:p>
    <w:p>
      <w:pPr>
        <w:spacing w:line="360" w:lineRule="exact"/>
        <w:ind w:firstLine="420" w:firstLineChars="200"/>
        <w:rPr>
          <w:rFonts w:ascii="宋体" w:hAnsi="宋体"/>
        </w:rPr>
      </w:pPr>
      <w:r>
        <w:rPr>
          <w:rFonts w:hint="eastAsia" w:ascii="宋体" w:hAnsi="宋体"/>
        </w:rPr>
        <w:t>二档（6分）：系统功能比较完整性，界面场景较为友好，操作演示流畅。</w:t>
      </w:r>
    </w:p>
    <w:p>
      <w:pPr>
        <w:spacing w:line="360" w:lineRule="exact"/>
        <w:ind w:firstLine="420" w:firstLineChars="200"/>
        <w:rPr>
          <w:rFonts w:ascii="宋体" w:hAnsi="宋体"/>
        </w:rPr>
      </w:pPr>
      <w:r>
        <w:rPr>
          <w:rFonts w:hint="eastAsia" w:ascii="宋体" w:hAnsi="宋体"/>
        </w:rPr>
        <w:t>三档（10分）：在良好基础上，核心功能设计先进性，系统设计思路新颖，界面友好、设计人性化。</w:t>
      </w:r>
    </w:p>
    <w:p>
      <w:pPr>
        <w:pStyle w:val="30"/>
        <w:spacing w:line="360" w:lineRule="exact"/>
        <w:ind w:left="0"/>
        <w:rPr>
          <w:rFonts w:ascii="宋体" w:hAnsi="宋体"/>
        </w:rPr>
      </w:pPr>
      <w:r>
        <w:rPr>
          <w:rFonts w:hint="eastAsia" w:ascii="宋体" w:hAnsi="宋体"/>
          <w:b/>
          <w:szCs w:val="21"/>
        </w:rPr>
        <w:t xml:space="preserve">3、综合实力分（满分15分）          </w:t>
      </w:r>
      <w:r>
        <w:rPr>
          <w:rFonts w:hint="eastAsia" w:ascii="宋体" w:hAnsi="宋体"/>
        </w:rPr>
        <w:t xml:space="preserve">                         </w:t>
      </w:r>
    </w:p>
    <w:p>
      <w:pPr>
        <w:spacing w:line="360" w:lineRule="exact"/>
        <w:ind w:firstLine="420" w:firstLineChars="200"/>
        <w:rPr>
          <w:rFonts w:ascii="宋体" w:hAnsi="宋体"/>
        </w:rPr>
      </w:pPr>
      <w:r>
        <w:rPr>
          <w:rFonts w:hint="eastAsia" w:ascii="宋体" w:hAnsi="宋体"/>
        </w:rPr>
        <w:t>（1）</w:t>
      </w:r>
      <w:r>
        <w:rPr>
          <w:rFonts w:hint="eastAsia" w:ascii="宋体" w:hAnsi="宋体" w:cs="宋体"/>
          <w:szCs w:val="21"/>
        </w:rPr>
        <w:t>磋商供应商自2022年以来类似项目成功案例（以有效的合同、协议或中标/成交通知书复印件为准）。每有一份得2分，满分12分。</w:t>
      </w:r>
    </w:p>
    <w:p>
      <w:pPr>
        <w:pStyle w:val="21"/>
        <w:spacing w:line="440" w:lineRule="exact"/>
        <w:ind w:firstLine="420" w:firstLineChars="200"/>
        <w:rPr>
          <w:rFonts w:hAnsi="宋体"/>
        </w:rPr>
      </w:pPr>
      <w:r>
        <w:rPr>
          <w:rFonts w:hint="eastAsia" w:hAnsi="宋体"/>
        </w:rPr>
        <w:t>（2）</w:t>
      </w:r>
      <w:r>
        <w:rPr>
          <w:rFonts w:hint="eastAsia" w:hAnsi="宋体" w:cs="宋体"/>
          <w:bCs/>
        </w:rPr>
        <w:t>供应商通过ISO9001质量管理体系认证、ISO14001环境管理体系认证、ISO45001职业健康安全管理体系认证，提供证书复印件加盖供应商公章，每有1项得1分，满分3分。（未按要求提供、不提供不得分）</w:t>
      </w:r>
    </w:p>
    <w:p>
      <w:pPr>
        <w:spacing w:line="360" w:lineRule="exact"/>
        <w:rPr>
          <w:rFonts w:ascii="宋体" w:hAnsi="宋体"/>
          <w:b/>
          <w:szCs w:val="21"/>
        </w:rPr>
      </w:pPr>
      <w:r>
        <w:rPr>
          <w:rFonts w:hint="eastAsia" w:ascii="宋体" w:hAnsi="宋体"/>
          <w:b/>
          <w:szCs w:val="21"/>
        </w:rPr>
        <w:t>（三）总得分</w:t>
      </w:r>
      <w:r>
        <w:rPr>
          <w:rFonts w:ascii="宋体" w:hAnsi="宋体"/>
          <w:b/>
          <w:szCs w:val="21"/>
        </w:rPr>
        <w:t>=1 + 2 + 3</w:t>
      </w:r>
      <w:r>
        <w:rPr>
          <w:rFonts w:hint="eastAsia" w:ascii="宋体" w:hAnsi="宋体"/>
          <w:b/>
          <w:szCs w:val="21"/>
        </w:rPr>
        <w:t>。</w:t>
      </w:r>
    </w:p>
    <w:p>
      <w:pPr>
        <w:pStyle w:val="30"/>
        <w:spacing w:line="360" w:lineRule="exact"/>
        <w:ind w:left="0"/>
        <w:rPr>
          <w:rFonts w:ascii="宋体" w:hAnsi="宋体"/>
          <w:b/>
          <w:bCs/>
          <w:szCs w:val="21"/>
        </w:rPr>
      </w:pPr>
      <w:r>
        <w:rPr>
          <w:rFonts w:hint="eastAsia" w:ascii="宋体" w:hAnsi="宋体"/>
          <w:b/>
          <w:bCs/>
          <w:szCs w:val="21"/>
        </w:rPr>
        <w:t>三、成交候选供应商推荐原则</w:t>
      </w:r>
    </w:p>
    <w:p>
      <w:pPr>
        <w:pStyle w:val="21"/>
        <w:spacing w:line="360" w:lineRule="exact"/>
        <w:rPr>
          <w:rFonts w:hAnsi="宋体" w:cs="Times New Roman"/>
        </w:rPr>
      </w:pPr>
      <w:r>
        <w:rPr>
          <w:rFonts w:hint="eastAsia" w:hAnsi="宋体"/>
          <w:b/>
        </w:rPr>
        <w:t xml:space="preserve">    </w:t>
      </w:r>
      <w:r>
        <w:rPr>
          <w:rFonts w:hint="eastAsia" w:hAnsi="宋体" w:cs="Times New Roman"/>
        </w:rPr>
        <w:t>（一）磋商小组将根据得分由高到低排列次序（得分相同时，以磋商报价</w:t>
      </w:r>
      <w:r>
        <w:rPr>
          <w:rFonts w:hint="eastAsia" w:hAnsi="宋体" w:cs="Times New Roman"/>
          <w:b/>
        </w:rPr>
        <w:t>由低到高</w:t>
      </w:r>
      <w:r>
        <w:rPr>
          <w:rFonts w:hint="eastAsia" w:hAnsi="宋体" w:cs="Times New Roman"/>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w:t>
      </w:r>
      <w:r>
        <w:rPr>
          <w:rFonts w:hint="eastAsia" w:hAnsi="宋体"/>
        </w:rPr>
        <w:t>疑</w:t>
      </w:r>
      <w:r>
        <w:rPr>
          <w:rFonts w:hAnsi="宋体"/>
        </w:rPr>
        <w:t>成立</w:t>
      </w:r>
      <w:r>
        <w:rPr>
          <w:rFonts w:hint="eastAsia" w:hAnsi="宋体" w:cs="Times New Roman"/>
        </w:rPr>
        <w:t>后取消成交资格，合格供应商符合法定数量时，可以从合格的成交候选人中另行确定成交供应商的，应当依法另行确定成交供应商；否则应当重新开展采购活动。</w:t>
      </w:r>
    </w:p>
    <w:p>
      <w:pPr>
        <w:spacing w:line="360" w:lineRule="exact"/>
        <w:ind w:firstLine="420"/>
        <w:rPr>
          <w:rFonts w:ascii="宋体" w:hAnsi="宋体"/>
          <w:szCs w:val="21"/>
        </w:rPr>
      </w:pPr>
      <w:r>
        <w:rPr>
          <w:rFonts w:hint="eastAsia" w:ascii="宋体" w:hAnsi="宋体"/>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pPr>
        <w:pStyle w:val="21"/>
        <w:jc w:val="center"/>
      </w:pPr>
    </w:p>
    <w:sectPr>
      <w:footerReference r:id="rId6" w:type="first"/>
      <w:headerReference r:id="rId3" w:type="default"/>
      <w:footerReference r:id="rId4" w:type="default"/>
      <w:footerReference r:id="rId5"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separate"/>
    </w:r>
    <w:r>
      <w:rPr>
        <w:rStyle w:val="38"/>
      </w:rPr>
      <w:t>60</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jc w:val="right"/>
      <w:rPr>
        <w:rFonts w:ascii="宋体" w:hAnsi="宋体"/>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5E8A6"/>
    <w:multiLevelType w:val="singleLevel"/>
    <w:tmpl w:val="A565E8A6"/>
    <w:lvl w:ilvl="0" w:tentative="0">
      <w:start w:val="3"/>
      <w:numFmt w:val="decimal"/>
      <w:suff w:val="nothing"/>
      <w:lvlText w:val="（%1）"/>
      <w:lvlJc w:val="left"/>
    </w:lvl>
  </w:abstractNum>
  <w:abstractNum w:abstractNumId="1">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2">
    <w:nsid w:val="223F0B3E"/>
    <w:multiLevelType w:val="multilevel"/>
    <w:tmpl w:val="223F0B3E"/>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FD31870"/>
    <w:multiLevelType w:val="multilevel"/>
    <w:tmpl w:val="4FD31870"/>
    <w:lvl w:ilvl="0" w:tentative="0">
      <w:start w:val="1"/>
      <w:numFmt w:val="decimal"/>
      <w:lvlText w:val="%1"/>
      <w:lvlJc w:val="right"/>
      <w:pPr>
        <w:ind w:left="132"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5">
    <w:nsid w:val="61AE9A21"/>
    <w:multiLevelType w:val="singleLevel"/>
    <w:tmpl w:val="61AE9A21"/>
    <w:lvl w:ilvl="0" w:tentative="0">
      <w:start w:val="4"/>
      <w:numFmt w:val="decimal"/>
      <w:suff w:val="nothing"/>
      <w:lvlText w:val="%1、"/>
      <w:lvlJc w:val="left"/>
    </w:lvl>
  </w:abstractNum>
  <w:abstractNum w:abstractNumId="6">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wZjBhMzg5NmYzMDE4YWQ4ZGJjMmRlNThhMjYwNDAifQ=="/>
    <w:docVar w:name="KSO_WPS_MARK_KEY" w:val="5db3cebb-dc0e-4418-b109-cb223d61b007"/>
  </w:docVars>
  <w:rsids>
    <w:rsidRoot w:val="00172A27"/>
    <w:rsid w:val="00001098"/>
    <w:rsid w:val="000010CA"/>
    <w:rsid w:val="00002237"/>
    <w:rsid w:val="0000260D"/>
    <w:rsid w:val="0000289B"/>
    <w:rsid w:val="0000699F"/>
    <w:rsid w:val="00007FB5"/>
    <w:rsid w:val="0001014C"/>
    <w:rsid w:val="0001197A"/>
    <w:rsid w:val="00012D27"/>
    <w:rsid w:val="00015ED7"/>
    <w:rsid w:val="00016641"/>
    <w:rsid w:val="000172CA"/>
    <w:rsid w:val="00017EA3"/>
    <w:rsid w:val="00020B8B"/>
    <w:rsid w:val="0002105F"/>
    <w:rsid w:val="0002135E"/>
    <w:rsid w:val="0002156F"/>
    <w:rsid w:val="000226B9"/>
    <w:rsid w:val="000228C8"/>
    <w:rsid w:val="000252AE"/>
    <w:rsid w:val="00027DF3"/>
    <w:rsid w:val="000309CA"/>
    <w:rsid w:val="00030C19"/>
    <w:rsid w:val="00031717"/>
    <w:rsid w:val="000334CB"/>
    <w:rsid w:val="00034B8F"/>
    <w:rsid w:val="00034F93"/>
    <w:rsid w:val="00041080"/>
    <w:rsid w:val="0004142E"/>
    <w:rsid w:val="00042B0D"/>
    <w:rsid w:val="00042E38"/>
    <w:rsid w:val="00045441"/>
    <w:rsid w:val="000503F1"/>
    <w:rsid w:val="0005057C"/>
    <w:rsid w:val="00050EBF"/>
    <w:rsid w:val="00053AC4"/>
    <w:rsid w:val="00056F9F"/>
    <w:rsid w:val="000614B0"/>
    <w:rsid w:val="0006163C"/>
    <w:rsid w:val="00065B10"/>
    <w:rsid w:val="00066EA0"/>
    <w:rsid w:val="000753AF"/>
    <w:rsid w:val="00080E5B"/>
    <w:rsid w:val="0008123B"/>
    <w:rsid w:val="00084253"/>
    <w:rsid w:val="00084E12"/>
    <w:rsid w:val="000873C9"/>
    <w:rsid w:val="0009242A"/>
    <w:rsid w:val="00094995"/>
    <w:rsid w:val="00094EFC"/>
    <w:rsid w:val="00094FE0"/>
    <w:rsid w:val="00095259"/>
    <w:rsid w:val="000A26DC"/>
    <w:rsid w:val="000B00CB"/>
    <w:rsid w:val="000B1C02"/>
    <w:rsid w:val="000B31FB"/>
    <w:rsid w:val="000B5645"/>
    <w:rsid w:val="000B614A"/>
    <w:rsid w:val="000B62B2"/>
    <w:rsid w:val="000B639B"/>
    <w:rsid w:val="000C2A29"/>
    <w:rsid w:val="000C2C68"/>
    <w:rsid w:val="000C37D8"/>
    <w:rsid w:val="000C6AC3"/>
    <w:rsid w:val="000D74B1"/>
    <w:rsid w:val="000E078F"/>
    <w:rsid w:val="000E0B2A"/>
    <w:rsid w:val="000E203D"/>
    <w:rsid w:val="000E2A6B"/>
    <w:rsid w:val="000E4013"/>
    <w:rsid w:val="000E4CBE"/>
    <w:rsid w:val="000F25A3"/>
    <w:rsid w:val="000F322F"/>
    <w:rsid w:val="000F5755"/>
    <w:rsid w:val="00100229"/>
    <w:rsid w:val="0010043F"/>
    <w:rsid w:val="00100982"/>
    <w:rsid w:val="001031AE"/>
    <w:rsid w:val="001063D9"/>
    <w:rsid w:val="00110993"/>
    <w:rsid w:val="00112D14"/>
    <w:rsid w:val="001134AF"/>
    <w:rsid w:val="0011412D"/>
    <w:rsid w:val="00115787"/>
    <w:rsid w:val="00115BD6"/>
    <w:rsid w:val="0012032B"/>
    <w:rsid w:val="00121911"/>
    <w:rsid w:val="00125EF2"/>
    <w:rsid w:val="00126606"/>
    <w:rsid w:val="001307DD"/>
    <w:rsid w:val="00130DDD"/>
    <w:rsid w:val="00132CCD"/>
    <w:rsid w:val="001348E5"/>
    <w:rsid w:val="001351A8"/>
    <w:rsid w:val="001355CE"/>
    <w:rsid w:val="00136726"/>
    <w:rsid w:val="0013745D"/>
    <w:rsid w:val="00145A1C"/>
    <w:rsid w:val="001470C2"/>
    <w:rsid w:val="001528CD"/>
    <w:rsid w:val="00153A13"/>
    <w:rsid w:val="00155921"/>
    <w:rsid w:val="001559BA"/>
    <w:rsid w:val="00157E2A"/>
    <w:rsid w:val="00160DBF"/>
    <w:rsid w:val="00161858"/>
    <w:rsid w:val="00162EA9"/>
    <w:rsid w:val="0016419C"/>
    <w:rsid w:val="0016459F"/>
    <w:rsid w:val="0016705C"/>
    <w:rsid w:val="001676CE"/>
    <w:rsid w:val="00171F44"/>
    <w:rsid w:val="00172A27"/>
    <w:rsid w:val="00172F42"/>
    <w:rsid w:val="00173A99"/>
    <w:rsid w:val="00173C5B"/>
    <w:rsid w:val="00174A2E"/>
    <w:rsid w:val="00177213"/>
    <w:rsid w:val="00177B75"/>
    <w:rsid w:val="001811D1"/>
    <w:rsid w:val="00181E49"/>
    <w:rsid w:val="00182960"/>
    <w:rsid w:val="001871C7"/>
    <w:rsid w:val="00190468"/>
    <w:rsid w:val="00192051"/>
    <w:rsid w:val="001931CB"/>
    <w:rsid w:val="00193DEC"/>
    <w:rsid w:val="0019788A"/>
    <w:rsid w:val="001A02CA"/>
    <w:rsid w:val="001A16B2"/>
    <w:rsid w:val="001A2ED5"/>
    <w:rsid w:val="001A486D"/>
    <w:rsid w:val="001A5868"/>
    <w:rsid w:val="001A791A"/>
    <w:rsid w:val="001A7FBB"/>
    <w:rsid w:val="001B1671"/>
    <w:rsid w:val="001B16E1"/>
    <w:rsid w:val="001B5FCD"/>
    <w:rsid w:val="001B6E5F"/>
    <w:rsid w:val="001C1B97"/>
    <w:rsid w:val="001C500E"/>
    <w:rsid w:val="001C7A7C"/>
    <w:rsid w:val="001D0532"/>
    <w:rsid w:val="001D1A61"/>
    <w:rsid w:val="001D3685"/>
    <w:rsid w:val="001D4290"/>
    <w:rsid w:val="001D777A"/>
    <w:rsid w:val="001E0345"/>
    <w:rsid w:val="001E1EB4"/>
    <w:rsid w:val="001E62EB"/>
    <w:rsid w:val="001E6E86"/>
    <w:rsid w:val="001F047C"/>
    <w:rsid w:val="001F22F7"/>
    <w:rsid w:val="001F3103"/>
    <w:rsid w:val="001F750D"/>
    <w:rsid w:val="00202212"/>
    <w:rsid w:val="0020303F"/>
    <w:rsid w:val="0020780C"/>
    <w:rsid w:val="00210528"/>
    <w:rsid w:val="002109FF"/>
    <w:rsid w:val="002113E7"/>
    <w:rsid w:val="00213B7A"/>
    <w:rsid w:val="00217949"/>
    <w:rsid w:val="0022065B"/>
    <w:rsid w:val="00220C68"/>
    <w:rsid w:val="00221BF7"/>
    <w:rsid w:val="002255EB"/>
    <w:rsid w:val="002327BB"/>
    <w:rsid w:val="0023393A"/>
    <w:rsid w:val="0023706A"/>
    <w:rsid w:val="002403CB"/>
    <w:rsid w:val="00240ED9"/>
    <w:rsid w:val="0024114A"/>
    <w:rsid w:val="00242392"/>
    <w:rsid w:val="00243976"/>
    <w:rsid w:val="002449F7"/>
    <w:rsid w:val="00245DE7"/>
    <w:rsid w:val="00250757"/>
    <w:rsid w:val="0025343F"/>
    <w:rsid w:val="00254200"/>
    <w:rsid w:val="002562A5"/>
    <w:rsid w:val="00260EB4"/>
    <w:rsid w:val="00261A92"/>
    <w:rsid w:val="002643F2"/>
    <w:rsid w:val="00264E38"/>
    <w:rsid w:val="00265D26"/>
    <w:rsid w:val="0026763E"/>
    <w:rsid w:val="002701C4"/>
    <w:rsid w:val="00271CD9"/>
    <w:rsid w:val="002722B1"/>
    <w:rsid w:val="002742F4"/>
    <w:rsid w:val="00274C47"/>
    <w:rsid w:val="00276A18"/>
    <w:rsid w:val="002774AA"/>
    <w:rsid w:val="00277F5C"/>
    <w:rsid w:val="002846D8"/>
    <w:rsid w:val="00292921"/>
    <w:rsid w:val="002936A6"/>
    <w:rsid w:val="00294A3C"/>
    <w:rsid w:val="0029651D"/>
    <w:rsid w:val="002969DA"/>
    <w:rsid w:val="002A06C0"/>
    <w:rsid w:val="002A0E17"/>
    <w:rsid w:val="002A0E81"/>
    <w:rsid w:val="002A1EAD"/>
    <w:rsid w:val="002A3CFE"/>
    <w:rsid w:val="002A5D62"/>
    <w:rsid w:val="002A7487"/>
    <w:rsid w:val="002B0A57"/>
    <w:rsid w:val="002B32B5"/>
    <w:rsid w:val="002B5549"/>
    <w:rsid w:val="002B58CD"/>
    <w:rsid w:val="002B627B"/>
    <w:rsid w:val="002B62C2"/>
    <w:rsid w:val="002B75E3"/>
    <w:rsid w:val="002C0396"/>
    <w:rsid w:val="002C0E37"/>
    <w:rsid w:val="002C5B5F"/>
    <w:rsid w:val="002C72A5"/>
    <w:rsid w:val="002D0334"/>
    <w:rsid w:val="002D2857"/>
    <w:rsid w:val="002D2D94"/>
    <w:rsid w:val="002D3747"/>
    <w:rsid w:val="002D3D97"/>
    <w:rsid w:val="002D6BE9"/>
    <w:rsid w:val="002D7EB7"/>
    <w:rsid w:val="002E0426"/>
    <w:rsid w:val="002E142A"/>
    <w:rsid w:val="002E219D"/>
    <w:rsid w:val="002E2257"/>
    <w:rsid w:val="002E2E5B"/>
    <w:rsid w:val="002E5C40"/>
    <w:rsid w:val="002E6C7F"/>
    <w:rsid w:val="002F0A3C"/>
    <w:rsid w:val="002F3CB1"/>
    <w:rsid w:val="002F5D91"/>
    <w:rsid w:val="002F6285"/>
    <w:rsid w:val="0030112B"/>
    <w:rsid w:val="0030283D"/>
    <w:rsid w:val="00303379"/>
    <w:rsid w:val="003077CA"/>
    <w:rsid w:val="00310AC8"/>
    <w:rsid w:val="00311239"/>
    <w:rsid w:val="00314FC6"/>
    <w:rsid w:val="00316A9B"/>
    <w:rsid w:val="00320CBD"/>
    <w:rsid w:val="00321895"/>
    <w:rsid w:val="003218BD"/>
    <w:rsid w:val="00323471"/>
    <w:rsid w:val="00323980"/>
    <w:rsid w:val="00324095"/>
    <w:rsid w:val="0032493D"/>
    <w:rsid w:val="0032520E"/>
    <w:rsid w:val="00325D72"/>
    <w:rsid w:val="00326951"/>
    <w:rsid w:val="00330137"/>
    <w:rsid w:val="00330E89"/>
    <w:rsid w:val="00332337"/>
    <w:rsid w:val="0033322F"/>
    <w:rsid w:val="00333AF8"/>
    <w:rsid w:val="00333D8E"/>
    <w:rsid w:val="003405DA"/>
    <w:rsid w:val="00343EB1"/>
    <w:rsid w:val="003441B2"/>
    <w:rsid w:val="003447B4"/>
    <w:rsid w:val="00345FF4"/>
    <w:rsid w:val="00346054"/>
    <w:rsid w:val="0034694E"/>
    <w:rsid w:val="00346BA9"/>
    <w:rsid w:val="00347A62"/>
    <w:rsid w:val="00350392"/>
    <w:rsid w:val="00351489"/>
    <w:rsid w:val="0035173D"/>
    <w:rsid w:val="00351DF8"/>
    <w:rsid w:val="003537FE"/>
    <w:rsid w:val="00357383"/>
    <w:rsid w:val="00360FAA"/>
    <w:rsid w:val="0036121C"/>
    <w:rsid w:val="003613F8"/>
    <w:rsid w:val="00361C86"/>
    <w:rsid w:val="00370082"/>
    <w:rsid w:val="0037358B"/>
    <w:rsid w:val="00374207"/>
    <w:rsid w:val="00374F83"/>
    <w:rsid w:val="00376821"/>
    <w:rsid w:val="003815A0"/>
    <w:rsid w:val="00381B59"/>
    <w:rsid w:val="00382AFE"/>
    <w:rsid w:val="003834DA"/>
    <w:rsid w:val="00385405"/>
    <w:rsid w:val="00386D65"/>
    <w:rsid w:val="003930E3"/>
    <w:rsid w:val="003931AE"/>
    <w:rsid w:val="00394507"/>
    <w:rsid w:val="00394A82"/>
    <w:rsid w:val="00395FB4"/>
    <w:rsid w:val="003A20B7"/>
    <w:rsid w:val="003A41F9"/>
    <w:rsid w:val="003A4B35"/>
    <w:rsid w:val="003A5298"/>
    <w:rsid w:val="003A6326"/>
    <w:rsid w:val="003B53EA"/>
    <w:rsid w:val="003C3345"/>
    <w:rsid w:val="003C340B"/>
    <w:rsid w:val="003C346D"/>
    <w:rsid w:val="003C6247"/>
    <w:rsid w:val="003D2714"/>
    <w:rsid w:val="003D2939"/>
    <w:rsid w:val="003D4BC9"/>
    <w:rsid w:val="003D556C"/>
    <w:rsid w:val="003D5683"/>
    <w:rsid w:val="003D7B47"/>
    <w:rsid w:val="003E060F"/>
    <w:rsid w:val="003E090B"/>
    <w:rsid w:val="003E1FCB"/>
    <w:rsid w:val="003E3E52"/>
    <w:rsid w:val="003E3F78"/>
    <w:rsid w:val="003E4F35"/>
    <w:rsid w:val="003E54DC"/>
    <w:rsid w:val="003E7CDB"/>
    <w:rsid w:val="003F004A"/>
    <w:rsid w:val="003F09BE"/>
    <w:rsid w:val="003F196B"/>
    <w:rsid w:val="003F1C22"/>
    <w:rsid w:val="003F2304"/>
    <w:rsid w:val="003F3F4B"/>
    <w:rsid w:val="003F4E53"/>
    <w:rsid w:val="003F5D1C"/>
    <w:rsid w:val="003F7C39"/>
    <w:rsid w:val="004010F5"/>
    <w:rsid w:val="00401A6D"/>
    <w:rsid w:val="004035C5"/>
    <w:rsid w:val="004041C2"/>
    <w:rsid w:val="004056D7"/>
    <w:rsid w:val="00405ABF"/>
    <w:rsid w:val="00405F02"/>
    <w:rsid w:val="00407171"/>
    <w:rsid w:val="00411EFE"/>
    <w:rsid w:val="00415244"/>
    <w:rsid w:val="004206E9"/>
    <w:rsid w:val="00420F8C"/>
    <w:rsid w:val="004238E3"/>
    <w:rsid w:val="0042625E"/>
    <w:rsid w:val="004275AE"/>
    <w:rsid w:val="00433340"/>
    <w:rsid w:val="00435C1D"/>
    <w:rsid w:val="0043602E"/>
    <w:rsid w:val="00436968"/>
    <w:rsid w:val="00437C7E"/>
    <w:rsid w:val="00440B60"/>
    <w:rsid w:val="00441038"/>
    <w:rsid w:val="00441EC1"/>
    <w:rsid w:val="00446D7F"/>
    <w:rsid w:val="0045220A"/>
    <w:rsid w:val="004559E8"/>
    <w:rsid w:val="0046331B"/>
    <w:rsid w:val="00463D0E"/>
    <w:rsid w:val="00466420"/>
    <w:rsid w:val="004665CE"/>
    <w:rsid w:val="00466D6F"/>
    <w:rsid w:val="00467CBF"/>
    <w:rsid w:val="00472011"/>
    <w:rsid w:val="00473E52"/>
    <w:rsid w:val="004744EF"/>
    <w:rsid w:val="00475259"/>
    <w:rsid w:val="00476A9D"/>
    <w:rsid w:val="00476CD2"/>
    <w:rsid w:val="00480568"/>
    <w:rsid w:val="00482DB2"/>
    <w:rsid w:val="00485E0F"/>
    <w:rsid w:val="00485EF9"/>
    <w:rsid w:val="0049060C"/>
    <w:rsid w:val="00491616"/>
    <w:rsid w:val="004924DE"/>
    <w:rsid w:val="004929DF"/>
    <w:rsid w:val="0049399B"/>
    <w:rsid w:val="00497718"/>
    <w:rsid w:val="004A0AD4"/>
    <w:rsid w:val="004B13A3"/>
    <w:rsid w:val="004B1EB5"/>
    <w:rsid w:val="004B3B84"/>
    <w:rsid w:val="004B460F"/>
    <w:rsid w:val="004B6B4B"/>
    <w:rsid w:val="004B6FE6"/>
    <w:rsid w:val="004C02CC"/>
    <w:rsid w:val="004C0487"/>
    <w:rsid w:val="004C66C2"/>
    <w:rsid w:val="004C7519"/>
    <w:rsid w:val="004C78BF"/>
    <w:rsid w:val="004C7D6D"/>
    <w:rsid w:val="004D099D"/>
    <w:rsid w:val="004D09F0"/>
    <w:rsid w:val="004D3BB6"/>
    <w:rsid w:val="004D47EA"/>
    <w:rsid w:val="004D4880"/>
    <w:rsid w:val="004D6D19"/>
    <w:rsid w:val="004E2638"/>
    <w:rsid w:val="004E26A8"/>
    <w:rsid w:val="004E2C35"/>
    <w:rsid w:val="004E3BDB"/>
    <w:rsid w:val="004E5414"/>
    <w:rsid w:val="004E61B6"/>
    <w:rsid w:val="004E77CE"/>
    <w:rsid w:val="004F090B"/>
    <w:rsid w:val="004F409A"/>
    <w:rsid w:val="004F4484"/>
    <w:rsid w:val="004F4AB3"/>
    <w:rsid w:val="004F4E84"/>
    <w:rsid w:val="004F5F38"/>
    <w:rsid w:val="004F6E29"/>
    <w:rsid w:val="004F7284"/>
    <w:rsid w:val="004F7DEC"/>
    <w:rsid w:val="00500F75"/>
    <w:rsid w:val="00504812"/>
    <w:rsid w:val="005053B3"/>
    <w:rsid w:val="00511F67"/>
    <w:rsid w:val="00514B48"/>
    <w:rsid w:val="005158B5"/>
    <w:rsid w:val="00525331"/>
    <w:rsid w:val="005270D2"/>
    <w:rsid w:val="00527BB4"/>
    <w:rsid w:val="005305F2"/>
    <w:rsid w:val="005305F9"/>
    <w:rsid w:val="00532106"/>
    <w:rsid w:val="005323BD"/>
    <w:rsid w:val="00532424"/>
    <w:rsid w:val="00532E69"/>
    <w:rsid w:val="00537876"/>
    <w:rsid w:val="005440E0"/>
    <w:rsid w:val="00550698"/>
    <w:rsid w:val="005511FA"/>
    <w:rsid w:val="005512C0"/>
    <w:rsid w:val="00551664"/>
    <w:rsid w:val="00551735"/>
    <w:rsid w:val="00552CD6"/>
    <w:rsid w:val="005539F5"/>
    <w:rsid w:val="00554780"/>
    <w:rsid w:val="0055641B"/>
    <w:rsid w:val="00556A06"/>
    <w:rsid w:val="00556AA2"/>
    <w:rsid w:val="0056143F"/>
    <w:rsid w:val="00561726"/>
    <w:rsid w:val="00561B9C"/>
    <w:rsid w:val="005635A3"/>
    <w:rsid w:val="00564477"/>
    <w:rsid w:val="005671F3"/>
    <w:rsid w:val="00570054"/>
    <w:rsid w:val="0057053F"/>
    <w:rsid w:val="0057140D"/>
    <w:rsid w:val="00571B68"/>
    <w:rsid w:val="00571D59"/>
    <w:rsid w:val="00571EF4"/>
    <w:rsid w:val="00573783"/>
    <w:rsid w:val="00573A42"/>
    <w:rsid w:val="00577540"/>
    <w:rsid w:val="00577D45"/>
    <w:rsid w:val="00581BA5"/>
    <w:rsid w:val="00582EF3"/>
    <w:rsid w:val="005833AB"/>
    <w:rsid w:val="00583C6D"/>
    <w:rsid w:val="00584D40"/>
    <w:rsid w:val="00584E26"/>
    <w:rsid w:val="00586801"/>
    <w:rsid w:val="00587851"/>
    <w:rsid w:val="00590105"/>
    <w:rsid w:val="00591643"/>
    <w:rsid w:val="005941B5"/>
    <w:rsid w:val="005A397E"/>
    <w:rsid w:val="005A49F1"/>
    <w:rsid w:val="005A574F"/>
    <w:rsid w:val="005A7319"/>
    <w:rsid w:val="005B1F90"/>
    <w:rsid w:val="005B4E5D"/>
    <w:rsid w:val="005B6607"/>
    <w:rsid w:val="005B740B"/>
    <w:rsid w:val="005C053B"/>
    <w:rsid w:val="005C0E69"/>
    <w:rsid w:val="005C2462"/>
    <w:rsid w:val="005C3969"/>
    <w:rsid w:val="005C4531"/>
    <w:rsid w:val="005D1403"/>
    <w:rsid w:val="005D169E"/>
    <w:rsid w:val="005D48EC"/>
    <w:rsid w:val="005D77A1"/>
    <w:rsid w:val="005E3D57"/>
    <w:rsid w:val="005E3ED5"/>
    <w:rsid w:val="005E547B"/>
    <w:rsid w:val="005E6521"/>
    <w:rsid w:val="005E6D39"/>
    <w:rsid w:val="005E70F6"/>
    <w:rsid w:val="005E7A6C"/>
    <w:rsid w:val="005F2944"/>
    <w:rsid w:val="005F4CF0"/>
    <w:rsid w:val="005F519A"/>
    <w:rsid w:val="005F5590"/>
    <w:rsid w:val="005F7515"/>
    <w:rsid w:val="0060167A"/>
    <w:rsid w:val="006034E8"/>
    <w:rsid w:val="00603D8D"/>
    <w:rsid w:val="00604F39"/>
    <w:rsid w:val="0060586D"/>
    <w:rsid w:val="006070B1"/>
    <w:rsid w:val="00607974"/>
    <w:rsid w:val="006105E7"/>
    <w:rsid w:val="00616693"/>
    <w:rsid w:val="00616AB9"/>
    <w:rsid w:val="0061752B"/>
    <w:rsid w:val="00617607"/>
    <w:rsid w:val="00620156"/>
    <w:rsid w:val="0062132E"/>
    <w:rsid w:val="00623AF4"/>
    <w:rsid w:val="00624659"/>
    <w:rsid w:val="006246EB"/>
    <w:rsid w:val="006250BA"/>
    <w:rsid w:val="00627D9D"/>
    <w:rsid w:val="00630B86"/>
    <w:rsid w:val="00631468"/>
    <w:rsid w:val="00632E6E"/>
    <w:rsid w:val="006333AE"/>
    <w:rsid w:val="00633691"/>
    <w:rsid w:val="00635C34"/>
    <w:rsid w:val="00635EE3"/>
    <w:rsid w:val="0063676C"/>
    <w:rsid w:val="006372DB"/>
    <w:rsid w:val="00637EBD"/>
    <w:rsid w:val="00637FEB"/>
    <w:rsid w:val="006409DD"/>
    <w:rsid w:val="00640C4E"/>
    <w:rsid w:val="00643371"/>
    <w:rsid w:val="006436AD"/>
    <w:rsid w:val="00643822"/>
    <w:rsid w:val="006457FF"/>
    <w:rsid w:val="00646461"/>
    <w:rsid w:val="00646BBC"/>
    <w:rsid w:val="00646E6C"/>
    <w:rsid w:val="00647ED3"/>
    <w:rsid w:val="00647F5F"/>
    <w:rsid w:val="0065256B"/>
    <w:rsid w:val="00654A49"/>
    <w:rsid w:val="00654CED"/>
    <w:rsid w:val="00655A37"/>
    <w:rsid w:val="006568B3"/>
    <w:rsid w:val="00657D90"/>
    <w:rsid w:val="0066040B"/>
    <w:rsid w:val="00660B1F"/>
    <w:rsid w:val="0066418B"/>
    <w:rsid w:val="00664CA2"/>
    <w:rsid w:val="00664DC4"/>
    <w:rsid w:val="00666699"/>
    <w:rsid w:val="0067357E"/>
    <w:rsid w:val="00675DC2"/>
    <w:rsid w:val="00676441"/>
    <w:rsid w:val="006804BC"/>
    <w:rsid w:val="006859EC"/>
    <w:rsid w:val="006876D9"/>
    <w:rsid w:val="00690010"/>
    <w:rsid w:val="00691DFB"/>
    <w:rsid w:val="00693CC2"/>
    <w:rsid w:val="00694F00"/>
    <w:rsid w:val="006959E5"/>
    <w:rsid w:val="00696743"/>
    <w:rsid w:val="00697205"/>
    <w:rsid w:val="006972E1"/>
    <w:rsid w:val="0069799E"/>
    <w:rsid w:val="006A0261"/>
    <w:rsid w:val="006A051E"/>
    <w:rsid w:val="006A203B"/>
    <w:rsid w:val="006A21D9"/>
    <w:rsid w:val="006A2733"/>
    <w:rsid w:val="006A2A3D"/>
    <w:rsid w:val="006A320E"/>
    <w:rsid w:val="006A54B1"/>
    <w:rsid w:val="006A6017"/>
    <w:rsid w:val="006A716A"/>
    <w:rsid w:val="006A7A4E"/>
    <w:rsid w:val="006B0E0A"/>
    <w:rsid w:val="006C2798"/>
    <w:rsid w:val="006C30F3"/>
    <w:rsid w:val="006C554B"/>
    <w:rsid w:val="006C6837"/>
    <w:rsid w:val="006C6893"/>
    <w:rsid w:val="006D0D94"/>
    <w:rsid w:val="006D1517"/>
    <w:rsid w:val="006D1CB1"/>
    <w:rsid w:val="006D2BA3"/>
    <w:rsid w:val="006D2C33"/>
    <w:rsid w:val="006D42EB"/>
    <w:rsid w:val="006D43E7"/>
    <w:rsid w:val="006D5359"/>
    <w:rsid w:val="006D6286"/>
    <w:rsid w:val="006E2D07"/>
    <w:rsid w:val="006E34D7"/>
    <w:rsid w:val="006E54EB"/>
    <w:rsid w:val="006E6314"/>
    <w:rsid w:val="006F5B42"/>
    <w:rsid w:val="006F61B8"/>
    <w:rsid w:val="006F637E"/>
    <w:rsid w:val="006F7BAD"/>
    <w:rsid w:val="0070029B"/>
    <w:rsid w:val="00706A4C"/>
    <w:rsid w:val="007070AB"/>
    <w:rsid w:val="007100E7"/>
    <w:rsid w:val="00713AA4"/>
    <w:rsid w:val="007141D6"/>
    <w:rsid w:val="00717D9E"/>
    <w:rsid w:val="0072074A"/>
    <w:rsid w:val="00721CA0"/>
    <w:rsid w:val="00721E8E"/>
    <w:rsid w:val="00723300"/>
    <w:rsid w:val="0072434D"/>
    <w:rsid w:val="00724A7E"/>
    <w:rsid w:val="00725582"/>
    <w:rsid w:val="00726E42"/>
    <w:rsid w:val="00730003"/>
    <w:rsid w:val="00732DB3"/>
    <w:rsid w:val="0073797E"/>
    <w:rsid w:val="00737D5F"/>
    <w:rsid w:val="00743307"/>
    <w:rsid w:val="007456FF"/>
    <w:rsid w:val="007458F1"/>
    <w:rsid w:val="00746174"/>
    <w:rsid w:val="00747737"/>
    <w:rsid w:val="00751738"/>
    <w:rsid w:val="00752F6F"/>
    <w:rsid w:val="0075304D"/>
    <w:rsid w:val="00754242"/>
    <w:rsid w:val="00754794"/>
    <w:rsid w:val="00755059"/>
    <w:rsid w:val="007562AD"/>
    <w:rsid w:val="007605CC"/>
    <w:rsid w:val="00760949"/>
    <w:rsid w:val="00760D24"/>
    <w:rsid w:val="00761CC0"/>
    <w:rsid w:val="00763535"/>
    <w:rsid w:val="00764379"/>
    <w:rsid w:val="00764707"/>
    <w:rsid w:val="0076520F"/>
    <w:rsid w:val="0076643F"/>
    <w:rsid w:val="007721AC"/>
    <w:rsid w:val="00772B31"/>
    <w:rsid w:val="00773E4C"/>
    <w:rsid w:val="00777E1A"/>
    <w:rsid w:val="00777EFB"/>
    <w:rsid w:val="007803A4"/>
    <w:rsid w:val="007806A5"/>
    <w:rsid w:val="007824D7"/>
    <w:rsid w:val="00783076"/>
    <w:rsid w:val="00783B29"/>
    <w:rsid w:val="00785EE4"/>
    <w:rsid w:val="00786972"/>
    <w:rsid w:val="00786B86"/>
    <w:rsid w:val="00786E70"/>
    <w:rsid w:val="00790985"/>
    <w:rsid w:val="007941BD"/>
    <w:rsid w:val="00797FC6"/>
    <w:rsid w:val="007A13D1"/>
    <w:rsid w:val="007A16E7"/>
    <w:rsid w:val="007A20C3"/>
    <w:rsid w:val="007A3804"/>
    <w:rsid w:val="007A7088"/>
    <w:rsid w:val="007B13BE"/>
    <w:rsid w:val="007B1785"/>
    <w:rsid w:val="007B1AA6"/>
    <w:rsid w:val="007B272C"/>
    <w:rsid w:val="007B4389"/>
    <w:rsid w:val="007B4C7A"/>
    <w:rsid w:val="007C054C"/>
    <w:rsid w:val="007C6691"/>
    <w:rsid w:val="007C7D5C"/>
    <w:rsid w:val="007C7E79"/>
    <w:rsid w:val="007D1996"/>
    <w:rsid w:val="007D1AE6"/>
    <w:rsid w:val="007D207B"/>
    <w:rsid w:val="007D352C"/>
    <w:rsid w:val="007D38ED"/>
    <w:rsid w:val="007D577B"/>
    <w:rsid w:val="007E2D5C"/>
    <w:rsid w:val="007E373A"/>
    <w:rsid w:val="007E4BBC"/>
    <w:rsid w:val="007E74CF"/>
    <w:rsid w:val="007E7CBC"/>
    <w:rsid w:val="007F10BB"/>
    <w:rsid w:val="007F1120"/>
    <w:rsid w:val="007F388A"/>
    <w:rsid w:val="007F66FC"/>
    <w:rsid w:val="007F7770"/>
    <w:rsid w:val="007F7BEB"/>
    <w:rsid w:val="0080019C"/>
    <w:rsid w:val="00800F84"/>
    <w:rsid w:val="00801CC2"/>
    <w:rsid w:val="00805F79"/>
    <w:rsid w:val="00810264"/>
    <w:rsid w:val="00811D4B"/>
    <w:rsid w:val="0081210D"/>
    <w:rsid w:val="00812851"/>
    <w:rsid w:val="008142FF"/>
    <w:rsid w:val="00814EE1"/>
    <w:rsid w:val="00815614"/>
    <w:rsid w:val="00815BB5"/>
    <w:rsid w:val="00815D2E"/>
    <w:rsid w:val="0082159A"/>
    <w:rsid w:val="00823227"/>
    <w:rsid w:val="00827ECE"/>
    <w:rsid w:val="00831346"/>
    <w:rsid w:val="00832249"/>
    <w:rsid w:val="008341EC"/>
    <w:rsid w:val="00834D5F"/>
    <w:rsid w:val="00835341"/>
    <w:rsid w:val="00840285"/>
    <w:rsid w:val="0084152E"/>
    <w:rsid w:val="008419B9"/>
    <w:rsid w:val="00843BD3"/>
    <w:rsid w:val="008449D4"/>
    <w:rsid w:val="00845562"/>
    <w:rsid w:val="00850E34"/>
    <w:rsid w:val="00856F36"/>
    <w:rsid w:val="008612D9"/>
    <w:rsid w:val="00861B1C"/>
    <w:rsid w:val="008620FF"/>
    <w:rsid w:val="0086474B"/>
    <w:rsid w:val="00865841"/>
    <w:rsid w:val="00865984"/>
    <w:rsid w:val="008669D4"/>
    <w:rsid w:val="00867D53"/>
    <w:rsid w:val="00867DFF"/>
    <w:rsid w:val="00871F23"/>
    <w:rsid w:val="00872189"/>
    <w:rsid w:val="00874227"/>
    <w:rsid w:val="0087435A"/>
    <w:rsid w:val="008757ED"/>
    <w:rsid w:val="00882C17"/>
    <w:rsid w:val="00883E59"/>
    <w:rsid w:val="008851D9"/>
    <w:rsid w:val="00886869"/>
    <w:rsid w:val="0088720D"/>
    <w:rsid w:val="00887DB2"/>
    <w:rsid w:val="00890696"/>
    <w:rsid w:val="00893564"/>
    <w:rsid w:val="008956E4"/>
    <w:rsid w:val="008978D4"/>
    <w:rsid w:val="008A14EC"/>
    <w:rsid w:val="008A39C7"/>
    <w:rsid w:val="008A42F0"/>
    <w:rsid w:val="008A487D"/>
    <w:rsid w:val="008B131B"/>
    <w:rsid w:val="008B2B07"/>
    <w:rsid w:val="008B3B79"/>
    <w:rsid w:val="008B4BF0"/>
    <w:rsid w:val="008B5597"/>
    <w:rsid w:val="008B7720"/>
    <w:rsid w:val="008C0226"/>
    <w:rsid w:val="008C0984"/>
    <w:rsid w:val="008C24A7"/>
    <w:rsid w:val="008C2FCE"/>
    <w:rsid w:val="008C5D15"/>
    <w:rsid w:val="008C7A48"/>
    <w:rsid w:val="008D0534"/>
    <w:rsid w:val="008D1BE1"/>
    <w:rsid w:val="008D2CF3"/>
    <w:rsid w:val="008D3145"/>
    <w:rsid w:val="008E06A9"/>
    <w:rsid w:val="008E3CE9"/>
    <w:rsid w:val="008E4DC3"/>
    <w:rsid w:val="008E515C"/>
    <w:rsid w:val="008F158F"/>
    <w:rsid w:val="008F1C64"/>
    <w:rsid w:val="008F20A7"/>
    <w:rsid w:val="008F3A73"/>
    <w:rsid w:val="008F3B12"/>
    <w:rsid w:val="00901C5B"/>
    <w:rsid w:val="0090369C"/>
    <w:rsid w:val="00903E91"/>
    <w:rsid w:val="00911328"/>
    <w:rsid w:val="0091144B"/>
    <w:rsid w:val="0091392D"/>
    <w:rsid w:val="009143AF"/>
    <w:rsid w:val="00914A26"/>
    <w:rsid w:val="00915CF4"/>
    <w:rsid w:val="00915E6F"/>
    <w:rsid w:val="00915FA6"/>
    <w:rsid w:val="00920CB8"/>
    <w:rsid w:val="0092377D"/>
    <w:rsid w:val="00924733"/>
    <w:rsid w:val="009263B4"/>
    <w:rsid w:val="00926AC2"/>
    <w:rsid w:val="00930AF3"/>
    <w:rsid w:val="00930EA5"/>
    <w:rsid w:val="00931BE6"/>
    <w:rsid w:val="00934474"/>
    <w:rsid w:val="00934C6D"/>
    <w:rsid w:val="009354D2"/>
    <w:rsid w:val="00935F55"/>
    <w:rsid w:val="00937182"/>
    <w:rsid w:val="009454D4"/>
    <w:rsid w:val="00945BDC"/>
    <w:rsid w:val="00946274"/>
    <w:rsid w:val="009520BE"/>
    <w:rsid w:val="00952E7F"/>
    <w:rsid w:val="00957AAD"/>
    <w:rsid w:val="00960CE8"/>
    <w:rsid w:val="00963484"/>
    <w:rsid w:val="00963C6D"/>
    <w:rsid w:val="00963E43"/>
    <w:rsid w:val="00966CD8"/>
    <w:rsid w:val="009675C2"/>
    <w:rsid w:val="00967AED"/>
    <w:rsid w:val="00967F11"/>
    <w:rsid w:val="00970626"/>
    <w:rsid w:val="00970E2E"/>
    <w:rsid w:val="00971634"/>
    <w:rsid w:val="0097221B"/>
    <w:rsid w:val="009757F2"/>
    <w:rsid w:val="0097666B"/>
    <w:rsid w:val="00977626"/>
    <w:rsid w:val="00977639"/>
    <w:rsid w:val="00980163"/>
    <w:rsid w:val="00981D72"/>
    <w:rsid w:val="009830CF"/>
    <w:rsid w:val="00984E39"/>
    <w:rsid w:val="00986055"/>
    <w:rsid w:val="00986321"/>
    <w:rsid w:val="009867D9"/>
    <w:rsid w:val="00994218"/>
    <w:rsid w:val="0099462F"/>
    <w:rsid w:val="00995137"/>
    <w:rsid w:val="009952C5"/>
    <w:rsid w:val="00996D0C"/>
    <w:rsid w:val="009974D3"/>
    <w:rsid w:val="009A1A00"/>
    <w:rsid w:val="009A227B"/>
    <w:rsid w:val="009A23B0"/>
    <w:rsid w:val="009A45F2"/>
    <w:rsid w:val="009A4A95"/>
    <w:rsid w:val="009A5B91"/>
    <w:rsid w:val="009A5C99"/>
    <w:rsid w:val="009B11F7"/>
    <w:rsid w:val="009B35C6"/>
    <w:rsid w:val="009B3C01"/>
    <w:rsid w:val="009B5061"/>
    <w:rsid w:val="009B6CDC"/>
    <w:rsid w:val="009B7BF2"/>
    <w:rsid w:val="009C0C90"/>
    <w:rsid w:val="009C17E8"/>
    <w:rsid w:val="009C1872"/>
    <w:rsid w:val="009C206A"/>
    <w:rsid w:val="009C211A"/>
    <w:rsid w:val="009C2ADD"/>
    <w:rsid w:val="009C422C"/>
    <w:rsid w:val="009C453D"/>
    <w:rsid w:val="009C47FF"/>
    <w:rsid w:val="009C4CED"/>
    <w:rsid w:val="009C71BB"/>
    <w:rsid w:val="009D15D2"/>
    <w:rsid w:val="009D358C"/>
    <w:rsid w:val="009D37FC"/>
    <w:rsid w:val="009D3F40"/>
    <w:rsid w:val="009D4348"/>
    <w:rsid w:val="009D532B"/>
    <w:rsid w:val="009D5B55"/>
    <w:rsid w:val="009E5AFF"/>
    <w:rsid w:val="009F3691"/>
    <w:rsid w:val="009F3E78"/>
    <w:rsid w:val="009F75CC"/>
    <w:rsid w:val="00A02B0E"/>
    <w:rsid w:val="00A05A23"/>
    <w:rsid w:val="00A078DB"/>
    <w:rsid w:val="00A07D5B"/>
    <w:rsid w:val="00A11699"/>
    <w:rsid w:val="00A1193D"/>
    <w:rsid w:val="00A12B83"/>
    <w:rsid w:val="00A12BF0"/>
    <w:rsid w:val="00A1336C"/>
    <w:rsid w:val="00A14CD2"/>
    <w:rsid w:val="00A15086"/>
    <w:rsid w:val="00A17B1F"/>
    <w:rsid w:val="00A17C90"/>
    <w:rsid w:val="00A2072E"/>
    <w:rsid w:val="00A2108D"/>
    <w:rsid w:val="00A2252A"/>
    <w:rsid w:val="00A2470E"/>
    <w:rsid w:val="00A26B41"/>
    <w:rsid w:val="00A305E4"/>
    <w:rsid w:val="00A30DF1"/>
    <w:rsid w:val="00A310A0"/>
    <w:rsid w:val="00A31702"/>
    <w:rsid w:val="00A31C8B"/>
    <w:rsid w:val="00A328C3"/>
    <w:rsid w:val="00A32A60"/>
    <w:rsid w:val="00A35BE2"/>
    <w:rsid w:val="00A36691"/>
    <w:rsid w:val="00A416AE"/>
    <w:rsid w:val="00A42D37"/>
    <w:rsid w:val="00A43241"/>
    <w:rsid w:val="00A43631"/>
    <w:rsid w:val="00A43FB4"/>
    <w:rsid w:val="00A4417C"/>
    <w:rsid w:val="00A442C1"/>
    <w:rsid w:val="00A4611D"/>
    <w:rsid w:val="00A47289"/>
    <w:rsid w:val="00A4769B"/>
    <w:rsid w:val="00A47FC8"/>
    <w:rsid w:val="00A54338"/>
    <w:rsid w:val="00A555BC"/>
    <w:rsid w:val="00A60FF2"/>
    <w:rsid w:val="00A62946"/>
    <w:rsid w:val="00A67E77"/>
    <w:rsid w:val="00A71547"/>
    <w:rsid w:val="00A72200"/>
    <w:rsid w:val="00A72855"/>
    <w:rsid w:val="00A75BDB"/>
    <w:rsid w:val="00A7750C"/>
    <w:rsid w:val="00A77C33"/>
    <w:rsid w:val="00A8040D"/>
    <w:rsid w:val="00A8255B"/>
    <w:rsid w:val="00A85F1E"/>
    <w:rsid w:val="00A87B73"/>
    <w:rsid w:val="00A935D4"/>
    <w:rsid w:val="00A9389E"/>
    <w:rsid w:val="00A94532"/>
    <w:rsid w:val="00A94D7A"/>
    <w:rsid w:val="00A9588E"/>
    <w:rsid w:val="00A976E3"/>
    <w:rsid w:val="00AA281F"/>
    <w:rsid w:val="00AA3F83"/>
    <w:rsid w:val="00AA5B8F"/>
    <w:rsid w:val="00AA5D99"/>
    <w:rsid w:val="00AA6FDF"/>
    <w:rsid w:val="00AA72E0"/>
    <w:rsid w:val="00AA72FC"/>
    <w:rsid w:val="00AB08E1"/>
    <w:rsid w:val="00AB1E29"/>
    <w:rsid w:val="00AB2CA3"/>
    <w:rsid w:val="00AB5818"/>
    <w:rsid w:val="00AB5CA7"/>
    <w:rsid w:val="00AB62DE"/>
    <w:rsid w:val="00AB7BC5"/>
    <w:rsid w:val="00AC4DCC"/>
    <w:rsid w:val="00AD34AA"/>
    <w:rsid w:val="00AD498B"/>
    <w:rsid w:val="00AD5E2D"/>
    <w:rsid w:val="00AD771B"/>
    <w:rsid w:val="00AE12F2"/>
    <w:rsid w:val="00AE1B06"/>
    <w:rsid w:val="00AE207C"/>
    <w:rsid w:val="00AE2270"/>
    <w:rsid w:val="00AE227F"/>
    <w:rsid w:val="00AE3865"/>
    <w:rsid w:val="00AE4F08"/>
    <w:rsid w:val="00AE5DA1"/>
    <w:rsid w:val="00AF156A"/>
    <w:rsid w:val="00AF16E3"/>
    <w:rsid w:val="00AF179D"/>
    <w:rsid w:val="00AF192C"/>
    <w:rsid w:val="00AF1E00"/>
    <w:rsid w:val="00AF4CC5"/>
    <w:rsid w:val="00AF5C15"/>
    <w:rsid w:val="00B00B04"/>
    <w:rsid w:val="00B0179D"/>
    <w:rsid w:val="00B0249F"/>
    <w:rsid w:val="00B03C71"/>
    <w:rsid w:val="00B03D52"/>
    <w:rsid w:val="00B06063"/>
    <w:rsid w:val="00B07110"/>
    <w:rsid w:val="00B07B57"/>
    <w:rsid w:val="00B10D5D"/>
    <w:rsid w:val="00B1150C"/>
    <w:rsid w:val="00B154BE"/>
    <w:rsid w:val="00B15710"/>
    <w:rsid w:val="00B212A2"/>
    <w:rsid w:val="00B24FE3"/>
    <w:rsid w:val="00B25F63"/>
    <w:rsid w:val="00B27482"/>
    <w:rsid w:val="00B2762F"/>
    <w:rsid w:val="00B345CB"/>
    <w:rsid w:val="00B3568B"/>
    <w:rsid w:val="00B36189"/>
    <w:rsid w:val="00B3786A"/>
    <w:rsid w:val="00B37C96"/>
    <w:rsid w:val="00B409B6"/>
    <w:rsid w:val="00B42811"/>
    <w:rsid w:val="00B42CB2"/>
    <w:rsid w:val="00B4664A"/>
    <w:rsid w:val="00B5045B"/>
    <w:rsid w:val="00B5183C"/>
    <w:rsid w:val="00B52920"/>
    <w:rsid w:val="00B54D10"/>
    <w:rsid w:val="00B5600C"/>
    <w:rsid w:val="00B57059"/>
    <w:rsid w:val="00B5721D"/>
    <w:rsid w:val="00B60ED0"/>
    <w:rsid w:val="00B612AF"/>
    <w:rsid w:val="00B62373"/>
    <w:rsid w:val="00B6290D"/>
    <w:rsid w:val="00B63645"/>
    <w:rsid w:val="00B63F97"/>
    <w:rsid w:val="00B67481"/>
    <w:rsid w:val="00B74B59"/>
    <w:rsid w:val="00B74D1A"/>
    <w:rsid w:val="00B74F04"/>
    <w:rsid w:val="00B75955"/>
    <w:rsid w:val="00B7647A"/>
    <w:rsid w:val="00B77035"/>
    <w:rsid w:val="00B77608"/>
    <w:rsid w:val="00B77BB3"/>
    <w:rsid w:val="00B800E1"/>
    <w:rsid w:val="00B80819"/>
    <w:rsid w:val="00B80976"/>
    <w:rsid w:val="00B80D73"/>
    <w:rsid w:val="00B80E4F"/>
    <w:rsid w:val="00B82510"/>
    <w:rsid w:val="00B83001"/>
    <w:rsid w:val="00B84A5B"/>
    <w:rsid w:val="00B87034"/>
    <w:rsid w:val="00B87191"/>
    <w:rsid w:val="00B9009D"/>
    <w:rsid w:val="00B90374"/>
    <w:rsid w:val="00B957B1"/>
    <w:rsid w:val="00B97E97"/>
    <w:rsid w:val="00BA2603"/>
    <w:rsid w:val="00BA26E4"/>
    <w:rsid w:val="00BA332B"/>
    <w:rsid w:val="00BA36A6"/>
    <w:rsid w:val="00BA4BA2"/>
    <w:rsid w:val="00BA51E3"/>
    <w:rsid w:val="00BA5465"/>
    <w:rsid w:val="00BA5F95"/>
    <w:rsid w:val="00BB01BF"/>
    <w:rsid w:val="00BB1442"/>
    <w:rsid w:val="00BB17D7"/>
    <w:rsid w:val="00BB30F9"/>
    <w:rsid w:val="00BB3ACF"/>
    <w:rsid w:val="00BB4838"/>
    <w:rsid w:val="00BB79CE"/>
    <w:rsid w:val="00BC0987"/>
    <w:rsid w:val="00BC1DE1"/>
    <w:rsid w:val="00BC3EBF"/>
    <w:rsid w:val="00BC415E"/>
    <w:rsid w:val="00BC54FB"/>
    <w:rsid w:val="00BC5D11"/>
    <w:rsid w:val="00BC78BA"/>
    <w:rsid w:val="00BC7FC4"/>
    <w:rsid w:val="00BD0C26"/>
    <w:rsid w:val="00BD1754"/>
    <w:rsid w:val="00BD22C2"/>
    <w:rsid w:val="00BD2ED3"/>
    <w:rsid w:val="00BD3E70"/>
    <w:rsid w:val="00BD459E"/>
    <w:rsid w:val="00BD4F6F"/>
    <w:rsid w:val="00BD509C"/>
    <w:rsid w:val="00BD6FEB"/>
    <w:rsid w:val="00BE0F4F"/>
    <w:rsid w:val="00BE2B2F"/>
    <w:rsid w:val="00BE57D8"/>
    <w:rsid w:val="00BE5DC3"/>
    <w:rsid w:val="00BE6F4C"/>
    <w:rsid w:val="00BF0E47"/>
    <w:rsid w:val="00BF16DD"/>
    <w:rsid w:val="00BF2043"/>
    <w:rsid w:val="00BF5DED"/>
    <w:rsid w:val="00BF6A27"/>
    <w:rsid w:val="00BF7400"/>
    <w:rsid w:val="00C0099E"/>
    <w:rsid w:val="00C00ED1"/>
    <w:rsid w:val="00C0135A"/>
    <w:rsid w:val="00C0193E"/>
    <w:rsid w:val="00C01ECD"/>
    <w:rsid w:val="00C02902"/>
    <w:rsid w:val="00C0491A"/>
    <w:rsid w:val="00C05620"/>
    <w:rsid w:val="00C06A99"/>
    <w:rsid w:val="00C07022"/>
    <w:rsid w:val="00C10077"/>
    <w:rsid w:val="00C11AD8"/>
    <w:rsid w:val="00C1247B"/>
    <w:rsid w:val="00C151BF"/>
    <w:rsid w:val="00C21682"/>
    <w:rsid w:val="00C26B25"/>
    <w:rsid w:val="00C31AAF"/>
    <w:rsid w:val="00C3391B"/>
    <w:rsid w:val="00C35675"/>
    <w:rsid w:val="00C3645B"/>
    <w:rsid w:val="00C36641"/>
    <w:rsid w:val="00C36D96"/>
    <w:rsid w:val="00C40E73"/>
    <w:rsid w:val="00C4285B"/>
    <w:rsid w:val="00C42D68"/>
    <w:rsid w:val="00C42EED"/>
    <w:rsid w:val="00C4305E"/>
    <w:rsid w:val="00C476DF"/>
    <w:rsid w:val="00C47A21"/>
    <w:rsid w:val="00C47E8E"/>
    <w:rsid w:val="00C52FC6"/>
    <w:rsid w:val="00C56100"/>
    <w:rsid w:val="00C64424"/>
    <w:rsid w:val="00C64B8D"/>
    <w:rsid w:val="00C6663E"/>
    <w:rsid w:val="00C67A7A"/>
    <w:rsid w:val="00C70F34"/>
    <w:rsid w:val="00C74298"/>
    <w:rsid w:val="00C75713"/>
    <w:rsid w:val="00C76047"/>
    <w:rsid w:val="00C76B02"/>
    <w:rsid w:val="00C82384"/>
    <w:rsid w:val="00C87328"/>
    <w:rsid w:val="00C92FF9"/>
    <w:rsid w:val="00C93783"/>
    <w:rsid w:val="00C952E4"/>
    <w:rsid w:val="00C97A90"/>
    <w:rsid w:val="00CA4CB7"/>
    <w:rsid w:val="00CA7BC9"/>
    <w:rsid w:val="00CB246D"/>
    <w:rsid w:val="00CB2D26"/>
    <w:rsid w:val="00CB652E"/>
    <w:rsid w:val="00CC4A9D"/>
    <w:rsid w:val="00CC6B6D"/>
    <w:rsid w:val="00CC7136"/>
    <w:rsid w:val="00CC7A52"/>
    <w:rsid w:val="00CC7F8C"/>
    <w:rsid w:val="00CD0215"/>
    <w:rsid w:val="00CD0A9F"/>
    <w:rsid w:val="00CD3375"/>
    <w:rsid w:val="00CD5810"/>
    <w:rsid w:val="00CD5CC8"/>
    <w:rsid w:val="00CD6BA0"/>
    <w:rsid w:val="00CD6C78"/>
    <w:rsid w:val="00CD7D59"/>
    <w:rsid w:val="00CD7D88"/>
    <w:rsid w:val="00CE0C30"/>
    <w:rsid w:val="00CE1759"/>
    <w:rsid w:val="00CE2D73"/>
    <w:rsid w:val="00CE2E81"/>
    <w:rsid w:val="00CE2F6F"/>
    <w:rsid w:val="00CE6952"/>
    <w:rsid w:val="00CE78A3"/>
    <w:rsid w:val="00CF2B0F"/>
    <w:rsid w:val="00CF54E1"/>
    <w:rsid w:val="00D00BD0"/>
    <w:rsid w:val="00D00E9D"/>
    <w:rsid w:val="00D016F2"/>
    <w:rsid w:val="00D02415"/>
    <w:rsid w:val="00D02BC8"/>
    <w:rsid w:val="00D036D4"/>
    <w:rsid w:val="00D03FBD"/>
    <w:rsid w:val="00D04E92"/>
    <w:rsid w:val="00D0729F"/>
    <w:rsid w:val="00D10A80"/>
    <w:rsid w:val="00D12CA8"/>
    <w:rsid w:val="00D12DA4"/>
    <w:rsid w:val="00D131D6"/>
    <w:rsid w:val="00D14345"/>
    <w:rsid w:val="00D1435E"/>
    <w:rsid w:val="00D163A7"/>
    <w:rsid w:val="00D16EDA"/>
    <w:rsid w:val="00D230AC"/>
    <w:rsid w:val="00D23517"/>
    <w:rsid w:val="00D25052"/>
    <w:rsid w:val="00D250F2"/>
    <w:rsid w:val="00D25E50"/>
    <w:rsid w:val="00D2762C"/>
    <w:rsid w:val="00D303E4"/>
    <w:rsid w:val="00D30B7E"/>
    <w:rsid w:val="00D32F32"/>
    <w:rsid w:val="00D34606"/>
    <w:rsid w:val="00D348AE"/>
    <w:rsid w:val="00D35544"/>
    <w:rsid w:val="00D35D46"/>
    <w:rsid w:val="00D403A0"/>
    <w:rsid w:val="00D43FA6"/>
    <w:rsid w:val="00D440F1"/>
    <w:rsid w:val="00D444FC"/>
    <w:rsid w:val="00D45DB5"/>
    <w:rsid w:val="00D46049"/>
    <w:rsid w:val="00D46D48"/>
    <w:rsid w:val="00D47BAF"/>
    <w:rsid w:val="00D5176F"/>
    <w:rsid w:val="00D51E2B"/>
    <w:rsid w:val="00D53E20"/>
    <w:rsid w:val="00D54677"/>
    <w:rsid w:val="00D55DC1"/>
    <w:rsid w:val="00D573FF"/>
    <w:rsid w:val="00D615B5"/>
    <w:rsid w:val="00D63A55"/>
    <w:rsid w:val="00D6420A"/>
    <w:rsid w:val="00D646E6"/>
    <w:rsid w:val="00D66CAD"/>
    <w:rsid w:val="00D671CF"/>
    <w:rsid w:val="00D67881"/>
    <w:rsid w:val="00D67E34"/>
    <w:rsid w:val="00D7137C"/>
    <w:rsid w:val="00D718C9"/>
    <w:rsid w:val="00D7194B"/>
    <w:rsid w:val="00D727EE"/>
    <w:rsid w:val="00D72BC5"/>
    <w:rsid w:val="00D75518"/>
    <w:rsid w:val="00D763D3"/>
    <w:rsid w:val="00D8049B"/>
    <w:rsid w:val="00D80B01"/>
    <w:rsid w:val="00D94665"/>
    <w:rsid w:val="00D94716"/>
    <w:rsid w:val="00D96378"/>
    <w:rsid w:val="00D96B46"/>
    <w:rsid w:val="00DA0088"/>
    <w:rsid w:val="00DA06F1"/>
    <w:rsid w:val="00DA37B4"/>
    <w:rsid w:val="00DA40B9"/>
    <w:rsid w:val="00DA5FDF"/>
    <w:rsid w:val="00DA63B1"/>
    <w:rsid w:val="00DB1846"/>
    <w:rsid w:val="00DB2F1A"/>
    <w:rsid w:val="00DB5895"/>
    <w:rsid w:val="00DB770F"/>
    <w:rsid w:val="00DC2EFD"/>
    <w:rsid w:val="00DC4CA9"/>
    <w:rsid w:val="00DC5249"/>
    <w:rsid w:val="00DC6676"/>
    <w:rsid w:val="00DC6D58"/>
    <w:rsid w:val="00DD11C4"/>
    <w:rsid w:val="00DD4B23"/>
    <w:rsid w:val="00DD5734"/>
    <w:rsid w:val="00DD5978"/>
    <w:rsid w:val="00DD6B97"/>
    <w:rsid w:val="00DE0FB3"/>
    <w:rsid w:val="00DE39A1"/>
    <w:rsid w:val="00DE3E06"/>
    <w:rsid w:val="00DF1154"/>
    <w:rsid w:val="00DF453F"/>
    <w:rsid w:val="00DF4ED1"/>
    <w:rsid w:val="00DF68ED"/>
    <w:rsid w:val="00DF7F09"/>
    <w:rsid w:val="00E024C2"/>
    <w:rsid w:val="00E06135"/>
    <w:rsid w:val="00E0673D"/>
    <w:rsid w:val="00E077D6"/>
    <w:rsid w:val="00E110EE"/>
    <w:rsid w:val="00E13A22"/>
    <w:rsid w:val="00E14D75"/>
    <w:rsid w:val="00E23DD3"/>
    <w:rsid w:val="00E24865"/>
    <w:rsid w:val="00E24A02"/>
    <w:rsid w:val="00E25863"/>
    <w:rsid w:val="00E268B8"/>
    <w:rsid w:val="00E27132"/>
    <w:rsid w:val="00E31213"/>
    <w:rsid w:val="00E31461"/>
    <w:rsid w:val="00E37582"/>
    <w:rsid w:val="00E430F7"/>
    <w:rsid w:val="00E45690"/>
    <w:rsid w:val="00E45E2D"/>
    <w:rsid w:val="00E50BFB"/>
    <w:rsid w:val="00E54151"/>
    <w:rsid w:val="00E56E38"/>
    <w:rsid w:val="00E61E71"/>
    <w:rsid w:val="00E6335D"/>
    <w:rsid w:val="00E63EE3"/>
    <w:rsid w:val="00E656EE"/>
    <w:rsid w:val="00E670F2"/>
    <w:rsid w:val="00E705A3"/>
    <w:rsid w:val="00E72BF1"/>
    <w:rsid w:val="00E72CC8"/>
    <w:rsid w:val="00E74873"/>
    <w:rsid w:val="00E761D1"/>
    <w:rsid w:val="00E80AF2"/>
    <w:rsid w:val="00E810AD"/>
    <w:rsid w:val="00E81A39"/>
    <w:rsid w:val="00E828AC"/>
    <w:rsid w:val="00E84F74"/>
    <w:rsid w:val="00E851BE"/>
    <w:rsid w:val="00E87427"/>
    <w:rsid w:val="00E8785C"/>
    <w:rsid w:val="00E920A6"/>
    <w:rsid w:val="00E925E7"/>
    <w:rsid w:val="00E92A0A"/>
    <w:rsid w:val="00E94824"/>
    <w:rsid w:val="00E966CE"/>
    <w:rsid w:val="00E97CFC"/>
    <w:rsid w:val="00EA129E"/>
    <w:rsid w:val="00EA2710"/>
    <w:rsid w:val="00EA2C22"/>
    <w:rsid w:val="00EA3E59"/>
    <w:rsid w:val="00EA3F0D"/>
    <w:rsid w:val="00EA4DA1"/>
    <w:rsid w:val="00EA6643"/>
    <w:rsid w:val="00EB2AB8"/>
    <w:rsid w:val="00EB3A82"/>
    <w:rsid w:val="00EB3E22"/>
    <w:rsid w:val="00EB4302"/>
    <w:rsid w:val="00EB5B09"/>
    <w:rsid w:val="00EB6185"/>
    <w:rsid w:val="00EB6615"/>
    <w:rsid w:val="00EB7DC9"/>
    <w:rsid w:val="00EC0C6D"/>
    <w:rsid w:val="00EC593A"/>
    <w:rsid w:val="00EC6C83"/>
    <w:rsid w:val="00ED2396"/>
    <w:rsid w:val="00ED33A3"/>
    <w:rsid w:val="00EE027B"/>
    <w:rsid w:val="00EE23B1"/>
    <w:rsid w:val="00EF2CEF"/>
    <w:rsid w:val="00EF5BF1"/>
    <w:rsid w:val="00EF685D"/>
    <w:rsid w:val="00EF76F6"/>
    <w:rsid w:val="00F00690"/>
    <w:rsid w:val="00F0180D"/>
    <w:rsid w:val="00F024E4"/>
    <w:rsid w:val="00F02AC8"/>
    <w:rsid w:val="00F04E7A"/>
    <w:rsid w:val="00F116E6"/>
    <w:rsid w:val="00F11D31"/>
    <w:rsid w:val="00F1247E"/>
    <w:rsid w:val="00F126B0"/>
    <w:rsid w:val="00F1288A"/>
    <w:rsid w:val="00F13A1D"/>
    <w:rsid w:val="00F13F70"/>
    <w:rsid w:val="00F154A8"/>
    <w:rsid w:val="00F15861"/>
    <w:rsid w:val="00F16375"/>
    <w:rsid w:val="00F163BD"/>
    <w:rsid w:val="00F170FE"/>
    <w:rsid w:val="00F25A07"/>
    <w:rsid w:val="00F30D99"/>
    <w:rsid w:val="00F31007"/>
    <w:rsid w:val="00F31CB2"/>
    <w:rsid w:val="00F32BE6"/>
    <w:rsid w:val="00F33205"/>
    <w:rsid w:val="00F37A1D"/>
    <w:rsid w:val="00F4069D"/>
    <w:rsid w:val="00F41457"/>
    <w:rsid w:val="00F41D89"/>
    <w:rsid w:val="00F42509"/>
    <w:rsid w:val="00F42616"/>
    <w:rsid w:val="00F443D2"/>
    <w:rsid w:val="00F45956"/>
    <w:rsid w:val="00F5006F"/>
    <w:rsid w:val="00F511AD"/>
    <w:rsid w:val="00F539C4"/>
    <w:rsid w:val="00F53B15"/>
    <w:rsid w:val="00F53F48"/>
    <w:rsid w:val="00F55BE1"/>
    <w:rsid w:val="00F60E9B"/>
    <w:rsid w:val="00F610C6"/>
    <w:rsid w:val="00F6674C"/>
    <w:rsid w:val="00F66874"/>
    <w:rsid w:val="00F67052"/>
    <w:rsid w:val="00F67D7D"/>
    <w:rsid w:val="00F71D86"/>
    <w:rsid w:val="00F71E51"/>
    <w:rsid w:val="00F74182"/>
    <w:rsid w:val="00F77FE5"/>
    <w:rsid w:val="00F805CE"/>
    <w:rsid w:val="00F825B7"/>
    <w:rsid w:val="00F82CD1"/>
    <w:rsid w:val="00F831A3"/>
    <w:rsid w:val="00F84C45"/>
    <w:rsid w:val="00F85342"/>
    <w:rsid w:val="00F901F7"/>
    <w:rsid w:val="00F903C2"/>
    <w:rsid w:val="00F957B4"/>
    <w:rsid w:val="00F96FB6"/>
    <w:rsid w:val="00F978DD"/>
    <w:rsid w:val="00FA0AE4"/>
    <w:rsid w:val="00FA10EC"/>
    <w:rsid w:val="00FA34C7"/>
    <w:rsid w:val="00FA5040"/>
    <w:rsid w:val="00FA795F"/>
    <w:rsid w:val="00FB15EB"/>
    <w:rsid w:val="00FB1C81"/>
    <w:rsid w:val="00FB6042"/>
    <w:rsid w:val="00FC07B6"/>
    <w:rsid w:val="00FC1FA3"/>
    <w:rsid w:val="00FC2759"/>
    <w:rsid w:val="00FC49F4"/>
    <w:rsid w:val="00FC6799"/>
    <w:rsid w:val="00FC7436"/>
    <w:rsid w:val="00FC7587"/>
    <w:rsid w:val="00FD138A"/>
    <w:rsid w:val="00FD1A09"/>
    <w:rsid w:val="00FD2B2D"/>
    <w:rsid w:val="00FD5224"/>
    <w:rsid w:val="00FD6CB2"/>
    <w:rsid w:val="00FE1C16"/>
    <w:rsid w:val="00FE1DCA"/>
    <w:rsid w:val="00FE242C"/>
    <w:rsid w:val="00FE3629"/>
    <w:rsid w:val="00FE4E85"/>
    <w:rsid w:val="00FE5F10"/>
    <w:rsid w:val="00FE6FE8"/>
    <w:rsid w:val="00FE70B3"/>
    <w:rsid w:val="00FF2573"/>
    <w:rsid w:val="00FF6080"/>
    <w:rsid w:val="0263225C"/>
    <w:rsid w:val="06E01274"/>
    <w:rsid w:val="07C52C12"/>
    <w:rsid w:val="0934554C"/>
    <w:rsid w:val="0A96786E"/>
    <w:rsid w:val="0B387AD1"/>
    <w:rsid w:val="0CD45A64"/>
    <w:rsid w:val="0D423ACF"/>
    <w:rsid w:val="0E334718"/>
    <w:rsid w:val="0EC43946"/>
    <w:rsid w:val="0F087FB5"/>
    <w:rsid w:val="0F9A13CF"/>
    <w:rsid w:val="10414AFC"/>
    <w:rsid w:val="10867C4B"/>
    <w:rsid w:val="13DB5B12"/>
    <w:rsid w:val="170A25C5"/>
    <w:rsid w:val="18C26C55"/>
    <w:rsid w:val="19037E97"/>
    <w:rsid w:val="191C38EA"/>
    <w:rsid w:val="197E7031"/>
    <w:rsid w:val="19C257AA"/>
    <w:rsid w:val="1A163D48"/>
    <w:rsid w:val="1AAD78D2"/>
    <w:rsid w:val="1BEE6DFD"/>
    <w:rsid w:val="1EE37BA0"/>
    <w:rsid w:val="23573D8B"/>
    <w:rsid w:val="24AA14B9"/>
    <w:rsid w:val="2536453A"/>
    <w:rsid w:val="25CC175F"/>
    <w:rsid w:val="276E05A8"/>
    <w:rsid w:val="2A381D99"/>
    <w:rsid w:val="2A3E7874"/>
    <w:rsid w:val="2D6F34B0"/>
    <w:rsid w:val="2DAA679D"/>
    <w:rsid w:val="2E196018"/>
    <w:rsid w:val="333C7306"/>
    <w:rsid w:val="34721985"/>
    <w:rsid w:val="34F65F52"/>
    <w:rsid w:val="365D6B2F"/>
    <w:rsid w:val="37E343EC"/>
    <w:rsid w:val="38A54F37"/>
    <w:rsid w:val="38CA44C6"/>
    <w:rsid w:val="39507FF1"/>
    <w:rsid w:val="3D1A039B"/>
    <w:rsid w:val="3E182092"/>
    <w:rsid w:val="3EC87502"/>
    <w:rsid w:val="40CF5E4C"/>
    <w:rsid w:val="412339EB"/>
    <w:rsid w:val="43640F01"/>
    <w:rsid w:val="45EC5BCF"/>
    <w:rsid w:val="48540D01"/>
    <w:rsid w:val="48710218"/>
    <w:rsid w:val="48942AAB"/>
    <w:rsid w:val="4A557A5C"/>
    <w:rsid w:val="4A7E7FA7"/>
    <w:rsid w:val="4B7924ED"/>
    <w:rsid w:val="4D0E1BE8"/>
    <w:rsid w:val="4F1D0B2A"/>
    <w:rsid w:val="4F1F277C"/>
    <w:rsid w:val="500D660A"/>
    <w:rsid w:val="53C76FD4"/>
    <w:rsid w:val="549D2D58"/>
    <w:rsid w:val="549F16B7"/>
    <w:rsid w:val="563A203F"/>
    <w:rsid w:val="5A274903"/>
    <w:rsid w:val="5A4852D8"/>
    <w:rsid w:val="5B2533D4"/>
    <w:rsid w:val="5BEC7E8A"/>
    <w:rsid w:val="5D99750E"/>
    <w:rsid w:val="5DAD189A"/>
    <w:rsid w:val="5DD92006"/>
    <w:rsid w:val="5E3A5066"/>
    <w:rsid w:val="5FDD7250"/>
    <w:rsid w:val="5FF63EF6"/>
    <w:rsid w:val="6108617D"/>
    <w:rsid w:val="63875C13"/>
    <w:rsid w:val="677D9B2C"/>
    <w:rsid w:val="6A4133F5"/>
    <w:rsid w:val="6ACF0C26"/>
    <w:rsid w:val="6CCC3D21"/>
    <w:rsid w:val="7043003D"/>
    <w:rsid w:val="71717663"/>
    <w:rsid w:val="72101646"/>
    <w:rsid w:val="739225BC"/>
    <w:rsid w:val="78192CCB"/>
    <w:rsid w:val="78904413"/>
    <w:rsid w:val="78AE30ED"/>
    <w:rsid w:val="79314D2C"/>
    <w:rsid w:val="7A8C771D"/>
    <w:rsid w:val="7AAF156F"/>
    <w:rsid w:val="7B5B0730"/>
    <w:rsid w:val="7D3B715F"/>
    <w:rsid w:val="7E994343"/>
    <w:rsid w:val="7FD25A25"/>
    <w:rsid w:val="7FFF97D2"/>
    <w:rsid w:val="DF63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before="240" w:after="240"/>
      <w:outlineLvl w:val="1"/>
    </w:pPr>
    <w:rPr>
      <w:rFonts w:ascii="Cambria" w:hAnsi="Cambria" w:eastAsia="黑体"/>
      <w:b/>
      <w:bCs/>
      <w:szCs w:val="32"/>
    </w:rPr>
  </w:style>
  <w:style w:type="paragraph" w:styleId="4">
    <w:name w:val="heading 3"/>
    <w:basedOn w:val="1"/>
    <w:next w:val="1"/>
    <w:link w:val="44"/>
    <w:qFormat/>
    <w:uiPriority w:val="0"/>
    <w:pPr>
      <w:spacing w:beforeAutospacing="1" w:afterAutospacing="1"/>
      <w:jc w:val="left"/>
      <w:outlineLvl w:val="2"/>
    </w:pPr>
    <w:rPr>
      <w:rFonts w:ascii="宋体" w:hAnsi="宋体"/>
      <w:b/>
      <w:kern w:val="0"/>
      <w:sz w:val="27"/>
      <w:szCs w:val="27"/>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numPr>
        <w:ilvl w:val="4"/>
        <w:numId w:val="1"/>
      </w:numPr>
      <w:spacing w:line="376" w:lineRule="auto"/>
      <w:outlineLvl w:val="4"/>
    </w:pPr>
    <w:rPr>
      <w:b/>
      <w:sz w:val="28"/>
    </w:rPr>
  </w:style>
  <w:style w:type="paragraph" w:styleId="8">
    <w:name w:val="heading 6"/>
    <w:basedOn w:val="1"/>
    <w:next w:val="7"/>
    <w:qFormat/>
    <w:uiPriority w:val="0"/>
    <w:pPr>
      <w:keepNext/>
      <w:keepLines/>
      <w:numPr>
        <w:ilvl w:val="5"/>
        <w:numId w:val="1"/>
      </w:numPr>
      <w:spacing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line="320" w:lineRule="auto"/>
      <w:outlineLvl w:val="6"/>
    </w:pPr>
    <w:rPr>
      <w:b/>
      <w:sz w:val="24"/>
    </w:rPr>
  </w:style>
  <w:style w:type="paragraph" w:styleId="10">
    <w:name w:val="heading 8"/>
    <w:basedOn w:val="1"/>
    <w:next w:val="7"/>
    <w:qFormat/>
    <w:uiPriority w:val="0"/>
    <w:pPr>
      <w:keepNext/>
      <w:keepLines/>
      <w:numPr>
        <w:ilvl w:val="7"/>
        <w:numId w:val="1"/>
      </w:numPr>
      <w:spacing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line="320" w:lineRule="auto"/>
      <w:outlineLvl w:val="8"/>
    </w:pPr>
    <w:rPr>
      <w:rFonts w:ascii="Arial" w:hAnsi="Arial" w:eastAsia="黑体"/>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link w:val="46"/>
    <w:qFormat/>
    <w:uiPriority w:val="0"/>
    <w:pPr>
      <w:spacing w:line="380" w:lineRule="exact"/>
    </w:pPr>
    <w:rPr>
      <w:kern w:val="0"/>
      <w:sz w:val="24"/>
    </w:rPr>
  </w:style>
  <w:style w:type="paragraph" w:styleId="18">
    <w:name w:val="Body Text Indent"/>
    <w:basedOn w:val="1"/>
    <w:link w:val="47"/>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Plain Text"/>
    <w:basedOn w:val="1"/>
    <w:link w:val="48"/>
    <w:qFormat/>
    <w:uiPriority w:val="99"/>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w:basedOn w:val="1"/>
    <w:qFormat/>
    <w:uiPriority w:val="0"/>
    <w:pPr>
      <w:ind w:left="200" w:hanging="200" w:hangingChars="200"/>
    </w:pPr>
    <w:rPr>
      <w:sz w:val="28"/>
    </w:rPr>
  </w:style>
  <w:style w:type="paragraph" w:styleId="29">
    <w:name w:val="Body Text Indent 3"/>
    <w:basedOn w:val="1"/>
    <w:qFormat/>
    <w:uiPriority w:val="0"/>
    <w:pPr>
      <w:ind w:left="420" w:leftChars="200"/>
    </w:pPr>
    <w:rPr>
      <w:sz w:val="16"/>
      <w:szCs w:val="16"/>
    </w:rPr>
  </w:style>
  <w:style w:type="paragraph" w:styleId="3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1">
    <w:name w:val="Body Text 2"/>
    <w:basedOn w:val="1"/>
    <w:qFormat/>
    <w:uiPriority w:val="0"/>
    <w:pPr>
      <w:spacing w:line="480" w:lineRule="auto"/>
    </w:pPr>
  </w:style>
  <w:style w:type="paragraph" w:styleId="32">
    <w:name w:val="Normal (Web)"/>
    <w:basedOn w:val="1"/>
    <w:qFormat/>
    <w:uiPriority w:val="0"/>
    <w:pPr>
      <w:widowControl/>
      <w:spacing w:beforeAutospacing="1" w:afterAutospacing="1"/>
      <w:jc w:val="left"/>
    </w:pPr>
    <w:rPr>
      <w:rFonts w:ascii="宋体" w:hAnsi="宋体"/>
      <w:kern w:val="0"/>
      <w:sz w:val="24"/>
    </w:rPr>
  </w:style>
  <w:style w:type="paragraph" w:styleId="33">
    <w:name w:val="index 1"/>
    <w:basedOn w:val="1"/>
    <w:next w:val="1"/>
    <w:semiHidden/>
    <w:qFormat/>
    <w:uiPriority w:val="0"/>
    <w:pPr>
      <w:spacing w:line="400" w:lineRule="exact"/>
      <w:ind w:firstLine="420" w:firstLineChars="200"/>
    </w:pPr>
    <w:rPr>
      <w:rFonts w:ascii="宋体" w:hAnsi="Courier New"/>
      <w:b/>
      <w:szCs w:val="20"/>
    </w:rPr>
  </w:style>
  <w:style w:type="paragraph" w:styleId="34">
    <w:name w:val="Title"/>
    <w:basedOn w:val="1"/>
    <w:next w:val="1"/>
    <w:link w:val="50"/>
    <w:qFormat/>
    <w:uiPriority w:val="0"/>
    <w:pPr>
      <w:jc w:val="center"/>
      <w:outlineLvl w:val="0"/>
    </w:pPr>
    <w:rPr>
      <w:rFonts w:ascii="Cambria" w:hAnsi="Cambria"/>
      <w:b/>
      <w:bCs/>
      <w:sz w:val="32"/>
      <w:szCs w:val="32"/>
    </w:rPr>
  </w:style>
  <w:style w:type="paragraph" w:styleId="35">
    <w:name w:val="annotation subject"/>
    <w:basedOn w:val="15"/>
    <w:next w:val="15"/>
    <w:link w:val="51"/>
    <w:qFormat/>
    <w:uiPriority w:val="0"/>
    <w:rPr>
      <w:b/>
      <w:bCs/>
    </w:rPr>
  </w:style>
  <w:style w:type="character" w:styleId="38">
    <w:name w:val="page number"/>
    <w:qFormat/>
    <w:uiPriority w:val="0"/>
    <w:rPr>
      <w:rFonts w:ascii="Times New Roman" w:hAnsi="Times New Roman" w:eastAsia="宋体" w:cs="Times New Roman"/>
    </w:rPr>
  </w:style>
  <w:style w:type="character" w:styleId="39">
    <w:name w:val="FollowedHyperlink"/>
    <w:qFormat/>
    <w:uiPriority w:val="0"/>
    <w:rPr>
      <w:color w:val="0000CC"/>
      <w:sz w:val="18"/>
      <w:szCs w:val="18"/>
      <w:u w:val="single"/>
    </w:rPr>
  </w:style>
  <w:style w:type="character" w:styleId="40">
    <w:name w:val="Emphasis"/>
    <w:qFormat/>
    <w:uiPriority w:val="0"/>
    <w:rPr>
      <w:i/>
    </w:rPr>
  </w:style>
  <w:style w:type="character" w:styleId="41">
    <w:name w:val="Hyperlink"/>
    <w:qFormat/>
    <w:uiPriority w:val="99"/>
    <w:rPr>
      <w:color w:val="0000CC"/>
      <w:sz w:val="18"/>
      <w:szCs w:val="18"/>
      <w:u w:val="single"/>
    </w:rPr>
  </w:style>
  <w:style w:type="character" w:styleId="42">
    <w:name w:val="annotation reference"/>
    <w:qFormat/>
    <w:uiPriority w:val="0"/>
    <w:rPr>
      <w:sz w:val="21"/>
      <w:szCs w:val="21"/>
    </w:rPr>
  </w:style>
  <w:style w:type="character" w:customStyle="1" w:styleId="43">
    <w:name w:val="标题 1 Char"/>
    <w:link w:val="2"/>
    <w:qFormat/>
    <w:uiPriority w:val="0"/>
    <w:rPr>
      <w:rFonts w:eastAsia="宋体"/>
      <w:b/>
      <w:bCs/>
      <w:kern w:val="44"/>
      <w:sz w:val="44"/>
      <w:szCs w:val="44"/>
      <w:lang w:val="en-US" w:eastAsia="zh-CN" w:bidi="ar-SA"/>
    </w:rPr>
  </w:style>
  <w:style w:type="character" w:customStyle="1" w:styleId="44">
    <w:name w:val="标题 3 Char"/>
    <w:link w:val="4"/>
    <w:qFormat/>
    <w:uiPriority w:val="0"/>
    <w:rPr>
      <w:rFonts w:ascii="宋体" w:hAnsi="宋体"/>
      <w:b/>
      <w:sz w:val="27"/>
      <w:szCs w:val="27"/>
    </w:rPr>
  </w:style>
  <w:style w:type="character" w:customStyle="1" w:styleId="45">
    <w:name w:val="批注文字 Char"/>
    <w:link w:val="15"/>
    <w:qFormat/>
    <w:uiPriority w:val="0"/>
    <w:rPr>
      <w:kern w:val="2"/>
      <w:sz w:val="21"/>
      <w:szCs w:val="24"/>
    </w:rPr>
  </w:style>
  <w:style w:type="character" w:customStyle="1" w:styleId="46">
    <w:name w:val="正文文本 Char"/>
    <w:link w:val="17"/>
    <w:qFormat/>
    <w:uiPriority w:val="0"/>
    <w:rPr>
      <w:sz w:val="24"/>
      <w:szCs w:val="24"/>
    </w:rPr>
  </w:style>
  <w:style w:type="character" w:customStyle="1" w:styleId="47">
    <w:name w:val="正文文本缩进 Char"/>
    <w:link w:val="18"/>
    <w:qFormat/>
    <w:uiPriority w:val="0"/>
    <w:rPr>
      <w:rFonts w:ascii="仿宋_GB2312" w:eastAsia="仿宋_GB2312"/>
      <w:kern w:val="2"/>
      <w:sz w:val="32"/>
    </w:rPr>
  </w:style>
  <w:style w:type="character" w:customStyle="1" w:styleId="48">
    <w:name w:val="纯文本 Char"/>
    <w:link w:val="21"/>
    <w:qFormat/>
    <w:uiPriority w:val="99"/>
    <w:rPr>
      <w:rFonts w:ascii="宋体" w:hAnsi="Courier New" w:eastAsia="宋体" w:cs="Courier New"/>
      <w:kern w:val="2"/>
      <w:sz w:val="21"/>
      <w:szCs w:val="21"/>
      <w:lang w:val="en-US" w:eastAsia="zh-CN" w:bidi="ar-SA"/>
    </w:rPr>
  </w:style>
  <w:style w:type="character" w:customStyle="1" w:styleId="49">
    <w:name w:val="页眉 Char"/>
    <w:link w:val="26"/>
    <w:qFormat/>
    <w:uiPriority w:val="0"/>
    <w:rPr>
      <w:kern w:val="2"/>
      <w:sz w:val="18"/>
      <w:szCs w:val="18"/>
    </w:rPr>
  </w:style>
  <w:style w:type="character" w:customStyle="1" w:styleId="50">
    <w:name w:val="标题 Char"/>
    <w:link w:val="34"/>
    <w:qFormat/>
    <w:uiPriority w:val="0"/>
    <w:rPr>
      <w:rFonts w:ascii="Cambria" w:hAnsi="Cambria" w:cs="Times New Roman"/>
      <w:b/>
      <w:bCs/>
      <w:kern w:val="2"/>
      <w:sz w:val="32"/>
      <w:szCs w:val="32"/>
    </w:rPr>
  </w:style>
  <w:style w:type="character" w:customStyle="1" w:styleId="51">
    <w:name w:val="批注主题 Char"/>
    <w:link w:val="35"/>
    <w:qFormat/>
    <w:uiPriority w:val="0"/>
    <w:rPr>
      <w:b/>
      <w:bCs/>
      <w:kern w:val="2"/>
      <w:sz w:val="21"/>
      <w:szCs w:val="24"/>
    </w:rPr>
  </w:style>
  <w:style w:type="character" w:customStyle="1" w:styleId="52">
    <w:name w:val="ts_tip_2"/>
    <w:qFormat/>
    <w:uiPriority w:val="0"/>
    <w:rPr>
      <w:color w:val="E43023"/>
    </w:rPr>
  </w:style>
  <w:style w:type="character" w:customStyle="1" w:styleId="53">
    <w:name w:val="linebg"/>
    <w:qFormat/>
    <w:uiPriority w:val="0"/>
  </w:style>
  <w:style w:type="character" w:customStyle="1" w:styleId="54">
    <w:name w:val="普通文字 Char Char2"/>
    <w:qFormat/>
    <w:uiPriority w:val="0"/>
    <w:rPr>
      <w:rFonts w:ascii="宋体" w:hAnsi="Courier New" w:eastAsia="宋体"/>
      <w:kern w:val="2"/>
      <w:sz w:val="21"/>
      <w:lang w:val="en-US" w:eastAsia="zh-CN" w:bidi="ar-SA"/>
    </w:rPr>
  </w:style>
  <w:style w:type="character" w:customStyle="1" w:styleId="55">
    <w:name w:val="bus_type_tip"/>
    <w:qFormat/>
    <w:uiPriority w:val="0"/>
    <w:rPr>
      <w:color w:val="FFFFFF"/>
      <w:sz w:val="18"/>
      <w:szCs w:val="18"/>
    </w:rPr>
  </w:style>
  <w:style w:type="character" w:customStyle="1" w:styleId="56">
    <w:name w:val="linebg_on1"/>
    <w:qFormat/>
    <w:uiPriority w:val="0"/>
  </w:style>
  <w:style w:type="character" w:customStyle="1" w:styleId="57">
    <w:name w:val="ts_tip_1"/>
    <w:qFormat/>
    <w:uiPriority w:val="0"/>
    <w:rPr>
      <w:color w:val="468B02"/>
    </w:rPr>
  </w:style>
  <w:style w:type="character" w:customStyle="1" w:styleId="58">
    <w:name w:val="linebg1"/>
    <w:qFormat/>
    <w:uiPriority w:val="0"/>
  </w:style>
  <w:style w:type="character" w:customStyle="1" w:styleId="59">
    <w:name w:val="redfilefwwh"/>
    <w:qFormat/>
    <w:uiPriority w:val="0"/>
    <w:rPr>
      <w:color w:val="BA2636"/>
      <w:sz w:val="18"/>
      <w:szCs w:val="18"/>
    </w:rPr>
  </w:style>
  <w:style w:type="character" w:customStyle="1" w:styleId="60">
    <w:name w:val="map_taglist"/>
    <w:qFormat/>
    <w:uiPriority w:val="0"/>
    <w:rPr>
      <w:color w:val="666666"/>
    </w:rPr>
  </w:style>
  <w:style w:type="character" w:customStyle="1" w:styleId="61">
    <w:name w:val="bus_type_3"/>
    <w:qFormat/>
    <w:uiPriority w:val="0"/>
    <w:rPr>
      <w:shd w:val="clear" w:color="auto" w:fill="43CC8D"/>
    </w:rPr>
  </w:style>
  <w:style w:type="character" w:customStyle="1" w:styleId="62">
    <w:name w:val="active3"/>
    <w:qFormat/>
    <w:uiPriority w:val="0"/>
    <w:rPr>
      <w:shd w:val="clear" w:color="auto" w:fill="FFFFFF"/>
    </w:rPr>
  </w:style>
  <w:style w:type="character" w:customStyle="1" w:styleId="63">
    <w:name w:val="gjfg"/>
    <w:qFormat/>
    <w:uiPriority w:val="0"/>
  </w:style>
  <w:style w:type="character" w:customStyle="1" w:styleId="64">
    <w:name w:val="displayarti"/>
    <w:qFormat/>
    <w:uiPriority w:val="0"/>
    <w:rPr>
      <w:color w:val="FFFFFF"/>
      <w:shd w:val="clear" w:color="auto" w:fill="A00000"/>
    </w:rPr>
  </w:style>
  <w:style w:type="character" w:customStyle="1" w:styleId="65">
    <w:name w:val="linebg_on"/>
    <w:qFormat/>
    <w:uiPriority w:val="0"/>
  </w:style>
  <w:style w:type="character" w:customStyle="1" w:styleId="66">
    <w:name w:val="redfilenumber"/>
    <w:qFormat/>
    <w:uiPriority w:val="0"/>
    <w:rPr>
      <w:color w:val="BA2636"/>
      <w:sz w:val="18"/>
      <w:szCs w:val="18"/>
    </w:rPr>
  </w:style>
  <w:style w:type="character" w:customStyle="1" w:styleId="67">
    <w:name w:val="cfdate"/>
    <w:qFormat/>
    <w:uiPriority w:val="0"/>
    <w:rPr>
      <w:color w:val="333333"/>
      <w:sz w:val="18"/>
      <w:szCs w:val="18"/>
    </w:rPr>
  </w:style>
  <w:style w:type="character" w:customStyle="1" w:styleId="68">
    <w:name w:val="bus_type_2"/>
    <w:qFormat/>
    <w:uiPriority w:val="0"/>
    <w:rPr>
      <w:shd w:val="clear" w:color="auto" w:fill="FF4141"/>
    </w:rPr>
  </w:style>
  <w:style w:type="character" w:customStyle="1" w:styleId="69">
    <w:name w:val="bus_type_0"/>
    <w:qFormat/>
    <w:uiPriority w:val="0"/>
    <w:rPr>
      <w:shd w:val="clear" w:color="auto" w:fill="FF8853"/>
    </w:rPr>
  </w:style>
  <w:style w:type="character" w:customStyle="1" w:styleId="70">
    <w:name w:val="qxdate"/>
    <w:qFormat/>
    <w:uiPriority w:val="0"/>
    <w:rPr>
      <w:color w:val="333333"/>
      <w:sz w:val="18"/>
      <w:szCs w:val="18"/>
    </w:rPr>
  </w:style>
  <w:style w:type="character" w:customStyle="1" w:styleId="71">
    <w:name w:val="time_dis"/>
    <w:qFormat/>
    <w:uiPriority w:val="0"/>
  </w:style>
  <w:style w:type="character" w:customStyle="1" w:styleId="72">
    <w:name w:val="hover42"/>
    <w:qFormat/>
    <w:uiPriority w:val="0"/>
    <w:rPr>
      <w:bdr w:val="single" w:color="999999" w:sz="6" w:space="0"/>
    </w:rPr>
  </w:style>
  <w:style w:type="character" w:customStyle="1" w:styleId="73">
    <w:name w:val="input_span11"/>
    <w:qFormat/>
    <w:uiPriority w:val="0"/>
  </w:style>
  <w:style w:type="character" w:customStyle="1" w:styleId="74">
    <w:name w:val="bus_type_4"/>
    <w:qFormat/>
    <w:uiPriority w:val="0"/>
    <w:rPr>
      <w:shd w:val="clear" w:color="auto" w:fill="333F89"/>
    </w:rPr>
  </w:style>
  <w:style w:type="character" w:customStyle="1" w:styleId="75">
    <w:name w:val="纯文本 字符"/>
    <w:qFormat/>
    <w:uiPriority w:val="0"/>
    <w:rPr>
      <w:rFonts w:ascii="宋体" w:hAnsi="Courier New" w:eastAsia="宋体" w:cs="Courier New"/>
      <w:kern w:val="2"/>
      <w:sz w:val="21"/>
      <w:szCs w:val="21"/>
      <w:lang w:val="en-US" w:eastAsia="zh-CN" w:bidi="ar-SA"/>
    </w:rPr>
  </w:style>
  <w:style w:type="character" w:customStyle="1" w:styleId="76">
    <w:name w:val="active4"/>
    <w:qFormat/>
    <w:uiPriority w:val="0"/>
    <w:rPr>
      <w:shd w:val="clear" w:color="auto" w:fill="FFFFFF"/>
    </w:rPr>
  </w:style>
  <w:style w:type="character" w:customStyle="1" w:styleId="77">
    <w:name w:val="样式1 Char"/>
    <w:link w:val="78"/>
    <w:qFormat/>
    <w:uiPriority w:val="0"/>
    <w:rPr>
      <w:rFonts w:eastAsia="宋体"/>
      <w:kern w:val="2"/>
      <w:sz w:val="21"/>
      <w:szCs w:val="24"/>
      <w:lang w:val="en-US" w:eastAsia="zh-CN" w:bidi="ar-SA"/>
    </w:rPr>
  </w:style>
  <w:style w:type="paragraph" w:customStyle="1" w:styleId="78">
    <w:name w:val="样式1"/>
    <w:basedOn w:val="1"/>
    <w:link w:val="77"/>
    <w:qFormat/>
    <w:uiPriority w:val="0"/>
  </w:style>
  <w:style w:type="character" w:customStyle="1" w:styleId="79">
    <w:name w:val="generalinfo-address-text1"/>
    <w:qFormat/>
    <w:uiPriority w:val="0"/>
    <w:rPr>
      <w:sz w:val="18"/>
      <w:szCs w:val="18"/>
    </w:rPr>
  </w:style>
  <w:style w:type="character" w:customStyle="1" w:styleId="80">
    <w:name w:val="1ji Char"/>
    <w:link w:val="81"/>
    <w:qFormat/>
    <w:uiPriority w:val="0"/>
    <w:rPr>
      <w:rFonts w:ascii="宋体" w:hAnsi="宋体" w:eastAsia="宋体"/>
      <w:b/>
      <w:bCs/>
      <w:kern w:val="44"/>
      <w:sz w:val="36"/>
      <w:szCs w:val="44"/>
      <w:lang w:val="en-US" w:eastAsia="zh-CN" w:bidi="ar-SA"/>
    </w:rPr>
  </w:style>
  <w:style w:type="paragraph" w:customStyle="1" w:styleId="81">
    <w:name w:val="1ji"/>
    <w:basedOn w:val="2"/>
    <w:link w:val="80"/>
    <w:qFormat/>
    <w:uiPriority w:val="0"/>
    <w:pPr>
      <w:keepLines w:val="0"/>
      <w:widowControl/>
      <w:spacing w:line="240" w:lineRule="auto"/>
      <w:jc w:val="center"/>
    </w:pPr>
    <w:rPr>
      <w:rFonts w:ascii="宋体" w:hAnsi="宋体"/>
      <w:sz w:val="36"/>
    </w:rPr>
  </w:style>
  <w:style w:type="character" w:customStyle="1" w:styleId="82">
    <w:name w:val="自定义标题一 Char"/>
    <w:link w:val="83"/>
    <w:qFormat/>
    <w:uiPriority w:val="0"/>
    <w:rPr>
      <w:rFonts w:ascii="黑体" w:hAnsi="黑体" w:eastAsia="黑体"/>
      <w:b/>
      <w:bCs/>
      <w:kern w:val="44"/>
      <w:sz w:val="44"/>
      <w:szCs w:val="44"/>
    </w:rPr>
  </w:style>
  <w:style w:type="paragraph" w:customStyle="1" w:styleId="83">
    <w:name w:val="自定义标题一"/>
    <w:basedOn w:val="2"/>
    <w:link w:val="82"/>
    <w:qFormat/>
    <w:uiPriority w:val="0"/>
    <w:pPr>
      <w:pageBreakBefore/>
      <w:tabs>
        <w:tab w:val="left" w:pos="144"/>
      </w:tabs>
      <w:spacing w:line="360" w:lineRule="auto"/>
      <w:ind w:left="144" w:hanging="144"/>
      <w:jc w:val="center"/>
    </w:pPr>
    <w:rPr>
      <w:rFonts w:ascii="黑体" w:hAnsi="黑体" w:eastAsia="黑体"/>
    </w:rPr>
  </w:style>
  <w:style w:type="character" w:customStyle="1" w:styleId="84">
    <w:name w:val="font21"/>
    <w:qFormat/>
    <w:uiPriority w:val="0"/>
    <w:rPr>
      <w:rFonts w:hint="default" w:ascii="Times New Roman" w:hAnsi="Times New Roman" w:cs="Times New Roman"/>
      <w:color w:val="000000"/>
      <w:sz w:val="21"/>
      <w:szCs w:val="21"/>
      <w:u w:val="none"/>
    </w:rPr>
  </w:style>
  <w:style w:type="character" w:customStyle="1" w:styleId="85">
    <w:name w:val="普通文字 Char Char3"/>
    <w:qFormat/>
    <w:uiPriority w:val="0"/>
    <w:rPr>
      <w:rFonts w:ascii="宋体" w:hAnsi="Courier New" w:eastAsia="宋体" w:cs="Courier New"/>
      <w:kern w:val="2"/>
      <w:sz w:val="21"/>
      <w:szCs w:val="21"/>
      <w:lang w:val="en-US" w:eastAsia="zh-CN" w:bidi="ar-SA"/>
    </w:rPr>
  </w:style>
  <w:style w:type="character" w:customStyle="1" w:styleId="86">
    <w:name w:val="curpage"/>
    <w:qFormat/>
    <w:uiPriority w:val="0"/>
    <w:rPr>
      <w:b/>
    </w:rPr>
  </w:style>
  <w:style w:type="character" w:customStyle="1" w:styleId="87">
    <w:name w:val="纯文本 Char1"/>
    <w:qFormat/>
    <w:uiPriority w:val="0"/>
    <w:rPr>
      <w:rFonts w:ascii="宋体" w:hAnsi="Courier New" w:eastAsia="宋体" w:cs="Courier New"/>
      <w:kern w:val="2"/>
      <w:sz w:val="21"/>
      <w:szCs w:val="21"/>
      <w:lang w:val="en-US" w:eastAsia="zh-CN" w:bidi="ar-SA"/>
    </w:rPr>
  </w:style>
  <w:style w:type="character" w:customStyle="1" w:styleId="88">
    <w:name w:val="apple-style-span"/>
    <w:qFormat/>
    <w:uiPriority w:val="99"/>
  </w:style>
  <w:style w:type="paragraph" w:customStyle="1" w:styleId="89">
    <w:name w:val="Char"/>
    <w:basedOn w:val="14"/>
    <w:qFormat/>
    <w:uiPriority w:val="0"/>
    <w:pPr>
      <w:widowControl/>
      <w:ind w:firstLine="454"/>
      <w:jc w:val="left"/>
    </w:pPr>
    <w:rPr>
      <w:rFonts w:ascii="Tahoma" w:hAnsi="Tahoma" w:cs="宋体"/>
      <w:kern w:val="0"/>
      <w:sz w:val="24"/>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_Style 90"/>
    <w:basedOn w:val="2"/>
    <w:next w:val="1"/>
    <w:qFormat/>
    <w:uiPriority w:val="39"/>
    <w:pPr>
      <w:widowControl/>
      <w:spacing w:line="276" w:lineRule="auto"/>
      <w:jc w:val="left"/>
      <w:outlineLvl w:val="9"/>
    </w:pPr>
    <w:rPr>
      <w:rFonts w:ascii="Cambria" w:hAnsi="Cambria"/>
      <w:color w:val="365F91"/>
      <w:kern w:val="0"/>
      <w:sz w:val="28"/>
      <w:szCs w:val="28"/>
    </w:rPr>
  </w:style>
  <w:style w:type="paragraph" w:customStyle="1" w:styleId="92">
    <w:name w:val="_Style 35"/>
    <w:basedOn w:val="14"/>
    <w:qFormat/>
    <w:uiPriority w:val="0"/>
    <w:pPr>
      <w:widowControl/>
      <w:ind w:firstLine="454"/>
      <w:jc w:val="left"/>
    </w:pPr>
  </w:style>
  <w:style w:type="paragraph" w:customStyle="1" w:styleId="93">
    <w:name w:val="表内文字"/>
    <w:basedOn w:val="1"/>
    <w:qFormat/>
    <w:uiPriority w:val="0"/>
    <w:pPr>
      <w:snapToGrid w:val="0"/>
      <w:jc w:val="center"/>
    </w:pPr>
    <w:rPr>
      <w:rFonts w:ascii="仿宋_GB2312" w:hAnsi="宋体" w:eastAsia="仿宋_GB2312"/>
      <w:b/>
      <w:color w:val="000000"/>
      <w:sz w:val="32"/>
      <w:szCs w:val="32"/>
    </w:rPr>
  </w:style>
  <w:style w:type="paragraph" w:customStyle="1" w:styleId="94">
    <w:name w:val="列出段落1"/>
    <w:basedOn w:val="1"/>
    <w:qFormat/>
    <w:uiPriority w:val="0"/>
    <w:pPr>
      <w:spacing w:line="312" w:lineRule="auto"/>
      <w:ind w:firstLine="420" w:firstLineChars="200"/>
    </w:pPr>
  </w:style>
  <w:style w:type="paragraph" w:customStyle="1" w:styleId="95">
    <w:name w:val="1"/>
    <w:basedOn w:val="1"/>
    <w:next w:val="21"/>
    <w:qFormat/>
    <w:uiPriority w:val="0"/>
    <w:rPr>
      <w:rFonts w:ascii="宋体" w:hAnsi="Courier New"/>
      <w:szCs w:val="20"/>
    </w:rPr>
  </w:style>
  <w:style w:type="paragraph" w:customStyle="1" w:styleId="96">
    <w:name w:val="Char1"/>
    <w:basedOn w:val="14"/>
    <w:qFormat/>
    <w:uiPriority w:val="0"/>
    <w:pPr>
      <w:widowControl/>
      <w:ind w:firstLine="454"/>
      <w:jc w:val="left"/>
    </w:pPr>
    <w:rPr>
      <w:rFonts w:ascii="Tahoma" w:hAnsi="Tahoma" w:cs="宋体"/>
      <w:kern w:val="0"/>
      <w:sz w:val="24"/>
      <w:szCs w:val="20"/>
    </w:rPr>
  </w:style>
  <w:style w:type="paragraph" w:customStyle="1" w:styleId="97">
    <w:name w:val="xl31"/>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98">
    <w:name w:val="_Style 10"/>
    <w:basedOn w:val="1"/>
    <w:qFormat/>
    <w:uiPriority w:val="0"/>
    <w:pPr>
      <w:ind w:firstLine="420" w:firstLineChars="200"/>
    </w:pPr>
    <w:rPr>
      <w:rFonts w:ascii="Calibri" w:hAnsi="Calibri"/>
      <w:szCs w:val="20"/>
    </w:rPr>
  </w:style>
  <w:style w:type="paragraph" w:customStyle="1" w:styleId="99">
    <w:name w:val="列出段落2"/>
    <w:basedOn w:val="1"/>
    <w:qFormat/>
    <w:uiPriority w:val="34"/>
    <w:pPr>
      <w:widowControl/>
      <w:ind w:firstLine="420" w:firstLineChars="200"/>
      <w:jc w:val="left"/>
    </w:pPr>
    <w:rPr>
      <w:rFonts w:ascii="宋体" w:hAnsi="宋体" w:cs="宋体"/>
      <w:kern w:val="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styleId="101">
    <w:name w:val="List Paragraph"/>
    <w:basedOn w:val="1"/>
    <w:qFormat/>
    <w:uiPriority w:val="34"/>
    <w:pPr>
      <w:ind w:firstLine="420" w:firstLineChars="200"/>
    </w:pPr>
  </w:style>
  <w:style w:type="paragraph" w:customStyle="1" w:styleId="102">
    <w:name w:val="_Style 101"/>
    <w:unhideWhenUsed/>
    <w:qFormat/>
    <w:uiPriority w:val="99"/>
    <w:rPr>
      <w:rFonts w:ascii="Times New Roman" w:hAnsi="Times New Roman" w:eastAsia="宋体" w:cs="Times New Roman"/>
      <w:kern w:val="2"/>
      <w:sz w:val="21"/>
      <w:szCs w:val="24"/>
      <w:lang w:val="en-US" w:eastAsia="zh-CN" w:bidi="ar-SA"/>
    </w:rPr>
  </w:style>
  <w:style w:type="character" w:customStyle="1" w:styleId="103">
    <w:name w:val="批注文字 字符"/>
    <w:qFormat/>
    <w:uiPriority w:val="0"/>
    <w:rPr>
      <w:kern w:val="2"/>
      <w:sz w:val="21"/>
      <w:szCs w:val="24"/>
    </w:rPr>
  </w:style>
  <w:style w:type="paragraph" w:customStyle="1" w:styleId="104">
    <w:name w:val="p15"/>
    <w:basedOn w:val="1"/>
    <w:qFormat/>
    <w:uiPriority w:val="0"/>
    <w:pPr>
      <w:widowControl/>
    </w:pPr>
    <w:rPr>
      <w:rFonts w:ascii="宋体" w:hAnsi="宋体" w:cs="宋体"/>
      <w:kern w:val="0"/>
      <w:szCs w:val="21"/>
    </w:rPr>
  </w:style>
  <w:style w:type="character" w:customStyle="1" w:styleId="105">
    <w:name w:val="纯文本 Char2"/>
    <w:qFormat/>
    <w:uiPriority w:val="0"/>
    <w:rPr>
      <w:rFonts w:ascii="宋体" w:hAnsi="宋体" w:eastAsia="宋体" w:cs="Courier New"/>
      <w:color w:val="000000"/>
      <w:kern w:val="1"/>
      <w:sz w:val="21"/>
      <w:szCs w:val="21"/>
      <w:lang w:val="en-US" w:eastAsia="zh-CN" w:bidi="ar-SA"/>
    </w:rPr>
  </w:style>
  <w:style w:type="paragraph" w:customStyle="1" w:styleId="106">
    <w:name w:val="表格文字"/>
    <w:qFormat/>
    <w:uiPriority w:val="0"/>
    <w:pPr>
      <w:widowControl w:val="0"/>
      <w:spacing w:before="25" w:after="25"/>
      <w:jc w:val="both"/>
    </w:pPr>
    <w:rPr>
      <w:rFonts w:ascii="Times New Roman" w:hAnsi="Times New Roman" w:eastAsia="宋体" w:cs="Times New Roman"/>
      <w:bCs/>
      <w:spacing w:val="10"/>
      <w:sz w:val="21"/>
      <w:szCs w:val="24"/>
      <w:lang w:val="en-US" w:eastAsia="zh-CN" w:bidi="ar-SA"/>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61</Pages>
  <Words>36844</Words>
  <Characters>39975</Characters>
  <Lines>317</Lines>
  <Paragraphs>89</Paragraphs>
  <TotalTime>83</TotalTime>
  <ScaleCrop>false</ScaleCrop>
  <LinksUpToDate>false</LinksUpToDate>
  <CharactersWithSpaces>42160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2024-07-27T08:53:00Z</dcterms:created>
  <dc:creator>聂泉源</dc:creator>
  <cp:lastModifiedBy>Administrator</cp:lastModifiedBy>
  <cp:lastPrinted>2017-08-14T08:48:00Z</cp:lastPrinted>
  <dcterms:modified xsi:type="dcterms:W3CDTF">2024-07-29T03:57:28Z</dcterms:modified>
  <dc:title>3</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7AFCC1D216E341D5823704F30960840F_13</vt:lpwstr>
  </property>
</Properties>
</file>