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17446">
      <w:pPr>
        <w:snapToGrid w:val="0"/>
        <w:spacing w:before="156" w:beforeLines="50" w:line="360" w:lineRule="auto"/>
        <w:jc w:val="center"/>
        <w:rPr>
          <w:rFonts w:hint="eastAsia" w:ascii="仿宋" w:hAnsi="仿宋" w:eastAsia="仿宋" w:cs="仿宋"/>
          <w:b/>
          <w:bCs/>
          <w:color w:val="auto"/>
          <w:sz w:val="72"/>
          <w:szCs w:val="72"/>
          <w:highlight w:val="none"/>
        </w:rPr>
      </w:pPr>
      <w:r>
        <w:rPr>
          <w:rFonts w:ascii="仿宋_GB2312" w:hAnsi="宋体" w:eastAsia="仿宋_GB2312"/>
          <w:sz w:val="32"/>
          <w:szCs w:val="32"/>
          <w:highlight w:val="none"/>
        </w:rPr>
        <w:drawing>
          <wp:inline distT="0" distB="0" distL="114300" distR="114300">
            <wp:extent cx="5238750" cy="2581275"/>
            <wp:effectExtent l="0" t="0" r="3810" b="9525"/>
            <wp:docPr id="1" name="图片 1" descr="9cbcad4d6e02db1f65fa23ea7abf5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cbcad4d6e02db1f65fa23ea7abf56d"/>
                    <pic:cNvPicPr>
                      <a:picLocks noChangeAspect="1"/>
                    </pic:cNvPicPr>
                  </pic:nvPicPr>
                  <pic:blipFill>
                    <a:blip r:embed="rId11"/>
                    <a:stretch>
                      <a:fillRect/>
                    </a:stretch>
                  </pic:blipFill>
                  <pic:spPr>
                    <a:xfrm>
                      <a:off x="0" y="0"/>
                      <a:ext cx="5238750" cy="2581275"/>
                    </a:xfrm>
                    <a:prstGeom prst="rect">
                      <a:avLst/>
                    </a:prstGeom>
                    <a:noFill/>
                    <a:ln>
                      <a:noFill/>
                    </a:ln>
                  </pic:spPr>
                </pic:pic>
              </a:graphicData>
            </a:graphic>
          </wp:inline>
        </w:drawing>
      </w:r>
    </w:p>
    <w:p w14:paraId="25A62382">
      <w:pPr>
        <w:snapToGrid w:val="0"/>
        <w:spacing w:before="156" w:beforeLines="50" w:line="360" w:lineRule="auto"/>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72"/>
          <w:szCs w:val="72"/>
          <w:highlight w:val="none"/>
        </w:rPr>
        <w:t>竞争性谈判文件</w:t>
      </w:r>
    </w:p>
    <w:p w14:paraId="4A39BA8A">
      <w:pPr>
        <w:spacing w:before="312" w:beforeLines="100" w:after="156" w:after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（全流程电子化评标）</w:t>
      </w:r>
    </w:p>
    <w:p w14:paraId="41755829">
      <w:pPr>
        <w:spacing w:line="360" w:lineRule="auto"/>
        <w:rPr>
          <w:rFonts w:hint="eastAsia" w:ascii="仿宋" w:hAnsi="仿宋" w:eastAsia="仿宋" w:cs="仿宋"/>
          <w:b/>
          <w:color w:val="auto"/>
          <w:sz w:val="32"/>
          <w:szCs w:val="32"/>
          <w:highlight w:val="none"/>
        </w:rPr>
      </w:pPr>
    </w:p>
    <w:p w14:paraId="22101F25">
      <w:pPr>
        <w:spacing w:line="360" w:lineRule="auto"/>
        <w:jc w:val="center"/>
        <w:rPr>
          <w:rFonts w:hint="eastAsia" w:ascii="仿宋" w:hAnsi="仿宋" w:eastAsia="仿宋" w:cs="仿宋"/>
          <w:b/>
          <w:color w:val="auto"/>
          <w:sz w:val="32"/>
          <w:szCs w:val="32"/>
          <w:highlight w:val="none"/>
        </w:rPr>
      </w:pPr>
    </w:p>
    <w:p w14:paraId="1136CF29">
      <w:pPr>
        <w:rPr>
          <w:rFonts w:hint="eastAsia" w:ascii="仿宋" w:hAnsi="仿宋" w:eastAsia="仿宋" w:cs="仿宋"/>
          <w:b/>
          <w:color w:val="auto"/>
          <w:sz w:val="32"/>
          <w:szCs w:val="32"/>
          <w:highlight w:val="none"/>
        </w:rPr>
      </w:pPr>
    </w:p>
    <w:p w14:paraId="6956121D">
      <w:pPr>
        <w:pStyle w:val="6"/>
        <w:rPr>
          <w:rFonts w:hint="eastAsia"/>
          <w:highlight w:val="none"/>
        </w:rPr>
      </w:pPr>
    </w:p>
    <w:p w14:paraId="64B64C7B">
      <w:pPr>
        <w:keepNext w:val="0"/>
        <w:keepLines w:val="0"/>
        <w:pageBreakBefore w:val="0"/>
        <w:widowControl w:val="0"/>
        <w:kinsoku/>
        <w:wordWrap/>
        <w:overflowPunct/>
        <w:topLinePunct w:val="0"/>
        <w:autoSpaceDE/>
        <w:autoSpaceDN/>
        <w:bidi w:val="0"/>
        <w:adjustRightInd/>
        <w:snapToGrid w:val="0"/>
        <w:spacing w:line="360" w:lineRule="auto"/>
        <w:ind w:left="1485" w:leftChars="0" w:hanging="1485" w:hangingChars="493"/>
        <w:jc w:val="center"/>
        <w:textAlignment w:val="auto"/>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项目</w:t>
      </w:r>
      <w:r>
        <w:rPr>
          <w:rFonts w:hint="eastAsia" w:ascii="仿宋" w:hAnsi="仿宋" w:eastAsia="仿宋" w:cs="仿宋"/>
          <w:b/>
          <w:bCs/>
          <w:color w:val="auto"/>
          <w:w w:val="95"/>
          <w:kern w:val="0"/>
          <w:sz w:val="30"/>
          <w:szCs w:val="30"/>
          <w:highlight w:val="none"/>
        </w:rPr>
        <w:t>名称</w:t>
      </w:r>
      <w:r>
        <w:rPr>
          <w:rFonts w:hint="eastAsia" w:ascii="仿宋" w:hAnsi="仿宋" w:eastAsia="仿宋" w:cs="仿宋"/>
          <w:b/>
          <w:bCs/>
          <w:color w:val="auto"/>
          <w:kern w:val="0"/>
          <w:sz w:val="30"/>
          <w:szCs w:val="30"/>
          <w:highlight w:val="none"/>
        </w:rPr>
        <w:t>：2024年梧州市司法局办公薄弱环节改善与能力提升项目</w:t>
      </w:r>
    </w:p>
    <w:p w14:paraId="39A8F2AC">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仿宋" w:hAnsi="仿宋" w:eastAsia="仿宋" w:cs="仿宋"/>
          <w:b/>
          <w:bCs/>
          <w:color w:val="auto"/>
          <w:w w:val="95"/>
          <w:sz w:val="30"/>
          <w:szCs w:val="30"/>
          <w:highlight w:val="none"/>
        </w:rPr>
      </w:pPr>
      <w:r>
        <w:rPr>
          <w:rFonts w:hint="eastAsia" w:ascii="仿宋" w:hAnsi="仿宋" w:eastAsia="仿宋" w:cs="仿宋"/>
          <w:b/>
          <w:bCs/>
          <w:color w:val="auto"/>
          <w:w w:val="95"/>
          <w:sz w:val="30"/>
          <w:szCs w:val="30"/>
          <w:highlight w:val="none"/>
        </w:rPr>
        <w:t>项目</w:t>
      </w:r>
      <w:r>
        <w:rPr>
          <w:rFonts w:hint="eastAsia" w:ascii="仿宋" w:hAnsi="仿宋" w:eastAsia="仿宋" w:cs="仿宋"/>
          <w:b/>
          <w:bCs/>
          <w:color w:val="auto"/>
          <w:sz w:val="30"/>
          <w:szCs w:val="30"/>
          <w:highlight w:val="none"/>
        </w:rPr>
        <w:t>编号</w:t>
      </w:r>
      <w:r>
        <w:rPr>
          <w:rFonts w:hint="eastAsia" w:ascii="仿宋" w:hAnsi="仿宋" w:eastAsia="仿宋" w:cs="仿宋"/>
          <w:b/>
          <w:bCs/>
          <w:color w:val="auto"/>
          <w:w w:val="95"/>
          <w:sz w:val="30"/>
          <w:szCs w:val="30"/>
          <w:highlight w:val="none"/>
        </w:rPr>
        <w:t>：WZZC2024-J1-990544-GXDR</w:t>
      </w:r>
    </w:p>
    <w:p w14:paraId="5243DB59">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仿宋" w:hAnsi="仿宋" w:eastAsia="仿宋" w:cs="仿宋"/>
          <w:b/>
          <w:bCs/>
          <w:color w:val="auto"/>
          <w:w w:val="95"/>
          <w:kern w:val="0"/>
          <w:sz w:val="30"/>
          <w:szCs w:val="30"/>
          <w:highlight w:val="none"/>
        </w:rPr>
      </w:pPr>
      <w:r>
        <w:rPr>
          <w:rFonts w:hint="eastAsia" w:ascii="仿宋" w:hAnsi="仿宋" w:eastAsia="仿宋" w:cs="仿宋"/>
          <w:b/>
          <w:bCs/>
          <w:color w:val="auto"/>
          <w:w w:val="95"/>
          <w:kern w:val="0"/>
          <w:sz w:val="30"/>
          <w:szCs w:val="30"/>
          <w:highlight w:val="none"/>
        </w:rPr>
        <w:t>采购人：梧州市司法局</w:t>
      </w:r>
    </w:p>
    <w:p w14:paraId="6C56C955">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仿宋" w:hAnsi="仿宋" w:eastAsia="仿宋" w:cs="仿宋"/>
          <w:b/>
          <w:color w:val="auto"/>
          <w:sz w:val="32"/>
          <w:szCs w:val="32"/>
          <w:highlight w:val="none"/>
        </w:rPr>
      </w:pPr>
      <w:r>
        <w:rPr>
          <w:rFonts w:hint="eastAsia" w:ascii="仿宋" w:hAnsi="仿宋" w:eastAsia="仿宋" w:cs="仿宋"/>
          <w:b/>
          <w:bCs/>
          <w:color w:val="auto"/>
          <w:w w:val="95"/>
          <w:kern w:val="0"/>
          <w:sz w:val="30"/>
          <w:szCs w:val="30"/>
          <w:highlight w:val="none"/>
        </w:rPr>
        <w:t>采购代理机构：广西大融合工程咨询有限公司</w:t>
      </w:r>
    </w:p>
    <w:p w14:paraId="50F1BF99">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202</w:t>
      </w:r>
      <w:r>
        <w:rPr>
          <w:rFonts w:hint="eastAsia" w:ascii="仿宋" w:hAnsi="仿宋" w:eastAsia="仿宋" w:cs="仿宋"/>
          <w:b/>
          <w:color w:val="auto"/>
          <w:sz w:val="32"/>
          <w:szCs w:val="32"/>
          <w:highlight w:val="none"/>
          <w:lang w:val="en-US" w:eastAsia="zh-CN"/>
        </w:rPr>
        <w:t>4</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10</w:t>
      </w:r>
      <w:r>
        <w:rPr>
          <w:rFonts w:hint="eastAsia" w:ascii="仿宋" w:hAnsi="仿宋" w:eastAsia="仿宋" w:cs="仿宋"/>
          <w:b/>
          <w:color w:val="auto"/>
          <w:sz w:val="32"/>
          <w:szCs w:val="32"/>
          <w:highlight w:val="none"/>
        </w:rPr>
        <w:t>月</w:t>
      </w:r>
    </w:p>
    <w:p w14:paraId="23CC0011">
      <w:pPr>
        <w:spacing w:line="360" w:lineRule="auto"/>
        <w:rPr>
          <w:rFonts w:hint="eastAsia" w:ascii="仿宋" w:hAnsi="仿宋" w:eastAsia="仿宋" w:cs="仿宋"/>
          <w:b/>
          <w:color w:val="auto"/>
          <w:sz w:val="32"/>
          <w:szCs w:val="32"/>
          <w:highlight w:val="none"/>
        </w:rPr>
        <w:sectPr>
          <w:headerReference r:id="rId3" w:type="first"/>
          <w:footerReference r:id="rId5" w:type="first"/>
          <w:footerReference r:id="rId4" w:type="default"/>
          <w:pgSz w:w="11911" w:h="16838"/>
          <w:pgMar w:top="1338" w:right="1502" w:bottom="850" w:left="1678" w:header="1077" w:footer="720" w:gutter="0"/>
          <w:pgNumType w:start="1"/>
          <w:cols w:space="720" w:num="1"/>
          <w:rtlGutter w:val="0"/>
          <w:docGrid w:linePitch="312" w:charSpace="0"/>
        </w:sectPr>
      </w:pPr>
    </w:p>
    <w:p w14:paraId="48A95ED4">
      <w:pPr>
        <w:spacing w:line="360" w:lineRule="auto"/>
        <w:rPr>
          <w:rFonts w:hint="eastAsia" w:ascii="仿宋" w:hAnsi="仿宋" w:eastAsia="仿宋" w:cs="仿宋"/>
          <w:b/>
          <w:color w:val="auto"/>
          <w:sz w:val="32"/>
          <w:szCs w:val="32"/>
          <w:highlight w:val="none"/>
        </w:rPr>
      </w:pPr>
    </w:p>
    <w:p w14:paraId="5BED69D4">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目   录</w:t>
      </w:r>
    </w:p>
    <w:p w14:paraId="208272C6">
      <w:pPr>
        <w:pStyle w:val="23"/>
        <w:keepNext w:val="0"/>
        <w:keepLines w:val="0"/>
        <w:pageBreakBefore w:val="0"/>
        <w:widowControl w:val="0"/>
        <w:tabs>
          <w:tab w:val="right" w:leader="dot" w:pos="8731"/>
        </w:tabs>
        <w:kinsoku/>
        <w:wordWrap/>
        <w:overflowPunct/>
        <w:topLinePunct w:val="0"/>
        <w:autoSpaceDE/>
        <w:autoSpaceDN/>
        <w:bidi w:val="0"/>
        <w:adjustRightInd/>
        <w:snapToGrid/>
        <w:spacing w:line="40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fldChar w:fldCharType="begin"/>
      </w:r>
      <w:r>
        <w:rPr>
          <w:rFonts w:hint="eastAsia" w:ascii="仿宋" w:hAnsi="仿宋" w:eastAsia="仿宋" w:cs="仿宋"/>
          <w:b/>
          <w:color w:val="auto"/>
          <w:sz w:val="24"/>
          <w:szCs w:val="24"/>
          <w:highlight w:val="none"/>
        </w:rPr>
        <w:instrText xml:space="preserve"> TOC \o "1-3" \h \z \u </w:instrText>
      </w:r>
      <w:r>
        <w:rPr>
          <w:rFonts w:hint="eastAsia" w:ascii="仿宋" w:hAnsi="仿宋" w:eastAsia="仿宋" w:cs="仿宋"/>
          <w:b/>
          <w:color w:val="auto"/>
          <w:sz w:val="24"/>
          <w:szCs w:val="24"/>
          <w:highlight w:val="none"/>
        </w:rPr>
        <w:fldChar w:fldCharType="separate"/>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_Toc14594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第一章 竞争性谈判公告</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_Toc14594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 xml:space="preserve">   </w:t>
      </w:r>
    </w:p>
    <w:p w14:paraId="5A8880C9">
      <w:pPr>
        <w:pStyle w:val="23"/>
        <w:keepNext w:val="0"/>
        <w:keepLines w:val="0"/>
        <w:pageBreakBefore w:val="0"/>
        <w:widowControl w:val="0"/>
        <w:tabs>
          <w:tab w:val="right" w:leader="dot" w:pos="873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_Toc22197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第二章 采购需求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_Toc22197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F3C08D8">
      <w:pPr>
        <w:pStyle w:val="23"/>
        <w:keepNext w:val="0"/>
        <w:keepLines w:val="0"/>
        <w:pageBreakBefore w:val="0"/>
        <w:widowControl w:val="0"/>
        <w:tabs>
          <w:tab w:val="right" w:leader="dot" w:pos="873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_Toc12068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val="0"/>
          <w:color w:val="auto"/>
          <w:sz w:val="24"/>
          <w:szCs w:val="24"/>
          <w:highlight w:val="none"/>
        </w:rPr>
        <w:t>第三章 供应商须知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_Toc12068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5F6043E">
      <w:pPr>
        <w:pStyle w:val="25"/>
        <w:keepNext w:val="0"/>
        <w:keepLines w:val="0"/>
        <w:pageBreakBefore w:val="0"/>
        <w:widowControl w:val="0"/>
        <w:tabs>
          <w:tab w:val="right" w:leader="dot" w:pos="8731"/>
          <w:tab w:val="clear" w:pos="829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_Toc21941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val="0"/>
          <w:color w:val="auto"/>
          <w:sz w:val="24"/>
          <w:szCs w:val="24"/>
          <w:highlight w:val="none"/>
        </w:rPr>
        <w:t>第一节 供应商须知前附表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_Toc21941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4C56FA4">
      <w:pPr>
        <w:pStyle w:val="25"/>
        <w:keepNext w:val="0"/>
        <w:keepLines w:val="0"/>
        <w:pageBreakBefore w:val="0"/>
        <w:widowControl w:val="0"/>
        <w:tabs>
          <w:tab w:val="right" w:leader="dot" w:pos="8731"/>
          <w:tab w:val="clear" w:pos="829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_Toc17691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val="0"/>
          <w:color w:val="auto"/>
          <w:sz w:val="24"/>
          <w:szCs w:val="24"/>
          <w:highlight w:val="none"/>
        </w:rPr>
        <w:t>第二节 供应商须知正文</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9</w:t>
      </w:r>
    </w:p>
    <w:p w14:paraId="7E447183">
      <w:pPr>
        <w:pStyle w:val="17"/>
        <w:keepNext w:val="0"/>
        <w:keepLines w:val="0"/>
        <w:pageBreakBefore w:val="0"/>
        <w:widowControl w:val="0"/>
        <w:tabs>
          <w:tab w:val="right" w:leader="dot" w:pos="873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_Toc13709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val="0"/>
          <w:color w:val="auto"/>
          <w:sz w:val="24"/>
          <w:szCs w:val="24"/>
          <w:highlight w:val="none"/>
        </w:rPr>
        <w:t>一、总则</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9</w:t>
      </w:r>
    </w:p>
    <w:p w14:paraId="52F009DB">
      <w:pPr>
        <w:pStyle w:val="17"/>
        <w:keepNext w:val="0"/>
        <w:keepLines w:val="0"/>
        <w:pageBreakBefore w:val="0"/>
        <w:widowControl w:val="0"/>
        <w:tabs>
          <w:tab w:val="right" w:leader="dot" w:pos="873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_Toc12408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二、谈判文件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_Toc12408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D4C525F">
      <w:pPr>
        <w:pStyle w:val="17"/>
        <w:keepNext w:val="0"/>
        <w:keepLines w:val="0"/>
        <w:pageBreakBefore w:val="0"/>
        <w:widowControl w:val="0"/>
        <w:tabs>
          <w:tab w:val="right" w:leader="dot" w:pos="873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_Toc605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三、响应文件的编制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_Toc605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E966001">
      <w:pPr>
        <w:pStyle w:val="17"/>
        <w:keepNext w:val="0"/>
        <w:keepLines w:val="0"/>
        <w:pageBreakBefore w:val="0"/>
        <w:widowControl w:val="0"/>
        <w:tabs>
          <w:tab w:val="right" w:leader="dot" w:pos="873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_Toc3691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四、评审及谈判</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_Toc3691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507A05F">
      <w:pPr>
        <w:pStyle w:val="17"/>
        <w:keepNext w:val="0"/>
        <w:keepLines w:val="0"/>
        <w:pageBreakBefore w:val="0"/>
        <w:widowControl w:val="0"/>
        <w:tabs>
          <w:tab w:val="right" w:leader="dot" w:pos="873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_Toc18431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五、成交及合同</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_Toc18431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176E442">
      <w:pPr>
        <w:pStyle w:val="17"/>
        <w:keepNext w:val="0"/>
        <w:keepLines w:val="0"/>
        <w:pageBreakBefore w:val="0"/>
        <w:widowControl w:val="0"/>
        <w:tabs>
          <w:tab w:val="right" w:leader="dot" w:pos="873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_Toc6462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六、验收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9</w:t>
      </w:r>
    </w:p>
    <w:p w14:paraId="0276A120">
      <w:pPr>
        <w:pStyle w:val="17"/>
        <w:keepNext w:val="0"/>
        <w:keepLines w:val="0"/>
        <w:pageBreakBefore w:val="0"/>
        <w:widowControl w:val="0"/>
        <w:tabs>
          <w:tab w:val="right" w:leader="dot" w:pos="873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_Toc9725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七、其他事项</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9</w:t>
      </w:r>
    </w:p>
    <w:p w14:paraId="0DFCCC31">
      <w:pPr>
        <w:pStyle w:val="23"/>
        <w:keepNext w:val="0"/>
        <w:keepLines w:val="0"/>
        <w:pageBreakBefore w:val="0"/>
        <w:widowControl w:val="0"/>
        <w:tabs>
          <w:tab w:val="right" w:leader="dot" w:pos="873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_Toc20219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第四章</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评审程序、评审方法和成交标准</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_Toc20219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6563BB4">
      <w:pPr>
        <w:pStyle w:val="25"/>
        <w:keepNext w:val="0"/>
        <w:keepLines w:val="0"/>
        <w:pageBreakBefore w:val="0"/>
        <w:widowControl w:val="0"/>
        <w:tabs>
          <w:tab w:val="right" w:leader="dot" w:pos="8731"/>
          <w:tab w:val="clear" w:pos="829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_Toc13375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val="0"/>
          <w:color w:val="auto"/>
          <w:sz w:val="24"/>
          <w:szCs w:val="24"/>
          <w:highlight w:val="none"/>
        </w:rPr>
        <w:t>第一节 评审程序和评审方法</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_Toc13375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81EA1D8">
      <w:pPr>
        <w:pStyle w:val="25"/>
        <w:keepNext w:val="0"/>
        <w:keepLines w:val="0"/>
        <w:pageBreakBefore w:val="0"/>
        <w:widowControl w:val="0"/>
        <w:tabs>
          <w:tab w:val="right" w:leader="dot" w:pos="8731"/>
          <w:tab w:val="clear" w:pos="829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_Toc14820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val="0"/>
          <w:color w:val="auto"/>
          <w:sz w:val="24"/>
          <w:szCs w:val="24"/>
          <w:highlight w:val="none"/>
        </w:rPr>
        <w:t>第二节 评审原则</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_Toc14820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723EEA4">
      <w:pPr>
        <w:pStyle w:val="25"/>
        <w:keepNext w:val="0"/>
        <w:keepLines w:val="0"/>
        <w:pageBreakBefore w:val="0"/>
        <w:widowControl w:val="0"/>
        <w:tabs>
          <w:tab w:val="right" w:leader="dot" w:pos="8731"/>
          <w:tab w:val="clear" w:pos="829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_Toc17941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val="0"/>
          <w:color w:val="auto"/>
          <w:sz w:val="24"/>
          <w:szCs w:val="24"/>
          <w:highlight w:val="none"/>
        </w:rPr>
        <w:t>第三节 评标报告</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_Toc17941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47</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27D2929">
      <w:pPr>
        <w:pStyle w:val="25"/>
        <w:keepNext w:val="0"/>
        <w:keepLines w:val="0"/>
        <w:pageBreakBefore w:val="0"/>
        <w:widowControl w:val="0"/>
        <w:tabs>
          <w:tab w:val="right" w:leader="dot" w:pos="8731"/>
          <w:tab w:val="clear" w:pos="829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_Toc20952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val="0"/>
          <w:color w:val="auto"/>
          <w:sz w:val="24"/>
          <w:szCs w:val="24"/>
          <w:highlight w:val="none"/>
        </w:rPr>
        <w:t>第四节 评审过程的保密与录像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_Toc20952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47</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9A9FCA2">
      <w:pPr>
        <w:pStyle w:val="23"/>
        <w:keepNext w:val="0"/>
        <w:keepLines w:val="0"/>
        <w:pageBreakBefore w:val="0"/>
        <w:widowControl w:val="0"/>
        <w:tabs>
          <w:tab w:val="right" w:leader="dot" w:pos="873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_Toc18046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第五章 响应文件格式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_Toc18046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48</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A412589">
      <w:pPr>
        <w:pStyle w:val="25"/>
        <w:keepNext w:val="0"/>
        <w:keepLines w:val="0"/>
        <w:pageBreakBefore w:val="0"/>
        <w:widowControl w:val="0"/>
        <w:tabs>
          <w:tab w:val="right" w:leader="dot" w:pos="8731"/>
          <w:tab w:val="clear" w:pos="829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_Toc26094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val="0"/>
          <w:color w:val="auto"/>
          <w:kern w:val="2"/>
          <w:sz w:val="24"/>
          <w:szCs w:val="24"/>
          <w:highlight w:val="none"/>
          <w:lang w:val="en-US" w:eastAsia="zh-CN" w:bidi="ar-SA"/>
        </w:rPr>
        <w:t>第一节 封面格式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9</w:t>
      </w:r>
    </w:p>
    <w:p w14:paraId="31644D6E">
      <w:pPr>
        <w:pStyle w:val="25"/>
        <w:keepNext w:val="0"/>
        <w:keepLines w:val="0"/>
        <w:pageBreakBefore w:val="0"/>
        <w:widowControl w:val="0"/>
        <w:tabs>
          <w:tab w:val="right" w:leader="dot" w:pos="8731"/>
          <w:tab w:val="clear" w:pos="829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_Toc32746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val="0"/>
          <w:color w:val="auto"/>
          <w:kern w:val="2"/>
          <w:sz w:val="24"/>
          <w:szCs w:val="24"/>
          <w:highlight w:val="none"/>
          <w:lang w:val="en-US" w:eastAsia="zh-CN" w:bidi="ar-SA"/>
        </w:rPr>
        <w:t>第二节 资格证明文件格式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_Toc32746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1F702B8">
      <w:pPr>
        <w:pStyle w:val="25"/>
        <w:keepNext w:val="0"/>
        <w:keepLines w:val="0"/>
        <w:pageBreakBefore w:val="0"/>
        <w:widowControl w:val="0"/>
        <w:tabs>
          <w:tab w:val="right" w:leader="dot" w:pos="8731"/>
          <w:tab w:val="clear" w:pos="829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_Toc14274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第</w:t>
      </w:r>
      <w:r>
        <w:rPr>
          <w:rFonts w:hint="eastAsia" w:ascii="仿宋" w:hAnsi="仿宋" w:eastAsia="仿宋" w:cs="仿宋"/>
          <w:bCs/>
          <w:color w:val="auto"/>
          <w:sz w:val="24"/>
          <w:szCs w:val="24"/>
          <w:highlight w:val="none"/>
          <w:lang w:val="en-US" w:eastAsia="zh-CN"/>
        </w:rPr>
        <w:t>三</w:t>
      </w:r>
      <w:r>
        <w:rPr>
          <w:rFonts w:hint="eastAsia" w:ascii="仿宋" w:hAnsi="仿宋" w:eastAsia="仿宋" w:cs="仿宋"/>
          <w:bCs/>
          <w:color w:val="auto"/>
          <w:sz w:val="24"/>
          <w:szCs w:val="24"/>
          <w:highlight w:val="none"/>
        </w:rPr>
        <w:t>节 商务技术文件格式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9</w:t>
      </w:r>
    </w:p>
    <w:p w14:paraId="550C9BE5">
      <w:pPr>
        <w:pStyle w:val="25"/>
        <w:keepNext w:val="0"/>
        <w:keepLines w:val="0"/>
        <w:pageBreakBefore w:val="0"/>
        <w:widowControl w:val="0"/>
        <w:tabs>
          <w:tab w:val="right" w:leader="dot" w:pos="8731"/>
          <w:tab w:val="clear" w:pos="829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_Toc29382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节 报价文件格式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_Toc29382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16AB651">
      <w:pPr>
        <w:pStyle w:val="25"/>
        <w:keepNext w:val="0"/>
        <w:keepLines w:val="0"/>
        <w:pageBreakBefore w:val="0"/>
        <w:widowControl w:val="0"/>
        <w:tabs>
          <w:tab w:val="right" w:leader="dot" w:pos="8731"/>
          <w:tab w:val="clear" w:pos="829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_Toc32327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节 其他文书、文件格式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_Toc32327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80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57E0A74">
      <w:pPr>
        <w:pStyle w:val="23"/>
        <w:keepNext w:val="0"/>
        <w:keepLines w:val="0"/>
        <w:pageBreakBefore w:val="0"/>
        <w:widowControl w:val="0"/>
        <w:tabs>
          <w:tab w:val="right" w:leader="dot" w:pos="873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_Toc14728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第六章 合同文本</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_Toc14728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83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01C6D06">
      <w:pPr>
        <w:pStyle w:val="23"/>
        <w:keepNext w:val="0"/>
        <w:keepLines w:val="0"/>
        <w:pageBreakBefore w:val="0"/>
        <w:widowControl w:val="0"/>
        <w:tabs>
          <w:tab w:val="right" w:leader="dot" w:pos="873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_Toc29732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val="0"/>
          <w:color w:val="auto"/>
          <w:sz w:val="24"/>
          <w:szCs w:val="24"/>
          <w:highlight w:val="none"/>
        </w:rPr>
        <w:t>第七章 质疑、投诉材料格式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_Toc29732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93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4D5C27C">
      <w:pPr>
        <w:pStyle w:val="2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fldChar w:fldCharType="end"/>
      </w:r>
    </w:p>
    <w:p w14:paraId="05E94599">
      <w:pPr>
        <w:spacing w:line="400" w:lineRule="exact"/>
        <w:rPr>
          <w:rFonts w:hint="eastAsia" w:ascii="仿宋" w:hAnsi="仿宋" w:eastAsia="仿宋" w:cs="仿宋"/>
          <w:b/>
          <w:color w:val="auto"/>
          <w:sz w:val="24"/>
          <w:szCs w:val="24"/>
          <w:highlight w:val="none"/>
        </w:rPr>
        <w:sectPr>
          <w:footerReference r:id="rId6" w:type="default"/>
          <w:pgSz w:w="11911" w:h="16838"/>
          <w:pgMar w:top="1338" w:right="1502" w:bottom="850" w:left="1678" w:header="1077" w:footer="720" w:gutter="0"/>
          <w:pgNumType w:start="1"/>
          <w:cols w:space="720" w:num="1"/>
          <w:rtlGutter w:val="0"/>
          <w:docGrid w:linePitch="312" w:charSpace="0"/>
        </w:sectPr>
      </w:pPr>
    </w:p>
    <w:p w14:paraId="13A4E2BA">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仿宋"/>
          <w:color w:val="auto"/>
          <w:highlight w:val="none"/>
        </w:rPr>
      </w:pPr>
      <w:bookmarkStart w:id="0" w:name="_Toc14594"/>
      <w:r>
        <w:rPr>
          <w:rFonts w:hint="eastAsia" w:ascii="仿宋" w:hAnsi="仿宋" w:eastAsia="仿宋" w:cs="仿宋"/>
          <w:color w:val="auto"/>
          <w:sz w:val="32"/>
          <w:szCs w:val="32"/>
          <w:highlight w:val="none"/>
        </w:rPr>
        <w:t>第一章 竞争性谈判公告</w:t>
      </w:r>
      <w:bookmarkEnd w:id="0"/>
      <w:bookmarkStart w:id="1" w:name="_Toc35393798"/>
      <w:bookmarkStart w:id="2" w:name="_Toc35393629"/>
      <w:bookmarkStart w:id="3" w:name="_Toc28359012"/>
      <w:bookmarkStart w:id="4" w:name="_Toc44229878"/>
      <w:bookmarkStart w:id="5" w:name="_Toc28359089"/>
      <w:bookmarkStart w:id="6" w:name="_Toc28359004"/>
      <w:bookmarkStart w:id="7" w:name="_Toc35393792"/>
      <w:bookmarkStart w:id="8" w:name="_Toc35393623"/>
      <w:bookmarkStart w:id="9" w:name="_Toc28359081"/>
    </w:p>
    <w:tbl>
      <w:tblPr>
        <w:tblStyle w:val="32"/>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3"/>
      </w:tblGrid>
      <w:tr w14:paraId="4C212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3" w:type="dxa"/>
            <w:noWrap w:val="0"/>
            <w:vAlign w:val="top"/>
          </w:tcPr>
          <w:p w14:paraId="02DACC3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项目概况</w:t>
            </w:r>
          </w:p>
          <w:p w14:paraId="0258EB41">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u w:val="single"/>
                <w:vertAlign w:val="baseline"/>
              </w:rPr>
              <w:t>2024年梧州市司法局办公薄弱环节改善与能力提升项目</w:t>
            </w:r>
            <w:r>
              <w:rPr>
                <w:rFonts w:hint="eastAsia" w:ascii="仿宋" w:hAnsi="仿宋" w:eastAsia="仿宋" w:cs="仿宋"/>
                <w:color w:val="auto"/>
                <w:sz w:val="24"/>
                <w:szCs w:val="24"/>
                <w:highlight w:val="none"/>
                <w:vertAlign w:val="baseline"/>
              </w:rPr>
              <w:t>的潜在供应商应在</w:t>
            </w:r>
            <w:r>
              <w:rPr>
                <w:rFonts w:hint="eastAsia" w:ascii="仿宋" w:hAnsi="仿宋" w:eastAsia="仿宋" w:cs="仿宋"/>
                <w:b w:val="0"/>
                <w:bCs w:val="0"/>
                <w:color w:val="auto"/>
                <w:sz w:val="24"/>
                <w:szCs w:val="24"/>
                <w:highlight w:val="none"/>
                <w:u w:val="single"/>
                <w:vertAlign w:val="baseline"/>
              </w:rPr>
              <w:t>政采云平台（https</w:t>
            </w:r>
            <w:r>
              <w:rPr>
                <w:rFonts w:hint="eastAsia" w:ascii="仿宋" w:hAnsi="仿宋" w:eastAsia="仿宋" w:cs="仿宋"/>
                <w:b w:val="0"/>
                <w:bCs w:val="0"/>
                <w:color w:val="auto"/>
                <w:sz w:val="24"/>
                <w:szCs w:val="24"/>
                <w:highlight w:val="none"/>
                <w:u w:val="single"/>
                <w:vertAlign w:val="baseline"/>
                <w:lang w:eastAsia="zh-CN"/>
              </w:rPr>
              <w:t>：</w:t>
            </w:r>
            <w:r>
              <w:rPr>
                <w:rFonts w:hint="eastAsia" w:ascii="仿宋" w:hAnsi="仿宋" w:eastAsia="仿宋" w:cs="仿宋"/>
                <w:b w:val="0"/>
                <w:bCs w:val="0"/>
                <w:color w:val="auto"/>
                <w:sz w:val="24"/>
                <w:szCs w:val="24"/>
                <w:highlight w:val="none"/>
                <w:u w:val="single"/>
                <w:vertAlign w:val="baseline"/>
              </w:rPr>
              <w:t>//www.zcygov.cn/）</w:t>
            </w:r>
            <w:r>
              <w:rPr>
                <w:rFonts w:hint="eastAsia" w:ascii="仿宋" w:hAnsi="仿宋" w:eastAsia="仿宋" w:cs="仿宋"/>
                <w:b w:val="0"/>
                <w:bCs w:val="0"/>
                <w:color w:val="auto"/>
                <w:sz w:val="24"/>
                <w:szCs w:val="24"/>
                <w:highlight w:val="none"/>
                <w:u w:val="none"/>
                <w:vertAlign w:val="baseline"/>
              </w:rPr>
              <w:t>获取（下载）</w:t>
            </w:r>
            <w:r>
              <w:rPr>
                <w:rFonts w:hint="eastAsia" w:ascii="仿宋" w:hAnsi="仿宋" w:eastAsia="仿宋" w:cs="仿宋"/>
                <w:color w:val="auto"/>
                <w:sz w:val="24"/>
                <w:szCs w:val="24"/>
                <w:highlight w:val="none"/>
                <w:vertAlign w:val="baseline"/>
                <w:lang w:eastAsia="zh-CN"/>
              </w:rPr>
              <w:t>竞争性</w:t>
            </w:r>
            <w:r>
              <w:rPr>
                <w:rFonts w:hint="eastAsia" w:ascii="仿宋" w:hAnsi="仿宋" w:eastAsia="仿宋" w:cs="仿宋"/>
                <w:color w:val="auto"/>
                <w:sz w:val="24"/>
                <w:szCs w:val="24"/>
                <w:highlight w:val="none"/>
                <w:vertAlign w:val="baseline"/>
                <w:lang w:val="en-US" w:eastAsia="zh-CN"/>
              </w:rPr>
              <w:t>谈判</w:t>
            </w:r>
            <w:r>
              <w:rPr>
                <w:rFonts w:hint="eastAsia" w:ascii="仿宋" w:hAnsi="仿宋" w:eastAsia="仿宋" w:cs="仿宋"/>
                <w:color w:val="auto"/>
                <w:sz w:val="24"/>
                <w:szCs w:val="24"/>
                <w:highlight w:val="none"/>
                <w:vertAlign w:val="baseline"/>
                <w:lang w:eastAsia="zh-CN"/>
              </w:rPr>
              <w:t>文件</w:t>
            </w:r>
            <w:r>
              <w:rPr>
                <w:rFonts w:hint="eastAsia" w:ascii="仿宋" w:hAnsi="仿宋" w:eastAsia="仿宋" w:cs="仿宋"/>
                <w:color w:val="auto"/>
                <w:sz w:val="24"/>
                <w:szCs w:val="24"/>
                <w:highlight w:val="none"/>
                <w:vertAlign w:val="baseline"/>
              </w:rPr>
              <w:t>，并于</w:t>
            </w:r>
            <w:r>
              <w:rPr>
                <w:rFonts w:hint="eastAsia" w:ascii="仿宋" w:hAnsi="仿宋" w:eastAsia="仿宋" w:cs="仿宋"/>
                <w:color w:val="auto"/>
                <w:sz w:val="24"/>
                <w:szCs w:val="24"/>
                <w:highlight w:val="none"/>
                <w:u w:val="single"/>
                <w:vertAlign w:val="baseline"/>
                <w:lang w:eastAsia="zh-CN"/>
              </w:rPr>
              <w:t>202</w:t>
            </w:r>
            <w:r>
              <w:rPr>
                <w:rFonts w:hint="eastAsia" w:ascii="仿宋" w:hAnsi="仿宋" w:eastAsia="仿宋" w:cs="仿宋"/>
                <w:color w:val="auto"/>
                <w:sz w:val="24"/>
                <w:szCs w:val="24"/>
                <w:highlight w:val="none"/>
                <w:u w:val="single"/>
                <w:vertAlign w:val="baseline"/>
                <w:lang w:val="en-US" w:eastAsia="zh-CN"/>
              </w:rPr>
              <w:t>4</w:t>
            </w:r>
            <w:r>
              <w:rPr>
                <w:rFonts w:hint="eastAsia" w:ascii="仿宋" w:hAnsi="仿宋" w:eastAsia="仿宋" w:cs="仿宋"/>
                <w:color w:val="auto"/>
                <w:sz w:val="24"/>
                <w:szCs w:val="24"/>
                <w:highlight w:val="none"/>
                <w:u w:val="single"/>
                <w:vertAlign w:val="baseline"/>
                <w:lang w:eastAsia="zh-CN"/>
              </w:rPr>
              <w:t>年</w:t>
            </w:r>
            <w:r>
              <w:rPr>
                <w:rFonts w:hint="eastAsia" w:ascii="仿宋" w:hAnsi="仿宋" w:eastAsia="仿宋" w:cs="仿宋"/>
                <w:color w:val="auto"/>
                <w:sz w:val="24"/>
                <w:szCs w:val="24"/>
                <w:highlight w:val="none"/>
                <w:u w:val="single"/>
                <w:vertAlign w:val="baseline"/>
                <w:lang w:val="en-US" w:eastAsia="zh-CN"/>
              </w:rPr>
              <w:t>11</w:t>
            </w:r>
            <w:r>
              <w:rPr>
                <w:rFonts w:hint="eastAsia" w:ascii="仿宋" w:hAnsi="仿宋" w:eastAsia="仿宋" w:cs="仿宋"/>
                <w:color w:val="auto"/>
                <w:sz w:val="24"/>
                <w:szCs w:val="24"/>
                <w:highlight w:val="none"/>
                <w:u w:val="single"/>
                <w:vertAlign w:val="baseline"/>
                <w:lang w:eastAsia="zh-CN"/>
              </w:rPr>
              <w:t>月</w:t>
            </w:r>
            <w:r>
              <w:rPr>
                <w:rFonts w:hint="eastAsia" w:ascii="仿宋" w:hAnsi="仿宋" w:eastAsia="仿宋" w:cs="仿宋"/>
                <w:color w:val="auto"/>
                <w:sz w:val="24"/>
                <w:szCs w:val="24"/>
                <w:highlight w:val="none"/>
                <w:u w:val="single"/>
                <w:vertAlign w:val="baseline"/>
                <w:lang w:val="en-US" w:eastAsia="zh-CN"/>
              </w:rPr>
              <w:t>6</w:t>
            </w:r>
            <w:r>
              <w:rPr>
                <w:rFonts w:hint="eastAsia" w:ascii="仿宋" w:hAnsi="仿宋" w:eastAsia="仿宋" w:cs="仿宋"/>
                <w:color w:val="auto"/>
                <w:sz w:val="24"/>
                <w:szCs w:val="24"/>
                <w:highlight w:val="none"/>
                <w:u w:val="single"/>
                <w:vertAlign w:val="baseline"/>
                <w:lang w:eastAsia="zh-CN"/>
              </w:rPr>
              <w:t>日</w:t>
            </w:r>
            <w:r>
              <w:rPr>
                <w:rFonts w:hint="eastAsia" w:ascii="仿宋" w:hAnsi="仿宋" w:eastAsia="仿宋" w:cs="仿宋"/>
                <w:color w:val="auto"/>
                <w:sz w:val="24"/>
                <w:szCs w:val="24"/>
                <w:highlight w:val="none"/>
                <w:u w:val="single"/>
                <w:vertAlign w:val="baseline"/>
                <w:lang w:val="en-US" w:eastAsia="zh-CN"/>
              </w:rPr>
              <w:t>9</w:t>
            </w:r>
            <w:r>
              <w:rPr>
                <w:rFonts w:hint="eastAsia" w:ascii="仿宋" w:hAnsi="仿宋" w:eastAsia="仿宋" w:cs="仿宋"/>
                <w:color w:val="auto"/>
                <w:sz w:val="24"/>
                <w:szCs w:val="24"/>
                <w:highlight w:val="none"/>
                <w:u w:val="single"/>
                <w:vertAlign w:val="baseline"/>
              </w:rPr>
              <w:t>时</w:t>
            </w:r>
            <w:r>
              <w:rPr>
                <w:rFonts w:hint="eastAsia" w:ascii="仿宋" w:hAnsi="仿宋" w:eastAsia="仿宋" w:cs="仿宋"/>
                <w:color w:val="auto"/>
                <w:sz w:val="24"/>
                <w:szCs w:val="24"/>
                <w:highlight w:val="none"/>
                <w:u w:val="single"/>
                <w:vertAlign w:val="baseline"/>
                <w:lang w:val="en-US" w:eastAsia="zh-CN"/>
              </w:rPr>
              <w:t>00</w:t>
            </w:r>
            <w:r>
              <w:rPr>
                <w:rFonts w:hint="eastAsia" w:ascii="仿宋" w:hAnsi="仿宋" w:eastAsia="仿宋" w:cs="仿宋"/>
                <w:color w:val="auto"/>
                <w:sz w:val="24"/>
                <w:szCs w:val="24"/>
                <w:highlight w:val="none"/>
                <w:u w:val="single"/>
                <w:vertAlign w:val="baseline"/>
              </w:rPr>
              <w:t>分</w:t>
            </w:r>
            <w:r>
              <w:rPr>
                <w:rFonts w:hint="eastAsia" w:ascii="仿宋" w:hAnsi="仿宋" w:eastAsia="仿宋" w:cs="仿宋"/>
                <w:color w:val="auto"/>
                <w:sz w:val="24"/>
                <w:szCs w:val="24"/>
                <w:highlight w:val="none"/>
                <w:vertAlign w:val="baseline"/>
              </w:rPr>
              <w:t>（北京时间）前提交响应文件。</w:t>
            </w:r>
          </w:p>
        </w:tc>
      </w:tr>
    </w:tbl>
    <w:p w14:paraId="6B0B2DFD">
      <w:pPr>
        <w:rPr>
          <w:rFonts w:hint="eastAsia" w:ascii="仿宋" w:hAnsi="仿宋" w:eastAsia="仿宋" w:cs="仿宋"/>
          <w:color w:val="auto"/>
          <w:highlight w:val="none"/>
        </w:rPr>
      </w:pPr>
    </w:p>
    <w:p w14:paraId="055CF672">
      <w:pPr>
        <w:keepNext w:val="0"/>
        <w:keepLines w:val="0"/>
        <w:pageBreakBefore w:val="0"/>
        <w:widowControl w:val="0"/>
        <w:kinsoku/>
        <w:wordWrap/>
        <w:overflowPunct/>
        <w:topLinePunct w:val="0"/>
        <w:autoSpaceDE/>
        <w:autoSpaceDN/>
        <w:bidi w:val="0"/>
        <w:adjustRightInd/>
        <w:snapToGrid w:val="0"/>
        <w:spacing w:line="324" w:lineRule="auto"/>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一、项目基本情况</w:t>
      </w:r>
      <w:bookmarkEnd w:id="1"/>
      <w:bookmarkEnd w:id="2"/>
      <w:bookmarkEnd w:id="3"/>
      <w:bookmarkEnd w:id="4"/>
      <w:bookmarkEnd w:id="5"/>
    </w:p>
    <w:p w14:paraId="071CFF56">
      <w:pPr>
        <w:keepNext w:val="0"/>
        <w:keepLines w:val="0"/>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项目编号：WZZC2024-J1-990544-GXDR</w:t>
      </w:r>
    </w:p>
    <w:p w14:paraId="160AD7B8">
      <w:pPr>
        <w:keepNext w:val="0"/>
        <w:keepLines w:val="0"/>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w:t>
      </w:r>
      <w:r>
        <w:rPr>
          <w:rFonts w:hint="eastAsia" w:ascii="仿宋" w:hAnsi="仿宋" w:eastAsia="仿宋" w:cs="仿宋"/>
          <w:color w:val="auto"/>
          <w:sz w:val="24"/>
          <w:szCs w:val="24"/>
          <w:highlight w:val="none"/>
        </w:rPr>
        <w:t>目名称：2024年梧州市司法局办公薄弱环节改善与能力提升项目</w:t>
      </w:r>
    </w:p>
    <w:p w14:paraId="40FEBA5E">
      <w:pPr>
        <w:keepNext w:val="0"/>
        <w:keepLines w:val="0"/>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预算金额：76.733万元</w:t>
      </w:r>
    </w:p>
    <w:p w14:paraId="5565133D">
      <w:pPr>
        <w:keepNext w:val="0"/>
        <w:keepLines w:val="0"/>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最高限价：76.733万元</w:t>
      </w:r>
    </w:p>
    <w:p w14:paraId="2810C55B">
      <w:pPr>
        <w:keepNext w:val="0"/>
        <w:keepLines w:val="0"/>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采购需求：拟采购视频会议设备,改造音频及配件采购设备;采购机房部分设备;采购市公共法律服务中心窗口、融媒体中心、行政复议庭相关设备。如需进一步了解详细内容，</w:t>
      </w:r>
      <w:r>
        <w:rPr>
          <w:rFonts w:hint="eastAsia" w:ascii="仿宋" w:hAnsi="仿宋" w:eastAsia="仿宋" w:cs="仿宋"/>
          <w:color w:val="auto"/>
          <w:sz w:val="24"/>
          <w:szCs w:val="24"/>
          <w:highlight w:val="none"/>
          <w:lang w:val="en-US" w:eastAsia="zh-CN"/>
        </w:rPr>
        <w:t>具体详见竞争性谈判采购文件</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color w:val="auto"/>
          <w:sz w:val="24"/>
          <w:szCs w:val="24"/>
          <w:highlight w:val="none"/>
        </w:rPr>
        <w:t xml:space="preserve"> </w:t>
      </w:r>
    </w:p>
    <w:p w14:paraId="67F15A8D">
      <w:pPr>
        <w:keepNext w:val="0"/>
        <w:keepLines w:val="0"/>
        <w:pageBreakBefore w:val="0"/>
        <w:widowControl w:val="0"/>
        <w:kinsoku/>
        <w:wordWrap w:val="0"/>
        <w:overflowPunct/>
        <w:topLinePunct w:val="0"/>
        <w:autoSpaceDE/>
        <w:autoSpaceDN/>
        <w:bidi w:val="0"/>
        <w:adjustRightInd/>
        <w:snapToGrid w:val="0"/>
        <w:spacing w:before="0" w:line="324" w:lineRule="auto"/>
        <w:ind w:left="0" w:leftChars="0" w:firstLine="480" w:firstLineChars="200"/>
        <w:jc w:val="both"/>
        <w:textAlignment w:val="auto"/>
        <w:rPr>
          <w:rFonts w:hint="eastAsia" w:ascii="仿宋" w:hAnsi="仿宋" w:eastAsia="仿宋" w:cs="仿宋"/>
          <w:color w:val="auto"/>
          <w:sz w:val="24"/>
          <w:szCs w:val="24"/>
          <w:highlight w:val="none"/>
          <w:u w:val="single"/>
        </w:rPr>
      </w:pPr>
      <w:bookmarkStart w:id="10" w:name="_Toc28359013"/>
      <w:bookmarkStart w:id="11" w:name="_Toc28359090"/>
      <w:bookmarkStart w:id="12" w:name="_Toc44229879"/>
      <w:bookmarkStart w:id="13" w:name="_Toc35393630"/>
      <w:bookmarkStart w:id="14" w:name="_Toc35393799"/>
      <w:r>
        <w:rPr>
          <w:rFonts w:hint="eastAsia" w:ascii="仿宋" w:hAnsi="仿宋" w:eastAsia="仿宋" w:cs="仿宋"/>
          <w:color w:val="auto"/>
          <w:sz w:val="24"/>
          <w:szCs w:val="24"/>
          <w:highlight w:val="none"/>
        </w:rPr>
        <w:t>合同履行期限</w:t>
      </w:r>
      <w:r>
        <w:rPr>
          <w:rFonts w:hint="eastAsia" w:ascii="仿宋" w:hAnsi="仿宋" w:eastAsia="仿宋" w:cs="仿宋"/>
          <w:color w:val="auto"/>
          <w:sz w:val="24"/>
          <w:szCs w:val="24"/>
          <w:highlight w:val="none"/>
          <w:lang w:eastAsia="zh-CN"/>
        </w:rPr>
        <w:t>：</w:t>
      </w:r>
      <w:r>
        <w:rPr>
          <w:rFonts w:hint="eastAsia" w:ascii="仿宋" w:hAnsi="仿宋" w:eastAsia="仿宋" w:cs="仿宋"/>
          <w:sz w:val="24"/>
          <w:highlight w:val="none"/>
        </w:rPr>
        <w:t>自签订合同之日起</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个</w:t>
      </w:r>
      <w:r>
        <w:rPr>
          <w:rFonts w:hint="eastAsia" w:ascii="仿宋" w:hAnsi="仿宋" w:eastAsia="仿宋" w:cs="仿宋"/>
          <w:color w:val="auto"/>
          <w:sz w:val="24"/>
          <w:szCs w:val="24"/>
          <w:highlight w:val="none"/>
          <w:lang w:val="en-US" w:eastAsia="zh-CN"/>
        </w:rPr>
        <w:t>日历</w:t>
      </w:r>
      <w:r>
        <w:rPr>
          <w:rFonts w:hint="eastAsia" w:ascii="仿宋" w:hAnsi="仿宋" w:eastAsia="仿宋" w:cs="仿宋"/>
          <w:color w:val="auto"/>
          <w:sz w:val="24"/>
          <w:szCs w:val="24"/>
          <w:highlight w:val="none"/>
          <w:lang w:eastAsia="zh-CN"/>
        </w:rPr>
        <w:t>日</w:t>
      </w:r>
      <w:r>
        <w:rPr>
          <w:rFonts w:hint="eastAsia" w:ascii="仿宋" w:hAnsi="仿宋" w:eastAsia="仿宋" w:cs="仿宋"/>
          <w:sz w:val="24"/>
          <w:highlight w:val="none"/>
        </w:rPr>
        <w:t>内安装调试完毕并交付使用。</w:t>
      </w:r>
    </w:p>
    <w:p w14:paraId="2FAA9243">
      <w:pPr>
        <w:keepNext w:val="0"/>
        <w:keepLines w:val="0"/>
        <w:pageBreakBefore w:val="0"/>
        <w:widowControl w:val="0"/>
        <w:kinsoku/>
        <w:wordWrap w:val="0"/>
        <w:overflowPunct/>
        <w:topLinePunct w:val="0"/>
        <w:autoSpaceDE/>
        <w:autoSpaceDN/>
        <w:bidi w:val="0"/>
        <w:adjustRightInd/>
        <w:snapToGrid w:val="0"/>
        <w:spacing w:line="324"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本项目是否接受联合体：□是，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否。</w:t>
      </w:r>
    </w:p>
    <w:p w14:paraId="68E3E5CB">
      <w:pPr>
        <w:keepNext w:val="0"/>
        <w:keepLines w:val="0"/>
        <w:pageBreakBefore w:val="0"/>
        <w:widowControl w:val="0"/>
        <w:kinsoku/>
        <w:wordWrap w:val="0"/>
        <w:overflowPunct/>
        <w:topLinePunct w:val="0"/>
        <w:autoSpaceDE/>
        <w:autoSpaceDN/>
        <w:bidi w:val="0"/>
        <w:adjustRightInd/>
        <w:snapToGrid w:val="0"/>
        <w:spacing w:line="324" w:lineRule="auto"/>
        <w:ind w:left="0" w:leftChars="0" w:firstLine="482"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
          <w:color w:val="auto"/>
          <w:kern w:val="44"/>
          <w:sz w:val="24"/>
          <w:szCs w:val="24"/>
          <w:highlight w:val="none"/>
        </w:rPr>
        <w:t>二、供应商的资格条件</w:t>
      </w:r>
      <w:bookmarkEnd w:id="10"/>
      <w:bookmarkEnd w:id="11"/>
      <w:bookmarkEnd w:id="12"/>
      <w:bookmarkEnd w:id="13"/>
      <w:bookmarkEnd w:id="14"/>
    </w:p>
    <w:p w14:paraId="72751CF4">
      <w:pPr>
        <w:keepNext w:val="0"/>
        <w:keepLines w:val="0"/>
        <w:pageBreakBefore w:val="0"/>
        <w:widowControl w:val="0"/>
        <w:kinsoku/>
        <w:wordWrap w:val="0"/>
        <w:overflowPunct/>
        <w:topLinePunct w:val="0"/>
        <w:autoSpaceDE/>
        <w:autoSpaceDN/>
        <w:bidi w:val="0"/>
        <w:adjustRightInd/>
        <w:snapToGrid w:val="0"/>
        <w:spacing w:line="324" w:lineRule="auto"/>
        <w:ind w:left="0" w:leftChars="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1.满足《中华人民共和国政府采购法》第二十二条规定；</w:t>
      </w:r>
    </w:p>
    <w:p w14:paraId="20B2FF0A">
      <w:pPr>
        <w:keepNext w:val="0"/>
        <w:keepLines w:val="0"/>
        <w:pageBreakBefore w:val="0"/>
        <w:widowControl w:val="0"/>
        <w:kinsoku/>
        <w:wordWrap w:val="0"/>
        <w:overflowPunct/>
        <w:topLinePunct w:val="0"/>
        <w:autoSpaceDE/>
        <w:autoSpaceDN/>
        <w:bidi w:val="0"/>
        <w:adjustRightInd/>
        <w:snapToGrid w:val="0"/>
        <w:spacing w:line="324" w:lineRule="auto"/>
        <w:ind w:left="0" w:leftChars="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2.落实政府采购政策需满足的资格要求：无；</w:t>
      </w:r>
    </w:p>
    <w:p w14:paraId="44718BAD">
      <w:pPr>
        <w:keepNext w:val="0"/>
        <w:keepLines w:val="0"/>
        <w:pageBreakBefore w:val="0"/>
        <w:widowControl w:val="0"/>
        <w:kinsoku/>
        <w:wordWrap w:val="0"/>
        <w:overflowPunct/>
        <w:topLinePunct w:val="0"/>
        <w:autoSpaceDE/>
        <w:autoSpaceDN/>
        <w:bidi w:val="0"/>
        <w:adjustRightInd/>
        <w:snapToGrid w:val="0"/>
        <w:spacing w:line="324" w:lineRule="auto"/>
        <w:ind w:left="0" w:leftChars="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本项目的特定资格要求：国内注册（指按国家有关规定要求注册的），生产或经营技术性能达到本次采购服务要求且具备法人资格的供应商。根据《〈政府采购法实施条例〉释义》，银行、保险、石油石化、电力、电信等有行业特殊情况的，在取得分公司营业执照后可以分支机构名义参与政府采购活动（但需提供总公司的有关文件或制度等能证明总公司授权其独立开展业务或提供总公司出具的授权其参与本项目投标的授权文件），但同一上级公司的两个分支机构不得同时参加投标。采购文件中涉及的“法定代表人”在前述特殊行业中即对应为“分支机构负责人”。</w:t>
      </w:r>
    </w:p>
    <w:p w14:paraId="6BA64D87">
      <w:pPr>
        <w:keepNext w:val="0"/>
        <w:keepLines w:val="0"/>
        <w:pageBreakBefore w:val="0"/>
        <w:widowControl w:val="0"/>
        <w:kinsoku/>
        <w:wordWrap w:val="0"/>
        <w:overflowPunct/>
        <w:topLinePunct w:val="0"/>
        <w:autoSpaceDE/>
        <w:autoSpaceDN/>
        <w:bidi w:val="0"/>
        <w:adjustRightInd/>
        <w:snapToGrid w:val="0"/>
        <w:spacing w:line="324" w:lineRule="auto"/>
        <w:ind w:left="0" w:leftChars="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 落实政府采购政策需满足的资格要求：不专门面向为中小企业。</w:t>
      </w:r>
    </w:p>
    <w:p w14:paraId="48E8071A">
      <w:pPr>
        <w:keepNext w:val="0"/>
        <w:keepLines w:val="0"/>
        <w:pageBreakBefore w:val="0"/>
        <w:widowControl w:val="0"/>
        <w:kinsoku/>
        <w:wordWrap w:val="0"/>
        <w:overflowPunct/>
        <w:topLinePunct w:val="0"/>
        <w:autoSpaceDE/>
        <w:autoSpaceDN/>
        <w:bidi w:val="0"/>
        <w:adjustRightInd/>
        <w:snapToGrid w:val="0"/>
        <w:spacing w:line="324" w:lineRule="auto"/>
        <w:ind w:left="0" w:leftChars="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 本项目不接受联合体。</w:t>
      </w:r>
    </w:p>
    <w:p w14:paraId="4EFA1208">
      <w:pPr>
        <w:keepNext w:val="0"/>
        <w:keepLines w:val="0"/>
        <w:pageBreakBefore w:val="0"/>
        <w:widowControl w:val="0"/>
        <w:kinsoku/>
        <w:wordWrap w:val="0"/>
        <w:overflowPunct/>
        <w:topLinePunct w:val="0"/>
        <w:autoSpaceDE/>
        <w:autoSpaceDN/>
        <w:bidi w:val="0"/>
        <w:adjustRightInd/>
        <w:snapToGrid w:val="0"/>
        <w:spacing w:line="324" w:lineRule="auto"/>
        <w:ind w:firstLine="482"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三、获取竞争性谈判文件</w:t>
      </w:r>
      <w:bookmarkEnd w:id="6"/>
      <w:bookmarkEnd w:id="7"/>
      <w:bookmarkEnd w:id="8"/>
      <w:bookmarkEnd w:id="9"/>
    </w:p>
    <w:p w14:paraId="37553E54">
      <w:pPr>
        <w:keepNext w:val="0"/>
        <w:keepLines w:val="0"/>
        <w:pageBreakBefore w:val="0"/>
        <w:widowControl w:val="0"/>
        <w:kinsoku/>
        <w:wordWrap w:val="0"/>
        <w:overflowPunct/>
        <w:topLinePunct w:val="0"/>
        <w:autoSpaceDE/>
        <w:autoSpaceDN/>
        <w:bidi w:val="0"/>
        <w:adjustRightInd/>
        <w:snapToGrid w:val="0"/>
        <w:spacing w:line="324" w:lineRule="auto"/>
        <w:ind w:left="0" w:leftChars="0" w:firstLine="480" w:firstLineChars="200"/>
        <w:jc w:val="both"/>
        <w:textAlignment w:val="auto"/>
        <w:rPr>
          <w:rFonts w:hint="default" w:ascii="仿宋" w:hAnsi="仿宋" w:eastAsia="仿宋" w:cs="仿宋"/>
          <w:color w:val="auto"/>
          <w:sz w:val="24"/>
          <w:szCs w:val="24"/>
          <w:highlight w:val="none"/>
          <w:lang w:val="en-US" w:eastAsia="zh-CN"/>
        </w:rPr>
      </w:pPr>
      <w:bookmarkStart w:id="15" w:name="_Toc28359082"/>
      <w:bookmarkStart w:id="16" w:name="_Toc28359005"/>
      <w:bookmarkStart w:id="17" w:name="_Toc35393624"/>
      <w:bookmarkStart w:id="18" w:name="_Toc35393793"/>
      <w:r>
        <w:rPr>
          <w:rFonts w:hint="eastAsia" w:ascii="仿宋" w:hAnsi="仿宋" w:eastAsia="仿宋" w:cs="仿宋"/>
          <w:color w:val="auto"/>
          <w:sz w:val="24"/>
          <w:szCs w:val="24"/>
          <w:highlight w:val="none"/>
        </w:rPr>
        <w:t>时间：自发布公告之日起至202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日下午</w:t>
      </w:r>
      <w:r>
        <w:rPr>
          <w:rFonts w:hint="eastAsia" w:ascii="仿宋" w:hAnsi="仿宋" w:eastAsia="仿宋" w:cs="仿宋"/>
          <w:color w:val="auto"/>
          <w:sz w:val="24"/>
          <w:szCs w:val="24"/>
          <w:highlight w:val="none"/>
          <w:lang w:val="en-US" w:eastAsia="zh-CN"/>
        </w:rPr>
        <w:t>18：00</w:t>
      </w:r>
    </w:p>
    <w:p w14:paraId="486FD9F2">
      <w:pPr>
        <w:keepNext w:val="0"/>
        <w:keepLines w:val="0"/>
        <w:pageBreakBefore w:val="0"/>
        <w:widowControl w:val="0"/>
        <w:kinsoku/>
        <w:wordWrap w:val="0"/>
        <w:overflowPunct/>
        <w:topLinePunct w:val="0"/>
        <w:autoSpaceDE/>
        <w:autoSpaceDN/>
        <w:bidi w:val="0"/>
        <w:adjustRightInd/>
        <w:snapToGrid w:val="0"/>
        <w:spacing w:line="324" w:lineRule="auto"/>
        <w:ind w:left="0" w:leftChars="0" w:firstLine="480"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获取方式：网上下载。本项目不发放纸质采购文件，供应商可自行在</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政采云”平台（http：//www.zcygov.cn）下载采购文件（操作路径：登录“政采云”平台-项目采购-获取采购文件-找到本项目-点击“申请获取采购文件”），电子响应文件制作需要基于“政采云”平台（http：//www.zcygov.cn）获取的采购文件编制。</w:t>
      </w:r>
    </w:p>
    <w:p w14:paraId="1E51F1B9">
      <w:pPr>
        <w:keepNext w:val="0"/>
        <w:keepLines w:val="0"/>
        <w:pageBreakBefore w:val="0"/>
        <w:widowControl w:val="0"/>
        <w:kinsoku/>
        <w:wordWrap w:val="0"/>
        <w:overflowPunct/>
        <w:topLinePunct w:val="0"/>
        <w:autoSpaceDE/>
        <w:autoSpaceDN/>
        <w:bidi w:val="0"/>
        <w:adjustRightInd/>
        <w:snapToGrid w:val="0"/>
        <w:spacing w:line="324"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售价：0元。</w:t>
      </w:r>
    </w:p>
    <w:p w14:paraId="1D451C3A">
      <w:pPr>
        <w:keepNext w:val="0"/>
        <w:keepLines w:val="0"/>
        <w:pageBreakBefore w:val="0"/>
        <w:widowControl w:val="0"/>
        <w:kinsoku/>
        <w:wordWrap w:val="0"/>
        <w:overflowPunct/>
        <w:topLinePunct w:val="0"/>
        <w:autoSpaceDE/>
        <w:autoSpaceDN/>
        <w:bidi w:val="0"/>
        <w:adjustRightInd/>
        <w:snapToGrid w:val="0"/>
        <w:spacing w:line="324" w:lineRule="auto"/>
        <w:ind w:firstLine="482"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w:t>
      </w:r>
      <w:bookmarkEnd w:id="15"/>
      <w:bookmarkEnd w:id="16"/>
      <w:bookmarkEnd w:id="17"/>
      <w:bookmarkEnd w:id="18"/>
      <w:r>
        <w:rPr>
          <w:rFonts w:hint="eastAsia" w:ascii="仿宋" w:hAnsi="仿宋" w:eastAsia="仿宋" w:cs="仿宋"/>
          <w:b/>
          <w:bCs/>
          <w:color w:val="auto"/>
          <w:sz w:val="24"/>
          <w:szCs w:val="24"/>
          <w:highlight w:val="none"/>
        </w:rPr>
        <w:t>响应文件提交</w:t>
      </w:r>
    </w:p>
    <w:p w14:paraId="36CB91EC">
      <w:pPr>
        <w:keepNext w:val="0"/>
        <w:keepLines w:val="0"/>
        <w:pageBreakBefore w:val="0"/>
        <w:widowControl w:val="0"/>
        <w:kinsoku/>
        <w:wordWrap w:val="0"/>
        <w:overflowPunct/>
        <w:topLinePunct w:val="0"/>
        <w:autoSpaceDE/>
        <w:autoSpaceDN/>
        <w:bidi w:val="0"/>
        <w:adjustRightInd/>
        <w:snapToGrid w:val="0"/>
        <w:spacing w:line="324" w:lineRule="auto"/>
        <w:ind w:left="0" w:leftChars="0" w:firstLine="480" w:firstLineChars="200"/>
        <w:jc w:val="both"/>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首次响应文件提交截止时间</w:t>
      </w:r>
      <w:r>
        <w:rPr>
          <w:rFonts w:hint="eastAsia" w:ascii="仿宋" w:hAnsi="仿宋" w:eastAsia="仿宋" w:cs="仿宋"/>
          <w:bCs/>
          <w:color w:val="auto"/>
          <w:sz w:val="24"/>
          <w:szCs w:val="24"/>
          <w:highlight w:val="none"/>
        </w:rPr>
        <w:t>：202</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lang w:val="en-US" w:eastAsia="zh-CN"/>
        </w:rPr>
        <w:t>11</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日9时00分</w:t>
      </w:r>
    </w:p>
    <w:p w14:paraId="19B0C239">
      <w:pPr>
        <w:keepNext w:val="0"/>
        <w:keepLines w:val="0"/>
        <w:pageBreakBefore w:val="0"/>
        <w:widowControl w:val="0"/>
        <w:kinsoku/>
        <w:wordWrap w:val="0"/>
        <w:overflowPunct/>
        <w:topLinePunct w:val="0"/>
        <w:autoSpaceDE/>
        <w:autoSpaceDN/>
        <w:bidi w:val="0"/>
        <w:adjustRightInd/>
        <w:snapToGrid w:val="0"/>
        <w:spacing w:line="324"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首次响应文件提交地点：“政采云”平台（https</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//www.zcygov.cn）</w:t>
      </w:r>
    </w:p>
    <w:p w14:paraId="40461205">
      <w:pPr>
        <w:keepNext w:val="0"/>
        <w:keepLines w:val="0"/>
        <w:pageBreakBefore w:val="0"/>
        <w:widowControl w:val="0"/>
        <w:kinsoku/>
        <w:wordWrap w:val="0"/>
        <w:overflowPunct/>
        <w:topLinePunct w:val="0"/>
        <w:autoSpaceDE/>
        <w:autoSpaceDN/>
        <w:bidi w:val="0"/>
        <w:adjustRightInd/>
        <w:snapToGrid w:val="0"/>
        <w:spacing w:line="324" w:lineRule="auto"/>
        <w:ind w:firstLine="482"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五、开启（首次响应文件开启时间）</w:t>
      </w:r>
    </w:p>
    <w:p w14:paraId="2928A1EA">
      <w:pPr>
        <w:keepNext w:val="0"/>
        <w:keepLines w:val="0"/>
        <w:pageBreakBefore w:val="0"/>
        <w:widowControl w:val="0"/>
        <w:kinsoku/>
        <w:wordWrap w:val="0"/>
        <w:overflowPunct/>
        <w:topLinePunct w:val="0"/>
        <w:autoSpaceDE/>
        <w:autoSpaceDN/>
        <w:bidi w:val="0"/>
        <w:adjustRightInd/>
        <w:snapToGrid w:val="0"/>
        <w:spacing w:line="324" w:lineRule="auto"/>
        <w:ind w:left="0" w:leftChars="0" w:firstLine="480" w:firstLineChars="200"/>
        <w:jc w:val="both"/>
        <w:textAlignment w:val="auto"/>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1.时间</w:t>
      </w:r>
      <w:r>
        <w:rPr>
          <w:rFonts w:hint="eastAsia" w:ascii="仿宋" w:hAnsi="仿宋" w:eastAsia="仿宋" w:cs="仿宋"/>
          <w:bCs/>
          <w:color w:val="auto"/>
          <w:sz w:val="24"/>
          <w:szCs w:val="24"/>
          <w:highlight w:val="none"/>
        </w:rPr>
        <w:t>（北京时间）</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202</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lang w:val="en-US" w:eastAsia="zh-CN"/>
        </w:rPr>
        <w:t>11</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日9时00分</w:t>
      </w:r>
      <w:r>
        <w:rPr>
          <w:rFonts w:hint="eastAsia" w:ascii="仿宋" w:hAnsi="仿宋" w:eastAsia="仿宋" w:cs="仿宋"/>
          <w:color w:val="auto"/>
          <w:sz w:val="24"/>
          <w:szCs w:val="24"/>
          <w:highlight w:val="none"/>
        </w:rPr>
        <w:t>后</w:t>
      </w:r>
    </w:p>
    <w:p w14:paraId="08441BA0">
      <w:pPr>
        <w:keepNext w:val="0"/>
        <w:keepLines w:val="0"/>
        <w:pageBreakBefore w:val="0"/>
        <w:widowControl w:val="0"/>
        <w:kinsoku/>
        <w:wordWrap w:val="0"/>
        <w:overflowPunct/>
        <w:topLinePunct w:val="0"/>
        <w:autoSpaceDE/>
        <w:autoSpaceDN/>
        <w:bidi w:val="0"/>
        <w:adjustRightInd/>
        <w:snapToGrid w:val="0"/>
        <w:spacing w:line="324" w:lineRule="auto"/>
        <w:ind w:left="0" w:leftChars="0" w:firstLine="480" w:firstLineChars="200"/>
        <w:jc w:val="both"/>
        <w:textAlignment w:val="auto"/>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2.地点：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政采云”平台</w:t>
      </w:r>
      <w:r>
        <w:rPr>
          <w:rFonts w:hint="eastAsia" w:ascii="仿宋" w:hAnsi="仿宋" w:eastAsia="仿宋" w:cs="仿宋"/>
          <w:color w:val="auto"/>
          <w:sz w:val="24"/>
          <w:szCs w:val="24"/>
          <w:highlight w:val="none"/>
          <w:u w:val="none"/>
        </w:rPr>
        <w:t>开标大厅</w:t>
      </w:r>
    </w:p>
    <w:p w14:paraId="0CCD0D2C">
      <w:pPr>
        <w:keepNext w:val="0"/>
        <w:keepLines w:val="0"/>
        <w:pageBreakBefore w:val="0"/>
        <w:widowControl w:val="0"/>
        <w:kinsoku/>
        <w:wordWrap w:val="0"/>
        <w:overflowPunct/>
        <w:topLinePunct w:val="0"/>
        <w:autoSpaceDE/>
        <w:autoSpaceDN/>
        <w:bidi w:val="0"/>
        <w:adjustRightInd/>
        <w:snapToGrid w:val="0"/>
        <w:spacing w:line="324" w:lineRule="auto"/>
        <w:ind w:firstLine="482" w:firstLineChars="200"/>
        <w:jc w:val="both"/>
        <w:textAlignment w:val="auto"/>
        <w:rPr>
          <w:rFonts w:hint="eastAsia" w:ascii="仿宋" w:hAnsi="仿宋" w:eastAsia="仿宋" w:cs="仿宋"/>
          <w:b/>
          <w:bCs/>
          <w:color w:val="auto"/>
          <w:sz w:val="24"/>
          <w:szCs w:val="24"/>
          <w:highlight w:val="none"/>
        </w:rPr>
      </w:pPr>
      <w:bookmarkStart w:id="19" w:name="_Toc28359084"/>
      <w:bookmarkStart w:id="20" w:name="_Toc28359007"/>
      <w:bookmarkStart w:id="21" w:name="_Toc35393794"/>
      <w:bookmarkStart w:id="22" w:name="_Toc35393625"/>
      <w:r>
        <w:rPr>
          <w:rFonts w:hint="eastAsia" w:ascii="仿宋" w:hAnsi="仿宋" w:eastAsia="仿宋" w:cs="仿宋"/>
          <w:b/>
          <w:bCs/>
          <w:color w:val="auto"/>
          <w:sz w:val="24"/>
          <w:szCs w:val="24"/>
          <w:highlight w:val="none"/>
        </w:rPr>
        <w:t>六、公告期限</w:t>
      </w:r>
      <w:bookmarkEnd w:id="19"/>
      <w:bookmarkEnd w:id="20"/>
      <w:bookmarkEnd w:id="21"/>
      <w:bookmarkEnd w:id="22"/>
    </w:p>
    <w:p w14:paraId="035802CA">
      <w:pPr>
        <w:keepNext w:val="0"/>
        <w:keepLines w:val="0"/>
        <w:pageBreakBefore w:val="0"/>
        <w:widowControl w:val="0"/>
        <w:kinsoku/>
        <w:wordWrap w:val="0"/>
        <w:overflowPunct/>
        <w:topLinePunct w:val="0"/>
        <w:autoSpaceDE/>
        <w:autoSpaceDN/>
        <w:bidi w:val="0"/>
        <w:adjustRightInd/>
        <w:snapToGrid w:val="0"/>
        <w:spacing w:line="324" w:lineRule="auto"/>
        <w:ind w:left="0" w:leftChars="0" w:firstLine="480" w:firstLineChars="20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自本公告发布之日起3个工作日。</w:t>
      </w:r>
    </w:p>
    <w:p w14:paraId="4EC31AF4">
      <w:pPr>
        <w:keepNext w:val="0"/>
        <w:keepLines w:val="0"/>
        <w:pageBreakBefore w:val="0"/>
        <w:widowControl w:val="0"/>
        <w:kinsoku/>
        <w:wordWrap w:val="0"/>
        <w:overflowPunct/>
        <w:topLinePunct w:val="0"/>
        <w:autoSpaceDE/>
        <w:autoSpaceDN/>
        <w:bidi w:val="0"/>
        <w:adjustRightInd/>
        <w:snapToGrid w:val="0"/>
        <w:spacing w:line="324" w:lineRule="auto"/>
        <w:ind w:firstLine="482" w:firstLineChars="200"/>
        <w:jc w:val="both"/>
        <w:textAlignment w:val="auto"/>
        <w:rPr>
          <w:rFonts w:hint="eastAsia" w:ascii="仿宋" w:hAnsi="仿宋" w:eastAsia="仿宋" w:cs="仿宋"/>
          <w:b/>
          <w:bCs/>
          <w:color w:val="auto"/>
          <w:sz w:val="24"/>
          <w:szCs w:val="24"/>
          <w:highlight w:val="none"/>
        </w:rPr>
      </w:pPr>
      <w:bookmarkStart w:id="23" w:name="_Toc35393626"/>
      <w:bookmarkStart w:id="24" w:name="_Toc35393795"/>
      <w:r>
        <w:rPr>
          <w:rFonts w:hint="eastAsia" w:ascii="仿宋" w:hAnsi="仿宋" w:eastAsia="仿宋" w:cs="仿宋"/>
          <w:b/>
          <w:bCs/>
          <w:color w:val="auto"/>
          <w:sz w:val="24"/>
          <w:szCs w:val="24"/>
          <w:highlight w:val="none"/>
        </w:rPr>
        <w:t>七、其他补充事宜</w:t>
      </w:r>
      <w:bookmarkEnd w:id="23"/>
      <w:bookmarkEnd w:id="24"/>
    </w:p>
    <w:p w14:paraId="4BF2F50E">
      <w:pPr>
        <w:keepNext w:val="0"/>
        <w:keepLines w:val="0"/>
        <w:pageBreakBefore w:val="0"/>
        <w:widowControl w:val="0"/>
        <w:kinsoku/>
        <w:wordWrap w:val="0"/>
        <w:overflowPunct/>
        <w:topLinePunct w:val="0"/>
        <w:autoSpaceDE/>
        <w:autoSpaceDN/>
        <w:bidi w:val="0"/>
        <w:adjustRightInd/>
        <w:snapToGrid w:val="0"/>
        <w:spacing w:line="324" w:lineRule="auto"/>
        <w:ind w:lef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保证金：</w:t>
      </w:r>
      <w:r>
        <w:rPr>
          <w:rFonts w:hint="eastAsia" w:ascii="仿宋" w:hAnsi="仿宋" w:eastAsia="仿宋" w:cs="仿宋"/>
          <w:b/>
          <w:bCs/>
          <w:color w:val="auto"/>
          <w:sz w:val="24"/>
          <w:szCs w:val="24"/>
          <w:highlight w:val="none"/>
          <w:lang w:val="en-US" w:eastAsia="zh-CN"/>
        </w:rPr>
        <w:t>本项目不需要交纳谈判保证金</w:t>
      </w:r>
      <w:r>
        <w:rPr>
          <w:rFonts w:hint="eastAsia" w:ascii="仿宋" w:hAnsi="仿宋" w:eastAsia="仿宋" w:cs="仿宋"/>
          <w:b/>
          <w:bCs/>
          <w:color w:val="auto"/>
          <w:sz w:val="24"/>
          <w:szCs w:val="24"/>
          <w:highlight w:val="none"/>
          <w:u w:val="none"/>
          <w:lang w:eastAsia="zh-CN"/>
        </w:rPr>
        <w:t>。</w:t>
      </w:r>
    </w:p>
    <w:p w14:paraId="5D927C70">
      <w:pPr>
        <w:keepNext w:val="0"/>
        <w:keepLines w:val="0"/>
        <w:pageBreakBefore w:val="0"/>
        <w:widowControl w:val="0"/>
        <w:kinsoku/>
        <w:wordWrap w:val="0"/>
        <w:overflowPunct/>
        <w:topLinePunct w:val="0"/>
        <w:autoSpaceDE/>
        <w:autoSpaceDN/>
        <w:bidi w:val="0"/>
        <w:adjustRightInd/>
        <w:snapToGrid w:val="0"/>
        <w:spacing w:line="324" w:lineRule="auto"/>
        <w:ind w:left="0" w:leftChars="0" w:firstLine="480" w:firstLineChars="20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bookmarkStart w:id="25" w:name="_Hlk37429585"/>
      <w:bookmarkStart w:id="26" w:name="_Hlk37429595"/>
      <w:r>
        <w:rPr>
          <w:rFonts w:hint="eastAsia" w:ascii="仿宋" w:hAnsi="仿宋" w:eastAsia="仿宋" w:cs="仿宋"/>
          <w:color w:val="auto"/>
          <w:kern w:val="0"/>
          <w:sz w:val="24"/>
          <w:szCs w:val="24"/>
          <w:highlight w:val="none"/>
        </w:rPr>
        <w:t>网上查询地址</w:t>
      </w:r>
      <w:r>
        <w:rPr>
          <w:rFonts w:hint="eastAsia" w:ascii="仿宋" w:hAnsi="仿宋" w:eastAsia="仿宋" w:cs="仿宋"/>
          <w:color w:val="auto"/>
          <w:kern w:val="0"/>
          <w:sz w:val="24"/>
          <w:szCs w:val="24"/>
          <w:highlight w:val="none"/>
          <w:lang w:eastAsia="zh-CN"/>
        </w:rPr>
        <w:t>：</w:t>
      </w:r>
      <w:bookmarkEnd w:id="25"/>
      <w:bookmarkEnd w:id="26"/>
      <w:bookmarkStart w:id="27" w:name="_Hlk37429674"/>
      <w:r>
        <w:rPr>
          <w:rFonts w:hint="eastAsia" w:ascii="仿宋" w:hAnsi="仿宋" w:eastAsia="仿宋" w:cs="仿宋"/>
          <w:color w:val="auto"/>
          <w:kern w:val="0"/>
          <w:sz w:val="24"/>
          <w:szCs w:val="24"/>
          <w:highlight w:val="none"/>
        </w:rPr>
        <w:t>中国政府采购网</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广西壮族自治区政府采购网</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梧州市政府采购网</w:t>
      </w:r>
    </w:p>
    <w:p w14:paraId="40D3713D">
      <w:pPr>
        <w:keepNext w:val="0"/>
        <w:keepLines w:val="0"/>
        <w:pageBreakBefore w:val="0"/>
        <w:widowControl w:val="0"/>
        <w:kinsoku/>
        <w:wordWrap w:val="0"/>
        <w:overflowPunct/>
        <w:topLinePunct w:val="0"/>
        <w:autoSpaceDE/>
        <w:autoSpaceDN/>
        <w:bidi w:val="0"/>
        <w:adjustRightInd/>
        <w:snapToGrid w:val="0"/>
        <w:spacing w:line="324" w:lineRule="auto"/>
        <w:ind w:left="0" w:leftChars="0" w:firstLine="480" w:firstLineChars="200"/>
        <w:jc w:val="both"/>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本项目需要落实的政府采购政策</w:t>
      </w:r>
      <w:r>
        <w:rPr>
          <w:rFonts w:hint="eastAsia" w:ascii="仿宋" w:hAnsi="仿宋" w:eastAsia="仿宋" w:cs="仿宋"/>
          <w:color w:val="auto"/>
          <w:kern w:val="0"/>
          <w:sz w:val="24"/>
          <w:szCs w:val="24"/>
          <w:highlight w:val="none"/>
          <w:lang w:eastAsia="zh-CN"/>
        </w:rPr>
        <w:t>：</w:t>
      </w:r>
      <w:bookmarkEnd w:id="27"/>
      <w:r>
        <w:rPr>
          <w:rFonts w:hint="eastAsia" w:ascii="仿宋" w:hAnsi="仿宋" w:eastAsia="仿宋" w:cs="仿宋"/>
          <w:color w:val="auto"/>
          <w:kern w:val="0"/>
          <w:sz w:val="24"/>
          <w:szCs w:val="24"/>
          <w:highlight w:val="none"/>
          <w:lang w:eastAsia="zh-CN"/>
        </w:rPr>
        <w:t>（1）《政府采购促进中小企业发展管理办法》（财库〔2020〕46号）；（2）《关于政府采购支持监狱企业发展有关问题的通知》（财库〔2014〕68号）；（3）《关于促进残疾人就业政府采购政策的通知》（财库〔2017〕141号）；（4）《财政部国家发展改革委关于印发〈节能产品政府采购实施意见〉的通知》（财库〔2004〕185号）；（5）《财政部、国家环保总局联合印发&lt;关于环境标志产品政府采购实施的意见&gt;》（财库〔2006〕90号）。</w:t>
      </w:r>
    </w:p>
    <w:p w14:paraId="0D12D2F8">
      <w:pPr>
        <w:keepNext w:val="0"/>
        <w:keepLines w:val="0"/>
        <w:pageBreakBefore w:val="0"/>
        <w:widowControl w:val="0"/>
        <w:kinsoku/>
        <w:wordWrap w:val="0"/>
        <w:overflowPunct/>
        <w:topLinePunct w:val="0"/>
        <w:autoSpaceDE/>
        <w:autoSpaceDN/>
        <w:bidi w:val="0"/>
        <w:adjustRightInd/>
        <w:snapToGrid w:val="0"/>
        <w:spacing w:line="324" w:lineRule="auto"/>
        <w:ind w:left="0" w:leftChars="0" w:firstLine="480" w:firstLineChars="20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.在线投标响应（电子投标）说明</w:t>
      </w:r>
    </w:p>
    <w:p w14:paraId="4F0DF845">
      <w:pPr>
        <w:keepNext w:val="0"/>
        <w:keepLines w:val="0"/>
        <w:pageBreakBefore w:val="0"/>
        <w:widowControl w:val="0"/>
        <w:kinsoku/>
        <w:wordWrap w:val="0"/>
        <w:overflowPunct/>
        <w:topLinePunct w:val="0"/>
        <w:autoSpaceDE/>
        <w:autoSpaceDN/>
        <w:bidi w:val="0"/>
        <w:adjustRightInd/>
        <w:snapToGrid w:val="0"/>
        <w:spacing w:line="324" w:lineRule="auto"/>
        <w:ind w:left="0" w:leftChars="0" w:firstLine="480" w:firstLineChars="20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（1）本项目实行电子标，供应商应按照本项目采购文件和政采云平台的要求编制、加密并提交响应文件。供应商在使用系统参与</w:t>
      </w:r>
      <w:r>
        <w:rPr>
          <w:rFonts w:hint="eastAsia" w:ascii="仿宋" w:hAnsi="仿宋" w:eastAsia="仿宋" w:cs="仿宋"/>
          <w:color w:val="auto"/>
          <w:kern w:val="0"/>
          <w:sz w:val="24"/>
          <w:szCs w:val="24"/>
          <w:highlight w:val="none"/>
          <w:lang w:val="en-US" w:eastAsia="zh-CN"/>
        </w:rPr>
        <w:t>谈判</w:t>
      </w:r>
      <w:r>
        <w:rPr>
          <w:rFonts w:hint="eastAsia" w:ascii="仿宋" w:hAnsi="仿宋" w:eastAsia="仿宋" w:cs="仿宋"/>
          <w:color w:val="auto"/>
          <w:kern w:val="0"/>
          <w:sz w:val="24"/>
          <w:szCs w:val="24"/>
          <w:highlight w:val="none"/>
        </w:rPr>
        <w:t>过程中遇到涉及平台使用的任何问题，可致电政采云平台技术支持热线咨询，联系方式：95763。</w:t>
      </w:r>
    </w:p>
    <w:p w14:paraId="4655E00F">
      <w:pPr>
        <w:keepNext w:val="0"/>
        <w:keepLines w:val="0"/>
        <w:pageBreakBefore w:val="0"/>
        <w:widowControl w:val="0"/>
        <w:kinsoku/>
        <w:wordWrap w:val="0"/>
        <w:overflowPunct/>
        <w:topLinePunct w:val="0"/>
        <w:autoSpaceDE/>
        <w:autoSpaceDN/>
        <w:bidi w:val="0"/>
        <w:adjustRightInd/>
        <w:snapToGrid w:val="0"/>
        <w:spacing w:line="324" w:lineRule="auto"/>
        <w:ind w:left="0" w:leftChars="0" w:firstLine="480" w:firstLineChars="20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（2）供应商应及时熟悉掌握电子标系统操作指南（见政采云电子卖场首页右上角-服务中心-帮助文档-项目采购）：https</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//service.zcygov.cn/#/knowledges/tree?tag=AG1DtGwBFdiHxlNdhY0r。</w:t>
      </w:r>
    </w:p>
    <w:p w14:paraId="29059841">
      <w:pPr>
        <w:keepNext w:val="0"/>
        <w:keepLines w:val="0"/>
        <w:pageBreakBefore w:val="0"/>
        <w:widowControl w:val="0"/>
        <w:kinsoku/>
        <w:wordWrap w:val="0"/>
        <w:overflowPunct/>
        <w:topLinePunct w:val="0"/>
        <w:autoSpaceDE/>
        <w:autoSpaceDN/>
        <w:bidi w:val="0"/>
        <w:adjustRightInd/>
        <w:snapToGrid w:val="0"/>
        <w:spacing w:line="324" w:lineRule="auto"/>
        <w:ind w:left="0" w:leftChars="0" w:firstLine="480" w:firstLineChars="200"/>
        <w:jc w:val="both"/>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（3）供应商应及时完成CA申领和绑定（见广西壮族自治区政府采购网-办事服务-下载专区-政采云CA证书办理操作指南）</w:t>
      </w:r>
      <w:r>
        <w:rPr>
          <w:rFonts w:hint="eastAsia" w:ascii="仿宋" w:hAnsi="仿宋" w:eastAsia="仿宋" w:cs="仿宋"/>
          <w:color w:val="auto"/>
          <w:kern w:val="0"/>
          <w:sz w:val="24"/>
          <w:szCs w:val="24"/>
          <w:highlight w:val="none"/>
          <w:lang w:eastAsia="zh-CN"/>
        </w:rPr>
        <w:t>。</w:t>
      </w:r>
    </w:p>
    <w:p w14:paraId="6D5BDD6F">
      <w:pPr>
        <w:keepNext w:val="0"/>
        <w:keepLines w:val="0"/>
        <w:pageBreakBefore w:val="0"/>
        <w:widowControl w:val="0"/>
        <w:kinsoku/>
        <w:wordWrap w:val="0"/>
        <w:overflowPunct/>
        <w:topLinePunct w:val="0"/>
        <w:autoSpaceDE/>
        <w:autoSpaceDN/>
        <w:bidi w:val="0"/>
        <w:adjustRightInd/>
        <w:snapToGrid w:val="0"/>
        <w:spacing w:line="324" w:lineRule="auto"/>
        <w:ind w:left="0" w:leftChars="0" w:firstLine="480" w:firstLineChars="20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供应商通过政采云投标客户端软件制作响应文件，政采云投标客户端软件请供应商自行前往下载并安装（见广西壮族自治区政府采购网-办事服务-下载专区-广西壮族自治区全流程电子招投标项目管理系统-供应商客户端）。</w:t>
      </w:r>
    </w:p>
    <w:p w14:paraId="4EA16103">
      <w:pPr>
        <w:keepNext w:val="0"/>
        <w:keepLines w:val="0"/>
        <w:pageBreakBefore w:val="0"/>
        <w:widowControl w:val="0"/>
        <w:kinsoku/>
        <w:wordWrap w:val="0"/>
        <w:overflowPunct/>
        <w:topLinePunct w:val="0"/>
        <w:autoSpaceDE/>
        <w:autoSpaceDN/>
        <w:bidi w:val="0"/>
        <w:adjustRightInd/>
        <w:snapToGrid w:val="0"/>
        <w:spacing w:line="324" w:lineRule="auto"/>
        <w:ind w:left="0" w:leftChars="0" w:firstLine="480" w:firstLineChars="20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（5）因未注册入库、未办理CA数字证书、CA证书故障、操作不当等原因造成无法参与或</w:t>
      </w:r>
      <w:r>
        <w:rPr>
          <w:rFonts w:hint="eastAsia" w:ascii="仿宋" w:hAnsi="仿宋" w:eastAsia="仿宋" w:cs="仿宋"/>
          <w:color w:val="auto"/>
          <w:kern w:val="0"/>
          <w:sz w:val="24"/>
          <w:szCs w:val="24"/>
          <w:highlight w:val="none"/>
          <w:lang w:val="en-US" w:eastAsia="zh-CN"/>
        </w:rPr>
        <w:t>谈判</w:t>
      </w:r>
      <w:r>
        <w:rPr>
          <w:rFonts w:hint="eastAsia" w:ascii="仿宋" w:hAnsi="仿宋" w:eastAsia="仿宋" w:cs="仿宋"/>
          <w:color w:val="auto"/>
          <w:kern w:val="0"/>
          <w:sz w:val="24"/>
          <w:szCs w:val="24"/>
          <w:highlight w:val="none"/>
        </w:rPr>
        <w:t>失败等后果由供应商自行承担。</w:t>
      </w:r>
    </w:p>
    <w:p w14:paraId="73A24C30">
      <w:pPr>
        <w:keepNext w:val="0"/>
        <w:keepLines w:val="0"/>
        <w:pageBreakBefore w:val="0"/>
        <w:widowControl w:val="0"/>
        <w:kinsoku/>
        <w:wordWrap w:val="0"/>
        <w:overflowPunct/>
        <w:topLinePunct w:val="0"/>
        <w:autoSpaceDE/>
        <w:autoSpaceDN/>
        <w:bidi w:val="0"/>
        <w:adjustRightInd/>
        <w:snapToGrid w:val="0"/>
        <w:spacing w:line="324" w:lineRule="auto"/>
        <w:ind w:left="0" w:leftChars="0" w:firstLine="480" w:firstLineChars="20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响应文件网上递交截止后，政采云（电子标系统）自动提取所有响应文件，各供应商须在开启程序开始后30分钟内对上传政采云的响应文件进行解密，所有供应商在规定的解密时限内解密完成或解密时限结束后，</w:t>
      </w:r>
      <w:r>
        <w:rPr>
          <w:rFonts w:hint="eastAsia" w:ascii="仿宋" w:hAnsi="仿宋" w:eastAsia="仿宋" w:cs="仿宋"/>
          <w:color w:val="auto"/>
          <w:kern w:val="0"/>
          <w:sz w:val="24"/>
          <w:szCs w:val="24"/>
          <w:highlight w:val="none"/>
          <w:lang w:val="en-US" w:eastAsia="zh-CN"/>
        </w:rPr>
        <w:t>采购代理机构</w:t>
      </w:r>
      <w:r>
        <w:rPr>
          <w:rFonts w:hint="eastAsia" w:ascii="仿宋" w:hAnsi="仿宋" w:eastAsia="仿宋" w:cs="仿宋"/>
          <w:color w:val="auto"/>
          <w:kern w:val="0"/>
          <w:sz w:val="24"/>
          <w:szCs w:val="24"/>
          <w:highlight w:val="none"/>
        </w:rPr>
        <w:t>开启响应文件；供应商超过解密时限的，系统默认自动放弃。</w:t>
      </w:r>
    </w:p>
    <w:p w14:paraId="3E82F32E">
      <w:pPr>
        <w:keepNext w:val="0"/>
        <w:keepLines w:val="0"/>
        <w:pageBreakBefore w:val="0"/>
        <w:widowControl w:val="0"/>
        <w:kinsoku/>
        <w:wordWrap w:val="0"/>
        <w:overflowPunct/>
        <w:topLinePunct w:val="0"/>
        <w:autoSpaceDE/>
        <w:autoSpaceDN/>
        <w:bidi w:val="0"/>
        <w:adjustRightInd/>
        <w:snapToGrid w:val="0"/>
        <w:spacing w:line="324"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383A3D8">
      <w:pPr>
        <w:keepNext w:val="0"/>
        <w:keepLines w:val="0"/>
        <w:pageBreakBefore w:val="0"/>
        <w:widowControl w:val="0"/>
        <w:kinsoku/>
        <w:wordWrap w:val="0"/>
        <w:overflowPunct/>
        <w:topLinePunct w:val="0"/>
        <w:autoSpaceDE/>
        <w:autoSpaceDN/>
        <w:bidi w:val="0"/>
        <w:adjustRightInd/>
        <w:snapToGrid w:val="0"/>
        <w:spacing w:line="324"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.对在“信用中国”网站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www.creditchina.gov.cn</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、中国政府采购网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www.ccgp.gov.cn</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被列入失信被执行人、</w:t>
      </w:r>
      <w:r>
        <w:rPr>
          <w:rFonts w:hint="eastAsia" w:ascii="仿宋" w:hAnsi="仿宋" w:eastAsia="仿宋" w:cs="仿宋"/>
          <w:color w:val="auto"/>
          <w:sz w:val="24"/>
          <w:szCs w:val="24"/>
          <w:highlight w:val="none"/>
          <w:lang w:eastAsia="zh-CN"/>
        </w:rPr>
        <w:t>重大税收违法失信主体</w:t>
      </w:r>
      <w:r>
        <w:rPr>
          <w:rFonts w:hint="eastAsia" w:ascii="仿宋" w:hAnsi="仿宋" w:eastAsia="仿宋" w:cs="仿宋"/>
          <w:color w:val="auto"/>
          <w:sz w:val="24"/>
          <w:szCs w:val="24"/>
          <w:highlight w:val="none"/>
        </w:rPr>
        <w:t>、政府采购严重违法失信行为记录名单及其他不符合《中华人民共和国政府采购法》第二十二条规定条件的供应商，不得参与政府采购活动。</w:t>
      </w:r>
    </w:p>
    <w:p w14:paraId="05D91C95">
      <w:pPr>
        <w:keepNext w:val="0"/>
        <w:keepLines w:val="0"/>
        <w:pageBreakBefore w:val="0"/>
        <w:widowControl w:val="0"/>
        <w:kinsoku/>
        <w:wordWrap w:val="0"/>
        <w:overflowPunct/>
        <w:topLinePunct w:val="0"/>
        <w:autoSpaceDE/>
        <w:autoSpaceDN/>
        <w:bidi w:val="0"/>
        <w:adjustRightInd/>
        <w:snapToGrid w:val="0"/>
        <w:spacing w:line="324" w:lineRule="auto"/>
        <w:ind w:left="0" w:leftChars="0" w:firstLine="482"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
          <w:color w:val="auto"/>
          <w:kern w:val="44"/>
          <w:sz w:val="24"/>
          <w:szCs w:val="24"/>
          <w:highlight w:val="none"/>
        </w:rPr>
        <w:t>八、凡对本次采购提出询问，请按以下方式联系</w:t>
      </w:r>
    </w:p>
    <w:p w14:paraId="47206A98">
      <w:pPr>
        <w:keepNext w:val="0"/>
        <w:keepLines w:val="0"/>
        <w:pageBreakBefore w:val="0"/>
        <w:widowControl w:val="0"/>
        <w:kinsoku/>
        <w:wordWrap w:val="0"/>
        <w:overflowPunct/>
        <w:topLinePunct w:val="0"/>
        <w:autoSpaceDE/>
        <w:autoSpaceDN/>
        <w:bidi w:val="0"/>
        <w:adjustRightInd/>
        <w:snapToGrid w:val="0"/>
        <w:spacing w:line="324" w:lineRule="auto"/>
        <w:ind w:left="0" w:leftChars="0" w:firstLine="480" w:firstLineChars="200"/>
        <w:jc w:val="both"/>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val="en-US" w:eastAsia="zh-CN"/>
        </w:rPr>
        <w:t>1.</w:t>
      </w:r>
      <w:r>
        <w:rPr>
          <w:rFonts w:hint="eastAsia" w:ascii="仿宋" w:hAnsi="仿宋" w:eastAsia="仿宋" w:cs="仿宋"/>
          <w:color w:val="auto"/>
          <w:sz w:val="24"/>
          <w:szCs w:val="24"/>
          <w:highlight w:val="none"/>
          <w:u w:val="none"/>
          <w:lang w:eastAsia="zh-CN"/>
        </w:rPr>
        <w:t>采购单位：梧州市司法局</w:t>
      </w:r>
    </w:p>
    <w:p w14:paraId="772FC08C">
      <w:pPr>
        <w:keepNext w:val="0"/>
        <w:keepLines w:val="0"/>
        <w:pageBreakBefore w:val="0"/>
        <w:widowControl w:val="0"/>
        <w:kinsoku/>
        <w:wordWrap w:val="0"/>
        <w:overflowPunct/>
        <w:topLinePunct w:val="0"/>
        <w:autoSpaceDE/>
        <w:autoSpaceDN/>
        <w:bidi w:val="0"/>
        <w:adjustRightInd/>
        <w:snapToGrid w:val="0"/>
        <w:spacing w:line="324" w:lineRule="auto"/>
        <w:ind w:left="0" w:leftChars="0" w:firstLine="480" w:firstLineChars="200"/>
        <w:jc w:val="both"/>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eastAsia="zh-CN"/>
        </w:rPr>
        <w:t>地    址：</w:t>
      </w:r>
      <w:r>
        <w:rPr>
          <w:rFonts w:hint="eastAsia" w:ascii="仿宋" w:hAnsi="仿宋" w:eastAsia="仿宋" w:cs="仿宋"/>
          <w:color w:val="auto"/>
          <w:sz w:val="24"/>
          <w:szCs w:val="24"/>
          <w:highlight w:val="none"/>
          <w:u w:val="none"/>
          <w:lang w:val="en-US" w:eastAsia="zh-CN"/>
        </w:rPr>
        <w:t>梧州市长洲区健康路8号</w:t>
      </w:r>
    </w:p>
    <w:p w14:paraId="1AF6A652">
      <w:pPr>
        <w:keepNext w:val="0"/>
        <w:keepLines w:val="0"/>
        <w:pageBreakBefore w:val="0"/>
        <w:widowControl w:val="0"/>
        <w:kinsoku/>
        <w:wordWrap w:val="0"/>
        <w:overflowPunct/>
        <w:topLinePunct w:val="0"/>
        <w:autoSpaceDE/>
        <w:autoSpaceDN/>
        <w:bidi w:val="0"/>
        <w:adjustRightInd/>
        <w:snapToGrid w:val="0"/>
        <w:spacing w:line="324" w:lineRule="auto"/>
        <w:ind w:left="0" w:leftChars="0" w:firstLine="480" w:firstLineChars="200"/>
        <w:jc w:val="both"/>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eastAsia="zh-CN"/>
        </w:rPr>
        <w:t>联 系 人：</w:t>
      </w:r>
      <w:r>
        <w:rPr>
          <w:rFonts w:hint="eastAsia" w:ascii="仿宋" w:hAnsi="仿宋" w:eastAsia="仿宋" w:cs="仿宋"/>
          <w:color w:val="auto"/>
          <w:sz w:val="24"/>
          <w:szCs w:val="24"/>
          <w:highlight w:val="none"/>
          <w:u w:val="none"/>
          <w:lang w:val="en-US" w:eastAsia="zh-CN"/>
        </w:rPr>
        <w:t>梁小姐</w:t>
      </w:r>
    </w:p>
    <w:p w14:paraId="69395182">
      <w:pPr>
        <w:keepNext w:val="0"/>
        <w:keepLines w:val="0"/>
        <w:pageBreakBefore w:val="0"/>
        <w:widowControl w:val="0"/>
        <w:kinsoku/>
        <w:wordWrap w:val="0"/>
        <w:overflowPunct/>
        <w:topLinePunct w:val="0"/>
        <w:autoSpaceDE/>
        <w:autoSpaceDN/>
        <w:bidi w:val="0"/>
        <w:adjustRightInd/>
        <w:snapToGrid w:val="0"/>
        <w:spacing w:line="324" w:lineRule="auto"/>
        <w:ind w:left="0" w:leftChars="0" w:firstLine="480" w:firstLineChars="200"/>
        <w:jc w:val="both"/>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联系电话：</w:t>
      </w:r>
      <w:r>
        <w:rPr>
          <w:rFonts w:hint="eastAsia" w:ascii="仿宋" w:hAnsi="仿宋" w:eastAsia="仿宋" w:cs="仿宋"/>
          <w:color w:val="auto"/>
          <w:sz w:val="24"/>
          <w:szCs w:val="24"/>
          <w:highlight w:val="none"/>
          <w:u w:val="none"/>
          <w:lang w:val="en-US" w:eastAsia="zh-CN"/>
        </w:rPr>
        <w:t>0774-3823502</w:t>
      </w:r>
      <w:r>
        <w:rPr>
          <w:rFonts w:hint="eastAsia" w:ascii="仿宋" w:hAnsi="仿宋" w:eastAsia="仿宋" w:cs="仿宋"/>
          <w:color w:val="auto"/>
          <w:sz w:val="24"/>
          <w:szCs w:val="24"/>
          <w:highlight w:val="none"/>
          <w:u w:val="none"/>
          <w:lang w:eastAsia="zh-CN"/>
        </w:rPr>
        <w:t xml:space="preserve">  </w:t>
      </w:r>
    </w:p>
    <w:p w14:paraId="467F37FF">
      <w:pPr>
        <w:keepNext w:val="0"/>
        <w:keepLines w:val="0"/>
        <w:pageBreakBefore w:val="0"/>
        <w:widowControl w:val="0"/>
        <w:kinsoku/>
        <w:wordWrap w:val="0"/>
        <w:overflowPunct/>
        <w:topLinePunct w:val="0"/>
        <w:autoSpaceDE/>
        <w:autoSpaceDN/>
        <w:bidi w:val="0"/>
        <w:adjustRightInd/>
        <w:snapToGrid w:val="0"/>
        <w:spacing w:line="324" w:lineRule="auto"/>
        <w:ind w:left="0" w:leftChars="0" w:firstLine="480" w:firstLineChars="200"/>
        <w:jc w:val="both"/>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val="en-US" w:eastAsia="zh-CN"/>
        </w:rPr>
        <w:t>2.</w:t>
      </w:r>
      <w:r>
        <w:rPr>
          <w:rFonts w:hint="eastAsia" w:ascii="仿宋" w:hAnsi="仿宋" w:eastAsia="仿宋" w:cs="仿宋"/>
          <w:color w:val="auto"/>
          <w:sz w:val="24"/>
          <w:szCs w:val="24"/>
          <w:highlight w:val="none"/>
          <w:u w:val="none"/>
          <w:lang w:eastAsia="zh-CN"/>
        </w:rPr>
        <w:t>采购代理机构：广西大融合工程咨询有限公司</w:t>
      </w:r>
    </w:p>
    <w:p w14:paraId="0E5E8142">
      <w:pPr>
        <w:keepNext w:val="0"/>
        <w:keepLines w:val="0"/>
        <w:pageBreakBefore w:val="0"/>
        <w:widowControl w:val="0"/>
        <w:kinsoku/>
        <w:wordWrap w:val="0"/>
        <w:overflowPunct/>
        <w:topLinePunct w:val="0"/>
        <w:autoSpaceDE/>
        <w:autoSpaceDN/>
        <w:bidi w:val="0"/>
        <w:adjustRightInd/>
        <w:snapToGrid w:val="0"/>
        <w:spacing w:line="324" w:lineRule="auto"/>
        <w:ind w:left="0" w:leftChars="0" w:firstLine="480" w:firstLineChars="200"/>
        <w:jc w:val="both"/>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地　址：梧州市长洲区西环路上段16号丰业山庄B区41幢</w:t>
      </w:r>
    </w:p>
    <w:p w14:paraId="0BD40BD7">
      <w:pPr>
        <w:keepNext w:val="0"/>
        <w:keepLines w:val="0"/>
        <w:pageBreakBefore w:val="0"/>
        <w:widowControl w:val="0"/>
        <w:kinsoku/>
        <w:wordWrap w:val="0"/>
        <w:overflowPunct/>
        <w:topLinePunct w:val="0"/>
        <w:autoSpaceDE/>
        <w:autoSpaceDN/>
        <w:bidi w:val="0"/>
        <w:adjustRightInd/>
        <w:snapToGrid w:val="0"/>
        <w:spacing w:line="324" w:lineRule="auto"/>
        <w:ind w:left="0" w:leftChars="0" w:firstLine="480" w:firstLineChars="200"/>
        <w:jc w:val="both"/>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 xml:space="preserve">项目联系人：李工          </w:t>
      </w:r>
    </w:p>
    <w:p w14:paraId="14C5F455">
      <w:pPr>
        <w:keepNext w:val="0"/>
        <w:keepLines w:val="0"/>
        <w:pageBreakBefore w:val="0"/>
        <w:widowControl w:val="0"/>
        <w:kinsoku/>
        <w:wordWrap w:val="0"/>
        <w:overflowPunct/>
        <w:topLinePunct w:val="0"/>
        <w:autoSpaceDE/>
        <w:autoSpaceDN/>
        <w:bidi w:val="0"/>
        <w:adjustRightInd/>
        <w:snapToGrid w:val="0"/>
        <w:spacing w:line="324" w:lineRule="auto"/>
        <w:ind w:left="0" w:leftChars="0" w:firstLine="480" w:firstLineChars="200"/>
        <w:jc w:val="both"/>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 xml:space="preserve">联系电话：0774-3888098 </w:t>
      </w:r>
    </w:p>
    <w:p w14:paraId="40235B79">
      <w:pPr>
        <w:keepNext w:val="0"/>
        <w:keepLines w:val="0"/>
        <w:pageBreakBefore w:val="0"/>
        <w:widowControl w:val="0"/>
        <w:kinsoku/>
        <w:wordWrap w:val="0"/>
        <w:overflowPunct/>
        <w:topLinePunct w:val="0"/>
        <w:autoSpaceDE/>
        <w:autoSpaceDN/>
        <w:bidi w:val="0"/>
        <w:adjustRightInd/>
        <w:snapToGrid w:val="0"/>
        <w:spacing w:line="324" w:lineRule="auto"/>
        <w:ind w:left="0" w:leftChars="0" w:firstLine="480" w:firstLineChars="200"/>
        <w:jc w:val="both"/>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3.监督管理部门</w:t>
      </w:r>
    </w:p>
    <w:p w14:paraId="5274797A">
      <w:pPr>
        <w:keepNext w:val="0"/>
        <w:keepLines w:val="0"/>
        <w:pageBreakBefore w:val="0"/>
        <w:widowControl w:val="0"/>
        <w:kinsoku/>
        <w:wordWrap w:val="0"/>
        <w:overflowPunct/>
        <w:topLinePunct w:val="0"/>
        <w:autoSpaceDE/>
        <w:autoSpaceDN/>
        <w:bidi w:val="0"/>
        <w:adjustRightInd/>
        <w:snapToGrid w:val="0"/>
        <w:spacing w:line="324" w:lineRule="auto"/>
        <w:ind w:left="0" w:leftChars="0" w:firstLine="480" w:firstLineChars="200"/>
        <w:jc w:val="both"/>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lang w:val="en-US" w:eastAsia="zh-CN"/>
        </w:rPr>
        <w:t>名称</w:t>
      </w:r>
      <w:r>
        <w:rPr>
          <w:rFonts w:hint="eastAsia" w:ascii="仿宋" w:hAnsi="仿宋" w:eastAsia="仿宋" w:cs="仿宋"/>
          <w:color w:val="auto"/>
          <w:sz w:val="24"/>
          <w:szCs w:val="24"/>
          <w:highlight w:val="none"/>
          <w:u w:val="none"/>
        </w:rPr>
        <w:t xml:space="preserve">：梧州市财政局政府采购监督管理科 </w:t>
      </w:r>
    </w:p>
    <w:p w14:paraId="20C52FDC">
      <w:pPr>
        <w:keepNext w:val="0"/>
        <w:keepLines w:val="0"/>
        <w:pageBreakBefore w:val="0"/>
        <w:widowControl w:val="0"/>
        <w:kinsoku/>
        <w:wordWrap w:val="0"/>
        <w:overflowPunct/>
        <w:topLinePunct w:val="0"/>
        <w:autoSpaceDE/>
        <w:autoSpaceDN/>
        <w:bidi w:val="0"/>
        <w:adjustRightInd/>
        <w:snapToGrid w:val="0"/>
        <w:spacing w:line="324" w:lineRule="auto"/>
        <w:ind w:left="0" w:leftChars="0" w:firstLine="480" w:firstLineChars="200"/>
        <w:jc w:val="both"/>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 xml:space="preserve">联系电话：0774-3856434      </w:t>
      </w:r>
    </w:p>
    <w:p w14:paraId="56D8663D">
      <w:pPr>
        <w:keepNext w:val="0"/>
        <w:keepLines w:val="0"/>
        <w:pageBreakBefore w:val="0"/>
        <w:widowControl w:val="0"/>
        <w:kinsoku/>
        <w:wordWrap w:val="0"/>
        <w:overflowPunct/>
        <w:topLinePunct w:val="0"/>
        <w:autoSpaceDE/>
        <w:autoSpaceDN/>
        <w:bidi w:val="0"/>
        <w:adjustRightInd/>
        <w:snapToGrid w:val="0"/>
        <w:spacing w:line="324" w:lineRule="auto"/>
        <w:ind w:left="0" w:leftChars="0" w:firstLine="480" w:firstLineChars="200"/>
        <w:jc w:val="both"/>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地址：梧州市长洲区三龙大道红岭大厦22楼</w:t>
      </w:r>
    </w:p>
    <w:p w14:paraId="2F5BB9C3">
      <w:pPr>
        <w:keepNext w:val="0"/>
        <w:keepLines w:val="0"/>
        <w:pageBreakBefore w:val="0"/>
        <w:widowControl w:val="0"/>
        <w:kinsoku/>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highlight w:val="none"/>
        </w:rPr>
      </w:pPr>
    </w:p>
    <w:p w14:paraId="76AA5FDF">
      <w:pPr>
        <w:pStyle w:val="12"/>
        <w:keepNext w:val="0"/>
        <w:keepLines w:val="0"/>
        <w:pageBreakBefore w:val="0"/>
        <w:widowControl w:val="0"/>
        <w:kinsoku/>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highlight w:val="none"/>
          <w:u w:val="single"/>
        </w:rPr>
      </w:pPr>
    </w:p>
    <w:p w14:paraId="5423E9AC">
      <w:pPr>
        <w:pStyle w:val="12"/>
        <w:keepNext w:val="0"/>
        <w:keepLines w:val="0"/>
        <w:pageBreakBefore w:val="0"/>
        <w:widowControl w:val="0"/>
        <w:kinsoku/>
        <w:overflowPunct/>
        <w:topLinePunct w:val="0"/>
        <w:autoSpaceDE/>
        <w:autoSpaceDN/>
        <w:bidi w:val="0"/>
        <w:adjustRightInd/>
        <w:snapToGrid w:val="0"/>
        <w:spacing w:line="324" w:lineRule="auto"/>
        <w:ind w:firstLine="480" w:firstLineChars="200"/>
        <w:jc w:val="right"/>
        <w:textAlignment w:val="auto"/>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u w:val="none"/>
          <w:lang w:eastAsia="zh-CN"/>
        </w:rPr>
        <w:t>梧州市司法局</w:t>
      </w:r>
    </w:p>
    <w:p w14:paraId="2E51E380">
      <w:pPr>
        <w:keepNext w:val="0"/>
        <w:keepLines w:val="0"/>
        <w:pageBreakBefore w:val="0"/>
        <w:widowControl w:val="0"/>
        <w:kinsoku/>
        <w:overflowPunct/>
        <w:topLinePunct w:val="0"/>
        <w:autoSpaceDE/>
        <w:autoSpaceDN/>
        <w:bidi w:val="0"/>
        <w:adjustRightInd/>
        <w:snapToGrid w:val="0"/>
        <w:spacing w:line="324" w:lineRule="auto"/>
        <w:jc w:val="right"/>
        <w:textAlignment w:val="auto"/>
        <w:rPr>
          <w:rFonts w:hint="eastAsia" w:ascii="仿宋" w:hAnsi="仿宋" w:eastAsia="仿宋" w:cs="仿宋"/>
          <w:color w:val="auto"/>
          <w:sz w:val="24"/>
          <w:szCs w:val="24"/>
          <w:highlight w:val="none"/>
          <w:lang w:eastAsia="zh-CN"/>
        </w:rPr>
      </w:pPr>
    </w:p>
    <w:p w14:paraId="5DD114B5">
      <w:pPr>
        <w:keepNext w:val="0"/>
        <w:keepLines w:val="0"/>
        <w:pageBreakBefore w:val="0"/>
        <w:widowControl w:val="0"/>
        <w:kinsoku/>
        <w:overflowPunct/>
        <w:topLinePunct w:val="0"/>
        <w:autoSpaceDE/>
        <w:autoSpaceDN/>
        <w:bidi w:val="0"/>
        <w:adjustRightInd/>
        <w:snapToGrid w:val="0"/>
        <w:spacing w:line="324" w:lineRule="auto"/>
        <w:jc w:val="righ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none"/>
          <w:lang w:eastAsia="zh-CN"/>
        </w:rPr>
        <w:t>广西大融合工程咨询有限公司</w:t>
      </w:r>
      <w:r>
        <w:rPr>
          <w:rFonts w:hint="eastAsia" w:ascii="仿宋" w:hAnsi="仿宋" w:eastAsia="仿宋" w:cs="仿宋"/>
          <w:color w:val="auto"/>
          <w:sz w:val="24"/>
          <w:szCs w:val="24"/>
          <w:highlight w:val="none"/>
          <w:u w:val="none"/>
          <w:lang w:val="en-US" w:eastAsia="zh-CN"/>
        </w:rPr>
        <w:t>7</w:t>
      </w:r>
    </w:p>
    <w:p w14:paraId="4FB9CD95">
      <w:pPr>
        <w:keepNext w:val="0"/>
        <w:keepLines w:val="0"/>
        <w:pageBreakBefore w:val="0"/>
        <w:widowControl w:val="0"/>
        <w:kinsoku/>
        <w:wordWrap w:val="0"/>
        <w:overflowPunct/>
        <w:topLinePunct w:val="0"/>
        <w:autoSpaceDE/>
        <w:autoSpaceDN/>
        <w:bidi w:val="0"/>
        <w:adjustRightInd/>
        <w:snapToGrid w:val="0"/>
        <w:spacing w:line="324" w:lineRule="auto"/>
        <w:ind w:firstLine="6840" w:firstLineChars="285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日</w:t>
      </w:r>
    </w:p>
    <w:p w14:paraId="6DE8D307">
      <w:pPr>
        <w:keepNext w:val="0"/>
        <w:keepLines w:val="0"/>
        <w:pageBreakBefore w:val="0"/>
        <w:widowControl w:val="0"/>
        <w:kinsoku/>
        <w:overflowPunct/>
        <w:topLinePunct w:val="0"/>
        <w:autoSpaceDE/>
        <w:autoSpaceDN/>
        <w:bidi w:val="0"/>
        <w:adjustRightInd/>
        <w:snapToGrid w:val="0"/>
        <w:spacing w:line="324" w:lineRule="auto"/>
        <w:ind w:firstLine="6840" w:firstLineChars="2850"/>
        <w:jc w:val="right"/>
        <w:textAlignment w:val="auto"/>
        <w:rPr>
          <w:rFonts w:hint="eastAsia" w:ascii="仿宋" w:hAnsi="仿宋" w:eastAsia="仿宋" w:cs="仿宋"/>
          <w:color w:val="auto"/>
          <w:sz w:val="24"/>
          <w:szCs w:val="24"/>
          <w:highlight w:val="none"/>
        </w:rPr>
        <w:sectPr>
          <w:footerReference r:id="rId7" w:type="default"/>
          <w:pgSz w:w="11911" w:h="16838"/>
          <w:pgMar w:top="1338" w:right="1502" w:bottom="850" w:left="1678" w:header="1077" w:footer="720" w:gutter="0"/>
          <w:pgNumType w:fmt="decimal" w:start="1"/>
          <w:cols w:space="720" w:num="1"/>
          <w:rtlGutter w:val="0"/>
          <w:docGrid w:linePitch="0" w:charSpace="0"/>
        </w:sectPr>
      </w:pPr>
    </w:p>
    <w:p w14:paraId="33561CC7">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仿宋"/>
          <w:b/>
          <w:bCs/>
          <w:color w:val="auto"/>
          <w:sz w:val="32"/>
          <w:szCs w:val="32"/>
          <w:highlight w:val="none"/>
        </w:rPr>
      </w:pPr>
      <w:bookmarkStart w:id="28" w:name="_Toc22197"/>
      <w:r>
        <w:rPr>
          <w:rFonts w:hint="eastAsia" w:ascii="仿宋" w:hAnsi="仿宋" w:eastAsia="仿宋" w:cs="仿宋"/>
          <w:b/>
          <w:bCs/>
          <w:color w:val="auto"/>
          <w:sz w:val="32"/>
          <w:szCs w:val="32"/>
          <w:highlight w:val="none"/>
        </w:rPr>
        <w:t>第二章 采购需求</w:t>
      </w:r>
      <w:bookmarkEnd w:id="28"/>
    </w:p>
    <w:p w14:paraId="7E7D8FBB">
      <w:pPr>
        <w:pStyle w:val="12"/>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一、采购项目编号：WZZC2024-J1-990544-GXDR</w:t>
      </w:r>
    </w:p>
    <w:p w14:paraId="0CF67352">
      <w:pPr>
        <w:pStyle w:val="12"/>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二、采购项目类别：货物采购</w:t>
      </w:r>
    </w:p>
    <w:p w14:paraId="12BA2431">
      <w:pPr>
        <w:pStyle w:val="12"/>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三、采购项目需求一览表：</w:t>
      </w:r>
    </w:p>
    <w:p w14:paraId="7A9FEB6E">
      <w:pPr>
        <w:pStyle w:val="12"/>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p w14:paraId="44334064">
      <w:pPr>
        <w:pStyle w:val="12"/>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1、本章中的“采购内容”仅起参考作用，供应商可选用其他产品替代，但这些替代的品牌型号要实质上相当于或优于参考技术参数性能（配置）要求，性能不满足的视为负偏离，负偏离超过5项竞标无效。</w:t>
      </w:r>
    </w:p>
    <w:p w14:paraId="2E9D3184">
      <w:pPr>
        <w:pStyle w:val="12"/>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2、本章中“采购内容”不明确或有误的，请以详细正确的技术参数及配置同时填写竞标报价表和技术响应表。</w:t>
      </w:r>
    </w:p>
    <w:p w14:paraId="4645E3DD">
      <w:pPr>
        <w:pStyle w:val="12"/>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3、凡在“采购内容”中表述为“标配”或“标准配置”的设备，供应商应在响应文件中将其标配参数详细列明。</w:t>
      </w:r>
    </w:p>
    <w:p w14:paraId="2A67104F">
      <w:pPr>
        <w:pStyle w:val="12"/>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4、表中的外形尺寸和重量仅供参考。</w:t>
      </w:r>
    </w:p>
    <w:p w14:paraId="436C3329">
      <w:pPr>
        <w:pStyle w:val="12"/>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5、供应商所竞标的产品必须是符合国家和行业标准的全新产品，所提供的货物或服务必须符合国家和行业标准。</w:t>
      </w:r>
    </w:p>
    <w:p w14:paraId="4883080C">
      <w:pPr>
        <w:pStyle w:val="12"/>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6、本章中的采购内容，应视为保证涉及设备运行所需的最低要求；如有遗漏，供应商竞标时应在响应文件中予以补充；否则，一旦成交将视为供应商认同遗漏部分并按要求提供。</w:t>
      </w:r>
    </w:p>
    <w:p w14:paraId="011EE2A0">
      <w:pPr>
        <w:pStyle w:val="12"/>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投标人的投标货物须使用政府强制采购的节能产品，投标人须在投标文件中提供所投标产品的节能产品认证证书复印件（加盖投标人电子签章），否则谈判无效。</w:t>
      </w:r>
    </w:p>
    <w:p w14:paraId="5DC10AD3">
      <w:pPr>
        <w:pStyle w:val="12"/>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8、标“▲”为实质性参数要求和条件，供应商必须满足并在响应文件中如实作出响应，否则竞标无效。</w:t>
      </w:r>
    </w:p>
    <w:p w14:paraId="33225279">
      <w:pPr>
        <w:pStyle w:val="12"/>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9、供应商竞标时应在响应文件中对“二、采购内容”中所有内容逐条响应并一一对应。</w:t>
      </w:r>
    </w:p>
    <w:p w14:paraId="0BD9E116">
      <w:pPr>
        <w:rPr>
          <w:rFonts w:hint="eastAsia" w:ascii="仿宋" w:hAnsi="仿宋" w:eastAsia="仿宋" w:cs="仿宋"/>
          <w:color w:val="auto"/>
          <w:sz w:val="24"/>
          <w:szCs w:val="32"/>
          <w:highlight w:val="none"/>
        </w:rPr>
      </w:pPr>
    </w:p>
    <w:p w14:paraId="72EBE839">
      <w:pPr>
        <w:rPr>
          <w:rFonts w:hint="default"/>
          <w:highlight w:val="none"/>
          <w:lang w:val="en-US" w:eastAsia="zh-CN"/>
        </w:rPr>
      </w:pPr>
    </w:p>
    <w:p w14:paraId="71A69250">
      <w:pPr>
        <w:rPr>
          <w:rFonts w:hint="eastAsia"/>
          <w:highlight w:val="none"/>
        </w:rPr>
      </w:pPr>
    </w:p>
    <w:p w14:paraId="5D2C827C">
      <w:pPr>
        <w:numPr>
          <w:ilvl w:val="0"/>
          <w:numId w:val="0"/>
        </w:numPr>
        <w:spacing w:line="560" w:lineRule="exact"/>
        <w:jc w:val="center"/>
        <w:rPr>
          <w:rFonts w:hint="eastAsia" w:ascii="楷体" w:hAnsi="楷体" w:eastAsia="楷体"/>
          <w:color w:val="000000"/>
          <w:sz w:val="32"/>
          <w:szCs w:val="32"/>
          <w:highlight w:val="none"/>
        </w:rPr>
      </w:pPr>
      <w:r>
        <w:rPr>
          <w:rFonts w:hint="eastAsia" w:ascii="楷体" w:hAnsi="楷体" w:eastAsia="楷体"/>
          <w:color w:val="000000"/>
          <w:sz w:val="32"/>
          <w:szCs w:val="32"/>
          <w:highlight w:val="none"/>
        </w:rPr>
        <w:br w:type="page"/>
      </w:r>
      <w:r>
        <w:rPr>
          <w:rFonts w:hint="eastAsia" w:ascii="仿宋" w:hAnsi="仿宋" w:eastAsia="仿宋" w:cs="仿宋"/>
          <w:b/>
          <w:bCs/>
          <w:color w:val="000000"/>
          <w:sz w:val="32"/>
          <w:szCs w:val="32"/>
          <w:highlight w:val="none"/>
        </w:rPr>
        <w:t>技术商务要求</w:t>
      </w:r>
    </w:p>
    <w:p w14:paraId="0D94601C">
      <w:pPr>
        <w:numPr>
          <w:ilvl w:val="0"/>
          <w:numId w:val="0"/>
        </w:numPr>
        <w:spacing w:line="560" w:lineRule="exact"/>
        <w:jc w:val="center"/>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技术要求</w:t>
      </w:r>
    </w:p>
    <w:tbl>
      <w:tblPr>
        <w:tblStyle w:val="3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508"/>
        <w:gridCol w:w="1346"/>
        <w:gridCol w:w="5436"/>
        <w:gridCol w:w="855"/>
        <w:gridCol w:w="802"/>
      </w:tblGrid>
      <w:tr w14:paraId="16DBF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149BA3">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一、视频会议系统升级改造</w:t>
            </w:r>
          </w:p>
        </w:tc>
      </w:tr>
      <w:tr w14:paraId="7173E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8B48DA">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7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55801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设备名称</w:t>
            </w:r>
          </w:p>
        </w:tc>
        <w:tc>
          <w:tcPr>
            <w:tcW w:w="30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DE827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产品性能参数</w:t>
            </w:r>
          </w:p>
        </w:tc>
        <w:tc>
          <w:tcPr>
            <w:tcW w:w="4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8C17B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44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87F32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r>
      <w:tr w14:paraId="6E396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FCBED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78A78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视频会议设备</w:t>
            </w:r>
          </w:p>
        </w:tc>
        <w:tc>
          <w:tcPr>
            <w:tcW w:w="30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9DF095">
            <w:pPr>
              <w:keepNext w:val="0"/>
              <w:keepLines w:val="0"/>
              <w:widowControl/>
              <w:numPr>
                <w:ilvl w:val="0"/>
                <w:numId w:val="1"/>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支持 ITU-T H.323、IETF SIP 通信协议。需提供具有CMA或CNAS资质的国家第三方权威机构检测报告等证明材料</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2.会议管理服务器与媒体服务器MCU国产嵌入式操作系统和数据库软件，非W</w:t>
            </w:r>
            <w:r>
              <w:rPr>
                <w:rFonts w:hint="eastAsia" w:ascii="宋体" w:hAnsi="宋体" w:cs="宋体"/>
                <w:i w:val="0"/>
                <w:iCs w:val="0"/>
                <w:color w:val="auto"/>
                <w:kern w:val="0"/>
                <w:sz w:val="20"/>
                <w:szCs w:val="20"/>
                <w:highlight w:val="none"/>
                <w:u w:val="none"/>
                <w:lang w:val="en-US" w:eastAsia="zh-CN" w:bidi="ar"/>
              </w:rPr>
              <w:t>i</w:t>
            </w:r>
            <w:r>
              <w:rPr>
                <w:rFonts w:hint="eastAsia" w:ascii="宋体" w:hAnsi="宋体" w:eastAsia="宋体" w:cs="宋体"/>
                <w:i w:val="0"/>
                <w:iCs w:val="0"/>
                <w:color w:val="auto"/>
                <w:kern w:val="0"/>
                <w:sz w:val="20"/>
                <w:szCs w:val="20"/>
                <w:highlight w:val="none"/>
                <w:u w:val="none"/>
                <w:lang w:val="en-US" w:eastAsia="zh-CN" w:bidi="ar"/>
              </w:rPr>
              <w:t>ndows和Android，冗余电源配置，标准机柜安装。需提供具有CMA或CNAS资质的国家第三方权威机构检测报告等证明材料</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3.会议管理服务器支持独立硬件服务器部署， 也可内置于MCU集中部署。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4.召开AVC与SVC混合会议时，单台MCU支持8路4K30端口，或16路1080P60端口，或32路1080P30/720P60端口，或64路720P30端口。需提供具有CMA或CNAS资质的国家第三方权威机构检测报告等证明材料</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5.设备支持H.265、H.264BP、H.264 HighProfile、H.264 SVC视频编码。需提供具有CMA或CNAS资质的国家第三方权威机构检测报告等证明材料</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6.支持主视频达到4K30时，辅视频同时达到 4K30 超高清效果。需提供具有CMA或CNAS资质的国家第三方权威机构检测报告等证明材料</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7.音频编解码支持G.711A、G.711µ、G.729、G.722、G.722.1C、OPUS、AAC_LD等格式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8.▲在IP网络状态不好的情况下，减弱网络质量原因对音频效果的影响，在不低于网络70%丢包时，会议正常进行，不影响语意传达。需提供具有CMA或CNAS资质的国家第三方权威机构检测报告等证明材料。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在IP网络状态不好的情况下，减弱网络质量原因对视音频效果的影响，在不低于网络40%丢包时，不影响会议进行，视频流畅，无卡顿、无花屏现象。需提供具有CMA或CNAS资质的国家第三方权威机构检测报告等证明材料。</w:t>
            </w:r>
          </w:p>
          <w:p w14:paraId="25BF7510">
            <w:pPr>
              <w:keepNext w:val="0"/>
              <w:keepLines w:val="0"/>
              <w:widowControl/>
              <w:numPr>
                <w:ilvl w:val="0"/>
                <w:numId w:val="0"/>
              </w:numPr>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10.支持接入“桂融会”广西融合视频会议系统。</w:t>
            </w:r>
          </w:p>
        </w:tc>
        <w:tc>
          <w:tcPr>
            <w:tcW w:w="4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B21C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44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C808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4C4A0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5307D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7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55D26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视频会议终端</w:t>
            </w:r>
          </w:p>
        </w:tc>
        <w:tc>
          <w:tcPr>
            <w:tcW w:w="30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94843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1.终端采用分体式结构，专有硬件设计，非PC架构、非工控机架构</w:t>
            </w:r>
            <w:r>
              <w:rPr>
                <w:rFonts w:hint="eastAsia" w:ascii="宋体" w:hAnsi="宋体" w:cs="宋体"/>
                <w:i w:val="0"/>
                <w:iCs w:val="0"/>
                <w:color w:val="auto"/>
                <w:kern w:val="0"/>
                <w:sz w:val="20"/>
                <w:szCs w:val="20"/>
                <w:highlight w:val="none"/>
                <w:u w:val="none"/>
                <w:lang w:val="en-US" w:eastAsia="zh-CN" w:bidi="ar"/>
              </w:rPr>
              <w:t>。</w:t>
            </w:r>
          </w:p>
          <w:p w14:paraId="5B410CF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2.支持ITU-T H.323和IETF SIP通信标准，能够和符合国际标准的产品互通</w:t>
            </w:r>
            <w:r>
              <w:rPr>
                <w:rFonts w:hint="eastAsia" w:ascii="宋体" w:hAnsi="宋体" w:cs="宋体"/>
                <w:i w:val="0"/>
                <w:iCs w:val="0"/>
                <w:color w:val="auto"/>
                <w:kern w:val="0"/>
                <w:sz w:val="20"/>
                <w:szCs w:val="20"/>
                <w:highlight w:val="none"/>
                <w:u w:val="none"/>
                <w:lang w:val="en-US" w:eastAsia="zh-CN" w:bidi="ar"/>
              </w:rPr>
              <w:t>。</w:t>
            </w:r>
          </w:p>
          <w:p w14:paraId="32B792D6">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3.终端完全国产化，终端采用厂商自研媒体处理CPU芯片</w:t>
            </w:r>
          </w:p>
          <w:p w14:paraId="0F7D820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4.支持H.265、H.264HP、H.264等视频编解码算法。</w:t>
            </w:r>
          </w:p>
          <w:p w14:paraId="350F005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5.支持4K30fps、1080p30fps、720p30fps(HD720p)、4CIF30fps、CIF30fps图像格式。</w:t>
            </w:r>
          </w:p>
          <w:p w14:paraId="0AF7A89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6.支持G.711A、G.722、G.722.1、G.722.1C、G.711µ、AAC_LD等音频算法，需提供具有CMA或CNAS资质的国家第三方权威机构检测报告等证明材料。</w:t>
            </w:r>
          </w:p>
          <w:p w14:paraId="18DA996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7.▲终端支持抗丢包修复能力，减弱网络质量原因对视频效果的影响，达到70%网络丢包时，声音信号清晰流畅，无卡顿现象，不影响会议进行。需提供具有CMA或CNAS资质的国家第三方权威机构检测报告等证明材料。</w:t>
            </w:r>
          </w:p>
          <w:p w14:paraId="3F4468A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8.▲设备支持抗丢包修复能力，减弱网络质量原因对视频效果的影响，网络达到40%丢包时，视频流畅，不影响会议进行。需提供具有CMA或CNAS资质的国家第三方权威机构检测报告等证明材料</w:t>
            </w:r>
            <w:r>
              <w:rPr>
                <w:rFonts w:hint="eastAsia" w:ascii="宋体" w:hAnsi="宋体" w:cs="宋体"/>
                <w:i w:val="0"/>
                <w:iCs w:val="0"/>
                <w:color w:val="auto"/>
                <w:kern w:val="0"/>
                <w:sz w:val="20"/>
                <w:szCs w:val="20"/>
                <w:highlight w:val="none"/>
                <w:u w:val="none"/>
                <w:lang w:val="en-US" w:eastAsia="zh-CN" w:bidi="ar"/>
              </w:rPr>
              <w:t>。</w:t>
            </w:r>
          </w:p>
          <w:p w14:paraId="491EE69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9.支持至少2路视频输入接口，包含HDMI、USB接口，便于接入外设。</w:t>
            </w:r>
          </w:p>
        </w:tc>
        <w:tc>
          <w:tcPr>
            <w:tcW w:w="4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202A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44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CC93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3996F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98"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711E94">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p>
        </w:tc>
        <w:tc>
          <w:tcPr>
            <w:tcW w:w="7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DCFBC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视频会议录像机</w:t>
            </w:r>
          </w:p>
        </w:tc>
        <w:tc>
          <w:tcPr>
            <w:tcW w:w="30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A7890C">
            <w:pPr>
              <w:numPr>
                <w:ilvl w:val="0"/>
                <w:numId w:val="2"/>
              </w:numPr>
              <w:rPr>
                <w:rFonts w:hint="eastAsia"/>
                <w:color w:val="auto"/>
                <w:highlight w:val="none"/>
              </w:rPr>
            </w:pPr>
            <w:r>
              <w:rPr>
                <w:rFonts w:hint="eastAsia"/>
                <w:color w:val="auto"/>
                <w:highlight w:val="none"/>
              </w:rPr>
              <w:t>支持VISCA、PELCO-D、PELCO-P协议，支持自动识别协议。支持网络全命令VISCA控制协议。</w:t>
            </w:r>
          </w:p>
          <w:p w14:paraId="0D6A2901">
            <w:pPr>
              <w:numPr>
                <w:ilvl w:val="0"/>
                <w:numId w:val="2"/>
              </w:numPr>
              <w:rPr>
                <w:rFonts w:hint="default"/>
                <w:color w:val="auto"/>
                <w:highlight w:val="none"/>
                <w:lang w:val="en-US" w:eastAsia="zh-CN"/>
              </w:rPr>
            </w:pPr>
            <w:r>
              <w:rPr>
                <w:rFonts w:hint="eastAsia"/>
                <w:color w:val="auto"/>
                <w:highlight w:val="none"/>
              </w:rPr>
              <w:t>使用</w:t>
            </w:r>
            <w:r>
              <w:rPr>
                <w:color w:val="auto"/>
                <w:highlight w:val="none"/>
              </w:rPr>
              <w:t>RS-232C（VISCA协议）接口，可对摄像机的所有设定以及平移/俯仰/缩放操作进行远程高速通讯控制。</w:t>
            </w:r>
            <w:r>
              <w:rPr>
                <w:rFonts w:hint="eastAsia"/>
                <w:color w:val="auto"/>
                <w:highlight w:val="none"/>
              </w:rPr>
              <w:t>支持RS232级联，方便工程安装使用。</w:t>
            </w:r>
          </w:p>
          <w:p w14:paraId="633435BE">
            <w:pPr>
              <w:numPr>
                <w:ilvl w:val="0"/>
                <w:numId w:val="2"/>
              </w:numPr>
              <w:rPr>
                <w:rFonts w:hint="default"/>
                <w:color w:val="auto"/>
                <w:highlight w:val="none"/>
                <w:lang w:val="en-US" w:eastAsia="zh-CN"/>
              </w:rPr>
            </w:pPr>
            <w:r>
              <w:rPr>
                <w:rFonts w:hint="eastAsia"/>
                <w:color w:val="auto"/>
                <w:highlight w:val="none"/>
              </w:rPr>
              <w:t>▲支持不小于</w:t>
            </w:r>
            <w:r>
              <w:rPr>
                <w:color w:val="auto"/>
                <w:highlight w:val="none"/>
              </w:rPr>
              <w:t>12</w:t>
            </w:r>
            <w:r>
              <w:rPr>
                <w:rFonts w:hint="eastAsia"/>
                <w:color w:val="auto"/>
                <w:highlight w:val="none"/>
              </w:rPr>
              <w:t>倍光学变焦，f＝</w:t>
            </w:r>
            <w:r>
              <w:rPr>
                <w:color w:val="auto"/>
                <w:highlight w:val="none"/>
              </w:rPr>
              <w:t>4.4mm ~ 52.8</w:t>
            </w:r>
            <w:r>
              <w:rPr>
                <w:rFonts w:hint="eastAsia"/>
                <w:color w:val="auto"/>
                <w:highlight w:val="none"/>
              </w:rPr>
              <w:t>mm；支持不小于</w:t>
            </w:r>
            <w:r>
              <w:rPr>
                <w:color w:val="auto"/>
                <w:highlight w:val="none"/>
              </w:rPr>
              <w:t>16</w:t>
            </w:r>
            <w:r>
              <w:rPr>
                <w:rFonts w:hint="eastAsia"/>
                <w:color w:val="auto"/>
                <w:highlight w:val="none"/>
              </w:rPr>
              <w:t>倍数字变焦</w:t>
            </w:r>
          </w:p>
          <w:p w14:paraId="7B5A1A71">
            <w:pPr>
              <w:numPr>
                <w:ilvl w:val="0"/>
                <w:numId w:val="2"/>
              </w:numPr>
              <w:rPr>
                <w:rFonts w:hint="default"/>
                <w:color w:val="auto"/>
                <w:highlight w:val="none"/>
                <w:lang w:val="en-US" w:eastAsia="zh-CN"/>
              </w:rPr>
            </w:pPr>
            <w:r>
              <w:rPr>
                <w:rFonts w:hint="eastAsia"/>
                <w:color w:val="auto"/>
                <w:highlight w:val="none"/>
              </w:rPr>
              <w:t>▲镜头采用不小于1/</w:t>
            </w:r>
            <w:r>
              <w:rPr>
                <w:color w:val="auto"/>
                <w:highlight w:val="none"/>
              </w:rPr>
              <w:t>2.5</w:t>
            </w:r>
            <w:r>
              <w:rPr>
                <w:rFonts w:hint="eastAsia"/>
                <w:color w:val="auto"/>
                <w:highlight w:val="none"/>
              </w:rPr>
              <w:t>" HD CMOS</w:t>
            </w:r>
            <w:r>
              <w:rPr>
                <w:color w:val="auto"/>
                <w:highlight w:val="none"/>
              </w:rPr>
              <w:t xml:space="preserve"> </w:t>
            </w:r>
          </w:p>
          <w:p w14:paraId="7751E5E8">
            <w:pPr>
              <w:numPr>
                <w:ilvl w:val="0"/>
                <w:numId w:val="2"/>
              </w:numPr>
              <w:rPr>
                <w:rFonts w:hint="default"/>
                <w:color w:val="auto"/>
                <w:highlight w:val="none"/>
                <w:lang w:val="en-US" w:eastAsia="zh-CN"/>
              </w:rPr>
            </w:pPr>
            <w:r>
              <w:rPr>
                <w:rFonts w:hint="eastAsia"/>
                <w:color w:val="auto"/>
                <w:highlight w:val="none"/>
              </w:rPr>
              <w:t>不低于</w:t>
            </w:r>
            <w:r>
              <w:rPr>
                <w:color w:val="auto"/>
                <w:highlight w:val="none"/>
              </w:rPr>
              <w:t>851</w:t>
            </w:r>
            <w:r>
              <w:rPr>
                <w:rFonts w:hint="eastAsia"/>
                <w:color w:val="auto"/>
                <w:highlight w:val="none"/>
              </w:rPr>
              <w:t>万有效像素</w:t>
            </w:r>
          </w:p>
          <w:p w14:paraId="2B0E92BD">
            <w:pPr>
              <w:numPr>
                <w:ilvl w:val="0"/>
                <w:numId w:val="2"/>
              </w:numPr>
              <w:rPr>
                <w:rFonts w:hint="default"/>
                <w:color w:val="auto"/>
                <w:highlight w:val="none"/>
                <w:lang w:val="en-US" w:eastAsia="zh-CN"/>
              </w:rPr>
            </w:pPr>
            <w:r>
              <w:rPr>
                <w:rFonts w:hint="eastAsia"/>
                <w:color w:val="auto"/>
                <w:highlight w:val="none"/>
              </w:rPr>
              <w:t>水平视角：</w:t>
            </w:r>
            <w:r>
              <w:rPr>
                <w:color w:val="auto"/>
                <w:highlight w:val="none"/>
              </w:rPr>
              <w:t>72</w:t>
            </w:r>
            <w:r>
              <w:rPr>
                <w:rFonts w:hint="eastAsia"/>
                <w:color w:val="auto"/>
                <w:highlight w:val="none"/>
              </w:rPr>
              <w:t>.</w:t>
            </w:r>
            <w:r>
              <w:rPr>
                <w:color w:val="auto"/>
                <w:highlight w:val="none"/>
              </w:rPr>
              <w:t>5°（广角端）到8</w:t>
            </w:r>
            <w:r>
              <w:rPr>
                <w:rFonts w:hint="eastAsia"/>
                <w:color w:val="auto"/>
                <w:highlight w:val="none"/>
              </w:rPr>
              <w:t>.</w:t>
            </w:r>
            <w:r>
              <w:rPr>
                <w:color w:val="auto"/>
                <w:highlight w:val="none"/>
              </w:rPr>
              <w:t>2°(远端)</w:t>
            </w:r>
          </w:p>
          <w:p w14:paraId="4DC056F8">
            <w:pPr>
              <w:numPr>
                <w:ilvl w:val="0"/>
                <w:numId w:val="2"/>
              </w:numPr>
              <w:rPr>
                <w:rFonts w:hint="default"/>
                <w:color w:val="auto"/>
                <w:highlight w:val="none"/>
                <w:lang w:val="en-US" w:eastAsia="zh-CN"/>
              </w:rPr>
            </w:pPr>
            <w:r>
              <w:rPr>
                <w:rFonts w:hint="eastAsia"/>
                <w:color w:val="auto"/>
                <w:highlight w:val="none"/>
              </w:rPr>
              <w:t>云台转角</w:t>
            </w:r>
            <w:r>
              <w:rPr>
                <w:color w:val="auto"/>
                <w:highlight w:val="none"/>
              </w:rPr>
              <w:t>：</w:t>
            </w:r>
            <w:r>
              <w:rPr>
                <w:rFonts w:hint="eastAsia"/>
                <w:color w:val="auto"/>
                <w:highlight w:val="none"/>
              </w:rPr>
              <w:t>水平 ±170° 垂直±30°</w:t>
            </w:r>
          </w:p>
          <w:p w14:paraId="38F5C568">
            <w:pPr>
              <w:numPr>
                <w:ilvl w:val="0"/>
                <w:numId w:val="2"/>
              </w:numPr>
              <w:rPr>
                <w:rFonts w:hint="default"/>
                <w:color w:val="auto"/>
                <w:highlight w:val="none"/>
                <w:lang w:val="en-US" w:eastAsia="zh-CN"/>
              </w:rPr>
            </w:pPr>
            <w:r>
              <w:rPr>
                <w:rFonts w:hint="eastAsia"/>
                <w:color w:val="auto"/>
                <w:highlight w:val="none"/>
              </w:rPr>
              <w:t>聚焦：支持自动</w:t>
            </w:r>
            <w:r>
              <w:rPr>
                <w:color w:val="auto"/>
                <w:highlight w:val="none"/>
              </w:rPr>
              <w:t>/手动</w:t>
            </w:r>
          </w:p>
          <w:p w14:paraId="51504E90">
            <w:pPr>
              <w:numPr>
                <w:ilvl w:val="0"/>
                <w:numId w:val="2"/>
              </w:numPr>
              <w:rPr>
                <w:rFonts w:hint="eastAsia" w:ascii="宋体" w:hAnsi="宋体" w:eastAsia="宋体" w:cs="宋体"/>
                <w:i w:val="0"/>
                <w:iCs w:val="0"/>
                <w:color w:val="auto"/>
                <w:kern w:val="0"/>
                <w:sz w:val="20"/>
                <w:szCs w:val="20"/>
                <w:highlight w:val="none"/>
                <w:u w:val="none"/>
                <w:lang w:val="en-US" w:eastAsia="zh-CN" w:bidi="ar"/>
              </w:rPr>
            </w:pPr>
            <w:r>
              <w:rPr>
                <w:rFonts w:hint="eastAsia"/>
                <w:color w:val="auto"/>
                <w:highlight w:val="none"/>
              </w:rPr>
              <w:t>支持不小于10个预置位，并可扩展到</w:t>
            </w:r>
            <w:r>
              <w:rPr>
                <w:color w:val="auto"/>
                <w:highlight w:val="none"/>
              </w:rPr>
              <w:t>255个预</w:t>
            </w:r>
            <w:r>
              <w:rPr>
                <w:rFonts w:hint="eastAsia"/>
                <w:color w:val="auto"/>
                <w:highlight w:val="none"/>
              </w:rPr>
              <w:t>置</w:t>
            </w:r>
            <w:r>
              <w:rPr>
                <w:color w:val="auto"/>
                <w:highlight w:val="none"/>
              </w:rPr>
              <w:t>位</w:t>
            </w:r>
          </w:p>
        </w:tc>
        <w:tc>
          <w:tcPr>
            <w:tcW w:w="4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47BC67">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61191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r>
      <w:tr w14:paraId="284AF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0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CC663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4</w:t>
            </w:r>
          </w:p>
        </w:tc>
        <w:tc>
          <w:tcPr>
            <w:tcW w:w="7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676A0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视频会议系统无线麦克风</w:t>
            </w:r>
          </w:p>
        </w:tc>
        <w:tc>
          <w:tcPr>
            <w:tcW w:w="30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33152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工作频率：500-980MHz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支持红外对频，频率同频技术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显示屏显示发射器电池电量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S/N信噪比：&gt;105dB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T.H.D失真:&lt;0.5%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频率回应:40Hz-18KHz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噪声锁定静噪控制+音频导航锁定静噪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真分集远距离线路设计,户外使用距离≥300米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发射器技术参数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频道:200频道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频带宽度:50MHz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频道间隔:250KHz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频率稳定度:±0.005%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使用电池:2节AA电池/5号电池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可设置发射功率：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高功率15mV≤300米（电池可持续使用2小时）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功率10mV=150-200米（电池可持续使用4-5小时）</w:t>
            </w:r>
          </w:p>
        </w:tc>
        <w:tc>
          <w:tcPr>
            <w:tcW w:w="4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6F25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44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F3DD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14:paraId="2871F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760"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DC13B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5</w:t>
            </w:r>
          </w:p>
        </w:tc>
        <w:tc>
          <w:tcPr>
            <w:tcW w:w="7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43453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视频会议系统话筒</w:t>
            </w:r>
          </w:p>
        </w:tc>
        <w:tc>
          <w:tcPr>
            <w:tcW w:w="30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BA746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1.产品用途，会议专用；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2.有线、电容麦、超心型指向麦克风；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3.灵敏度：-28±3dB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4.频率范围：100-16000Hz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5.阻抗：100±30%欧姆,负载阻抗：≥1000欧姆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6.电压：48V幻象电源或3V电池（两节5号电池）200频点，红外自动对频。。金属手持，金属机箱。感应功能，锁屏功能，中高音亮丽清晰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频率范围：640-690MHz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可调通道数：100×2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振荡方式：锁相环频率合成（PLL）</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频率稳定度：±10ppm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接收方式：超外差二次变频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接收灵敏度：-95~-67dBm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音频频响：40-18000Hz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谐波失真：≤0.5%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有效接收距离：60m(标准的情况下）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信噪比：≥110dB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音频输出：平衡输出和混合输出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发射功率：3-30mW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调制方式：调频（FM）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电池规格：5号电池2节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电源规格：100-240V 50-60Hz 12VDC（开关电源适配器）或者220VAC/50-60HZ 12VDC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电源消耗：≤10W</w:t>
            </w:r>
          </w:p>
        </w:tc>
        <w:tc>
          <w:tcPr>
            <w:tcW w:w="4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AC061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44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8BBA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r>
      <w:tr w14:paraId="62AA3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0"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C4982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6</w:t>
            </w:r>
          </w:p>
        </w:tc>
        <w:tc>
          <w:tcPr>
            <w:tcW w:w="7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13811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视频会议信号处理设备</w:t>
            </w:r>
          </w:p>
        </w:tc>
        <w:tc>
          <w:tcPr>
            <w:tcW w:w="30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755582">
            <w:pPr>
              <w:keepNext w:val="0"/>
              <w:keepLines w:val="0"/>
              <w:widowControl/>
              <w:numPr>
                <w:ilvl w:val="0"/>
                <w:numId w:val="3"/>
              </w:numPr>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采用数字总线路由交换技术架构，全数字分布式处理。系统内信号独享各自专用通道，实现无阻塞全交叉数据传输；插卡式模块化设计，设备输入路数、输出路数和接口类型可根据实际需要灵活配置；输入、输出音视频总交换容量支持 256 X 256 路；可根据实际需求选择机型大小；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2.▲支持DVI1.0 协议，符合HDCP1.3 标准，支持HDMI1.4a、HDMI2.0、支持H.264\H .265 协议；输入、输出：支持最高3840*2160@30Hz，向下兼容2K、1080P。提供具有CNAS/CMA认证机构的第三方检测报告等证明材料</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采用一路输入一路输出的插卡式设计，为日常使用及维护带来极大的方便；提供具有CNAS/CMA认证机构的第三方检测报告等证明材料</w:t>
            </w:r>
            <w:r>
              <w:rPr>
                <w:rFonts w:hint="eastAsia" w:ascii="宋体" w:hAnsi="宋体" w:cs="宋体"/>
                <w:i w:val="0"/>
                <w:iCs w:val="0"/>
                <w:color w:val="auto"/>
                <w:kern w:val="0"/>
                <w:sz w:val="20"/>
                <w:szCs w:val="20"/>
                <w:highlight w:val="none"/>
                <w:u w:val="none"/>
                <w:lang w:val="en-US" w:eastAsia="zh-CN" w:bidi="ar"/>
              </w:rPr>
              <w:t>。</w:t>
            </w:r>
          </w:p>
          <w:p w14:paraId="2FFA45B0">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4.HDMI数字音频与3.5模拟音频输入可选，HDMI数字与模拟音频3.5输出可选；提供具有CNAS/CMA认证机构的第三方检测报告等证明材料</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所有接入的显示信号窗口均可在显示屏幕上进行任意移动、叠加、缩放、多画面等功能，也可以任意制定多种分屏、全屏、组合屏等显示方式，单屏支持16个图层任意布局；提供具有CNAS/CMA认证机构的第三方检测报告</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6.业务模块支持热插拔、采用LINUX系统，确保系统稳定可靠，7x24小时无休，满足各种工程项目需求。提供具有CNAS/CMA认证机构的第三方检测报告等证明材料</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7.▲支持≥4种不同的控制方式：具有RS-485，和UDP 网络协议，平台软件.WEB控制,操作电脑、平板同步观看大屏显示内容，可以预览输入源视频。支持平板、手机快速操作切换。提供具有CNAS/CMA认证机构的第三方检测报告等证明材料</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系统具有标配全拼屏电脑及平板预监回显功能，无需另外加回显卡就；系统具有软件全拼屏电脑及平板预监回显功能，具有滚动字幕功能；支持用户自定义调整字幕的样式、动作、方向；提供具有CNAS/CMA认证机构的第三方检测报告等证明材料</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9.▲支持常用场景的画面拼接方案保存为预案，支持快速调用，支持预案数量不少于128，支持场景预案调用和自动轮巡；提供具有CNAS/CMA认证机构的第三方检测报告等证明材料</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10.支持各种大屏分辨率拼接输出显示，画面不错位，不卡顿，拼接无撕裂，支持实时显示预览画面:提供具有CNAS/CMA认证机构的第三方检测报告</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11.支持智能控制矩阵风扇的运行；提供具有CNAS/CMA认证机构的第三方检测报告等证明材料</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12.信号经数字化处理，画面切换≤15ms，无人眼可见黑场；提供具有CNAS/CMA认证机构的第三方检测报告等证明材料</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13.支持4K 30HZ输入，4K 30HZ输出；提供具有CNAS/CMA认证机构的第三方检测报告等证明材料</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14.支持有线3.5寸触摸面板控制；提供具有CNAS/CMA认证机构的第三方检测报告等证明材料</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15.▲最大支持256路高清4K输入，256路高清4K输出。提供具有CNAS/CMA认证机构的第三方检测报告等证明材料</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16.可支持海康，大华，宇视等主流监控厂家解码上墙，最大支持800万摄像机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17.可选配红外遥控器控制。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18.设备支持流媒体转发功能，40个用户同时访问。提供软件功能界面截图</w:t>
            </w:r>
          </w:p>
        </w:tc>
        <w:tc>
          <w:tcPr>
            <w:tcW w:w="4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E7C45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44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29C8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套</w:t>
            </w:r>
          </w:p>
        </w:tc>
      </w:tr>
      <w:tr w14:paraId="2C021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8"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5BA75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7</w:t>
            </w:r>
          </w:p>
        </w:tc>
        <w:tc>
          <w:tcPr>
            <w:tcW w:w="7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DEE50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视频会议功放设备</w:t>
            </w:r>
          </w:p>
        </w:tc>
        <w:tc>
          <w:tcPr>
            <w:tcW w:w="30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DD005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五楼会议室功放设备故障处理更换</w:t>
            </w:r>
          </w:p>
        </w:tc>
        <w:tc>
          <w:tcPr>
            <w:tcW w:w="4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8121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44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F1F7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r w14:paraId="6364E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160"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237F3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8</w:t>
            </w:r>
          </w:p>
        </w:tc>
        <w:tc>
          <w:tcPr>
            <w:tcW w:w="7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3F960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视频会议室设备</w:t>
            </w:r>
          </w:p>
        </w:tc>
        <w:tc>
          <w:tcPr>
            <w:tcW w:w="30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9DE36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面板类型a-Si TFT-LCD, 液晶模组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分辨率1920(RGB)×1080  [FHD]  40PPI像素排列RGB垂直条状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显示区域1209.6(W)×680.4(H) 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1211.6(W)×682.4(H)×68.1(D) mm外观尺寸雾面 (Haze 25%)，Hard coating (2H)500 cd/m² (Typ.)4000 : 1 (Typ.) [透射]    SVA，常黑显示，透射式89/89/89/89 (Typ.)(CR≥10)8 (Typ.)(G to G) ms表面处理亮度对 比 度光学模式可视角度响应速度16.7M , 99% sRGBWLED , 50K小时 , 含LED驱动器2.0 mm (active to active seam)15.0/17.0Kgs (Typ./Max.)</w:t>
            </w:r>
          </w:p>
        </w:tc>
        <w:tc>
          <w:tcPr>
            <w:tcW w:w="4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0AC3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44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19A3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r w14:paraId="473AB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8"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E46BEC">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二、监控安防</w:t>
            </w:r>
            <w:r>
              <w:rPr>
                <w:rFonts w:hint="eastAsia" w:ascii="宋体" w:hAnsi="宋体" w:cs="宋体"/>
                <w:b/>
                <w:bCs/>
                <w:i w:val="0"/>
                <w:iCs w:val="0"/>
                <w:color w:val="auto"/>
                <w:kern w:val="0"/>
                <w:sz w:val="20"/>
                <w:szCs w:val="20"/>
                <w:highlight w:val="none"/>
                <w:u w:val="none"/>
                <w:lang w:val="en-US" w:eastAsia="zh-CN" w:bidi="ar"/>
              </w:rPr>
              <w:t>检修</w:t>
            </w:r>
            <w:r>
              <w:rPr>
                <w:rFonts w:hint="eastAsia" w:ascii="宋体" w:hAnsi="宋体" w:eastAsia="宋体" w:cs="宋体"/>
                <w:b/>
                <w:bCs/>
                <w:i w:val="0"/>
                <w:iCs w:val="0"/>
                <w:color w:val="auto"/>
                <w:kern w:val="0"/>
                <w:sz w:val="20"/>
                <w:szCs w:val="20"/>
                <w:highlight w:val="none"/>
                <w:u w:val="none"/>
                <w:lang w:val="en-US" w:eastAsia="zh-CN" w:bidi="ar"/>
              </w:rPr>
              <w:t>及升级改造</w:t>
            </w:r>
          </w:p>
        </w:tc>
      </w:tr>
      <w:tr w14:paraId="363C7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9811A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D0F3C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监控安防设备扩容</w:t>
            </w:r>
          </w:p>
        </w:tc>
        <w:tc>
          <w:tcPr>
            <w:tcW w:w="30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32C62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8T监控紫盘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接口类型SATA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尺寸3.5寸</w:t>
            </w:r>
          </w:p>
        </w:tc>
        <w:tc>
          <w:tcPr>
            <w:tcW w:w="4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04B6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 </w:t>
            </w:r>
          </w:p>
        </w:tc>
        <w:tc>
          <w:tcPr>
            <w:tcW w:w="44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83C4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个</w:t>
            </w:r>
          </w:p>
        </w:tc>
      </w:tr>
      <w:tr w14:paraId="1BA06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B3D8D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7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619268">
            <w:pPr>
              <w:keepNext w:val="0"/>
              <w:keepLines w:val="0"/>
              <w:widowControl/>
              <w:suppressLineNumbers w:val="0"/>
              <w:jc w:val="left"/>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监控设备</w:t>
            </w:r>
            <w:r>
              <w:rPr>
                <w:rFonts w:hint="eastAsia" w:ascii="宋体" w:hAnsi="宋体" w:cs="宋体"/>
                <w:i w:val="0"/>
                <w:iCs w:val="0"/>
                <w:color w:val="auto"/>
                <w:kern w:val="0"/>
                <w:sz w:val="20"/>
                <w:szCs w:val="20"/>
                <w:highlight w:val="none"/>
                <w:u w:val="none"/>
                <w:lang w:val="en-US" w:eastAsia="zh-CN" w:bidi="ar"/>
              </w:rPr>
              <w:t>运维</w:t>
            </w:r>
            <w:r>
              <w:rPr>
                <w:rFonts w:hint="eastAsia" w:ascii="宋体" w:hAnsi="宋体" w:eastAsia="宋体" w:cs="宋体"/>
                <w:i w:val="0"/>
                <w:iCs w:val="0"/>
                <w:color w:val="auto"/>
                <w:kern w:val="0"/>
                <w:sz w:val="20"/>
                <w:szCs w:val="20"/>
                <w:highlight w:val="none"/>
                <w:u w:val="none"/>
                <w:lang w:val="en-US" w:eastAsia="zh-CN" w:bidi="ar"/>
              </w:rPr>
              <w:t>服务</w:t>
            </w:r>
          </w:p>
        </w:tc>
        <w:tc>
          <w:tcPr>
            <w:tcW w:w="30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1EF66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监控设备</w:t>
            </w:r>
            <w:r>
              <w:rPr>
                <w:rFonts w:hint="eastAsia" w:ascii="宋体" w:hAnsi="宋体" w:cs="宋体"/>
                <w:i w:val="0"/>
                <w:iCs w:val="0"/>
                <w:color w:val="auto"/>
                <w:kern w:val="0"/>
                <w:sz w:val="20"/>
                <w:szCs w:val="20"/>
                <w:highlight w:val="none"/>
                <w:u w:val="none"/>
                <w:lang w:val="en-US" w:eastAsia="zh-CN" w:bidi="ar"/>
              </w:rPr>
              <w:t>运维</w:t>
            </w:r>
            <w:r>
              <w:rPr>
                <w:rFonts w:hint="eastAsia" w:ascii="宋体" w:hAnsi="宋体" w:eastAsia="宋体" w:cs="宋体"/>
                <w:i w:val="0"/>
                <w:iCs w:val="0"/>
                <w:color w:val="auto"/>
                <w:kern w:val="0"/>
                <w:sz w:val="20"/>
                <w:szCs w:val="20"/>
                <w:highlight w:val="none"/>
                <w:u w:val="none"/>
                <w:lang w:val="en-US" w:eastAsia="zh-CN" w:bidi="ar"/>
              </w:rPr>
              <w:t>服务</w:t>
            </w:r>
            <w:r>
              <w:rPr>
                <w:rFonts w:hint="eastAsia" w:ascii="宋体" w:hAnsi="宋体" w:cs="宋体"/>
                <w:i w:val="0"/>
                <w:iCs w:val="0"/>
                <w:color w:val="auto"/>
                <w:kern w:val="0"/>
                <w:sz w:val="20"/>
                <w:szCs w:val="20"/>
                <w:highlight w:val="none"/>
                <w:u w:val="none"/>
                <w:lang w:val="en-US" w:eastAsia="zh-CN" w:bidi="ar"/>
              </w:rPr>
              <w:t>（6个监控运维施工）</w:t>
            </w:r>
            <w:r>
              <w:rPr>
                <w:rFonts w:hint="eastAsia" w:ascii="宋体" w:hAnsi="宋体" w:eastAsia="宋体" w:cs="宋体"/>
                <w:i w:val="0"/>
                <w:iCs w:val="0"/>
                <w:color w:val="auto"/>
                <w:kern w:val="0"/>
                <w:sz w:val="20"/>
                <w:szCs w:val="20"/>
                <w:highlight w:val="none"/>
                <w:u w:val="none"/>
                <w:lang w:val="en-US" w:eastAsia="zh-CN" w:bidi="ar"/>
              </w:rPr>
              <w:t>，并为监控区域提供充足、低碳的照明光源。</w:t>
            </w:r>
          </w:p>
        </w:tc>
        <w:tc>
          <w:tcPr>
            <w:tcW w:w="4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7C97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2BD2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项</w:t>
            </w:r>
          </w:p>
        </w:tc>
      </w:tr>
      <w:tr w14:paraId="12ED6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8"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5A65DC">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三、有线网络升级机房运维</w:t>
            </w:r>
          </w:p>
        </w:tc>
      </w:tr>
      <w:tr w14:paraId="1FE4E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60"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B339B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3AA52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防火墙</w:t>
            </w:r>
          </w:p>
        </w:tc>
        <w:tc>
          <w:tcPr>
            <w:tcW w:w="30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53CC2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网络处理能力8Gbps，并发连接≥200万，每秒新建连接10万/秒，2U机架式设备，单电源，支持液晶屏，标准配置板载8个10/100/1000M自适应电口、2个SFP插槽和2个SFP+插槽,1个Console口，1T存储容量的企业级硬盘， 报价中包括16个SSLVPN 并发用户数（最大300）、16个IPsecVPN 并发隧道数（最大1000）。2个扩展插槽，支持扩展板卡。含三年硬件维保服务。交货时需提供售销许可证等产品材料 。</w:t>
            </w:r>
          </w:p>
        </w:tc>
        <w:tc>
          <w:tcPr>
            <w:tcW w:w="4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ECB5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44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B56A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7EC76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5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4F5A5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7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0DBF6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核心交换机</w:t>
            </w:r>
          </w:p>
        </w:tc>
        <w:tc>
          <w:tcPr>
            <w:tcW w:w="30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F5F45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一、单台配置要求：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1.主控引擎与业务板卡完全物理分离, 采用全分布式转发处理架构，独立主控引擎插槽≥2个，独立业务插槽数≥3个；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2.2个通用电源模块（交流，460W）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3.≥1个24端口千兆以太网电口(RJ45)+24端口千兆以太网光口(SFP,LC)+4端口万兆以太网光口(SFP+,LC)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二、参数要求：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1.▲交换容量≥150Tbps，包转发性能≥35000Mpps；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2.为了适应机柜并排部署，机箱业务板卡区采用后出风风道设计，提供设备散热气流流向截图；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3.主控引擎支持集成硬件监控功能，能集中监控板卡、风扇、电源、环境。无需单独配置硬件监控板卡，降低整机功耗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4.为提高设备面板空间利用率，要求采用高密度端口设计，所投产品单张业务卡最大可用物理端口≥52个，整机转发业务物理端口≥156个；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5.支持N:1虚拟化：可将多台物理设备虚拟化为1台逻辑设备，虚拟组内设备具备统一的二层及三层转发表项，统一的管理界面，并可实现跨设备链路聚合；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 支持VXLAN二三层分布式网关，支持EVPN，支持VXLAN双活；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7.支持静态路由、RIP、RIPng、OSPF、OSPFv3、BGP、BGP4+、ISIS、ISISv6；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8.支持IPV6 SAVI防地址欺骗解析欺骗策略，提供具有CMA或CNAS认证章的第三方权威机构检验报告证明等证明材料</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专门针对CPU的保护机制和基础网络保护机制，能够针对发往CPU处理的各种报文进行流量控制和优先级处理，增强设备防攻击能力，即使在受到攻击的情况下，也能保护系统各种服务的正常运行，保持较低的CPU负载，从而保障整个网络的稳定运行。提供具有CMA或CNAS认证章的第三方权威机构检验报告等证明材料</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10.支持BFD 功能故障检测周期≤3ms，检测到故障并切换到备份路由的断流时间≤30ms；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11.▲为保证IPv6的可部署性和应用性，所投交换机需具备IPv6 Ready Phase2认证证书，要求产品型号与获证产品型号一致，提供权威机构的检测证书以及权威机构官网证书查询链接等证明材料</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 为保障核心设备的安全可靠性，要求所投产品端口浪涌抗扰度≥6KV（即具备6KV的防雷能力），投标时提供具有CMA或CNAS认证章的第三方权威机构检验报告证明等证明材料。</w:t>
            </w:r>
          </w:p>
        </w:tc>
        <w:tc>
          <w:tcPr>
            <w:tcW w:w="4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CC9F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44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2582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2EEA1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20"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2BF7C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7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06476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出口网关</w:t>
            </w:r>
          </w:p>
        </w:tc>
        <w:tc>
          <w:tcPr>
            <w:tcW w:w="30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844D6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1U尺寸，并发带机数≥300台，出口带宽≥1Gbps；固化≥7个GE口，其中≥3GE WAN口（2电+1光）、≥4GE LAN口；固化1个AC电源；可支持冗余电源模块</w:t>
            </w:r>
            <w:r>
              <w:rPr>
                <w:rFonts w:hint="eastAsia" w:ascii="宋体" w:hAnsi="宋体" w:cs="宋体"/>
                <w:i w:val="0"/>
                <w:iCs w:val="0"/>
                <w:color w:val="auto"/>
                <w:kern w:val="0"/>
                <w:sz w:val="20"/>
                <w:szCs w:val="20"/>
                <w:highlight w:val="none"/>
                <w:u w:val="none"/>
                <w:lang w:val="en-US" w:eastAsia="zh-CN" w:bidi="ar"/>
              </w:rPr>
              <w:t>。</w:t>
            </w:r>
          </w:p>
        </w:tc>
        <w:tc>
          <w:tcPr>
            <w:tcW w:w="4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935F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44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4649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12726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864"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CDB8F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7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BA6D4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监控设备汇聚KVM</w:t>
            </w:r>
          </w:p>
        </w:tc>
        <w:tc>
          <w:tcPr>
            <w:tcW w:w="30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AC0B4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 ≥9路HDMI信号输入，≥1路HDMI信号输出；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具有自动切换功能，只要HDMI信号插上就能自动切换到显示屏上；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 具有遥控器切换功能，出厂配置原装遥控器;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具有红外线接收器延长接口，可以把红外接收头延伸到设备以外的地方；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 带有RS232接口，具有电脑软件控制功能，也支持第三方控制；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 具有按键切换功能，设备上带有按键，通过按键可以灵活切换视频信号；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 带有网口，可以通过网络控制，可以使用APP控制。（选配）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 自动读取EDID，适用于任何品牌的显示设备；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 支持高清分辨率3840*2160（30HZ）--1920*1080P（60HZ）---1080P以及向下兼容；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 使用24AWG标准的线缆，1080P输入传输距离可达20米，输出传输距离可达25米；4K输入传输距离可达15米，输出传输距离可达15米；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 FPGA可编程逻辑阵列电路，性能更稳定，运行速度快，系统稳定；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 采用高速数字交换技术，图像清晰，视频信号稳定，无抖动，无雪花；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 兼容HDMI1.3版本、HDMI1.4版本，符合HDCP标准，支持信号时序重整,CEC,36位真彩技术；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 产品带有断电现场切换记忆保护；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 支持音频格式DTS-HD/Dolby-trueHD/LPCM7.1/DTS/DOLBY-AC3/DSD。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4K高清HDMI切换器9进1出的技术指标：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 协议：支持HDCP1.3协议，支持HDMI1.4协议。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总带宽≥6.75Gbps。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可支持分辨率：3840*2160（30HZ）---1920*1080P（60HZ）--1080P向下兼容；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信号类型：HDMI-A全数字 T.M.D.S. 信号。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 信号强度：T.M.D.S +/- 0.4Vpp。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 接口：HDMI-A母接口。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 切换速度：100ms。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 信噪比：≥96dB。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 回波损耗：-50dB@5MHz。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 控制协议：9600波特，8位，1个停止位，无奇偶校验。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 串行控制接口：2=TX,3=RX,5=GND。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HDMI切换器9进1出的规格</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 电源：110VAC～240VAC,50/60Hz,自适应电源；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温度：储存、使用温度：-20℃～+70°C；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湿度：储存、使用湿度：:10%～90%；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平均故障间隔时间≥50,000小时；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 功耗：≤20W。</w:t>
            </w:r>
          </w:p>
        </w:tc>
        <w:tc>
          <w:tcPr>
            <w:tcW w:w="4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521E8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44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BF68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6D8CD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F9DA7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7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5BA58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机房防火设备检修服务</w:t>
            </w:r>
          </w:p>
        </w:tc>
        <w:tc>
          <w:tcPr>
            <w:tcW w:w="30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EB13A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99"/>
                <w:color w:val="auto"/>
                <w:highlight w:val="none"/>
                <w:lang w:val="en-US" w:eastAsia="zh-CN" w:bidi="ar"/>
              </w:rPr>
              <w:t>GQQ70/2.5-CF型柜式七氟丙烷气体灭火装置检修</w:t>
            </w:r>
            <w:r>
              <w:rPr>
                <w:rStyle w:val="99"/>
                <w:rFonts w:hint="eastAsia"/>
                <w:color w:val="auto"/>
                <w:highlight w:val="none"/>
                <w:lang w:val="en-US" w:eastAsia="zh-CN" w:bidi="ar"/>
              </w:rPr>
              <w:t>服务</w:t>
            </w:r>
            <w:r>
              <w:rPr>
                <w:rStyle w:val="99"/>
                <w:color w:val="auto"/>
                <w:highlight w:val="none"/>
                <w:lang w:val="en-US" w:eastAsia="zh-CN" w:bidi="ar"/>
              </w:rPr>
              <w:t>，</w:t>
            </w:r>
            <w:r>
              <w:rPr>
                <w:rStyle w:val="100"/>
                <w:color w:val="auto"/>
                <w:highlight w:val="none"/>
                <w:lang w:val="en-US" w:eastAsia="zh-CN" w:bidi="ar"/>
              </w:rPr>
              <w:t>并提供智能烟感全链条服务。</w:t>
            </w:r>
          </w:p>
        </w:tc>
        <w:tc>
          <w:tcPr>
            <w:tcW w:w="4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E215B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44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0B7E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r w14:paraId="596BC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71"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C7EE3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7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2D393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移动电源</w:t>
            </w:r>
          </w:p>
        </w:tc>
        <w:tc>
          <w:tcPr>
            <w:tcW w:w="30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B9B66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主机：10KVA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1.支持二进单出/单进单出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2.外型：2U，430mm宽*500mm深*85mm高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3.显示和通讯：标配LCD屏幕，支持重力自适应功能。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蓄电池：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1.16组U12V100A蓄电池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2.工作温度：－15～+45℃；相对湿度：90％（40℃±2℃）大气压力：70～106kPa（近似海拔高度0～3000m）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3.同组蓄电池10h率容量试验时，最大实际容量与最小实际容量差值应不大于1%。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4.内部由6个2V单体组成一体的组合蓄电池组（12V蓄电池），其各电池间的开路电压最高与最低差值≤30 mV（12V）。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5.AGM蓄电池组进入浮充状态24h后，各蓄电池间的端电压差值≤15 mV（12V）。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6.AGM蓄电池放电时，各蓄电池间的端电压差值≤0.1 V（12V）。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7.防酸雾性能：蓄电池在正常工作中应无酸雾逸出。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spacing w:val="-6"/>
                <w:kern w:val="0"/>
                <w:sz w:val="20"/>
                <w:szCs w:val="20"/>
                <w:highlight w:val="none"/>
                <w:u w:val="none"/>
                <w:lang w:val="en-US" w:eastAsia="zh-CN" w:bidi="ar"/>
              </w:rPr>
              <w:t>8.防爆性能：蓄电池在充电过程中遇有明火内部不应引爆。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9.封口剂性能：采用封口剂蓄电池，在温度-30℃～+65℃之间，封口剂不应有裂纹与溢流现象。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10.密封反应效率：蓄电池密封反应效率应不低于99%。</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11.安全阀：安全阀应具有自动开启和自动关闭的功能。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12.耐过充电能力：完全充电的蓄电池以0.3I10(A)电流再充电160h，过充完毕后静置1h，其外观应无明显变形和渗液。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13.大电流放电：蓄电池以30I10（A）放电3min，极柱、内部汇流排不应熔断，其外观不得出现异常。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14.气密性：蓄电池应能承受50kPa的正压或负压而不破裂、不开胶，压力释放后壳体无残余变形。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14.阻燃性能：蓄电池壳、盖、连接条保护罩应符合《塑料 燃烧性能的测定 水平法和垂直法》（GB/T 2408-2008）中的第8.3.2节FH-1（水平级）和第9.3.2节FV-0（垂直级）的要求。对于壳体外带钢壳保护的，蓄电池盖、连接条保护罩阻燃应满足以上要求。</w:t>
            </w:r>
          </w:p>
        </w:tc>
        <w:tc>
          <w:tcPr>
            <w:tcW w:w="4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84AE0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44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7E5B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r w14:paraId="412E9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320"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C2F68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7</w:t>
            </w:r>
          </w:p>
        </w:tc>
        <w:tc>
          <w:tcPr>
            <w:tcW w:w="7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F0C01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机房线架</w:t>
            </w:r>
          </w:p>
        </w:tc>
        <w:tc>
          <w:tcPr>
            <w:tcW w:w="30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67CAE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面板塑料材质：PC聚碳酸酯、ABS工程塑料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面板金属材质：钢架底板结构+喷塑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可安装模块数量：可安装1-24个180度模块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连接方式：从配线架背部直接卡接信息模块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安装性：19英寸标准机架式设备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安装高度：1U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配线架背部理线功能：配线架背部含1*24金属理线板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安装方式：使用配线架包装内标配螺丝安装于机架内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维护方式：将机柜后门打开从背部进行维护 理线器整体材质：铝合金+黑色喷塑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采用铝型材喷塑，品牌商标采用金属拉丝后一次冲成型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拥有优于SPCC 的机械支撑强度性能，自重大大减轻且具有极佳的外观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安装高度：1U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良好的结构设计，确保产品安装和维护便利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安装方式：机柜螺丝安装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使用温度： -20～70℃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湿度：85%（温度85℃±3℃）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含标签整理</w:t>
            </w:r>
          </w:p>
        </w:tc>
        <w:tc>
          <w:tcPr>
            <w:tcW w:w="4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BCDF5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44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0046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r w14:paraId="7C4A7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8"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44FBD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b/>
                <w:bCs/>
                <w:i w:val="0"/>
                <w:iCs w:val="0"/>
                <w:color w:val="auto"/>
                <w:kern w:val="0"/>
                <w:sz w:val="20"/>
                <w:szCs w:val="20"/>
                <w:highlight w:val="none"/>
                <w:u w:val="none"/>
                <w:lang w:val="en-US" w:eastAsia="zh-CN" w:bidi="ar"/>
              </w:rPr>
              <w:t>四</w:t>
            </w:r>
            <w:r>
              <w:rPr>
                <w:rFonts w:hint="eastAsia" w:ascii="宋体" w:hAnsi="宋体" w:eastAsia="宋体" w:cs="宋体"/>
                <w:b/>
                <w:bCs/>
                <w:i w:val="0"/>
                <w:iCs w:val="0"/>
                <w:color w:val="auto"/>
                <w:kern w:val="0"/>
                <w:sz w:val="20"/>
                <w:szCs w:val="20"/>
                <w:highlight w:val="none"/>
                <w:u w:val="none"/>
                <w:lang w:val="en-US" w:eastAsia="zh-CN" w:bidi="ar"/>
              </w:rPr>
              <w:t>、融媒体中心升级改造</w:t>
            </w:r>
          </w:p>
        </w:tc>
      </w:tr>
      <w:tr w14:paraId="26335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9DF94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AD133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融媒体中心隔音</w:t>
            </w:r>
          </w:p>
        </w:tc>
        <w:tc>
          <w:tcPr>
            <w:tcW w:w="51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7C2CA4">
            <w:pPr>
              <w:keepNext w:val="0"/>
              <w:keepLines w:val="0"/>
              <w:widowControl/>
              <w:suppressLineNumbers w:val="0"/>
              <w:jc w:val="left"/>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1.环保压缩≥3cm高密度隔音材料，阻燃防潮材质；2.辅料；</w:t>
            </w:r>
            <w:r>
              <w:rPr>
                <w:rFonts w:hint="eastAsia" w:ascii="宋体" w:hAnsi="宋体" w:cs="宋体"/>
                <w:i w:val="0"/>
                <w:iCs w:val="0"/>
                <w:color w:val="auto"/>
                <w:kern w:val="0"/>
                <w:sz w:val="20"/>
                <w:szCs w:val="20"/>
                <w:highlight w:val="none"/>
                <w:u w:val="none"/>
                <w:lang w:val="en-US" w:eastAsia="zh-CN" w:bidi="ar"/>
              </w:rPr>
              <w:t>3.安装。</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A685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7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9926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w:t>
            </w:r>
          </w:p>
        </w:tc>
      </w:tr>
      <w:tr w14:paraId="48FD8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887" w:hRule="atLeast"/>
        </w:trPr>
        <w:tc>
          <w:tcPr>
            <w:tcW w:w="4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ADDC6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2</w:t>
            </w:r>
          </w:p>
        </w:tc>
        <w:tc>
          <w:tcPr>
            <w:tcW w:w="12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84F3B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录音录像机</w:t>
            </w:r>
          </w:p>
        </w:tc>
        <w:tc>
          <w:tcPr>
            <w:tcW w:w="51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1CE31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≥5000万超高清像素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1/1.3英寸超级大底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全像素相位对焦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30ms极速对焦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7层专业光学镜头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f/1.8光圈</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37045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7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C9A85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14:paraId="5606E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4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C9A27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3</w:t>
            </w:r>
          </w:p>
        </w:tc>
        <w:tc>
          <w:tcPr>
            <w:tcW w:w="12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988F0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导播扩容卡</w:t>
            </w:r>
          </w:p>
        </w:tc>
        <w:tc>
          <w:tcPr>
            <w:tcW w:w="51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2D740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国产编解码芯片，自主可控，支持1920*1080@60视频输出；支持≥1路HDMI视频输出；支持≥1路3.5mm耳机接口输出；≥1路平衡MIC音频输出</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82073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7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3409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r>
      <w:tr w14:paraId="49F84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4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D3CCB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4</w:t>
            </w:r>
          </w:p>
        </w:tc>
        <w:tc>
          <w:tcPr>
            <w:tcW w:w="12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9BDED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直播幕布</w:t>
            </w:r>
          </w:p>
        </w:tc>
        <w:tc>
          <w:tcPr>
            <w:tcW w:w="51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B0A0B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自动绿幕、自动升降电动幕布 2.8*3</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2E253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7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459CF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14:paraId="26A78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4C3E1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2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743F4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录像机</w:t>
            </w:r>
          </w:p>
        </w:tc>
        <w:tc>
          <w:tcPr>
            <w:tcW w:w="51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3FBF3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传感器类型：Exmor R CMOS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最大像素：≥2090万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光学变焦：≥12倍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液晶屏尺寸：3.5英寸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录制格式：视频：AVCHD，MP4，XAVC S MPEG4-AVC/H.264 图片：JPEG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防抖性能：光学防抖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存储介质：SD/SDHC/SDXC卡</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9403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7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6B8E0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6A3B9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8" w:hRule="atLeast"/>
        </w:trPr>
        <w:tc>
          <w:tcPr>
            <w:tcW w:w="4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B599D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2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C0295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相机</w:t>
            </w:r>
          </w:p>
        </w:tc>
        <w:tc>
          <w:tcPr>
            <w:tcW w:w="51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5964B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传感器尺寸：APS-C画幅（22.3*14.9mm）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有效像素：≥2420万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高清摄像：4K超高清视频（2160）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显示屏尺寸：3英寸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快门速度：电子前帘快门：1/4000至30秒、B门；电子快门：1/8000～30秒、B门，电子前帘快门闪光同步速度：1/250秒 ，电子快门无法进行闪光同步 </w:t>
            </w:r>
          </w:p>
          <w:p w14:paraId="686A79E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※短片拍摄时的设置范围不同展开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连拍功能：连拍功能：连拍速度： 高速连拍+：最高约15张/秒（电子快门），最高约12张/秒（电子前帘快门）； 高速连拍：最高约15张/秒（电子快门）、最高约7.6张/秒（电子前帘快门）； 低速连拍：最高约5张/秒（电子快门）、最高约3张/秒（电子前帘快门）； ※电子前帘下高速连拍+时，使用闪光灯时自动曝光、闪光曝光、白平衡固定为第一张。最高连拍速度有可能因快门速度、光圈值、连拍中的光圈状态、闪光灯拍摄、防闪烁拍摄、电池种类、电池电量、温度、使用内置Wi-Fi、被摄体、光线条件（昏暗场景拍摄等）、镜头种类、内部缓存满（暂时无法拍摄）等条件而降低。 最大连拍数量： 电子前帘快门：高速连拍+ JPEG大：约42张；HEIF大：约41张；RAW：约7张；C-RAW：约15张；RAW+JPEG大：约7张；C-RAW+JPEG大：约13张；RAW+HEIF大：约7张；C-RAW+HEIF大：约13张； ※数值基于使用符合佳能测试标准的32GB SD存储卡测得。RAW+JPEG时HDR拍摄（HDR PQ）关闭， RAW+HEIF时HDR拍摄（HDR PQ）开启。 ※测试条件：电子前帘下使用单次自动对焦、高速连拍+、ISO 100、标准照片风格。※最大连拍数量因拍摄条件（长宽比、JPEG/HEIF画质、被摄体、存储卡品牌、ISO感光度、照片风格、自定义功能等）不同而异。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存储卡类型：单卡槽，SD/SDHC/SDXC存储卡（兼容UHS-I存储卡）</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BEEBF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7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25A0D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63471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15" w:hRule="atLeast"/>
        </w:trPr>
        <w:tc>
          <w:tcPr>
            <w:tcW w:w="4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01D1A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2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A8DC8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融</w:t>
            </w:r>
            <w:r>
              <w:rPr>
                <w:rFonts w:hint="eastAsia" w:ascii="宋体" w:hAnsi="宋体" w:eastAsia="宋体" w:cs="宋体"/>
                <w:i w:val="0"/>
                <w:iCs w:val="0"/>
                <w:color w:val="auto"/>
                <w:kern w:val="0"/>
                <w:sz w:val="20"/>
                <w:szCs w:val="20"/>
                <w:highlight w:val="none"/>
                <w:u w:val="none"/>
                <w:lang w:val="en-US" w:eastAsia="zh-CN" w:bidi="ar"/>
              </w:rPr>
              <w:t>媒体中心</w:t>
            </w:r>
            <w:r>
              <w:rPr>
                <w:rFonts w:hint="eastAsia" w:ascii="宋体" w:hAnsi="宋体" w:cs="宋体"/>
                <w:i w:val="0"/>
                <w:iCs w:val="0"/>
                <w:color w:val="auto"/>
                <w:kern w:val="0"/>
                <w:sz w:val="20"/>
                <w:szCs w:val="20"/>
                <w:highlight w:val="none"/>
                <w:u w:val="none"/>
                <w:lang w:val="en-US" w:eastAsia="zh-CN" w:bidi="ar"/>
              </w:rPr>
              <w:t>操作大台</w:t>
            </w:r>
          </w:p>
        </w:tc>
        <w:tc>
          <w:tcPr>
            <w:tcW w:w="51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9E281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长2米宽1米厚度0.8，高度75厘米（按实际需求调整）</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7A2F2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7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52C3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6D7F9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375" w:hRule="atLeast"/>
        </w:trPr>
        <w:tc>
          <w:tcPr>
            <w:tcW w:w="4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223AE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2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11717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200瓦四眼暖白面光灯</w:t>
            </w:r>
          </w:p>
        </w:tc>
        <w:tc>
          <w:tcPr>
            <w:tcW w:w="51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FF913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200瓦四眼暖白面光灯名称:4*50WCOB面光灯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光源:正白，暖白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净重:≤ 3.5KG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尺寸:≤ 220 *230*320MM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频闪: 1-10次/S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模式:自走/主从/DMX512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总功率: 200W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通道数:12个DM通道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防护等级: IP20,风机自然散热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光東角度：12度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菜单显示: LED数码显示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机箱材质:铸铝合金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工作电压: AC1 10V/220V 50HZ/60HZ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灯座转动:手动转动控制发光角度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特点:无闪光，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无杂斑，恒流驱动和光源，适合录像拍摄</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E6B64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7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69C0C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14:paraId="2AC5B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8" w:hRule="atLeast"/>
        </w:trPr>
        <w:tc>
          <w:tcPr>
            <w:tcW w:w="4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59B58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2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010EF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音响喇叭</w:t>
            </w:r>
          </w:p>
        </w:tc>
        <w:tc>
          <w:tcPr>
            <w:tcW w:w="51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3EABC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类型：前导相式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喇叭单元：LF 1*15"铁氧体/ 音圈∅75mm/磁钢∅190mm；HF 1*1.73" 铁氧体压缩高音/ 音圈∅44mm/磁钢∅120mm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额定阻抗：8Ω；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额定功率（AES)：500W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峰值功率（AES)：2000W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频率响应（-3dB)：45Hz-19KHz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灵敏度（1m/1W)：99dB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指向性（H *V）：90°*60°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最大声压级（1m/1W)：125dB (连续）/132dB( 峰值）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表面处理：黑色/香槟色/亮光点漆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板材：15mm高密度中纤板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外形尺寸（W*D*H）：≤430*410*670mm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净重：≤28.6kg</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E38CB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7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79E1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14:paraId="31237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4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C7362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2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52A11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融媒体AI数字人服务</w:t>
            </w:r>
          </w:p>
        </w:tc>
        <w:tc>
          <w:tcPr>
            <w:tcW w:w="51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FBAC3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AI数字人服务</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459A5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7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12B2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r w14:paraId="2F64A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479C3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55A5C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辅材</w:t>
            </w:r>
          </w:p>
        </w:tc>
        <w:tc>
          <w:tcPr>
            <w:tcW w:w="51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661F4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航空母+塑料母、线材等一批</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1D62A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7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716A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批</w:t>
            </w:r>
          </w:p>
        </w:tc>
      </w:tr>
      <w:tr w14:paraId="58747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8"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31A8C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五、公共法律服务中心软硬件升级改造</w:t>
            </w:r>
          </w:p>
        </w:tc>
      </w:tr>
      <w:tr w14:paraId="05886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00" w:hRule="atLeast"/>
        </w:trPr>
        <w:tc>
          <w:tcPr>
            <w:tcW w:w="4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86C71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8C9F1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排号呼叫及评价设备</w:t>
            </w:r>
          </w:p>
        </w:tc>
        <w:tc>
          <w:tcPr>
            <w:tcW w:w="51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235E3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1.支持实时显示系统设备运行状态功能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2.支持实时显示 业务（详细显示取号/已办/等待/过号/时长/评价数量） 窗口信息（等待/已办/时长/在线/空闲）功能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3.支持按日期/昨天/本周/本月/自定义统计业务信息（取号人次/等待时间/办理时间）/根据窗业务/窗口/工号选择统计业务及评价信息功能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4.支持按日期/昨天/本周/本月/自定义统计客户信息(客户统计姓名/手机号/身份证/卡号)以及所办业务信息功能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5.支持按控制业务信息管理/新增/分配/限制业务取号规则（身份证/卡类/手机号）及限制办理时间/数量业务前缀A-Z/0-9/AA-AZ/BA-BZ(一级业务88项)功能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6.支持业务转移流程设置A-&gt;B B-&gt;C C-&gt;A功能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7.支持配置窗口信息管理(名称/地址/优先级/语音/位置信息)窗口业务智能时间优先/窗口业务优先 语音方案管理（独立语音/统一语音/语音自定义）功能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8.支持窗口/综合信息按区域编号/区域名称/区域描述显示自定义功能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9.支持窗口/综合显示语音独立播放自定义功能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10.支持设置终端代码/类型/状态/地址/自动接收新设备(修改/删除/测式)功能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11.支持编辑取号界面（自定义文案/业务/图片/时间/版本/视频/背景图）自定义功能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12.支持打印模版（打印方案/自定义文案/业务信息/位置信息/办理窗口/取号号码/手机号/等待人数/图片时间表）功能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编辑液晶窗口显示（自定义文案/标题/照片/员工模块/窗口号/窗口名称/正在办理标题/正在办理/下一位/办理业务/等待人数/北京时间表/视频/背景图片）自定义编辑编排以上信息（样式/颜色/大小/透明度）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14.支持液晶综合显示（自定义文案/标题/呼叫标题/窗口办理/业务标题/正在办理/即将办理/已过号/照片/北京时间表/视频/背景图片）自定义编辑编排以上信息（样式/颜色/大小/透明度）功能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15.支持批量导入员工/姓名/职位/部门/描述功能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16.支持批量导入客户/姓名/类型/电话/身份证/卡号功能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17.支持员工名字格式/客户名字格式/手机显示格式/号码清空时间/自动关机功能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18.支持各终端设备的公告（跑马灯）滚动功能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系统要求：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1.各软件模块（服务/管理/取号/呼叫/显示/评价）独立安装自动(无需IP设置)连接功能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2.虚拟呼叫器(安卓呼叫器)功能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3.支持显示当前 姓名 办理业务 等待时长 办理时长 登录状态 地址 通信状态 员工 工号 登录时长 未办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已办 过号 评价 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4.支持未办 已办 过号 评价 特呼 地址 提示 登录 转移 业务 求助 暂停 上一位 评价 过号 重呼 呼叫 功能</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F464B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7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E611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r w14:paraId="2C607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60" w:hRule="atLeast"/>
        </w:trPr>
        <w:tc>
          <w:tcPr>
            <w:tcW w:w="4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8B7AD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2</w:t>
            </w:r>
          </w:p>
        </w:tc>
        <w:tc>
          <w:tcPr>
            <w:tcW w:w="12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9DE50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门禁设备</w:t>
            </w:r>
          </w:p>
        </w:tc>
        <w:tc>
          <w:tcPr>
            <w:tcW w:w="51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5935B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人脸识别联动门禁锁二楼三楼各一套（共含50张卡）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1.采用约7英寸触摸显示屏，屏幕比例9:16，屏幕流明度≥600cd/㎡，分辨率不小于800×1280。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2.支持嵌入式Linux操作系统，采用宽动态≥200万双目摄像头，帧率≥25 帧/s，防护等级≥IP65，通信方式支持有线网络。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3.支持人脸.刷.密码认证方式，支持外接身份证.指纹.蓝牙.二维码功能模块，本地支持≥10000人脸库.≥50000张卡，≥150000条事件记录。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4.支持识读模块的扩展功能，形成一体化识别终端，支持IC卡识读，WEB端应支持配置防卡片复制安全机制，功能开启后第三方卡片或复制卡片可屏蔽识读。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5.支持通过文字转换为提示语音的 TTS 功能，支持本地广告信息播放，支持广告节目编排播放，播放时间可自定义。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6.支持图片.文字.视频广告节目播放，支持在设备端查看人员信息.设备状态.显示模式。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7.支持根据比对结果，输出开关量信号联动门禁等设备，支持本地非明文存储比对结果.身份信息及抓拍人脸照片。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在管理中心远程视频预览功能，支持与管理平台或客户端中心远程视频对讲，支持与室内机.管理机可视对讲，支持手机APP对讲功能，支持配置一键呼叫管理机或固定室内机的视频对讲功能，支持与广播主机实现广播系统可对讲功能，支持与广播主机呼叫对讲功能，支持中心广播主机向门禁设备广播喊话。</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9.支持断网续传离线记录非明文数据功能，支持抓拍图片本地存储功能开启/关闭。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10.支持设备本地比对结果用户信息脱敏显示功能开启/关闭，即隐藏姓名和工号信息，用户数据及比对记录采用非明文方式导出。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11.支持人脸比对平均时间≤120ms （1:1对比方式），最大人脸识别距离≥4m，最小人脸识别距离≤0.2m，支持设备本地人脸注册，远程下发人脸.APP 采集人脸并注册下发。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接入系统平台后应能支持视频联动报警功能，系统应具有应急开启的方法，如设备支持接入消防应急信号联动开门，支持未授权人员刷人脸时，设备应能支持抓拍图片并实时上报平台预警，根据设定事件的联动关系，当检测到该事件发生时，应能触发对应的动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13.支持在没有用户使用时自动切换到屏保或息屏待机状态，人员靠近自动唤醒待机设备，唤醒距离应能调节，采用软硬件低功耗管理模式，设备待机运行功耗应不超过 6W。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14.支持中心下发黑名单信息，具有本地黑名单事件报警功能，报警信息应能上传至平台，支持本地 U 盘升级.在线远程升级功能。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15.支持按时间分时段管控门禁权限，支持常开.常闭时段.首卡开门管理，支持反潜回功能</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E78A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7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098B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r w14:paraId="4ACA1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4D455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3</w:t>
            </w:r>
          </w:p>
        </w:tc>
        <w:tc>
          <w:tcPr>
            <w:tcW w:w="12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EB393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高拍仪</w:t>
            </w:r>
          </w:p>
        </w:tc>
        <w:tc>
          <w:tcPr>
            <w:tcW w:w="51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287CF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产品类型：高拍仪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最大幅面：A3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像素≥1600万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最大分辨率≥4608×3456dpi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扫描范围：A3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接口类型：USB2.0</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50F5D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7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6E8D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63EBD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149FD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4</w:t>
            </w:r>
          </w:p>
        </w:tc>
        <w:tc>
          <w:tcPr>
            <w:tcW w:w="12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7347C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法援中心会议室控制卡</w:t>
            </w:r>
          </w:p>
        </w:tc>
        <w:tc>
          <w:tcPr>
            <w:tcW w:w="51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AB4AE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1.单核WiFi控制器，极致性价比；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2.板载天线，推荐无遮挡传输距离≤20m；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3.U盘超强识读，U盘延长线≤15m稳定传输；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4.更高集成，更大带载，更强性能；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5.全新特效算法，相较</w:t>
            </w:r>
            <w:r>
              <w:rPr>
                <w:rFonts w:hint="eastAsia" w:ascii="宋体" w:hAnsi="宋体" w:cs="宋体"/>
                <w:i w:val="0"/>
                <w:iCs w:val="0"/>
                <w:color w:val="auto"/>
                <w:kern w:val="0"/>
                <w:sz w:val="20"/>
                <w:szCs w:val="20"/>
                <w:highlight w:val="none"/>
                <w:u w:val="none"/>
                <w:lang w:val="en-US" w:eastAsia="zh-CN" w:bidi="ar"/>
              </w:rPr>
              <w:t>前代产品</w:t>
            </w:r>
            <w:r>
              <w:rPr>
                <w:rFonts w:hint="eastAsia" w:ascii="宋体" w:hAnsi="宋体" w:eastAsia="宋体" w:cs="宋体"/>
                <w:i w:val="0"/>
                <w:iCs w:val="0"/>
                <w:color w:val="auto"/>
                <w:kern w:val="0"/>
                <w:sz w:val="20"/>
                <w:szCs w:val="20"/>
                <w:highlight w:val="none"/>
                <w:u w:val="none"/>
                <w:lang w:val="en-US" w:eastAsia="zh-CN" w:bidi="ar"/>
              </w:rPr>
              <w:t>，大幅提升画面左移速度；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6.支持节目回读。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7.涂敷UV三防胶，防尘、防潮、防静电、防盐雾；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8.产品支持各种面积LED显示屏，控制面积灵活，显示功能丰富，性价比超高。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9.X-WQ系列无线LED控制器将真正实现了产品无线连接，用户可以节约成本，省去购买网线的支出，有效节省能源消耗，并且也省去了繁琐的布线工程，性价比大幅提高。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10.用户可以安装Ledsuite 手机APP软件，通过手机APP可以搜索，添加屏幕，控制开关机、亮度，音量等。编辑节目，添加文本，图片，时间区、计时区，发送节目等功能都可以轻松实现。软件支持单屏幕模式和多屏幕模式；支持模板功能和云素材库；支持AP模式和STA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11.支持节目回读功能，可以将控制卡中的节目回读手机APP中，用户可以再次修改编辑节目内容。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12.每个控制器均可设置独立的通讯密码。设置密码后，控制器仅支持加密通讯。密码错误的情况下，拒绝所有非法连接。    </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D3E2D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7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80DA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068E2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77" w:hRule="atLeast"/>
        </w:trPr>
        <w:tc>
          <w:tcPr>
            <w:tcW w:w="4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177F5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5</w:t>
            </w:r>
          </w:p>
        </w:tc>
        <w:tc>
          <w:tcPr>
            <w:tcW w:w="12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F46CC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电视机支架</w:t>
            </w:r>
          </w:p>
        </w:tc>
        <w:tc>
          <w:tcPr>
            <w:tcW w:w="51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F0233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合金电视上墙支架</w:t>
            </w:r>
            <w:r>
              <w:rPr>
                <w:rFonts w:hint="eastAsia" w:ascii="宋体" w:hAnsi="宋体" w:cs="宋体"/>
                <w:i w:val="0"/>
                <w:iCs w:val="0"/>
                <w:color w:val="auto"/>
                <w:kern w:val="0"/>
                <w:sz w:val="20"/>
                <w:szCs w:val="20"/>
                <w:highlight w:val="none"/>
                <w:u w:val="none"/>
                <w:lang w:val="en-US" w:eastAsia="zh-CN" w:bidi="ar"/>
              </w:rPr>
              <w:t>。含利旧安装电视机。</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39EF9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7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F993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4A9D8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93" w:hRule="atLeast"/>
        </w:trPr>
        <w:tc>
          <w:tcPr>
            <w:tcW w:w="4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9EF2C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6</w:t>
            </w:r>
          </w:p>
        </w:tc>
        <w:tc>
          <w:tcPr>
            <w:tcW w:w="12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AF31C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展示控制模组</w:t>
            </w:r>
          </w:p>
        </w:tc>
        <w:tc>
          <w:tcPr>
            <w:tcW w:w="51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D952D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P3.75单色或更优，</w:t>
            </w:r>
            <w:r>
              <w:rPr>
                <w:rFonts w:hint="eastAsia" w:ascii="宋体" w:hAnsi="宋体" w:eastAsia="宋体" w:cs="宋体"/>
                <w:i w:val="0"/>
                <w:iCs w:val="0"/>
                <w:color w:val="auto"/>
                <w:kern w:val="0"/>
                <w:sz w:val="20"/>
                <w:szCs w:val="20"/>
                <w:highlight w:val="none"/>
                <w:u w:val="none"/>
                <w:lang w:val="en-US" w:eastAsia="zh-CN" w:bidi="ar"/>
              </w:rPr>
              <w:t>展示控制模组，控制方式支持手机连接</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0E73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7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2649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r>
      <w:tr w14:paraId="2DA05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77" w:hRule="atLeast"/>
        </w:trPr>
        <w:tc>
          <w:tcPr>
            <w:tcW w:w="4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FDB6F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7</w:t>
            </w:r>
          </w:p>
        </w:tc>
        <w:tc>
          <w:tcPr>
            <w:tcW w:w="12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ADF8E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远程视频区公证软件授权</w:t>
            </w:r>
          </w:p>
        </w:tc>
        <w:tc>
          <w:tcPr>
            <w:tcW w:w="51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AA2D56">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开通自治区公证综合业务办证系统“零接触”功能。自治区公证综合业务办证系统“零接触”功能整合各类公证服务应用，依托人脸识别、电子签名、视频连线、视频录制等先进技术，可以做到远程视频办理公证。</w:t>
            </w:r>
          </w:p>
          <w:p w14:paraId="3EA3DC7B">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sz w:val="20"/>
                <w:szCs w:val="20"/>
                <w:highlight w:val="none"/>
                <w:u w:val="none"/>
              </w:rPr>
            </w:pPr>
            <w:r>
              <w:rPr>
                <w:rStyle w:val="99"/>
                <w:rFonts w:hint="eastAsia"/>
                <w:color w:val="auto"/>
                <w:highlight w:val="none"/>
                <w:lang w:val="en-US" w:eastAsia="zh-CN" w:bidi="ar"/>
              </w:rPr>
              <w:t>2.提供配套</w:t>
            </w:r>
            <w:r>
              <w:rPr>
                <w:rStyle w:val="99"/>
                <w:color w:val="auto"/>
                <w:highlight w:val="none"/>
                <w:lang w:val="en-US" w:eastAsia="zh-CN" w:bidi="ar"/>
              </w:rPr>
              <w:t>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.▲必须与自治区公证综合业务办证系统实现功能无缝对接。</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B384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7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53A2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r w14:paraId="75B69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2" w:hRule="atLeast"/>
        </w:trPr>
        <w:tc>
          <w:tcPr>
            <w:tcW w:w="4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F5BC3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8</w:t>
            </w:r>
          </w:p>
        </w:tc>
        <w:tc>
          <w:tcPr>
            <w:tcW w:w="12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AE597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自治区</w:t>
            </w:r>
            <w:r>
              <w:rPr>
                <w:rFonts w:hint="eastAsia" w:ascii="宋体" w:hAnsi="宋体" w:cs="宋体"/>
                <w:i w:val="0"/>
                <w:iCs w:val="0"/>
                <w:color w:val="auto"/>
                <w:kern w:val="0"/>
                <w:sz w:val="20"/>
                <w:szCs w:val="20"/>
                <w:highlight w:val="none"/>
                <w:u w:val="none"/>
                <w:lang w:val="en-US" w:eastAsia="zh-CN" w:bidi="ar"/>
              </w:rPr>
              <w:t>公证</w:t>
            </w:r>
            <w:r>
              <w:rPr>
                <w:rFonts w:hint="eastAsia" w:ascii="宋体" w:hAnsi="宋体" w:eastAsia="宋体" w:cs="宋体"/>
                <w:i w:val="0"/>
                <w:iCs w:val="0"/>
                <w:color w:val="auto"/>
                <w:kern w:val="0"/>
                <w:sz w:val="20"/>
                <w:szCs w:val="20"/>
                <w:highlight w:val="none"/>
                <w:u w:val="none"/>
                <w:lang w:val="en-US" w:eastAsia="zh-CN" w:bidi="ar"/>
              </w:rPr>
              <w:t>移动人脸识别授权账号</w:t>
            </w:r>
          </w:p>
        </w:tc>
        <w:tc>
          <w:tcPr>
            <w:tcW w:w="51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E8E158">
            <w:pPr>
              <w:keepNext w:val="0"/>
              <w:keepLines w:val="0"/>
              <w:widowControl/>
              <w:numPr>
                <w:ilvl w:val="0"/>
                <w:numId w:val="4"/>
              </w:numPr>
              <w:suppressLineNumbers w:val="0"/>
              <w:jc w:val="left"/>
              <w:textAlignment w:val="center"/>
              <w:rPr>
                <w:rStyle w:val="99"/>
                <w:rFonts w:hint="eastAsia"/>
                <w:color w:val="auto"/>
                <w:highlight w:val="none"/>
                <w:lang w:val="en-US" w:eastAsia="zh-CN" w:bidi="ar"/>
              </w:rPr>
            </w:pPr>
            <w:r>
              <w:rPr>
                <w:rStyle w:val="99"/>
                <w:color w:val="auto"/>
                <w:highlight w:val="none"/>
                <w:lang w:val="en-US" w:eastAsia="zh-CN" w:bidi="ar"/>
              </w:rPr>
              <w:t>支持开通移动人脸识别系统，</w:t>
            </w:r>
            <w:r>
              <w:rPr>
                <w:rStyle w:val="99"/>
                <w:rFonts w:hint="eastAsia"/>
                <w:color w:val="auto"/>
                <w:highlight w:val="none"/>
                <w:lang w:val="en-US" w:eastAsia="zh-CN" w:bidi="ar"/>
              </w:rPr>
              <w:t>4个公证员账号</w:t>
            </w:r>
            <w:r>
              <w:rPr>
                <w:rStyle w:val="99"/>
                <w:color w:val="auto"/>
                <w:highlight w:val="none"/>
                <w:lang w:val="en-US" w:eastAsia="zh-CN" w:bidi="ar"/>
              </w:rPr>
              <w:t>。</w:t>
            </w:r>
            <w:r>
              <w:rPr>
                <w:rStyle w:val="99"/>
                <w:color w:val="auto"/>
                <w:highlight w:val="none"/>
                <w:lang w:val="en-US" w:eastAsia="zh-CN" w:bidi="ar"/>
              </w:rPr>
              <w:br w:type="textWrapping"/>
            </w:r>
            <w:r>
              <w:rPr>
                <w:rStyle w:val="99"/>
                <w:rFonts w:hint="eastAsia"/>
                <w:color w:val="auto"/>
                <w:highlight w:val="none"/>
                <w:lang w:val="en-US" w:eastAsia="zh-CN" w:bidi="ar"/>
              </w:rPr>
              <w:t>2</w:t>
            </w:r>
            <w:r>
              <w:rPr>
                <w:rStyle w:val="99"/>
                <w:color w:val="auto"/>
                <w:highlight w:val="none"/>
                <w:lang w:val="en-US" w:eastAsia="zh-CN" w:bidi="ar"/>
              </w:rPr>
              <w:t>.</w:t>
            </w:r>
            <w:r>
              <w:rPr>
                <w:rStyle w:val="99"/>
                <w:rFonts w:hint="eastAsia"/>
                <w:color w:val="auto"/>
                <w:highlight w:val="none"/>
                <w:lang w:val="en-US" w:eastAsia="zh-CN" w:bidi="ar"/>
              </w:rPr>
              <w:t>提供配套设备。</w:t>
            </w:r>
          </w:p>
          <w:p w14:paraId="0BA295CA">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sz w:val="20"/>
                <w:szCs w:val="20"/>
                <w:highlight w:val="none"/>
                <w:u w:val="none"/>
              </w:rPr>
            </w:pPr>
            <w:r>
              <w:rPr>
                <w:rStyle w:val="99"/>
                <w:rFonts w:hint="eastAsia"/>
                <w:color w:val="auto"/>
                <w:highlight w:val="none"/>
                <w:lang w:val="en-US" w:eastAsia="zh-CN" w:bidi="ar"/>
              </w:rPr>
              <w:t>3</w:t>
            </w:r>
            <w:r>
              <w:rPr>
                <w:rStyle w:val="99"/>
                <w:color w:val="auto"/>
                <w:highlight w:val="none"/>
                <w:lang w:val="en-US" w:eastAsia="zh-CN" w:bidi="ar"/>
              </w:rPr>
              <w:t>.</w:t>
            </w:r>
            <w:r>
              <w:rPr>
                <w:rStyle w:val="101"/>
                <w:color w:val="auto"/>
                <w:highlight w:val="none"/>
                <w:lang w:val="en-US" w:eastAsia="zh-CN" w:bidi="ar"/>
              </w:rPr>
              <w:t>▲</w:t>
            </w:r>
            <w:r>
              <w:rPr>
                <w:rStyle w:val="99"/>
                <w:color w:val="auto"/>
                <w:highlight w:val="none"/>
                <w:lang w:val="en-US" w:eastAsia="zh-CN" w:bidi="ar"/>
              </w:rPr>
              <w:t>必须与自治区公证综合业务办证系统实现功能无缝对接。</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762C6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7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EBEB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r w14:paraId="5EA5F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8" w:hRule="atLeast"/>
        </w:trPr>
        <w:tc>
          <w:tcPr>
            <w:tcW w:w="4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FD4D2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9</w:t>
            </w:r>
          </w:p>
        </w:tc>
        <w:tc>
          <w:tcPr>
            <w:tcW w:w="12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04A1F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加密卡（含云盘）</w:t>
            </w:r>
          </w:p>
        </w:tc>
        <w:tc>
          <w:tcPr>
            <w:tcW w:w="51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26442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加密联网通道，确保移动人脸识别数据加密传输（含30G云盘，云盘备份，防止资料丢失）。</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EFBE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7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793A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r w14:paraId="1FE8C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60" w:hRule="atLeast"/>
        </w:trPr>
        <w:tc>
          <w:tcPr>
            <w:tcW w:w="4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5FDA7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10</w:t>
            </w:r>
          </w:p>
        </w:tc>
        <w:tc>
          <w:tcPr>
            <w:tcW w:w="12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6829B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前台打印复印一体机</w:t>
            </w:r>
          </w:p>
        </w:tc>
        <w:tc>
          <w:tcPr>
            <w:tcW w:w="51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5F172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定位：多功能商用一体机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产品类型：黑白激光多功能一体机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涵盖功能：打印/复印/扫描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最大处理幅面：A4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耗材类型：鼓粉分离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双面功能：自动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网络功能：支持有线网络打印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黑白打印速度：30cpm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打印分辨率≥600×600dpi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复印速度：≥30cpm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复印分辨率≥600×600dpi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供纸盒容量：标配：250页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自动供纸器：支持，可进纸35页</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54E4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7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5F18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752B6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2575D3">
            <w:pPr>
              <w:keepNext w:val="0"/>
              <w:keepLines w:val="0"/>
              <w:widowControl/>
              <w:suppressLineNumbers w:val="0"/>
              <w:jc w:val="left"/>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4D828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录音固话设备</w:t>
            </w:r>
          </w:p>
        </w:tc>
        <w:tc>
          <w:tcPr>
            <w:tcW w:w="51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EF7E4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产品尺寸：长255mm；宽182mm；高85mm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功能参数：铃声可选，夜光照明，屏幕背光，特色功能，来电显示；一键拨号；铃声选择；带通讯录；自动答录</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6245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 </w:t>
            </w:r>
          </w:p>
        </w:tc>
        <w:tc>
          <w:tcPr>
            <w:tcW w:w="7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9543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25453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2FA1E7">
            <w:pPr>
              <w:keepNext w:val="0"/>
              <w:keepLines w:val="0"/>
              <w:widowControl/>
              <w:suppressLineNumbers w:val="0"/>
              <w:jc w:val="left"/>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b/>
                <w:bCs/>
                <w:i w:val="0"/>
                <w:iCs w:val="0"/>
                <w:color w:val="auto"/>
                <w:kern w:val="0"/>
                <w:sz w:val="20"/>
                <w:szCs w:val="20"/>
                <w:highlight w:val="none"/>
                <w:u w:val="none"/>
                <w:lang w:val="en-US" w:eastAsia="zh-CN" w:bidi="ar"/>
              </w:rPr>
              <w:t>六</w:t>
            </w:r>
            <w:r>
              <w:rPr>
                <w:rFonts w:hint="eastAsia" w:ascii="宋体" w:hAnsi="宋体" w:eastAsia="宋体" w:cs="宋体"/>
                <w:b/>
                <w:bCs/>
                <w:i w:val="0"/>
                <w:iCs w:val="0"/>
                <w:color w:val="auto"/>
                <w:kern w:val="0"/>
                <w:sz w:val="20"/>
                <w:szCs w:val="20"/>
                <w:highlight w:val="none"/>
                <w:u w:val="none"/>
                <w:lang w:val="en-US" w:eastAsia="zh-CN" w:bidi="ar"/>
              </w:rPr>
              <w:t>、</w:t>
            </w:r>
            <w:r>
              <w:rPr>
                <w:rFonts w:hint="eastAsia" w:ascii="宋体" w:hAnsi="宋体" w:cs="宋体"/>
                <w:b/>
                <w:bCs/>
                <w:i w:val="0"/>
                <w:iCs w:val="0"/>
                <w:color w:val="auto"/>
                <w:kern w:val="0"/>
                <w:sz w:val="20"/>
                <w:szCs w:val="20"/>
                <w:highlight w:val="none"/>
                <w:u w:val="none"/>
                <w:lang w:val="en-US" w:eastAsia="zh-CN" w:bidi="ar"/>
              </w:rPr>
              <w:t>行政复议庭改造</w:t>
            </w:r>
          </w:p>
        </w:tc>
      </w:tr>
      <w:tr w14:paraId="79611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5"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55017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9DB20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存储器</w:t>
            </w:r>
          </w:p>
        </w:tc>
        <w:tc>
          <w:tcPr>
            <w:tcW w:w="30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637B9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3U免拆机箱更换光驱设计（445*136*378mm）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输入带宽≥256Mbps；输出带宽≥256Mbps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网络视频输入：≥8路，≥4K分辨率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HDMI输入≥2路，≥ 4K</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VGA输入≥2路，≥1080P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LCD屏：7英寸液晶触控显示屏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HDMI输出：≥2路，≥4K</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VGA输出≥1路，≥1080P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音频输入≥4路，RCA接口（其中2路为语音对讲输入）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音频输出：2路，RCA接口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硬盘：≥4盘位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网口：≥2个LAN口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串口：≥2个RS232, ≥4个RS485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报警：8进4出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USB：≥2个USB2.0，≥2个USB3.0</w:t>
            </w:r>
          </w:p>
        </w:tc>
        <w:tc>
          <w:tcPr>
            <w:tcW w:w="4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77B1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DC0D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28C6E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2"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DCFB1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7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E7A1D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硬盘</w:t>
            </w:r>
          </w:p>
        </w:tc>
        <w:tc>
          <w:tcPr>
            <w:tcW w:w="303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9A1E99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3.5寸监控级硬盘,4T</w:t>
            </w:r>
          </w:p>
        </w:tc>
        <w:tc>
          <w:tcPr>
            <w:tcW w:w="4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CDE1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4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4A85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r>
      <w:tr w14:paraId="5039B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15"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5DA06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7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70B93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全景摄像机</w:t>
            </w:r>
          </w:p>
        </w:tc>
        <w:tc>
          <w:tcPr>
            <w:tcW w:w="30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0422C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≥400万臻全彩海螺型网络摄像机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全彩级高灵敏度传感器，F1.0超大光圈镜头，提供更清晰的视频流输入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分辨率≥2560 × 1440 @25 fps，在该分辨率下可输出实时图像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支持ROI感兴趣区域增强编码，支持Smart265/264编码，可根据场景情况自适应调整码率分配，有效节省存储成本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支持背光补偿，强光抑制，3D数字降噪，120 dB宽动态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w:t>
            </w:r>
            <w:r>
              <w:rPr>
                <w:rFonts w:hint="eastAsia" w:ascii="宋体" w:hAnsi="宋体" w:cs="宋体"/>
                <w:i w:val="0"/>
                <w:iCs w:val="0"/>
                <w:color w:val="auto"/>
                <w:kern w:val="0"/>
                <w:sz w:val="20"/>
                <w:szCs w:val="20"/>
                <w:highlight w:val="none"/>
                <w:u w:val="none"/>
                <w:lang w:val="en-US" w:eastAsia="zh-CN" w:bidi="ar"/>
              </w:rPr>
              <w:t>云</w:t>
            </w:r>
            <w:r>
              <w:rPr>
                <w:rFonts w:hint="eastAsia" w:ascii="宋体" w:hAnsi="宋体" w:eastAsia="宋体" w:cs="宋体"/>
                <w:i w:val="0"/>
                <w:iCs w:val="0"/>
                <w:color w:val="auto"/>
                <w:kern w:val="0"/>
                <w:sz w:val="20"/>
                <w:szCs w:val="20"/>
                <w:highlight w:val="none"/>
                <w:u w:val="none"/>
                <w:lang w:val="en-US" w:eastAsia="zh-CN" w:bidi="ar"/>
              </w:rPr>
              <w:t>平台接入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支持柔光灯补光，照射距离最远可达30 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≥1个内置麦克风，高清拾音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符合IP66防尘防水设计，可靠性高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传感器类型：1/1.8" Progressive Scan CMOS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最低照度：彩色：0.0005 Lux @（F1.0，AGC ON）, 0 Lux with Light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宽动态：120 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调节角度：水平：0°~360°，垂直：0°~75°，旋转：0°~360°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焦距&amp;视场角：2.8 mm，水平视场角：100°，垂直视场角：53°，对角视场角：120°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mm，水平视场角：89°，垂直视场角：46°，对角视场角：106°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 mm，水平视场角：55°，垂直视场角：29°，对角视场角：65°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景深范围：2.8 mm：2.6 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mm：3 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6 mm：6.8 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补光灯类型：柔光灯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补光距离：最远可达30 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防补光过曝：支持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最大图像尺寸：2560 × 1440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视频压缩标准：主码流：H.265/H.264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子码流：H.265/H.264/MJPEG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第三码流：H.265/H.264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网络：1个RJ45 10 M/100 M自适应以太网口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音频：1个内置麦克风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启动及工作温湿度：-30 ℃~60 ℃，湿度小于95%（无凝结）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电流及功耗：DC： 12 V，0.42 A，最大型号：5 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PoE：802.3af，36 V~57 V，0.18 A~0.12 A，最大功耗：6.5 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供电方式：DC：12 V ± 25%，支持防反接保护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PoE：802.3af，Class 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电源接口类型：Ø5.5 mm圆口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防护≥IP66 </w:t>
            </w:r>
          </w:p>
        </w:tc>
        <w:tc>
          <w:tcPr>
            <w:tcW w:w="4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6906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70D0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78821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892"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CE78A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7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E8BB9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特写摄像机</w:t>
            </w:r>
          </w:p>
        </w:tc>
        <w:tc>
          <w:tcPr>
            <w:tcW w:w="30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69B25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≥400万半球型网络摄像机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分辨率≥2560 × 1440 @25 fps，在该分辨率下可输出实时图像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支持Smart侦测：场景变更侦测，虚焦侦测，区域入侵侦测，越界侦测，进入区域侦测，离开区域侦测，物品遗留侦测，物品拿取侦测，徘徊侦测等识别检测事件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支持背光补偿，强光抑制，3D数字降噪，120 dB宽动态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w:t>
            </w:r>
            <w:r>
              <w:rPr>
                <w:rFonts w:hint="eastAsia" w:ascii="宋体" w:hAnsi="宋体" w:cs="宋体"/>
                <w:i w:val="0"/>
                <w:iCs w:val="0"/>
                <w:color w:val="auto"/>
                <w:kern w:val="0"/>
                <w:sz w:val="20"/>
                <w:szCs w:val="20"/>
                <w:highlight w:val="none"/>
                <w:u w:val="none"/>
                <w:lang w:val="en-US" w:eastAsia="zh-CN" w:bidi="ar"/>
              </w:rPr>
              <w:t>云</w:t>
            </w:r>
            <w:r>
              <w:rPr>
                <w:rFonts w:hint="eastAsia" w:ascii="宋体" w:hAnsi="宋体" w:eastAsia="宋体" w:cs="宋体"/>
                <w:i w:val="0"/>
                <w:iCs w:val="0"/>
                <w:color w:val="auto"/>
                <w:kern w:val="0"/>
                <w:sz w:val="20"/>
                <w:szCs w:val="20"/>
                <w:highlight w:val="none"/>
                <w:u w:val="none"/>
                <w:lang w:val="en-US" w:eastAsia="zh-CN" w:bidi="ar"/>
              </w:rPr>
              <w:t>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支持：电动变焦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采用高效阵列红外灯，使用寿命长，红外照射距离最远可达30 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支持≥512 GB MicroSD/MicroSDHC/MicroSDXC卡本地存储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1个内置麦克风，高清拾音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支持1路报警输入，1路报警输出（输出最大支持DC12 V，30 mA），1路音频输入，1路音频输出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支持：DC12 V，100 mA电源输出，建议用于拾音器供电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符合IP66防尘防水及IK10防暴设计，可靠性高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传感器类型：1/2.7" Progressive Scan CMOS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最低照度：彩色：0.005 Lux @（F1.2，AGC ON），0 Lux with IR</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最大图像尺寸：2560 × 1440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宽动态：数字宽动态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调节角度：水平：0°~355°，垂直：0°~75°，旋转：0°~355°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焦距&amp;视场角：2.7~8 mm：水平视场角：112.2°~55.3°，垂直视场角：58.5°~30.9°，对角视场角：136°~62°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支持电动变焦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补光灯类型：红外灯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补光距离：最远可达30 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防补光过曝：支持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红外波长范围：850 nm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视频压缩标准：主码流：H.265/H.264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子码流：H.265/H.264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网络：1个RJ45 10 M/100 M自适应以太网口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SD卡扩展：内置MicroSD/MicroSDHC/MicroSDXC插槽，最大支持512 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音频：1个内置麦克风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1路输入（Line in），最大输入幅值：3.3 Vpp，输入阻抗：4.7 kΩ，接口类型：非平衡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1路输出（Line out），最大输出幅值：3.3 Vpp，输出阻抗：100 Ω，接口类型：非平衡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报警：1路输入，1路输出（报警输出最大支持DC12 V，30 mA）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复位：支持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电源输出：DC12 V，100 mA电源输出，建议用于拾音器供电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启动和工作温湿度：-30 °C~60 °C，湿度小于95%（无凝结）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恢复出厂设置：支持RESET按键，客户端或浏览器恢复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电流及功耗：DC：12 V，0.8 A，最大功耗：9.6 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PoE：IEEE 802.3af，CLASS 3，最大功耗：12 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供电方式：DC：12 V ± 25%，支持防反接保护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PoE：IEEE 802.3af，CLASS 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电源接口类型：Ø5.5 mm圆口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防护≥IP66，IK10 </w:t>
            </w:r>
          </w:p>
        </w:tc>
        <w:tc>
          <w:tcPr>
            <w:tcW w:w="4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8723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44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6384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091C9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74"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990A7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7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BAE62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有线网络千兆交换机（带POE功能）</w:t>
            </w:r>
          </w:p>
        </w:tc>
        <w:tc>
          <w:tcPr>
            <w:tcW w:w="30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898E8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1.符合IEEE 802.3, IEEE 802.3u和IEEE 802.3ab 标准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2.24个10/100/1000Mbps自适应 RJ45 ，支持自动翻转(Auto-MDI/MDIX)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3.支持8K MAC地址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4.支持EEPROM配置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5.支持堆叠和QoS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6.所有端口支持 IEEE 802.3x 半双工流量控制和全双工回压模式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7.无阻塞交换架构,全线速转发和最大吞吐量过滤数据包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8.支持MAC地址学习，自动调整传输方式和传输速率；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9.LED 指示电源,link and activity，提供简单的工作状态提示及故障排除；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10.19寸标准五金钢壳外壳设计</w:t>
            </w:r>
            <w:r>
              <w:rPr>
                <w:rFonts w:hint="eastAsia" w:ascii="宋体" w:hAnsi="宋体" w:cs="宋体"/>
                <w:i w:val="0"/>
                <w:iCs w:val="0"/>
                <w:color w:val="auto"/>
                <w:kern w:val="0"/>
                <w:sz w:val="20"/>
                <w:szCs w:val="20"/>
                <w:highlight w:val="none"/>
                <w:u w:val="none"/>
                <w:lang w:val="en-US" w:eastAsia="zh-CN" w:bidi="ar"/>
              </w:rPr>
              <w:t>。</w:t>
            </w:r>
          </w:p>
        </w:tc>
        <w:tc>
          <w:tcPr>
            <w:tcW w:w="4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E53E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393C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5D8BA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3731F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7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8DD87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高清HDMI编码器</w:t>
            </w:r>
          </w:p>
        </w:tc>
        <w:tc>
          <w:tcPr>
            <w:tcW w:w="30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87637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≥1路HDMI高清多媒体接口或≥1路VGA接口视频输入；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≥1路HDMI环通输出；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HDMI支持≥ 4K（3840×2160/30Hz）信号源输入；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支持4K、400W、1080P、720P等高清分辨率编码；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支持H.265、H.264视频编码，主、子码流可独立配置；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VGA画面支持位置调整和画面区域裁剪功能；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音频输入源可选HDMI或Audio in，音频编码格式支持：AAC_LC、G711a、G711u；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视频输入源自适应识别，也可固定输入源；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支持接入云平台，支持ehome、GB28181协议接入平台；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支持PoE供电；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支持一键reset恢复默认配置</w:t>
            </w:r>
          </w:p>
        </w:tc>
        <w:tc>
          <w:tcPr>
            <w:tcW w:w="4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6D73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EEF8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698CD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60"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1A049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7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3CB5E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高清示证显示设备</w:t>
            </w:r>
          </w:p>
        </w:tc>
        <w:tc>
          <w:tcPr>
            <w:tcW w:w="30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7BA8D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支持8bit双路LVDS(1920×1080)高清显示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金属外壳，防辐射、防磁场、防强电场干扰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实时监控设备温度，高温报警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支持网络信号解码，含H.265、H.264、MPEG4、MJPEG 等主流的编码格式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支持PS、RTP等主流的封装格式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设备接入协议支持ONVIF接入协议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具备SFP光口(母口)，支持各种光模块接入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最大支持36画面分屏显示，支持信号轮询、场景切换，并支持网络集中管理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支持7×24小时工作模式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解码能力达8路1080P@30Hz或16路720P@30Hz或32路D1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显示参数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刷新率：60 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像素间距：0.36375 (H) mm × 0.36375(V) 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亮度：400 cd/m²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雾度：Haze 1%, 3H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连续使用时间：7 × 18 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背光源类型：E-LED 背光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物理分辨率：1920 × 1080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对比度：1200 : 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屏幕可视区域：698.4 (H) mm × 392.85 (V) 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可视角：≥178°/178°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显示尺寸： 31.51 inch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响应时间：8 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色域：72% NTSC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色深度：8 bit, 16.7 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接口参数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数据传输接口：USB2.0 (支持程序升级及USB播放) × 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音视频输出接口：AUDIO OUT (3.5mm) × 1, Speaker(8Ω 5W) × 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控制接口：Debug × 1, Fiber × 1, LAN × 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音视频输入接口：HDMI 1.4 × 1，DVI × 1，VGA × 1，BNC IN × 1，AUDIO IN × 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电源参数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电源：100~240 VAC, 50/60Hz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功耗：≤ 60 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待机功耗：≤ 0.5 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运行环境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存储湿度：10% ~ 80% RH (无冷凝)</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工作温度：0 °C ~ 40 °C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工作湿度：10% ~ 80% RH (无冷凝)</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存储温度：-20 °C ~ 60 °C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装箱清单：监控显示器 × 1, 遥控器 × 1, 电池 × 2, 电源线 × 1, 螺丝包 × 1, RoHS标签 × 1, 用户手册 × 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安装孔距：200 mm × 100 mm（4 - M6 × 25 mm）</w:t>
            </w:r>
          </w:p>
        </w:tc>
        <w:tc>
          <w:tcPr>
            <w:tcW w:w="4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CA3C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6F1E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31FCE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0"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35FDE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7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1AD73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示证展示台</w:t>
            </w:r>
          </w:p>
        </w:tc>
        <w:tc>
          <w:tcPr>
            <w:tcW w:w="30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0757A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具备HDMI高清接口的高拍仪</w:t>
            </w:r>
          </w:p>
        </w:tc>
        <w:tc>
          <w:tcPr>
            <w:tcW w:w="4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2804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D1B6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179EC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A4DC2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7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E5CC9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电源时序器</w:t>
            </w:r>
          </w:p>
        </w:tc>
        <w:tc>
          <w:tcPr>
            <w:tcW w:w="30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F0F3F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输入电压：AC220V/50Hz,额定功率：总容量16A,输出功率：，每路插座最大输出电流10A,规格（长*宽*高）mm ：1U ,输入方式：3*2.5平方交流电源线，不带插头，与空气开关连接,输出方式：10路电源输出，标准通用三芯插座,功能：打开时由前级到后级逐个顺序启动，关闭时由后级到前级逐个顺序关闭，每路之间动作时间1.5秒 </w:t>
            </w:r>
          </w:p>
        </w:tc>
        <w:tc>
          <w:tcPr>
            <w:tcW w:w="4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5FB9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5ABE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66608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4"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4B3D2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7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692FC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后级功放</w:t>
            </w:r>
          </w:p>
        </w:tc>
        <w:tc>
          <w:tcPr>
            <w:tcW w:w="30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54E6C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2U功放，双通道，额定功率（8Ω／通道）：2x850W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额定功率（4Ω／通道）：2x1700W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额定桥式功率（8Ω）：1700W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频响范围：20Hz～20kHz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信噪比：&gt;105dB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阻尼系数：&gt;400（8Ω）(5Hz-1KHz)                                                                                                                                                                         输入灵敏度：0.775V/26dB/35dB                                                                                                                                                            输入阻抗：20kΩ/Balacde, 10kΩ/un-Balanced失真度：Less than 0.1%                                                                                                                          转换速率：29V/uS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工作电压：交流电230V，50/60Hz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保护方式：功率保护、温度功率控制、功放输出短路、过载保护、输出直流保护</w:t>
            </w:r>
          </w:p>
        </w:tc>
        <w:tc>
          <w:tcPr>
            <w:tcW w:w="4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70AA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6A31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7D204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842"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A0D22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7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D668D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专业音箱</w:t>
            </w:r>
          </w:p>
        </w:tc>
        <w:tc>
          <w:tcPr>
            <w:tcW w:w="30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39FE7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类型：前导相式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喇叭单元：LF 1*15"铁氧体/ 音圈∅75mm/磁钢∅190mm，HF 1*1.73" 铁氧体压缩高音/ 音圈∅44mm/磁钢∅120mm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额定阻抗：8Ω；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额定功率（AES)：500W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峰值功率（AES)：2000W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频率响应（-3dB)：45Hz-19KHz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灵敏度（1m/1W)：99dB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指向性（H *V）：90°*60°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最大声压级（1m/1W)：125dB (连续）/132dB( 峰值）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表面处理：黑色/香槟色/亮光点漆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板材：≥15mm高密度中纤板</w:t>
            </w:r>
          </w:p>
        </w:tc>
        <w:tc>
          <w:tcPr>
            <w:tcW w:w="4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8DA8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4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8FC0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r>
      <w:tr w14:paraId="34ED0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3FA03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7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7F686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辅材</w:t>
            </w:r>
          </w:p>
        </w:tc>
        <w:tc>
          <w:tcPr>
            <w:tcW w:w="30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B70D7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航空母+塑料母、线材等一批</w:t>
            </w:r>
          </w:p>
        </w:tc>
        <w:tc>
          <w:tcPr>
            <w:tcW w:w="4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A6CADA">
            <w:pPr>
              <w:keepNext w:val="0"/>
              <w:keepLines w:val="0"/>
              <w:widowControl/>
              <w:suppressLineNumbers w:val="0"/>
              <w:jc w:val="center"/>
              <w:textAlignment w:val="center"/>
              <w:rPr>
                <w:rFonts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1696CD9">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批</w:t>
            </w:r>
          </w:p>
        </w:tc>
      </w:tr>
    </w:tbl>
    <w:p w14:paraId="2ADE9307">
      <w:pPr>
        <w:adjustRightInd w:val="0"/>
        <w:snapToGrid w:val="0"/>
        <w:spacing w:line="560" w:lineRule="exact"/>
        <w:jc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br w:type="page"/>
      </w:r>
      <w:r>
        <w:rPr>
          <w:rFonts w:hint="eastAsia" w:ascii="仿宋" w:hAnsi="仿宋" w:eastAsia="仿宋" w:cs="仿宋"/>
          <w:b w:val="0"/>
          <w:bCs/>
          <w:color w:val="auto"/>
          <w:kern w:val="2"/>
          <w:sz w:val="28"/>
          <w:szCs w:val="28"/>
          <w:highlight w:val="none"/>
          <w:lang w:val="en-US" w:eastAsia="zh-CN" w:bidi="ar-SA"/>
        </w:rPr>
        <w:t>（2）商务要求</w:t>
      </w:r>
    </w:p>
    <w:tbl>
      <w:tblPr>
        <w:tblStyle w:val="31"/>
        <w:tblW w:w="8826" w:type="dxa"/>
        <w:tblInd w:w="-14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24"/>
        <w:gridCol w:w="757"/>
        <w:gridCol w:w="6645"/>
      </w:tblGrid>
      <w:tr w14:paraId="2B2E2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8826" w:type="dxa"/>
            <w:gridSpan w:val="3"/>
            <w:tcBorders>
              <w:top w:val="single" w:color="auto" w:sz="4" w:space="0"/>
              <w:left w:val="single" w:color="auto" w:sz="4" w:space="0"/>
              <w:bottom w:val="single" w:color="auto" w:sz="4" w:space="0"/>
              <w:right w:val="single" w:color="auto" w:sz="4" w:space="0"/>
            </w:tcBorders>
            <w:vAlign w:val="center"/>
          </w:tcPr>
          <w:p w14:paraId="205924AC">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一、商务要求</w:t>
            </w:r>
          </w:p>
        </w:tc>
      </w:tr>
      <w:tr w14:paraId="38F9ED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2181" w:type="dxa"/>
            <w:gridSpan w:val="2"/>
            <w:tcBorders>
              <w:top w:val="single" w:color="auto" w:sz="4" w:space="0"/>
              <w:left w:val="single" w:color="auto" w:sz="4" w:space="0"/>
              <w:bottom w:val="single" w:color="auto" w:sz="4" w:space="0"/>
              <w:right w:val="single" w:color="auto" w:sz="4" w:space="0"/>
            </w:tcBorders>
            <w:vAlign w:val="center"/>
          </w:tcPr>
          <w:p w14:paraId="07E95BE7">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交货期和地点</w:t>
            </w:r>
          </w:p>
        </w:tc>
        <w:tc>
          <w:tcPr>
            <w:tcW w:w="6645" w:type="dxa"/>
            <w:tcBorders>
              <w:top w:val="single" w:color="auto" w:sz="4" w:space="0"/>
              <w:left w:val="single" w:color="auto" w:sz="4" w:space="0"/>
              <w:bottom w:val="single" w:color="auto" w:sz="4" w:space="0"/>
              <w:right w:val="single" w:color="auto" w:sz="4" w:space="0"/>
            </w:tcBorders>
            <w:vAlign w:val="center"/>
          </w:tcPr>
          <w:p w14:paraId="39D4ECE2">
            <w:pPr>
              <w:spacing w:line="360" w:lineRule="auto"/>
              <w:rPr>
                <w:rFonts w:hint="eastAsia" w:ascii="仿宋" w:hAnsi="仿宋" w:eastAsia="仿宋" w:cs="仿宋"/>
                <w:sz w:val="24"/>
                <w:highlight w:val="none"/>
              </w:rPr>
            </w:pPr>
            <w:r>
              <w:rPr>
                <w:rFonts w:hint="eastAsia" w:ascii="仿宋" w:hAnsi="仿宋" w:eastAsia="仿宋" w:cs="仿宋"/>
                <w:sz w:val="24"/>
                <w:highlight w:val="none"/>
              </w:rPr>
              <w:t>1. 交货期：自签订合同之日起</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个</w:t>
            </w:r>
            <w:r>
              <w:rPr>
                <w:rFonts w:hint="eastAsia" w:ascii="仿宋" w:hAnsi="仿宋" w:eastAsia="仿宋" w:cs="仿宋"/>
                <w:color w:val="auto"/>
                <w:sz w:val="24"/>
                <w:szCs w:val="24"/>
                <w:highlight w:val="none"/>
                <w:lang w:val="en-US" w:eastAsia="zh-CN"/>
              </w:rPr>
              <w:t>日历</w:t>
            </w:r>
            <w:r>
              <w:rPr>
                <w:rFonts w:hint="eastAsia" w:ascii="仿宋" w:hAnsi="仿宋" w:eastAsia="仿宋" w:cs="仿宋"/>
                <w:color w:val="auto"/>
                <w:sz w:val="24"/>
                <w:szCs w:val="24"/>
                <w:highlight w:val="none"/>
                <w:lang w:eastAsia="zh-CN"/>
              </w:rPr>
              <w:t>日</w:t>
            </w:r>
            <w:r>
              <w:rPr>
                <w:rFonts w:hint="eastAsia" w:ascii="仿宋" w:hAnsi="仿宋" w:eastAsia="仿宋" w:cs="仿宋"/>
                <w:sz w:val="24"/>
                <w:highlight w:val="none"/>
              </w:rPr>
              <w:t>内安装调试完毕并交付使用。</w:t>
            </w:r>
          </w:p>
          <w:p w14:paraId="46D7553D">
            <w:pPr>
              <w:spacing w:line="360" w:lineRule="auto"/>
              <w:rPr>
                <w:rFonts w:hint="eastAsia" w:ascii="仿宋" w:hAnsi="仿宋" w:eastAsia="仿宋" w:cs="仿宋"/>
                <w:sz w:val="24"/>
                <w:highlight w:val="none"/>
              </w:rPr>
            </w:pPr>
            <w:r>
              <w:rPr>
                <w:rFonts w:hint="eastAsia" w:ascii="仿宋" w:hAnsi="仿宋" w:eastAsia="仿宋" w:cs="仿宋"/>
                <w:sz w:val="24"/>
                <w:highlight w:val="none"/>
              </w:rPr>
              <w:t>2. 交货地点：广西梧州市采购人指定地点。</w:t>
            </w:r>
          </w:p>
        </w:tc>
      </w:tr>
      <w:tr w14:paraId="28DB3D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2181" w:type="dxa"/>
            <w:gridSpan w:val="2"/>
            <w:tcBorders>
              <w:top w:val="single" w:color="auto" w:sz="4" w:space="0"/>
              <w:left w:val="single" w:color="auto" w:sz="4" w:space="0"/>
              <w:bottom w:val="single" w:color="auto" w:sz="4" w:space="0"/>
              <w:right w:val="single" w:color="auto" w:sz="4" w:space="0"/>
            </w:tcBorders>
            <w:vAlign w:val="center"/>
          </w:tcPr>
          <w:p w14:paraId="6F797236">
            <w:pPr>
              <w:spacing w:line="360" w:lineRule="auto"/>
              <w:rPr>
                <w:rFonts w:hint="eastAsia" w:ascii="仿宋" w:hAnsi="仿宋" w:eastAsia="仿宋" w:cs="仿宋"/>
                <w:sz w:val="24"/>
                <w:highlight w:val="none"/>
              </w:rPr>
            </w:pPr>
            <w:r>
              <w:rPr>
                <w:rFonts w:hint="eastAsia" w:ascii="仿宋" w:hAnsi="仿宋" w:eastAsia="仿宋" w:cs="仿宋"/>
                <w:sz w:val="24"/>
                <w:highlight w:val="none"/>
              </w:rPr>
              <w:t>合同签订时间</w:t>
            </w:r>
          </w:p>
        </w:tc>
        <w:tc>
          <w:tcPr>
            <w:tcW w:w="6645" w:type="dxa"/>
            <w:tcBorders>
              <w:top w:val="single" w:color="auto" w:sz="4" w:space="0"/>
              <w:left w:val="single" w:color="auto" w:sz="4" w:space="0"/>
              <w:bottom w:val="single" w:color="auto" w:sz="4" w:space="0"/>
              <w:right w:val="single" w:color="auto" w:sz="4" w:space="0"/>
            </w:tcBorders>
            <w:vAlign w:val="center"/>
          </w:tcPr>
          <w:p w14:paraId="2663AF2F">
            <w:pPr>
              <w:spacing w:line="360" w:lineRule="auto"/>
              <w:rPr>
                <w:rFonts w:hint="eastAsia" w:ascii="仿宋" w:hAnsi="仿宋" w:eastAsia="仿宋" w:cs="仿宋"/>
                <w:sz w:val="24"/>
                <w:highlight w:val="none"/>
              </w:rPr>
            </w:pPr>
            <w:r>
              <w:rPr>
                <w:rFonts w:hint="eastAsia" w:ascii="仿宋" w:hAnsi="仿宋" w:eastAsia="仿宋" w:cs="仿宋"/>
                <w:sz w:val="24"/>
                <w:highlight w:val="none"/>
              </w:rPr>
              <w:t>自成交通知书发出之日起15日内</w:t>
            </w:r>
          </w:p>
        </w:tc>
      </w:tr>
      <w:tr w14:paraId="0D1484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181" w:type="dxa"/>
            <w:gridSpan w:val="2"/>
            <w:tcBorders>
              <w:top w:val="single" w:color="auto" w:sz="4" w:space="0"/>
              <w:left w:val="single" w:color="auto" w:sz="4" w:space="0"/>
              <w:bottom w:val="single" w:color="auto" w:sz="4" w:space="0"/>
              <w:right w:val="single" w:color="auto" w:sz="4" w:space="0"/>
            </w:tcBorders>
            <w:vAlign w:val="center"/>
          </w:tcPr>
          <w:p w14:paraId="17994934">
            <w:pPr>
              <w:spacing w:line="360" w:lineRule="auto"/>
              <w:rPr>
                <w:rFonts w:hint="eastAsia" w:ascii="仿宋" w:hAnsi="仿宋" w:eastAsia="仿宋" w:cs="仿宋"/>
                <w:sz w:val="24"/>
                <w:highlight w:val="none"/>
              </w:rPr>
            </w:pPr>
            <w:r>
              <w:rPr>
                <w:rFonts w:hint="eastAsia" w:ascii="仿宋" w:hAnsi="仿宋" w:eastAsia="仿宋" w:cs="仿宋"/>
                <w:sz w:val="24"/>
                <w:highlight w:val="none"/>
              </w:rPr>
              <w:t>付款条件</w:t>
            </w:r>
          </w:p>
        </w:tc>
        <w:tc>
          <w:tcPr>
            <w:tcW w:w="6645" w:type="dxa"/>
            <w:tcBorders>
              <w:top w:val="single" w:color="auto" w:sz="4" w:space="0"/>
              <w:left w:val="single" w:color="auto" w:sz="4" w:space="0"/>
              <w:bottom w:val="single" w:color="auto" w:sz="4" w:space="0"/>
              <w:right w:val="single" w:color="auto" w:sz="4" w:space="0"/>
            </w:tcBorders>
            <w:vAlign w:val="center"/>
          </w:tcPr>
          <w:p w14:paraId="446CCF94">
            <w:pPr>
              <w:spacing w:line="360" w:lineRule="auto"/>
              <w:rPr>
                <w:rFonts w:hint="eastAsia" w:ascii="仿宋" w:hAnsi="仿宋" w:eastAsia="仿宋" w:cs="仿宋"/>
                <w:color w:val="FF0000"/>
                <w:sz w:val="24"/>
                <w:highlight w:val="none"/>
              </w:rPr>
            </w:pPr>
            <w:r>
              <w:rPr>
                <w:rFonts w:hint="eastAsia" w:ascii="仿宋" w:hAnsi="仿宋" w:eastAsia="仿宋" w:cs="仿宋"/>
                <w:color w:val="auto"/>
                <w:sz w:val="24"/>
                <w:highlight w:val="none"/>
              </w:rPr>
              <w:t>安装调试通过验收后，采购人收到发票30日内支付合同总额的100%支付成交供应商。</w:t>
            </w:r>
          </w:p>
        </w:tc>
      </w:tr>
      <w:tr w14:paraId="62816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181" w:type="dxa"/>
            <w:gridSpan w:val="2"/>
            <w:tcBorders>
              <w:top w:val="single" w:color="auto" w:sz="4" w:space="0"/>
              <w:left w:val="single" w:color="auto" w:sz="4" w:space="0"/>
              <w:bottom w:val="single" w:color="auto" w:sz="4" w:space="0"/>
              <w:right w:val="single" w:color="auto" w:sz="4" w:space="0"/>
            </w:tcBorders>
            <w:vAlign w:val="center"/>
          </w:tcPr>
          <w:p w14:paraId="0BB5575D">
            <w:pPr>
              <w:spacing w:line="360" w:lineRule="auto"/>
              <w:rPr>
                <w:rFonts w:hint="eastAsia" w:ascii="仿宋" w:hAnsi="仿宋" w:eastAsia="仿宋" w:cs="仿宋"/>
                <w:sz w:val="24"/>
                <w:highlight w:val="none"/>
              </w:rPr>
            </w:pPr>
            <w:r>
              <w:rPr>
                <w:rFonts w:hint="eastAsia" w:ascii="仿宋" w:hAnsi="仿宋" w:eastAsia="仿宋" w:cs="仿宋"/>
                <w:sz w:val="24"/>
                <w:highlight w:val="none"/>
              </w:rPr>
              <w:t>售后服务</w:t>
            </w:r>
          </w:p>
        </w:tc>
        <w:tc>
          <w:tcPr>
            <w:tcW w:w="6645" w:type="dxa"/>
            <w:tcBorders>
              <w:top w:val="single" w:color="auto" w:sz="4" w:space="0"/>
              <w:left w:val="single" w:color="auto" w:sz="4" w:space="0"/>
              <w:bottom w:val="single" w:color="auto" w:sz="4" w:space="0"/>
              <w:right w:val="single" w:color="auto" w:sz="4" w:space="0"/>
            </w:tcBorders>
          </w:tcPr>
          <w:p w14:paraId="56F9A8C3">
            <w:pPr>
              <w:spacing w:line="360" w:lineRule="auto"/>
              <w:rPr>
                <w:rFonts w:hint="eastAsia" w:ascii="仿宋" w:hAnsi="仿宋" w:eastAsia="仿宋" w:cs="仿宋"/>
                <w:sz w:val="24"/>
                <w:highlight w:val="none"/>
              </w:rPr>
            </w:pPr>
            <w:r>
              <w:rPr>
                <w:rFonts w:hint="eastAsia" w:ascii="仿宋" w:hAnsi="仿宋" w:eastAsia="仿宋" w:cs="仿宋"/>
                <w:sz w:val="24"/>
                <w:highlight w:val="none"/>
              </w:rPr>
              <w:t>1.质保期：按国家有关产品“三包”规定执行“三包”，质保期除特别注明外，最短不得少于1年。质保期内负责上门服务、维修、更换配件，不得收取任何费用。分项中另有约定的按其约定。</w:t>
            </w:r>
          </w:p>
          <w:p w14:paraId="38C442EF">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2.售后服务费用包含在报价中，售后服务内容如下： </w:t>
            </w:r>
          </w:p>
          <w:p w14:paraId="6411339B">
            <w:pPr>
              <w:spacing w:line="360" w:lineRule="auto"/>
              <w:rPr>
                <w:rFonts w:hint="eastAsia" w:ascii="仿宋" w:hAnsi="仿宋" w:eastAsia="仿宋" w:cs="仿宋"/>
                <w:sz w:val="24"/>
                <w:highlight w:val="none"/>
              </w:rPr>
            </w:pPr>
            <w:r>
              <w:rPr>
                <w:rFonts w:hint="eastAsia" w:ascii="仿宋" w:hAnsi="仿宋" w:eastAsia="仿宋" w:cs="仿宋"/>
                <w:sz w:val="24"/>
                <w:highlight w:val="none"/>
              </w:rPr>
              <w:t>（1）负责送货上门，安装调试，培训操作人员。</w:t>
            </w:r>
          </w:p>
          <w:p w14:paraId="53A22528">
            <w:pPr>
              <w:spacing w:line="360" w:lineRule="auto"/>
              <w:rPr>
                <w:rFonts w:hint="eastAsia" w:ascii="仿宋" w:hAnsi="仿宋" w:eastAsia="仿宋" w:cs="仿宋"/>
                <w:sz w:val="24"/>
                <w:highlight w:val="none"/>
              </w:rPr>
            </w:pPr>
            <w:r>
              <w:rPr>
                <w:rFonts w:hint="eastAsia" w:ascii="仿宋" w:hAnsi="仿宋" w:eastAsia="仿宋" w:cs="仿宋"/>
                <w:sz w:val="24"/>
                <w:highlight w:val="none"/>
              </w:rPr>
              <w:t>（2）不能正常使用的必须负责更换。</w:t>
            </w:r>
          </w:p>
          <w:p w14:paraId="6DF92986">
            <w:pPr>
              <w:spacing w:line="360" w:lineRule="auto"/>
              <w:rPr>
                <w:rFonts w:hint="eastAsia" w:ascii="仿宋" w:hAnsi="仿宋" w:eastAsia="仿宋" w:cs="仿宋"/>
                <w:sz w:val="24"/>
                <w:highlight w:val="none"/>
              </w:rPr>
            </w:pPr>
            <w:r>
              <w:rPr>
                <w:rFonts w:hint="eastAsia" w:ascii="仿宋" w:hAnsi="仿宋" w:eastAsia="仿宋" w:cs="仿宋"/>
                <w:sz w:val="24"/>
                <w:highlight w:val="none"/>
              </w:rPr>
              <w:t>（3）定期回访。</w:t>
            </w:r>
          </w:p>
          <w:p w14:paraId="7E4130AE">
            <w:pPr>
              <w:spacing w:line="360" w:lineRule="auto"/>
              <w:rPr>
                <w:rFonts w:hint="eastAsia" w:ascii="仿宋" w:hAnsi="仿宋" w:eastAsia="仿宋" w:cs="仿宋"/>
                <w:sz w:val="24"/>
                <w:highlight w:val="none"/>
              </w:rPr>
            </w:pPr>
            <w:r>
              <w:rPr>
                <w:rFonts w:hint="eastAsia" w:ascii="仿宋" w:hAnsi="仿宋" w:eastAsia="仿宋" w:cs="仿宋"/>
                <w:sz w:val="24"/>
                <w:highlight w:val="none"/>
              </w:rPr>
              <w:t>（4）其余按厂家承诺。</w:t>
            </w:r>
          </w:p>
          <w:p w14:paraId="44ADF503">
            <w:pPr>
              <w:spacing w:line="360" w:lineRule="auto"/>
              <w:rPr>
                <w:rFonts w:hint="eastAsia" w:ascii="仿宋" w:hAnsi="仿宋" w:eastAsia="仿宋" w:cs="仿宋"/>
                <w:sz w:val="24"/>
                <w:highlight w:val="none"/>
              </w:rPr>
            </w:pPr>
            <w:r>
              <w:rPr>
                <w:rFonts w:hint="eastAsia" w:ascii="仿宋" w:hAnsi="仿宋" w:eastAsia="仿宋" w:cs="仿宋"/>
                <w:sz w:val="24"/>
                <w:highlight w:val="none"/>
              </w:rPr>
              <w:t>3.响应时间：成交供应商接到通知后应在</w:t>
            </w:r>
            <w:r>
              <w:rPr>
                <w:rFonts w:hint="eastAsia" w:ascii="仿宋" w:hAnsi="仿宋" w:eastAsia="仿宋" w:cs="仿宋"/>
                <w:color w:val="000000"/>
                <w:sz w:val="24"/>
                <w:highlight w:val="none"/>
              </w:rPr>
              <w:t>24小时</w:t>
            </w:r>
            <w:r>
              <w:rPr>
                <w:rFonts w:hint="eastAsia" w:ascii="仿宋" w:hAnsi="仿宋" w:eastAsia="仿宋" w:cs="仿宋"/>
                <w:sz w:val="24"/>
                <w:highlight w:val="none"/>
              </w:rPr>
              <w:t>内到采购人指定现场，按国家及行业标准进行及时处理，若未能在24小时内完成问题处理的，由成交供应商负责必须提供备用设备。</w:t>
            </w:r>
          </w:p>
          <w:p w14:paraId="4637FFE7">
            <w:pPr>
              <w:spacing w:line="360" w:lineRule="auto"/>
              <w:rPr>
                <w:rFonts w:hint="eastAsia" w:ascii="仿宋" w:hAnsi="仿宋" w:eastAsia="仿宋" w:cs="仿宋"/>
                <w:sz w:val="24"/>
                <w:highlight w:val="none"/>
              </w:rPr>
            </w:pPr>
            <w:r>
              <w:rPr>
                <w:rFonts w:hint="eastAsia" w:ascii="仿宋" w:hAnsi="仿宋" w:eastAsia="仿宋" w:cs="仿宋"/>
                <w:sz w:val="24"/>
                <w:highlight w:val="none"/>
              </w:rPr>
              <w:t>4.技术培训要求：在采购人当地，成交供应商应配置专业技术人员负责提供现场技术和保存培训，保证使用人员正常操作设备的各种功能。</w:t>
            </w:r>
          </w:p>
          <w:p w14:paraId="33D42003">
            <w:pPr>
              <w:spacing w:line="360" w:lineRule="auto"/>
              <w:rPr>
                <w:rFonts w:hint="eastAsia" w:ascii="仿宋" w:hAnsi="仿宋" w:eastAsia="仿宋" w:cs="仿宋"/>
                <w:sz w:val="24"/>
                <w:highlight w:val="none"/>
              </w:rPr>
            </w:pPr>
            <w:r>
              <w:rPr>
                <w:rFonts w:hint="eastAsia" w:ascii="仿宋" w:hAnsi="仿宋" w:eastAsia="仿宋" w:cs="仿宋"/>
                <w:sz w:val="24"/>
                <w:highlight w:val="none"/>
              </w:rPr>
              <w:t>5.成交供应商的响应设备，如有质量监督部门要求对产品进行检测、检验时，必须派出厂方代表协助检查，无论产品有无质量问题，成交供应商均应承担全部费用及相应的责任。</w:t>
            </w:r>
          </w:p>
          <w:p w14:paraId="13A906F2">
            <w:pPr>
              <w:spacing w:line="360" w:lineRule="auto"/>
              <w:rPr>
                <w:rFonts w:hint="eastAsia" w:ascii="仿宋" w:hAnsi="仿宋" w:eastAsia="仿宋" w:cs="仿宋"/>
                <w:sz w:val="24"/>
                <w:highlight w:val="none"/>
              </w:rPr>
            </w:pPr>
            <w:r>
              <w:rPr>
                <w:rFonts w:hint="eastAsia" w:ascii="仿宋" w:hAnsi="仿宋" w:eastAsia="仿宋" w:cs="仿宋"/>
                <w:sz w:val="24"/>
                <w:highlight w:val="none"/>
              </w:rPr>
              <w:t>6.成交供应商负责送货到采购人现场，在采购人要求的时间内完成本项目采购需求中所有内容的安装调试；仪器到位后的安装、调试、培训，均由生产厂商或代理商负责提供，并由专职工程师分工执行。</w:t>
            </w:r>
          </w:p>
        </w:tc>
      </w:tr>
      <w:tr w14:paraId="3E2F6F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26" w:type="dxa"/>
            <w:gridSpan w:val="3"/>
            <w:tcBorders>
              <w:top w:val="single" w:color="auto" w:sz="4" w:space="0"/>
              <w:left w:val="single" w:color="auto" w:sz="4" w:space="0"/>
              <w:bottom w:val="single" w:color="auto" w:sz="4" w:space="0"/>
              <w:right w:val="single" w:color="auto" w:sz="4" w:space="0"/>
            </w:tcBorders>
            <w:vAlign w:val="center"/>
          </w:tcPr>
          <w:p w14:paraId="211B7108">
            <w:pPr>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bCs/>
                <w:sz w:val="24"/>
                <w:highlight w:val="none"/>
              </w:rPr>
              <w:t>二、与实现项目目标相关的其他要求</w:t>
            </w:r>
          </w:p>
        </w:tc>
      </w:tr>
      <w:tr w14:paraId="54F45D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26" w:type="dxa"/>
            <w:gridSpan w:val="3"/>
            <w:tcBorders>
              <w:top w:val="single" w:color="auto" w:sz="4" w:space="0"/>
              <w:left w:val="single" w:color="auto" w:sz="4" w:space="0"/>
              <w:bottom w:val="single" w:color="auto" w:sz="4" w:space="0"/>
              <w:right w:val="single" w:color="auto" w:sz="4" w:space="0"/>
            </w:tcBorders>
            <w:vAlign w:val="center"/>
          </w:tcPr>
          <w:p w14:paraId="18C8A708">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（一）验收标准</w:t>
            </w:r>
          </w:p>
        </w:tc>
      </w:tr>
      <w:tr w14:paraId="41914B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26" w:type="dxa"/>
            <w:gridSpan w:val="3"/>
            <w:tcBorders>
              <w:top w:val="single" w:color="auto" w:sz="4" w:space="0"/>
              <w:left w:val="single" w:color="auto" w:sz="4" w:space="0"/>
              <w:bottom w:val="single" w:color="auto" w:sz="4" w:space="0"/>
              <w:right w:val="single" w:color="auto" w:sz="4" w:space="0"/>
            </w:tcBorders>
            <w:vAlign w:val="center"/>
          </w:tcPr>
          <w:p w14:paraId="0A1E173A">
            <w:pPr>
              <w:spacing w:line="360" w:lineRule="auto"/>
              <w:rPr>
                <w:rFonts w:hint="eastAsia" w:ascii="仿宋" w:hAnsi="仿宋" w:eastAsia="仿宋" w:cs="仿宋"/>
                <w:sz w:val="24"/>
                <w:highlight w:val="none"/>
              </w:rPr>
            </w:pPr>
            <w:r>
              <w:rPr>
                <w:rFonts w:hint="eastAsia" w:ascii="仿宋" w:hAnsi="仿宋" w:eastAsia="仿宋" w:cs="仿宋"/>
                <w:sz w:val="24"/>
                <w:highlight w:val="none"/>
              </w:rPr>
              <w:t>1、符合现行国家相关标准、行业标准、地方标准或者其他标准、规范。</w:t>
            </w:r>
          </w:p>
          <w:p w14:paraId="574741A0">
            <w:pPr>
              <w:spacing w:line="360" w:lineRule="auto"/>
              <w:rPr>
                <w:rFonts w:hint="eastAsia" w:ascii="仿宋" w:hAnsi="仿宋" w:eastAsia="仿宋" w:cs="仿宋"/>
                <w:sz w:val="24"/>
                <w:highlight w:val="none"/>
              </w:rPr>
            </w:pPr>
            <w:r>
              <w:rPr>
                <w:rFonts w:hint="eastAsia" w:ascii="仿宋" w:hAnsi="仿宋" w:eastAsia="仿宋" w:cs="仿宋"/>
                <w:sz w:val="24"/>
                <w:highlight w:val="none"/>
              </w:rPr>
              <w:t>2、验收过程中所产生的一切费用均由成交供应商承担。报价时应考虑相关费用。</w:t>
            </w:r>
          </w:p>
          <w:p w14:paraId="04B49663">
            <w:pPr>
              <w:spacing w:line="360" w:lineRule="auto"/>
              <w:rPr>
                <w:rFonts w:hint="eastAsia" w:ascii="仿宋" w:hAnsi="仿宋" w:eastAsia="仿宋" w:cs="仿宋"/>
                <w:sz w:val="24"/>
                <w:highlight w:val="none"/>
              </w:rPr>
            </w:pPr>
            <w:r>
              <w:rPr>
                <w:rFonts w:hint="eastAsia" w:ascii="仿宋" w:hAnsi="仿宋" w:eastAsia="仿宋" w:cs="仿宋"/>
                <w:sz w:val="24"/>
                <w:highlight w:val="none"/>
              </w:rPr>
              <w:t>3、成交供应商在货物交付验收时，由采购单位对照采购文件的项目需求及技术要求，全面逐项核对检验，有必要时还应邀请技术专家、参加本项目的其他供应商或者第三方机构参与验收。如不符合采购文件的技术需求及要求以及提供虚假响应材料、承诺的，按相关规定做违约处理，成交供应商承担所有责任和费用，采购人保留进一步追究责任的权利。</w:t>
            </w:r>
          </w:p>
          <w:p w14:paraId="5EFC3950">
            <w:pPr>
              <w:spacing w:line="360" w:lineRule="auto"/>
              <w:rPr>
                <w:rFonts w:hint="eastAsia" w:ascii="仿宋" w:hAnsi="仿宋" w:eastAsia="仿宋" w:cs="仿宋"/>
                <w:sz w:val="24"/>
                <w:highlight w:val="none"/>
              </w:rPr>
            </w:pPr>
            <w:r>
              <w:rPr>
                <w:rFonts w:hint="eastAsia" w:ascii="仿宋" w:hAnsi="仿宋" w:eastAsia="仿宋" w:cs="仿宋"/>
                <w:sz w:val="24"/>
                <w:highlight w:val="none"/>
              </w:rPr>
              <w:t>4、验收时间:采购人收到中标人验收申请之日起5个工作日内组织验收（如有特殊情况，按采购人或校方指定的时间，另行验收）。</w:t>
            </w:r>
          </w:p>
          <w:p w14:paraId="691E13ED">
            <w:pPr>
              <w:spacing w:line="360" w:lineRule="auto"/>
              <w:rPr>
                <w:rFonts w:hint="eastAsia" w:ascii="仿宋" w:hAnsi="仿宋" w:eastAsia="仿宋" w:cs="仿宋"/>
                <w:sz w:val="24"/>
                <w:highlight w:val="none"/>
              </w:rPr>
            </w:pPr>
            <w:r>
              <w:rPr>
                <w:rFonts w:hint="eastAsia" w:ascii="仿宋" w:hAnsi="仿宋" w:eastAsia="仿宋" w:cs="仿宋"/>
                <w:sz w:val="24"/>
                <w:highlight w:val="none"/>
              </w:rPr>
              <w:t>5、验收地点：广西</w:t>
            </w:r>
            <w:r>
              <w:rPr>
                <w:rFonts w:hint="eastAsia" w:ascii="仿宋" w:hAnsi="仿宋" w:eastAsia="仿宋" w:cs="仿宋"/>
                <w:sz w:val="24"/>
                <w:highlight w:val="none"/>
                <w:lang w:val="en-US" w:eastAsia="zh-CN"/>
              </w:rPr>
              <w:t>梧州市</w:t>
            </w:r>
            <w:r>
              <w:rPr>
                <w:rFonts w:hint="eastAsia" w:ascii="仿宋" w:hAnsi="仿宋" w:eastAsia="仿宋" w:cs="仿宋"/>
                <w:sz w:val="24"/>
                <w:highlight w:val="none"/>
              </w:rPr>
              <w:t>采购人指定交货地点。</w:t>
            </w:r>
          </w:p>
        </w:tc>
      </w:tr>
      <w:tr w14:paraId="4D9D11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26" w:type="dxa"/>
            <w:gridSpan w:val="3"/>
            <w:tcBorders>
              <w:top w:val="single" w:color="auto" w:sz="4" w:space="0"/>
              <w:left w:val="single" w:color="auto" w:sz="4" w:space="0"/>
              <w:bottom w:val="single" w:color="auto" w:sz="4" w:space="0"/>
              <w:right w:val="single" w:color="auto" w:sz="4" w:space="0"/>
            </w:tcBorders>
            <w:vAlign w:val="center"/>
          </w:tcPr>
          <w:p w14:paraId="0AA3361B">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（二）进口产品说明</w:t>
            </w:r>
          </w:p>
        </w:tc>
      </w:tr>
      <w:tr w14:paraId="12335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24" w:type="dxa"/>
            <w:tcBorders>
              <w:top w:val="single" w:color="auto" w:sz="4" w:space="0"/>
              <w:left w:val="single" w:color="auto" w:sz="4" w:space="0"/>
              <w:bottom w:val="single" w:color="auto" w:sz="4" w:space="0"/>
              <w:right w:val="single" w:color="auto" w:sz="4" w:space="0"/>
            </w:tcBorders>
            <w:vAlign w:val="center"/>
          </w:tcPr>
          <w:p w14:paraId="1A861314">
            <w:pPr>
              <w:spacing w:line="360" w:lineRule="auto"/>
              <w:rPr>
                <w:rFonts w:hint="eastAsia" w:ascii="仿宋" w:hAnsi="仿宋" w:eastAsia="仿宋" w:cs="仿宋"/>
                <w:sz w:val="24"/>
                <w:highlight w:val="none"/>
              </w:rPr>
            </w:pPr>
            <w:r>
              <w:rPr>
                <w:rFonts w:hint="eastAsia" w:ascii="仿宋" w:hAnsi="仿宋" w:eastAsia="仿宋" w:cs="仿宋"/>
                <w:sz w:val="24"/>
                <w:highlight w:val="none"/>
              </w:rPr>
              <w:t>进口产品说明</w:t>
            </w:r>
          </w:p>
        </w:tc>
        <w:tc>
          <w:tcPr>
            <w:tcW w:w="7402" w:type="dxa"/>
            <w:gridSpan w:val="2"/>
            <w:tcBorders>
              <w:top w:val="single" w:color="auto" w:sz="4" w:space="0"/>
              <w:left w:val="single" w:color="auto" w:sz="4" w:space="0"/>
              <w:bottom w:val="single" w:color="auto" w:sz="4" w:space="0"/>
              <w:right w:val="single" w:color="auto" w:sz="4" w:space="0"/>
            </w:tcBorders>
            <w:vAlign w:val="center"/>
          </w:tcPr>
          <w:p w14:paraId="1E4E906A">
            <w:pPr>
              <w:spacing w:line="360" w:lineRule="auto"/>
              <w:rPr>
                <w:rFonts w:hint="eastAsia" w:ascii="仿宋" w:hAnsi="仿宋" w:eastAsia="仿宋" w:cs="仿宋"/>
                <w:sz w:val="24"/>
                <w:highlight w:val="none"/>
              </w:rPr>
            </w:pPr>
            <w:r>
              <w:rPr>
                <w:rFonts w:hint="eastAsia" w:ascii="仿宋" w:hAnsi="仿宋" w:eastAsia="仿宋" w:cs="仿宋"/>
                <w:sz w:val="24"/>
                <w:highlight w:val="none"/>
              </w:rPr>
              <w:t>本项目货物不接受进口产品（即通过中国海关报关验放进入中国境内且产自关境外的产品）参与竞标，</w:t>
            </w:r>
            <w:r>
              <w:rPr>
                <w:rFonts w:hint="eastAsia" w:ascii="仿宋" w:hAnsi="仿宋" w:eastAsia="仿宋" w:cs="仿宋"/>
                <w:b/>
                <w:bCs/>
                <w:sz w:val="24"/>
                <w:highlight w:val="none"/>
              </w:rPr>
              <w:t>如有进口产品参与竞标的，其响应文件按无效处理。</w:t>
            </w:r>
          </w:p>
        </w:tc>
      </w:tr>
    </w:tbl>
    <w:p w14:paraId="24BC266B">
      <w:pPr>
        <w:keepNext w:val="0"/>
        <w:keepLines w:val="0"/>
        <w:pageBreakBefore w:val="0"/>
        <w:kinsoku/>
        <w:wordWrap w:val="0"/>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r>
        <w:rPr>
          <w:rFonts w:hint="eastAsia" w:ascii="仿宋" w:hAnsi="仿宋" w:eastAsia="仿宋" w:cs="仿宋"/>
          <w:b/>
          <w:bCs/>
          <w:color w:val="auto"/>
          <w:sz w:val="28"/>
          <w:szCs w:val="28"/>
          <w:highlight w:val="none"/>
          <w:lang w:val="en-US" w:eastAsia="zh-CN"/>
        </w:rPr>
        <w:t>附件1：</w:t>
      </w:r>
    </w:p>
    <w:p w14:paraId="1554CAA1">
      <w:pPr>
        <w:keepNext w:val="0"/>
        <w:keepLines w:val="0"/>
        <w:pageBreakBefore w:val="0"/>
        <w:widowControl w:val="0"/>
        <w:kinsoku/>
        <w:wordWrap/>
        <w:overflowPunct/>
        <w:topLinePunct w:val="0"/>
        <w:autoSpaceDE/>
        <w:autoSpaceDN/>
        <w:bidi w:val="0"/>
        <w:adjustRightInd/>
        <w:snapToGrid/>
        <w:spacing w:line="528" w:lineRule="exact"/>
        <w:ind w:left="0"/>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中小微企业划型标准</w:t>
      </w:r>
    </w:p>
    <w:tbl>
      <w:tblPr>
        <w:tblStyle w:val="31"/>
        <w:tblW w:w="0" w:type="auto"/>
        <w:jc w:val="center"/>
        <w:tblLayout w:type="fixed"/>
        <w:tblCellMar>
          <w:top w:w="0" w:type="dxa"/>
          <w:left w:w="108" w:type="dxa"/>
          <w:bottom w:w="0" w:type="dxa"/>
          <w:right w:w="108" w:type="dxa"/>
        </w:tblCellMar>
      </w:tblPr>
      <w:tblGrid>
        <w:gridCol w:w="1985"/>
        <w:gridCol w:w="1984"/>
        <w:gridCol w:w="851"/>
        <w:gridCol w:w="1842"/>
        <w:gridCol w:w="1701"/>
        <w:gridCol w:w="1134"/>
      </w:tblGrid>
      <w:tr w14:paraId="2924687D">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7C48899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noWrap w:val="0"/>
            <w:vAlign w:val="center"/>
          </w:tcPr>
          <w:p w14:paraId="011EC83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5276207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noWrap w:val="0"/>
            <w:vAlign w:val="center"/>
          </w:tcPr>
          <w:p w14:paraId="172B5EC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noWrap w:val="0"/>
            <w:vAlign w:val="center"/>
          </w:tcPr>
          <w:p w14:paraId="7AB059D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1432E86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微型</w:t>
            </w:r>
          </w:p>
        </w:tc>
      </w:tr>
      <w:tr w14:paraId="5E799577">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noWrap w:val="0"/>
            <w:vAlign w:val="center"/>
          </w:tcPr>
          <w:p w14:paraId="0AE9920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农、林、牧、渔</w:t>
            </w:r>
          </w:p>
        </w:tc>
        <w:tc>
          <w:tcPr>
            <w:tcW w:w="1984" w:type="dxa"/>
            <w:tcBorders>
              <w:top w:val="nil"/>
              <w:left w:val="nil"/>
              <w:bottom w:val="single" w:color="auto" w:sz="4" w:space="0"/>
              <w:right w:val="single" w:color="auto" w:sz="4" w:space="0"/>
            </w:tcBorders>
            <w:noWrap w:val="0"/>
            <w:vAlign w:val="center"/>
          </w:tcPr>
          <w:p w14:paraId="71BAFA5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7627C6A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842" w:type="dxa"/>
            <w:tcBorders>
              <w:top w:val="nil"/>
              <w:left w:val="nil"/>
              <w:bottom w:val="single" w:color="auto" w:sz="4" w:space="0"/>
              <w:right w:val="single" w:color="auto" w:sz="4" w:space="0"/>
            </w:tcBorders>
            <w:noWrap w:val="0"/>
            <w:vAlign w:val="center"/>
          </w:tcPr>
          <w:p w14:paraId="6ECAE0D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500≤Y＜20000</w:t>
            </w:r>
          </w:p>
        </w:tc>
        <w:tc>
          <w:tcPr>
            <w:tcW w:w="1701" w:type="dxa"/>
            <w:tcBorders>
              <w:top w:val="nil"/>
              <w:left w:val="nil"/>
              <w:bottom w:val="single" w:color="auto" w:sz="4" w:space="0"/>
              <w:right w:val="single" w:color="auto" w:sz="4" w:space="0"/>
            </w:tcBorders>
            <w:noWrap w:val="0"/>
            <w:vAlign w:val="center"/>
          </w:tcPr>
          <w:p w14:paraId="159F10F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50≤Y＜500</w:t>
            </w:r>
          </w:p>
        </w:tc>
        <w:tc>
          <w:tcPr>
            <w:tcW w:w="1134" w:type="dxa"/>
            <w:tcBorders>
              <w:top w:val="nil"/>
              <w:left w:val="nil"/>
              <w:bottom w:val="single" w:color="auto" w:sz="4" w:space="0"/>
              <w:right w:val="single" w:color="auto" w:sz="4" w:space="0"/>
            </w:tcBorders>
            <w:noWrap w:val="0"/>
            <w:vAlign w:val="center"/>
          </w:tcPr>
          <w:p w14:paraId="4559290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Y＜50</w:t>
            </w:r>
          </w:p>
        </w:tc>
      </w:tr>
      <w:tr w14:paraId="0E6D7843">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center"/>
          </w:tcPr>
          <w:p w14:paraId="0E96DE8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工业</w:t>
            </w:r>
          </w:p>
        </w:tc>
        <w:tc>
          <w:tcPr>
            <w:tcW w:w="1984" w:type="dxa"/>
            <w:tcBorders>
              <w:top w:val="nil"/>
              <w:left w:val="nil"/>
              <w:bottom w:val="single" w:color="auto" w:sz="4" w:space="0"/>
              <w:right w:val="single" w:color="auto" w:sz="4" w:space="0"/>
            </w:tcBorders>
            <w:noWrap w:val="0"/>
            <w:vAlign w:val="center"/>
          </w:tcPr>
          <w:p w14:paraId="3D7AA65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523E45E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842" w:type="dxa"/>
            <w:tcBorders>
              <w:top w:val="nil"/>
              <w:left w:val="nil"/>
              <w:bottom w:val="single" w:color="auto" w:sz="4" w:space="0"/>
              <w:right w:val="single" w:color="auto" w:sz="4" w:space="0"/>
            </w:tcBorders>
            <w:noWrap w:val="0"/>
            <w:vAlign w:val="center"/>
          </w:tcPr>
          <w:p w14:paraId="18055DE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300≤X＜1000</w:t>
            </w:r>
          </w:p>
        </w:tc>
        <w:tc>
          <w:tcPr>
            <w:tcW w:w="1701" w:type="dxa"/>
            <w:tcBorders>
              <w:top w:val="nil"/>
              <w:left w:val="nil"/>
              <w:bottom w:val="single" w:color="auto" w:sz="4" w:space="0"/>
              <w:right w:val="single" w:color="auto" w:sz="4" w:space="0"/>
            </w:tcBorders>
            <w:noWrap w:val="0"/>
            <w:vAlign w:val="center"/>
          </w:tcPr>
          <w:p w14:paraId="4A08D48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20≤X＜300</w:t>
            </w:r>
          </w:p>
        </w:tc>
        <w:tc>
          <w:tcPr>
            <w:tcW w:w="1134" w:type="dxa"/>
            <w:tcBorders>
              <w:top w:val="nil"/>
              <w:left w:val="nil"/>
              <w:bottom w:val="single" w:color="auto" w:sz="4" w:space="0"/>
              <w:right w:val="single" w:color="auto" w:sz="4" w:space="0"/>
            </w:tcBorders>
            <w:noWrap w:val="0"/>
            <w:vAlign w:val="center"/>
          </w:tcPr>
          <w:p w14:paraId="1812FE2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X＜20</w:t>
            </w:r>
          </w:p>
        </w:tc>
      </w:tr>
      <w:tr w14:paraId="0985788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72F5737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color w:val="auto"/>
                <w:kern w:val="0"/>
                <w:sz w:val="21"/>
                <w:szCs w:val="21"/>
                <w:highlight w:val="none"/>
              </w:rPr>
            </w:pPr>
          </w:p>
        </w:tc>
        <w:tc>
          <w:tcPr>
            <w:tcW w:w="1984" w:type="dxa"/>
            <w:tcBorders>
              <w:top w:val="nil"/>
              <w:left w:val="nil"/>
              <w:bottom w:val="single" w:color="auto" w:sz="4" w:space="0"/>
              <w:right w:val="single" w:color="auto" w:sz="4" w:space="0"/>
            </w:tcBorders>
            <w:noWrap w:val="0"/>
            <w:vAlign w:val="center"/>
          </w:tcPr>
          <w:p w14:paraId="1C661B8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3323D56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842" w:type="dxa"/>
            <w:tcBorders>
              <w:top w:val="nil"/>
              <w:left w:val="nil"/>
              <w:bottom w:val="single" w:color="auto" w:sz="4" w:space="0"/>
              <w:right w:val="single" w:color="auto" w:sz="4" w:space="0"/>
            </w:tcBorders>
            <w:noWrap w:val="0"/>
            <w:vAlign w:val="center"/>
          </w:tcPr>
          <w:p w14:paraId="6435F27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2000≤Y＜40000</w:t>
            </w:r>
          </w:p>
        </w:tc>
        <w:tc>
          <w:tcPr>
            <w:tcW w:w="1701" w:type="dxa"/>
            <w:tcBorders>
              <w:top w:val="nil"/>
              <w:left w:val="nil"/>
              <w:bottom w:val="single" w:color="auto" w:sz="4" w:space="0"/>
              <w:right w:val="single" w:color="auto" w:sz="4" w:space="0"/>
            </w:tcBorders>
            <w:noWrap w:val="0"/>
            <w:vAlign w:val="center"/>
          </w:tcPr>
          <w:p w14:paraId="39C7ADE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300≤Y＜2000</w:t>
            </w:r>
          </w:p>
        </w:tc>
        <w:tc>
          <w:tcPr>
            <w:tcW w:w="1134" w:type="dxa"/>
            <w:tcBorders>
              <w:top w:val="nil"/>
              <w:left w:val="nil"/>
              <w:bottom w:val="single" w:color="auto" w:sz="4" w:space="0"/>
              <w:right w:val="single" w:color="auto" w:sz="4" w:space="0"/>
            </w:tcBorders>
            <w:noWrap w:val="0"/>
            <w:vAlign w:val="center"/>
          </w:tcPr>
          <w:p w14:paraId="34EA3BB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Y＜300</w:t>
            </w:r>
          </w:p>
        </w:tc>
      </w:tr>
      <w:tr w14:paraId="50189D1B">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center"/>
          </w:tcPr>
          <w:p w14:paraId="37B90FA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建筑业</w:t>
            </w:r>
          </w:p>
        </w:tc>
        <w:tc>
          <w:tcPr>
            <w:tcW w:w="1984" w:type="dxa"/>
            <w:tcBorders>
              <w:top w:val="nil"/>
              <w:left w:val="nil"/>
              <w:bottom w:val="single" w:color="auto" w:sz="4" w:space="0"/>
              <w:right w:val="single" w:color="auto" w:sz="4" w:space="0"/>
            </w:tcBorders>
            <w:noWrap w:val="0"/>
            <w:vAlign w:val="center"/>
          </w:tcPr>
          <w:p w14:paraId="12FE455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0135E25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842" w:type="dxa"/>
            <w:tcBorders>
              <w:top w:val="nil"/>
              <w:left w:val="nil"/>
              <w:bottom w:val="single" w:color="auto" w:sz="4" w:space="0"/>
              <w:right w:val="single" w:color="auto" w:sz="4" w:space="0"/>
            </w:tcBorders>
            <w:noWrap w:val="0"/>
            <w:vAlign w:val="center"/>
          </w:tcPr>
          <w:p w14:paraId="7A0FC52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6000≤Y＜80000</w:t>
            </w:r>
          </w:p>
        </w:tc>
        <w:tc>
          <w:tcPr>
            <w:tcW w:w="1701" w:type="dxa"/>
            <w:tcBorders>
              <w:top w:val="nil"/>
              <w:left w:val="nil"/>
              <w:bottom w:val="single" w:color="auto" w:sz="4" w:space="0"/>
              <w:right w:val="single" w:color="auto" w:sz="4" w:space="0"/>
            </w:tcBorders>
            <w:noWrap w:val="0"/>
            <w:vAlign w:val="center"/>
          </w:tcPr>
          <w:p w14:paraId="6E4D313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300≤Y＜6000</w:t>
            </w:r>
          </w:p>
        </w:tc>
        <w:tc>
          <w:tcPr>
            <w:tcW w:w="1134" w:type="dxa"/>
            <w:tcBorders>
              <w:top w:val="nil"/>
              <w:left w:val="nil"/>
              <w:bottom w:val="single" w:color="auto" w:sz="4" w:space="0"/>
              <w:right w:val="single" w:color="auto" w:sz="4" w:space="0"/>
            </w:tcBorders>
            <w:noWrap w:val="0"/>
            <w:vAlign w:val="center"/>
          </w:tcPr>
          <w:p w14:paraId="5026107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Y＜300</w:t>
            </w:r>
          </w:p>
        </w:tc>
      </w:tr>
      <w:tr w14:paraId="5C18550A">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61C3D8A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color w:val="auto"/>
                <w:kern w:val="0"/>
                <w:sz w:val="21"/>
                <w:szCs w:val="21"/>
                <w:highlight w:val="none"/>
              </w:rPr>
            </w:pPr>
          </w:p>
        </w:tc>
        <w:tc>
          <w:tcPr>
            <w:tcW w:w="1984" w:type="dxa"/>
            <w:tcBorders>
              <w:top w:val="nil"/>
              <w:left w:val="nil"/>
              <w:bottom w:val="single" w:color="auto" w:sz="4" w:space="0"/>
              <w:right w:val="single" w:color="auto" w:sz="4" w:space="0"/>
            </w:tcBorders>
            <w:noWrap w:val="0"/>
            <w:vAlign w:val="center"/>
          </w:tcPr>
          <w:p w14:paraId="2A38926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资产总额（Z）</w:t>
            </w:r>
          </w:p>
        </w:tc>
        <w:tc>
          <w:tcPr>
            <w:tcW w:w="851" w:type="dxa"/>
            <w:tcBorders>
              <w:top w:val="nil"/>
              <w:left w:val="nil"/>
              <w:bottom w:val="single" w:color="auto" w:sz="4" w:space="0"/>
              <w:right w:val="single" w:color="auto" w:sz="4" w:space="0"/>
            </w:tcBorders>
            <w:noWrap w:val="0"/>
            <w:vAlign w:val="center"/>
          </w:tcPr>
          <w:p w14:paraId="6D30DA0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842" w:type="dxa"/>
            <w:tcBorders>
              <w:top w:val="nil"/>
              <w:left w:val="nil"/>
              <w:bottom w:val="single" w:color="auto" w:sz="4" w:space="0"/>
              <w:right w:val="single" w:color="auto" w:sz="4" w:space="0"/>
            </w:tcBorders>
            <w:noWrap w:val="0"/>
            <w:vAlign w:val="center"/>
          </w:tcPr>
          <w:p w14:paraId="2A90941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5000≤Z＜80000</w:t>
            </w:r>
          </w:p>
        </w:tc>
        <w:tc>
          <w:tcPr>
            <w:tcW w:w="1701" w:type="dxa"/>
            <w:tcBorders>
              <w:top w:val="nil"/>
              <w:left w:val="nil"/>
              <w:bottom w:val="single" w:color="auto" w:sz="4" w:space="0"/>
              <w:right w:val="single" w:color="auto" w:sz="4" w:space="0"/>
            </w:tcBorders>
            <w:noWrap w:val="0"/>
            <w:vAlign w:val="center"/>
          </w:tcPr>
          <w:p w14:paraId="48A7B2B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300≤Z＜5000</w:t>
            </w:r>
          </w:p>
        </w:tc>
        <w:tc>
          <w:tcPr>
            <w:tcW w:w="1134" w:type="dxa"/>
            <w:tcBorders>
              <w:top w:val="nil"/>
              <w:left w:val="nil"/>
              <w:bottom w:val="single" w:color="auto" w:sz="4" w:space="0"/>
              <w:right w:val="single" w:color="auto" w:sz="4" w:space="0"/>
            </w:tcBorders>
            <w:noWrap w:val="0"/>
            <w:vAlign w:val="center"/>
          </w:tcPr>
          <w:p w14:paraId="28AEC46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Z＜300</w:t>
            </w:r>
          </w:p>
        </w:tc>
      </w:tr>
      <w:tr w14:paraId="4BCF7616">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center"/>
          </w:tcPr>
          <w:p w14:paraId="006D9A4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批发业</w:t>
            </w:r>
          </w:p>
        </w:tc>
        <w:tc>
          <w:tcPr>
            <w:tcW w:w="1984" w:type="dxa"/>
            <w:tcBorders>
              <w:top w:val="nil"/>
              <w:left w:val="nil"/>
              <w:bottom w:val="single" w:color="auto" w:sz="4" w:space="0"/>
              <w:right w:val="single" w:color="auto" w:sz="4" w:space="0"/>
            </w:tcBorders>
            <w:noWrap w:val="0"/>
            <w:vAlign w:val="center"/>
          </w:tcPr>
          <w:p w14:paraId="5E4EF00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33290CB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842" w:type="dxa"/>
            <w:tcBorders>
              <w:top w:val="nil"/>
              <w:left w:val="nil"/>
              <w:bottom w:val="single" w:color="auto" w:sz="4" w:space="0"/>
              <w:right w:val="single" w:color="auto" w:sz="4" w:space="0"/>
            </w:tcBorders>
            <w:noWrap w:val="0"/>
            <w:vAlign w:val="center"/>
          </w:tcPr>
          <w:p w14:paraId="084C2FE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20≤X＜200</w:t>
            </w:r>
          </w:p>
        </w:tc>
        <w:tc>
          <w:tcPr>
            <w:tcW w:w="1701" w:type="dxa"/>
            <w:tcBorders>
              <w:top w:val="nil"/>
              <w:left w:val="nil"/>
              <w:bottom w:val="single" w:color="auto" w:sz="4" w:space="0"/>
              <w:right w:val="single" w:color="auto" w:sz="4" w:space="0"/>
            </w:tcBorders>
            <w:noWrap w:val="0"/>
            <w:vAlign w:val="center"/>
          </w:tcPr>
          <w:p w14:paraId="7C545FE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5≤X＜20</w:t>
            </w:r>
          </w:p>
        </w:tc>
        <w:tc>
          <w:tcPr>
            <w:tcW w:w="1134" w:type="dxa"/>
            <w:tcBorders>
              <w:top w:val="nil"/>
              <w:left w:val="nil"/>
              <w:bottom w:val="single" w:color="auto" w:sz="4" w:space="0"/>
              <w:right w:val="single" w:color="auto" w:sz="4" w:space="0"/>
            </w:tcBorders>
            <w:noWrap w:val="0"/>
            <w:vAlign w:val="center"/>
          </w:tcPr>
          <w:p w14:paraId="6D61117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X＜5</w:t>
            </w:r>
          </w:p>
        </w:tc>
      </w:tr>
      <w:tr w14:paraId="25D64BE9">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067CB95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color w:val="auto"/>
                <w:kern w:val="0"/>
                <w:sz w:val="21"/>
                <w:szCs w:val="21"/>
                <w:highlight w:val="none"/>
              </w:rPr>
            </w:pPr>
          </w:p>
        </w:tc>
        <w:tc>
          <w:tcPr>
            <w:tcW w:w="1984" w:type="dxa"/>
            <w:tcBorders>
              <w:top w:val="nil"/>
              <w:left w:val="nil"/>
              <w:bottom w:val="single" w:color="auto" w:sz="4" w:space="0"/>
              <w:right w:val="single" w:color="auto" w:sz="4" w:space="0"/>
            </w:tcBorders>
            <w:noWrap w:val="0"/>
            <w:vAlign w:val="center"/>
          </w:tcPr>
          <w:p w14:paraId="27AB033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720DAAA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842" w:type="dxa"/>
            <w:tcBorders>
              <w:top w:val="nil"/>
              <w:left w:val="nil"/>
              <w:bottom w:val="single" w:color="auto" w:sz="4" w:space="0"/>
              <w:right w:val="single" w:color="auto" w:sz="4" w:space="0"/>
            </w:tcBorders>
            <w:noWrap w:val="0"/>
            <w:vAlign w:val="center"/>
          </w:tcPr>
          <w:p w14:paraId="763CB16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5000≤Y＜40000</w:t>
            </w:r>
          </w:p>
        </w:tc>
        <w:tc>
          <w:tcPr>
            <w:tcW w:w="1701" w:type="dxa"/>
            <w:tcBorders>
              <w:top w:val="nil"/>
              <w:left w:val="nil"/>
              <w:bottom w:val="single" w:color="auto" w:sz="4" w:space="0"/>
              <w:right w:val="single" w:color="auto" w:sz="4" w:space="0"/>
            </w:tcBorders>
            <w:noWrap w:val="0"/>
            <w:vAlign w:val="center"/>
          </w:tcPr>
          <w:p w14:paraId="3BDBF8D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1000≤Y＜5000</w:t>
            </w:r>
          </w:p>
        </w:tc>
        <w:tc>
          <w:tcPr>
            <w:tcW w:w="1134" w:type="dxa"/>
            <w:tcBorders>
              <w:top w:val="nil"/>
              <w:left w:val="nil"/>
              <w:bottom w:val="single" w:color="auto" w:sz="4" w:space="0"/>
              <w:right w:val="single" w:color="auto" w:sz="4" w:space="0"/>
            </w:tcBorders>
            <w:noWrap w:val="0"/>
            <w:vAlign w:val="center"/>
          </w:tcPr>
          <w:p w14:paraId="0F6CB50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Y＜1000</w:t>
            </w:r>
          </w:p>
        </w:tc>
      </w:tr>
      <w:tr w14:paraId="63C78481">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center"/>
          </w:tcPr>
          <w:p w14:paraId="7B6E1D5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零售业</w:t>
            </w:r>
          </w:p>
        </w:tc>
        <w:tc>
          <w:tcPr>
            <w:tcW w:w="1984" w:type="dxa"/>
            <w:tcBorders>
              <w:top w:val="nil"/>
              <w:left w:val="nil"/>
              <w:bottom w:val="single" w:color="auto" w:sz="4" w:space="0"/>
              <w:right w:val="single" w:color="auto" w:sz="4" w:space="0"/>
            </w:tcBorders>
            <w:noWrap w:val="0"/>
            <w:vAlign w:val="center"/>
          </w:tcPr>
          <w:p w14:paraId="59748B9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618DDF8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842" w:type="dxa"/>
            <w:tcBorders>
              <w:top w:val="nil"/>
              <w:left w:val="nil"/>
              <w:bottom w:val="single" w:color="auto" w:sz="4" w:space="0"/>
              <w:right w:val="single" w:color="auto" w:sz="4" w:space="0"/>
            </w:tcBorders>
            <w:noWrap w:val="0"/>
            <w:vAlign w:val="center"/>
          </w:tcPr>
          <w:p w14:paraId="0E8E4B3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50≤X＜300</w:t>
            </w:r>
          </w:p>
        </w:tc>
        <w:tc>
          <w:tcPr>
            <w:tcW w:w="1701" w:type="dxa"/>
            <w:tcBorders>
              <w:top w:val="nil"/>
              <w:left w:val="nil"/>
              <w:bottom w:val="single" w:color="auto" w:sz="4" w:space="0"/>
              <w:right w:val="single" w:color="auto" w:sz="4" w:space="0"/>
            </w:tcBorders>
            <w:noWrap w:val="0"/>
            <w:vAlign w:val="center"/>
          </w:tcPr>
          <w:p w14:paraId="34C5CCA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10≤X＜50</w:t>
            </w:r>
          </w:p>
        </w:tc>
        <w:tc>
          <w:tcPr>
            <w:tcW w:w="1134" w:type="dxa"/>
            <w:tcBorders>
              <w:top w:val="nil"/>
              <w:left w:val="nil"/>
              <w:bottom w:val="single" w:color="auto" w:sz="4" w:space="0"/>
              <w:right w:val="single" w:color="auto" w:sz="4" w:space="0"/>
            </w:tcBorders>
            <w:noWrap w:val="0"/>
            <w:vAlign w:val="center"/>
          </w:tcPr>
          <w:p w14:paraId="41D14A2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w:t>
            </w:r>
          </w:p>
        </w:tc>
      </w:tr>
      <w:tr w14:paraId="0782AA60">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4576057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color w:val="auto"/>
                <w:kern w:val="0"/>
                <w:sz w:val="21"/>
                <w:szCs w:val="21"/>
                <w:highlight w:val="none"/>
              </w:rPr>
            </w:pPr>
          </w:p>
        </w:tc>
        <w:tc>
          <w:tcPr>
            <w:tcW w:w="1984" w:type="dxa"/>
            <w:tcBorders>
              <w:top w:val="nil"/>
              <w:left w:val="nil"/>
              <w:bottom w:val="single" w:color="auto" w:sz="4" w:space="0"/>
              <w:right w:val="single" w:color="auto" w:sz="4" w:space="0"/>
            </w:tcBorders>
            <w:noWrap w:val="0"/>
            <w:vAlign w:val="center"/>
          </w:tcPr>
          <w:p w14:paraId="46EE97F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4F90DF0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842" w:type="dxa"/>
            <w:tcBorders>
              <w:top w:val="nil"/>
              <w:left w:val="nil"/>
              <w:bottom w:val="single" w:color="auto" w:sz="4" w:space="0"/>
              <w:right w:val="single" w:color="auto" w:sz="4" w:space="0"/>
            </w:tcBorders>
            <w:noWrap w:val="0"/>
            <w:vAlign w:val="center"/>
          </w:tcPr>
          <w:p w14:paraId="34E160A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500≤Y＜20000</w:t>
            </w:r>
          </w:p>
        </w:tc>
        <w:tc>
          <w:tcPr>
            <w:tcW w:w="1701" w:type="dxa"/>
            <w:tcBorders>
              <w:top w:val="nil"/>
              <w:left w:val="nil"/>
              <w:bottom w:val="single" w:color="auto" w:sz="4" w:space="0"/>
              <w:right w:val="single" w:color="auto" w:sz="4" w:space="0"/>
            </w:tcBorders>
            <w:noWrap w:val="0"/>
            <w:vAlign w:val="center"/>
          </w:tcPr>
          <w:p w14:paraId="7D4EC5E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100≤Y＜500</w:t>
            </w:r>
          </w:p>
        </w:tc>
        <w:tc>
          <w:tcPr>
            <w:tcW w:w="1134" w:type="dxa"/>
            <w:tcBorders>
              <w:top w:val="nil"/>
              <w:left w:val="nil"/>
              <w:bottom w:val="single" w:color="auto" w:sz="4" w:space="0"/>
              <w:right w:val="single" w:color="auto" w:sz="4" w:space="0"/>
            </w:tcBorders>
            <w:noWrap w:val="0"/>
            <w:vAlign w:val="center"/>
          </w:tcPr>
          <w:p w14:paraId="27565DE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w:t>
            </w:r>
          </w:p>
        </w:tc>
      </w:tr>
      <w:tr w14:paraId="0697CC11">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center"/>
          </w:tcPr>
          <w:p w14:paraId="7A4E798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交通运输业</w:t>
            </w:r>
          </w:p>
        </w:tc>
        <w:tc>
          <w:tcPr>
            <w:tcW w:w="1984" w:type="dxa"/>
            <w:tcBorders>
              <w:top w:val="nil"/>
              <w:left w:val="nil"/>
              <w:bottom w:val="single" w:color="auto" w:sz="4" w:space="0"/>
              <w:right w:val="single" w:color="auto" w:sz="4" w:space="0"/>
            </w:tcBorders>
            <w:noWrap w:val="0"/>
            <w:vAlign w:val="center"/>
          </w:tcPr>
          <w:p w14:paraId="38E861B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3A1BCA8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842" w:type="dxa"/>
            <w:tcBorders>
              <w:top w:val="nil"/>
              <w:left w:val="nil"/>
              <w:bottom w:val="single" w:color="auto" w:sz="4" w:space="0"/>
              <w:right w:val="single" w:color="auto" w:sz="4" w:space="0"/>
            </w:tcBorders>
            <w:noWrap w:val="0"/>
            <w:vAlign w:val="center"/>
          </w:tcPr>
          <w:p w14:paraId="6512451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300≤X＜1000</w:t>
            </w:r>
          </w:p>
        </w:tc>
        <w:tc>
          <w:tcPr>
            <w:tcW w:w="1701" w:type="dxa"/>
            <w:tcBorders>
              <w:top w:val="nil"/>
              <w:left w:val="nil"/>
              <w:bottom w:val="single" w:color="auto" w:sz="4" w:space="0"/>
              <w:right w:val="single" w:color="auto" w:sz="4" w:space="0"/>
            </w:tcBorders>
            <w:noWrap w:val="0"/>
            <w:vAlign w:val="center"/>
          </w:tcPr>
          <w:p w14:paraId="27FE980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20≤X＜300</w:t>
            </w:r>
          </w:p>
        </w:tc>
        <w:tc>
          <w:tcPr>
            <w:tcW w:w="1134" w:type="dxa"/>
            <w:tcBorders>
              <w:top w:val="nil"/>
              <w:left w:val="nil"/>
              <w:bottom w:val="single" w:color="auto" w:sz="4" w:space="0"/>
              <w:right w:val="single" w:color="auto" w:sz="4" w:space="0"/>
            </w:tcBorders>
            <w:noWrap w:val="0"/>
            <w:vAlign w:val="center"/>
          </w:tcPr>
          <w:p w14:paraId="7B59FDB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X＜20</w:t>
            </w:r>
          </w:p>
        </w:tc>
      </w:tr>
      <w:tr w14:paraId="60328CE2">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1948D32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color w:val="auto"/>
                <w:kern w:val="0"/>
                <w:sz w:val="21"/>
                <w:szCs w:val="21"/>
                <w:highlight w:val="none"/>
              </w:rPr>
            </w:pPr>
          </w:p>
        </w:tc>
        <w:tc>
          <w:tcPr>
            <w:tcW w:w="1984" w:type="dxa"/>
            <w:tcBorders>
              <w:top w:val="nil"/>
              <w:left w:val="nil"/>
              <w:bottom w:val="single" w:color="auto" w:sz="4" w:space="0"/>
              <w:right w:val="single" w:color="auto" w:sz="4" w:space="0"/>
            </w:tcBorders>
            <w:noWrap w:val="0"/>
            <w:vAlign w:val="center"/>
          </w:tcPr>
          <w:p w14:paraId="2F43DA8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2D6674C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842" w:type="dxa"/>
            <w:tcBorders>
              <w:top w:val="nil"/>
              <w:left w:val="nil"/>
              <w:bottom w:val="single" w:color="auto" w:sz="4" w:space="0"/>
              <w:right w:val="single" w:color="auto" w:sz="4" w:space="0"/>
            </w:tcBorders>
            <w:noWrap w:val="0"/>
            <w:vAlign w:val="center"/>
          </w:tcPr>
          <w:p w14:paraId="7AB31B3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3000≤Y＜30000</w:t>
            </w:r>
          </w:p>
        </w:tc>
        <w:tc>
          <w:tcPr>
            <w:tcW w:w="1701" w:type="dxa"/>
            <w:tcBorders>
              <w:top w:val="nil"/>
              <w:left w:val="nil"/>
              <w:bottom w:val="single" w:color="auto" w:sz="4" w:space="0"/>
              <w:right w:val="single" w:color="auto" w:sz="4" w:space="0"/>
            </w:tcBorders>
            <w:noWrap w:val="0"/>
            <w:vAlign w:val="center"/>
          </w:tcPr>
          <w:p w14:paraId="6E83B11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200≤Y＜3000</w:t>
            </w:r>
          </w:p>
        </w:tc>
        <w:tc>
          <w:tcPr>
            <w:tcW w:w="1134" w:type="dxa"/>
            <w:tcBorders>
              <w:top w:val="nil"/>
              <w:left w:val="nil"/>
              <w:bottom w:val="single" w:color="auto" w:sz="4" w:space="0"/>
              <w:right w:val="single" w:color="auto" w:sz="4" w:space="0"/>
            </w:tcBorders>
            <w:noWrap w:val="0"/>
            <w:vAlign w:val="center"/>
          </w:tcPr>
          <w:p w14:paraId="344FEAA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Y＜200</w:t>
            </w:r>
          </w:p>
        </w:tc>
      </w:tr>
      <w:tr w14:paraId="27FC7E88">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center"/>
          </w:tcPr>
          <w:p w14:paraId="73A16AC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仓储业</w:t>
            </w:r>
          </w:p>
        </w:tc>
        <w:tc>
          <w:tcPr>
            <w:tcW w:w="1984" w:type="dxa"/>
            <w:tcBorders>
              <w:top w:val="nil"/>
              <w:left w:val="nil"/>
              <w:bottom w:val="single" w:color="auto" w:sz="4" w:space="0"/>
              <w:right w:val="single" w:color="auto" w:sz="4" w:space="0"/>
            </w:tcBorders>
            <w:noWrap w:val="0"/>
            <w:vAlign w:val="center"/>
          </w:tcPr>
          <w:p w14:paraId="38E109E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36982A2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842" w:type="dxa"/>
            <w:tcBorders>
              <w:top w:val="nil"/>
              <w:left w:val="nil"/>
              <w:bottom w:val="single" w:color="auto" w:sz="4" w:space="0"/>
              <w:right w:val="single" w:color="auto" w:sz="4" w:space="0"/>
            </w:tcBorders>
            <w:noWrap w:val="0"/>
            <w:vAlign w:val="center"/>
          </w:tcPr>
          <w:p w14:paraId="5D9E551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100≤X＜200</w:t>
            </w:r>
          </w:p>
        </w:tc>
        <w:tc>
          <w:tcPr>
            <w:tcW w:w="1701" w:type="dxa"/>
            <w:tcBorders>
              <w:top w:val="nil"/>
              <w:left w:val="nil"/>
              <w:bottom w:val="single" w:color="auto" w:sz="4" w:space="0"/>
              <w:right w:val="single" w:color="auto" w:sz="4" w:space="0"/>
            </w:tcBorders>
            <w:noWrap w:val="0"/>
            <w:vAlign w:val="center"/>
          </w:tcPr>
          <w:p w14:paraId="2B2F069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20≤X＜100</w:t>
            </w:r>
          </w:p>
        </w:tc>
        <w:tc>
          <w:tcPr>
            <w:tcW w:w="1134" w:type="dxa"/>
            <w:tcBorders>
              <w:top w:val="nil"/>
              <w:left w:val="nil"/>
              <w:bottom w:val="single" w:color="auto" w:sz="4" w:space="0"/>
              <w:right w:val="single" w:color="auto" w:sz="4" w:space="0"/>
            </w:tcBorders>
            <w:noWrap w:val="0"/>
            <w:vAlign w:val="center"/>
          </w:tcPr>
          <w:p w14:paraId="6EE841D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X＜20</w:t>
            </w:r>
          </w:p>
        </w:tc>
      </w:tr>
      <w:tr w14:paraId="75F84F54">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5DCFAAC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color w:val="auto"/>
                <w:kern w:val="0"/>
                <w:sz w:val="21"/>
                <w:szCs w:val="21"/>
                <w:highlight w:val="none"/>
              </w:rPr>
            </w:pPr>
          </w:p>
        </w:tc>
        <w:tc>
          <w:tcPr>
            <w:tcW w:w="1984" w:type="dxa"/>
            <w:tcBorders>
              <w:top w:val="nil"/>
              <w:left w:val="nil"/>
              <w:bottom w:val="single" w:color="auto" w:sz="4" w:space="0"/>
              <w:right w:val="single" w:color="auto" w:sz="4" w:space="0"/>
            </w:tcBorders>
            <w:noWrap w:val="0"/>
            <w:vAlign w:val="center"/>
          </w:tcPr>
          <w:p w14:paraId="5085F25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2D2F4E7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842" w:type="dxa"/>
            <w:tcBorders>
              <w:top w:val="nil"/>
              <w:left w:val="nil"/>
              <w:bottom w:val="single" w:color="auto" w:sz="4" w:space="0"/>
              <w:right w:val="single" w:color="auto" w:sz="4" w:space="0"/>
            </w:tcBorders>
            <w:noWrap w:val="0"/>
            <w:vAlign w:val="center"/>
          </w:tcPr>
          <w:p w14:paraId="39B0150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1000≤Y＜30000</w:t>
            </w:r>
          </w:p>
        </w:tc>
        <w:tc>
          <w:tcPr>
            <w:tcW w:w="1701" w:type="dxa"/>
            <w:tcBorders>
              <w:top w:val="nil"/>
              <w:left w:val="nil"/>
              <w:bottom w:val="single" w:color="auto" w:sz="4" w:space="0"/>
              <w:right w:val="single" w:color="auto" w:sz="4" w:space="0"/>
            </w:tcBorders>
            <w:noWrap w:val="0"/>
            <w:vAlign w:val="center"/>
          </w:tcPr>
          <w:p w14:paraId="4B2E377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100≤Y＜1000</w:t>
            </w:r>
          </w:p>
        </w:tc>
        <w:tc>
          <w:tcPr>
            <w:tcW w:w="1134" w:type="dxa"/>
            <w:tcBorders>
              <w:top w:val="nil"/>
              <w:left w:val="nil"/>
              <w:bottom w:val="single" w:color="auto" w:sz="4" w:space="0"/>
              <w:right w:val="single" w:color="auto" w:sz="4" w:space="0"/>
            </w:tcBorders>
            <w:noWrap w:val="0"/>
            <w:vAlign w:val="center"/>
          </w:tcPr>
          <w:p w14:paraId="0F500A6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w:t>
            </w:r>
          </w:p>
        </w:tc>
      </w:tr>
      <w:tr w14:paraId="06BEA841">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center"/>
          </w:tcPr>
          <w:p w14:paraId="61EB412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邮政业</w:t>
            </w:r>
          </w:p>
        </w:tc>
        <w:tc>
          <w:tcPr>
            <w:tcW w:w="1984" w:type="dxa"/>
            <w:tcBorders>
              <w:top w:val="nil"/>
              <w:left w:val="nil"/>
              <w:bottom w:val="single" w:color="auto" w:sz="4" w:space="0"/>
              <w:right w:val="single" w:color="auto" w:sz="4" w:space="0"/>
            </w:tcBorders>
            <w:noWrap w:val="0"/>
            <w:vAlign w:val="center"/>
          </w:tcPr>
          <w:p w14:paraId="40B5661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5BA7311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842" w:type="dxa"/>
            <w:tcBorders>
              <w:top w:val="nil"/>
              <w:left w:val="nil"/>
              <w:bottom w:val="single" w:color="auto" w:sz="4" w:space="0"/>
              <w:right w:val="single" w:color="auto" w:sz="4" w:space="0"/>
            </w:tcBorders>
            <w:noWrap w:val="0"/>
            <w:vAlign w:val="center"/>
          </w:tcPr>
          <w:p w14:paraId="0D30CFA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300≤X＜1000</w:t>
            </w:r>
          </w:p>
        </w:tc>
        <w:tc>
          <w:tcPr>
            <w:tcW w:w="1701" w:type="dxa"/>
            <w:tcBorders>
              <w:top w:val="nil"/>
              <w:left w:val="nil"/>
              <w:bottom w:val="single" w:color="auto" w:sz="4" w:space="0"/>
              <w:right w:val="single" w:color="auto" w:sz="4" w:space="0"/>
            </w:tcBorders>
            <w:noWrap w:val="0"/>
            <w:vAlign w:val="center"/>
          </w:tcPr>
          <w:p w14:paraId="2DDCC28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20≤X＜300</w:t>
            </w:r>
          </w:p>
        </w:tc>
        <w:tc>
          <w:tcPr>
            <w:tcW w:w="1134" w:type="dxa"/>
            <w:tcBorders>
              <w:top w:val="nil"/>
              <w:left w:val="nil"/>
              <w:bottom w:val="single" w:color="auto" w:sz="4" w:space="0"/>
              <w:right w:val="single" w:color="auto" w:sz="4" w:space="0"/>
            </w:tcBorders>
            <w:noWrap w:val="0"/>
            <w:vAlign w:val="center"/>
          </w:tcPr>
          <w:p w14:paraId="7116826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X＜20</w:t>
            </w:r>
          </w:p>
        </w:tc>
      </w:tr>
      <w:tr w14:paraId="0CB727E2">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5E3D2C2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color w:val="auto"/>
                <w:kern w:val="0"/>
                <w:sz w:val="21"/>
                <w:szCs w:val="21"/>
                <w:highlight w:val="none"/>
              </w:rPr>
            </w:pPr>
          </w:p>
        </w:tc>
        <w:tc>
          <w:tcPr>
            <w:tcW w:w="1984" w:type="dxa"/>
            <w:tcBorders>
              <w:top w:val="nil"/>
              <w:left w:val="nil"/>
              <w:bottom w:val="single" w:color="auto" w:sz="4" w:space="0"/>
              <w:right w:val="single" w:color="auto" w:sz="4" w:space="0"/>
            </w:tcBorders>
            <w:noWrap w:val="0"/>
            <w:vAlign w:val="center"/>
          </w:tcPr>
          <w:p w14:paraId="1622A88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7F37D5D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842" w:type="dxa"/>
            <w:tcBorders>
              <w:top w:val="nil"/>
              <w:left w:val="nil"/>
              <w:bottom w:val="single" w:color="auto" w:sz="4" w:space="0"/>
              <w:right w:val="single" w:color="auto" w:sz="4" w:space="0"/>
            </w:tcBorders>
            <w:noWrap w:val="0"/>
            <w:vAlign w:val="center"/>
          </w:tcPr>
          <w:p w14:paraId="10B4A68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2000≤Y＜30000</w:t>
            </w:r>
          </w:p>
        </w:tc>
        <w:tc>
          <w:tcPr>
            <w:tcW w:w="1701" w:type="dxa"/>
            <w:tcBorders>
              <w:top w:val="nil"/>
              <w:left w:val="nil"/>
              <w:bottom w:val="single" w:color="auto" w:sz="4" w:space="0"/>
              <w:right w:val="single" w:color="auto" w:sz="4" w:space="0"/>
            </w:tcBorders>
            <w:noWrap w:val="0"/>
            <w:vAlign w:val="center"/>
          </w:tcPr>
          <w:p w14:paraId="73D44C1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100≤Y＜2000</w:t>
            </w:r>
          </w:p>
        </w:tc>
        <w:tc>
          <w:tcPr>
            <w:tcW w:w="1134" w:type="dxa"/>
            <w:tcBorders>
              <w:top w:val="nil"/>
              <w:left w:val="nil"/>
              <w:bottom w:val="single" w:color="auto" w:sz="4" w:space="0"/>
              <w:right w:val="single" w:color="auto" w:sz="4" w:space="0"/>
            </w:tcBorders>
            <w:noWrap w:val="0"/>
            <w:vAlign w:val="center"/>
          </w:tcPr>
          <w:p w14:paraId="7103D4F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w:t>
            </w:r>
          </w:p>
        </w:tc>
      </w:tr>
      <w:tr w14:paraId="7AC7F161">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center"/>
          </w:tcPr>
          <w:p w14:paraId="3688547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住宿业</w:t>
            </w:r>
          </w:p>
        </w:tc>
        <w:tc>
          <w:tcPr>
            <w:tcW w:w="1984" w:type="dxa"/>
            <w:tcBorders>
              <w:top w:val="nil"/>
              <w:left w:val="nil"/>
              <w:bottom w:val="single" w:color="auto" w:sz="4" w:space="0"/>
              <w:right w:val="single" w:color="auto" w:sz="4" w:space="0"/>
            </w:tcBorders>
            <w:noWrap w:val="0"/>
            <w:vAlign w:val="center"/>
          </w:tcPr>
          <w:p w14:paraId="0ACDE4F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09D7468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842" w:type="dxa"/>
            <w:tcBorders>
              <w:top w:val="nil"/>
              <w:left w:val="nil"/>
              <w:bottom w:val="single" w:color="auto" w:sz="4" w:space="0"/>
              <w:right w:val="single" w:color="auto" w:sz="4" w:space="0"/>
            </w:tcBorders>
            <w:noWrap w:val="0"/>
            <w:vAlign w:val="center"/>
          </w:tcPr>
          <w:p w14:paraId="74A98ED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100≤X＜300</w:t>
            </w:r>
          </w:p>
        </w:tc>
        <w:tc>
          <w:tcPr>
            <w:tcW w:w="1701" w:type="dxa"/>
            <w:tcBorders>
              <w:top w:val="nil"/>
              <w:left w:val="nil"/>
              <w:bottom w:val="single" w:color="auto" w:sz="4" w:space="0"/>
              <w:right w:val="single" w:color="auto" w:sz="4" w:space="0"/>
            </w:tcBorders>
            <w:noWrap w:val="0"/>
            <w:vAlign w:val="center"/>
          </w:tcPr>
          <w:p w14:paraId="2D86A6B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126AD78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w:t>
            </w:r>
          </w:p>
        </w:tc>
      </w:tr>
      <w:tr w14:paraId="544DA759">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67840FD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color w:val="auto"/>
                <w:kern w:val="0"/>
                <w:sz w:val="21"/>
                <w:szCs w:val="21"/>
                <w:highlight w:val="none"/>
              </w:rPr>
            </w:pPr>
          </w:p>
        </w:tc>
        <w:tc>
          <w:tcPr>
            <w:tcW w:w="1984" w:type="dxa"/>
            <w:tcBorders>
              <w:top w:val="nil"/>
              <w:left w:val="nil"/>
              <w:bottom w:val="single" w:color="auto" w:sz="4" w:space="0"/>
              <w:right w:val="single" w:color="auto" w:sz="4" w:space="0"/>
            </w:tcBorders>
            <w:noWrap w:val="0"/>
            <w:vAlign w:val="center"/>
          </w:tcPr>
          <w:p w14:paraId="4B1F2B3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7A0D079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842" w:type="dxa"/>
            <w:tcBorders>
              <w:top w:val="nil"/>
              <w:left w:val="nil"/>
              <w:bottom w:val="single" w:color="auto" w:sz="4" w:space="0"/>
              <w:right w:val="single" w:color="auto" w:sz="4" w:space="0"/>
            </w:tcBorders>
            <w:noWrap w:val="0"/>
            <w:vAlign w:val="center"/>
          </w:tcPr>
          <w:p w14:paraId="2F45D85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2000≤Y＜10000</w:t>
            </w:r>
          </w:p>
        </w:tc>
        <w:tc>
          <w:tcPr>
            <w:tcW w:w="1701" w:type="dxa"/>
            <w:tcBorders>
              <w:top w:val="nil"/>
              <w:left w:val="nil"/>
              <w:bottom w:val="single" w:color="auto" w:sz="4" w:space="0"/>
              <w:right w:val="single" w:color="auto" w:sz="4" w:space="0"/>
            </w:tcBorders>
            <w:noWrap w:val="0"/>
            <w:vAlign w:val="center"/>
          </w:tcPr>
          <w:p w14:paraId="7777026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100≤Y＜2000</w:t>
            </w:r>
          </w:p>
        </w:tc>
        <w:tc>
          <w:tcPr>
            <w:tcW w:w="1134" w:type="dxa"/>
            <w:tcBorders>
              <w:top w:val="nil"/>
              <w:left w:val="nil"/>
              <w:bottom w:val="single" w:color="auto" w:sz="4" w:space="0"/>
              <w:right w:val="single" w:color="auto" w:sz="4" w:space="0"/>
            </w:tcBorders>
            <w:noWrap w:val="0"/>
            <w:vAlign w:val="center"/>
          </w:tcPr>
          <w:p w14:paraId="193E73F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w:t>
            </w:r>
          </w:p>
        </w:tc>
      </w:tr>
      <w:tr w14:paraId="65F892CB">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center"/>
          </w:tcPr>
          <w:p w14:paraId="3734B6C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餐饮业</w:t>
            </w:r>
          </w:p>
        </w:tc>
        <w:tc>
          <w:tcPr>
            <w:tcW w:w="1984" w:type="dxa"/>
            <w:tcBorders>
              <w:top w:val="nil"/>
              <w:left w:val="nil"/>
              <w:bottom w:val="single" w:color="auto" w:sz="4" w:space="0"/>
              <w:right w:val="single" w:color="auto" w:sz="4" w:space="0"/>
            </w:tcBorders>
            <w:noWrap w:val="0"/>
            <w:vAlign w:val="center"/>
          </w:tcPr>
          <w:p w14:paraId="054ECA6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003C638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842" w:type="dxa"/>
            <w:tcBorders>
              <w:top w:val="nil"/>
              <w:left w:val="nil"/>
              <w:bottom w:val="single" w:color="auto" w:sz="4" w:space="0"/>
              <w:right w:val="single" w:color="auto" w:sz="4" w:space="0"/>
            </w:tcBorders>
            <w:noWrap w:val="0"/>
            <w:vAlign w:val="center"/>
          </w:tcPr>
          <w:p w14:paraId="37251F7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100≤X＜300</w:t>
            </w:r>
          </w:p>
        </w:tc>
        <w:tc>
          <w:tcPr>
            <w:tcW w:w="1701" w:type="dxa"/>
            <w:tcBorders>
              <w:top w:val="nil"/>
              <w:left w:val="nil"/>
              <w:bottom w:val="single" w:color="auto" w:sz="4" w:space="0"/>
              <w:right w:val="single" w:color="auto" w:sz="4" w:space="0"/>
            </w:tcBorders>
            <w:noWrap w:val="0"/>
            <w:vAlign w:val="center"/>
          </w:tcPr>
          <w:p w14:paraId="63D2663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36D6406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w:t>
            </w:r>
          </w:p>
        </w:tc>
      </w:tr>
      <w:tr w14:paraId="090E9B31">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0A8EEEB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color w:val="auto"/>
                <w:kern w:val="0"/>
                <w:sz w:val="21"/>
                <w:szCs w:val="21"/>
                <w:highlight w:val="none"/>
              </w:rPr>
            </w:pPr>
          </w:p>
        </w:tc>
        <w:tc>
          <w:tcPr>
            <w:tcW w:w="1984" w:type="dxa"/>
            <w:tcBorders>
              <w:top w:val="nil"/>
              <w:left w:val="nil"/>
              <w:bottom w:val="single" w:color="auto" w:sz="4" w:space="0"/>
              <w:right w:val="single" w:color="auto" w:sz="4" w:space="0"/>
            </w:tcBorders>
            <w:noWrap w:val="0"/>
            <w:vAlign w:val="center"/>
          </w:tcPr>
          <w:p w14:paraId="12D91C4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2B5675D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842" w:type="dxa"/>
            <w:tcBorders>
              <w:top w:val="nil"/>
              <w:left w:val="nil"/>
              <w:bottom w:val="single" w:color="auto" w:sz="4" w:space="0"/>
              <w:right w:val="single" w:color="auto" w:sz="4" w:space="0"/>
            </w:tcBorders>
            <w:noWrap w:val="0"/>
            <w:vAlign w:val="center"/>
          </w:tcPr>
          <w:p w14:paraId="384B573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2000≤Y＜10000</w:t>
            </w:r>
          </w:p>
        </w:tc>
        <w:tc>
          <w:tcPr>
            <w:tcW w:w="1701" w:type="dxa"/>
            <w:tcBorders>
              <w:top w:val="nil"/>
              <w:left w:val="nil"/>
              <w:bottom w:val="single" w:color="auto" w:sz="4" w:space="0"/>
              <w:right w:val="single" w:color="auto" w:sz="4" w:space="0"/>
            </w:tcBorders>
            <w:noWrap w:val="0"/>
            <w:vAlign w:val="center"/>
          </w:tcPr>
          <w:p w14:paraId="26E3249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100≤Y＜2000</w:t>
            </w:r>
          </w:p>
        </w:tc>
        <w:tc>
          <w:tcPr>
            <w:tcW w:w="1134" w:type="dxa"/>
            <w:tcBorders>
              <w:top w:val="nil"/>
              <w:left w:val="nil"/>
              <w:bottom w:val="single" w:color="auto" w:sz="4" w:space="0"/>
              <w:right w:val="single" w:color="auto" w:sz="4" w:space="0"/>
            </w:tcBorders>
            <w:noWrap w:val="0"/>
            <w:vAlign w:val="center"/>
          </w:tcPr>
          <w:p w14:paraId="0247DD3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w:t>
            </w:r>
          </w:p>
        </w:tc>
      </w:tr>
      <w:tr w14:paraId="669C98C9">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center"/>
          </w:tcPr>
          <w:p w14:paraId="318ECFB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信息传输业</w:t>
            </w:r>
          </w:p>
        </w:tc>
        <w:tc>
          <w:tcPr>
            <w:tcW w:w="1984" w:type="dxa"/>
            <w:tcBorders>
              <w:top w:val="nil"/>
              <w:left w:val="nil"/>
              <w:bottom w:val="single" w:color="auto" w:sz="4" w:space="0"/>
              <w:right w:val="single" w:color="auto" w:sz="4" w:space="0"/>
            </w:tcBorders>
            <w:noWrap w:val="0"/>
            <w:vAlign w:val="center"/>
          </w:tcPr>
          <w:p w14:paraId="1925E6A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59289AB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842" w:type="dxa"/>
            <w:tcBorders>
              <w:top w:val="nil"/>
              <w:left w:val="nil"/>
              <w:bottom w:val="single" w:color="auto" w:sz="4" w:space="0"/>
              <w:right w:val="single" w:color="auto" w:sz="4" w:space="0"/>
            </w:tcBorders>
            <w:noWrap w:val="0"/>
            <w:vAlign w:val="center"/>
          </w:tcPr>
          <w:p w14:paraId="70546C4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100≤X＜2000</w:t>
            </w:r>
          </w:p>
        </w:tc>
        <w:tc>
          <w:tcPr>
            <w:tcW w:w="1701" w:type="dxa"/>
            <w:tcBorders>
              <w:top w:val="nil"/>
              <w:left w:val="nil"/>
              <w:bottom w:val="single" w:color="auto" w:sz="4" w:space="0"/>
              <w:right w:val="single" w:color="auto" w:sz="4" w:space="0"/>
            </w:tcBorders>
            <w:noWrap w:val="0"/>
            <w:vAlign w:val="center"/>
          </w:tcPr>
          <w:p w14:paraId="3A19B7A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2B814A1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w:t>
            </w:r>
          </w:p>
        </w:tc>
      </w:tr>
      <w:tr w14:paraId="07AC98B4">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323B197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color w:val="auto"/>
                <w:kern w:val="0"/>
                <w:sz w:val="21"/>
                <w:szCs w:val="21"/>
                <w:highlight w:val="none"/>
              </w:rPr>
            </w:pPr>
          </w:p>
        </w:tc>
        <w:tc>
          <w:tcPr>
            <w:tcW w:w="1984" w:type="dxa"/>
            <w:tcBorders>
              <w:top w:val="nil"/>
              <w:left w:val="nil"/>
              <w:bottom w:val="single" w:color="auto" w:sz="4" w:space="0"/>
              <w:right w:val="single" w:color="auto" w:sz="4" w:space="0"/>
            </w:tcBorders>
            <w:noWrap w:val="0"/>
            <w:vAlign w:val="center"/>
          </w:tcPr>
          <w:p w14:paraId="7ADBF99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0871DEB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842" w:type="dxa"/>
            <w:tcBorders>
              <w:top w:val="nil"/>
              <w:left w:val="nil"/>
              <w:bottom w:val="single" w:color="auto" w:sz="4" w:space="0"/>
              <w:right w:val="single" w:color="auto" w:sz="4" w:space="0"/>
            </w:tcBorders>
            <w:noWrap w:val="0"/>
            <w:vAlign w:val="center"/>
          </w:tcPr>
          <w:p w14:paraId="30B78E8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1000≤Y＜100000</w:t>
            </w:r>
          </w:p>
        </w:tc>
        <w:tc>
          <w:tcPr>
            <w:tcW w:w="1701" w:type="dxa"/>
            <w:tcBorders>
              <w:top w:val="nil"/>
              <w:left w:val="nil"/>
              <w:bottom w:val="single" w:color="auto" w:sz="4" w:space="0"/>
              <w:right w:val="single" w:color="auto" w:sz="4" w:space="0"/>
            </w:tcBorders>
            <w:noWrap w:val="0"/>
            <w:vAlign w:val="center"/>
          </w:tcPr>
          <w:p w14:paraId="328C76A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100≤Y＜1000</w:t>
            </w:r>
          </w:p>
        </w:tc>
        <w:tc>
          <w:tcPr>
            <w:tcW w:w="1134" w:type="dxa"/>
            <w:tcBorders>
              <w:top w:val="nil"/>
              <w:left w:val="nil"/>
              <w:bottom w:val="single" w:color="auto" w:sz="4" w:space="0"/>
              <w:right w:val="single" w:color="auto" w:sz="4" w:space="0"/>
            </w:tcBorders>
            <w:noWrap w:val="0"/>
            <w:vAlign w:val="center"/>
          </w:tcPr>
          <w:p w14:paraId="1286143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w:t>
            </w:r>
          </w:p>
        </w:tc>
      </w:tr>
      <w:tr w14:paraId="485ECD39">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center"/>
          </w:tcPr>
          <w:p w14:paraId="2ECEDA6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软件和信息技术服务业</w:t>
            </w:r>
          </w:p>
        </w:tc>
        <w:tc>
          <w:tcPr>
            <w:tcW w:w="1984" w:type="dxa"/>
            <w:tcBorders>
              <w:top w:val="nil"/>
              <w:left w:val="nil"/>
              <w:bottom w:val="single" w:color="auto" w:sz="4" w:space="0"/>
              <w:right w:val="single" w:color="auto" w:sz="4" w:space="0"/>
            </w:tcBorders>
            <w:noWrap w:val="0"/>
            <w:vAlign w:val="center"/>
          </w:tcPr>
          <w:p w14:paraId="15D2474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268A358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842" w:type="dxa"/>
            <w:tcBorders>
              <w:top w:val="nil"/>
              <w:left w:val="nil"/>
              <w:bottom w:val="single" w:color="auto" w:sz="4" w:space="0"/>
              <w:right w:val="single" w:color="auto" w:sz="4" w:space="0"/>
            </w:tcBorders>
            <w:noWrap w:val="0"/>
            <w:vAlign w:val="center"/>
          </w:tcPr>
          <w:p w14:paraId="3CBFD16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100≤X＜300</w:t>
            </w:r>
          </w:p>
        </w:tc>
        <w:tc>
          <w:tcPr>
            <w:tcW w:w="1701" w:type="dxa"/>
            <w:tcBorders>
              <w:top w:val="nil"/>
              <w:left w:val="nil"/>
              <w:bottom w:val="single" w:color="auto" w:sz="4" w:space="0"/>
              <w:right w:val="single" w:color="auto" w:sz="4" w:space="0"/>
            </w:tcBorders>
            <w:noWrap w:val="0"/>
            <w:vAlign w:val="center"/>
          </w:tcPr>
          <w:p w14:paraId="65F9721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4204786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w:t>
            </w:r>
          </w:p>
        </w:tc>
      </w:tr>
      <w:tr w14:paraId="4381ABE8">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56B46CB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color w:val="auto"/>
                <w:kern w:val="0"/>
                <w:sz w:val="21"/>
                <w:szCs w:val="21"/>
                <w:highlight w:val="none"/>
              </w:rPr>
            </w:pPr>
          </w:p>
        </w:tc>
        <w:tc>
          <w:tcPr>
            <w:tcW w:w="1984" w:type="dxa"/>
            <w:tcBorders>
              <w:top w:val="nil"/>
              <w:left w:val="nil"/>
              <w:bottom w:val="single" w:color="auto" w:sz="4" w:space="0"/>
              <w:right w:val="single" w:color="auto" w:sz="4" w:space="0"/>
            </w:tcBorders>
            <w:noWrap w:val="0"/>
            <w:vAlign w:val="center"/>
          </w:tcPr>
          <w:p w14:paraId="2FB5874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3F5B9AD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842" w:type="dxa"/>
            <w:tcBorders>
              <w:top w:val="nil"/>
              <w:left w:val="nil"/>
              <w:bottom w:val="single" w:color="auto" w:sz="4" w:space="0"/>
              <w:right w:val="single" w:color="auto" w:sz="4" w:space="0"/>
            </w:tcBorders>
            <w:noWrap w:val="0"/>
            <w:vAlign w:val="center"/>
          </w:tcPr>
          <w:p w14:paraId="6B060FC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1000≤Y＜10000</w:t>
            </w:r>
          </w:p>
        </w:tc>
        <w:tc>
          <w:tcPr>
            <w:tcW w:w="1701" w:type="dxa"/>
            <w:tcBorders>
              <w:top w:val="nil"/>
              <w:left w:val="nil"/>
              <w:bottom w:val="single" w:color="auto" w:sz="4" w:space="0"/>
              <w:right w:val="single" w:color="auto" w:sz="4" w:space="0"/>
            </w:tcBorders>
            <w:noWrap w:val="0"/>
            <w:vAlign w:val="center"/>
          </w:tcPr>
          <w:p w14:paraId="204EACE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50≤Y＜1000</w:t>
            </w:r>
          </w:p>
        </w:tc>
        <w:tc>
          <w:tcPr>
            <w:tcW w:w="1134" w:type="dxa"/>
            <w:tcBorders>
              <w:top w:val="nil"/>
              <w:left w:val="nil"/>
              <w:bottom w:val="single" w:color="auto" w:sz="4" w:space="0"/>
              <w:right w:val="single" w:color="auto" w:sz="4" w:space="0"/>
            </w:tcBorders>
            <w:noWrap w:val="0"/>
            <w:vAlign w:val="center"/>
          </w:tcPr>
          <w:p w14:paraId="47E197F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Y＜50</w:t>
            </w:r>
          </w:p>
        </w:tc>
      </w:tr>
      <w:tr w14:paraId="6D27EB27">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center"/>
          </w:tcPr>
          <w:p w14:paraId="6B56B02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房地产开发经营</w:t>
            </w:r>
          </w:p>
        </w:tc>
        <w:tc>
          <w:tcPr>
            <w:tcW w:w="1984" w:type="dxa"/>
            <w:tcBorders>
              <w:top w:val="nil"/>
              <w:left w:val="nil"/>
              <w:bottom w:val="single" w:color="auto" w:sz="4" w:space="0"/>
              <w:right w:val="single" w:color="auto" w:sz="4" w:space="0"/>
            </w:tcBorders>
            <w:noWrap w:val="0"/>
            <w:vAlign w:val="center"/>
          </w:tcPr>
          <w:p w14:paraId="3B0C7AA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08BAD4E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842" w:type="dxa"/>
            <w:tcBorders>
              <w:top w:val="nil"/>
              <w:left w:val="nil"/>
              <w:bottom w:val="single" w:color="auto" w:sz="4" w:space="0"/>
              <w:right w:val="single" w:color="auto" w:sz="4" w:space="0"/>
            </w:tcBorders>
            <w:noWrap w:val="0"/>
            <w:vAlign w:val="center"/>
          </w:tcPr>
          <w:p w14:paraId="3EA0898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1000≤Y＜200000</w:t>
            </w:r>
          </w:p>
        </w:tc>
        <w:tc>
          <w:tcPr>
            <w:tcW w:w="1701" w:type="dxa"/>
            <w:tcBorders>
              <w:top w:val="nil"/>
              <w:left w:val="nil"/>
              <w:bottom w:val="single" w:color="auto" w:sz="4" w:space="0"/>
              <w:right w:val="single" w:color="auto" w:sz="4" w:space="0"/>
            </w:tcBorders>
            <w:noWrap w:val="0"/>
            <w:vAlign w:val="center"/>
          </w:tcPr>
          <w:p w14:paraId="7772770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100≤X＜1000</w:t>
            </w:r>
          </w:p>
        </w:tc>
        <w:tc>
          <w:tcPr>
            <w:tcW w:w="1134" w:type="dxa"/>
            <w:tcBorders>
              <w:top w:val="nil"/>
              <w:left w:val="nil"/>
              <w:bottom w:val="single" w:color="auto" w:sz="4" w:space="0"/>
              <w:right w:val="single" w:color="auto" w:sz="4" w:space="0"/>
            </w:tcBorders>
            <w:noWrap w:val="0"/>
            <w:vAlign w:val="center"/>
          </w:tcPr>
          <w:p w14:paraId="1C7152B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X＜100</w:t>
            </w:r>
          </w:p>
        </w:tc>
      </w:tr>
      <w:tr w14:paraId="3F154F8F">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54D7989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color w:val="auto"/>
                <w:kern w:val="0"/>
                <w:sz w:val="21"/>
                <w:szCs w:val="21"/>
                <w:highlight w:val="none"/>
              </w:rPr>
            </w:pPr>
          </w:p>
        </w:tc>
        <w:tc>
          <w:tcPr>
            <w:tcW w:w="1984" w:type="dxa"/>
            <w:tcBorders>
              <w:top w:val="nil"/>
              <w:left w:val="nil"/>
              <w:bottom w:val="single" w:color="auto" w:sz="4" w:space="0"/>
              <w:right w:val="single" w:color="auto" w:sz="4" w:space="0"/>
            </w:tcBorders>
            <w:noWrap w:val="0"/>
            <w:vAlign w:val="center"/>
          </w:tcPr>
          <w:p w14:paraId="65D6A6B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资产总额（Z）</w:t>
            </w:r>
          </w:p>
        </w:tc>
        <w:tc>
          <w:tcPr>
            <w:tcW w:w="851" w:type="dxa"/>
            <w:tcBorders>
              <w:top w:val="nil"/>
              <w:left w:val="nil"/>
              <w:bottom w:val="single" w:color="auto" w:sz="4" w:space="0"/>
              <w:right w:val="single" w:color="auto" w:sz="4" w:space="0"/>
            </w:tcBorders>
            <w:noWrap w:val="0"/>
            <w:vAlign w:val="center"/>
          </w:tcPr>
          <w:p w14:paraId="443EF89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842" w:type="dxa"/>
            <w:tcBorders>
              <w:top w:val="nil"/>
              <w:left w:val="nil"/>
              <w:bottom w:val="single" w:color="auto" w:sz="4" w:space="0"/>
              <w:right w:val="single" w:color="auto" w:sz="4" w:space="0"/>
            </w:tcBorders>
            <w:noWrap w:val="0"/>
            <w:vAlign w:val="center"/>
          </w:tcPr>
          <w:p w14:paraId="40B18E2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5000≤Z＜10000</w:t>
            </w:r>
          </w:p>
        </w:tc>
        <w:tc>
          <w:tcPr>
            <w:tcW w:w="1701" w:type="dxa"/>
            <w:tcBorders>
              <w:top w:val="nil"/>
              <w:left w:val="nil"/>
              <w:bottom w:val="single" w:color="auto" w:sz="4" w:space="0"/>
              <w:right w:val="single" w:color="auto" w:sz="4" w:space="0"/>
            </w:tcBorders>
            <w:noWrap w:val="0"/>
            <w:vAlign w:val="center"/>
          </w:tcPr>
          <w:p w14:paraId="2B26F0F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2000≤Y＜5000</w:t>
            </w:r>
          </w:p>
        </w:tc>
        <w:tc>
          <w:tcPr>
            <w:tcW w:w="1134" w:type="dxa"/>
            <w:tcBorders>
              <w:top w:val="nil"/>
              <w:left w:val="nil"/>
              <w:bottom w:val="single" w:color="auto" w:sz="4" w:space="0"/>
              <w:right w:val="single" w:color="auto" w:sz="4" w:space="0"/>
            </w:tcBorders>
            <w:noWrap w:val="0"/>
            <w:vAlign w:val="center"/>
          </w:tcPr>
          <w:p w14:paraId="5295998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Y＜2000</w:t>
            </w:r>
          </w:p>
        </w:tc>
      </w:tr>
      <w:tr w14:paraId="3DCFDB7E">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center"/>
          </w:tcPr>
          <w:p w14:paraId="1D3D4A5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物业管理</w:t>
            </w:r>
          </w:p>
        </w:tc>
        <w:tc>
          <w:tcPr>
            <w:tcW w:w="1984" w:type="dxa"/>
            <w:tcBorders>
              <w:top w:val="nil"/>
              <w:left w:val="nil"/>
              <w:bottom w:val="single" w:color="auto" w:sz="4" w:space="0"/>
              <w:right w:val="single" w:color="auto" w:sz="4" w:space="0"/>
            </w:tcBorders>
            <w:noWrap w:val="0"/>
            <w:vAlign w:val="center"/>
          </w:tcPr>
          <w:p w14:paraId="49097BB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4EE5C3E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842" w:type="dxa"/>
            <w:tcBorders>
              <w:top w:val="nil"/>
              <w:left w:val="nil"/>
              <w:bottom w:val="single" w:color="auto" w:sz="4" w:space="0"/>
              <w:right w:val="single" w:color="auto" w:sz="4" w:space="0"/>
            </w:tcBorders>
            <w:noWrap w:val="0"/>
            <w:vAlign w:val="center"/>
          </w:tcPr>
          <w:p w14:paraId="64F016F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300≤X＜1000</w:t>
            </w:r>
          </w:p>
        </w:tc>
        <w:tc>
          <w:tcPr>
            <w:tcW w:w="1701" w:type="dxa"/>
            <w:tcBorders>
              <w:top w:val="nil"/>
              <w:left w:val="nil"/>
              <w:bottom w:val="single" w:color="auto" w:sz="4" w:space="0"/>
              <w:right w:val="single" w:color="auto" w:sz="4" w:space="0"/>
            </w:tcBorders>
            <w:noWrap w:val="0"/>
            <w:vAlign w:val="center"/>
          </w:tcPr>
          <w:p w14:paraId="0418ED5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100≤X＜300</w:t>
            </w:r>
          </w:p>
        </w:tc>
        <w:tc>
          <w:tcPr>
            <w:tcW w:w="1134" w:type="dxa"/>
            <w:tcBorders>
              <w:top w:val="nil"/>
              <w:left w:val="nil"/>
              <w:bottom w:val="single" w:color="auto" w:sz="4" w:space="0"/>
              <w:right w:val="single" w:color="auto" w:sz="4" w:space="0"/>
            </w:tcBorders>
            <w:noWrap w:val="0"/>
            <w:vAlign w:val="center"/>
          </w:tcPr>
          <w:p w14:paraId="18F9F96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X＜100</w:t>
            </w:r>
          </w:p>
        </w:tc>
      </w:tr>
      <w:tr w14:paraId="39BC6A31">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9F3E12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color w:val="auto"/>
                <w:kern w:val="0"/>
                <w:sz w:val="21"/>
                <w:szCs w:val="21"/>
                <w:highlight w:val="none"/>
              </w:rPr>
            </w:pPr>
          </w:p>
        </w:tc>
        <w:tc>
          <w:tcPr>
            <w:tcW w:w="1984" w:type="dxa"/>
            <w:tcBorders>
              <w:top w:val="nil"/>
              <w:left w:val="nil"/>
              <w:bottom w:val="single" w:color="auto" w:sz="4" w:space="0"/>
              <w:right w:val="single" w:color="auto" w:sz="4" w:space="0"/>
            </w:tcBorders>
            <w:noWrap w:val="0"/>
            <w:vAlign w:val="center"/>
          </w:tcPr>
          <w:p w14:paraId="290F27D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7FED2AE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842" w:type="dxa"/>
            <w:tcBorders>
              <w:top w:val="nil"/>
              <w:left w:val="nil"/>
              <w:bottom w:val="single" w:color="auto" w:sz="4" w:space="0"/>
              <w:right w:val="single" w:color="auto" w:sz="4" w:space="0"/>
            </w:tcBorders>
            <w:noWrap w:val="0"/>
            <w:vAlign w:val="center"/>
          </w:tcPr>
          <w:p w14:paraId="4E1D882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1000≤Y＜5000</w:t>
            </w:r>
          </w:p>
        </w:tc>
        <w:tc>
          <w:tcPr>
            <w:tcW w:w="1701" w:type="dxa"/>
            <w:tcBorders>
              <w:top w:val="nil"/>
              <w:left w:val="nil"/>
              <w:bottom w:val="single" w:color="auto" w:sz="4" w:space="0"/>
              <w:right w:val="single" w:color="auto" w:sz="4" w:space="0"/>
            </w:tcBorders>
            <w:noWrap w:val="0"/>
            <w:vAlign w:val="center"/>
          </w:tcPr>
          <w:p w14:paraId="7E0E72F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500≤Y＜1000</w:t>
            </w:r>
          </w:p>
        </w:tc>
        <w:tc>
          <w:tcPr>
            <w:tcW w:w="1134" w:type="dxa"/>
            <w:tcBorders>
              <w:top w:val="nil"/>
              <w:left w:val="nil"/>
              <w:bottom w:val="single" w:color="auto" w:sz="4" w:space="0"/>
              <w:right w:val="single" w:color="auto" w:sz="4" w:space="0"/>
            </w:tcBorders>
            <w:noWrap w:val="0"/>
            <w:vAlign w:val="center"/>
          </w:tcPr>
          <w:p w14:paraId="089AF4C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Y＜500</w:t>
            </w:r>
          </w:p>
        </w:tc>
      </w:tr>
      <w:tr w14:paraId="3C4C9C25">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center"/>
          </w:tcPr>
          <w:p w14:paraId="2611409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租赁和商务服务业</w:t>
            </w:r>
          </w:p>
        </w:tc>
        <w:tc>
          <w:tcPr>
            <w:tcW w:w="1984" w:type="dxa"/>
            <w:tcBorders>
              <w:top w:val="nil"/>
              <w:left w:val="nil"/>
              <w:bottom w:val="single" w:color="auto" w:sz="4" w:space="0"/>
              <w:right w:val="single" w:color="auto" w:sz="4" w:space="0"/>
            </w:tcBorders>
            <w:noWrap w:val="0"/>
            <w:vAlign w:val="center"/>
          </w:tcPr>
          <w:p w14:paraId="237A87D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0421938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842" w:type="dxa"/>
            <w:tcBorders>
              <w:top w:val="nil"/>
              <w:left w:val="nil"/>
              <w:bottom w:val="single" w:color="auto" w:sz="4" w:space="0"/>
              <w:right w:val="single" w:color="auto" w:sz="4" w:space="0"/>
            </w:tcBorders>
            <w:noWrap w:val="0"/>
            <w:vAlign w:val="center"/>
          </w:tcPr>
          <w:p w14:paraId="0E1BC7B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100≤X＜300</w:t>
            </w:r>
          </w:p>
        </w:tc>
        <w:tc>
          <w:tcPr>
            <w:tcW w:w="1701" w:type="dxa"/>
            <w:tcBorders>
              <w:top w:val="nil"/>
              <w:left w:val="nil"/>
              <w:bottom w:val="single" w:color="auto" w:sz="4" w:space="0"/>
              <w:right w:val="single" w:color="auto" w:sz="4" w:space="0"/>
            </w:tcBorders>
            <w:noWrap w:val="0"/>
            <w:vAlign w:val="center"/>
          </w:tcPr>
          <w:p w14:paraId="70096C4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1C9ECF5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w:t>
            </w:r>
          </w:p>
        </w:tc>
      </w:tr>
      <w:tr w14:paraId="13D246AF">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0677E05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color w:val="auto"/>
                <w:kern w:val="0"/>
                <w:sz w:val="21"/>
                <w:szCs w:val="21"/>
                <w:highlight w:val="none"/>
              </w:rPr>
            </w:pPr>
          </w:p>
        </w:tc>
        <w:tc>
          <w:tcPr>
            <w:tcW w:w="1984" w:type="dxa"/>
            <w:tcBorders>
              <w:top w:val="nil"/>
              <w:left w:val="nil"/>
              <w:bottom w:val="single" w:color="auto" w:sz="4" w:space="0"/>
              <w:right w:val="single" w:color="auto" w:sz="4" w:space="0"/>
            </w:tcBorders>
            <w:noWrap w:val="0"/>
            <w:vAlign w:val="center"/>
          </w:tcPr>
          <w:p w14:paraId="7B896BD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资产总额（Z）</w:t>
            </w:r>
          </w:p>
        </w:tc>
        <w:tc>
          <w:tcPr>
            <w:tcW w:w="851" w:type="dxa"/>
            <w:tcBorders>
              <w:top w:val="nil"/>
              <w:left w:val="nil"/>
              <w:bottom w:val="single" w:color="auto" w:sz="4" w:space="0"/>
              <w:right w:val="single" w:color="auto" w:sz="4" w:space="0"/>
            </w:tcBorders>
            <w:noWrap w:val="0"/>
            <w:vAlign w:val="center"/>
          </w:tcPr>
          <w:p w14:paraId="38EF05F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842" w:type="dxa"/>
            <w:tcBorders>
              <w:top w:val="nil"/>
              <w:left w:val="nil"/>
              <w:bottom w:val="single" w:color="auto" w:sz="4" w:space="0"/>
              <w:right w:val="single" w:color="auto" w:sz="4" w:space="0"/>
            </w:tcBorders>
            <w:noWrap w:val="0"/>
            <w:vAlign w:val="center"/>
          </w:tcPr>
          <w:p w14:paraId="6B2B9D8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8000≤Z＜120000</w:t>
            </w:r>
          </w:p>
        </w:tc>
        <w:tc>
          <w:tcPr>
            <w:tcW w:w="1701" w:type="dxa"/>
            <w:tcBorders>
              <w:top w:val="nil"/>
              <w:left w:val="nil"/>
              <w:bottom w:val="single" w:color="auto" w:sz="4" w:space="0"/>
              <w:right w:val="single" w:color="auto" w:sz="4" w:space="0"/>
            </w:tcBorders>
            <w:noWrap w:val="0"/>
            <w:vAlign w:val="center"/>
          </w:tcPr>
          <w:p w14:paraId="77B7B2E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100≤Z＜8000</w:t>
            </w:r>
          </w:p>
        </w:tc>
        <w:tc>
          <w:tcPr>
            <w:tcW w:w="1134" w:type="dxa"/>
            <w:tcBorders>
              <w:top w:val="nil"/>
              <w:left w:val="nil"/>
              <w:bottom w:val="single" w:color="auto" w:sz="4" w:space="0"/>
              <w:right w:val="single" w:color="auto" w:sz="4" w:space="0"/>
            </w:tcBorders>
            <w:noWrap w:val="0"/>
            <w:vAlign w:val="center"/>
          </w:tcPr>
          <w:p w14:paraId="4201961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w:t>
            </w:r>
          </w:p>
        </w:tc>
      </w:tr>
      <w:tr w14:paraId="6368137A">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noWrap w:val="0"/>
            <w:vAlign w:val="center"/>
          </w:tcPr>
          <w:p w14:paraId="540F4D3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其他未列明行业</w:t>
            </w:r>
          </w:p>
        </w:tc>
        <w:tc>
          <w:tcPr>
            <w:tcW w:w="1984" w:type="dxa"/>
            <w:tcBorders>
              <w:top w:val="nil"/>
              <w:left w:val="nil"/>
              <w:bottom w:val="single" w:color="auto" w:sz="4" w:space="0"/>
              <w:right w:val="single" w:color="auto" w:sz="4" w:space="0"/>
            </w:tcBorders>
            <w:noWrap w:val="0"/>
            <w:vAlign w:val="center"/>
          </w:tcPr>
          <w:p w14:paraId="3E7C274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1366033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842" w:type="dxa"/>
            <w:tcBorders>
              <w:top w:val="nil"/>
              <w:left w:val="nil"/>
              <w:bottom w:val="single" w:color="auto" w:sz="4" w:space="0"/>
              <w:right w:val="single" w:color="auto" w:sz="4" w:space="0"/>
            </w:tcBorders>
            <w:noWrap w:val="0"/>
            <w:vAlign w:val="center"/>
          </w:tcPr>
          <w:p w14:paraId="003CC97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100≤X＜300</w:t>
            </w:r>
          </w:p>
        </w:tc>
        <w:tc>
          <w:tcPr>
            <w:tcW w:w="1701" w:type="dxa"/>
            <w:tcBorders>
              <w:top w:val="nil"/>
              <w:left w:val="nil"/>
              <w:bottom w:val="single" w:color="auto" w:sz="4" w:space="0"/>
              <w:right w:val="single" w:color="auto" w:sz="4" w:space="0"/>
            </w:tcBorders>
            <w:noWrap w:val="0"/>
            <w:vAlign w:val="center"/>
          </w:tcPr>
          <w:p w14:paraId="2701E05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4F8D969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w:t>
            </w:r>
          </w:p>
        </w:tc>
      </w:tr>
    </w:tbl>
    <w:p w14:paraId="68AC6C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rPr>
      </w:pPr>
    </w:p>
    <w:p w14:paraId="033C2D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68E438A3">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29" w:name="_Toc12068"/>
      <w:r>
        <w:rPr>
          <w:rFonts w:hint="eastAsia" w:ascii="仿宋" w:hAnsi="仿宋" w:eastAsia="仿宋" w:cs="仿宋"/>
          <w:bCs/>
          <w:color w:val="auto"/>
          <w:sz w:val="32"/>
          <w:szCs w:val="32"/>
          <w:highlight w:val="none"/>
        </w:rPr>
        <w:t>第三章 供应商须知</w:t>
      </w:r>
      <w:bookmarkEnd w:id="29"/>
    </w:p>
    <w:p w14:paraId="5295970F">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仿宋"/>
          <w:b/>
          <w:bCs w:val="0"/>
          <w:color w:val="auto"/>
          <w:highlight w:val="none"/>
        </w:rPr>
      </w:pPr>
      <w:bookmarkStart w:id="30" w:name="_Toc21941"/>
      <w:r>
        <w:rPr>
          <w:rFonts w:hint="eastAsia" w:ascii="仿宋" w:hAnsi="仿宋" w:eastAsia="仿宋" w:cs="仿宋"/>
          <w:b/>
          <w:bCs w:val="0"/>
          <w:color w:val="auto"/>
          <w:highlight w:val="none"/>
        </w:rPr>
        <w:t>第一节 供应商须知前附表</w:t>
      </w:r>
      <w:bookmarkEnd w:id="30"/>
    </w:p>
    <w:p w14:paraId="08486D17">
      <w:pPr>
        <w:spacing w:line="400" w:lineRule="exact"/>
        <w:jc w:val="center"/>
        <w:rPr>
          <w:rFonts w:hint="eastAsia" w:ascii="仿宋" w:hAnsi="仿宋" w:eastAsia="仿宋" w:cs="仿宋"/>
          <w:b/>
          <w:color w:val="auto"/>
          <w:sz w:val="32"/>
          <w:szCs w:val="32"/>
          <w:highlight w:val="none"/>
        </w:rPr>
      </w:pPr>
    </w:p>
    <w:tbl>
      <w:tblPr>
        <w:tblStyle w:val="31"/>
        <w:tblW w:w="98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8"/>
        <w:gridCol w:w="2453"/>
        <w:gridCol w:w="6380"/>
      </w:tblGrid>
      <w:tr w14:paraId="1E715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1058" w:type="dxa"/>
            <w:noWrap w:val="0"/>
            <w:vAlign w:val="top"/>
          </w:tcPr>
          <w:p w14:paraId="281F69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条款号</w:t>
            </w:r>
          </w:p>
        </w:tc>
        <w:tc>
          <w:tcPr>
            <w:tcW w:w="2453" w:type="dxa"/>
            <w:noWrap w:val="0"/>
            <w:vAlign w:val="center"/>
          </w:tcPr>
          <w:p w14:paraId="6EA7A7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条款内容</w:t>
            </w:r>
          </w:p>
        </w:tc>
        <w:tc>
          <w:tcPr>
            <w:tcW w:w="6380" w:type="dxa"/>
            <w:noWrap w:val="0"/>
            <w:vAlign w:val="top"/>
          </w:tcPr>
          <w:p w14:paraId="092C62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具体要求</w:t>
            </w:r>
          </w:p>
        </w:tc>
      </w:tr>
      <w:tr w14:paraId="6D466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1058" w:type="dxa"/>
            <w:noWrap w:val="0"/>
            <w:vAlign w:val="top"/>
          </w:tcPr>
          <w:p w14:paraId="31F2F5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3.1</w:t>
            </w:r>
          </w:p>
        </w:tc>
        <w:tc>
          <w:tcPr>
            <w:tcW w:w="2453" w:type="dxa"/>
            <w:noWrap w:val="0"/>
            <w:vAlign w:val="center"/>
          </w:tcPr>
          <w:p w14:paraId="053311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供应商资格条件</w:t>
            </w:r>
          </w:p>
        </w:tc>
        <w:tc>
          <w:tcPr>
            <w:tcW w:w="6380" w:type="dxa"/>
            <w:noWrap w:val="0"/>
            <w:vAlign w:val="top"/>
          </w:tcPr>
          <w:p w14:paraId="57DA529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22"/>
                <w:szCs w:val="22"/>
                <w:highlight w:val="none"/>
                <w:lang w:eastAsia="zh-CN"/>
              </w:rPr>
            </w:pPr>
            <w:r>
              <w:rPr>
                <w:rFonts w:hint="eastAsia" w:ascii="仿宋" w:hAnsi="仿宋" w:eastAsia="仿宋" w:cs="仿宋"/>
                <w:color w:val="auto"/>
                <w:sz w:val="22"/>
                <w:szCs w:val="22"/>
                <w:highlight w:val="none"/>
              </w:rPr>
              <w:t>供应商资格条件要求详见公告</w:t>
            </w:r>
            <w:r>
              <w:rPr>
                <w:rFonts w:hint="eastAsia" w:ascii="仿宋" w:hAnsi="仿宋" w:eastAsia="仿宋" w:cs="仿宋"/>
                <w:color w:val="auto"/>
                <w:sz w:val="22"/>
                <w:szCs w:val="22"/>
                <w:highlight w:val="none"/>
                <w:lang w:eastAsia="zh-CN"/>
              </w:rPr>
              <w:t>。</w:t>
            </w:r>
          </w:p>
        </w:tc>
      </w:tr>
      <w:tr w14:paraId="2F54C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noWrap w:val="0"/>
            <w:vAlign w:val="center"/>
          </w:tcPr>
          <w:p w14:paraId="22BB1B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5.1</w:t>
            </w:r>
          </w:p>
        </w:tc>
        <w:tc>
          <w:tcPr>
            <w:tcW w:w="2453" w:type="dxa"/>
            <w:noWrap w:val="0"/>
            <w:vAlign w:val="center"/>
          </w:tcPr>
          <w:p w14:paraId="7EFC51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是否接受联合体竞标</w:t>
            </w:r>
          </w:p>
        </w:tc>
        <w:tc>
          <w:tcPr>
            <w:tcW w:w="6380" w:type="dxa"/>
            <w:noWrap w:val="0"/>
            <w:vAlign w:val="center"/>
          </w:tcPr>
          <w:p w14:paraId="613BF78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2"/>
                <w:szCs w:val="22"/>
                <w:highlight w:val="none"/>
              </w:rPr>
            </w:pPr>
            <w:bookmarkStart w:id="31" w:name="PO_3000001871_PM007_1"/>
            <w:r>
              <w:rPr>
                <w:rFonts w:hint="eastAsia" w:ascii="仿宋" w:hAnsi="仿宋" w:eastAsia="仿宋" w:cs="仿宋"/>
                <w:color w:val="auto"/>
                <w:sz w:val="22"/>
                <w:szCs w:val="22"/>
                <w:highlight w:val="none"/>
              </w:rPr>
              <w:t>不允许联合体竞标</w:t>
            </w:r>
            <w:bookmarkEnd w:id="31"/>
            <w:r>
              <w:rPr>
                <w:rFonts w:hint="eastAsia" w:ascii="仿宋" w:hAnsi="仿宋" w:eastAsia="仿宋" w:cs="仿宋"/>
                <w:color w:val="auto"/>
                <w:sz w:val="22"/>
                <w:szCs w:val="22"/>
                <w:highlight w:val="none"/>
              </w:rPr>
              <w:t>。</w:t>
            </w:r>
          </w:p>
        </w:tc>
      </w:tr>
      <w:tr w14:paraId="5CDD4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noWrap w:val="0"/>
            <w:vAlign w:val="center"/>
          </w:tcPr>
          <w:p w14:paraId="117697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5.2</w:t>
            </w:r>
          </w:p>
        </w:tc>
        <w:tc>
          <w:tcPr>
            <w:tcW w:w="2453" w:type="dxa"/>
            <w:noWrap w:val="0"/>
            <w:vAlign w:val="center"/>
          </w:tcPr>
          <w:p w14:paraId="66334E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联合体竞标要求</w:t>
            </w:r>
          </w:p>
        </w:tc>
        <w:tc>
          <w:tcPr>
            <w:tcW w:w="6380" w:type="dxa"/>
            <w:noWrap w:val="0"/>
            <w:vAlign w:val="center"/>
          </w:tcPr>
          <w:p w14:paraId="6B7CA3D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无</w:t>
            </w:r>
          </w:p>
        </w:tc>
      </w:tr>
      <w:tr w14:paraId="2E65B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noWrap w:val="0"/>
            <w:vAlign w:val="center"/>
          </w:tcPr>
          <w:p w14:paraId="11F0E3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6.1</w:t>
            </w:r>
          </w:p>
        </w:tc>
        <w:tc>
          <w:tcPr>
            <w:tcW w:w="2453" w:type="dxa"/>
            <w:noWrap w:val="0"/>
            <w:vAlign w:val="center"/>
          </w:tcPr>
          <w:p w14:paraId="5809DF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是否允许分包</w:t>
            </w:r>
          </w:p>
        </w:tc>
        <w:tc>
          <w:tcPr>
            <w:tcW w:w="6380" w:type="dxa"/>
            <w:noWrap w:val="0"/>
            <w:vAlign w:val="center"/>
          </w:tcPr>
          <w:p w14:paraId="2A086E50">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不允许分包</w:t>
            </w:r>
          </w:p>
          <w:p w14:paraId="09826A62">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允许分包</w:t>
            </w:r>
          </w:p>
          <w:p w14:paraId="6F162F51">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分包内容：</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none"/>
              </w:rPr>
              <w:t>。</w:t>
            </w:r>
          </w:p>
          <w:p w14:paraId="2BC4B56F">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分包金额或者比例：</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none"/>
              </w:rPr>
              <w:t>。</w:t>
            </w:r>
          </w:p>
        </w:tc>
      </w:tr>
      <w:tr w14:paraId="346A2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noWrap w:val="0"/>
            <w:vAlign w:val="center"/>
          </w:tcPr>
          <w:p w14:paraId="4A0116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12</w:t>
            </w:r>
          </w:p>
        </w:tc>
        <w:tc>
          <w:tcPr>
            <w:tcW w:w="2453" w:type="dxa"/>
            <w:noWrap w:val="0"/>
            <w:vAlign w:val="center"/>
          </w:tcPr>
          <w:p w14:paraId="5106F6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响应文件的组成</w:t>
            </w:r>
          </w:p>
        </w:tc>
        <w:tc>
          <w:tcPr>
            <w:tcW w:w="6380" w:type="dxa"/>
            <w:noWrap w:val="0"/>
            <w:vAlign w:val="center"/>
          </w:tcPr>
          <w:p w14:paraId="100E719F">
            <w:pPr>
              <w:pStyle w:val="12"/>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响应</w:t>
            </w:r>
            <w:r>
              <w:rPr>
                <w:rFonts w:hint="eastAsia" w:ascii="仿宋" w:hAnsi="仿宋" w:eastAsia="仿宋" w:cs="仿宋"/>
                <w:color w:val="auto"/>
                <w:sz w:val="22"/>
                <w:szCs w:val="22"/>
                <w:highlight w:val="none"/>
              </w:rPr>
              <w:t>文件应按报价文件、资格证明文件、商务文件、技术文件分别编制，报价文件、资格证明文件分别生成电子文件，商务文件和技术文件按顺序合并生成电子文件。</w:t>
            </w:r>
          </w:p>
          <w:p w14:paraId="0711632D">
            <w:pPr>
              <w:pStyle w:val="12"/>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仿宋" w:hAnsi="仿宋" w:eastAsia="仿宋" w:cs="仿宋"/>
                <w:b/>
                <w:color w:val="auto"/>
                <w:sz w:val="22"/>
                <w:szCs w:val="22"/>
                <w:highlight w:val="none"/>
                <w:lang w:val="en-US" w:eastAsia="zh-CN"/>
              </w:rPr>
            </w:pPr>
            <w:r>
              <w:rPr>
                <w:rFonts w:hint="eastAsia" w:ascii="仿宋" w:hAnsi="仿宋" w:eastAsia="仿宋" w:cs="仿宋"/>
                <w:color w:val="auto"/>
                <w:sz w:val="22"/>
                <w:szCs w:val="22"/>
                <w:highlight w:val="none"/>
              </w:rPr>
              <w:t>纸质投标文件：</w:t>
            </w:r>
            <w:r>
              <w:rPr>
                <w:rFonts w:hint="eastAsia" w:ascii="仿宋" w:hAnsi="仿宋" w:eastAsia="仿宋" w:cs="仿宋"/>
                <w:color w:val="auto"/>
                <w:sz w:val="22"/>
                <w:szCs w:val="22"/>
                <w:highlight w:val="none"/>
                <w:lang w:val="en-US" w:eastAsia="zh-CN"/>
              </w:rPr>
              <w:t>成交供应商</w:t>
            </w:r>
            <w:r>
              <w:rPr>
                <w:rFonts w:hint="eastAsia" w:ascii="仿宋" w:hAnsi="仿宋" w:eastAsia="仿宋" w:cs="仿宋"/>
                <w:color w:val="auto"/>
                <w:sz w:val="22"/>
                <w:szCs w:val="22"/>
                <w:highlight w:val="none"/>
              </w:rPr>
              <w:t>在</w:t>
            </w:r>
            <w:r>
              <w:rPr>
                <w:rFonts w:hint="eastAsia" w:ascii="仿宋" w:hAnsi="仿宋" w:eastAsia="仿宋" w:cs="仿宋"/>
                <w:color w:val="auto"/>
                <w:sz w:val="22"/>
                <w:szCs w:val="22"/>
                <w:highlight w:val="none"/>
                <w:lang w:val="en-US" w:eastAsia="zh-CN"/>
              </w:rPr>
              <w:t>成交</w:t>
            </w:r>
            <w:r>
              <w:rPr>
                <w:rFonts w:hint="eastAsia" w:ascii="仿宋" w:hAnsi="仿宋" w:eastAsia="仿宋" w:cs="仿宋"/>
                <w:color w:val="auto"/>
                <w:sz w:val="22"/>
                <w:szCs w:val="22"/>
                <w:highlight w:val="none"/>
              </w:rPr>
              <w:t>通知书发出后5天内须提交 2套纸质版投标文件（含报价文件、资格证明文件、商务文件、技术文件。按要求加盖公章）给</w:t>
            </w:r>
            <w:r>
              <w:rPr>
                <w:rFonts w:hint="eastAsia" w:ascii="仿宋" w:hAnsi="仿宋" w:eastAsia="仿宋" w:cs="仿宋"/>
                <w:color w:val="auto"/>
                <w:sz w:val="22"/>
                <w:szCs w:val="22"/>
                <w:highlight w:val="none"/>
                <w:lang w:val="en-US" w:eastAsia="zh-CN"/>
              </w:rPr>
              <w:t>采购</w:t>
            </w:r>
            <w:r>
              <w:rPr>
                <w:rFonts w:hint="eastAsia" w:ascii="仿宋" w:hAnsi="仿宋" w:eastAsia="仿宋" w:cs="仿宋"/>
                <w:color w:val="auto"/>
                <w:sz w:val="22"/>
                <w:szCs w:val="22"/>
                <w:highlight w:val="none"/>
              </w:rPr>
              <w:t>代理机构，一正一副。提交的纸质版</w:t>
            </w:r>
            <w:r>
              <w:rPr>
                <w:rFonts w:hint="eastAsia" w:ascii="仿宋" w:hAnsi="仿宋" w:eastAsia="仿宋" w:cs="仿宋"/>
                <w:color w:val="auto"/>
                <w:sz w:val="22"/>
                <w:szCs w:val="22"/>
                <w:highlight w:val="none"/>
                <w:lang w:val="en-US" w:eastAsia="zh-CN"/>
              </w:rPr>
              <w:t>响应</w:t>
            </w:r>
            <w:r>
              <w:rPr>
                <w:rFonts w:hint="eastAsia" w:ascii="仿宋" w:hAnsi="仿宋" w:eastAsia="仿宋" w:cs="仿宋"/>
                <w:color w:val="auto"/>
                <w:sz w:val="22"/>
                <w:szCs w:val="22"/>
                <w:highlight w:val="none"/>
              </w:rPr>
              <w:t>文件文本必须与其上传到政采云系统的电子</w:t>
            </w:r>
            <w:r>
              <w:rPr>
                <w:rFonts w:hint="eastAsia" w:ascii="仿宋" w:hAnsi="仿宋" w:eastAsia="仿宋" w:cs="仿宋"/>
                <w:color w:val="auto"/>
                <w:sz w:val="22"/>
                <w:szCs w:val="22"/>
                <w:highlight w:val="none"/>
                <w:lang w:val="en-US" w:eastAsia="zh-CN"/>
              </w:rPr>
              <w:t>响应</w:t>
            </w:r>
            <w:r>
              <w:rPr>
                <w:rFonts w:hint="eastAsia" w:ascii="仿宋" w:hAnsi="仿宋" w:eastAsia="仿宋" w:cs="仿宋"/>
                <w:color w:val="auto"/>
                <w:sz w:val="22"/>
                <w:szCs w:val="22"/>
                <w:highlight w:val="none"/>
              </w:rPr>
              <w:t>文件内容一致，不允许有篡改。如项目验收时因所提供的纸质</w:t>
            </w:r>
            <w:r>
              <w:rPr>
                <w:rFonts w:hint="eastAsia" w:ascii="仿宋" w:hAnsi="仿宋" w:eastAsia="仿宋" w:cs="仿宋"/>
                <w:color w:val="auto"/>
                <w:sz w:val="22"/>
                <w:szCs w:val="22"/>
                <w:highlight w:val="none"/>
                <w:lang w:val="en-US" w:eastAsia="zh-CN"/>
              </w:rPr>
              <w:t>响应</w:t>
            </w:r>
            <w:r>
              <w:rPr>
                <w:rFonts w:hint="eastAsia" w:ascii="仿宋" w:hAnsi="仿宋" w:eastAsia="仿宋" w:cs="仿宋"/>
                <w:color w:val="auto"/>
                <w:sz w:val="22"/>
                <w:szCs w:val="22"/>
                <w:highlight w:val="none"/>
              </w:rPr>
              <w:t>文件与评标的</w:t>
            </w:r>
            <w:r>
              <w:rPr>
                <w:rFonts w:hint="eastAsia" w:ascii="仿宋" w:hAnsi="仿宋" w:eastAsia="仿宋" w:cs="仿宋"/>
                <w:color w:val="auto"/>
                <w:sz w:val="22"/>
                <w:szCs w:val="22"/>
                <w:highlight w:val="none"/>
                <w:lang w:val="en-US" w:eastAsia="zh-CN"/>
              </w:rPr>
              <w:t>响应</w:t>
            </w:r>
            <w:r>
              <w:rPr>
                <w:rFonts w:hint="eastAsia" w:ascii="仿宋" w:hAnsi="仿宋" w:eastAsia="仿宋" w:cs="仿宋"/>
                <w:color w:val="auto"/>
                <w:sz w:val="22"/>
                <w:szCs w:val="22"/>
                <w:highlight w:val="none"/>
              </w:rPr>
              <w:t>文件不一致造成纠纷时，所有责任由</w:t>
            </w:r>
            <w:r>
              <w:rPr>
                <w:rFonts w:hint="eastAsia" w:ascii="仿宋" w:hAnsi="仿宋" w:eastAsia="仿宋" w:cs="仿宋"/>
                <w:color w:val="auto"/>
                <w:sz w:val="22"/>
                <w:szCs w:val="22"/>
                <w:highlight w:val="none"/>
                <w:lang w:val="en-US" w:eastAsia="zh-CN"/>
              </w:rPr>
              <w:t>成交供应商</w:t>
            </w:r>
            <w:r>
              <w:rPr>
                <w:rFonts w:hint="eastAsia" w:ascii="仿宋" w:hAnsi="仿宋" w:eastAsia="仿宋" w:cs="仿宋"/>
                <w:color w:val="auto"/>
                <w:sz w:val="22"/>
                <w:szCs w:val="22"/>
                <w:highlight w:val="none"/>
              </w:rPr>
              <w:t>承担。</w:t>
            </w:r>
          </w:p>
        </w:tc>
      </w:tr>
      <w:tr w14:paraId="2F179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noWrap w:val="0"/>
            <w:vAlign w:val="center"/>
          </w:tcPr>
          <w:p w14:paraId="364E9A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12.1.1</w:t>
            </w:r>
          </w:p>
        </w:tc>
        <w:tc>
          <w:tcPr>
            <w:tcW w:w="2453" w:type="dxa"/>
            <w:noWrap w:val="0"/>
            <w:vAlign w:val="center"/>
          </w:tcPr>
          <w:p w14:paraId="42B98E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资格证明文件组成</w:t>
            </w:r>
          </w:p>
        </w:tc>
        <w:tc>
          <w:tcPr>
            <w:tcW w:w="6380" w:type="dxa"/>
            <w:noWrap w:val="0"/>
            <w:vAlign w:val="center"/>
          </w:tcPr>
          <w:p w14:paraId="250FFF7D">
            <w:pPr>
              <w:keepNext w:val="0"/>
              <w:keepLines w:val="0"/>
              <w:pageBreakBefore w:val="0"/>
              <w:widowControl w:val="0"/>
              <w:kinsoku/>
              <w:wordWrap/>
              <w:overflowPunct/>
              <w:topLinePunct w:val="0"/>
              <w:autoSpaceDE/>
              <w:autoSpaceDN/>
              <w:bidi w:val="0"/>
              <w:adjustRightInd/>
              <w:spacing w:line="400" w:lineRule="exact"/>
              <w:ind w:left="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投标人营业执照。投标人为独立法人或者属于银行、保险、石油石化、电力、电信等有行业特殊情况的分公司或者其他组织的，提供营业执照等证明文件（如营业执照或者事业单位法人证书或者执业许可证等，分公司参加投标的还须提供总公司的有关文件或制度等能证明总公司授权其独立开展业务或提供总公司出具的授权其参与本项目投标的授权文件），投标人为自然人的，提供身份证复印件；</w:t>
            </w:r>
            <w:r>
              <w:rPr>
                <w:rFonts w:hint="eastAsia" w:ascii="仿宋" w:hAnsi="仿宋" w:eastAsia="仿宋" w:cs="仿宋"/>
                <w:b/>
                <w:bCs/>
                <w:color w:val="auto"/>
                <w:sz w:val="22"/>
                <w:szCs w:val="22"/>
                <w:highlight w:val="none"/>
              </w:rPr>
              <w:t>（必须提供，否则响应文件按无效响应处理）</w:t>
            </w:r>
          </w:p>
          <w:p w14:paraId="2C905FA0">
            <w:pPr>
              <w:keepNext w:val="0"/>
              <w:keepLines w:val="0"/>
              <w:pageBreakBefore w:val="0"/>
              <w:widowControl w:val="0"/>
              <w:kinsoku/>
              <w:wordWrap/>
              <w:overflowPunct/>
              <w:topLinePunct w:val="0"/>
              <w:autoSpaceDE/>
              <w:autoSpaceDN/>
              <w:bidi w:val="0"/>
              <w:adjustRightInd/>
              <w:snapToGrid w:val="0"/>
              <w:spacing w:line="400" w:lineRule="exact"/>
              <w:ind w:left="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供应商依法缴纳税收的相关材料</w:t>
            </w:r>
            <w:r>
              <w:rPr>
                <w:rFonts w:hint="eastAsia" w:ascii="仿宋" w:hAnsi="仿宋" w:eastAsia="仿宋" w:cs="仿宋"/>
                <w:color w:val="auto"/>
                <w:sz w:val="22"/>
                <w:szCs w:val="22"/>
                <w:highlight w:val="none"/>
                <w:lang w:val="en-US" w:eastAsia="zh-CN"/>
              </w:rPr>
              <w:t>[响应文件递交截止时间前半年内任意一</w:t>
            </w:r>
            <w:r>
              <w:rPr>
                <w:rFonts w:hint="eastAsia" w:ascii="仿宋" w:hAnsi="仿宋" w:eastAsia="仿宋" w:cs="仿宋"/>
                <w:color w:val="auto"/>
                <w:sz w:val="22"/>
                <w:szCs w:val="22"/>
                <w:highlight w:val="none"/>
              </w:rPr>
              <w:t>个月的依法缴纳税收的凭据复印件；依法免税的供应商，必须提供相应文件证明其依法免税。从取得营业执照时间起到响应文件提交截止时间为止不足要求月数的，只需提供从取得营业执照起的依法缴纳税收相应证明文件</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w:t>
            </w:r>
            <w:r>
              <w:rPr>
                <w:rFonts w:hint="eastAsia" w:ascii="仿宋" w:hAnsi="仿宋" w:eastAsia="仿宋" w:cs="仿宋"/>
                <w:b/>
                <w:bCs/>
                <w:color w:val="auto"/>
                <w:sz w:val="22"/>
                <w:szCs w:val="22"/>
                <w:highlight w:val="none"/>
              </w:rPr>
              <w:t>（必须提供，否则响应文件按无效响应处理）</w:t>
            </w:r>
          </w:p>
          <w:p w14:paraId="2FACB699">
            <w:pPr>
              <w:keepNext w:val="0"/>
              <w:keepLines w:val="0"/>
              <w:pageBreakBefore w:val="0"/>
              <w:widowControl w:val="0"/>
              <w:kinsoku/>
              <w:wordWrap/>
              <w:overflowPunct/>
              <w:topLinePunct w:val="0"/>
              <w:autoSpaceDE/>
              <w:autoSpaceDN/>
              <w:bidi w:val="0"/>
              <w:adjustRightInd/>
              <w:snapToGrid w:val="0"/>
              <w:spacing w:line="400" w:lineRule="exact"/>
              <w:ind w:left="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供应商依法缴纳社会保障资金的相关材料</w:t>
            </w:r>
            <w:r>
              <w:rPr>
                <w:rFonts w:hint="eastAsia" w:ascii="仿宋" w:hAnsi="仿宋" w:eastAsia="仿宋" w:cs="仿宋"/>
                <w:color w:val="auto"/>
                <w:sz w:val="22"/>
                <w:szCs w:val="22"/>
                <w:highlight w:val="none"/>
                <w:lang w:val="en-US" w:eastAsia="zh-CN"/>
              </w:rPr>
              <w:t>[响应文件递交截止时间前半年内任意一</w:t>
            </w:r>
            <w:r>
              <w:rPr>
                <w:rFonts w:hint="eastAsia" w:ascii="仿宋" w:hAnsi="仿宋" w:eastAsia="仿宋" w:cs="仿宋"/>
                <w:color w:val="auto"/>
                <w:sz w:val="22"/>
                <w:szCs w:val="22"/>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仿宋" w:hAnsi="仿宋" w:eastAsia="仿宋" w:cs="仿宋"/>
                <w:b/>
                <w:bCs/>
                <w:color w:val="auto"/>
                <w:sz w:val="22"/>
                <w:szCs w:val="22"/>
                <w:highlight w:val="none"/>
              </w:rPr>
              <w:t>（必须提供，否则响应文件按无效响应处理）</w:t>
            </w:r>
          </w:p>
          <w:p w14:paraId="3FC06BE5">
            <w:pPr>
              <w:keepNext w:val="0"/>
              <w:keepLines w:val="0"/>
              <w:pageBreakBefore w:val="0"/>
              <w:widowControl w:val="0"/>
              <w:kinsoku/>
              <w:wordWrap/>
              <w:overflowPunct/>
              <w:topLinePunct w:val="0"/>
              <w:autoSpaceDE/>
              <w:autoSpaceDN/>
              <w:bidi w:val="0"/>
              <w:adjustRightInd/>
              <w:snapToGrid w:val="0"/>
              <w:spacing w:line="400" w:lineRule="exact"/>
              <w:ind w:left="0"/>
              <w:jc w:val="left"/>
              <w:textAlignment w:val="auto"/>
              <w:rPr>
                <w:rFonts w:hint="eastAsia" w:ascii="仿宋" w:hAnsi="仿宋" w:eastAsia="仿宋" w:cs="仿宋"/>
                <w:b/>
                <w:bCs/>
                <w:color w:val="auto"/>
                <w:sz w:val="22"/>
                <w:szCs w:val="22"/>
                <w:highlight w:val="none"/>
              </w:rPr>
            </w:pPr>
            <w:bookmarkStart w:id="74" w:name="_GoBack"/>
            <w:bookmarkEnd w:id="74"/>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供应商财务状况报告[</w:t>
            </w:r>
            <w:r>
              <w:rPr>
                <w:rFonts w:hint="eastAsia" w:ascii="仿宋" w:hAnsi="仿宋" w:eastAsia="仿宋" w:cs="仿宋"/>
                <w:color w:val="auto"/>
                <w:sz w:val="22"/>
                <w:szCs w:val="22"/>
                <w:highlight w:val="none"/>
                <w:u w:val="single"/>
                <w:lang w:val="en-US" w:eastAsia="zh-CN"/>
              </w:rPr>
              <w:t>2023</w:t>
            </w:r>
            <w:r>
              <w:rPr>
                <w:rFonts w:hint="eastAsia" w:ascii="仿宋" w:hAnsi="仿宋" w:eastAsia="仿宋" w:cs="仿宋"/>
                <w:color w:val="auto"/>
                <w:sz w:val="22"/>
                <w:szCs w:val="22"/>
                <w:highlight w:val="none"/>
                <w:lang w:val="en-US" w:eastAsia="zh-CN"/>
              </w:rPr>
              <w:t>年</w:t>
            </w:r>
            <w:r>
              <w:rPr>
                <w:rFonts w:hint="eastAsia" w:ascii="仿宋" w:hAnsi="仿宋" w:eastAsia="仿宋" w:cs="仿宋"/>
                <w:color w:val="auto"/>
                <w:sz w:val="22"/>
                <w:szCs w:val="22"/>
                <w:highlight w:val="none"/>
              </w:rPr>
              <w:t>财务状况报告复印件，应提供经审计的财务报告（含第三方审计机构评估的财务报告），或是供应商本单位出具的财务报表</w:t>
            </w:r>
            <w:r>
              <w:rPr>
                <w:rFonts w:hint="eastAsia" w:ascii="仿宋" w:hAnsi="仿宋" w:eastAsia="仿宋" w:cs="仿宋"/>
                <w:b/>
                <w:bCs/>
                <w:color w:val="auto"/>
                <w:sz w:val="22"/>
                <w:szCs w:val="22"/>
                <w:highlight w:val="none"/>
              </w:rPr>
              <w:t>（至少包含资产负债表、利润表、现金流量表）</w:t>
            </w:r>
            <w:r>
              <w:rPr>
                <w:rFonts w:hint="eastAsia" w:ascii="仿宋" w:hAnsi="仿宋" w:eastAsia="仿宋" w:cs="仿宋"/>
                <w:color w:val="auto"/>
                <w:sz w:val="22"/>
                <w:szCs w:val="22"/>
                <w:highlight w:val="none"/>
                <w:lang w:val="en-US" w:eastAsia="zh-CN"/>
              </w:rPr>
              <w:t>复印件</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2024年</w:t>
            </w:r>
            <w:r>
              <w:rPr>
                <w:rFonts w:hint="eastAsia" w:ascii="仿宋" w:hAnsi="仿宋" w:eastAsia="仿宋" w:cs="仿宋"/>
                <w:color w:val="auto"/>
                <w:sz w:val="22"/>
                <w:szCs w:val="22"/>
                <w:highlight w:val="none"/>
                <w:lang w:eastAsia="zh-CN"/>
              </w:rPr>
              <w:t>新成立的公司应提供公司成立日之后次月起到响应文件递交截止前一个月的财务报表复印件），</w:t>
            </w:r>
            <w:r>
              <w:rPr>
                <w:rFonts w:hint="eastAsia" w:ascii="仿宋" w:hAnsi="仿宋" w:eastAsia="仿宋" w:cs="仿宋"/>
                <w:color w:val="auto"/>
                <w:sz w:val="22"/>
                <w:szCs w:val="22"/>
                <w:highlight w:val="none"/>
              </w:rPr>
              <w:t>或者其基本开户银行出具的资信证明]</w:t>
            </w:r>
            <w:r>
              <w:rPr>
                <w:rFonts w:hint="eastAsia" w:ascii="仿宋" w:hAnsi="仿宋" w:eastAsia="仿宋" w:cs="仿宋"/>
                <w:color w:val="auto"/>
                <w:sz w:val="22"/>
                <w:szCs w:val="22"/>
                <w:highlight w:val="none"/>
                <w:lang w:eastAsia="zh-CN"/>
              </w:rPr>
              <w:t>；</w:t>
            </w:r>
            <w:r>
              <w:rPr>
                <w:rFonts w:hint="eastAsia" w:ascii="仿宋" w:hAnsi="仿宋" w:eastAsia="仿宋" w:cs="仿宋"/>
                <w:b/>
                <w:bCs/>
                <w:color w:val="auto"/>
                <w:sz w:val="22"/>
                <w:szCs w:val="22"/>
                <w:highlight w:val="none"/>
              </w:rPr>
              <w:t>（必须提供，否则响应文件按无效响应处理）</w:t>
            </w:r>
          </w:p>
          <w:p w14:paraId="5D826A80">
            <w:pPr>
              <w:keepNext w:val="0"/>
              <w:keepLines w:val="0"/>
              <w:pageBreakBefore w:val="0"/>
              <w:widowControl w:val="0"/>
              <w:kinsoku/>
              <w:wordWrap/>
              <w:overflowPunct/>
              <w:topLinePunct w:val="0"/>
              <w:autoSpaceDE/>
              <w:autoSpaceDN/>
              <w:bidi w:val="0"/>
              <w:adjustRightInd/>
              <w:snapToGrid w:val="0"/>
              <w:spacing w:line="400" w:lineRule="exact"/>
              <w:ind w:left="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.供应商直接控股、管理关系信息表；</w:t>
            </w:r>
            <w:r>
              <w:rPr>
                <w:rFonts w:hint="eastAsia" w:ascii="仿宋" w:hAnsi="仿宋" w:eastAsia="仿宋" w:cs="仿宋"/>
                <w:b/>
                <w:bCs/>
                <w:color w:val="auto"/>
                <w:sz w:val="22"/>
                <w:szCs w:val="22"/>
                <w:highlight w:val="none"/>
              </w:rPr>
              <w:t>（必须提供，否则响应文件按无效响应处理）</w:t>
            </w:r>
          </w:p>
          <w:p w14:paraId="7DEC4FA3">
            <w:pPr>
              <w:keepNext w:val="0"/>
              <w:keepLines w:val="0"/>
              <w:pageBreakBefore w:val="0"/>
              <w:widowControl w:val="0"/>
              <w:kinsoku/>
              <w:wordWrap/>
              <w:overflowPunct/>
              <w:topLinePunct w:val="0"/>
              <w:autoSpaceDE/>
              <w:autoSpaceDN/>
              <w:bidi w:val="0"/>
              <w:adjustRightInd/>
              <w:snapToGrid w:val="0"/>
              <w:spacing w:line="400" w:lineRule="exact"/>
              <w:ind w:left="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6</w:t>
            </w:r>
            <w:r>
              <w:rPr>
                <w:rFonts w:hint="eastAsia" w:ascii="仿宋" w:hAnsi="仿宋" w:eastAsia="仿宋" w:cs="仿宋"/>
                <w:color w:val="auto"/>
                <w:sz w:val="22"/>
                <w:szCs w:val="22"/>
                <w:highlight w:val="none"/>
              </w:rPr>
              <w:t>.资格声明；</w:t>
            </w:r>
            <w:r>
              <w:rPr>
                <w:rFonts w:hint="eastAsia" w:ascii="仿宋" w:hAnsi="仿宋" w:eastAsia="仿宋" w:cs="仿宋"/>
                <w:b/>
                <w:bCs/>
                <w:color w:val="auto"/>
                <w:sz w:val="22"/>
                <w:szCs w:val="22"/>
                <w:highlight w:val="none"/>
              </w:rPr>
              <w:t>（必须提供，否则响应文件按无效响应处理）</w:t>
            </w:r>
          </w:p>
          <w:p w14:paraId="46763D3E">
            <w:pPr>
              <w:keepNext w:val="0"/>
              <w:keepLines w:val="0"/>
              <w:pageBreakBefore w:val="0"/>
              <w:widowControl w:val="0"/>
              <w:kinsoku/>
              <w:wordWrap/>
              <w:overflowPunct/>
              <w:topLinePunct w:val="0"/>
              <w:bidi w:val="0"/>
              <w:adjustRightInd/>
              <w:snapToGrid w:val="0"/>
              <w:spacing w:line="400" w:lineRule="exact"/>
              <w:jc w:val="left"/>
              <w:rPr>
                <w:rFonts w:hint="eastAsia" w:ascii="仿宋" w:hAnsi="仿宋" w:eastAsia="仿宋" w:cs="仿宋"/>
                <w:b/>
                <w:bCs/>
                <w:color w:val="auto"/>
                <w:sz w:val="22"/>
                <w:szCs w:val="22"/>
                <w:highlight w:val="none"/>
                <w:lang w:val="en-US" w:eastAsia="zh-CN"/>
              </w:rPr>
            </w:pPr>
            <w:r>
              <w:rPr>
                <w:rFonts w:hint="eastAsia" w:ascii="仿宋" w:hAnsi="仿宋" w:eastAsia="仿宋" w:cs="仿宋"/>
                <w:color w:val="auto"/>
                <w:sz w:val="22"/>
                <w:szCs w:val="22"/>
                <w:highlight w:val="none"/>
                <w:lang w:val="en-US" w:eastAsia="zh-CN"/>
              </w:rPr>
              <w:t>7</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供应商为中小企业/小微企业的声明函；</w:t>
            </w:r>
            <w:r>
              <w:rPr>
                <w:rFonts w:hint="eastAsia" w:ascii="仿宋" w:hAnsi="仿宋" w:eastAsia="仿宋" w:cs="仿宋"/>
                <w:b/>
                <w:bCs/>
                <w:color w:val="auto"/>
                <w:sz w:val="22"/>
                <w:szCs w:val="22"/>
                <w:highlight w:val="none"/>
                <w:lang w:val="en-US" w:eastAsia="zh-CN"/>
              </w:rPr>
              <w:t>（如有，如提供格式请以采购文件要求为准）</w:t>
            </w:r>
          </w:p>
          <w:p w14:paraId="67D0D65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8</w:t>
            </w:r>
            <w:r>
              <w:rPr>
                <w:rFonts w:hint="eastAsia" w:ascii="仿宋" w:hAnsi="仿宋" w:eastAsia="仿宋" w:cs="仿宋"/>
                <w:color w:val="auto"/>
                <w:sz w:val="22"/>
                <w:szCs w:val="22"/>
                <w:highlight w:val="none"/>
              </w:rPr>
              <w:t>.除谈判文件规定必须提供以外，供应商认为需要提供的其他证明材料；</w:t>
            </w:r>
            <w:r>
              <w:rPr>
                <w:rFonts w:hint="eastAsia" w:ascii="仿宋" w:hAnsi="仿宋" w:eastAsia="仿宋" w:cs="仿宋"/>
                <w:b/>
                <w:bCs/>
                <w:color w:val="auto"/>
                <w:sz w:val="22"/>
                <w:szCs w:val="22"/>
                <w:highlight w:val="none"/>
              </w:rPr>
              <w:t>（如有请提供）</w:t>
            </w:r>
          </w:p>
          <w:p w14:paraId="2DC0D26E">
            <w:pPr>
              <w:keepNext w:val="0"/>
              <w:keepLines w:val="0"/>
              <w:pageBreakBefore w:val="0"/>
              <w:widowControl w:val="0"/>
              <w:kinsoku/>
              <w:wordWrap/>
              <w:overflowPunct/>
              <w:topLinePunct w:val="0"/>
              <w:autoSpaceDE/>
              <w:autoSpaceDN/>
              <w:bidi w:val="0"/>
              <w:adjustRightInd/>
              <w:snapToGrid/>
              <w:spacing w:line="400" w:lineRule="exact"/>
              <w:ind w:firstLine="433" w:firstLineChars="196"/>
              <w:jc w:val="left"/>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注：以上标明“必须提供”的材料属于复印件</w:t>
            </w:r>
            <w:r>
              <w:rPr>
                <w:rFonts w:hint="eastAsia" w:ascii="仿宋" w:hAnsi="仿宋" w:eastAsia="仿宋" w:cs="仿宋"/>
                <w:b/>
                <w:color w:val="auto"/>
                <w:sz w:val="22"/>
                <w:szCs w:val="22"/>
                <w:highlight w:val="none"/>
                <w:lang w:val="en-US" w:eastAsia="zh-CN"/>
              </w:rPr>
              <w:t>或</w:t>
            </w:r>
            <w:r>
              <w:rPr>
                <w:rFonts w:hint="eastAsia" w:ascii="仿宋" w:hAnsi="仿宋" w:eastAsia="仿宋" w:cs="仿宋"/>
                <w:b/>
                <w:color w:val="auto"/>
                <w:sz w:val="22"/>
                <w:szCs w:val="22"/>
                <w:highlight w:val="none"/>
              </w:rPr>
              <w:t>扫描件的，必须加盖供应商电子公章，否则响应文件按无效响应处理。</w:t>
            </w:r>
          </w:p>
        </w:tc>
      </w:tr>
      <w:tr w14:paraId="7D276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Merge w:val="restart"/>
            <w:noWrap w:val="0"/>
            <w:vAlign w:val="center"/>
          </w:tcPr>
          <w:p w14:paraId="3AB49C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12.1.2</w:t>
            </w:r>
          </w:p>
        </w:tc>
        <w:tc>
          <w:tcPr>
            <w:tcW w:w="2453" w:type="dxa"/>
            <w:noWrap w:val="0"/>
            <w:vAlign w:val="center"/>
          </w:tcPr>
          <w:p w14:paraId="5C12F4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商务文件组成</w:t>
            </w:r>
          </w:p>
        </w:tc>
        <w:tc>
          <w:tcPr>
            <w:tcW w:w="6380" w:type="dxa"/>
            <w:noWrap w:val="0"/>
            <w:vAlign w:val="center"/>
          </w:tcPr>
          <w:p w14:paraId="58DA83E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1.无串通竞标行为的承诺函；</w:t>
            </w:r>
            <w:r>
              <w:rPr>
                <w:rFonts w:hint="eastAsia" w:ascii="仿宋" w:hAnsi="仿宋" w:eastAsia="仿宋" w:cs="仿宋"/>
                <w:b/>
                <w:bCs/>
                <w:color w:val="auto"/>
                <w:sz w:val="22"/>
                <w:szCs w:val="22"/>
                <w:highlight w:val="none"/>
              </w:rPr>
              <w:t>（必须提供，否则响应文件按无效响应处理）</w:t>
            </w:r>
          </w:p>
          <w:p w14:paraId="348994B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auto"/>
                <w:sz w:val="22"/>
                <w:szCs w:val="22"/>
                <w:highlight w:val="none"/>
              </w:rPr>
            </w:pPr>
            <w:r>
              <w:rPr>
                <w:rFonts w:hint="eastAsia" w:ascii="仿宋" w:hAnsi="仿宋" w:eastAsia="仿宋" w:cs="仿宋"/>
                <w:color w:val="auto"/>
                <w:sz w:val="22"/>
                <w:szCs w:val="22"/>
                <w:highlight w:val="none"/>
              </w:rPr>
              <w:t>2.法定代表人身份证明书及法定代表人有效身份证正反面复印件；</w:t>
            </w:r>
            <w:r>
              <w:rPr>
                <w:rFonts w:hint="eastAsia" w:ascii="仿宋" w:hAnsi="仿宋" w:eastAsia="仿宋" w:cs="仿宋"/>
                <w:b/>
                <w:bCs/>
                <w:color w:val="auto"/>
                <w:sz w:val="22"/>
                <w:szCs w:val="22"/>
                <w:highlight w:val="none"/>
              </w:rPr>
              <w:t>（除自然人竞标外必须提供，否则响应文件按无效响应处理）</w:t>
            </w:r>
          </w:p>
          <w:p w14:paraId="263F0BF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sz w:val="22"/>
                <w:szCs w:val="22"/>
                <w:highlight w:val="none"/>
              </w:rPr>
            </w:pPr>
            <w:r>
              <w:rPr>
                <w:rFonts w:hint="eastAsia" w:ascii="仿宋" w:hAnsi="仿宋" w:eastAsia="仿宋" w:cs="仿宋"/>
                <w:color w:val="auto"/>
                <w:sz w:val="22"/>
                <w:szCs w:val="22"/>
                <w:highlight w:val="none"/>
              </w:rPr>
              <w:t>3.法定代表人授权委托书及委托代理人有效身份证正反面复印件；</w:t>
            </w:r>
            <w:r>
              <w:rPr>
                <w:rFonts w:hint="eastAsia" w:ascii="仿宋" w:hAnsi="仿宋" w:eastAsia="仿宋" w:cs="仿宋"/>
                <w:b/>
                <w:bCs/>
                <w:color w:val="auto"/>
                <w:sz w:val="22"/>
                <w:szCs w:val="22"/>
                <w:highlight w:val="none"/>
              </w:rPr>
              <w:t>（委托时必须提供，否则响应文件按无效响应处理）</w:t>
            </w:r>
          </w:p>
          <w:p w14:paraId="52D69A6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4.商务条款偏离表；</w:t>
            </w:r>
            <w:r>
              <w:rPr>
                <w:rFonts w:hint="eastAsia" w:ascii="仿宋" w:hAnsi="仿宋" w:eastAsia="仿宋" w:cs="仿宋"/>
                <w:b/>
                <w:bCs/>
                <w:color w:val="auto"/>
                <w:sz w:val="22"/>
                <w:szCs w:val="22"/>
                <w:highlight w:val="none"/>
              </w:rPr>
              <w:t>（必须提供，否则响应文件按无效响应处理）</w:t>
            </w:r>
          </w:p>
          <w:p w14:paraId="5DD1246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.竞标人情况介绍；</w:t>
            </w:r>
            <w:r>
              <w:rPr>
                <w:rFonts w:hint="eastAsia" w:ascii="仿宋" w:hAnsi="仿宋" w:eastAsia="仿宋" w:cs="仿宋"/>
                <w:b/>
                <w:bCs/>
                <w:color w:val="auto"/>
                <w:sz w:val="22"/>
                <w:szCs w:val="22"/>
                <w:highlight w:val="none"/>
              </w:rPr>
              <w:t>（如有请提供）</w:t>
            </w:r>
          </w:p>
          <w:p w14:paraId="099A6EF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6</w:t>
            </w:r>
            <w:r>
              <w:rPr>
                <w:rFonts w:hint="eastAsia" w:ascii="仿宋" w:hAnsi="仿宋" w:eastAsia="仿宋" w:cs="仿宋"/>
                <w:color w:val="auto"/>
                <w:sz w:val="22"/>
                <w:szCs w:val="22"/>
                <w:highlight w:val="none"/>
              </w:rPr>
              <w:t>.供应商认为需要提供的其他有关资料。</w:t>
            </w:r>
            <w:r>
              <w:rPr>
                <w:rFonts w:hint="eastAsia" w:ascii="仿宋" w:hAnsi="仿宋" w:eastAsia="仿宋" w:cs="仿宋"/>
                <w:b/>
                <w:bCs/>
                <w:color w:val="auto"/>
                <w:sz w:val="22"/>
                <w:szCs w:val="22"/>
                <w:highlight w:val="none"/>
              </w:rPr>
              <w:t>（如有请提供）</w:t>
            </w:r>
          </w:p>
          <w:p w14:paraId="0C47117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 xml:space="preserve">注： </w:t>
            </w:r>
          </w:p>
          <w:p w14:paraId="1E3C9189">
            <w:pPr>
              <w:keepNext w:val="0"/>
              <w:keepLines w:val="0"/>
              <w:pageBreakBefore w:val="0"/>
              <w:widowControl w:val="0"/>
              <w:kinsoku/>
              <w:wordWrap/>
              <w:overflowPunct/>
              <w:topLinePunct w:val="0"/>
              <w:autoSpaceDE/>
              <w:autoSpaceDN/>
              <w:bidi w:val="0"/>
              <w:adjustRightInd/>
              <w:snapToGrid/>
              <w:spacing w:line="400" w:lineRule="exact"/>
              <w:ind w:firstLine="433" w:firstLineChars="196"/>
              <w:jc w:val="left"/>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1.法定代表人授权委托书必须由法定代表人及委托代理人签字，并加盖供应商公章，否则响应文件按无效响应处理。</w:t>
            </w:r>
          </w:p>
          <w:p w14:paraId="54A1B7FD">
            <w:pPr>
              <w:keepNext w:val="0"/>
              <w:keepLines w:val="0"/>
              <w:pageBreakBefore w:val="0"/>
              <w:widowControl w:val="0"/>
              <w:kinsoku/>
              <w:wordWrap/>
              <w:overflowPunct/>
              <w:topLinePunct w:val="0"/>
              <w:autoSpaceDE/>
              <w:autoSpaceDN/>
              <w:bidi w:val="0"/>
              <w:adjustRightInd/>
              <w:snapToGrid/>
              <w:spacing w:line="400" w:lineRule="exact"/>
              <w:ind w:firstLine="433" w:firstLineChars="196"/>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2.以上标明“必须提供”的材料属于复印件</w:t>
            </w:r>
            <w:r>
              <w:rPr>
                <w:rFonts w:hint="eastAsia" w:ascii="仿宋" w:hAnsi="仿宋" w:eastAsia="仿宋" w:cs="仿宋"/>
                <w:b/>
                <w:color w:val="auto"/>
                <w:sz w:val="22"/>
                <w:szCs w:val="22"/>
                <w:highlight w:val="none"/>
                <w:lang w:val="en-US" w:eastAsia="zh-CN"/>
              </w:rPr>
              <w:t>或</w:t>
            </w:r>
            <w:r>
              <w:rPr>
                <w:rFonts w:hint="eastAsia" w:ascii="仿宋" w:hAnsi="仿宋" w:eastAsia="仿宋" w:cs="仿宋"/>
                <w:b/>
                <w:color w:val="auto"/>
                <w:sz w:val="22"/>
                <w:szCs w:val="22"/>
                <w:highlight w:val="none"/>
              </w:rPr>
              <w:t>扫描件的，必须加盖供应商电子公章，否则响应文件按无效响应处理。</w:t>
            </w:r>
          </w:p>
        </w:tc>
      </w:tr>
      <w:tr w14:paraId="26056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Merge w:val="continue"/>
            <w:noWrap w:val="0"/>
            <w:vAlign w:val="center"/>
          </w:tcPr>
          <w:p w14:paraId="5190BA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p>
        </w:tc>
        <w:tc>
          <w:tcPr>
            <w:tcW w:w="2453" w:type="dxa"/>
            <w:noWrap w:val="0"/>
            <w:vAlign w:val="center"/>
          </w:tcPr>
          <w:p w14:paraId="7E3ECE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技术文件组成</w:t>
            </w:r>
          </w:p>
        </w:tc>
        <w:tc>
          <w:tcPr>
            <w:tcW w:w="6380" w:type="dxa"/>
            <w:noWrap w:val="0"/>
            <w:vAlign w:val="center"/>
          </w:tcPr>
          <w:p w14:paraId="4732FC5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1.货物需求偏离表；</w:t>
            </w:r>
            <w:r>
              <w:rPr>
                <w:rFonts w:hint="eastAsia" w:ascii="仿宋" w:hAnsi="仿宋" w:eastAsia="仿宋" w:cs="仿宋"/>
                <w:b/>
                <w:bCs/>
                <w:color w:val="auto"/>
                <w:sz w:val="22"/>
                <w:szCs w:val="22"/>
                <w:highlight w:val="none"/>
              </w:rPr>
              <w:t>（必须提供，否则响应文件按无效响应处理）</w:t>
            </w:r>
          </w:p>
          <w:p w14:paraId="4B1B750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2.货物配置清单（均不含报价）；</w:t>
            </w:r>
            <w:r>
              <w:rPr>
                <w:rFonts w:hint="eastAsia" w:ascii="仿宋" w:hAnsi="仿宋" w:eastAsia="仿宋" w:cs="仿宋"/>
                <w:b/>
                <w:bCs/>
                <w:color w:val="auto"/>
                <w:sz w:val="22"/>
                <w:szCs w:val="22"/>
                <w:highlight w:val="none"/>
              </w:rPr>
              <w:t>（必须提供，否则响应文件作无效处理）</w:t>
            </w:r>
          </w:p>
          <w:p w14:paraId="1FDEEA4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sz w:val="22"/>
                <w:szCs w:val="22"/>
                <w:highlight w:val="none"/>
              </w:rPr>
            </w:pPr>
            <w:r>
              <w:rPr>
                <w:rFonts w:hint="eastAsia" w:ascii="仿宋" w:hAnsi="仿宋" w:eastAsia="仿宋" w:cs="仿宋"/>
                <w:color w:val="auto"/>
                <w:sz w:val="22"/>
                <w:szCs w:val="22"/>
                <w:highlight w:val="none"/>
              </w:rPr>
              <w:t>3.售后服务承诺；</w:t>
            </w:r>
            <w:r>
              <w:rPr>
                <w:rFonts w:hint="eastAsia" w:ascii="仿宋" w:hAnsi="仿宋" w:eastAsia="仿宋" w:cs="仿宋"/>
                <w:b/>
                <w:bCs/>
                <w:color w:val="auto"/>
                <w:sz w:val="22"/>
                <w:szCs w:val="22"/>
                <w:highlight w:val="none"/>
              </w:rPr>
              <w:t>（必须提供，否则响应文件按无效响应处理）</w:t>
            </w:r>
          </w:p>
          <w:p w14:paraId="6384BF3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.项目实施人员一览表；</w:t>
            </w:r>
            <w:r>
              <w:rPr>
                <w:rFonts w:hint="eastAsia" w:ascii="仿宋" w:hAnsi="仿宋" w:eastAsia="仿宋" w:cs="仿宋"/>
                <w:b/>
                <w:bCs/>
                <w:color w:val="auto"/>
                <w:sz w:val="22"/>
                <w:szCs w:val="22"/>
                <w:highlight w:val="none"/>
              </w:rPr>
              <w:t>（如有请提供）</w:t>
            </w:r>
          </w:p>
          <w:p w14:paraId="394BCE5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.对应采购需求的货物需求、商务条款提供的其他文件资料；</w:t>
            </w:r>
            <w:r>
              <w:rPr>
                <w:rFonts w:hint="eastAsia" w:ascii="仿宋" w:hAnsi="仿宋" w:eastAsia="仿宋" w:cs="仿宋"/>
                <w:b/>
                <w:bCs/>
                <w:color w:val="auto"/>
                <w:sz w:val="22"/>
                <w:szCs w:val="22"/>
                <w:highlight w:val="none"/>
              </w:rPr>
              <w:t>（</w:t>
            </w:r>
            <w:r>
              <w:rPr>
                <w:rFonts w:hint="eastAsia" w:ascii="仿宋" w:hAnsi="仿宋" w:eastAsia="仿宋" w:cs="仿宋"/>
                <w:b/>
                <w:bCs/>
                <w:color w:val="auto"/>
                <w:sz w:val="22"/>
                <w:szCs w:val="22"/>
                <w:highlight w:val="none"/>
                <w:lang w:val="en-US" w:eastAsia="zh-CN"/>
              </w:rPr>
              <w:t>采购需求中有要求的则</w:t>
            </w:r>
            <w:r>
              <w:rPr>
                <w:rFonts w:hint="eastAsia" w:ascii="仿宋" w:hAnsi="仿宋" w:eastAsia="仿宋" w:cs="仿宋"/>
                <w:b/>
                <w:bCs/>
                <w:color w:val="auto"/>
                <w:sz w:val="22"/>
                <w:szCs w:val="22"/>
                <w:highlight w:val="none"/>
              </w:rPr>
              <w:t>必须提供，加盖单位公章，否则竞标无效）</w:t>
            </w:r>
          </w:p>
          <w:p w14:paraId="12E26A0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6</w:t>
            </w:r>
            <w:r>
              <w:rPr>
                <w:rFonts w:hint="eastAsia" w:ascii="仿宋" w:hAnsi="仿宋" w:eastAsia="仿宋" w:cs="仿宋"/>
                <w:color w:val="auto"/>
                <w:sz w:val="22"/>
                <w:szCs w:val="22"/>
                <w:highlight w:val="none"/>
              </w:rPr>
              <w:t>.供应商认为需要提供的其他有关资料。</w:t>
            </w:r>
          </w:p>
          <w:p w14:paraId="561304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注：以上标明“必须提供”的材料属于复印件</w:t>
            </w:r>
            <w:r>
              <w:rPr>
                <w:rFonts w:hint="eastAsia" w:ascii="仿宋" w:hAnsi="仿宋" w:eastAsia="仿宋" w:cs="仿宋"/>
                <w:b/>
                <w:color w:val="auto"/>
                <w:sz w:val="22"/>
                <w:szCs w:val="22"/>
                <w:highlight w:val="none"/>
                <w:lang w:val="en-US" w:eastAsia="zh-CN"/>
              </w:rPr>
              <w:t>或</w:t>
            </w:r>
            <w:r>
              <w:rPr>
                <w:rFonts w:hint="eastAsia" w:ascii="仿宋" w:hAnsi="仿宋" w:eastAsia="仿宋" w:cs="仿宋"/>
                <w:b/>
                <w:color w:val="auto"/>
                <w:sz w:val="22"/>
                <w:szCs w:val="22"/>
                <w:highlight w:val="none"/>
              </w:rPr>
              <w:t>扫描件的，必须加盖供应商电子公章，否则响应文件按无效响应处理。</w:t>
            </w:r>
          </w:p>
        </w:tc>
      </w:tr>
      <w:tr w14:paraId="7FB62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noWrap w:val="0"/>
            <w:vAlign w:val="center"/>
          </w:tcPr>
          <w:p w14:paraId="6BCA68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12.1.3</w:t>
            </w:r>
          </w:p>
        </w:tc>
        <w:tc>
          <w:tcPr>
            <w:tcW w:w="2453" w:type="dxa"/>
            <w:noWrap w:val="0"/>
            <w:vAlign w:val="center"/>
          </w:tcPr>
          <w:p w14:paraId="4EDDB7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报价文件组成</w:t>
            </w:r>
          </w:p>
        </w:tc>
        <w:tc>
          <w:tcPr>
            <w:tcW w:w="6380" w:type="dxa"/>
            <w:noWrap w:val="0"/>
            <w:vAlign w:val="center"/>
          </w:tcPr>
          <w:p w14:paraId="64661211">
            <w:pPr>
              <w:keepNext w:val="0"/>
              <w:keepLines w:val="0"/>
              <w:pageBreakBefore w:val="0"/>
              <w:widowControl w:val="0"/>
              <w:tabs>
                <w:tab w:val="left" w:pos="459"/>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1.响应函；</w:t>
            </w:r>
            <w:r>
              <w:rPr>
                <w:rFonts w:hint="eastAsia" w:ascii="仿宋" w:hAnsi="仿宋" w:eastAsia="仿宋" w:cs="仿宋"/>
                <w:b/>
                <w:color w:val="auto"/>
                <w:sz w:val="22"/>
                <w:szCs w:val="22"/>
                <w:highlight w:val="none"/>
              </w:rPr>
              <w:t>（必须提供，否则作无效响应处理）</w:t>
            </w:r>
          </w:p>
          <w:p w14:paraId="47F7F3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sz w:val="22"/>
                <w:szCs w:val="22"/>
                <w:highlight w:val="none"/>
              </w:rPr>
            </w:pPr>
            <w:r>
              <w:rPr>
                <w:rFonts w:hint="eastAsia" w:ascii="仿宋" w:hAnsi="仿宋" w:eastAsia="仿宋" w:cs="仿宋"/>
                <w:color w:val="auto"/>
                <w:sz w:val="22"/>
                <w:szCs w:val="22"/>
                <w:highlight w:val="none"/>
              </w:rPr>
              <w:t>2.响应报价表；</w:t>
            </w:r>
            <w:r>
              <w:rPr>
                <w:rFonts w:hint="eastAsia" w:ascii="仿宋" w:hAnsi="仿宋" w:eastAsia="仿宋" w:cs="仿宋"/>
                <w:b/>
                <w:bCs/>
                <w:color w:val="auto"/>
                <w:sz w:val="22"/>
                <w:szCs w:val="22"/>
                <w:highlight w:val="none"/>
              </w:rPr>
              <w:t>（必须提供，否则响应文件按无效响应处理）</w:t>
            </w:r>
          </w:p>
          <w:p w14:paraId="02C7529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2"/>
                <w:szCs w:val="22"/>
                <w:highlight w:val="none"/>
              </w:rPr>
            </w:pPr>
            <w:r>
              <w:rPr>
                <w:rFonts w:hint="eastAsia" w:ascii="仿宋" w:hAnsi="仿宋" w:eastAsia="仿宋" w:cs="仿宋"/>
                <w:kern w:val="0"/>
                <w:sz w:val="22"/>
                <w:szCs w:val="22"/>
                <w:highlight w:val="none"/>
                <w:lang w:val="en-US" w:eastAsia="zh-CN"/>
              </w:rPr>
              <w:t>3</w:t>
            </w:r>
            <w:r>
              <w:rPr>
                <w:rFonts w:hint="eastAsia" w:ascii="仿宋" w:hAnsi="仿宋" w:eastAsia="仿宋" w:cs="仿宋"/>
                <w:kern w:val="0"/>
                <w:sz w:val="22"/>
                <w:szCs w:val="22"/>
                <w:highlight w:val="none"/>
              </w:rPr>
              <w:t>.</w:t>
            </w:r>
            <w:r>
              <w:rPr>
                <w:rFonts w:hint="eastAsia" w:ascii="仿宋" w:hAnsi="仿宋" w:eastAsia="仿宋" w:cs="仿宋"/>
                <w:sz w:val="22"/>
                <w:szCs w:val="22"/>
                <w:highlight w:val="none"/>
              </w:rPr>
              <w:t>残疾人福利性单位声明函或监狱企业证明。</w:t>
            </w:r>
            <w:r>
              <w:rPr>
                <w:rFonts w:hint="eastAsia" w:ascii="仿宋" w:hAnsi="仿宋" w:eastAsia="仿宋" w:cs="仿宋"/>
                <w:b/>
                <w:bCs/>
                <w:kern w:val="0"/>
                <w:sz w:val="22"/>
                <w:szCs w:val="22"/>
                <w:highlight w:val="none"/>
              </w:rPr>
              <w:t>（按实际情况提供）</w:t>
            </w:r>
          </w:p>
        </w:tc>
      </w:tr>
      <w:tr w14:paraId="670AF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noWrap w:val="0"/>
            <w:vAlign w:val="center"/>
          </w:tcPr>
          <w:p w14:paraId="697C19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12.2</w:t>
            </w:r>
          </w:p>
        </w:tc>
        <w:tc>
          <w:tcPr>
            <w:tcW w:w="2453" w:type="dxa"/>
            <w:noWrap w:val="0"/>
            <w:vAlign w:val="center"/>
          </w:tcPr>
          <w:p w14:paraId="59C2F0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响应文件电子版要求</w:t>
            </w:r>
          </w:p>
        </w:tc>
        <w:tc>
          <w:tcPr>
            <w:tcW w:w="6380" w:type="dxa"/>
            <w:noWrap w:val="0"/>
            <w:vAlign w:val="center"/>
          </w:tcPr>
          <w:p w14:paraId="0B682D4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1.响应文件电子版要求：按照本采购文件“第五章 响应文件格式”编写（第五章未附格式的，由供应商自行拟定），不可涂改并在规定加盖公章处加盖电子公章，</w:t>
            </w:r>
            <w:r>
              <w:rPr>
                <w:rFonts w:hint="eastAsia" w:ascii="仿宋" w:hAnsi="仿宋" w:eastAsia="仿宋" w:cs="仿宋"/>
                <w:b/>
                <w:color w:val="auto"/>
                <w:sz w:val="22"/>
                <w:szCs w:val="22"/>
                <w:highlight w:val="none"/>
              </w:rPr>
              <w:t>否则响应文件按无效响应处理</w:t>
            </w:r>
            <w:r>
              <w:rPr>
                <w:rFonts w:hint="eastAsia" w:ascii="仿宋" w:hAnsi="仿宋" w:eastAsia="仿宋" w:cs="仿宋"/>
                <w:color w:val="auto"/>
                <w:sz w:val="22"/>
                <w:szCs w:val="22"/>
                <w:highlight w:val="none"/>
              </w:rPr>
              <w:t>。</w:t>
            </w:r>
          </w:p>
          <w:p w14:paraId="52354A8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2.响应文件电子版密封方式：电子响应文件通过平台有效CA加密后在“政采云”平台投送。</w:t>
            </w:r>
          </w:p>
        </w:tc>
      </w:tr>
      <w:tr w14:paraId="4386F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noWrap w:val="0"/>
            <w:vAlign w:val="center"/>
          </w:tcPr>
          <w:p w14:paraId="61282D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15.2</w:t>
            </w:r>
          </w:p>
        </w:tc>
        <w:tc>
          <w:tcPr>
            <w:tcW w:w="2453" w:type="dxa"/>
            <w:noWrap w:val="0"/>
            <w:vAlign w:val="center"/>
          </w:tcPr>
          <w:p w14:paraId="418C3B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响应报价要求</w:t>
            </w:r>
          </w:p>
        </w:tc>
        <w:tc>
          <w:tcPr>
            <w:tcW w:w="6380" w:type="dxa"/>
            <w:noWrap w:val="0"/>
            <w:vAlign w:val="center"/>
          </w:tcPr>
          <w:p w14:paraId="070E962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响应报价必须包含满足本次竞标全部采购需求所应提供的货物，以及伴随的货物和工程（如有）的价格；包含竞标货物、货物、工程的成本、运输（含保险）、安装（如有）、调试、检验、技术货物、培训、税费等所有费用。</w:t>
            </w:r>
          </w:p>
        </w:tc>
      </w:tr>
      <w:tr w14:paraId="76968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noWrap w:val="0"/>
            <w:vAlign w:val="center"/>
          </w:tcPr>
          <w:p w14:paraId="5FE04A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16.2</w:t>
            </w:r>
          </w:p>
        </w:tc>
        <w:tc>
          <w:tcPr>
            <w:tcW w:w="2453" w:type="dxa"/>
            <w:noWrap w:val="0"/>
            <w:vAlign w:val="center"/>
          </w:tcPr>
          <w:p w14:paraId="7CEE7D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竞标有效期</w:t>
            </w:r>
          </w:p>
        </w:tc>
        <w:tc>
          <w:tcPr>
            <w:tcW w:w="6380" w:type="dxa"/>
            <w:noWrap w:val="0"/>
            <w:vAlign w:val="center"/>
          </w:tcPr>
          <w:p w14:paraId="4A95CDB8">
            <w:pPr>
              <w:pStyle w:val="11"/>
              <w:keepNext w:val="0"/>
              <w:keepLines w:val="0"/>
              <w:pageBreakBefore w:val="0"/>
              <w:widowControl w:val="0"/>
              <w:tabs>
                <w:tab w:val="clear" w:pos="454"/>
              </w:tabs>
              <w:kinsoku/>
              <w:wordWrap/>
              <w:overflowPunct/>
              <w:topLinePunct w:val="0"/>
              <w:autoSpaceDE/>
              <w:autoSpaceDN/>
              <w:bidi w:val="0"/>
              <w:adjustRightInd/>
              <w:snapToGrid/>
              <w:spacing w:afterLines="0" w:line="400" w:lineRule="exact"/>
              <w:ind w:left="283" w:hanging="297" w:hangingChars="135"/>
              <w:textAlignment w:val="auto"/>
              <w:rPr>
                <w:rFonts w:hint="eastAsia" w:ascii="仿宋" w:hAnsi="仿宋" w:eastAsia="仿宋" w:cs="仿宋"/>
                <w:color w:val="auto"/>
                <w:kern w:val="2"/>
                <w:sz w:val="22"/>
                <w:szCs w:val="22"/>
                <w:highlight w:val="none"/>
              </w:rPr>
            </w:pPr>
            <w:r>
              <w:rPr>
                <w:rFonts w:hint="eastAsia" w:ascii="仿宋" w:hAnsi="仿宋" w:eastAsia="仿宋" w:cs="仿宋"/>
                <w:color w:val="auto"/>
                <w:kern w:val="2"/>
                <w:sz w:val="22"/>
                <w:szCs w:val="22"/>
                <w:highlight w:val="none"/>
              </w:rPr>
              <w:t>自首次响应文件提交截止之日起</w:t>
            </w:r>
            <w:r>
              <w:rPr>
                <w:rFonts w:hint="eastAsia" w:ascii="仿宋" w:hAnsi="仿宋" w:eastAsia="仿宋" w:cs="仿宋"/>
                <w:color w:val="auto"/>
                <w:kern w:val="2"/>
                <w:sz w:val="22"/>
                <w:szCs w:val="22"/>
                <w:highlight w:val="none"/>
                <w:u w:val="single"/>
              </w:rPr>
              <w:t>90</w:t>
            </w:r>
            <w:r>
              <w:rPr>
                <w:rFonts w:hint="eastAsia" w:ascii="仿宋" w:hAnsi="仿宋" w:eastAsia="仿宋" w:cs="仿宋"/>
                <w:color w:val="auto"/>
                <w:kern w:val="2"/>
                <w:sz w:val="22"/>
                <w:szCs w:val="22"/>
                <w:highlight w:val="none"/>
              </w:rPr>
              <w:t>日。</w:t>
            </w:r>
          </w:p>
        </w:tc>
      </w:tr>
      <w:tr w14:paraId="2AC9C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noWrap w:val="0"/>
            <w:vAlign w:val="center"/>
          </w:tcPr>
          <w:p w14:paraId="49E2E1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17.1</w:t>
            </w:r>
          </w:p>
        </w:tc>
        <w:tc>
          <w:tcPr>
            <w:tcW w:w="2453" w:type="dxa"/>
            <w:noWrap w:val="0"/>
            <w:vAlign w:val="center"/>
          </w:tcPr>
          <w:p w14:paraId="4EA6B8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谈判保证金</w:t>
            </w:r>
          </w:p>
        </w:tc>
        <w:tc>
          <w:tcPr>
            <w:tcW w:w="6380" w:type="dxa"/>
            <w:noWrap w:val="0"/>
            <w:vAlign w:val="center"/>
          </w:tcPr>
          <w:p w14:paraId="6012755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color w:val="auto"/>
                <w:sz w:val="22"/>
                <w:szCs w:val="22"/>
                <w:highlight w:val="none"/>
                <w:lang w:val="en-US"/>
              </w:rPr>
            </w:pPr>
            <w:r>
              <w:rPr>
                <w:rFonts w:hint="eastAsia" w:ascii="仿宋" w:hAnsi="仿宋" w:eastAsia="仿宋" w:cs="宋体"/>
                <w:color w:val="auto"/>
                <w:sz w:val="22"/>
                <w:szCs w:val="22"/>
                <w:highlight w:val="none"/>
                <w:lang w:val="en-US" w:eastAsia="zh-CN"/>
              </w:rPr>
              <w:t>本项目不需要交纳谈判保证金。</w:t>
            </w:r>
          </w:p>
        </w:tc>
      </w:tr>
      <w:tr w14:paraId="081CF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1058" w:type="dxa"/>
            <w:vMerge w:val="restart"/>
            <w:noWrap w:val="0"/>
            <w:vAlign w:val="center"/>
          </w:tcPr>
          <w:p w14:paraId="0BB0D4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20.1</w:t>
            </w:r>
          </w:p>
        </w:tc>
        <w:tc>
          <w:tcPr>
            <w:tcW w:w="2453" w:type="dxa"/>
            <w:noWrap w:val="0"/>
            <w:vAlign w:val="center"/>
          </w:tcPr>
          <w:p w14:paraId="686CD3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首次响应文件提交起止时间</w:t>
            </w:r>
          </w:p>
        </w:tc>
        <w:tc>
          <w:tcPr>
            <w:tcW w:w="6380" w:type="dxa"/>
            <w:noWrap w:val="0"/>
            <w:vAlign w:val="center"/>
          </w:tcPr>
          <w:p w14:paraId="4D97531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详见竞争性谈判公告。</w:t>
            </w:r>
          </w:p>
        </w:tc>
      </w:tr>
      <w:tr w14:paraId="6319B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1058" w:type="dxa"/>
            <w:vMerge w:val="continue"/>
            <w:noWrap w:val="0"/>
            <w:vAlign w:val="center"/>
          </w:tcPr>
          <w:p w14:paraId="1936B0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p>
        </w:tc>
        <w:tc>
          <w:tcPr>
            <w:tcW w:w="2453" w:type="dxa"/>
            <w:noWrap w:val="0"/>
            <w:vAlign w:val="center"/>
          </w:tcPr>
          <w:p w14:paraId="6B7268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首次响应文件提交地点</w:t>
            </w:r>
          </w:p>
        </w:tc>
        <w:tc>
          <w:tcPr>
            <w:tcW w:w="6380" w:type="dxa"/>
            <w:noWrap w:val="0"/>
            <w:vAlign w:val="center"/>
          </w:tcPr>
          <w:p w14:paraId="4D9CADB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详见竞争性谈判公告。</w:t>
            </w:r>
          </w:p>
        </w:tc>
      </w:tr>
      <w:tr w14:paraId="7C5DA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1058" w:type="dxa"/>
            <w:noWrap w:val="0"/>
            <w:vAlign w:val="center"/>
          </w:tcPr>
          <w:p w14:paraId="360F94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20.6</w:t>
            </w:r>
          </w:p>
        </w:tc>
        <w:tc>
          <w:tcPr>
            <w:tcW w:w="2453" w:type="dxa"/>
            <w:noWrap w:val="0"/>
            <w:vAlign w:val="center"/>
          </w:tcPr>
          <w:p w14:paraId="44F1E9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备份响应文件</w:t>
            </w:r>
          </w:p>
        </w:tc>
        <w:tc>
          <w:tcPr>
            <w:tcW w:w="6380" w:type="dxa"/>
            <w:noWrap w:val="0"/>
            <w:vAlign w:val="center"/>
          </w:tcPr>
          <w:p w14:paraId="59214A2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本项目不接受备份响应文件。</w:t>
            </w:r>
          </w:p>
        </w:tc>
      </w:tr>
      <w:tr w14:paraId="5C01D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1058" w:type="dxa"/>
            <w:noWrap w:val="0"/>
            <w:vAlign w:val="center"/>
          </w:tcPr>
          <w:p w14:paraId="19A9C7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21</w:t>
            </w:r>
          </w:p>
        </w:tc>
        <w:tc>
          <w:tcPr>
            <w:tcW w:w="2453" w:type="dxa"/>
            <w:noWrap w:val="0"/>
            <w:vAlign w:val="center"/>
          </w:tcPr>
          <w:p w14:paraId="308232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首次响应文件的退回</w:t>
            </w:r>
          </w:p>
        </w:tc>
        <w:tc>
          <w:tcPr>
            <w:tcW w:w="6380" w:type="dxa"/>
            <w:noWrap w:val="0"/>
            <w:vAlign w:val="center"/>
          </w:tcPr>
          <w:p w14:paraId="75798EE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详见竞争性谈判公告。</w:t>
            </w:r>
          </w:p>
        </w:tc>
      </w:tr>
      <w:tr w14:paraId="2BAB8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058" w:type="dxa"/>
            <w:vMerge w:val="restart"/>
            <w:noWrap w:val="0"/>
            <w:vAlign w:val="center"/>
          </w:tcPr>
          <w:p w14:paraId="65DE10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26.2</w:t>
            </w:r>
          </w:p>
        </w:tc>
        <w:tc>
          <w:tcPr>
            <w:tcW w:w="2453" w:type="dxa"/>
            <w:noWrap w:val="0"/>
            <w:vAlign w:val="center"/>
          </w:tcPr>
          <w:p w14:paraId="373973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负偏离要求</w:t>
            </w:r>
          </w:p>
        </w:tc>
        <w:tc>
          <w:tcPr>
            <w:tcW w:w="6380" w:type="dxa"/>
            <w:noWrap w:val="0"/>
            <w:vAlign w:val="center"/>
          </w:tcPr>
          <w:p w14:paraId="6033A0C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商务条款评审中允许负偏离的条款数为</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0 </w:t>
            </w:r>
            <w:r>
              <w:rPr>
                <w:rFonts w:hint="eastAsia" w:ascii="仿宋" w:hAnsi="仿宋" w:eastAsia="仿宋" w:cs="仿宋"/>
                <w:color w:val="auto"/>
                <w:sz w:val="22"/>
                <w:szCs w:val="22"/>
                <w:highlight w:val="none"/>
              </w:rPr>
              <w:t>项。</w:t>
            </w:r>
          </w:p>
          <w:p w14:paraId="5A07090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货物需求评审中允许负偏离的条款数为</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0 </w:t>
            </w:r>
            <w:r>
              <w:rPr>
                <w:rFonts w:hint="eastAsia" w:ascii="仿宋" w:hAnsi="仿宋" w:eastAsia="仿宋" w:cs="仿宋"/>
                <w:color w:val="auto"/>
                <w:sz w:val="22"/>
                <w:szCs w:val="22"/>
                <w:highlight w:val="none"/>
              </w:rPr>
              <w:t>项。</w:t>
            </w:r>
          </w:p>
        </w:tc>
      </w:tr>
      <w:tr w14:paraId="272BB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Merge w:val="continue"/>
            <w:noWrap w:val="0"/>
            <w:vAlign w:val="center"/>
          </w:tcPr>
          <w:p w14:paraId="1CD828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p>
        </w:tc>
        <w:tc>
          <w:tcPr>
            <w:tcW w:w="2453" w:type="dxa"/>
            <w:noWrap w:val="0"/>
            <w:vAlign w:val="center"/>
          </w:tcPr>
          <w:p w14:paraId="597F77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谈判的顺序</w:t>
            </w:r>
          </w:p>
        </w:tc>
        <w:tc>
          <w:tcPr>
            <w:tcW w:w="6380" w:type="dxa"/>
            <w:noWrap w:val="0"/>
            <w:vAlign w:val="center"/>
          </w:tcPr>
          <w:p w14:paraId="20217E5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系统自动提取的顺序</w:t>
            </w:r>
          </w:p>
          <w:p w14:paraId="7FB93D57">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22"/>
                <w:szCs w:val="22"/>
                <w:highlight w:val="none"/>
              </w:rPr>
            </w:pPr>
            <w:r>
              <w:rPr>
                <w:rFonts w:hint="eastAsia" w:ascii="仿宋" w:hAnsi="仿宋" w:eastAsia="仿宋" w:cs="仿宋"/>
                <w:b w:val="0"/>
                <w:bCs/>
                <w:color w:val="auto"/>
                <w:sz w:val="22"/>
                <w:szCs w:val="22"/>
                <w:highlight w:val="none"/>
              </w:rPr>
              <w:t>参与谈判前，供应商法定代表人或者委托代理人</w:t>
            </w:r>
            <w:r>
              <w:rPr>
                <w:rFonts w:hint="eastAsia" w:ascii="仿宋" w:hAnsi="仿宋" w:eastAsia="仿宋" w:cs="仿宋"/>
                <w:b w:val="0"/>
                <w:bCs/>
                <w:color w:val="auto"/>
                <w:sz w:val="22"/>
                <w:szCs w:val="22"/>
                <w:highlight w:val="none"/>
                <w:lang w:val="en-US" w:eastAsia="zh-CN"/>
              </w:rPr>
              <w:t>应持</w:t>
            </w:r>
            <w:r>
              <w:rPr>
                <w:rFonts w:hint="eastAsia" w:ascii="仿宋" w:hAnsi="仿宋" w:eastAsia="仿宋" w:cs="仿宋"/>
                <w:b w:val="0"/>
                <w:bCs/>
                <w:color w:val="auto"/>
                <w:sz w:val="22"/>
                <w:szCs w:val="22"/>
                <w:highlight w:val="none"/>
              </w:rPr>
              <w:t>本人有效证件原件[有效证件可以是身份证（含临时身份证明）、机动车驾驶证、社会保障卡或者护照的其中一项]</w:t>
            </w:r>
            <w:r>
              <w:rPr>
                <w:rFonts w:hint="eastAsia" w:ascii="仿宋" w:hAnsi="仿宋" w:eastAsia="仿宋" w:cs="宋体"/>
                <w:color w:val="auto"/>
                <w:sz w:val="22"/>
                <w:szCs w:val="22"/>
                <w:highlight w:val="none"/>
                <w:lang w:val="en-US" w:eastAsia="zh-CN"/>
              </w:rPr>
              <w:t>和供应商政采云平台CA数字证书在线参加谈判</w:t>
            </w:r>
            <w:r>
              <w:rPr>
                <w:rFonts w:hint="eastAsia" w:ascii="仿宋" w:hAnsi="仿宋" w:eastAsia="仿宋" w:cs="宋体"/>
                <w:b/>
                <w:bCs/>
                <w:color w:val="auto"/>
                <w:sz w:val="22"/>
                <w:szCs w:val="22"/>
                <w:highlight w:val="none"/>
                <w:lang w:val="en-US" w:eastAsia="zh-CN"/>
              </w:rPr>
              <w:t>（</w:t>
            </w:r>
            <w:r>
              <w:rPr>
                <w:rFonts w:hint="eastAsia" w:ascii="仿宋" w:hAnsi="仿宋" w:eastAsia="仿宋" w:cs="仿宋"/>
                <w:b/>
                <w:bCs/>
                <w:color w:val="auto"/>
                <w:sz w:val="22"/>
                <w:szCs w:val="22"/>
                <w:highlight w:val="none"/>
                <w:lang w:val="en-US" w:eastAsia="zh-CN"/>
              </w:rPr>
              <w:t>开标当日供应商法定代表人或授权委托人的通讯工具须保持畅通，在规定时间内在线等候谈判</w:t>
            </w:r>
            <w:r>
              <w:rPr>
                <w:rFonts w:hint="eastAsia" w:ascii="仿宋" w:hAnsi="仿宋" w:eastAsia="仿宋" w:cs="宋体"/>
                <w:b/>
                <w:bCs/>
                <w:color w:val="auto"/>
                <w:sz w:val="22"/>
                <w:szCs w:val="22"/>
                <w:highlight w:val="none"/>
                <w:lang w:val="en-US" w:eastAsia="zh-CN"/>
              </w:rPr>
              <w:t>）</w:t>
            </w:r>
            <w:r>
              <w:rPr>
                <w:rFonts w:hint="eastAsia" w:ascii="仿宋" w:hAnsi="仿宋" w:eastAsia="仿宋" w:cs="仿宋"/>
                <w:b/>
                <w:color w:val="auto"/>
                <w:sz w:val="22"/>
                <w:szCs w:val="22"/>
                <w:highlight w:val="none"/>
              </w:rPr>
              <w:t>，</w:t>
            </w:r>
            <w:r>
              <w:rPr>
                <w:rFonts w:hint="eastAsia" w:ascii="仿宋" w:hAnsi="仿宋" w:eastAsia="仿宋" w:cs="宋体"/>
                <w:color w:val="auto"/>
                <w:sz w:val="22"/>
                <w:szCs w:val="22"/>
                <w:highlight w:val="none"/>
              </w:rPr>
              <w:t>否则视同放弃参加</w:t>
            </w:r>
            <w:r>
              <w:rPr>
                <w:rFonts w:hint="eastAsia" w:ascii="仿宋" w:hAnsi="仿宋" w:eastAsia="仿宋" w:cs="宋体"/>
                <w:color w:val="auto"/>
                <w:sz w:val="22"/>
                <w:szCs w:val="22"/>
                <w:highlight w:val="none"/>
                <w:lang w:val="en-US" w:eastAsia="zh-CN"/>
              </w:rPr>
              <w:t>谈判</w:t>
            </w:r>
            <w:r>
              <w:rPr>
                <w:rFonts w:hint="eastAsia" w:ascii="仿宋" w:hAnsi="仿宋" w:eastAsia="仿宋" w:cs="宋体"/>
                <w:color w:val="auto"/>
                <w:sz w:val="22"/>
                <w:szCs w:val="22"/>
                <w:highlight w:val="none"/>
              </w:rPr>
              <w:t>权利，</w:t>
            </w:r>
            <w:r>
              <w:rPr>
                <w:rFonts w:hint="eastAsia" w:ascii="仿宋" w:hAnsi="仿宋" w:eastAsia="仿宋" w:cs="仿宋"/>
                <w:b w:val="0"/>
                <w:bCs/>
                <w:color w:val="auto"/>
                <w:sz w:val="22"/>
                <w:szCs w:val="22"/>
                <w:highlight w:val="none"/>
              </w:rPr>
              <w:t>谈判小组将拒绝其谈判。</w:t>
            </w:r>
          </w:p>
        </w:tc>
      </w:tr>
      <w:tr w14:paraId="22BF9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Merge w:val="continue"/>
            <w:noWrap w:val="0"/>
            <w:vAlign w:val="center"/>
          </w:tcPr>
          <w:p w14:paraId="01D1BC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p>
        </w:tc>
        <w:tc>
          <w:tcPr>
            <w:tcW w:w="2453" w:type="dxa"/>
            <w:noWrap w:val="0"/>
            <w:vAlign w:val="center"/>
          </w:tcPr>
          <w:p w14:paraId="5C7978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评审价相同时成交原则</w:t>
            </w:r>
          </w:p>
        </w:tc>
        <w:tc>
          <w:tcPr>
            <w:tcW w:w="6380" w:type="dxa"/>
            <w:noWrap w:val="0"/>
            <w:vAlign w:val="center"/>
          </w:tcPr>
          <w:p w14:paraId="22533A0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评审价相同时，按照最后报价由低到高顺序依次推荐；最后报价相同时，按以下原则确定成交候选人的顺序：</w:t>
            </w:r>
          </w:p>
          <w:p w14:paraId="5ACC4A7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依次按带“▲”的实质性要求正偏离项数多的优先、均无正偏离或者正偏离项数一致时负偏离项数少的优先、质量保证期长优先、交货期短优先、故障响应时间短优先的顺序排列。</w:t>
            </w:r>
          </w:p>
          <w:p w14:paraId="5F6AC81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由谈判小组推荐代表随机抽取。</w:t>
            </w:r>
          </w:p>
        </w:tc>
      </w:tr>
      <w:tr w14:paraId="03CB0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noWrap w:val="0"/>
            <w:vAlign w:val="center"/>
          </w:tcPr>
          <w:p w14:paraId="330BCC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28</w:t>
            </w:r>
          </w:p>
        </w:tc>
        <w:tc>
          <w:tcPr>
            <w:tcW w:w="2453" w:type="dxa"/>
            <w:noWrap w:val="0"/>
            <w:vAlign w:val="center"/>
          </w:tcPr>
          <w:p w14:paraId="103F58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履约保证金</w:t>
            </w:r>
          </w:p>
        </w:tc>
        <w:tc>
          <w:tcPr>
            <w:tcW w:w="6380" w:type="dxa"/>
            <w:noWrap w:val="0"/>
            <w:vAlign w:val="center"/>
          </w:tcPr>
          <w:p w14:paraId="702DEE1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sz w:val="22"/>
                <w:szCs w:val="22"/>
                <w:highlight w:val="none"/>
                <w:lang w:val="en-US" w:eastAsia="zh-CN"/>
              </w:rPr>
              <w:t>无</w:t>
            </w:r>
          </w:p>
        </w:tc>
      </w:tr>
      <w:tr w14:paraId="53569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noWrap w:val="0"/>
            <w:vAlign w:val="center"/>
          </w:tcPr>
          <w:p w14:paraId="739051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29.5</w:t>
            </w:r>
          </w:p>
        </w:tc>
        <w:tc>
          <w:tcPr>
            <w:tcW w:w="2453" w:type="dxa"/>
            <w:noWrap w:val="0"/>
            <w:vAlign w:val="center"/>
          </w:tcPr>
          <w:p w14:paraId="6DF3F1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签订合同携带的材料</w:t>
            </w:r>
          </w:p>
        </w:tc>
        <w:tc>
          <w:tcPr>
            <w:tcW w:w="6380" w:type="dxa"/>
            <w:noWrap w:val="0"/>
            <w:vAlign w:val="center"/>
          </w:tcPr>
          <w:p w14:paraId="7E7CDE6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2"/>
                <w:szCs w:val="22"/>
                <w:highlight w:val="none"/>
              </w:rPr>
            </w:pPr>
            <w:r>
              <w:rPr>
                <w:rFonts w:hint="eastAsia" w:ascii="仿宋" w:hAnsi="仿宋" w:eastAsia="仿宋" w:cs="宋体"/>
                <w:color w:val="auto"/>
                <w:sz w:val="22"/>
                <w:szCs w:val="22"/>
                <w:highlight w:val="none"/>
              </w:rPr>
              <w:t>营业执照副本</w:t>
            </w:r>
            <w:r>
              <w:rPr>
                <w:rFonts w:hint="eastAsia" w:ascii="仿宋" w:hAnsi="仿宋" w:eastAsia="仿宋" w:cs="宋体"/>
                <w:color w:val="auto"/>
                <w:sz w:val="22"/>
                <w:szCs w:val="22"/>
                <w:highlight w:val="none"/>
                <w:lang w:val="en-US" w:eastAsia="zh-CN"/>
              </w:rPr>
              <w:t>复印件</w:t>
            </w:r>
            <w:r>
              <w:rPr>
                <w:rFonts w:hint="eastAsia" w:ascii="仿宋" w:hAnsi="仿宋" w:eastAsia="仿宋" w:cs="宋体"/>
                <w:color w:val="auto"/>
                <w:sz w:val="22"/>
                <w:szCs w:val="22"/>
                <w:highlight w:val="none"/>
              </w:rPr>
              <w:t>、单位授权委托书及被授权人身份证原件等其它证明材料。</w:t>
            </w:r>
          </w:p>
        </w:tc>
      </w:tr>
      <w:tr w14:paraId="45A20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Merge w:val="restart"/>
            <w:noWrap w:val="0"/>
            <w:vAlign w:val="center"/>
          </w:tcPr>
          <w:p w14:paraId="5286C3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31.2</w:t>
            </w:r>
          </w:p>
        </w:tc>
        <w:tc>
          <w:tcPr>
            <w:tcW w:w="2453" w:type="dxa"/>
            <w:noWrap w:val="0"/>
            <w:vAlign w:val="center"/>
          </w:tcPr>
          <w:p w14:paraId="419DC1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接收质疑函方式</w:t>
            </w:r>
          </w:p>
        </w:tc>
        <w:tc>
          <w:tcPr>
            <w:tcW w:w="6380" w:type="dxa"/>
            <w:noWrap w:val="0"/>
            <w:vAlign w:val="center"/>
          </w:tcPr>
          <w:p w14:paraId="5DC7FF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以书面形式</w:t>
            </w:r>
          </w:p>
        </w:tc>
      </w:tr>
      <w:tr w14:paraId="0E40B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Merge w:val="continue"/>
            <w:noWrap w:val="0"/>
            <w:vAlign w:val="center"/>
          </w:tcPr>
          <w:p w14:paraId="10FEE0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p>
        </w:tc>
        <w:tc>
          <w:tcPr>
            <w:tcW w:w="2453" w:type="dxa"/>
            <w:noWrap w:val="0"/>
            <w:vAlign w:val="center"/>
          </w:tcPr>
          <w:p w14:paraId="428D07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质疑联系部门及联系方式</w:t>
            </w:r>
          </w:p>
        </w:tc>
        <w:tc>
          <w:tcPr>
            <w:tcW w:w="6380" w:type="dxa"/>
            <w:noWrap w:val="0"/>
            <w:vAlign w:val="center"/>
          </w:tcPr>
          <w:p w14:paraId="6FE1229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（1）广西大融合工程咨询有限公司；</w:t>
            </w:r>
          </w:p>
          <w:p w14:paraId="3CCBE87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联系电话：0774-3888098</w:t>
            </w:r>
            <w:r>
              <w:rPr>
                <w:rFonts w:hint="eastAsia" w:ascii="仿宋" w:hAnsi="仿宋" w:eastAsia="仿宋" w:cs="仿宋"/>
                <w:color w:val="auto"/>
                <w:sz w:val="22"/>
                <w:szCs w:val="22"/>
                <w:highlight w:val="none"/>
                <w:lang w:eastAsia="zh-CN"/>
              </w:rPr>
              <w:t>；</w:t>
            </w:r>
          </w:p>
          <w:p w14:paraId="129C75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通讯地址：梧州市长洲区西环路上段16号丰业山庄B区41幢</w:t>
            </w:r>
          </w:p>
          <w:p w14:paraId="0F938BD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pacing w:val="6"/>
                <w:kern w:val="48"/>
                <w:sz w:val="22"/>
                <w:szCs w:val="22"/>
                <w:highlight w:val="none"/>
                <w:lang w:eastAsia="zh-CN"/>
              </w:rPr>
            </w:pPr>
            <w:r>
              <w:rPr>
                <w:rFonts w:hint="eastAsia" w:ascii="仿宋" w:hAnsi="仿宋" w:eastAsia="仿宋" w:cs="仿宋"/>
                <w:color w:val="auto"/>
                <w:sz w:val="22"/>
                <w:szCs w:val="22"/>
                <w:highlight w:val="none"/>
              </w:rPr>
              <w:t>（2）</w:t>
            </w:r>
            <w:r>
              <w:rPr>
                <w:rFonts w:hint="eastAsia" w:ascii="仿宋" w:hAnsi="仿宋" w:eastAsia="仿宋" w:cs="仿宋"/>
                <w:color w:val="auto"/>
                <w:spacing w:val="6"/>
                <w:kern w:val="48"/>
                <w:sz w:val="22"/>
                <w:szCs w:val="22"/>
                <w:highlight w:val="none"/>
                <w:lang w:val="en-US" w:eastAsia="zh-CN"/>
              </w:rPr>
              <w:t>梧州市司法局</w:t>
            </w:r>
            <w:r>
              <w:rPr>
                <w:rFonts w:hint="eastAsia" w:ascii="仿宋" w:hAnsi="仿宋" w:eastAsia="仿宋" w:cs="仿宋"/>
                <w:color w:val="auto"/>
                <w:spacing w:val="6"/>
                <w:kern w:val="48"/>
                <w:sz w:val="22"/>
                <w:szCs w:val="22"/>
                <w:highlight w:val="none"/>
                <w:lang w:eastAsia="zh-CN"/>
              </w:rPr>
              <w:t>；</w:t>
            </w:r>
          </w:p>
          <w:p w14:paraId="3B8022F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 xml:space="preserve">联系电话：0774-3856434      </w:t>
            </w:r>
          </w:p>
          <w:p w14:paraId="433FAE8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通讯</w:t>
            </w:r>
            <w:r>
              <w:rPr>
                <w:rFonts w:hint="eastAsia" w:ascii="仿宋" w:hAnsi="仿宋" w:eastAsia="仿宋" w:cs="仿宋"/>
                <w:color w:val="auto"/>
                <w:sz w:val="22"/>
                <w:szCs w:val="22"/>
                <w:highlight w:val="none"/>
                <w:lang w:eastAsia="zh-CN"/>
              </w:rPr>
              <w:t>地址：梧州市长洲区三龙大道红岭大厦22楼</w:t>
            </w:r>
          </w:p>
        </w:tc>
      </w:tr>
      <w:tr w14:paraId="7C62E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Merge w:val="continue"/>
            <w:noWrap w:val="0"/>
            <w:vAlign w:val="center"/>
          </w:tcPr>
          <w:p w14:paraId="11361D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p>
        </w:tc>
        <w:tc>
          <w:tcPr>
            <w:tcW w:w="2453" w:type="dxa"/>
            <w:noWrap w:val="0"/>
            <w:vAlign w:val="center"/>
          </w:tcPr>
          <w:p w14:paraId="27CFDD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现场提交质疑办理业务时间</w:t>
            </w:r>
          </w:p>
        </w:tc>
        <w:tc>
          <w:tcPr>
            <w:tcW w:w="6380" w:type="dxa"/>
            <w:noWrap w:val="0"/>
            <w:vAlign w:val="center"/>
          </w:tcPr>
          <w:p w14:paraId="0C14D7F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质疑期内每个工作日8时</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0分到12时00分，15时00分到18时00分</w:t>
            </w:r>
          </w:p>
        </w:tc>
      </w:tr>
      <w:tr w14:paraId="10920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noWrap w:val="0"/>
            <w:vAlign w:val="center"/>
          </w:tcPr>
          <w:p w14:paraId="61B6CD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31.6</w:t>
            </w:r>
          </w:p>
        </w:tc>
        <w:tc>
          <w:tcPr>
            <w:tcW w:w="2453" w:type="dxa"/>
            <w:noWrap w:val="0"/>
            <w:vAlign w:val="center"/>
          </w:tcPr>
          <w:p w14:paraId="487FBD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受理投诉方式</w:t>
            </w:r>
          </w:p>
        </w:tc>
        <w:tc>
          <w:tcPr>
            <w:tcW w:w="6380" w:type="dxa"/>
            <w:noWrap w:val="0"/>
            <w:vAlign w:val="center"/>
          </w:tcPr>
          <w:p w14:paraId="1744406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受理方式：纸质方式受理，投诉书正、副本（经过质疑的事项才可投诉）。</w:t>
            </w:r>
          </w:p>
          <w:p w14:paraId="3D80DA5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邮寄地址：</w:t>
            </w:r>
          </w:p>
          <w:p w14:paraId="5F336B89">
            <w:pPr>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名称：梧州市财政局政府采购监督管理科</w:t>
            </w:r>
          </w:p>
          <w:p w14:paraId="1DC72A0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Arial"/>
                <w:color w:val="auto"/>
                <w:sz w:val="22"/>
                <w:szCs w:val="22"/>
                <w:highlight w:val="none"/>
              </w:rPr>
            </w:pPr>
            <w:r>
              <w:rPr>
                <w:rFonts w:hint="eastAsia" w:ascii="仿宋" w:hAnsi="仿宋" w:eastAsia="仿宋" w:cs="仿宋"/>
                <w:color w:val="auto"/>
                <w:sz w:val="22"/>
                <w:szCs w:val="22"/>
                <w:highlight w:val="none"/>
              </w:rPr>
              <w:t>地址：</w:t>
            </w:r>
            <w:r>
              <w:rPr>
                <w:rFonts w:hint="eastAsia" w:ascii="仿宋" w:hAnsi="仿宋" w:eastAsia="仿宋" w:cs="Arial"/>
                <w:color w:val="auto"/>
                <w:sz w:val="22"/>
                <w:szCs w:val="22"/>
                <w:highlight w:val="none"/>
              </w:rPr>
              <w:t>梧州市长洲区三龙大道红岭大厦22楼</w:t>
            </w:r>
          </w:p>
          <w:p w14:paraId="6EB4393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rPr>
              <w:t>联系电话：</w:t>
            </w:r>
            <w:r>
              <w:rPr>
                <w:rFonts w:hint="eastAsia" w:ascii="仿宋" w:hAnsi="仿宋" w:eastAsia="仿宋" w:cs="仿宋"/>
                <w:color w:val="auto"/>
                <w:kern w:val="0"/>
                <w:sz w:val="22"/>
                <w:szCs w:val="22"/>
                <w:highlight w:val="none"/>
                <w:lang w:val="en-US" w:eastAsia="zh-CN"/>
              </w:rPr>
              <w:t>0774-3856434</w:t>
            </w:r>
          </w:p>
        </w:tc>
      </w:tr>
      <w:tr w14:paraId="32D24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noWrap w:val="0"/>
            <w:vAlign w:val="center"/>
          </w:tcPr>
          <w:p w14:paraId="642C8D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33</w:t>
            </w:r>
          </w:p>
        </w:tc>
        <w:tc>
          <w:tcPr>
            <w:tcW w:w="2453" w:type="dxa"/>
            <w:noWrap w:val="0"/>
            <w:vAlign w:val="center"/>
          </w:tcPr>
          <w:p w14:paraId="7B46B6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采购代理费</w:t>
            </w:r>
          </w:p>
        </w:tc>
        <w:tc>
          <w:tcPr>
            <w:tcW w:w="6380" w:type="dxa"/>
            <w:noWrap w:val="0"/>
            <w:vAlign w:val="center"/>
          </w:tcPr>
          <w:p w14:paraId="2F74146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1.是否收取采购代理费：</w:t>
            </w:r>
          </w:p>
          <w:p w14:paraId="10FA8B7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val="en-US" w:eastAsia="zh-CN"/>
              </w:rPr>
              <w:t>√</w:t>
            </w:r>
            <w:r>
              <w:rPr>
                <w:rFonts w:hint="eastAsia" w:ascii="仿宋" w:hAnsi="仿宋" w:eastAsia="仿宋" w:cs="仿宋"/>
                <w:color w:val="auto"/>
                <w:kern w:val="0"/>
                <w:sz w:val="22"/>
                <w:szCs w:val="22"/>
                <w:highlight w:val="none"/>
              </w:rPr>
              <w:t>是    □ 否</w:t>
            </w:r>
          </w:p>
          <w:p w14:paraId="48060CB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2.采购代理费支付方式：</w:t>
            </w:r>
          </w:p>
          <w:p w14:paraId="0B09B43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val="en-US" w:eastAsia="zh-CN"/>
              </w:rPr>
              <w:t>√</w:t>
            </w:r>
            <w:r>
              <w:rPr>
                <w:rFonts w:hint="eastAsia" w:ascii="仿宋" w:hAnsi="仿宋" w:eastAsia="仿宋" w:cs="仿宋"/>
                <w:color w:val="auto"/>
                <w:kern w:val="0"/>
                <w:sz w:val="22"/>
                <w:szCs w:val="22"/>
                <w:highlight w:val="none"/>
              </w:rPr>
              <w:t>本项目代理货物费由</w:t>
            </w:r>
            <w:r>
              <w:rPr>
                <w:rFonts w:hint="eastAsia" w:ascii="仿宋" w:hAnsi="仿宋" w:eastAsia="仿宋" w:cs="仿宋"/>
                <w:color w:val="auto"/>
                <w:kern w:val="0"/>
                <w:sz w:val="22"/>
                <w:szCs w:val="22"/>
                <w:highlight w:val="none"/>
                <w:u w:val="single"/>
              </w:rPr>
              <w:t>成交供应商</w:t>
            </w:r>
            <w:r>
              <w:rPr>
                <w:rFonts w:hint="eastAsia" w:ascii="仿宋" w:hAnsi="仿宋" w:eastAsia="仿宋" w:cs="仿宋"/>
                <w:color w:val="auto"/>
                <w:kern w:val="0"/>
                <w:sz w:val="22"/>
                <w:szCs w:val="22"/>
                <w:highlight w:val="none"/>
              </w:rPr>
              <w:t>领取成交通知书前，一次性向采购代理机构支付。</w:t>
            </w:r>
          </w:p>
          <w:p w14:paraId="6FB2D8E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□采购人支付。</w:t>
            </w:r>
          </w:p>
          <w:p w14:paraId="3A8880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3.采购代理费收取标准：</w:t>
            </w:r>
          </w:p>
          <w:p w14:paraId="1583CD9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val="en-US" w:eastAsia="zh-CN"/>
              </w:rPr>
              <w:t>√</w:t>
            </w:r>
            <w:r>
              <w:rPr>
                <w:rFonts w:hint="eastAsia" w:ascii="仿宋" w:hAnsi="仿宋" w:eastAsia="仿宋" w:cs="仿宋"/>
                <w:color w:val="auto"/>
                <w:kern w:val="0"/>
                <w:sz w:val="22"/>
                <w:szCs w:val="22"/>
                <w:highlight w:val="none"/>
              </w:rPr>
              <w:t>以成交金额为计费额，代理服务费按国家发展计划委员会计价格[2002]1980号《招标代理服务费管理暂行办法》收费标准（货物类）向成交供应商收取。</w:t>
            </w:r>
          </w:p>
          <w:p w14:paraId="569881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2"/>
                <w:szCs w:val="22"/>
                <w:highlight w:val="none"/>
                <w:u w:val="single"/>
              </w:rPr>
            </w:pPr>
            <w:r>
              <w:rPr>
                <w:rFonts w:hint="eastAsia" w:ascii="仿宋" w:hAnsi="仿宋" w:eastAsia="仿宋" w:cs="仿宋"/>
                <w:color w:val="auto"/>
                <w:kern w:val="0"/>
                <w:sz w:val="22"/>
                <w:szCs w:val="22"/>
                <w:highlight w:val="none"/>
              </w:rPr>
              <w:t>□固定采购代理收费</w:t>
            </w:r>
            <w:r>
              <w:rPr>
                <w:rFonts w:hint="eastAsia" w:ascii="仿宋" w:hAnsi="仿宋" w:eastAsia="仿宋" w:cs="仿宋"/>
                <w:color w:val="auto"/>
                <w:kern w:val="0"/>
                <w:sz w:val="22"/>
                <w:szCs w:val="22"/>
                <w:highlight w:val="none"/>
                <w:u w:val="single"/>
              </w:rPr>
              <w:t xml:space="preserve">               </w:t>
            </w:r>
            <w:r>
              <w:rPr>
                <w:rFonts w:hint="eastAsia" w:ascii="仿宋" w:hAnsi="仿宋" w:eastAsia="仿宋" w:cs="仿宋"/>
                <w:color w:val="auto"/>
                <w:kern w:val="0"/>
                <w:sz w:val="22"/>
                <w:szCs w:val="22"/>
                <w:highlight w:val="none"/>
                <w:u w:val="none"/>
              </w:rPr>
              <w:t>。</w:t>
            </w:r>
          </w:p>
          <w:p w14:paraId="20C61EF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4.采购代理费收取银行账户</w:t>
            </w:r>
          </w:p>
          <w:p w14:paraId="6C507B9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户  名：广西大融合工程咨询有限公司</w:t>
            </w:r>
          </w:p>
          <w:p w14:paraId="1F5AC43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开户行：中国建设银行股份有限公司梧州新兴三路支行</w:t>
            </w:r>
          </w:p>
          <w:p w14:paraId="019E5CE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帐  号：45050 16486 55000 00943</w:t>
            </w:r>
          </w:p>
        </w:tc>
      </w:tr>
      <w:tr w14:paraId="6148A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noWrap w:val="0"/>
            <w:vAlign w:val="center"/>
          </w:tcPr>
          <w:p w14:paraId="014E93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34.1</w:t>
            </w:r>
          </w:p>
        </w:tc>
        <w:tc>
          <w:tcPr>
            <w:tcW w:w="2453" w:type="dxa"/>
            <w:noWrap w:val="0"/>
            <w:vAlign w:val="center"/>
          </w:tcPr>
          <w:p w14:paraId="69FC9B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解释</w:t>
            </w:r>
          </w:p>
        </w:tc>
        <w:tc>
          <w:tcPr>
            <w:tcW w:w="6380" w:type="dxa"/>
            <w:noWrap w:val="0"/>
            <w:vAlign w:val="center"/>
          </w:tcPr>
          <w:p w14:paraId="7F35A9F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b/>
                <w:color w:val="auto"/>
                <w:kern w:val="0"/>
                <w:sz w:val="22"/>
                <w:szCs w:val="22"/>
                <w:highlight w:val="none"/>
              </w:rPr>
            </w:pPr>
            <w:r>
              <w:rPr>
                <w:rFonts w:hint="eastAsia" w:ascii="仿宋" w:hAnsi="仿宋" w:eastAsia="仿宋" w:cs="仿宋"/>
                <w:b/>
                <w:bCs/>
                <w:color w:val="auto"/>
                <w:kern w:val="0"/>
                <w:sz w:val="22"/>
                <w:szCs w:val="22"/>
                <w:highlight w:val="none"/>
              </w:rPr>
              <w:t>解释权：</w:t>
            </w:r>
            <w:r>
              <w:rPr>
                <w:rFonts w:hint="eastAsia" w:ascii="仿宋" w:hAnsi="仿宋" w:eastAsia="仿宋" w:cs="仿宋"/>
                <w:color w:val="auto"/>
                <w:kern w:val="0"/>
                <w:sz w:val="22"/>
                <w:szCs w:val="22"/>
                <w:highlight w:val="none"/>
              </w:rPr>
              <w:t>构成本谈判文件的各个组成文件应互为解释，互为说明；除谈判文件中有特别规定外，仅适用于竞标阶段的规定，按更正公告（澄清公告）、竞争性谈判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谈判文件不一致时以更正公告（澄清公告）为准。按本款前述规定仍不能形成结论的，</w:t>
            </w:r>
            <w:r>
              <w:rPr>
                <w:rFonts w:hint="eastAsia" w:ascii="仿宋" w:hAnsi="仿宋" w:eastAsia="仿宋" w:cs="仿宋"/>
                <w:b/>
                <w:color w:val="auto"/>
                <w:kern w:val="0"/>
                <w:sz w:val="22"/>
                <w:szCs w:val="22"/>
                <w:highlight w:val="none"/>
              </w:rPr>
              <w:t>由采购人或者采购代理机构负责解释。</w:t>
            </w:r>
          </w:p>
          <w:p w14:paraId="378242CD">
            <w:pPr>
              <w:keepNext w:val="0"/>
              <w:keepLines w:val="0"/>
              <w:pageBreakBefore w:val="0"/>
              <w:widowControl w:val="0"/>
              <w:tabs>
                <w:tab w:val="left" w:pos="1080"/>
              </w:tabs>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2"/>
                <w:szCs w:val="22"/>
                <w:highlight w:val="none"/>
              </w:rPr>
            </w:pPr>
            <w:r>
              <w:rPr>
                <w:rFonts w:hint="eastAsia" w:ascii="仿宋" w:hAnsi="仿宋" w:eastAsia="仿宋" w:cs="仿宋"/>
                <w:b/>
                <w:bCs/>
                <w:color w:val="auto"/>
                <w:kern w:val="0"/>
                <w:sz w:val="22"/>
                <w:szCs w:val="22"/>
                <w:highlight w:val="none"/>
              </w:rPr>
              <w:t>法律责任：</w:t>
            </w:r>
            <w:r>
              <w:rPr>
                <w:rFonts w:hint="eastAsia" w:ascii="仿宋" w:hAnsi="仿宋" w:eastAsia="仿宋" w:cs="仿宋"/>
                <w:color w:val="auto"/>
                <w:kern w:val="0"/>
                <w:sz w:val="22"/>
                <w:szCs w:val="22"/>
                <w:highlight w:val="none"/>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124F0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noWrap w:val="0"/>
            <w:vAlign w:val="center"/>
          </w:tcPr>
          <w:p w14:paraId="3C7E2B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34.2</w:t>
            </w:r>
          </w:p>
        </w:tc>
        <w:tc>
          <w:tcPr>
            <w:tcW w:w="2453" w:type="dxa"/>
            <w:noWrap w:val="0"/>
            <w:vAlign w:val="center"/>
          </w:tcPr>
          <w:p w14:paraId="41725A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其他</w:t>
            </w:r>
          </w:p>
        </w:tc>
        <w:tc>
          <w:tcPr>
            <w:tcW w:w="6380" w:type="dxa"/>
            <w:noWrap w:val="0"/>
            <w:vAlign w:val="center"/>
          </w:tcPr>
          <w:p w14:paraId="3BA742C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1.本谈判文件中描述供应商的“公章”是指供应商通过指定电子化政府采购平台办理数字证书（CA认证）获得的以法定主体行为名称制作的电子印章。</w:t>
            </w:r>
          </w:p>
          <w:p w14:paraId="6317545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2.本谈判文件中描述供应商的“签字”是指供应商通过指定电子化政府采购平台办理数字证书（CA认证）获得的以供应商法定代表人或者委托代理人姓名制作的电子印章或手写签字。</w:t>
            </w:r>
          </w:p>
          <w:p w14:paraId="0FC33A1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1B25B09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4.自然人竞标的，谈判文件规定盖公章处由自然人摁手指指印。</w:t>
            </w:r>
          </w:p>
          <w:p w14:paraId="05123B8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5.本谈判文件所称的“以上”“以下”“以内”“届满”，包括本数；所称的“不满”“超过”“以外”，不包括本数。</w:t>
            </w:r>
          </w:p>
        </w:tc>
      </w:tr>
    </w:tbl>
    <w:p w14:paraId="5B31D792">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仿宋"/>
          <w:b w:val="0"/>
          <w:color w:val="auto"/>
          <w:highlight w:val="none"/>
        </w:rPr>
      </w:pPr>
      <w:r>
        <w:rPr>
          <w:rFonts w:hint="eastAsia" w:ascii="仿宋" w:hAnsi="仿宋" w:eastAsia="仿宋" w:cs="仿宋"/>
          <w:b w:val="0"/>
          <w:color w:val="auto"/>
          <w:highlight w:val="none"/>
        </w:rPr>
        <w:br w:type="page"/>
      </w:r>
      <w:bookmarkStart w:id="32" w:name="_Toc17691"/>
      <w:r>
        <w:rPr>
          <w:rFonts w:hint="eastAsia" w:ascii="仿宋" w:hAnsi="仿宋" w:eastAsia="仿宋" w:cs="仿宋"/>
          <w:b/>
          <w:bCs w:val="0"/>
          <w:color w:val="auto"/>
          <w:highlight w:val="none"/>
        </w:rPr>
        <w:t>第二节 供应商须知正文</w:t>
      </w:r>
      <w:bookmarkEnd w:id="32"/>
    </w:p>
    <w:p w14:paraId="798F324C">
      <w:pPr>
        <w:pStyle w:val="4"/>
        <w:pageBreakBefore w:val="0"/>
        <w:widowControl w:val="0"/>
        <w:kinsoku/>
        <w:wordWrap/>
        <w:overflowPunct/>
        <w:topLinePunct w:val="0"/>
        <w:autoSpaceDE/>
        <w:autoSpaceDN/>
        <w:bidi w:val="0"/>
        <w:spacing w:before="0" w:after="0" w:line="440" w:lineRule="exact"/>
        <w:ind w:left="0" w:leftChars="0" w:firstLine="562" w:firstLineChars="200"/>
        <w:jc w:val="both"/>
        <w:rPr>
          <w:rFonts w:hint="eastAsia" w:ascii="仿宋" w:hAnsi="仿宋" w:eastAsia="仿宋" w:cs="仿宋"/>
          <w:b/>
          <w:bCs w:val="0"/>
          <w:color w:val="auto"/>
          <w:sz w:val="28"/>
          <w:szCs w:val="28"/>
          <w:highlight w:val="none"/>
        </w:rPr>
      </w:pPr>
      <w:bookmarkStart w:id="33" w:name="_Toc13709"/>
      <w:r>
        <w:rPr>
          <w:rFonts w:hint="eastAsia" w:ascii="仿宋" w:hAnsi="仿宋" w:eastAsia="仿宋" w:cs="仿宋"/>
          <w:b/>
          <w:bCs w:val="0"/>
          <w:color w:val="auto"/>
          <w:sz w:val="28"/>
          <w:szCs w:val="28"/>
          <w:highlight w:val="none"/>
        </w:rPr>
        <w:t>一、总则</w:t>
      </w:r>
      <w:bookmarkEnd w:id="33"/>
    </w:p>
    <w:p w14:paraId="5B150D39">
      <w:pPr>
        <w:pageBreakBefore w:val="0"/>
        <w:widowControl w:val="0"/>
        <w:kinsoku/>
        <w:wordWrap/>
        <w:overflowPunct/>
        <w:topLinePunct w:val="0"/>
        <w:autoSpaceDE/>
        <w:autoSpaceDN/>
        <w:bidi w:val="0"/>
        <w:spacing w:line="440" w:lineRule="exact"/>
        <w:ind w:left="0" w:leftChars="0" w:firstLine="482" w:firstLineChars="20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1.适用范围</w:t>
      </w:r>
    </w:p>
    <w:p w14:paraId="1ACAE8D1">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7A07B512">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w:t>
      </w:r>
      <w:r>
        <w:rPr>
          <w:rFonts w:hint="eastAsia" w:ascii="仿宋" w:hAnsi="仿宋" w:eastAsia="仿宋" w:cs="仿宋"/>
          <w:color w:val="auto"/>
          <w:spacing w:val="-6"/>
          <w:sz w:val="22"/>
          <w:szCs w:val="22"/>
          <w:highlight w:val="none"/>
        </w:rPr>
        <w:t>本竞争性谈判文件（以下简称谈判文件）适用于本项目的所有采购程序和环节（法律、法规另有规定的，从其规定）。</w:t>
      </w:r>
    </w:p>
    <w:p w14:paraId="19488C1D">
      <w:pPr>
        <w:pageBreakBefore w:val="0"/>
        <w:widowControl w:val="0"/>
        <w:kinsoku/>
        <w:wordWrap/>
        <w:overflowPunct/>
        <w:topLinePunct w:val="0"/>
        <w:autoSpaceDE/>
        <w:autoSpaceDN/>
        <w:bidi w:val="0"/>
        <w:spacing w:line="440" w:lineRule="exact"/>
        <w:ind w:left="0" w:leftChars="0" w:firstLine="482" w:firstLineChars="200"/>
        <w:jc w:val="both"/>
        <w:rPr>
          <w:rFonts w:hint="eastAsia" w:ascii="仿宋" w:hAnsi="仿宋" w:eastAsia="仿宋" w:cs="仿宋"/>
          <w:color w:val="auto"/>
          <w:szCs w:val="21"/>
          <w:highlight w:val="none"/>
        </w:rPr>
      </w:pPr>
      <w:r>
        <w:rPr>
          <w:rFonts w:hint="eastAsia" w:ascii="仿宋" w:hAnsi="仿宋" w:eastAsia="仿宋" w:cs="仿宋"/>
          <w:b/>
          <w:bCs/>
          <w:color w:val="auto"/>
          <w:sz w:val="24"/>
          <w:highlight w:val="none"/>
        </w:rPr>
        <w:t>2.定义</w:t>
      </w:r>
    </w:p>
    <w:p w14:paraId="123B2DFC">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2.1“采购人”是指依法进行采购的国家机关、事业单位、团体组织。</w:t>
      </w:r>
    </w:p>
    <w:p w14:paraId="28337F67">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b/>
          <w:color w:val="auto"/>
          <w:sz w:val="22"/>
          <w:szCs w:val="22"/>
          <w:highlight w:val="none"/>
        </w:rPr>
      </w:pPr>
      <w:r>
        <w:rPr>
          <w:rFonts w:hint="eastAsia" w:ascii="仿宋" w:hAnsi="仿宋" w:eastAsia="仿宋" w:cs="仿宋"/>
          <w:color w:val="auto"/>
          <w:sz w:val="22"/>
          <w:szCs w:val="22"/>
          <w:highlight w:val="none"/>
        </w:rPr>
        <w:t>2.2“采购代理机构”是指政府采购集中采购机构和集中采购机构以外的采购代理机构。</w:t>
      </w:r>
    </w:p>
    <w:p w14:paraId="266FFABC">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2.3“供应商”是指向采购人提供货物、工程或者服务的法人、其他组织或者自然人。</w:t>
      </w:r>
    </w:p>
    <w:p w14:paraId="0E5BF676">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2.4“货物”是指各种形态和种类的物品，包括原材料、燃料、设备、产品等。</w:t>
      </w:r>
    </w:p>
    <w:p w14:paraId="114FE3C4">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2.5“竞标”是指按照本项目竞争性谈判公告或者邀请函规定的方式供应商获取谈判文件、提交响应文件并希望获得标的的行为。</w:t>
      </w:r>
    </w:p>
    <w:p w14:paraId="0EFFD5CD">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2.6“售后服务” 是指包含但不限于供应商须承担的备品备件、包装、运输、装卸、保险、货到就位以及安装、调试、培训、保修和其他类似的义务。</w:t>
      </w:r>
    </w:p>
    <w:p w14:paraId="2F5415E6">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2.7“书面形式”是指合同书、信件和数据电文（包括电报、电传、传真、电子数据交换和电子邮件）等可以有形地表现所载内容的形式。</w:t>
      </w:r>
    </w:p>
    <w:p w14:paraId="48C5B09B">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2.8“响应文件”</w:t>
      </w:r>
      <w:r>
        <w:rPr>
          <w:rFonts w:hint="eastAsia" w:ascii="仿宋" w:hAnsi="仿宋" w:eastAsia="仿宋" w:cs="仿宋"/>
          <w:color w:val="auto"/>
          <w:spacing w:val="-6"/>
          <w:sz w:val="22"/>
          <w:szCs w:val="22"/>
          <w:highlight w:val="none"/>
        </w:rPr>
        <w:t>是指：供应商根据本文件要求，编制包含报价、技术和货物等所有内容的文件。</w:t>
      </w:r>
    </w:p>
    <w:p w14:paraId="3A60DCE6">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2.9“实质性要求”是指采购需求中带“▲”的条款或者不能负偏离的条款或者已经指明不满足按响应文件作无效处理的条款。</w:t>
      </w:r>
    </w:p>
    <w:p w14:paraId="7275CBEC">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2.10“正偏离”，是指响应文件对谈判文件“采购需求”中有关条款作出优于条款要求并有利于采购人的响应情形；</w:t>
      </w:r>
    </w:p>
    <w:p w14:paraId="1D657403">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2.11“负偏离”，是指响应文件对谈判文件“采购需求”中有关条款作出的响应不满足条款要求，导致采购人要求不能得到满足的情形。</w:t>
      </w:r>
    </w:p>
    <w:p w14:paraId="38E30E79">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2.12“允许负偏离的条款”是指采购需求中的不属于“实质性要求”的条款。</w:t>
      </w:r>
    </w:p>
    <w:p w14:paraId="5E9895EB">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Cs w:val="21"/>
          <w:highlight w:val="none"/>
        </w:rPr>
      </w:pPr>
      <w:r>
        <w:rPr>
          <w:rFonts w:hint="eastAsia" w:ascii="仿宋" w:hAnsi="仿宋" w:eastAsia="仿宋" w:cs="仿宋"/>
          <w:color w:val="auto"/>
          <w:sz w:val="22"/>
          <w:szCs w:val="22"/>
          <w:highlight w:val="none"/>
        </w:rPr>
        <w:t>2.13“首次报价”是指供应商提交的首次响应文件中的竞标报价。</w:t>
      </w:r>
    </w:p>
    <w:p w14:paraId="510EEDA7">
      <w:pPr>
        <w:pageBreakBefore w:val="0"/>
        <w:widowControl w:val="0"/>
        <w:kinsoku/>
        <w:wordWrap/>
        <w:overflowPunct/>
        <w:topLinePunct w:val="0"/>
        <w:autoSpaceDE/>
        <w:autoSpaceDN/>
        <w:bidi w:val="0"/>
        <w:spacing w:line="440" w:lineRule="exact"/>
        <w:ind w:left="0" w:leftChars="0" w:firstLine="482" w:firstLineChars="200"/>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3.供应商的资格条件</w:t>
      </w:r>
    </w:p>
    <w:p w14:paraId="2B8475DB">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供应商的资格条件详见“供应商须知前附表”。</w:t>
      </w:r>
    </w:p>
    <w:p w14:paraId="1124CCB9">
      <w:pPr>
        <w:pageBreakBefore w:val="0"/>
        <w:widowControl w:val="0"/>
        <w:kinsoku/>
        <w:wordWrap/>
        <w:overflowPunct/>
        <w:topLinePunct w:val="0"/>
        <w:autoSpaceDE/>
        <w:autoSpaceDN/>
        <w:bidi w:val="0"/>
        <w:spacing w:line="440" w:lineRule="exact"/>
        <w:ind w:left="0" w:leftChars="0" w:firstLine="482" w:firstLineChars="200"/>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4.谈判费用</w:t>
      </w:r>
    </w:p>
    <w:p w14:paraId="20A737D2">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供应商应承担参与本次采购活动有关的所有费用，包括但不限于、勘查现场、编制和提交响应文件、参加谈判与应答、签订合同等，不论竞标结果如何，均应自行承担。</w:t>
      </w:r>
    </w:p>
    <w:p w14:paraId="39619C33">
      <w:pPr>
        <w:pageBreakBefore w:val="0"/>
        <w:widowControl w:val="0"/>
        <w:kinsoku/>
        <w:wordWrap/>
        <w:overflowPunct/>
        <w:topLinePunct w:val="0"/>
        <w:autoSpaceDE/>
        <w:autoSpaceDN/>
        <w:bidi w:val="0"/>
        <w:spacing w:line="440" w:lineRule="exact"/>
        <w:ind w:left="0" w:leftChars="0" w:firstLine="482" w:firstLineChars="200"/>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5.联合体竞标</w:t>
      </w:r>
    </w:p>
    <w:p w14:paraId="065F5858">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5.1本项目是否接受联合体竞标，详见“供应商须知前附表”。</w:t>
      </w:r>
    </w:p>
    <w:p w14:paraId="365483C3">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5.2</w:t>
      </w:r>
      <w:r>
        <w:rPr>
          <w:rFonts w:hint="eastAsia" w:ascii="仿宋" w:hAnsi="仿宋" w:eastAsia="仿宋" w:cs="仿宋"/>
          <w:color w:val="auto"/>
          <w:sz w:val="22"/>
          <w:szCs w:val="28"/>
          <w:highlight w:val="none"/>
        </w:rPr>
        <w:t>如接受联合体竞标，</w:t>
      </w:r>
      <w:r>
        <w:rPr>
          <w:rFonts w:hint="eastAsia" w:ascii="仿宋" w:hAnsi="仿宋" w:eastAsia="仿宋" w:cs="仿宋"/>
          <w:color w:val="auto"/>
          <w:sz w:val="22"/>
          <w:szCs w:val="22"/>
          <w:highlight w:val="none"/>
        </w:rPr>
        <w:t>联合体竞标要求详见“供应商须知前附表”。</w:t>
      </w:r>
    </w:p>
    <w:p w14:paraId="5B83B7E8">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bCs/>
          <w:color w:val="auto"/>
          <w:szCs w:val="21"/>
          <w:highlight w:val="none"/>
        </w:rPr>
      </w:pPr>
      <w:r>
        <w:rPr>
          <w:rFonts w:hint="eastAsia" w:ascii="仿宋" w:hAnsi="仿宋" w:eastAsia="仿宋" w:cs="仿宋"/>
          <w:bCs/>
          <w:color w:val="auto"/>
          <w:sz w:val="22"/>
          <w:szCs w:val="22"/>
          <w:highlight w:val="none"/>
        </w:rPr>
        <w:t>5.3根据《政府采购促进中小企业发展暂行办法》（财库[2020]46号）第九条及《广西壮族自治区财政厅关于进一步发挥政府采购政策功能促进企业发展的通知》（桂财采〔2022〕30号）第四条的通知规定，接受大中型企业与小微企业组成联合体的采购项目，对于联合协议约定小微企业的合同份额占到合同总金额30%以上的，采购人、采购代理机构应当对联合体的报价给予4%-6%的扣除，用扣除后的价格参加评审。组成联合体的小微企业与联合体内其他企业、分包企业之间存在直接控股、管理关系的，不享受价格扣除优惠政策。</w:t>
      </w:r>
    </w:p>
    <w:p w14:paraId="098FE52A">
      <w:pPr>
        <w:pageBreakBefore w:val="0"/>
        <w:widowControl w:val="0"/>
        <w:kinsoku/>
        <w:wordWrap/>
        <w:overflowPunct/>
        <w:topLinePunct w:val="0"/>
        <w:autoSpaceDE/>
        <w:autoSpaceDN/>
        <w:bidi w:val="0"/>
        <w:spacing w:line="440" w:lineRule="exact"/>
        <w:ind w:left="0" w:leftChars="0" w:firstLine="482" w:firstLineChars="200"/>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6.转包与分包             </w:t>
      </w:r>
    </w:p>
    <w:p w14:paraId="2064E7D7">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6.1本项目是否允许分包详见“供应商须知前附表”，本项目不允许违法分包。</w:t>
      </w:r>
    </w:p>
    <w:p w14:paraId="22943662">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Cs w:val="21"/>
          <w:highlight w:val="none"/>
        </w:rPr>
      </w:pPr>
      <w:r>
        <w:rPr>
          <w:rFonts w:hint="eastAsia" w:ascii="仿宋" w:hAnsi="仿宋" w:eastAsia="仿宋" w:cs="仿宋"/>
          <w:color w:val="auto"/>
          <w:sz w:val="22"/>
          <w:szCs w:val="22"/>
          <w:highlight w:val="none"/>
        </w:rPr>
        <w:t>6.2根据《政府采购促进中小企业发展暂行办法》（财库[2020]46号）第九条及《广西壮族自治区财政厅关于贯彻落实政府采购支持中小企业发展政策的通知》（桂财采〔2022〕31号）第三条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r>
        <w:rPr>
          <w:rFonts w:hint="eastAsia" w:ascii="仿宋" w:hAnsi="仿宋" w:eastAsia="仿宋" w:cs="仿宋"/>
          <w:bCs/>
          <w:color w:val="auto"/>
          <w:sz w:val="22"/>
          <w:szCs w:val="22"/>
          <w:highlight w:val="none"/>
        </w:rPr>
        <w:t>。</w:t>
      </w:r>
    </w:p>
    <w:p w14:paraId="4372B5FD">
      <w:pPr>
        <w:pageBreakBefore w:val="0"/>
        <w:widowControl w:val="0"/>
        <w:kinsoku/>
        <w:wordWrap/>
        <w:overflowPunct/>
        <w:topLinePunct w:val="0"/>
        <w:autoSpaceDE/>
        <w:autoSpaceDN/>
        <w:bidi w:val="0"/>
        <w:spacing w:line="440" w:lineRule="exact"/>
        <w:ind w:left="0" w:leftChars="0" w:firstLine="482" w:firstLineChars="200"/>
        <w:jc w:val="both"/>
        <w:rPr>
          <w:rFonts w:hint="eastAsia" w:ascii="仿宋" w:hAnsi="仿宋" w:eastAsia="仿宋" w:cs="仿宋"/>
          <w:b/>
          <w:bCs/>
          <w:color w:val="auto"/>
          <w:sz w:val="24"/>
          <w:highlight w:val="none"/>
        </w:rPr>
      </w:pPr>
      <w:bookmarkStart w:id="34" w:name="_Toc254970532"/>
      <w:bookmarkStart w:id="35" w:name="_Toc254970673"/>
      <w:r>
        <w:rPr>
          <w:rFonts w:hint="eastAsia" w:ascii="仿宋" w:hAnsi="仿宋" w:eastAsia="仿宋" w:cs="仿宋"/>
          <w:b/>
          <w:bCs/>
          <w:color w:val="auto"/>
          <w:sz w:val="24"/>
          <w:highlight w:val="none"/>
        </w:rPr>
        <w:t>7.特别说明</w:t>
      </w:r>
      <w:bookmarkEnd w:id="34"/>
      <w:bookmarkEnd w:id="35"/>
    </w:p>
    <w:p w14:paraId="0D6D4E69">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bookmarkStart w:id="36" w:name="_8.1提供相同品牌产品且通过资格审查、符合性审查的不同投标人参加同一合"/>
      <w:bookmarkEnd w:id="36"/>
      <w:r>
        <w:rPr>
          <w:rFonts w:hint="eastAsia" w:ascii="仿宋" w:hAnsi="仿宋" w:eastAsia="仿宋" w:cs="仿宋"/>
          <w:color w:val="auto"/>
          <w:sz w:val="22"/>
          <w:szCs w:val="22"/>
          <w:highlight w:val="none"/>
        </w:rPr>
        <w:t>7.1提供相同品牌产品的不同供应商参加同一合同项下竞标的，以其中通过资格审查、符合性审查、谈判且最后报价最低的参加报价评审；最后报价相同的，由采购人或者采购人委托谈判小组按照竞争性谈判文件规定的方式确定一个参加评标的供应商，竞争性谈判文件未规定的采取随机抽取方式确定，其他响应文件作无效处理。</w:t>
      </w:r>
    </w:p>
    <w:p w14:paraId="0C48A99C">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非单一产品采购项目，多家供应商提供的核心产品品牌相同的，按前款规定处理。</w:t>
      </w:r>
    </w:p>
    <w:p w14:paraId="0A1E8DD5">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如果本谈判文件要求提供供应商或制造商的资格、信誉、荣誉、业绩与企业认证等材料的，资格、信誉、荣誉、业绩与企业认证等必须为供应商或者制造商所拥有或自身获得。</w:t>
      </w:r>
    </w:p>
    <w:p w14:paraId="3B195FEF">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供应商应仔细阅读谈判文件的所有内容，按照谈判文件的要求提交响应文件，并对所提供的全部资料的真实性承担法律责任。</w:t>
      </w:r>
    </w:p>
    <w:p w14:paraId="2C026EC7">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w:t>
      </w: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供应商在竞标活动中提供任何虚假材料</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其响应文件作无效处理，并报监管部门查处；签订合同后发现的</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成交供应商须依照《中华人民共和国消费者权益保护法》规定赔偿采购人，且民事赔偿并不免除违法供应商的行政与刑事责任。</w:t>
      </w:r>
    </w:p>
    <w:p w14:paraId="5A9C4554">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在政府采购活动中，采购人员及相关人员与供应商有下列利害关系之一的，应当回避：</w:t>
      </w:r>
    </w:p>
    <w:p w14:paraId="11AD0327">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（1）参加采购活动前3年内与供应商存在劳动关系；</w:t>
      </w:r>
    </w:p>
    <w:p w14:paraId="36ED7D46">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（2）参加采购活动前3年内担任供应商的董事、监事；</w:t>
      </w:r>
    </w:p>
    <w:p w14:paraId="2DB7A4FE">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（3）参加采购活动前3年内是供应商的控股股东或者实际控制人；</w:t>
      </w:r>
    </w:p>
    <w:p w14:paraId="1164DE75">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（4）与供应商的法定代表人或者负责人有夫妻、直系血亲、三代以内旁系血亲或者近姻亲关系；</w:t>
      </w:r>
    </w:p>
    <w:p w14:paraId="36BE5DCE">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（5）与供应商有其他可能影响政府采购活动公平、公正进行的关系。</w:t>
      </w:r>
    </w:p>
    <w:p w14:paraId="48F5AF33">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157F3F9">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w:t>
      </w:r>
      <w:r>
        <w:rPr>
          <w:rFonts w:hint="eastAsia" w:ascii="仿宋" w:hAnsi="仿宋" w:eastAsia="仿宋" w:cs="仿宋"/>
          <w:color w:val="auto"/>
          <w:sz w:val="22"/>
          <w:szCs w:val="22"/>
          <w:highlight w:val="none"/>
          <w:lang w:val="en-US" w:eastAsia="zh-CN"/>
        </w:rPr>
        <w:t>6</w:t>
      </w:r>
      <w:r>
        <w:rPr>
          <w:rFonts w:hint="eastAsia" w:ascii="仿宋" w:hAnsi="仿宋" w:eastAsia="仿宋" w:cs="仿宋"/>
          <w:color w:val="auto"/>
          <w:sz w:val="22"/>
          <w:szCs w:val="22"/>
          <w:highlight w:val="none"/>
        </w:rPr>
        <w:t>有下列情形之一的视为供应商相互串通竞标，响应文件将被视为无效：</w:t>
      </w:r>
    </w:p>
    <w:p w14:paraId="472262C8">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（1）不同供应商的响应文件由同一单位或者个人编制；</w:t>
      </w:r>
    </w:p>
    <w:p w14:paraId="02E09A99">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（2）不同供应商委托同一单位或者个人办理竞标事宜；</w:t>
      </w:r>
    </w:p>
    <w:p w14:paraId="6E46B87D">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（3）不同的供应商的响应文件载明的项目管理员为同一个人；</w:t>
      </w:r>
    </w:p>
    <w:p w14:paraId="614862A5">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（4）不同供应商的响应文件异常一致或者报价呈规律性差异；</w:t>
      </w:r>
    </w:p>
    <w:p w14:paraId="1985105B">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（5）不同供应商的响应文件相互混装；</w:t>
      </w:r>
    </w:p>
    <w:p w14:paraId="008D2B33">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w:t>
      </w:r>
      <w:r>
        <w:rPr>
          <w:rFonts w:hint="eastAsia" w:ascii="仿宋" w:hAnsi="仿宋" w:eastAsia="仿宋" w:cs="仿宋"/>
          <w:color w:val="auto"/>
          <w:sz w:val="22"/>
          <w:szCs w:val="22"/>
          <w:highlight w:val="none"/>
          <w:lang w:val="en-US" w:eastAsia="zh-CN"/>
        </w:rPr>
        <w:t>7</w:t>
      </w:r>
      <w:r>
        <w:rPr>
          <w:rFonts w:hint="eastAsia" w:ascii="仿宋" w:hAnsi="仿宋" w:eastAsia="仿宋" w:cs="仿宋"/>
          <w:color w:val="auto"/>
          <w:sz w:val="22"/>
          <w:szCs w:val="22"/>
          <w:highlight w:val="none"/>
        </w:rPr>
        <w:t>供应商有下列情形之一的，属于恶意串通行为</w:t>
      </w:r>
      <w:bookmarkStart w:id="37" w:name="_Hlk54682620"/>
      <w:r>
        <w:rPr>
          <w:rFonts w:hint="eastAsia" w:ascii="仿宋" w:hAnsi="仿宋" w:eastAsia="仿宋" w:cs="仿宋"/>
          <w:color w:val="auto"/>
          <w:sz w:val="22"/>
          <w:szCs w:val="22"/>
          <w:highlight w:val="none"/>
        </w:rPr>
        <w:t>，将报同级监督管理部门</w:t>
      </w:r>
      <w:bookmarkEnd w:id="37"/>
      <w:r>
        <w:rPr>
          <w:rFonts w:hint="eastAsia" w:ascii="仿宋" w:hAnsi="仿宋" w:eastAsia="仿宋" w:cs="仿宋"/>
          <w:color w:val="auto"/>
          <w:sz w:val="22"/>
          <w:szCs w:val="22"/>
          <w:highlight w:val="none"/>
        </w:rPr>
        <w:t>：</w:t>
      </w:r>
    </w:p>
    <w:p w14:paraId="2BD66113">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（1）供应商直接或者间接从采购人或者采购代理机构处获得其他供应商的相关信息并修改其响应文件；</w:t>
      </w:r>
    </w:p>
    <w:p w14:paraId="6FED3920">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（2）供应商按照采购人或者采购代理机构的授意撤换、修改响应文件；</w:t>
      </w:r>
    </w:p>
    <w:p w14:paraId="55ADD7A3">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（3）供应商之间协商报价、技术方案等响应文件或者响应文件的实质性内容；</w:t>
      </w:r>
    </w:p>
    <w:p w14:paraId="20A81DDC">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（4）属于同一集团、协会、商会等组织成员的供应商按照该组织要求协同参加政府采购活动；</w:t>
      </w:r>
    </w:p>
    <w:p w14:paraId="4B6D0412">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（5）供应商之间事先约定一致抬高或者压低报价</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或者在政府采购活动中事先约定轮流以高价位或者低价位成交</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或者事先约定由某一特定供应商成交</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然后再参加竞标；</w:t>
      </w:r>
    </w:p>
    <w:p w14:paraId="272C28EA">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（6）供应商之间商定部分供应商放弃参加政府采购活动或者放弃成交；</w:t>
      </w:r>
    </w:p>
    <w:p w14:paraId="10B5F9D3">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highlight w:val="none"/>
        </w:rPr>
      </w:pPr>
      <w:r>
        <w:rPr>
          <w:rFonts w:hint="eastAsia" w:ascii="仿宋" w:hAnsi="仿宋" w:eastAsia="仿宋" w:cs="仿宋"/>
          <w:color w:val="auto"/>
          <w:sz w:val="22"/>
          <w:szCs w:val="28"/>
          <w:highlight w:val="none"/>
        </w:rPr>
        <w:t>（7）供应商与采购人或者采购代理机构之间、供应商相互之间，为谋求特定供应商成交或者排斥其他供应商的其他串通行为。</w:t>
      </w:r>
      <w:bookmarkStart w:id="38" w:name="_Toc254970534"/>
      <w:bookmarkStart w:id="39" w:name="_Toc254970675"/>
    </w:p>
    <w:p w14:paraId="3C9E7D26">
      <w:pPr>
        <w:pStyle w:val="4"/>
        <w:keepNext/>
        <w:keepLines/>
        <w:pageBreakBefore w:val="0"/>
        <w:widowControl w:val="0"/>
        <w:kinsoku/>
        <w:wordWrap/>
        <w:overflowPunct/>
        <w:topLinePunct w:val="0"/>
        <w:autoSpaceDE/>
        <w:autoSpaceDN/>
        <w:bidi w:val="0"/>
        <w:adjustRightInd/>
        <w:snapToGrid/>
        <w:spacing w:before="0" w:after="0" w:line="440" w:lineRule="exact"/>
        <w:ind w:left="0" w:leftChars="0" w:firstLine="562" w:firstLineChars="200"/>
        <w:jc w:val="both"/>
        <w:textAlignment w:val="auto"/>
        <w:rPr>
          <w:rFonts w:hint="eastAsia" w:ascii="仿宋" w:hAnsi="仿宋" w:eastAsia="仿宋" w:cs="仿宋"/>
          <w:b/>
          <w:bCs/>
          <w:color w:val="auto"/>
          <w:sz w:val="28"/>
          <w:szCs w:val="28"/>
          <w:highlight w:val="none"/>
        </w:rPr>
      </w:pPr>
      <w:bookmarkStart w:id="40" w:name="_Toc12408"/>
      <w:r>
        <w:rPr>
          <w:rFonts w:hint="eastAsia" w:ascii="仿宋" w:hAnsi="仿宋" w:eastAsia="仿宋" w:cs="仿宋"/>
          <w:b/>
          <w:bCs/>
          <w:color w:val="auto"/>
          <w:sz w:val="28"/>
          <w:szCs w:val="28"/>
          <w:highlight w:val="none"/>
        </w:rPr>
        <w:t>二、谈判文件</w:t>
      </w:r>
      <w:bookmarkEnd w:id="38"/>
      <w:bookmarkEnd w:id="39"/>
      <w:bookmarkEnd w:id="40"/>
    </w:p>
    <w:p w14:paraId="7D574AB5">
      <w:pPr>
        <w:pageBreakBefore w:val="0"/>
        <w:widowControl w:val="0"/>
        <w:kinsoku/>
        <w:wordWrap/>
        <w:overflowPunct/>
        <w:topLinePunct w:val="0"/>
        <w:autoSpaceDE/>
        <w:autoSpaceDN/>
        <w:bidi w:val="0"/>
        <w:spacing w:line="440" w:lineRule="exact"/>
        <w:ind w:left="0" w:leftChars="0" w:firstLine="482" w:firstLineChars="200"/>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8.谈判文件的构成</w:t>
      </w:r>
    </w:p>
    <w:p w14:paraId="6F1E5323">
      <w:pPr>
        <w:pageBreakBefore w:val="0"/>
        <w:widowControl w:val="0"/>
        <w:kinsoku/>
        <w:wordWrap/>
        <w:overflowPunct/>
        <w:topLinePunct w:val="0"/>
        <w:autoSpaceDE/>
        <w:autoSpaceDN/>
        <w:bidi w:val="0"/>
        <w:spacing w:line="440" w:lineRule="exact"/>
        <w:ind w:left="0" w:leftChars="0"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第一章 竞争性谈判公告；</w:t>
      </w:r>
    </w:p>
    <w:p w14:paraId="5900F7BB">
      <w:pPr>
        <w:pageBreakBefore w:val="0"/>
        <w:widowControl w:val="0"/>
        <w:kinsoku/>
        <w:wordWrap/>
        <w:overflowPunct/>
        <w:topLinePunct w:val="0"/>
        <w:autoSpaceDE/>
        <w:autoSpaceDN/>
        <w:bidi w:val="0"/>
        <w:spacing w:line="440" w:lineRule="exact"/>
        <w:ind w:left="0" w:leftChars="0"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第二章 采购需求；</w:t>
      </w:r>
    </w:p>
    <w:p w14:paraId="71130608">
      <w:pPr>
        <w:pageBreakBefore w:val="0"/>
        <w:widowControl w:val="0"/>
        <w:kinsoku/>
        <w:wordWrap/>
        <w:overflowPunct/>
        <w:topLinePunct w:val="0"/>
        <w:autoSpaceDE/>
        <w:autoSpaceDN/>
        <w:bidi w:val="0"/>
        <w:spacing w:line="440" w:lineRule="exact"/>
        <w:ind w:left="0" w:leftChars="0"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第三章 供应商须知； </w:t>
      </w:r>
    </w:p>
    <w:p w14:paraId="3654C91B">
      <w:pPr>
        <w:pageBreakBefore w:val="0"/>
        <w:widowControl w:val="0"/>
        <w:kinsoku/>
        <w:wordWrap/>
        <w:overflowPunct/>
        <w:topLinePunct w:val="0"/>
        <w:autoSpaceDE/>
        <w:autoSpaceDN/>
        <w:bidi w:val="0"/>
        <w:spacing w:line="440" w:lineRule="exact"/>
        <w:ind w:left="0" w:leftChars="0"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第四章 评审程序、评审方法和成交标准；</w:t>
      </w:r>
    </w:p>
    <w:p w14:paraId="07F97368">
      <w:pPr>
        <w:pageBreakBefore w:val="0"/>
        <w:widowControl w:val="0"/>
        <w:kinsoku/>
        <w:wordWrap/>
        <w:overflowPunct/>
        <w:topLinePunct w:val="0"/>
        <w:autoSpaceDE/>
        <w:autoSpaceDN/>
        <w:bidi w:val="0"/>
        <w:spacing w:line="440" w:lineRule="exact"/>
        <w:ind w:left="0" w:leftChars="0"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第五章 响应文件格式；</w:t>
      </w:r>
    </w:p>
    <w:p w14:paraId="2CF26025">
      <w:pPr>
        <w:pageBreakBefore w:val="0"/>
        <w:widowControl w:val="0"/>
        <w:kinsoku/>
        <w:wordWrap/>
        <w:overflowPunct/>
        <w:topLinePunct w:val="0"/>
        <w:autoSpaceDE/>
        <w:autoSpaceDN/>
        <w:bidi w:val="0"/>
        <w:spacing w:line="440" w:lineRule="exact"/>
        <w:ind w:left="0" w:leftChars="0"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第六章 合同文本；</w:t>
      </w:r>
    </w:p>
    <w:p w14:paraId="0A68AE5A">
      <w:pPr>
        <w:pageBreakBefore w:val="0"/>
        <w:widowControl w:val="0"/>
        <w:kinsoku/>
        <w:wordWrap/>
        <w:overflowPunct/>
        <w:topLinePunct w:val="0"/>
        <w:autoSpaceDE/>
        <w:autoSpaceDN/>
        <w:bidi w:val="0"/>
        <w:spacing w:line="440" w:lineRule="exact"/>
        <w:ind w:left="0" w:leftChars="0"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第七章 质疑、投诉材料格式。</w:t>
      </w:r>
    </w:p>
    <w:p w14:paraId="2AAF2688">
      <w:pPr>
        <w:pageBreakBefore w:val="0"/>
        <w:widowControl w:val="0"/>
        <w:kinsoku/>
        <w:wordWrap/>
        <w:overflowPunct/>
        <w:topLinePunct w:val="0"/>
        <w:autoSpaceDE/>
        <w:autoSpaceDN/>
        <w:bidi w:val="0"/>
        <w:spacing w:line="440" w:lineRule="exact"/>
        <w:ind w:left="0" w:leftChars="0" w:firstLine="482" w:firstLineChars="200"/>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9.供应商的询问</w:t>
      </w:r>
    </w:p>
    <w:p w14:paraId="66A38409">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供应商应认真阅读谈判文件的采购需求，如供应商对谈判文件有疑问的，如要求采购人作出澄清或者修改的，供应商尽应在提交首次响应文件截止之日前，以书面形式向采购人、采购代理机构提出。</w:t>
      </w:r>
    </w:p>
    <w:p w14:paraId="21DC470B">
      <w:pPr>
        <w:pageBreakBefore w:val="0"/>
        <w:widowControl w:val="0"/>
        <w:kinsoku/>
        <w:wordWrap/>
        <w:overflowPunct/>
        <w:topLinePunct w:val="0"/>
        <w:autoSpaceDE/>
        <w:autoSpaceDN/>
        <w:bidi w:val="0"/>
        <w:spacing w:line="440" w:lineRule="exact"/>
        <w:ind w:left="0" w:leftChars="0" w:firstLine="482" w:firstLineChars="200"/>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10.谈判文件的澄清和修改</w:t>
      </w:r>
    </w:p>
    <w:p w14:paraId="3FE912A0">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10.1已获取谈判文件的潜在供应商，若有问题需要澄清，应于应标截止时间前，以书面形式向采购代理机构提出，采购代理机构与采购人研究后，对认为有必要回答的问题，按照本章10.3的内容处理。</w:t>
      </w:r>
    </w:p>
    <w:p w14:paraId="5585F8E1">
      <w:pPr>
        <w:pageBreakBefore w:val="0"/>
        <w:widowControl w:val="0"/>
        <w:kinsoku/>
        <w:wordWrap/>
        <w:overflowPunct/>
        <w:topLinePunct w:val="0"/>
        <w:autoSpaceDE/>
        <w:autoSpaceDN/>
        <w:bidi w:val="0"/>
        <w:spacing w:line="440" w:lineRule="exact"/>
        <w:ind w:left="0" w:leftChars="0" w:firstLine="442" w:firstLineChars="200"/>
        <w:jc w:val="both"/>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14:paraId="37271670">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日3个工作日前，以书面形式（目前为网上公告和系统短信等形式）通知所有获取谈判文件的供应商，不足3个工作日的，应当顺延提交首次响应文件截止之日。</w:t>
      </w:r>
    </w:p>
    <w:p w14:paraId="393BD011">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10.4</w:t>
      </w:r>
      <w:r>
        <w:rPr>
          <w:rFonts w:hint="eastAsia" w:ascii="仿宋" w:hAnsi="仿宋" w:eastAsia="仿宋" w:cs="仿宋"/>
          <w:color w:val="auto"/>
          <w:sz w:val="22"/>
          <w:szCs w:val="28"/>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6A54CEBC">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10.5采购人和采购代理机构可以视采购具体情况，变更提交首次响应文件截止时间和竞谈时间，将变更时间将在“采购文件公告”中“七、其他补充事宜2.网上查询地址”规定的政府采购信息发布媒体上发布更正公告。</w:t>
      </w:r>
    </w:p>
    <w:p w14:paraId="21214347">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w:t>
      </w:r>
      <w:r>
        <w:rPr>
          <w:rFonts w:hint="eastAsia" w:ascii="仿宋" w:hAnsi="仿宋" w:eastAsia="仿宋" w:cs="仿宋"/>
          <w:b/>
          <w:color w:val="auto"/>
          <w:kern w:val="0"/>
          <w:sz w:val="22"/>
          <w:szCs w:val="22"/>
          <w:highlight w:val="none"/>
        </w:rPr>
        <w:t>响应文件未按谈判文件的澄清、修改的内容编制，又不符合实质性要求的，其响应文件作无效处理。</w:t>
      </w:r>
    </w:p>
    <w:p w14:paraId="310E5DCF">
      <w:pPr>
        <w:pStyle w:val="4"/>
        <w:keepNext/>
        <w:keepLines/>
        <w:pageBreakBefore w:val="0"/>
        <w:widowControl w:val="0"/>
        <w:kinsoku/>
        <w:wordWrap/>
        <w:overflowPunct/>
        <w:topLinePunct w:val="0"/>
        <w:autoSpaceDE/>
        <w:autoSpaceDN/>
        <w:bidi w:val="0"/>
        <w:adjustRightInd/>
        <w:snapToGrid/>
        <w:spacing w:before="0" w:after="0" w:line="440" w:lineRule="exact"/>
        <w:ind w:left="0" w:leftChars="0" w:firstLine="562" w:firstLineChars="200"/>
        <w:jc w:val="both"/>
        <w:textAlignment w:val="auto"/>
        <w:rPr>
          <w:rFonts w:hint="eastAsia" w:ascii="仿宋" w:hAnsi="仿宋" w:eastAsia="仿宋" w:cs="仿宋"/>
          <w:b/>
          <w:bCs/>
          <w:color w:val="auto"/>
          <w:sz w:val="28"/>
          <w:szCs w:val="28"/>
          <w:highlight w:val="none"/>
        </w:rPr>
      </w:pPr>
      <w:bookmarkStart w:id="41" w:name="_Toc605"/>
      <w:r>
        <w:rPr>
          <w:rFonts w:hint="eastAsia" w:ascii="仿宋" w:hAnsi="仿宋" w:eastAsia="仿宋" w:cs="仿宋"/>
          <w:b/>
          <w:bCs/>
          <w:color w:val="auto"/>
          <w:sz w:val="28"/>
          <w:szCs w:val="28"/>
          <w:highlight w:val="none"/>
        </w:rPr>
        <w:t>三、响应文件的编制</w:t>
      </w:r>
      <w:bookmarkEnd w:id="41"/>
    </w:p>
    <w:p w14:paraId="40368CF6">
      <w:pPr>
        <w:pageBreakBefore w:val="0"/>
        <w:widowControl w:val="0"/>
        <w:kinsoku/>
        <w:wordWrap/>
        <w:overflowPunct/>
        <w:topLinePunct w:val="0"/>
        <w:autoSpaceDE/>
        <w:autoSpaceDN/>
        <w:bidi w:val="0"/>
        <w:spacing w:line="440" w:lineRule="exact"/>
        <w:ind w:left="0" w:leftChars="0" w:firstLine="482" w:firstLineChars="200"/>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11.响应文件的编制原则</w:t>
      </w:r>
    </w:p>
    <w:p w14:paraId="160CFBF2">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供应商必须按照谈判文件的要求编制响应文件，并对其提交的响应文件的真实性、合法性承担法律责任。响应文件必须对谈判文件作出实质性响应。</w:t>
      </w:r>
    </w:p>
    <w:p w14:paraId="05486A77">
      <w:pPr>
        <w:pageBreakBefore w:val="0"/>
        <w:widowControl w:val="0"/>
        <w:kinsoku/>
        <w:wordWrap/>
        <w:overflowPunct/>
        <w:topLinePunct w:val="0"/>
        <w:autoSpaceDE/>
        <w:autoSpaceDN/>
        <w:bidi w:val="0"/>
        <w:spacing w:line="440" w:lineRule="exact"/>
        <w:ind w:left="0" w:leftChars="0" w:firstLine="482" w:firstLineChars="200"/>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12.响应文件的组成</w:t>
      </w:r>
    </w:p>
    <w:p w14:paraId="412BCF5F">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12.1响应文件由资格证明文件、报价文件、商务和技术文件三部分组成。</w:t>
      </w:r>
    </w:p>
    <w:p w14:paraId="713F745C">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12.1.1资格证明文件：详见须知前附表</w:t>
      </w:r>
    </w:p>
    <w:p w14:paraId="325B9363">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12.1.2商务技术文件：详见须知前附表</w:t>
      </w:r>
    </w:p>
    <w:p w14:paraId="6B91AF91">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12.1.3报价文件：详见须知前附表</w:t>
      </w:r>
    </w:p>
    <w:p w14:paraId="0C360CA5">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Cs w:val="21"/>
          <w:highlight w:val="none"/>
        </w:rPr>
      </w:pPr>
      <w:r>
        <w:rPr>
          <w:rFonts w:hint="eastAsia" w:ascii="仿宋" w:hAnsi="仿宋" w:eastAsia="仿宋" w:cs="仿宋"/>
          <w:color w:val="auto"/>
          <w:sz w:val="22"/>
          <w:szCs w:val="22"/>
          <w:highlight w:val="none"/>
        </w:rPr>
        <w:t>12.2响应文件电子版：详见须知前附表</w:t>
      </w:r>
    </w:p>
    <w:p w14:paraId="1C65B936">
      <w:pPr>
        <w:pageBreakBefore w:val="0"/>
        <w:widowControl w:val="0"/>
        <w:kinsoku/>
        <w:wordWrap/>
        <w:overflowPunct/>
        <w:topLinePunct w:val="0"/>
        <w:autoSpaceDE/>
        <w:autoSpaceDN/>
        <w:bidi w:val="0"/>
        <w:spacing w:line="440" w:lineRule="exact"/>
        <w:ind w:left="0" w:leftChars="0" w:firstLine="482" w:firstLineChars="200"/>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13.计量单位</w:t>
      </w:r>
    </w:p>
    <w:p w14:paraId="70236CF8">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Cs w:val="21"/>
          <w:highlight w:val="none"/>
        </w:rPr>
      </w:pPr>
      <w:r>
        <w:rPr>
          <w:rFonts w:hint="eastAsia" w:ascii="仿宋" w:hAnsi="仿宋" w:eastAsia="仿宋" w:cs="仿宋"/>
          <w:color w:val="auto"/>
          <w:sz w:val="22"/>
          <w:szCs w:val="22"/>
          <w:highlight w:val="none"/>
        </w:rPr>
        <w:t>谈判文件已有明确规定的，使用谈判文件规定的计量单位；谈判文件没有规定的，应采用中华人民共和国法定计量单位，货币种类为人民币，否则视同未响应。</w:t>
      </w:r>
    </w:p>
    <w:p w14:paraId="46245DDD">
      <w:pPr>
        <w:pageBreakBefore w:val="0"/>
        <w:widowControl w:val="0"/>
        <w:kinsoku/>
        <w:wordWrap/>
        <w:overflowPunct/>
        <w:topLinePunct w:val="0"/>
        <w:autoSpaceDE/>
        <w:autoSpaceDN/>
        <w:bidi w:val="0"/>
        <w:spacing w:line="440" w:lineRule="exact"/>
        <w:ind w:left="0" w:leftChars="0" w:firstLine="482" w:firstLineChars="200"/>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14.竞标的风险</w:t>
      </w:r>
    </w:p>
    <w:p w14:paraId="3A6E6104">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Cs w:val="21"/>
          <w:highlight w:val="none"/>
        </w:rPr>
      </w:pPr>
      <w:r>
        <w:rPr>
          <w:rFonts w:hint="eastAsia" w:ascii="仿宋" w:hAnsi="仿宋" w:eastAsia="仿宋" w:cs="仿宋"/>
          <w:color w:val="auto"/>
          <w:sz w:val="22"/>
          <w:szCs w:val="22"/>
          <w:highlight w:val="none"/>
        </w:rPr>
        <w:t>供应商没有按照谈判文件要求提供全部资料，或者供应商没有对谈判文件在各方面作出实质性响应可能导致其响应无效，是供应商应当考虑的风险。</w:t>
      </w:r>
    </w:p>
    <w:p w14:paraId="076CBB22">
      <w:pPr>
        <w:pageBreakBefore w:val="0"/>
        <w:widowControl w:val="0"/>
        <w:kinsoku/>
        <w:wordWrap/>
        <w:overflowPunct/>
        <w:topLinePunct w:val="0"/>
        <w:autoSpaceDE/>
        <w:autoSpaceDN/>
        <w:bidi w:val="0"/>
        <w:spacing w:line="440" w:lineRule="exact"/>
        <w:ind w:left="0" w:leftChars="0" w:firstLine="482" w:firstLineChars="200"/>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15.响应报价要求和构成</w:t>
      </w:r>
    </w:p>
    <w:p w14:paraId="6341803B">
      <w:pPr>
        <w:pageBreakBefore w:val="0"/>
        <w:widowControl w:val="0"/>
        <w:tabs>
          <w:tab w:val="left" w:pos="2492"/>
        </w:tabs>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15.1响应报价应按“第五章 响应文件格式”中“响应报价表”格式填写。</w:t>
      </w:r>
    </w:p>
    <w:p w14:paraId="2CE07DB8">
      <w:pPr>
        <w:pageBreakBefore w:val="0"/>
        <w:widowControl w:val="0"/>
        <w:tabs>
          <w:tab w:val="left" w:pos="2492"/>
        </w:tabs>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15.2响应报价的价格构成见“供应商须知前附表”。</w:t>
      </w:r>
    </w:p>
    <w:p w14:paraId="31FE183B">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15.3响应报价要求</w:t>
      </w:r>
    </w:p>
    <w:p w14:paraId="1741B6DD">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15.3.1供应商的响应报价应符合以下要求，否则响应文件按无效响应处理：</w:t>
      </w:r>
    </w:p>
    <w:p w14:paraId="0A9663AA">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（1）供应商必须就“采购需求”中所竞标的每个分标的全部内容分别作完整唯一总价报价，不得存在漏项报价；</w:t>
      </w:r>
    </w:p>
    <w:p w14:paraId="4B8C1383">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（2）供应商必须就所竞标的分标的单项内容作唯一报价。</w:t>
      </w:r>
    </w:p>
    <w:p w14:paraId="0C2FA93F">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15.3.2响应报价（包含首次报价、最后报价）超过所竞标分标规定的采购预算金额或者最高限价的，其响应文件将作无效处理。</w:t>
      </w:r>
    </w:p>
    <w:p w14:paraId="3E52A5E8">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15.3.3</w:t>
      </w:r>
      <w:bookmarkStart w:id="42" w:name="_Hlk42592874"/>
      <w:r>
        <w:rPr>
          <w:rFonts w:hint="eastAsia" w:ascii="仿宋" w:hAnsi="仿宋" w:eastAsia="仿宋" w:cs="仿宋"/>
          <w:color w:val="auto"/>
          <w:sz w:val="22"/>
          <w:szCs w:val="22"/>
          <w:highlight w:val="none"/>
        </w:rPr>
        <w:t>响应报价（包含首次报价、最后报价）超过分项采购预算金额或者最高限价的，其响应文件将作无效处理。</w:t>
      </w:r>
    </w:p>
    <w:bookmarkEnd w:id="42"/>
    <w:p w14:paraId="3E7B4319">
      <w:pPr>
        <w:pageBreakBefore w:val="0"/>
        <w:widowControl w:val="0"/>
        <w:kinsoku/>
        <w:wordWrap/>
        <w:overflowPunct/>
        <w:topLinePunct w:val="0"/>
        <w:autoSpaceDE/>
        <w:autoSpaceDN/>
        <w:bidi w:val="0"/>
        <w:spacing w:line="440" w:lineRule="exact"/>
        <w:ind w:left="0" w:leftChars="0" w:firstLine="482" w:firstLineChars="200"/>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16.竞标有效期</w:t>
      </w:r>
    </w:p>
    <w:p w14:paraId="24270878">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16.1竞标有效期是指为保证采购人有足够的时间在提交响应文件后完成评审、确定成交供应商、合同签订等工作而要求供应商提交的响应文件在一定时间内保持有效的期限。</w:t>
      </w:r>
    </w:p>
    <w:p w14:paraId="54CEFC41">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16.2 竞标有效期应由供应商按“供应商须知前附表”规定的期限作出响应。</w:t>
      </w:r>
    </w:p>
    <w:p w14:paraId="355A51D0">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16.3供应商的响应文件在竞标有效期内均保持有效。</w:t>
      </w:r>
    </w:p>
    <w:p w14:paraId="0BFD2AC8">
      <w:pPr>
        <w:pageBreakBefore w:val="0"/>
        <w:widowControl w:val="0"/>
        <w:kinsoku/>
        <w:wordWrap/>
        <w:overflowPunct/>
        <w:topLinePunct w:val="0"/>
        <w:autoSpaceDE/>
        <w:autoSpaceDN/>
        <w:bidi w:val="0"/>
        <w:spacing w:line="440" w:lineRule="exact"/>
        <w:ind w:left="0" w:leftChars="0" w:firstLine="482" w:firstLineChars="200"/>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17.谈判保证金</w:t>
      </w:r>
    </w:p>
    <w:p w14:paraId="652C6547">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详见“供应商须知前附表”。</w:t>
      </w:r>
    </w:p>
    <w:p w14:paraId="71AC582A">
      <w:pPr>
        <w:pageBreakBefore w:val="0"/>
        <w:widowControl w:val="0"/>
        <w:kinsoku/>
        <w:wordWrap/>
        <w:overflowPunct/>
        <w:topLinePunct w:val="0"/>
        <w:autoSpaceDE/>
        <w:autoSpaceDN/>
        <w:bidi w:val="0"/>
        <w:spacing w:line="440" w:lineRule="exact"/>
        <w:ind w:left="0" w:leftChars="0" w:firstLine="482" w:firstLineChars="200"/>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18.响应文件编制的要求</w:t>
      </w:r>
    </w:p>
    <w:p w14:paraId="68786C8F">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仿宋" w:hAnsi="仿宋" w:eastAsia="仿宋" w:cs="仿宋"/>
          <w:color w:val="auto"/>
          <w:sz w:val="22"/>
          <w:szCs w:val="28"/>
          <w:highlight w:val="none"/>
        </w:rPr>
        <w:t>由此引发的</w:t>
      </w:r>
      <w:r>
        <w:rPr>
          <w:rFonts w:hint="eastAsia" w:ascii="仿宋" w:hAnsi="仿宋" w:eastAsia="仿宋" w:cs="仿宋"/>
          <w:color w:val="auto"/>
          <w:sz w:val="22"/>
          <w:szCs w:val="22"/>
          <w:highlight w:val="none"/>
        </w:rPr>
        <w:t>后果由供应商承担。</w:t>
      </w:r>
    </w:p>
    <w:p w14:paraId="685E56DA">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18.2响应文件应按资格证明、报价分别编制，商务技术文件合并编制，本谈判只接收电子版响应文件，要求见本章“12.2响应文件电子版要求”。</w:t>
      </w:r>
    </w:p>
    <w:p w14:paraId="52E3C570">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18.</w:t>
      </w:r>
      <w:bookmarkStart w:id="43" w:name="_Hlk65832699"/>
      <w:r>
        <w:rPr>
          <w:rFonts w:hint="eastAsia" w:ascii="仿宋" w:hAnsi="仿宋" w:eastAsia="仿宋" w:cs="仿宋"/>
          <w:color w:val="auto"/>
          <w:sz w:val="22"/>
          <w:szCs w:val="22"/>
          <w:highlight w:val="none"/>
        </w:rPr>
        <w:t>3响应文件须由供应商在</w:t>
      </w:r>
      <w:r>
        <w:rPr>
          <w:rFonts w:hint="eastAsia" w:ascii="仿宋" w:hAnsi="仿宋" w:eastAsia="仿宋" w:cs="仿宋"/>
          <w:color w:val="auto"/>
          <w:kern w:val="0"/>
          <w:sz w:val="22"/>
          <w:szCs w:val="22"/>
          <w:highlight w:val="none"/>
          <w:lang w:val="zh-CN"/>
        </w:rPr>
        <w:t>“</w:t>
      </w:r>
      <w:r>
        <w:rPr>
          <w:rFonts w:hint="eastAsia" w:ascii="仿宋" w:hAnsi="仿宋" w:eastAsia="仿宋" w:cs="仿宋"/>
          <w:color w:val="auto"/>
          <w:sz w:val="22"/>
          <w:szCs w:val="22"/>
          <w:highlight w:val="none"/>
        </w:rPr>
        <w:t>第五章 响应文件格式</w:t>
      </w:r>
      <w:r>
        <w:rPr>
          <w:rFonts w:hint="eastAsia" w:ascii="仿宋" w:hAnsi="仿宋" w:eastAsia="仿宋" w:cs="仿宋"/>
          <w:color w:val="auto"/>
          <w:kern w:val="0"/>
          <w:sz w:val="22"/>
          <w:szCs w:val="22"/>
          <w:highlight w:val="none"/>
          <w:lang w:val="zh-CN"/>
        </w:rPr>
        <w:t>”</w:t>
      </w:r>
      <w:r>
        <w:rPr>
          <w:rFonts w:hint="eastAsia" w:ascii="仿宋" w:hAnsi="仿宋" w:eastAsia="仿宋" w:cs="仿宋"/>
          <w:color w:val="auto"/>
          <w:sz w:val="22"/>
          <w:szCs w:val="22"/>
          <w:highlight w:val="none"/>
        </w:rPr>
        <w:t>规定位置进行签署、盖章</w:t>
      </w:r>
      <w:bookmarkEnd w:id="43"/>
      <w:r>
        <w:rPr>
          <w:rFonts w:hint="eastAsia" w:ascii="仿宋" w:hAnsi="仿宋" w:eastAsia="仿宋" w:cs="仿宋"/>
          <w:color w:val="auto"/>
          <w:sz w:val="22"/>
          <w:szCs w:val="22"/>
          <w:highlight w:val="none"/>
        </w:rPr>
        <w:t>，否则其响应文件按无效响应处理。骑缝盖公章不视为在规定位置盖章。</w:t>
      </w:r>
    </w:p>
    <w:p w14:paraId="1EE4B3BF">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18.4响应文件中标注的供应商名称应与营业执照（事业单位法人证书、执业许可证、自然人身份证）及电子公章一致，否则其响应文件按无效响应处理。</w:t>
      </w:r>
    </w:p>
    <w:p w14:paraId="13F6B031">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Cs w:val="21"/>
          <w:highlight w:val="none"/>
        </w:rPr>
      </w:pPr>
      <w:r>
        <w:rPr>
          <w:rFonts w:hint="eastAsia" w:ascii="仿宋" w:hAnsi="仿宋" w:eastAsia="仿宋" w:cs="仿宋"/>
          <w:color w:val="auto"/>
          <w:sz w:val="22"/>
          <w:szCs w:val="22"/>
          <w:highlight w:val="none"/>
        </w:rPr>
        <w:t>18.5响应文件应避免涂改、行间插字或者删除，否则其响应文件按无效响应处理。</w:t>
      </w:r>
    </w:p>
    <w:p w14:paraId="15233B03">
      <w:pPr>
        <w:pageBreakBefore w:val="0"/>
        <w:widowControl w:val="0"/>
        <w:kinsoku/>
        <w:wordWrap/>
        <w:overflowPunct/>
        <w:topLinePunct w:val="0"/>
        <w:autoSpaceDE/>
        <w:autoSpaceDN/>
        <w:bidi w:val="0"/>
        <w:spacing w:line="440" w:lineRule="exact"/>
        <w:ind w:left="0" w:leftChars="0" w:firstLine="482" w:firstLineChars="200"/>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19.响应文件的密封和标记</w:t>
      </w:r>
    </w:p>
    <w:p w14:paraId="0CCF0B1F">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kern w:val="0"/>
          <w:sz w:val="22"/>
          <w:szCs w:val="22"/>
          <w:highlight w:val="none"/>
          <w:lang w:val="zh-CN"/>
        </w:rPr>
      </w:pPr>
      <w:r>
        <w:rPr>
          <w:rFonts w:hint="eastAsia" w:ascii="仿宋" w:hAnsi="仿宋" w:eastAsia="仿宋" w:cs="仿宋"/>
          <w:color w:val="auto"/>
          <w:kern w:val="0"/>
          <w:sz w:val="22"/>
          <w:szCs w:val="22"/>
          <w:highlight w:val="none"/>
          <w:lang w:val="zh-CN"/>
        </w:rPr>
        <w:t>19.1供应商进行电子交易应安装客户端软件—“政采云电子交易客户端”，并按照谈判文件和电子交易平台的要求编制并加密响应文件。供应商未按规定加密的响应文件，电子交易平台将拒收并提示。</w:t>
      </w:r>
    </w:p>
    <w:p w14:paraId="09EA7F41">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kern w:val="0"/>
          <w:sz w:val="22"/>
          <w:szCs w:val="22"/>
          <w:highlight w:val="none"/>
          <w:lang w:val="zh-CN"/>
        </w:rPr>
      </w:pPr>
      <w:r>
        <w:rPr>
          <w:rFonts w:hint="eastAsia" w:ascii="仿宋" w:hAnsi="仿宋" w:eastAsia="仿宋" w:cs="仿宋"/>
          <w:color w:val="auto"/>
          <w:kern w:val="0"/>
          <w:sz w:val="22"/>
          <w:szCs w:val="22"/>
          <w:highlight w:val="none"/>
          <w:lang w:val="zh-CN"/>
        </w:rPr>
        <w:t>19.2使用“政采云电子交易客户端”需要提前申领CA数字证书，申领流程见该项目采购公告附件。</w:t>
      </w:r>
    </w:p>
    <w:p w14:paraId="59049517">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kern w:val="0"/>
          <w:szCs w:val="21"/>
          <w:highlight w:val="none"/>
        </w:rPr>
      </w:pPr>
      <w:r>
        <w:rPr>
          <w:rFonts w:hint="eastAsia" w:ascii="仿宋" w:hAnsi="仿宋" w:eastAsia="仿宋" w:cs="仿宋"/>
          <w:color w:val="auto"/>
          <w:kern w:val="0"/>
          <w:sz w:val="22"/>
          <w:szCs w:val="22"/>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444FD142">
      <w:pPr>
        <w:pageBreakBefore w:val="0"/>
        <w:widowControl w:val="0"/>
        <w:kinsoku/>
        <w:wordWrap/>
        <w:overflowPunct/>
        <w:topLinePunct w:val="0"/>
        <w:autoSpaceDE/>
        <w:autoSpaceDN/>
        <w:bidi w:val="0"/>
        <w:spacing w:line="440" w:lineRule="exact"/>
        <w:ind w:left="0" w:leftChars="0" w:firstLine="482" w:firstLineChars="200"/>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20.响应文件的提交</w:t>
      </w:r>
    </w:p>
    <w:p w14:paraId="40FDC312">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20.1供应商必须在“供应商须知前附表”规定的时间和地点提交响应文件。</w:t>
      </w:r>
    </w:p>
    <w:p w14:paraId="24407C48">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20.2 在响应文件提交截止时间以后，不能补充、修改响应文件。</w:t>
      </w:r>
    </w:p>
    <w:p w14:paraId="2D246B10">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20.3 在提交“最后报价”后，供应商不能退出谈判。</w:t>
      </w:r>
    </w:p>
    <w:p w14:paraId="2D994D2A">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2E6E850C">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20.5 采购机构不可视情况延长提交响应文件的截止时间。</w:t>
      </w:r>
    </w:p>
    <w:p w14:paraId="3A8CFCF3">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20.6备份响应文件。</w:t>
      </w:r>
      <w:r>
        <w:rPr>
          <w:rFonts w:hint="eastAsia" w:ascii="仿宋" w:hAnsi="仿宋" w:eastAsia="仿宋" w:cs="仿宋"/>
          <w:bCs/>
          <w:color w:val="auto"/>
          <w:sz w:val="22"/>
          <w:szCs w:val="22"/>
          <w:highlight w:val="none"/>
        </w:rPr>
        <w:t>详见在“供应商须知前附表”。</w:t>
      </w:r>
    </w:p>
    <w:p w14:paraId="160D3DD5">
      <w:pPr>
        <w:pageBreakBefore w:val="0"/>
        <w:widowControl w:val="0"/>
        <w:kinsoku/>
        <w:wordWrap/>
        <w:overflowPunct/>
        <w:topLinePunct w:val="0"/>
        <w:autoSpaceDE/>
        <w:autoSpaceDN/>
        <w:bidi w:val="0"/>
        <w:spacing w:line="440" w:lineRule="exact"/>
        <w:ind w:left="0" w:leftChars="0" w:firstLine="482" w:firstLineChars="200"/>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21.首次响应文件的补充、修改与撤回</w:t>
      </w:r>
    </w:p>
    <w:p w14:paraId="79EC1931">
      <w:pPr>
        <w:pStyle w:val="71"/>
        <w:pageBreakBefore w:val="0"/>
        <w:widowControl w:val="0"/>
        <w:kinsoku/>
        <w:wordWrap/>
        <w:overflowPunct/>
        <w:topLinePunct w:val="0"/>
        <w:autoSpaceDE/>
        <w:autoSpaceDN/>
        <w:bidi w:val="0"/>
        <w:spacing w:before="0" w:line="440" w:lineRule="exact"/>
        <w:ind w:left="0" w:leftChars="0" w:firstLine="44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2"/>
          <w:szCs w:val="22"/>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2805B444">
      <w:pPr>
        <w:pageBreakBefore w:val="0"/>
        <w:widowControl w:val="0"/>
        <w:kinsoku/>
        <w:wordWrap/>
        <w:overflowPunct/>
        <w:topLinePunct w:val="0"/>
        <w:autoSpaceDE/>
        <w:autoSpaceDN/>
        <w:bidi w:val="0"/>
        <w:spacing w:line="440" w:lineRule="exact"/>
        <w:ind w:left="0" w:leftChars="0" w:firstLine="482" w:firstLineChars="200"/>
        <w:jc w:val="both"/>
        <w:rPr>
          <w:rFonts w:hint="eastAsia" w:ascii="仿宋" w:hAnsi="仿宋" w:eastAsia="仿宋" w:cs="仿宋"/>
          <w:b/>
          <w:bCs/>
          <w:color w:val="auto"/>
          <w:sz w:val="24"/>
          <w:highlight w:val="none"/>
        </w:rPr>
      </w:pPr>
      <w:bookmarkStart w:id="44" w:name="_Hlk45702405"/>
      <w:r>
        <w:rPr>
          <w:rFonts w:hint="eastAsia" w:ascii="仿宋" w:hAnsi="仿宋" w:eastAsia="仿宋" w:cs="仿宋"/>
          <w:b/>
          <w:bCs/>
          <w:color w:val="auto"/>
          <w:sz w:val="24"/>
          <w:highlight w:val="none"/>
        </w:rPr>
        <w:t>22. 首次响应文件的退回</w:t>
      </w:r>
    </w:p>
    <w:p w14:paraId="2BA1016D">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详见“供应商须知前附表”。</w:t>
      </w:r>
    </w:p>
    <w:p w14:paraId="1829AFBE">
      <w:pPr>
        <w:pageBreakBefore w:val="0"/>
        <w:widowControl w:val="0"/>
        <w:kinsoku/>
        <w:wordWrap/>
        <w:overflowPunct/>
        <w:topLinePunct w:val="0"/>
        <w:autoSpaceDE/>
        <w:autoSpaceDN/>
        <w:bidi w:val="0"/>
        <w:spacing w:line="440" w:lineRule="exact"/>
        <w:ind w:left="0" w:leftChars="0" w:firstLine="482" w:firstLineChars="200"/>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23. 截止时间后的撤回</w:t>
      </w:r>
    </w:p>
    <w:p w14:paraId="3BF20160">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供应商在首次响应文件提交截止时间后可向采购人、采购代理机构书面申请撤回响应文件。</w:t>
      </w:r>
      <w:bookmarkEnd w:id="44"/>
    </w:p>
    <w:p w14:paraId="68B660C6">
      <w:pPr>
        <w:pStyle w:val="4"/>
        <w:keepNext/>
        <w:keepLines/>
        <w:pageBreakBefore w:val="0"/>
        <w:widowControl w:val="0"/>
        <w:kinsoku/>
        <w:wordWrap/>
        <w:overflowPunct/>
        <w:topLinePunct w:val="0"/>
        <w:autoSpaceDE/>
        <w:autoSpaceDN/>
        <w:bidi w:val="0"/>
        <w:adjustRightInd/>
        <w:snapToGrid/>
        <w:spacing w:before="0" w:after="0" w:line="440" w:lineRule="exact"/>
        <w:ind w:left="0" w:leftChars="0" w:firstLine="562" w:firstLineChars="200"/>
        <w:jc w:val="both"/>
        <w:textAlignment w:val="auto"/>
        <w:rPr>
          <w:rFonts w:hint="eastAsia" w:ascii="仿宋" w:hAnsi="仿宋" w:eastAsia="仿宋" w:cs="仿宋"/>
          <w:b/>
          <w:bCs/>
          <w:color w:val="auto"/>
          <w:sz w:val="28"/>
          <w:szCs w:val="28"/>
          <w:highlight w:val="none"/>
        </w:rPr>
      </w:pPr>
      <w:bookmarkStart w:id="45" w:name="_Toc3691"/>
      <w:r>
        <w:rPr>
          <w:rFonts w:hint="eastAsia" w:ascii="仿宋" w:hAnsi="仿宋" w:eastAsia="仿宋" w:cs="仿宋"/>
          <w:b/>
          <w:bCs/>
          <w:color w:val="auto"/>
          <w:sz w:val="28"/>
          <w:szCs w:val="28"/>
          <w:highlight w:val="none"/>
        </w:rPr>
        <w:t>四、评审及谈判</w:t>
      </w:r>
      <w:bookmarkEnd w:id="45"/>
    </w:p>
    <w:p w14:paraId="73F7C077">
      <w:pPr>
        <w:pageBreakBefore w:val="0"/>
        <w:widowControl w:val="0"/>
        <w:kinsoku/>
        <w:wordWrap/>
        <w:overflowPunct/>
        <w:topLinePunct w:val="0"/>
        <w:autoSpaceDE/>
        <w:autoSpaceDN/>
        <w:bidi w:val="0"/>
        <w:spacing w:line="440" w:lineRule="exact"/>
        <w:ind w:left="0" w:leftChars="0" w:firstLine="482" w:firstLineChars="200"/>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24.谈判小组成立</w:t>
      </w:r>
    </w:p>
    <w:p w14:paraId="25558A41">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24.1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14:paraId="4EBE65B1">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Cs w:val="21"/>
          <w:highlight w:val="none"/>
        </w:rPr>
      </w:pPr>
      <w:r>
        <w:rPr>
          <w:rFonts w:hint="eastAsia" w:ascii="仿宋" w:hAnsi="仿宋" w:eastAsia="仿宋" w:cs="仿宋"/>
          <w:color w:val="auto"/>
          <w:sz w:val="22"/>
          <w:szCs w:val="22"/>
          <w:highlight w:val="none"/>
        </w:rPr>
        <w:t>24.2评审专家应当从政府采购评审专家库内相关专业的专家名单中随机抽取。技术复杂、专业性强的竞争性谈判采购项目，评审专家中应当包含1名法律专家。</w:t>
      </w:r>
    </w:p>
    <w:p w14:paraId="0CD62DC7">
      <w:pPr>
        <w:pageBreakBefore w:val="0"/>
        <w:widowControl w:val="0"/>
        <w:kinsoku/>
        <w:wordWrap/>
        <w:overflowPunct/>
        <w:topLinePunct w:val="0"/>
        <w:autoSpaceDE/>
        <w:autoSpaceDN/>
        <w:bidi w:val="0"/>
        <w:spacing w:line="440" w:lineRule="exact"/>
        <w:ind w:left="0" w:leftChars="0" w:firstLine="482" w:firstLineChars="200"/>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25.首次响应文件的开启</w:t>
      </w:r>
    </w:p>
    <w:p w14:paraId="7D052C08">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25.1首次响应文件由谈判小组或者采购代理机构在“供应商须知前附表”规定的时间开启。</w:t>
      </w:r>
    </w:p>
    <w:p w14:paraId="6BE52A4C">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bCs/>
          <w:color w:val="auto"/>
          <w:kern w:val="0"/>
          <w:sz w:val="22"/>
          <w:szCs w:val="22"/>
          <w:highlight w:val="none"/>
        </w:rPr>
      </w:pPr>
      <w:r>
        <w:rPr>
          <w:rFonts w:hint="eastAsia" w:ascii="仿宋" w:hAnsi="仿宋" w:eastAsia="仿宋" w:cs="仿宋"/>
          <w:color w:val="auto"/>
          <w:kern w:val="0"/>
          <w:sz w:val="22"/>
          <w:szCs w:val="22"/>
          <w:highlight w:val="none"/>
        </w:rPr>
        <w:t xml:space="preserve">25.2 </w:t>
      </w:r>
      <w:r>
        <w:rPr>
          <w:rFonts w:hint="eastAsia" w:ascii="仿宋" w:hAnsi="仿宋" w:eastAsia="仿宋" w:cs="仿宋"/>
          <w:bCs/>
          <w:color w:val="auto"/>
          <w:kern w:val="0"/>
          <w:sz w:val="22"/>
          <w:szCs w:val="22"/>
          <w:highlight w:val="none"/>
        </w:rPr>
        <w:t>响应文件解密</w:t>
      </w:r>
    </w:p>
    <w:p w14:paraId="199A6C9B">
      <w:pPr>
        <w:pageBreakBefore w:val="0"/>
        <w:widowControl w:val="0"/>
        <w:kinsoku/>
        <w:wordWrap/>
        <w:overflowPunct/>
        <w:topLinePunct w:val="0"/>
        <w:autoSpaceDE/>
        <w:autoSpaceDN/>
        <w:bidi w:val="0"/>
        <w:snapToGrid w:val="0"/>
        <w:spacing w:line="440" w:lineRule="exact"/>
        <w:ind w:left="0" w:leftChars="0" w:firstLine="440" w:firstLineChars="200"/>
        <w:jc w:val="both"/>
        <w:rPr>
          <w:rFonts w:hint="eastAsia" w:ascii="仿宋" w:hAnsi="仿宋" w:eastAsia="仿宋" w:cs="仿宋"/>
          <w:color w:val="auto"/>
          <w:kern w:val="0"/>
          <w:sz w:val="22"/>
          <w:szCs w:val="22"/>
          <w:highlight w:val="none"/>
        </w:rPr>
      </w:pPr>
      <w:r>
        <w:rPr>
          <w:rFonts w:hint="eastAsia" w:ascii="仿宋" w:hAnsi="仿宋" w:eastAsia="仿宋" w:cs="仿宋"/>
          <w:bCs/>
          <w:color w:val="auto"/>
          <w:kern w:val="0"/>
          <w:sz w:val="22"/>
          <w:szCs w:val="22"/>
          <w:highlight w:val="none"/>
        </w:rPr>
        <w:t>采购代理机构将在“供应商须知前附表”规定的时</w:t>
      </w:r>
      <w:r>
        <w:rPr>
          <w:rFonts w:hint="eastAsia" w:ascii="仿宋" w:hAnsi="仿宋" w:eastAsia="仿宋" w:cs="仿宋"/>
          <w:color w:val="auto"/>
          <w:kern w:val="0"/>
          <w:sz w:val="22"/>
          <w:szCs w:val="22"/>
          <w:highlight w:val="none"/>
        </w:rPr>
        <w:t>间通过电子交易平台组织响应文件开启，采购机构依托电子交易平台发起开始解密指令，供应商的法定代表人或其委托代理人</w:t>
      </w:r>
      <w:r>
        <w:rPr>
          <w:rFonts w:hint="eastAsia" w:ascii="仿宋" w:hAnsi="仿宋" w:eastAsia="仿宋" w:cs="仿宋"/>
          <w:b/>
          <w:color w:val="auto"/>
          <w:kern w:val="0"/>
          <w:sz w:val="22"/>
          <w:szCs w:val="22"/>
          <w:highlight w:val="none"/>
        </w:rPr>
        <w:t>须携带加密时所用的CA锁按平台提示和采购文件的规定登录到“政采云”平台电子开标大厅签到并在发起解密指令之时起30分钟内完成对电子响应文件在线解密</w:t>
      </w:r>
      <w:r>
        <w:rPr>
          <w:rFonts w:hint="eastAsia" w:ascii="仿宋" w:hAnsi="仿宋" w:eastAsia="仿宋" w:cs="仿宋"/>
          <w:color w:val="auto"/>
          <w:kern w:val="0"/>
          <w:sz w:val="22"/>
          <w:szCs w:val="22"/>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仿宋" w:hAnsi="仿宋" w:eastAsia="仿宋" w:cs="仿宋"/>
          <w:b/>
          <w:color w:val="auto"/>
          <w:kern w:val="0"/>
          <w:sz w:val="22"/>
          <w:szCs w:val="22"/>
          <w:highlight w:val="none"/>
        </w:rPr>
        <w:t>视为响应文件无效。</w:t>
      </w:r>
      <w:r>
        <w:rPr>
          <w:rFonts w:hint="eastAsia" w:ascii="仿宋" w:hAnsi="仿宋" w:eastAsia="仿宋" w:cs="仿宋"/>
          <w:color w:val="auto"/>
          <w:kern w:val="0"/>
          <w:sz w:val="22"/>
          <w:szCs w:val="22"/>
          <w:highlight w:val="none"/>
        </w:rPr>
        <w:t>（解密</w:t>
      </w:r>
      <w:r>
        <w:rPr>
          <w:rFonts w:hint="eastAsia" w:ascii="仿宋" w:hAnsi="仿宋" w:eastAsia="仿宋" w:cs="仿宋"/>
          <w:bCs/>
          <w:color w:val="auto"/>
          <w:kern w:val="0"/>
          <w:sz w:val="22"/>
          <w:szCs w:val="22"/>
          <w:highlight w:val="none"/>
        </w:rPr>
        <w:t>异常情况处理：详见本章</w:t>
      </w:r>
      <w:r>
        <w:rPr>
          <w:rFonts w:hint="eastAsia" w:ascii="仿宋" w:hAnsi="仿宋" w:eastAsia="仿宋" w:cs="仿宋"/>
          <w:color w:val="auto"/>
          <w:kern w:val="0"/>
          <w:sz w:val="22"/>
          <w:szCs w:val="22"/>
          <w:highlight w:val="none"/>
        </w:rPr>
        <w:t>26.3 电子交易活动的中止。）</w:t>
      </w:r>
    </w:p>
    <w:p w14:paraId="38B79F74">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kern w:val="0"/>
          <w:szCs w:val="21"/>
          <w:highlight w:val="none"/>
        </w:rPr>
      </w:pPr>
      <w:r>
        <w:rPr>
          <w:rFonts w:hint="eastAsia" w:ascii="仿宋" w:hAnsi="仿宋" w:eastAsia="仿宋" w:cs="仿宋"/>
          <w:color w:val="auto"/>
          <w:kern w:val="0"/>
          <w:sz w:val="22"/>
          <w:szCs w:val="22"/>
          <w:highlight w:val="none"/>
        </w:rPr>
        <w:t>如</w:t>
      </w:r>
      <w:r>
        <w:rPr>
          <w:rFonts w:hint="eastAsia" w:ascii="仿宋" w:hAnsi="仿宋" w:eastAsia="仿宋" w:cs="仿宋"/>
          <w:bCs/>
          <w:color w:val="auto"/>
          <w:kern w:val="0"/>
          <w:sz w:val="22"/>
          <w:szCs w:val="22"/>
          <w:highlight w:val="none"/>
        </w:rPr>
        <w:t>供应商成功解密响应文件，但未在“政采云”电子开标大厅参加谈判的，视同认可谈判过程和结果，</w:t>
      </w:r>
      <w:r>
        <w:rPr>
          <w:rFonts w:hint="eastAsia" w:ascii="仿宋" w:hAnsi="仿宋" w:eastAsia="仿宋" w:cs="仿宋"/>
          <w:color w:val="auto"/>
          <w:kern w:val="0"/>
          <w:sz w:val="22"/>
          <w:szCs w:val="22"/>
          <w:highlight w:val="none"/>
        </w:rPr>
        <w:t>由此产生的后果由供应商自行负责。 参与谈判的供应商不足3家的，不得谈判。</w:t>
      </w:r>
    </w:p>
    <w:p w14:paraId="620E1A2D">
      <w:pPr>
        <w:pageBreakBefore w:val="0"/>
        <w:widowControl w:val="0"/>
        <w:kinsoku/>
        <w:wordWrap/>
        <w:overflowPunct/>
        <w:topLinePunct w:val="0"/>
        <w:autoSpaceDE/>
        <w:autoSpaceDN/>
        <w:bidi w:val="0"/>
        <w:spacing w:line="440" w:lineRule="exact"/>
        <w:ind w:left="0" w:leftChars="0" w:firstLine="482" w:firstLineChars="200"/>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26.评审程序、评审方法和成交标准</w:t>
      </w:r>
    </w:p>
    <w:p w14:paraId="4798C33E">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26.1谈判小组按照“第四章 评审程序、评审方法和成交标准”规定的方法、评审因素、标准和程序对响应文件进行评审。</w:t>
      </w:r>
    </w:p>
    <w:p w14:paraId="5DC65418">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26.2 采购需求负偏离要求及谈判顺序详见 “供应商须知前附表”。</w:t>
      </w:r>
    </w:p>
    <w:p w14:paraId="23358938">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26.3电子交易活动的中止。采购过程中出现以下情形，导致电子交易平台无法正常运行，或者无法保证电子交易的公平、公正和安全时，采购机构可中止电子交易活动：</w:t>
      </w:r>
    </w:p>
    <w:p w14:paraId="11B3FC7E">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（1）电子交易平台发生故障而无法登录访问的； </w:t>
      </w:r>
    </w:p>
    <w:p w14:paraId="0700BC35">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（2）电子交易平台应用或数据库出现错误，不能进行正常操作的；</w:t>
      </w:r>
    </w:p>
    <w:p w14:paraId="6A61A47A">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（3）电子交易平台发现严重安全漏洞，有潜在泄密危险的；</w:t>
      </w:r>
    </w:p>
    <w:p w14:paraId="01DCCE17">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（4）病毒发作导致不能进行正常操作的； </w:t>
      </w:r>
    </w:p>
    <w:p w14:paraId="22F3DB99">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（5）其他无法保证电子交易的公平、公正和安全的情况。</w:t>
      </w:r>
    </w:p>
    <w:p w14:paraId="1FA4D949">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highlight w:val="none"/>
        </w:rPr>
      </w:pPr>
      <w:r>
        <w:rPr>
          <w:rFonts w:hint="eastAsia" w:ascii="仿宋" w:hAnsi="仿宋" w:eastAsia="仿宋" w:cs="仿宋"/>
          <w:color w:val="auto"/>
          <w:sz w:val="22"/>
          <w:szCs w:val="22"/>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C9D88FE">
      <w:pPr>
        <w:pStyle w:val="4"/>
        <w:keepNext/>
        <w:keepLines/>
        <w:pageBreakBefore w:val="0"/>
        <w:widowControl w:val="0"/>
        <w:kinsoku/>
        <w:wordWrap/>
        <w:overflowPunct/>
        <w:topLinePunct w:val="0"/>
        <w:autoSpaceDE/>
        <w:autoSpaceDN/>
        <w:bidi w:val="0"/>
        <w:adjustRightInd/>
        <w:snapToGrid/>
        <w:spacing w:before="0" w:after="0" w:line="440" w:lineRule="exact"/>
        <w:ind w:left="0" w:leftChars="0" w:firstLine="562" w:firstLineChars="200"/>
        <w:jc w:val="both"/>
        <w:textAlignment w:val="auto"/>
        <w:rPr>
          <w:rFonts w:hint="eastAsia" w:ascii="仿宋" w:hAnsi="仿宋" w:eastAsia="仿宋" w:cs="仿宋"/>
          <w:b/>
          <w:bCs/>
          <w:color w:val="auto"/>
          <w:sz w:val="28"/>
          <w:szCs w:val="28"/>
          <w:highlight w:val="none"/>
        </w:rPr>
      </w:pPr>
      <w:bookmarkStart w:id="46" w:name="_Toc18431"/>
      <w:r>
        <w:rPr>
          <w:rFonts w:hint="eastAsia" w:ascii="仿宋" w:hAnsi="仿宋" w:eastAsia="仿宋" w:cs="仿宋"/>
          <w:b/>
          <w:bCs/>
          <w:color w:val="auto"/>
          <w:sz w:val="28"/>
          <w:szCs w:val="28"/>
          <w:highlight w:val="none"/>
        </w:rPr>
        <w:t>五、成交及合同</w:t>
      </w:r>
      <w:bookmarkEnd w:id="46"/>
    </w:p>
    <w:p w14:paraId="207D0631">
      <w:pPr>
        <w:pageBreakBefore w:val="0"/>
        <w:widowControl w:val="0"/>
        <w:kinsoku/>
        <w:wordWrap/>
        <w:overflowPunct/>
        <w:topLinePunct w:val="0"/>
        <w:autoSpaceDE/>
        <w:autoSpaceDN/>
        <w:bidi w:val="0"/>
        <w:spacing w:line="440" w:lineRule="exact"/>
        <w:ind w:left="0" w:leftChars="0" w:firstLine="482" w:firstLineChars="200"/>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27.确定成交供应商及结果公告</w:t>
      </w:r>
    </w:p>
    <w:p w14:paraId="0883713B">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27.1确定成交供应商。</w:t>
      </w:r>
      <w:r>
        <w:rPr>
          <w:rFonts w:hint="eastAsia" w:ascii="仿宋" w:hAnsi="仿宋" w:eastAsia="仿宋" w:cs="仿宋"/>
          <w:color w:val="auto"/>
          <w:kern w:val="0"/>
          <w:sz w:val="22"/>
          <w:szCs w:val="22"/>
          <w:highlight w:val="none"/>
          <w:u w:val="single"/>
        </w:rPr>
        <w:t>由采购人直接委托评审专家确定</w:t>
      </w:r>
      <w:r>
        <w:rPr>
          <w:rFonts w:hint="eastAsia" w:ascii="仿宋" w:hAnsi="仿宋" w:eastAsia="仿宋" w:cs="仿宋"/>
          <w:color w:val="auto"/>
          <w:sz w:val="22"/>
          <w:szCs w:val="22"/>
          <w:highlight w:val="none"/>
          <w:u w:val="single"/>
        </w:rPr>
        <w:t>，评审报告提出的排序第一的供应商为成交供应商。</w:t>
      </w:r>
    </w:p>
    <w:p w14:paraId="312C0DDA">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27.2成交通知及成交结果公告。</w:t>
      </w:r>
      <w:r>
        <w:rPr>
          <w:rFonts w:hint="eastAsia" w:ascii="仿宋" w:hAnsi="仿宋" w:eastAsia="仿宋" w:cs="仿宋"/>
          <w:color w:val="auto"/>
          <w:kern w:val="0"/>
          <w:sz w:val="22"/>
          <w:szCs w:val="22"/>
          <w:highlight w:val="none"/>
        </w:rPr>
        <w:t>成交</w:t>
      </w:r>
      <w:r>
        <w:rPr>
          <w:rFonts w:hint="eastAsia" w:ascii="仿宋" w:hAnsi="仿宋" w:eastAsia="仿宋" w:cs="仿宋"/>
          <w:color w:val="auto"/>
          <w:sz w:val="22"/>
          <w:szCs w:val="22"/>
          <w:highlight w:val="none"/>
        </w:rPr>
        <w:t>供应商确定后2个工作日内，在省级以上财政部门指定的媒体上公告成交结果，同时向成交供应商发出成交通知书，成交通知书规定签订合同的时间不得超过</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日。</w:t>
      </w:r>
    </w:p>
    <w:p w14:paraId="1719577B">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27.3采购人或者采购代理机构发出成交通知书前，应当对成交供应商信用进行查询核实，对列入失信被执行人、</w:t>
      </w:r>
      <w:r>
        <w:rPr>
          <w:rFonts w:hint="eastAsia" w:ascii="仿宋" w:hAnsi="仿宋" w:eastAsia="仿宋" w:cs="仿宋"/>
          <w:color w:val="auto"/>
          <w:sz w:val="22"/>
          <w:szCs w:val="22"/>
          <w:highlight w:val="none"/>
          <w:lang w:eastAsia="zh-CN"/>
        </w:rPr>
        <w:t>重大税收违法失信主体</w:t>
      </w:r>
      <w:r>
        <w:rPr>
          <w:rFonts w:hint="eastAsia" w:ascii="仿宋" w:hAnsi="仿宋" w:eastAsia="仿宋" w:cs="仿宋"/>
          <w:color w:val="auto"/>
          <w:sz w:val="22"/>
          <w:szCs w:val="22"/>
          <w:highlight w:val="none"/>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谈判文件一并保存。</w:t>
      </w:r>
      <w:bookmarkStart w:id="47" w:name="_Hlk66782294"/>
      <w:r>
        <w:rPr>
          <w:rFonts w:hint="eastAsia" w:ascii="仿宋" w:hAnsi="仿宋" w:eastAsia="仿宋" w:cs="仿宋"/>
          <w:color w:val="auto"/>
          <w:sz w:val="22"/>
          <w:szCs w:val="22"/>
          <w:highlight w:val="none"/>
        </w:rPr>
        <w:t>成交供应商享受《政府采购促进中小企业发展管理办法》（财库〔2020〕46号）规定的中小企业扶持政策的，采购人、采购代理机构应当随成交结果公开成交供应商的《中小企业声明函》。</w:t>
      </w:r>
      <w:bookmarkEnd w:id="47"/>
    </w:p>
    <w:p w14:paraId="23E5B785">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636812D8">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bCs/>
          <w:color w:val="auto"/>
          <w:sz w:val="22"/>
          <w:szCs w:val="22"/>
          <w:highlight w:val="none"/>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5FA1366F">
      <w:pPr>
        <w:pageBreakBefore w:val="0"/>
        <w:widowControl w:val="0"/>
        <w:kinsoku/>
        <w:wordWrap/>
        <w:overflowPunct/>
        <w:topLinePunct w:val="0"/>
        <w:autoSpaceDE/>
        <w:autoSpaceDN/>
        <w:bidi w:val="0"/>
        <w:spacing w:line="440" w:lineRule="exact"/>
        <w:ind w:left="0" w:leftChars="0" w:firstLine="482" w:firstLineChars="200"/>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28.履约保证金</w:t>
      </w:r>
    </w:p>
    <w:p w14:paraId="32C4F46A">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b/>
          <w:bCs/>
          <w:color w:val="auto"/>
          <w:sz w:val="22"/>
          <w:szCs w:val="22"/>
          <w:highlight w:val="none"/>
        </w:rPr>
      </w:pPr>
      <w:r>
        <w:rPr>
          <w:rFonts w:hint="eastAsia" w:ascii="仿宋" w:hAnsi="仿宋" w:eastAsia="仿宋" w:cs="仿宋"/>
          <w:color w:val="auto"/>
          <w:sz w:val="22"/>
          <w:szCs w:val="22"/>
          <w:highlight w:val="none"/>
        </w:rPr>
        <w:t>详见 “供应商须知前附表”</w:t>
      </w:r>
    </w:p>
    <w:p w14:paraId="3BF44EBD">
      <w:pPr>
        <w:pageBreakBefore w:val="0"/>
        <w:widowControl w:val="0"/>
        <w:kinsoku/>
        <w:wordWrap/>
        <w:overflowPunct/>
        <w:topLinePunct w:val="0"/>
        <w:autoSpaceDE/>
        <w:autoSpaceDN/>
        <w:bidi w:val="0"/>
        <w:spacing w:line="440" w:lineRule="exact"/>
        <w:ind w:left="0" w:leftChars="0" w:firstLine="482" w:firstLineChars="200"/>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29.签订合同</w:t>
      </w:r>
    </w:p>
    <w:p w14:paraId="0DC46C21">
      <w:pPr>
        <w:pStyle w:val="71"/>
        <w:pageBreakBefore w:val="0"/>
        <w:widowControl w:val="0"/>
        <w:kinsoku/>
        <w:wordWrap/>
        <w:overflowPunct/>
        <w:topLinePunct w:val="0"/>
        <w:autoSpaceDE/>
        <w:autoSpaceDN/>
        <w:bidi w:val="0"/>
        <w:snapToGrid w:val="0"/>
        <w:spacing w:before="0" w:line="440" w:lineRule="exact"/>
        <w:ind w:left="0" w:leftChars="0" w:firstLine="440" w:firstLineChars="200"/>
        <w:jc w:val="both"/>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rPr>
        <w:t>29.1采购人与成交供应商应当在成交通知书规定的时间内，按照谈判文件确定的合同文本以及采购标的、货物技术、采购金额、采购数量、技术和货物要求等事项签订政府采购合同。</w:t>
      </w:r>
      <w:r>
        <w:rPr>
          <w:rFonts w:hint="eastAsia" w:ascii="仿宋" w:hAnsi="仿宋" w:eastAsia="仿宋" w:cs="仿宋"/>
          <w:color w:val="auto"/>
          <w:sz w:val="22"/>
          <w:szCs w:val="22"/>
          <w:highlight w:val="none"/>
          <w:lang w:val="zh-CN"/>
        </w:rPr>
        <w:t>如成交供应商为联合体的，由联合体成员各方法定代表人或其授权代表与采购人代表签订合同。</w:t>
      </w:r>
    </w:p>
    <w:p w14:paraId="7EF9F406">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29.2采购人不得向成交供应商提出超出谈判文件以外的任何要求作为签订合同的条件，不得与成交供应商订立背离谈判文件确定的合同文本以及采购标的、货物技术、采购金额、采购数量、技术和货物要求等实质性内容的协议。</w:t>
      </w:r>
    </w:p>
    <w:p w14:paraId="057031EE">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412F03D8">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29.4如签订合同并生效后，供应商无故拒绝或延期，除按照合同条款处理外，列入不良行为记录，并给予通报。</w:t>
      </w:r>
    </w:p>
    <w:p w14:paraId="3B603A05">
      <w:pPr>
        <w:pStyle w:val="71"/>
        <w:pageBreakBefore w:val="0"/>
        <w:widowControl w:val="0"/>
        <w:kinsoku/>
        <w:wordWrap/>
        <w:overflowPunct/>
        <w:topLinePunct w:val="0"/>
        <w:autoSpaceDE/>
        <w:autoSpaceDN/>
        <w:bidi w:val="0"/>
        <w:spacing w:before="0"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29.5采购合同由采购人与成交供应商根据谈判文件、响应文件等内容通过政府采购电子交易平台在线签订，自动备案，在线签订须携带的材料见“ 供应商须知前附表”。</w:t>
      </w:r>
    </w:p>
    <w:p w14:paraId="28D7A327">
      <w:pPr>
        <w:pageBreakBefore w:val="0"/>
        <w:widowControl w:val="0"/>
        <w:kinsoku/>
        <w:wordWrap/>
        <w:overflowPunct/>
        <w:topLinePunct w:val="0"/>
        <w:autoSpaceDE/>
        <w:autoSpaceDN/>
        <w:bidi w:val="0"/>
        <w:spacing w:line="440" w:lineRule="exact"/>
        <w:ind w:left="0" w:leftChars="0" w:firstLine="482" w:firstLineChars="200"/>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30.政府采购合同公告</w:t>
      </w:r>
    </w:p>
    <w:p w14:paraId="2C47915C">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0CE09EBC">
      <w:pPr>
        <w:pageBreakBefore w:val="0"/>
        <w:widowControl w:val="0"/>
        <w:kinsoku/>
        <w:wordWrap/>
        <w:overflowPunct/>
        <w:topLinePunct w:val="0"/>
        <w:autoSpaceDE/>
        <w:autoSpaceDN/>
        <w:bidi w:val="0"/>
        <w:spacing w:line="440" w:lineRule="exact"/>
        <w:ind w:left="0" w:leftChars="0" w:firstLine="482" w:firstLineChars="200"/>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31.询问、质疑和投诉</w:t>
      </w:r>
    </w:p>
    <w:p w14:paraId="04C1FA09">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31.1供应商对政府采购活动事项有疑问的，可以向采购人、采购代理机构提出询问，采购人或者采购代理机构应当在3个工作日内对供应商依法提出的询问作出答复。</w:t>
      </w:r>
    </w:p>
    <w:p w14:paraId="06CD270A">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b/>
          <w:color w:val="auto"/>
          <w:sz w:val="22"/>
          <w:szCs w:val="22"/>
          <w:highlight w:val="none"/>
        </w:rPr>
      </w:pPr>
      <w:r>
        <w:rPr>
          <w:rFonts w:hint="eastAsia" w:ascii="仿宋" w:hAnsi="仿宋" w:eastAsia="仿宋" w:cs="仿宋"/>
          <w:color w:val="auto"/>
          <w:sz w:val="22"/>
          <w:szCs w:val="28"/>
          <w:highlight w:val="none"/>
        </w:rPr>
        <w:t>31.2供应商认为谈判文件、采购过程或者成交结果使自己的合法权益受到损害的，应当在知道或者应知其权益受到损害之日起7个工作日内，以书面形式向采购人、采购代理机构提出质疑，</w:t>
      </w:r>
      <w:r>
        <w:rPr>
          <w:rFonts w:hint="eastAsia" w:ascii="仿宋" w:hAnsi="仿宋" w:eastAsia="仿宋" w:cs="仿宋"/>
          <w:color w:val="auto"/>
          <w:sz w:val="22"/>
          <w:szCs w:val="28"/>
          <w:highlight w:val="none"/>
          <w:shd w:val="clear" w:color="auto" w:fill="FFFFFF"/>
        </w:rPr>
        <w:t>接收质疑函的方式、联系部门、联系</w:t>
      </w:r>
      <w:r>
        <w:rPr>
          <w:rFonts w:hint="eastAsia" w:ascii="仿宋" w:hAnsi="仿宋" w:eastAsia="仿宋" w:cs="仿宋"/>
          <w:color w:val="auto"/>
          <w:sz w:val="22"/>
          <w:szCs w:val="22"/>
          <w:highlight w:val="none"/>
          <w:shd w:val="clear" w:color="auto" w:fill="FFFFFF"/>
        </w:rPr>
        <w:t>电话和通讯地址等信息详见</w:t>
      </w:r>
      <w:r>
        <w:rPr>
          <w:rFonts w:hint="eastAsia" w:ascii="仿宋" w:hAnsi="仿宋" w:eastAsia="仿宋" w:cs="仿宋"/>
          <w:color w:val="auto"/>
          <w:sz w:val="22"/>
          <w:szCs w:val="22"/>
          <w:highlight w:val="none"/>
        </w:rPr>
        <w:t>“供应商须知前附表”。</w:t>
      </w:r>
      <w:r>
        <w:rPr>
          <w:rFonts w:hint="eastAsia" w:ascii="仿宋" w:hAnsi="仿宋" w:eastAsia="仿宋" w:cs="仿宋"/>
          <w:b/>
          <w:color w:val="auto"/>
          <w:sz w:val="22"/>
          <w:szCs w:val="22"/>
          <w:highlight w:val="none"/>
        </w:rPr>
        <w:t xml:space="preserve">具体质疑起算时间及处理方式如下： </w:t>
      </w:r>
    </w:p>
    <w:p w14:paraId="35EB8F1B">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（1）潜在供应商依法获取采购文件后，认为采购文件使自己的权益受到损害的，应当在竞争性谈判采购文件公告期限届满之日起7个工作日内提出质疑。</w:t>
      </w:r>
      <w:r>
        <w:rPr>
          <w:rFonts w:hint="eastAsia" w:ascii="仿宋" w:hAnsi="仿宋" w:eastAsia="仿宋" w:cs="仿宋"/>
          <w:color w:val="auto"/>
          <w:sz w:val="22"/>
          <w:szCs w:val="22"/>
          <w:highlight w:val="none"/>
        </w:rPr>
        <w:t>委托代理协议无特殊约定的，</w:t>
      </w:r>
      <w:r>
        <w:rPr>
          <w:rFonts w:hint="eastAsia" w:ascii="仿宋" w:hAnsi="仿宋" w:eastAsia="仿宋" w:cs="仿宋"/>
          <w:bCs/>
          <w:color w:val="auto"/>
          <w:sz w:val="22"/>
          <w:szCs w:val="22"/>
          <w:highlight w:val="none"/>
        </w:rPr>
        <w:t>对竞争性谈判文件中采购需求（含资格要求、采购预算和评分办法）的质疑由采购人受理并负责答复；对竞争性谈判文件中的采购执行程序的质疑由采购代理机构受理并负责答复。</w:t>
      </w:r>
    </w:p>
    <w:p w14:paraId="25BC1C3C">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6B0CACCB">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（3）供应商认为成交结果使自己的权益受到损害的，应当在成交结果公告期限届满之日起7个工作日内提出质疑，由采购人受理并负责答复。</w:t>
      </w:r>
    </w:p>
    <w:p w14:paraId="3BA3B4C5">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389D5CA0">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31.4 供应商提出质疑应当提交质疑函和必要的证明材料，针对同一采购程序环节的质疑必须在法定质疑期内一次性提出。质疑函应当包括下列内容</w:t>
      </w:r>
      <w:r>
        <w:rPr>
          <w:rFonts w:hint="eastAsia" w:ascii="仿宋" w:hAnsi="仿宋" w:eastAsia="仿宋" w:cs="仿宋"/>
          <w:bCs/>
          <w:color w:val="auto"/>
          <w:sz w:val="22"/>
          <w:szCs w:val="22"/>
          <w:highlight w:val="none"/>
        </w:rPr>
        <w:t>（质疑函格式后附）</w:t>
      </w:r>
      <w:r>
        <w:rPr>
          <w:rFonts w:hint="eastAsia" w:ascii="仿宋" w:hAnsi="仿宋" w:eastAsia="仿宋" w:cs="仿宋"/>
          <w:color w:val="auto"/>
          <w:sz w:val="22"/>
          <w:szCs w:val="22"/>
          <w:highlight w:val="none"/>
        </w:rPr>
        <w:t>：</w:t>
      </w:r>
    </w:p>
    <w:p w14:paraId="032DC6D2">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（1）供应商的姓名或者名称、地址、邮编、联系人及联系电话；</w:t>
      </w:r>
    </w:p>
    <w:p w14:paraId="519CD567">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（2）质疑项目的名称、编号；</w:t>
      </w:r>
    </w:p>
    <w:p w14:paraId="38474BE6">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（3）具体、明确的质疑事项和与质疑事项相关的请求；</w:t>
      </w:r>
    </w:p>
    <w:p w14:paraId="3D00CE41">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（4）事实依据；</w:t>
      </w:r>
    </w:p>
    <w:p w14:paraId="0A13865B">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（5）必要的法律依据；</w:t>
      </w:r>
    </w:p>
    <w:p w14:paraId="4D3F4B10">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（6）提出质疑的日期。</w:t>
      </w:r>
    </w:p>
    <w:p w14:paraId="6B6FC932">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供应商为自然人的，应当由本人签字；供应商为法人或者其他组织的，应当由法定代表人、主要负责人，或者其委托代理人签字或者盖章，并加盖公章。</w:t>
      </w:r>
    </w:p>
    <w:p w14:paraId="200CC9F4">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31.5采购人、采购代理机构认为供应商质疑不成立，或者成立但未对成交结果构成影响的，继续开展采购活动；认为供应商质疑成立且影响或者可能影响成交结果的，按照下列情况处理：</w:t>
      </w:r>
    </w:p>
    <w:p w14:paraId="0407802C">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（一）对采购文件提出的质疑，依法通过澄清或者修改可以继续开展采购活动的，澄清或者修改采购文件后继续开展采购活动；否则应当修改采购文件后重新开展采购活动。</w:t>
      </w:r>
    </w:p>
    <w:p w14:paraId="2775B19D">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（二）对采购过程或者成交结果提出的质疑，合格供应商符合法定数量时，可以从合格的成交候选人中另行确定成交供应商的，应当依法另行确定成交供应商；否则应当重新开展采购活动。</w:t>
      </w:r>
    </w:p>
    <w:p w14:paraId="2ACA5EC6">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质疑答复导致成交结果改变的，采购人或者采购代理机构应当将有关情况书面报告本级财政部门。</w:t>
      </w:r>
    </w:p>
    <w:p w14:paraId="2B8A4BA7">
      <w:pPr>
        <w:pageBreakBefore w:val="0"/>
        <w:widowControl w:val="0"/>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2B5B16AE">
      <w:pPr>
        <w:pStyle w:val="4"/>
        <w:keepNext/>
        <w:keepLines/>
        <w:pageBreakBefore w:val="0"/>
        <w:widowControl w:val="0"/>
        <w:kinsoku/>
        <w:wordWrap/>
        <w:overflowPunct/>
        <w:topLinePunct w:val="0"/>
        <w:autoSpaceDE/>
        <w:autoSpaceDN/>
        <w:bidi w:val="0"/>
        <w:adjustRightInd/>
        <w:snapToGrid/>
        <w:spacing w:before="0" w:after="0" w:line="440" w:lineRule="exact"/>
        <w:ind w:left="0" w:leftChars="0" w:firstLine="562" w:firstLineChars="200"/>
        <w:jc w:val="both"/>
        <w:textAlignment w:val="auto"/>
        <w:rPr>
          <w:rFonts w:hint="eastAsia" w:ascii="仿宋" w:hAnsi="仿宋" w:eastAsia="仿宋" w:cs="仿宋"/>
          <w:b/>
          <w:bCs/>
          <w:color w:val="auto"/>
          <w:sz w:val="28"/>
          <w:szCs w:val="28"/>
          <w:highlight w:val="none"/>
        </w:rPr>
      </w:pPr>
      <w:bookmarkStart w:id="48" w:name="_Toc6462"/>
      <w:r>
        <w:rPr>
          <w:rFonts w:hint="eastAsia" w:ascii="仿宋" w:hAnsi="仿宋" w:eastAsia="仿宋" w:cs="仿宋"/>
          <w:b/>
          <w:bCs/>
          <w:color w:val="auto"/>
          <w:sz w:val="28"/>
          <w:szCs w:val="28"/>
          <w:highlight w:val="none"/>
        </w:rPr>
        <w:t>六、验收</w:t>
      </w:r>
      <w:bookmarkEnd w:id="48"/>
    </w:p>
    <w:p w14:paraId="1C5656E2">
      <w:pPr>
        <w:pageBreakBefore w:val="0"/>
        <w:widowControl w:val="0"/>
        <w:tabs>
          <w:tab w:val="left" w:pos="0"/>
        </w:tabs>
        <w:kinsoku/>
        <w:wordWrap/>
        <w:overflowPunct/>
        <w:topLinePunct w:val="0"/>
        <w:autoSpaceDE/>
        <w:autoSpaceDN/>
        <w:bidi w:val="0"/>
        <w:spacing w:line="440" w:lineRule="exact"/>
        <w:ind w:left="0" w:leftChars="0" w:firstLine="482" w:firstLineChars="200"/>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32.验收</w:t>
      </w:r>
    </w:p>
    <w:p w14:paraId="1CA5770A">
      <w:pPr>
        <w:pageBreakBefore w:val="0"/>
        <w:widowControl w:val="0"/>
        <w:tabs>
          <w:tab w:val="left" w:pos="0"/>
        </w:tabs>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647D739">
      <w:pPr>
        <w:pageBreakBefore w:val="0"/>
        <w:widowControl w:val="0"/>
        <w:tabs>
          <w:tab w:val="left" w:pos="0"/>
        </w:tabs>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32.2采购人可以邀请参加本项目的其他供应商或者第三方机构参与验收。参与验收的供应商或者第三方机构的意见作为验收书的参考资料一并存档。</w:t>
      </w:r>
    </w:p>
    <w:p w14:paraId="55EB3163">
      <w:pPr>
        <w:pageBreakBefore w:val="0"/>
        <w:widowControl w:val="0"/>
        <w:tabs>
          <w:tab w:val="left" w:pos="0"/>
        </w:tabs>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32.3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履约验收的各项资料应当存档备查。</w:t>
      </w:r>
    </w:p>
    <w:p w14:paraId="75B90530">
      <w:pPr>
        <w:pageBreakBefore w:val="0"/>
        <w:widowControl w:val="0"/>
        <w:tabs>
          <w:tab w:val="left" w:pos="0"/>
        </w:tabs>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9F0FD84">
      <w:pPr>
        <w:pStyle w:val="4"/>
        <w:keepNext/>
        <w:keepLines/>
        <w:pageBreakBefore w:val="0"/>
        <w:widowControl w:val="0"/>
        <w:kinsoku/>
        <w:wordWrap/>
        <w:overflowPunct/>
        <w:topLinePunct w:val="0"/>
        <w:autoSpaceDE/>
        <w:autoSpaceDN/>
        <w:bidi w:val="0"/>
        <w:adjustRightInd/>
        <w:snapToGrid/>
        <w:spacing w:before="0" w:after="0" w:line="440" w:lineRule="exact"/>
        <w:ind w:left="0" w:leftChars="0" w:firstLine="562" w:firstLineChars="200"/>
        <w:jc w:val="both"/>
        <w:textAlignment w:val="auto"/>
        <w:rPr>
          <w:rFonts w:hint="eastAsia" w:ascii="仿宋" w:hAnsi="仿宋" w:eastAsia="仿宋" w:cs="仿宋"/>
          <w:b/>
          <w:bCs/>
          <w:color w:val="auto"/>
          <w:sz w:val="28"/>
          <w:szCs w:val="28"/>
          <w:highlight w:val="none"/>
        </w:rPr>
      </w:pPr>
      <w:bookmarkStart w:id="49" w:name="_Toc9725"/>
      <w:r>
        <w:rPr>
          <w:rFonts w:hint="eastAsia" w:ascii="仿宋" w:hAnsi="仿宋" w:eastAsia="仿宋" w:cs="仿宋"/>
          <w:b/>
          <w:bCs/>
          <w:color w:val="auto"/>
          <w:sz w:val="28"/>
          <w:szCs w:val="28"/>
          <w:highlight w:val="none"/>
        </w:rPr>
        <w:t>七、其他事项</w:t>
      </w:r>
      <w:bookmarkEnd w:id="49"/>
    </w:p>
    <w:p w14:paraId="16BAB09E">
      <w:pPr>
        <w:pageBreakBefore w:val="0"/>
        <w:widowControl w:val="0"/>
        <w:kinsoku/>
        <w:wordWrap/>
        <w:overflowPunct/>
        <w:topLinePunct w:val="0"/>
        <w:autoSpaceDE/>
        <w:autoSpaceDN/>
        <w:bidi w:val="0"/>
        <w:spacing w:line="440" w:lineRule="exact"/>
        <w:ind w:left="0" w:leftChars="0" w:firstLine="482" w:firstLineChars="200"/>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33.代理货物费</w:t>
      </w:r>
    </w:p>
    <w:p w14:paraId="6D9A6FBD">
      <w:pPr>
        <w:pageBreakBefore w:val="0"/>
        <w:widowControl w:val="0"/>
        <w:tabs>
          <w:tab w:val="left" w:pos="2835"/>
        </w:tabs>
        <w:kinsoku/>
        <w:wordWrap/>
        <w:overflowPunct/>
        <w:topLinePunct w:val="0"/>
        <w:autoSpaceDE/>
        <w:autoSpaceDN/>
        <w:bidi w:val="0"/>
        <w:spacing w:line="440" w:lineRule="exact"/>
        <w:ind w:left="0" w:leftChars="0"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代理货物收费标准及缴费账户详见“供应商须知前附表”，供应商为联合体的，可以由联合体中的一方或者多方共同交纳代理货物费。</w:t>
      </w:r>
    </w:p>
    <w:p w14:paraId="576D5E87">
      <w:pPr>
        <w:pageBreakBefore w:val="0"/>
        <w:widowControl w:val="0"/>
        <w:kinsoku/>
        <w:wordWrap/>
        <w:overflowPunct/>
        <w:topLinePunct w:val="0"/>
        <w:autoSpaceDE/>
        <w:autoSpaceDN/>
        <w:bidi w:val="0"/>
        <w:spacing w:line="440" w:lineRule="exact"/>
        <w:ind w:left="0" w:leftChars="0" w:firstLine="482" w:firstLineChars="200"/>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34.需要补充的其他内容</w:t>
      </w:r>
    </w:p>
    <w:p w14:paraId="4D052EE1">
      <w:pPr>
        <w:pageBreakBefore w:val="0"/>
        <w:widowControl w:val="0"/>
        <w:kinsoku/>
        <w:wordWrap/>
        <w:overflowPunct/>
        <w:topLinePunct w:val="0"/>
        <w:autoSpaceDE/>
        <w:autoSpaceDN/>
        <w:bidi w:val="0"/>
        <w:spacing w:line="440" w:lineRule="exact"/>
        <w:ind w:left="0" w:leftChars="0" w:firstLine="440" w:firstLineChars="200"/>
        <w:contextualSpacing/>
        <w:jc w:val="both"/>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34.1本谈判文件解释规则详见“供应商须知前附表”。</w:t>
      </w:r>
    </w:p>
    <w:p w14:paraId="07C0EDE0">
      <w:pPr>
        <w:pageBreakBefore w:val="0"/>
        <w:widowControl w:val="0"/>
        <w:kinsoku/>
        <w:wordWrap/>
        <w:overflowPunct/>
        <w:topLinePunct w:val="0"/>
        <w:autoSpaceDE/>
        <w:autoSpaceDN/>
        <w:bidi w:val="0"/>
        <w:spacing w:line="440" w:lineRule="exact"/>
        <w:ind w:left="0" w:leftChars="0" w:firstLine="440" w:firstLineChars="200"/>
        <w:contextualSpacing/>
        <w:jc w:val="both"/>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34.2 其他事</w:t>
      </w:r>
      <w:r>
        <w:rPr>
          <w:rFonts w:hint="eastAsia" w:ascii="仿宋" w:hAnsi="仿宋" w:eastAsia="仿宋" w:cs="仿宋"/>
          <w:color w:val="auto"/>
          <w:sz w:val="22"/>
          <w:szCs w:val="22"/>
          <w:highlight w:val="none"/>
        </w:rPr>
        <w:t>项详见“供应商须知前附表”。</w:t>
      </w:r>
    </w:p>
    <w:p w14:paraId="680C49C1">
      <w:pPr>
        <w:pageBreakBefore w:val="0"/>
        <w:widowControl w:val="0"/>
        <w:kinsoku/>
        <w:wordWrap/>
        <w:overflowPunct/>
        <w:topLinePunct w:val="0"/>
        <w:autoSpaceDE/>
        <w:autoSpaceDN/>
        <w:bidi w:val="0"/>
        <w:spacing w:line="440" w:lineRule="exact"/>
        <w:ind w:left="0" w:leftChars="0" w:firstLine="440" w:firstLineChars="200"/>
        <w:contextualSpacing/>
        <w:jc w:val="both"/>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34.3</w:t>
      </w:r>
      <w:bookmarkStart w:id="50" w:name="_Hlk65857140"/>
      <w:r>
        <w:rPr>
          <w:rFonts w:hint="eastAsia" w:ascii="仿宋" w:hAnsi="仿宋" w:eastAsia="仿宋" w:cs="仿宋"/>
          <w:color w:val="auto"/>
          <w:kern w:val="0"/>
          <w:sz w:val="22"/>
          <w:szCs w:val="22"/>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货物符合下列情形的，享受本文件规定的中小企业扶持政策：</w:t>
      </w:r>
    </w:p>
    <w:p w14:paraId="59833E47">
      <w:pPr>
        <w:pageBreakBefore w:val="0"/>
        <w:widowControl w:val="0"/>
        <w:kinsoku/>
        <w:wordWrap/>
        <w:overflowPunct/>
        <w:topLinePunct w:val="0"/>
        <w:autoSpaceDE/>
        <w:autoSpaceDN/>
        <w:bidi w:val="0"/>
        <w:spacing w:line="440" w:lineRule="exact"/>
        <w:ind w:left="0" w:leftChars="0" w:firstLine="440" w:firstLineChars="200"/>
        <w:contextualSpacing/>
        <w:jc w:val="both"/>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在货物采购项目中，货物由中小企业制造，即货物由中小企业生产且使用该中小企业商号或者注册商标，不对其中涉及的工程承建商和货物的承接商作出要求；</w:t>
      </w:r>
    </w:p>
    <w:p w14:paraId="3AAFBA6D">
      <w:pPr>
        <w:pageBreakBefore w:val="0"/>
        <w:widowControl w:val="0"/>
        <w:kinsoku/>
        <w:wordWrap/>
        <w:overflowPunct/>
        <w:topLinePunct w:val="0"/>
        <w:autoSpaceDE/>
        <w:autoSpaceDN/>
        <w:bidi w:val="0"/>
        <w:spacing w:line="440" w:lineRule="exact"/>
        <w:ind w:left="0" w:leftChars="0" w:firstLine="440" w:firstLineChars="200"/>
        <w:contextualSpacing/>
        <w:jc w:val="both"/>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2C716287">
      <w:pPr>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jc w:val="both"/>
        <w:textAlignment w:val="center"/>
        <w:rPr>
          <w:rFonts w:hint="eastAsia" w:ascii="仿宋" w:hAnsi="仿宋" w:eastAsia="仿宋" w:cs="仿宋"/>
          <w:color w:val="auto"/>
          <w:kern w:val="0"/>
          <w:szCs w:val="21"/>
          <w:highlight w:val="none"/>
        </w:rPr>
      </w:pPr>
      <w:r>
        <w:rPr>
          <w:rFonts w:hint="eastAsia" w:ascii="仿宋" w:hAnsi="仿宋" w:eastAsia="仿宋" w:cs="仿宋"/>
          <w:color w:val="auto"/>
          <w:kern w:val="0"/>
          <w:sz w:val="22"/>
          <w:szCs w:val="22"/>
          <w:highlight w:val="none"/>
        </w:rPr>
        <w:t>依据本文件规定享受扶持政策获得政府采购合同的，小微企业不得将合同分包给大中型企业，中型企业不得将合同分包给大型企业。</w:t>
      </w:r>
      <w:bookmarkEnd w:id="50"/>
    </w:p>
    <w:p w14:paraId="1CD49C67">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35.政采贷相关说明</w:t>
      </w:r>
    </w:p>
    <w:p w14:paraId="768317AD">
      <w:pPr>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contextualSpacing/>
        <w:jc w:val="both"/>
        <w:textAlignment w:val="auto"/>
        <w:outlineLvl w:val="9"/>
        <w:rPr>
          <w:rFonts w:hint="eastAsia" w:ascii="仿宋" w:hAnsi="仿宋" w:eastAsia="仿宋" w:cs="仿宋"/>
          <w:color w:val="auto"/>
          <w:kern w:val="0"/>
          <w:sz w:val="22"/>
          <w:szCs w:val="22"/>
          <w:highlight w:val="none"/>
        </w:rPr>
        <w:sectPr>
          <w:footerReference r:id="rId8" w:type="default"/>
          <w:pgSz w:w="11911" w:h="16838"/>
          <w:pgMar w:top="1338" w:right="1502" w:bottom="850" w:left="1678" w:header="1077" w:footer="720" w:gutter="0"/>
          <w:pgNumType w:fmt="decimal"/>
          <w:cols w:space="720" w:num="1"/>
          <w:rtlGutter w:val="0"/>
          <w:docGrid w:linePitch="0" w:charSpace="0"/>
        </w:sectPr>
      </w:pPr>
      <w:r>
        <w:rPr>
          <w:rFonts w:hint="eastAsia" w:ascii="仿宋" w:hAnsi="仿宋" w:eastAsia="仿宋" w:cs="仿宋"/>
          <w:color w:val="auto"/>
          <w:kern w:val="0"/>
          <w:sz w:val="22"/>
          <w:szCs w:val="22"/>
          <w:highlight w:val="none"/>
        </w:rPr>
        <w:t>为优化政府采购营商环境，缓解供应商资金难题，有融资需求的供应商可根据自身情况，在中征平台自主选择金融机构及其融资产品，选择拟用于融资的政府采购中标（成交）通知书和政府采购合同在线发布或向指定金融机构提出融资申请。</w:t>
      </w:r>
    </w:p>
    <w:p w14:paraId="4C63B63B">
      <w:pPr>
        <w:pStyle w:val="18"/>
        <w:snapToGrid w:val="0"/>
        <w:rPr>
          <w:rFonts w:hint="eastAsia" w:ascii="仿宋" w:hAnsi="仿宋" w:eastAsia="仿宋" w:cs="仿宋"/>
          <w:color w:val="auto"/>
          <w:sz w:val="22"/>
          <w:szCs w:val="24"/>
          <w:highlight w:val="none"/>
        </w:rPr>
      </w:pPr>
      <w:r>
        <w:rPr>
          <w:rFonts w:hint="eastAsia" w:ascii="仿宋" w:hAnsi="仿宋" w:eastAsia="仿宋" w:cs="仿宋"/>
          <w:color w:val="auto"/>
          <w:sz w:val="22"/>
          <w:szCs w:val="24"/>
          <w:highlight w:val="none"/>
        </w:rPr>
        <w:t>附</w:t>
      </w:r>
      <w:r>
        <w:rPr>
          <w:rFonts w:hint="eastAsia" w:ascii="仿宋" w:hAnsi="仿宋" w:eastAsia="仿宋" w:cs="仿宋"/>
          <w:color w:val="auto"/>
          <w:sz w:val="22"/>
          <w:szCs w:val="24"/>
          <w:highlight w:val="none"/>
          <w:lang w:eastAsia="zh-CN"/>
        </w:rPr>
        <w:t>件</w:t>
      </w:r>
      <w:r>
        <w:rPr>
          <w:rFonts w:hint="eastAsia" w:ascii="仿宋" w:hAnsi="仿宋" w:eastAsia="仿宋" w:cs="仿宋"/>
          <w:color w:val="auto"/>
          <w:sz w:val="22"/>
          <w:szCs w:val="24"/>
          <w:highlight w:val="none"/>
        </w:rPr>
        <w:t>1：</w:t>
      </w:r>
    </w:p>
    <w:p w14:paraId="6A2CC925">
      <w:pPr>
        <w:pStyle w:val="18"/>
        <w:snapToGrid w:val="0"/>
        <w:ind w:firstLine="400" w:firstLineChars="200"/>
        <w:rPr>
          <w:rFonts w:hint="eastAsia" w:ascii="仿宋" w:hAnsi="仿宋" w:eastAsia="仿宋" w:cs="仿宋"/>
          <w:color w:val="auto"/>
          <w:highlight w:val="none"/>
        </w:rPr>
      </w:pPr>
    </w:p>
    <w:p w14:paraId="7BE83C47">
      <w:pPr>
        <w:widowControl/>
        <w:jc w:val="center"/>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广西壮族自治区政府采购项目合同验收书（格式）</w:t>
      </w:r>
    </w:p>
    <w:p w14:paraId="713FE538">
      <w:pPr>
        <w:widowControl/>
        <w:snapToGrid w:val="0"/>
        <w:spacing w:before="100" w:beforeAutospacing="1" w:after="100" w:afterAutospacing="1" w:line="320" w:lineRule="exact"/>
        <w:ind w:left="-359" w:leftChars="-171"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根据政府采购项目（</w:t>
      </w:r>
      <w:r>
        <w:rPr>
          <w:rFonts w:hint="eastAsia" w:ascii="仿宋" w:hAnsi="仿宋" w:eastAsia="仿宋" w:cs="仿宋"/>
          <w:color w:val="auto"/>
          <w:kern w:val="0"/>
          <w:szCs w:val="21"/>
          <w:highlight w:val="none"/>
          <w:u w:val="single"/>
        </w:rPr>
        <w:t>采购合同编号：</w:t>
      </w:r>
      <w:r>
        <w:rPr>
          <w:rFonts w:hint="eastAsia" w:ascii="仿宋" w:hAnsi="仿宋" w:eastAsia="仿宋" w:cs="仿宋"/>
          <w:color w:val="auto"/>
          <w:kern w:val="0"/>
          <w:szCs w:val="21"/>
          <w:highlight w:val="none"/>
          <w:u w:val="single"/>
        </w:rPr>
        <w:softHyphen/>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）的约定，我单位对（</w:t>
      </w:r>
      <w:r>
        <w:rPr>
          <w:rFonts w:hint="eastAsia" w:ascii="仿宋" w:hAnsi="仿宋" w:eastAsia="仿宋" w:cs="仿宋"/>
          <w:color w:val="auto"/>
          <w:kern w:val="0"/>
          <w:szCs w:val="21"/>
          <w:highlight w:val="none"/>
          <w:u w:val="single"/>
        </w:rPr>
        <w:t xml:space="preserve">  项目名称   </w:t>
      </w:r>
      <w:r>
        <w:rPr>
          <w:rFonts w:hint="eastAsia" w:ascii="仿宋" w:hAnsi="仿宋" w:eastAsia="仿宋" w:cs="仿宋"/>
          <w:color w:val="auto"/>
          <w:kern w:val="0"/>
          <w:szCs w:val="21"/>
          <w:highlight w:val="none"/>
        </w:rPr>
        <w:t>）政府采购项目中标（或成交）供应商（</w:t>
      </w:r>
      <w:r>
        <w:rPr>
          <w:rFonts w:hint="eastAsia" w:ascii="仿宋" w:hAnsi="仿宋" w:eastAsia="仿宋" w:cs="仿宋"/>
          <w:color w:val="auto"/>
          <w:kern w:val="0"/>
          <w:szCs w:val="21"/>
          <w:highlight w:val="none"/>
          <w:u w:val="single"/>
        </w:rPr>
        <w:t xml:space="preserve">            公司名称              </w:t>
      </w:r>
      <w:r>
        <w:rPr>
          <w:rFonts w:hint="eastAsia" w:ascii="仿宋" w:hAnsi="仿宋" w:eastAsia="仿宋" w:cs="仿宋"/>
          <w:color w:val="auto"/>
          <w:kern w:val="0"/>
          <w:szCs w:val="21"/>
          <w:highlight w:val="none"/>
        </w:rPr>
        <w:t>）提供的货物（或工程、服务）进行了验收，验收情况如下：</w:t>
      </w:r>
    </w:p>
    <w:tbl>
      <w:tblPr>
        <w:tblStyle w:val="31"/>
        <w:tblW w:w="5062"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480"/>
        <w:gridCol w:w="2091"/>
        <w:gridCol w:w="861"/>
        <w:gridCol w:w="2273"/>
        <w:gridCol w:w="184"/>
        <w:gridCol w:w="723"/>
        <w:gridCol w:w="1248"/>
      </w:tblGrid>
      <w:tr w14:paraId="4DD01D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97" w:hRule="atLeast"/>
          <w:jc w:val="center"/>
        </w:trPr>
        <w:tc>
          <w:tcPr>
            <w:tcW w:w="2015" w:type="pct"/>
            <w:gridSpan w:val="2"/>
            <w:tcBorders>
              <w:top w:val="single" w:color="auto" w:sz="8" w:space="0"/>
              <w:left w:val="single" w:color="auto" w:sz="8" w:space="0"/>
              <w:bottom w:val="single" w:color="auto" w:sz="8" w:space="0"/>
              <w:right w:val="single" w:color="auto" w:sz="8" w:space="0"/>
            </w:tcBorders>
            <w:noWrap w:val="0"/>
            <w:vAlign w:val="center"/>
          </w:tcPr>
          <w:p w14:paraId="6046CD53">
            <w:pPr>
              <w:widowControl/>
              <w:snapToGrid w:val="0"/>
              <w:spacing w:before="100" w:beforeAutospacing="1" w:after="100" w:afterAutospacing="1" w:line="320" w:lineRule="exact"/>
              <w:ind w:left="-3" w:firstLine="4" w:firstLineChars="2"/>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验收方式：</w:t>
            </w:r>
          </w:p>
        </w:tc>
        <w:tc>
          <w:tcPr>
            <w:tcW w:w="2984" w:type="pct"/>
            <w:gridSpan w:val="5"/>
            <w:tcBorders>
              <w:top w:val="single" w:color="auto" w:sz="8" w:space="0"/>
              <w:left w:val="single" w:color="auto" w:sz="8" w:space="0"/>
              <w:bottom w:val="single" w:color="auto" w:sz="8" w:space="0"/>
              <w:right w:val="single" w:color="auto" w:sz="8" w:space="0"/>
            </w:tcBorders>
            <w:noWrap w:val="0"/>
            <w:vAlign w:val="center"/>
          </w:tcPr>
          <w:p w14:paraId="2926C0F1">
            <w:pPr>
              <w:widowControl/>
              <w:snapToGrid w:val="0"/>
              <w:spacing w:before="100" w:beforeAutospacing="1" w:after="100" w:afterAutospacing="1" w:line="320" w:lineRule="exact"/>
              <w:ind w:left="-3" w:firstLine="420" w:firstLineChars="20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□自行验收         □委托验收</w:t>
            </w:r>
          </w:p>
        </w:tc>
      </w:tr>
      <w:tr w14:paraId="1A8D25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835" w:type="pct"/>
            <w:tcBorders>
              <w:top w:val="single" w:color="auto" w:sz="8" w:space="0"/>
              <w:left w:val="single" w:color="auto" w:sz="8" w:space="0"/>
              <w:bottom w:val="single" w:color="auto" w:sz="8" w:space="0"/>
              <w:right w:val="single" w:color="auto" w:sz="8" w:space="0"/>
            </w:tcBorders>
            <w:noWrap w:val="0"/>
            <w:vAlign w:val="center"/>
          </w:tcPr>
          <w:p w14:paraId="50F965BA">
            <w:pPr>
              <w:widowControl/>
              <w:snapToGrid w:val="0"/>
              <w:spacing w:before="100" w:beforeAutospacing="1" w:after="100" w:afterAutospacing="1" w:line="320" w:lineRule="exact"/>
              <w:ind w:firstLine="2" w:firstLineChars="1"/>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序号</w:t>
            </w:r>
          </w:p>
        </w:tc>
        <w:tc>
          <w:tcPr>
            <w:tcW w:w="1179" w:type="pct"/>
            <w:tcBorders>
              <w:top w:val="single" w:color="auto" w:sz="8" w:space="0"/>
              <w:left w:val="single" w:color="auto" w:sz="8" w:space="0"/>
              <w:bottom w:val="single" w:color="auto" w:sz="8" w:space="0"/>
              <w:right w:val="single" w:color="auto" w:sz="8" w:space="0"/>
            </w:tcBorders>
            <w:noWrap w:val="0"/>
            <w:vAlign w:val="center"/>
          </w:tcPr>
          <w:p w14:paraId="4FA95FD5">
            <w:pPr>
              <w:widowControl/>
              <w:snapToGrid w:val="0"/>
              <w:spacing w:before="100" w:beforeAutospacing="1" w:after="100" w:afterAutospacing="1" w:line="320" w:lineRule="exact"/>
              <w:ind w:left="-3" w:firstLine="2" w:firstLineChars="1"/>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名  称</w:t>
            </w:r>
          </w:p>
        </w:tc>
        <w:tc>
          <w:tcPr>
            <w:tcW w:w="1768" w:type="pct"/>
            <w:gridSpan w:val="2"/>
            <w:tcBorders>
              <w:top w:val="single" w:color="auto" w:sz="8" w:space="0"/>
              <w:left w:val="single" w:color="auto" w:sz="8" w:space="0"/>
              <w:bottom w:val="single" w:color="auto" w:sz="8" w:space="0"/>
              <w:right w:val="single" w:color="auto" w:sz="8" w:space="0"/>
            </w:tcBorders>
            <w:noWrap w:val="0"/>
            <w:vAlign w:val="center"/>
          </w:tcPr>
          <w:p w14:paraId="2439B90C">
            <w:pPr>
              <w:widowControl/>
              <w:snapToGrid w:val="0"/>
              <w:spacing w:before="100" w:beforeAutospacing="1" w:after="100" w:afterAutospacing="1" w:line="320" w:lineRule="exact"/>
              <w:ind w:left="-3" w:firstLine="2" w:firstLineChars="1"/>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货物型号规格、标准及配置等（或服务内容、标准）</w:t>
            </w:r>
          </w:p>
        </w:tc>
        <w:tc>
          <w:tcPr>
            <w:tcW w:w="512" w:type="pct"/>
            <w:gridSpan w:val="2"/>
            <w:tcBorders>
              <w:top w:val="single" w:color="auto" w:sz="8" w:space="0"/>
              <w:left w:val="single" w:color="auto" w:sz="8" w:space="0"/>
              <w:bottom w:val="single" w:color="auto" w:sz="8" w:space="0"/>
              <w:right w:val="single" w:color="auto" w:sz="8" w:space="0"/>
            </w:tcBorders>
            <w:noWrap w:val="0"/>
            <w:vAlign w:val="center"/>
          </w:tcPr>
          <w:p w14:paraId="2A560305">
            <w:pPr>
              <w:widowControl/>
              <w:snapToGrid w:val="0"/>
              <w:spacing w:before="100" w:beforeAutospacing="1" w:after="100" w:afterAutospacing="1" w:line="32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数量</w:t>
            </w:r>
          </w:p>
        </w:tc>
        <w:tc>
          <w:tcPr>
            <w:tcW w:w="702" w:type="pct"/>
            <w:tcBorders>
              <w:top w:val="single" w:color="auto" w:sz="8" w:space="0"/>
              <w:left w:val="single" w:color="auto" w:sz="8" w:space="0"/>
              <w:bottom w:val="single" w:color="auto" w:sz="8" w:space="0"/>
              <w:right w:val="single" w:color="auto" w:sz="8" w:space="0"/>
            </w:tcBorders>
            <w:noWrap w:val="0"/>
            <w:vAlign w:val="center"/>
          </w:tcPr>
          <w:p w14:paraId="3D4A5B5C">
            <w:pPr>
              <w:widowControl/>
              <w:snapToGrid w:val="0"/>
              <w:spacing w:before="100" w:beforeAutospacing="1" w:after="100" w:afterAutospacing="1" w:line="320" w:lineRule="exact"/>
              <w:ind w:left="-3" w:firstLine="2" w:firstLineChars="1"/>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金  额</w:t>
            </w:r>
          </w:p>
        </w:tc>
      </w:tr>
      <w:tr w14:paraId="1F6AB7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835" w:type="pct"/>
            <w:tcBorders>
              <w:top w:val="single" w:color="auto" w:sz="8" w:space="0"/>
              <w:left w:val="single" w:color="auto" w:sz="8" w:space="0"/>
              <w:bottom w:val="single" w:color="auto" w:sz="8" w:space="0"/>
              <w:right w:val="single" w:color="auto" w:sz="8" w:space="0"/>
            </w:tcBorders>
            <w:noWrap w:val="0"/>
            <w:vAlign w:val="center"/>
          </w:tcPr>
          <w:p w14:paraId="67D06847">
            <w:pPr>
              <w:widowControl/>
              <w:snapToGrid w:val="0"/>
              <w:spacing w:before="100" w:beforeAutospacing="1" w:after="100" w:afterAutospacing="1" w:line="320" w:lineRule="exact"/>
              <w:ind w:left="-3" w:firstLine="4" w:firstLineChars="2"/>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179" w:type="pct"/>
            <w:tcBorders>
              <w:top w:val="single" w:color="auto" w:sz="8" w:space="0"/>
              <w:left w:val="single" w:color="auto" w:sz="8" w:space="0"/>
              <w:bottom w:val="single" w:color="auto" w:sz="8" w:space="0"/>
              <w:right w:val="single" w:color="auto" w:sz="8" w:space="0"/>
            </w:tcBorders>
            <w:noWrap w:val="0"/>
            <w:vAlign w:val="center"/>
          </w:tcPr>
          <w:p w14:paraId="5EF48A39">
            <w:pPr>
              <w:widowControl/>
              <w:snapToGrid w:val="0"/>
              <w:spacing w:before="100" w:beforeAutospacing="1" w:after="100" w:afterAutospacing="1" w:line="320" w:lineRule="exact"/>
              <w:ind w:left="-3"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768" w:type="pct"/>
            <w:gridSpan w:val="2"/>
            <w:tcBorders>
              <w:top w:val="single" w:color="auto" w:sz="8" w:space="0"/>
              <w:left w:val="single" w:color="auto" w:sz="8" w:space="0"/>
              <w:bottom w:val="single" w:color="auto" w:sz="8" w:space="0"/>
              <w:right w:val="single" w:color="auto" w:sz="8" w:space="0"/>
            </w:tcBorders>
            <w:noWrap w:val="0"/>
            <w:vAlign w:val="center"/>
          </w:tcPr>
          <w:p w14:paraId="330A51EC">
            <w:pPr>
              <w:widowControl/>
              <w:snapToGrid w:val="0"/>
              <w:spacing w:before="100" w:beforeAutospacing="1" w:after="100" w:afterAutospacing="1" w:line="320" w:lineRule="exact"/>
              <w:ind w:left="-3"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512" w:type="pct"/>
            <w:gridSpan w:val="2"/>
            <w:tcBorders>
              <w:top w:val="single" w:color="auto" w:sz="8" w:space="0"/>
              <w:left w:val="single" w:color="auto" w:sz="8" w:space="0"/>
              <w:bottom w:val="single" w:color="auto" w:sz="8" w:space="0"/>
              <w:right w:val="single" w:color="auto" w:sz="8" w:space="0"/>
            </w:tcBorders>
            <w:noWrap w:val="0"/>
            <w:vAlign w:val="center"/>
          </w:tcPr>
          <w:p w14:paraId="72F7C046">
            <w:pPr>
              <w:widowControl/>
              <w:snapToGrid w:val="0"/>
              <w:spacing w:before="100" w:beforeAutospacing="1" w:after="100" w:afterAutospacing="1" w:line="32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702" w:type="pct"/>
            <w:tcBorders>
              <w:top w:val="single" w:color="auto" w:sz="8" w:space="0"/>
              <w:left w:val="single" w:color="auto" w:sz="8" w:space="0"/>
              <w:bottom w:val="single" w:color="auto" w:sz="8" w:space="0"/>
              <w:right w:val="single" w:color="auto" w:sz="8" w:space="0"/>
            </w:tcBorders>
            <w:noWrap w:val="0"/>
            <w:vAlign w:val="center"/>
          </w:tcPr>
          <w:p w14:paraId="14A154D0">
            <w:pPr>
              <w:widowControl/>
              <w:snapToGrid w:val="0"/>
              <w:spacing w:before="100" w:beforeAutospacing="1" w:after="100" w:afterAutospacing="1" w:line="32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14:paraId="0205AE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835" w:type="pct"/>
            <w:tcBorders>
              <w:top w:val="single" w:color="auto" w:sz="8" w:space="0"/>
              <w:left w:val="single" w:color="auto" w:sz="8" w:space="0"/>
              <w:bottom w:val="single" w:color="auto" w:sz="8" w:space="0"/>
              <w:right w:val="single" w:color="auto" w:sz="8" w:space="0"/>
            </w:tcBorders>
            <w:noWrap w:val="0"/>
            <w:vAlign w:val="center"/>
          </w:tcPr>
          <w:p w14:paraId="158F82DE">
            <w:pPr>
              <w:widowControl/>
              <w:snapToGrid w:val="0"/>
              <w:spacing w:before="100" w:beforeAutospacing="1" w:after="100" w:afterAutospacing="1" w:line="320" w:lineRule="exact"/>
              <w:ind w:left="-3"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179" w:type="pct"/>
            <w:tcBorders>
              <w:top w:val="single" w:color="auto" w:sz="8" w:space="0"/>
              <w:left w:val="single" w:color="auto" w:sz="8" w:space="0"/>
              <w:bottom w:val="single" w:color="auto" w:sz="8" w:space="0"/>
              <w:right w:val="single" w:color="auto" w:sz="8" w:space="0"/>
            </w:tcBorders>
            <w:noWrap w:val="0"/>
            <w:vAlign w:val="center"/>
          </w:tcPr>
          <w:p w14:paraId="6255E76E">
            <w:pPr>
              <w:widowControl/>
              <w:snapToGrid w:val="0"/>
              <w:spacing w:before="100" w:beforeAutospacing="1" w:after="100" w:afterAutospacing="1" w:line="320" w:lineRule="exact"/>
              <w:ind w:left="-3"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768" w:type="pct"/>
            <w:gridSpan w:val="2"/>
            <w:tcBorders>
              <w:top w:val="single" w:color="auto" w:sz="8" w:space="0"/>
              <w:left w:val="single" w:color="auto" w:sz="8" w:space="0"/>
              <w:bottom w:val="single" w:color="auto" w:sz="8" w:space="0"/>
              <w:right w:val="single" w:color="auto" w:sz="8" w:space="0"/>
            </w:tcBorders>
            <w:noWrap w:val="0"/>
            <w:vAlign w:val="center"/>
          </w:tcPr>
          <w:p w14:paraId="1B6438C2">
            <w:pPr>
              <w:widowControl/>
              <w:snapToGrid w:val="0"/>
              <w:spacing w:before="100" w:beforeAutospacing="1" w:after="100" w:afterAutospacing="1" w:line="320" w:lineRule="exact"/>
              <w:ind w:left="-3"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512" w:type="pct"/>
            <w:gridSpan w:val="2"/>
            <w:tcBorders>
              <w:top w:val="single" w:color="auto" w:sz="8" w:space="0"/>
              <w:left w:val="single" w:color="auto" w:sz="8" w:space="0"/>
              <w:bottom w:val="single" w:color="auto" w:sz="8" w:space="0"/>
              <w:right w:val="single" w:color="auto" w:sz="8" w:space="0"/>
            </w:tcBorders>
            <w:noWrap w:val="0"/>
            <w:vAlign w:val="center"/>
          </w:tcPr>
          <w:p w14:paraId="312C28D3">
            <w:pPr>
              <w:widowControl/>
              <w:snapToGrid w:val="0"/>
              <w:spacing w:before="100" w:beforeAutospacing="1" w:after="100" w:afterAutospacing="1" w:line="32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702" w:type="pct"/>
            <w:tcBorders>
              <w:top w:val="single" w:color="auto" w:sz="8" w:space="0"/>
              <w:left w:val="single" w:color="auto" w:sz="8" w:space="0"/>
              <w:bottom w:val="single" w:color="auto" w:sz="8" w:space="0"/>
              <w:right w:val="single" w:color="auto" w:sz="8" w:space="0"/>
            </w:tcBorders>
            <w:noWrap w:val="0"/>
            <w:vAlign w:val="center"/>
          </w:tcPr>
          <w:p w14:paraId="27A98031">
            <w:pPr>
              <w:widowControl/>
              <w:snapToGrid w:val="0"/>
              <w:spacing w:before="100" w:beforeAutospacing="1" w:after="100" w:afterAutospacing="1" w:line="32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14:paraId="58134C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835" w:type="pct"/>
            <w:tcBorders>
              <w:top w:val="single" w:color="auto" w:sz="8" w:space="0"/>
              <w:left w:val="single" w:color="auto" w:sz="8" w:space="0"/>
              <w:bottom w:val="single" w:color="auto" w:sz="8" w:space="0"/>
              <w:right w:val="single" w:color="auto" w:sz="8" w:space="0"/>
            </w:tcBorders>
            <w:noWrap w:val="0"/>
            <w:vAlign w:val="center"/>
          </w:tcPr>
          <w:p w14:paraId="190ECC29">
            <w:pPr>
              <w:widowControl/>
              <w:snapToGrid w:val="0"/>
              <w:spacing w:before="100" w:beforeAutospacing="1" w:after="100" w:afterAutospacing="1" w:line="320" w:lineRule="exact"/>
              <w:ind w:left="-3"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179" w:type="pct"/>
            <w:tcBorders>
              <w:top w:val="single" w:color="auto" w:sz="8" w:space="0"/>
              <w:left w:val="single" w:color="auto" w:sz="8" w:space="0"/>
              <w:bottom w:val="single" w:color="auto" w:sz="8" w:space="0"/>
              <w:right w:val="single" w:color="auto" w:sz="8" w:space="0"/>
            </w:tcBorders>
            <w:noWrap w:val="0"/>
            <w:vAlign w:val="center"/>
          </w:tcPr>
          <w:p w14:paraId="751C5FC2">
            <w:pPr>
              <w:widowControl/>
              <w:snapToGrid w:val="0"/>
              <w:spacing w:before="100" w:beforeAutospacing="1" w:after="100" w:afterAutospacing="1" w:line="320" w:lineRule="exact"/>
              <w:ind w:left="-3"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768" w:type="pct"/>
            <w:gridSpan w:val="2"/>
            <w:tcBorders>
              <w:top w:val="single" w:color="auto" w:sz="8" w:space="0"/>
              <w:left w:val="single" w:color="auto" w:sz="8" w:space="0"/>
              <w:bottom w:val="single" w:color="auto" w:sz="8" w:space="0"/>
              <w:right w:val="single" w:color="auto" w:sz="8" w:space="0"/>
            </w:tcBorders>
            <w:noWrap w:val="0"/>
            <w:vAlign w:val="center"/>
          </w:tcPr>
          <w:p w14:paraId="02A1806D">
            <w:pPr>
              <w:widowControl/>
              <w:snapToGrid w:val="0"/>
              <w:spacing w:before="100" w:beforeAutospacing="1" w:after="100" w:afterAutospacing="1" w:line="320" w:lineRule="exact"/>
              <w:ind w:left="-3"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512" w:type="pct"/>
            <w:gridSpan w:val="2"/>
            <w:tcBorders>
              <w:top w:val="single" w:color="auto" w:sz="8" w:space="0"/>
              <w:left w:val="single" w:color="auto" w:sz="8" w:space="0"/>
              <w:bottom w:val="single" w:color="auto" w:sz="8" w:space="0"/>
              <w:right w:val="single" w:color="auto" w:sz="8" w:space="0"/>
            </w:tcBorders>
            <w:noWrap w:val="0"/>
            <w:vAlign w:val="center"/>
          </w:tcPr>
          <w:p w14:paraId="3E65AAC8">
            <w:pPr>
              <w:widowControl/>
              <w:snapToGrid w:val="0"/>
              <w:spacing w:before="100" w:beforeAutospacing="1" w:after="100" w:afterAutospacing="1" w:line="32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702" w:type="pct"/>
            <w:tcBorders>
              <w:top w:val="single" w:color="auto" w:sz="8" w:space="0"/>
              <w:left w:val="single" w:color="auto" w:sz="8" w:space="0"/>
              <w:bottom w:val="single" w:color="auto" w:sz="8" w:space="0"/>
              <w:right w:val="single" w:color="auto" w:sz="8" w:space="0"/>
            </w:tcBorders>
            <w:noWrap w:val="0"/>
            <w:vAlign w:val="center"/>
          </w:tcPr>
          <w:p w14:paraId="3EAD6AC5">
            <w:pPr>
              <w:widowControl/>
              <w:snapToGrid w:val="0"/>
              <w:spacing w:before="100" w:beforeAutospacing="1" w:after="100" w:afterAutospacing="1" w:line="32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14:paraId="455DC0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3784" w:type="pct"/>
            <w:gridSpan w:val="4"/>
            <w:tcBorders>
              <w:top w:val="single" w:color="auto" w:sz="8" w:space="0"/>
              <w:left w:val="single" w:color="auto" w:sz="8" w:space="0"/>
              <w:bottom w:val="single" w:color="auto" w:sz="8" w:space="0"/>
              <w:right w:val="single" w:color="auto" w:sz="8" w:space="0"/>
            </w:tcBorders>
            <w:noWrap w:val="0"/>
            <w:vAlign w:val="center"/>
          </w:tcPr>
          <w:p w14:paraId="20938780">
            <w:pPr>
              <w:widowControl/>
              <w:snapToGrid w:val="0"/>
              <w:spacing w:before="100" w:beforeAutospacing="1" w:after="100" w:afterAutospacing="1" w:line="320" w:lineRule="exact"/>
              <w:ind w:left="-3" w:firstLine="4" w:firstLineChars="2"/>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合        计</w:t>
            </w:r>
          </w:p>
        </w:tc>
        <w:tc>
          <w:tcPr>
            <w:tcW w:w="512" w:type="pct"/>
            <w:gridSpan w:val="2"/>
            <w:tcBorders>
              <w:top w:val="single" w:color="auto" w:sz="8" w:space="0"/>
              <w:left w:val="single" w:color="auto" w:sz="8" w:space="0"/>
              <w:bottom w:val="single" w:color="auto" w:sz="8" w:space="0"/>
              <w:right w:val="single" w:color="auto" w:sz="8" w:space="0"/>
            </w:tcBorders>
            <w:noWrap w:val="0"/>
            <w:vAlign w:val="center"/>
          </w:tcPr>
          <w:p w14:paraId="22F447CE">
            <w:pPr>
              <w:widowControl/>
              <w:snapToGrid w:val="0"/>
              <w:spacing w:before="100" w:beforeAutospacing="1" w:after="100" w:afterAutospacing="1" w:line="32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702" w:type="pct"/>
            <w:tcBorders>
              <w:top w:val="single" w:color="auto" w:sz="8" w:space="0"/>
              <w:left w:val="single" w:color="auto" w:sz="8" w:space="0"/>
              <w:bottom w:val="single" w:color="auto" w:sz="8" w:space="0"/>
              <w:right w:val="single" w:color="auto" w:sz="8" w:space="0"/>
            </w:tcBorders>
            <w:noWrap w:val="0"/>
            <w:vAlign w:val="center"/>
          </w:tcPr>
          <w:p w14:paraId="3956A923">
            <w:pPr>
              <w:widowControl/>
              <w:snapToGrid w:val="0"/>
              <w:spacing w:before="100" w:beforeAutospacing="1" w:after="100" w:afterAutospacing="1" w:line="32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14:paraId="3C6166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5000" w:type="pct"/>
            <w:gridSpan w:val="7"/>
            <w:tcBorders>
              <w:top w:val="single" w:color="auto" w:sz="8" w:space="0"/>
              <w:left w:val="single" w:color="auto" w:sz="8" w:space="0"/>
              <w:bottom w:val="single" w:color="auto" w:sz="8" w:space="0"/>
              <w:right w:val="single" w:color="auto" w:sz="8" w:space="0"/>
            </w:tcBorders>
            <w:noWrap w:val="0"/>
            <w:vAlign w:val="center"/>
          </w:tcPr>
          <w:p w14:paraId="59AC9C6F">
            <w:pPr>
              <w:widowControl/>
              <w:snapToGrid w:val="0"/>
              <w:spacing w:before="100" w:beforeAutospacing="1" w:after="100" w:afterAutospacing="1" w:line="320" w:lineRule="exact"/>
              <w:ind w:firstLine="2" w:firstLineChars="1"/>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合计大写金额：   仟    佰    拾    万    仟    佰    拾    元</w:t>
            </w:r>
          </w:p>
        </w:tc>
      </w:tr>
      <w:tr w14:paraId="7090E3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835" w:type="pct"/>
            <w:tcBorders>
              <w:top w:val="single" w:color="auto" w:sz="8" w:space="0"/>
              <w:left w:val="single" w:color="auto" w:sz="8" w:space="0"/>
              <w:bottom w:val="single" w:color="auto" w:sz="8" w:space="0"/>
              <w:right w:val="single" w:color="auto" w:sz="8" w:space="0"/>
            </w:tcBorders>
            <w:noWrap w:val="0"/>
            <w:vAlign w:val="center"/>
          </w:tcPr>
          <w:p w14:paraId="70348BDA">
            <w:pPr>
              <w:widowControl/>
              <w:snapToGrid w:val="0"/>
              <w:spacing w:before="100" w:beforeAutospacing="1" w:after="100" w:afterAutospacing="1" w:line="320" w:lineRule="exact"/>
              <w:ind w:firstLine="2" w:firstLineChars="1"/>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实际供货日期</w:t>
            </w:r>
          </w:p>
        </w:tc>
        <w:tc>
          <w:tcPr>
            <w:tcW w:w="1665" w:type="pct"/>
            <w:gridSpan w:val="2"/>
            <w:tcBorders>
              <w:top w:val="single" w:color="auto" w:sz="8" w:space="0"/>
              <w:left w:val="single" w:color="auto" w:sz="8" w:space="0"/>
              <w:bottom w:val="single" w:color="auto" w:sz="8" w:space="0"/>
              <w:right w:val="single" w:color="auto" w:sz="8" w:space="0"/>
            </w:tcBorders>
            <w:noWrap w:val="0"/>
            <w:vAlign w:val="center"/>
          </w:tcPr>
          <w:p w14:paraId="736EFEB4">
            <w:pPr>
              <w:snapToGrid w:val="0"/>
              <w:spacing w:before="100" w:beforeAutospacing="1" w:after="100" w:afterAutospacing="1" w:line="320" w:lineRule="exact"/>
              <w:ind w:firstLine="420" w:firstLineChars="200"/>
              <w:jc w:val="center"/>
              <w:rPr>
                <w:rFonts w:hint="eastAsia" w:ascii="仿宋" w:hAnsi="仿宋" w:eastAsia="仿宋" w:cs="仿宋"/>
                <w:color w:val="auto"/>
                <w:kern w:val="0"/>
                <w:szCs w:val="21"/>
                <w:highlight w:val="none"/>
              </w:rPr>
            </w:pPr>
          </w:p>
        </w:tc>
        <w:tc>
          <w:tcPr>
            <w:tcW w:w="1387" w:type="pct"/>
            <w:gridSpan w:val="2"/>
            <w:tcBorders>
              <w:top w:val="single" w:color="auto" w:sz="8" w:space="0"/>
              <w:left w:val="single" w:color="auto" w:sz="8" w:space="0"/>
              <w:bottom w:val="single" w:color="auto" w:sz="8" w:space="0"/>
              <w:right w:val="single" w:color="auto" w:sz="8" w:space="0"/>
            </w:tcBorders>
            <w:noWrap w:val="0"/>
            <w:vAlign w:val="center"/>
          </w:tcPr>
          <w:p w14:paraId="2E9CD241">
            <w:pPr>
              <w:snapToGrid w:val="0"/>
              <w:spacing w:before="100" w:beforeAutospacing="1" w:after="100" w:afterAutospacing="1" w:line="320" w:lineRule="exact"/>
              <w:ind w:firstLine="39" w:firstLineChars="19"/>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合同交货验收日期</w:t>
            </w:r>
          </w:p>
        </w:tc>
        <w:tc>
          <w:tcPr>
            <w:tcW w:w="1110" w:type="pct"/>
            <w:gridSpan w:val="2"/>
            <w:tcBorders>
              <w:top w:val="single" w:color="auto" w:sz="8" w:space="0"/>
              <w:left w:val="single" w:color="auto" w:sz="8" w:space="0"/>
              <w:bottom w:val="single" w:color="auto" w:sz="8" w:space="0"/>
              <w:right w:val="single" w:color="auto" w:sz="8" w:space="0"/>
            </w:tcBorders>
            <w:noWrap w:val="0"/>
            <w:vAlign w:val="center"/>
          </w:tcPr>
          <w:p w14:paraId="7A6E752B">
            <w:pPr>
              <w:snapToGrid w:val="0"/>
              <w:spacing w:before="100" w:beforeAutospacing="1" w:after="100" w:afterAutospacing="1" w:line="320" w:lineRule="exact"/>
              <w:ind w:firstLine="420" w:firstLineChars="200"/>
              <w:jc w:val="left"/>
              <w:rPr>
                <w:rFonts w:hint="eastAsia" w:ascii="仿宋" w:hAnsi="仿宋" w:eastAsia="仿宋" w:cs="仿宋"/>
                <w:color w:val="auto"/>
                <w:kern w:val="0"/>
                <w:szCs w:val="21"/>
                <w:highlight w:val="none"/>
              </w:rPr>
            </w:pPr>
          </w:p>
        </w:tc>
      </w:tr>
      <w:tr w14:paraId="640694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835" w:type="pct"/>
            <w:tcBorders>
              <w:top w:val="single" w:color="auto" w:sz="8" w:space="0"/>
              <w:left w:val="single" w:color="auto" w:sz="8" w:space="0"/>
              <w:bottom w:val="single" w:color="auto" w:sz="8" w:space="0"/>
              <w:right w:val="single" w:color="auto" w:sz="8" w:space="0"/>
            </w:tcBorders>
            <w:noWrap w:val="0"/>
            <w:vAlign w:val="center"/>
          </w:tcPr>
          <w:p w14:paraId="26E505D5">
            <w:pPr>
              <w:widowControl/>
              <w:snapToGrid w:val="0"/>
              <w:spacing w:before="100" w:beforeAutospacing="1" w:after="100" w:afterAutospacing="1" w:line="320" w:lineRule="exact"/>
              <w:ind w:firstLine="420" w:firstLineChars="200"/>
              <w:jc w:val="left"/>
              <w:rPr>
                <w:rFonts w:hint="eastAsia" w:ascii="仿宋" w:hAnsi="仿宋" w:eastAsia="仿宋" w:cs="仿宋"/>
                <w:color w:val="auto"/>
                <w:kern w:val="0"/>
                <w:szCs w:val="21"/>
                <w:highlight w:val="none"/>
              </w:rPr>
            </w:pPr>
          </w:p>
        </w:tc>
        <w:tc>
          <w:tcPr>
            <w:tcW w:w="1665" w:type="pct"/>
            <w:gridSpan w:val="2"/>
            <w:tcBorders>
              <w:top w:val="single" w:color="auto" w:sz="8" w:space="0"/>
              <w:left w:val="single" w:color="auto" w:sz="8" w:space="0"/>
              <w:bottom w:val="single" w:color="auto" w:sz="8" w:space="0"/>
              <w:right w:val="single" w:color="auto" w:sz="8" w:space="0"/>
            </w:tcBorders>
            <w:noWrap w:val="0"/>
            <w:vAlign w:val="center"/>
          </w:tcPr>
          <w:p w14:paraId="18291FF0">
            <w:pPr>
              <w:snapToGrid w:val="0"/>
              <w:spacing w:before="100" w:beforeAutospacing="1" w:after="100" w:afterAutospacing="1" w:line="320" w:lineRule="exact"/>
              <w:ind w:firstLine="420" w:firstLineChars="200"/>
              <w:jc w:val="left"/>
              <w:rPr>
                <w:rFonts w:hint="eastAsia" w:ascii="仿宋" w:hAnsi="仿宋" w:eastAsia="仿宋" w:cs="仿宋"/>
                <w:color w:val="auto"/>
                <w:kern w:val="0"/>
                <w:szCs w:val="21"/>
                <w:highlight w:val="none"/>
              </w:rPr>
            </w:pPr>
          </w:p>
        </w:tc>
        <w:tc>
          <w:tcPr>
            <w:tcW w:w="1387" w:type="pct"/>
            <w:gridSpan w:val="2"/>
            <w:tcBorders>
              <w:top w:val="single" w:color="auto" w:sz="8" w:space="0"/>
              <w:left w:val="single" w:color="auto" w:sz="8" w:space="0"/>
              <w:bottom w:val="single" w:color="auto" w:sz="8" w:space="0"/>
              <w:right w:val="single" w:color="auto" w:sz="8" w:space="0"/>
            </w:tcBorders>
            <w:noWrap w:val="0"/>
            <w:vAlign w:val="center"/>
          </w:tcPr>
          <w:p w14:paraId="3408AB81">
            <w:pPr>
              <w:snapToGrid w:val="0"/>
              <w:spacing w:before="100" w:beforeAutospacing="1" w:after="100" w:afterAutospacing="1" w:line="320" w:lineRule="exact"/>
              <w:ind w:left="590" w:firstLine="420" w:firstLineChars="200"/>
              <w:jc w:val="left"/>
              <w:rPr>
                <w:rFonts w:hint="eastAsia" w:ascii="仿宋" w:hAnsi="仿宋" w:eastAsia="仿宋" w:cs="仿宋"/>
                <w:color w:val="auto"/>
                <w:kern w:val="0"/>
                <w:szCs w:val="21"/>
                <w:highlight w:val="none"/>
              </w:rPr>
            </w:pPr>
          </w:p>
        </w:tc>
        <w:tc>
          <w:tcPr>
            <w:tcW w:w="1110" w:type="pct"/>
            <w:gridSpan w:val="2"/>
            <w:tcBorders>
              <w:top w:val="single" w:color="auto" w:sz="8" w:space="0"/>
              <w:left w:val="single" w:color="auto" w:sz="8" w:space="0"/>
              <w:bottom w:val="single" w:color="auto" w:sz="8" w:space="0"/>
              <w:right w:val="single" w:color="auto" w:sz="8" w:space="0"/>
            </w:tcBorders>
            <w:noWrap w:val="0"/>
            <w:vAlign w:val="center"/>
          </w:tcPr>
          <w:p w14:paraId="00F2F762">
            <w:pPr>
              <w:snapToGrid w:val="0"/>
              <w:spacing w:before="100" w:beforeAutospacing="1" w:after="100" w:afterAutospacing="1" w:line="320" w:lineRule="exact"/>
              <w:ind w:firstLine="420" w:firstLineChars="200"/>
              <w:jc w:val="left"/>
              <w:rPr>
                <w:rFonts w:hint="eastAsia" w:ascii="仿宋" w:hAnsi="仿宋" w:eastAsia="仿宋" w:cs="仿宋"/>
                <w:color w:val="auto"/>
                <w:kern w:val="0"/>
                <w:szCs w:val="21"/>
                <w:highlight w:val="none"/>
              </w:rPr>
            </w:pPr>
          </w:p>
        </w:tc>
      </w:tr>
      <w:tr w14:paraId="4D8278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835"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65F32CA">
            <w:pPr>
              <w:widowControl/>
              <w:snapToGrid w:val="0"/>
              <w:spacing w:before="100" w:beforeAutospacing="1" w:after="100" w:afterAutospacing="1" w:line="320" w:lineRule="exac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验收具体内容</w:t>
            </w:r>
          </w:p>
        </w:tc>
        <w:tc>
          <w:tcPr>
            <w:tcW w:w="4164" w:type="pct"/>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341E66D">
            <w:pPr>
              <w:widowControl/>
              <w:snapToGrid w:val="0"/>
              <w:spacing w:before="100" w:beforeAutospacing="1" w:after="100" w:afterAutospacing="1" w:line="320" w:lineRule="exact"/>
              <w:jc w:val="lef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（应</w:t>
            </w:r>
            <w:r>
              <w:rPr>
                <w:rFonts w:hint="eastAsia" w:ascii="仿宋" w:hAnsi="仿宋" w:eastAsia="仿宋" w:cs="仿宋"/>
                <w:color w:val="auto"/>
                <w:kern w:val="0"/>
                <w:szCs w:val="21"/>
                <w:highlight w:val="none"/>
              </w:rPr>
              <w:t>按采购合同、采购文件、投标响应文件及验收方案等进行验收；并核对</w:t>
            </w:r>
            <w:r>
              <w:rPr>
                <w:rFonts w:hint="eastAsia" w:ascii="仿宋" w:hAnsi="仿宋" w:eastAsia="仿宋" w:cs="仿宋"/>
                <w:color w:val="auto"/>
                <w:szCs w:val="21"/>
                <w:highlight w:val="none"/>
              </w:rPr>
              <w:t>中标或者成交供应商在安装调试等方面是否违反合同约定或服务规范要求、提供的质量保证证明材料是否齐全、应有的配件及附件是否达到合同约定等</w:t>
            </w:r>
            <w:r>
              <w:rPr>
                <w:rFonts w:hint="eastAsia" w:ascii="仿宋" w:hAnsi="仿宋" w:eastAsia="仿宋" w:cs="仿宋"/>
                <w:color w:val="auto"/>
                <w:kern w:val="0"/>
                <w:szCs w:val="21"/>
                <w:highlight w:val="none"/>
              </w:rPr>
              <w:t>。可附件)</w:t>
            </w:r>
          </w:p>
        </w:tc>
      </w:tr>
      <w:tr w14:paraId="3AF7F9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2" w:hRule="atLeast"/>
          <w:jc w:val="center"/>
        </w:trPr>
        <w:tc>
          <w:tcPr>
            <w:tcW w:w="835" w:type="pct"/>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D8F78C2">
            <w:pPr>
              <w:widowControl/>
              <w:spacing w:before="100" w:beforeAutospacing="1" w:after="100" w:afterAutospacing="1" w:line="320" w:lineRule="exac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验收小组意见</w:t>
            </w:r>
          </w:p>
        </w:tc>
        <w:tc>
          <w:tcPr>
            <w:tcW w:w="4164" w:type="pct"/>
            <w:gridSpan w:val="6"/>
            <w:tcBorders>
              <w:top w:val="single" w:color="auto" w:sz="8" w:space="0"/>
              <w:left w:val="single" w:color="auto" w:sz="8" w:space="0"/>
              <w:bottom w:val="single" w:color="auto" w:sz="4" w:space="0"/>
              <w:right w:val="single" w:color="auto" w:sz="8" w:space="0"/>
            </w:tcBorders>
            <w:noWrap w:val="0"/>
            <w:vAlign w:val="center"/>
          </w:tcPr>
          <w:p w14:paraId="2101D6FE">
            <w:pPr>
              <w:widowControl/>
              <w:spacing w:before="100" w:beforeAutospacing="1" w:after="100" w:afterAutospacing="1" w:line="320" w:lineRule="exac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验收结论性意见：</w:t>
            </w:r>
          </w:p>
        </w:tc>
      </w:tr>
      <w:tr w14:paraId="1BF83F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835" w:type="pct"/>
            <w:vMerge w:val="continue"/>
            <w:tcBorders>
              <w:top w:val="single" w:color="auto" w:sz="8" w:space="0"/>
              <w:left w:val="single" w:color="auto" w:sz="8" w:space="0"/>
              <w:bottom w:val="single" w:color="auto" w:sz="8" w:space="0"/>
              <w:right w:val="single" w:color="auto" w:sz="8" w:space="0"/>
            </w:tcBorders>
            <w:noWrap w:val="0"/>
            <w:vAlign w:val="center"/>
          </w:tcPr>
          <w:p w14:paraId="56803B06">
            <w:pPr>
              <w:widowControl/>
              <w:spacing w:line="320" w:lineRule="exact"/>
              <w:jc w:val="left"/>
              <w:rPr>
                <w:rFonts w:hint="eastAsia" w:ascii="仿宋" w:hAnsi="仿宋" w:eastAsia="仿宋" w:cs="仿宋"/>
                <w:color w:val="auto"/>
                <w:kern w:val="0"/>
                <w:szCs w:val="21"/>
                <w:highlight w:val="none"/>
              </w:rPr>
            </w:pPr>
          </w:p>
        </w:tc>
        <w:tc>
          <w:tcPr>
            <w:tcW w:w="4164" w:type="pct"/>
            <w:gridSpan w:val="6"/>
            <w:tcBorders>
              <w:top w:val="single" w:color="auto" w:sz="4" w:space="0"/>
              <w:left w:val="single" w:color="auto" w:sz="8" w:space="0"/>
              <w:bottom w:val="single" w:color="auto" w:sz="8" w:space="0"/>
              <w:right w:val="single" w:color="auto" w:sz="8" w:space="0"/>
            </w:tcBorders>
            <w:noWrap w:val="0"/>
            <w:vAlign w:val="center"/>
          </w:tcPr>
          <w:p w14:paraId="72F63FF7">
            <w:pPr>
              <w:spacing w:before="100" w:beforeAutospacing="1" w:after="100" w:afterAutospacing="1" w:line="320" w:lineRule="exact"/>
              <w:ind w:firstLine="84" w:firstLineChars="4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有异议的意见和说明理由：</w:t>
            </w:r>
          </w:p>
          <w:p w14:paraId="26524CFD">
            <w:pPr>
              <w:spacing w:before="100" w:beforeAutospacing="1" w:after="100" w:afterAutospacing="1" w:line="320" w:lineRule="exac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签字：</w:t>
            </w:r>
          </w:p>
        </w:tc>
      </w:tr>
      <w:tr w14:paraId="6AE258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5000" w:type="pct"/>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A6F90CD">
            <w:pPr>
              <w:widowControl/>
              <w:spacing w:before="100" w:beforeAutospacing="1" w:after="100" w:afterAutospacing="1" w:line="320" w:lineRule="exac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验收小组成员签字：</w:t>
            </w:r>
          </w:p>
        </w:tc>
      </w:tr>
      <w:tr w14:paraId="282EA1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5000" w:type="pct"/>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BA3B692">
            <w:pPr>
              <w:widowControl/>
              <w:spacing w:before="100" w:beforeAutospacing="1" w:after="100" w:afterAutospacing="1" w:line="320" w:lineRule="exac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监督人员或其他相关人员签字：</w:t>
            </w:r>
          </w:p>
          <w:p w14:paraId="7C355BD3">
            <w:pPr>
              <w:widowControl/>
              <w:spacing w:before="100" w:beforeAutospacing="1" w:after="100" w:afterAutospacing="1" w:line="320" w:lineRule="exact"/>
              <w:ind w:firstLine="65" w:firstLineChars="31"/>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或受邀机构的意见（盖章）：</w:t>
            </w:r>
          </w:p>
        </w:tc>
      </w:tr>
      <w:tr w14:paraId="21A705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2501" w:type="pct"/>
            <w:gridSpan w:val="3"/>
            <w:tcBorders>
              <w:top w:val="single" w:color="auto" w:sz="8" w:space="0"/>
              <w:left w:val="single" w:color="auto" w:sz="8" w:space="0"/>
              <w:bottom w:val="single" w:color="auto" w:sz="8" w:space="0"/>
              <w:right w:val="nil"/>
            </w:tcBorders>
            <w:noWrap w:val="0"/>
            <w:tcMar>
              <w:top w:w="0" w:type="dxa"/>
              <w:left w:w="108" w:type="dxa"/>
              <w:bottom w:w="0" w:type="dxa"/>
              <w:right w:w="108" w:type="dxa"/>
            </w:tcMar>
            <w:vAlign w:val="center"/>
          </w:tcPr>
          <w:p w14:paraId="37EC5450">
            <w:pPr>
              <w:widowControl/>
              <w:spacing w:before="100" w:beforeAutospacing="1" w:after="100" w:afterAutospacing="1" w:line="320" w:lineRule="exact"/>
              <w:ind w:firstLine="65" w:firstLineChars="31"/>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中标或者成交供应商负责人签字或盖章：</w:t>
            </w:r>
          </w:p>
          <w:p w14:paraId="630AA341">
            <w:pPr>
              <w:widowControl/>
              <w:spacing w:before="100" w:beforeAutospacing="1" w:after="100" w:afterAutospacing="1" w:line="320" w:lineRule="exac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联系电话：         年 月 日</w:t>
            </w:r>
          </w:p>
        </w:tc>
        <w:tc>
          <w:tcPr>
            <w:tcW w:w="2498" w:type="pct"/>
            <w:gridSpan w:val="4"/>
            <w:tcBorders>
              <w:top w:val="single" w:color="auto" w:sz="8" w:space="0"/>
              <w:left w:val="nil"/>
              <w:bottom w:val="single" w:color="auto" w:sz="8" w:space="0"/>
              <w:right w:val="single" w:color="auto" w:sz="8" w:space="0"/>
            </w:tcBorders>
            <w:noWrap w:val="0"/>
            <w:vAlign w:val="center"/>
          </w:tcPr>
          <w:p w14:paraId="3554DD4E">
            <w:pPr>
              <w:widowControl/>
              <w:spacing w:before="100" w:beforeAutospacing="1" w:after="100" w:afterAutospacing="1" w:line="320" w:lineRule="exac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采购人或受托机构的意见（盖章）：</w:t>
            </w:r>
          </w:p>
          <w:p w14:paraId="7B6796D6">
            <w:pPr>
              <w:widowControl/>
              <w:spacing w:before="100" w:beforeAutospacing="1" w:after="100" w:afterAutospacing="1" w:line="320" w:lineRule="exac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联系电话：                 年   月   日</w:t>
            </w:r>
          </w:p>
        </w:tc>
      </w:tr>
    </w:tbl>
    <w:p w14:paraId="70915155">
      <w:pPr>
        <w:widowControl/>
        <w:jc w:val="left"/>
        <w:rPr>
          <w:rFonts w:hint="eastAsia" w:ascii="仿宋" w:hAnsi="仿宋" w:eastAsia="仿宋" w:cs="仿宋"/>
          <w:color w:val="auto"/>
          <w:spacing w:val="-10"/>
          <w:kern w:val="0"/>
          <w:szCs w:val="21"/>
          <w:highlight w:val="none"/>
        </w:rPr>
      </w:pPr>
      <w:r>
        <w:rPr>
          <w:rFonts w:hint="eastAsia" w:ascii="仿宋" w:hAnsi="仿宋" w:eastAsia="仿宋" w:cs="仿宋"/>
          <w:color w:val="auto"/>
          <w:spacing w:val="-10"/>
          <w:kern w:val="0"/>
          <w:szCs w:val="21"/>
          <w:highlight w:val="none"/>
        </w:rPr>
        <w:t>备注：本报告单一式4份（采购单位1份、供应商1份、采购监督部门备案1份、采购代理机构1份）。</w:t>
      </w:r>
    </w:p>
    <w:p w14:paraId="2A2C96C7">
      <w:pPr>
        <w:jc w:val="left"/>
        <w:rPr>
          <w:rFonts w:hint="eastAsia" w:ascii="仿宋" w:hAnsi="仿宋" w:eastAsia="仿宋" w:cs="仿宋"/>
          <w:color w:val="auto"/>
          <w:highlight w:val="none"/>
        </w:rPr>
      </w:pPr>
    </w:p>
    <w:p w14:paraId="727CFA8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contextualSpacing/>
        <w:jc w:val="center"/>
        <w:textAlignment w:val="auto"/>
        <w:outlineLvl w:val="0"/>
        <w:rPr>
          <w:rFonts w:hint="eastAsia" w:ascii="仿宋" w:hAnsi="仿宋" w:eastAsia="仿宋" w:cs="仿宋"/>
          <w:b/>
          <w:bCs/>
          <w:color w:val="auto"/>
          <w:sz w:val="32"/>
          <w:szCs w:val="32"/>
          <w:highlight w:val="none"/>
        </w:rPr>
      </w:pPr>
      <w:r>
        <w:rPr>
          <w:rFonts w:hint="eastAsia" w:ascii="仿宋" w:hAnsi="仿宋" w:eastAsia="仿宋" w:cs="仿宋"/>
          <w:color w:val="auto"/>
          <w:highlight w:val="none"/>
        </w:rPr>
        <w:br w:type="page"/>
      </w:r>
      <w:bookmarkStart w:id="51" w:name="_Toc20219"/>
      <w:r>
        <w:rPr>
          <w:rFonts w:hint="eastAsia" w:ascii="仿宋" w:hAnsi="仿宋" w:eastAsia="仿宋" w:cs="仿宋"/>
          <w:b/>
          <w:bCs/>
          <w:color w:val="auto"/>
          <w:sz w:val="32"/>
          <w:szCs w:val="32"/>
          <w:highlight w:val="none"/>
        </w:rPr>
        <w:t>第四章</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rPr>
        <w:t>评审程序、评审方法和成交标准</w:t>
      </w:r>
      <w:bookmarkEnd w:id="51"/>
    </w:p>
    <w:p w14:paraId="423A9AA9">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仿宋"/>
          <w:b/>
          <w:bCs w:val="0"/>
          <w:color w:val="auto"/>
          <w:highlight w:val="none"/>
        </w:rPr>
      </w:pPr>
      <w:bookmarkStart w:id="52" w:name="_Toc13375"/>
      <w:r>
        <w:rPr>
          <w:rFonts w:hint="eastAsia" w:ascii="仿宋" w:hAnsi="仿宋" w:eastAsia="仿宋" w:cs="仿宋"/>
          <w:b/>
          <w:bCs w:val="0"/>
          <w:color w:val="auto"/>
          <w:highlight w:val="none"/>
        </w:rPr>
        <w:t>第一节 评审程序和评审方法</w:t>
      </w:r>
      <w:bookmarkEnd w:id="52"/>
    </w:p>
    <w:p w14:paraId="72FC89AC">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1.确认谈判文件</w:t>
      </w:r>
    </w:p>
    <w:p w14:paraId="4F223173">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 w:val="22"/>
          <w:szCs w:val="22"/>
          <w:highlight w:val="none"/>
        </w:rPr>
        <w:t>由谈判小组确认谈判文件。</w:t>
      </w:r>
    </w:p>
    <w:p w14:paraId="679606BE">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2.资格审查</w:t>
      </w:r>
    </w:p>
    <w:p w14:paraId="436CF56F">
      <w:pPr>
        <w:keepNext w:val="0"/>
        <w:keepLines w:val="0"/>
        <w:pageBreakBefore w:val="0"/>
        <w:kinsoku/>
        <w:wordWrap/>
        <w:overflowPunct/>
        <w:topLinePunct w:val="0"/>
        <w:autoSpaceDE/>
        <w:autoSpaceDN/>
        <w:bidi w:val="0"/>
        <w:snapToGrid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2.1响应文件开启后，谈判小组依法对供应商的资格证明文件进行审查。</w:t>
      </w:r>
    </w:p>
    <w:p w14:paraId="461B309D">
      <w:pPr>
        <w:keepNext w:val="0"/>
        <w:keepLines w:val="0"/>
        <w:pageBreakBefore w:val="0"/>
        <w:kinsoku/>
        <w:wordWrap/>
        <w:overflowPunct/>
        <w:topLinePunct w:val="0"/>
        <w:autoSpaceDE/>
        <w:autoSpaceDN/>
        <w:bidi w:val="0"/>
        <w:snapToGrid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注：采购人代表或者采购代理机构在资格审查结束前，对供应商进行信用查询。</w:t>
      </w:r>
    </w:p>
    <w:p w14:paraId="0A1187E0">
      <w:pPr>
        <w:keepNext w:val="0"/>
        <w:keepLines w:val="0"/>
        <w:pageBreakBefore w:val="0"/>
        <w:kinsoku/>
        <w:wordWrap/>
        <w:overflowPunct/>
        <w:topLinePunct w:val="0"/>
        <w:autoSpaceDE/>
        <w:autoSpaceDN/>
        <w:bidi w:val="0"/>
        <w:snapToGrid w:val="0"/>
        <w:spacing w:line="400" w:lineRule="exact"/>
        <w:ind w:firstLine="440" w:firstLineChars="200"/>
        <w:jc w:val="left"/>
        <w:textAlignment w:val="auto"/>
        <w:rPr>
          <w:rFonts w:hint="eastAsia" w:ascii="仿宋" w:hAnsi="仿宋" w:eastAsia="仿宋" w:cs="仿宋"/>
          <w:color w:val="auto"/>
          <w:sz w:val="22"/>
          <w:szCs w:val="22"/>
          <w:highlight w:val="none"/>
          <w:u w:val="none"/>
        </w:rPr>
      </w:pPr>
      <w:r>
        <w:rPr>
          <w:rFonts w:hint="eastAsia" w:ascii="仿宋" w:hAnsi="仿宋" w:eastAsia="仿宋" w:cs="仿宋"/>
          <w:color w:val="auto"/>
          <w:sz w:val="22"/>
          <w:szCs w:val="22"/>
          <w:highlight w:val="none"/>
          <w:u w:val="none"/>
        </w:rPr>
        <w:t>（1）查询渠道：“政采云”平台“信用中国”网站</w:t>
      </w:r>
      <w:r>
        <w:rPr>
          <w:rFonts w:hint="eastAsia" w:ascii="仿宋" w:hAnsi="仿宋" w:eastAsia="仿宋" w:cs="仿宋"/>
          <w:color w:val="auto"/>
          <w:sz w:val="22"/>
          <w:szCs w:val="22"/>
          <w:highlight w:val="none"/>
          <w:u w:val="none"/>
          <w:lang w:eastAsia="zh-CN"/>
        </w:rPr>
        <w:t>（</w:t>
      </w:r>
      <w:r>
        <w:rPr>
          <w:rFonts w:hint="eastAsia" w:ascii="仿宋" w:hAnsi="仿宋" w:eastAsia="仿宋" w:cs="仿宋"/>
          <w:color w:val="auto"/>
          <w:sz w:val="22"/>
          <w:szCs w:val="22"/>
          <w:highlight w:val="none"/>
          <w:u w:val="none"/>
        </w:rPr>
        <w:fldChar w:fldCharType="begin"/>
      </w:r>
      <w:r>
        <w:rPr>
          <w:rFonts w:hint="eastAsia" w:ascii="仿宋" w:hAnsi="仿宋" w:eastAsia="仿宋" w:cs="仿宋"/>
          <w:color w:val="auto"/>
          <w:sz w:val="22"/>
          <w:szCs w:val="22"/>
          <w:highlight w:val="none"/>
          <w:u w:val="none"/>
        </w:rPr>
        <w:instrText xml:space="preserve"> HYPERLINK "http://www.creditchina.gov.cn" </w:instrText>
      </w:r>
      <w:r>
        <w:rPr>
          <w:rFonts w:hint="eastAsia" w:ascii="仿宋" w:hAnsi="仿宋" w:eastAsia="仿宋" w:cs="仿宋"/>
          <w:color w:val="auto"/>
          <w:sz w:val="22"/>
          <w:szCs w:val="22"/>
          <w:highlight w:val="none"/>
          <w:u w:val="none"/>
        </w:rPr>
        <w:fldChar w:fldCharType="separate"/>
      </w:r>
      <w:r>
        <w:rPr>
          <w:rStyle w:val="38"/>
          <w:rFonts w:hint="eastAsia" w:ascii="仿宋" w:hAnsi="仿宋" w:eastAsia="仿宋" w:cs="仿宋"/>
          <w:color w:val="auto"/>
          <w:sz w:val="22"/>
          <w:szCs w:val="28"/>
          <w:highlight w:val="none"/>
          <w:u w:val="none"/>
        </w:rPr>
        <w:t>www.creditchina.gov.cn</w:t>
      </w:r>
      <w:r>
        <w:rPr>
          <w:rFonts w:hint="eastAsia" w:ascii="仿宋" w:hAnsi="仿宋" w:eastAsia="仿宋" w:cs="仿宋"/>
          <w:color w:val="auto"/>
          <w:sz w:val="22"/>
          <w:szCs w:val="22"/>
          <w:highlight w:val="none"/>
          <w:u w:val="none"/>
        </w:rPr>
        <w:fldChar w:fldCharType="end"/>
      </w:r>
      <w:r>
        <w:rPr>
          <w:rFonts w:hint="eastAsia" w:ascii="仿宋" w:hAnsi="仿宋" w:eastAsia="仿宋" w:cs="仿宋"/>
          <w:color w:val="auto"/>
          <w:sz w:val="22"/>
          <w:szCs w:val="22"/>
          <w:highlight w:val="none"/>
          <w:u w:val="none"/>
          <w:lang w:eastAsia="zh-CN"/>
        </w:rPr>
        <w:t>）</w:t>
      </w:r>
      <w:r>
        <w:rPr>
          <w:rFonts w:hint="eastAsia" w:ascii="仿宋" w:hAnsi="仿宋" w:eastAsia="仿宋" w:cs="仿宋"/>
          <w:color w:val="auto"/>
          <w:sz w:val="22"/>
          <w:szCs w:val="22"/>
          <w:highlight w:val="none"/>
          <w:u w:val="none"/>
        </w:rPr>
        <w:t>、中国政府采购网</w:t>
      </w:r>
      <w:r>
        <w:rPr>
          <w:rFonts w:hint="eastAsia" w:ascii="仿宋" w:hAnsi="仿宋" w:eastAsia="仿宋" w:cs="仿宋"/>
          <w:color w:val="auto"/>
          <w:sz w:val="22"/>
          <w:szCs w:val="22"/>
          <w:highlight w:val="none"/>
          <w:u w:val="none"/>
          <w:lang w:eastAsia="zh-CN"/>
        </w:rPr>
        <w:t>（</w:t>
      </w:r>
      <w:r>
        <w:rPr>
          <w:rFonts w:hint="eastAsia" w:ascii="仿宋" w:hAnsi="仿宋" w:eastAsia="仿宋" w:cs="仿宋"/>
          <w:color w:val="auto"/>
          <w:sz w:val="22"/>
          <w:szCs w:val="22"/>
          <w:highlight w:val="none"/>
          <w:u w:val="none"/>
        </w:rPr>
        <w:fldChar w:fldCharType="begin"/>
      </w:r>
      <w:r>
        <w:rPr>
          <w:rFonts w:hint="eastAsia" w:ascii="仿宋" w:hAnsi="仿宋" w:eastAsia="仿宋" w:cs="仿宋"/>
          <w:color w:val="auto"/>
          <w:sz w:val="22"/>
          <w:szCs w:val="22"/>
          <w:highlight w:val="none"/>
          <w:u w:val="none"/>
        </w:rPr>
        <w:instrText xml:space="preserve"> HYPERLINK "http://www.ccgp.gov.cn" </w:instrText>
      </w:r>
      <w:r>
        <w:rPr>
          <w:rFonts w:hint="eastAsia" w:ascii="仿宋" w:hAnsi="仿宋" w:eastAsia="仿宋" w:cs="仿宋"/>
          <w:color w:val="auto"/>
          <w:sz w:val="22"/>
          <w:szCs w:val="22"/>
          <w:highlight w:val="none"/>
          <w:u w:val="none"/>
        </w:rPr>
        <w:fldChar w:fldCharType="separate"/>
      </w:r>
      <w:r>
        <w:rPr>
          <w:rStyle w:val="38"/>
          <w:rFonts w:hint="eastAsia" w:ascii="仿宋" w:hAnsi="仿宋" w:eastAsia="仿宋" w:cs="仿宋"/>
          <w:color w:val="auto"/>
          <w:sz w:val="22"/>
          <w:szCs w:val="28"/>
          <w:highlight w:val="none"/>
          <w:u w:val="none"/>
        </w:rPr>
        <w:t>www.ccgp.gov.cn</w:t>
      </w:r>
      <w:r>
        <w:rPr>
          <w:rFonts w:hint="eastAsia" w:ascii="仿宋" w:hAnsi="仿宋" w:eastAsia="仿宋" w:cs="仿宋"/>
          <w:color w:val="auto"/>
          <w:sz w:val="22"/>
          <w:szCs w:val="22"/>
          <w:highlight w:val="none"/>
          <w:u w:val="none"/>
        </w:rPr>
        <w:fldChar w:fldCharType="end"/>
      </w:r>
      <w:r>
        <w:rPr>
          <w:rFonts w:hint="eastAsia" w:ascii="仿宋" w:hAnsi="仿宋" w:eastAsia="仿宋" w:cs="仿宋"/>
          <w:color w:val="auto"/>
          <w:sz w:val="22"/>
          <w:szCs w:val="22"/>
          <w:highlight w:val="none"/>
          <w:u w:val="none"/>
          <w:lang w:eastAsia="zh-CN"/>
        </w:rPr>
        <w:t>）</w:t>
      </w:r>
      <w:r>
        <w:rPr>
          <w:rFonts w:hint="eastAsia" w:ascii="仿宋" w:hAnsi="仿宋" w:eastAsia="仿宋" w:cs="仿宋"/>
          <w:color w:val="auto"/>
          <w:sz w:val="22"/>
          <w:szCs w:val="22"/>
          <w:highlight w:val="none"/>
          <w:u w:val="none"/>
        </w:rPr>
        <w:t>链接入口。</w:t>
      </w:r>
    </w:p>
    <w:p w14:paraId="6B40D963">
      <w:pPr>
        <w:keepNext w:val="0"/>
        <w:keepLines w:val="0"/>
        <w:pageBreakBefore w:val="0"/>
        <w:kinsoku/>
        <w:wordWrap/>
        <w:overflowPunct/>
        <w:topLinePunct w:val="0"/>
        <w:autoSpaceDE/>
        <w:autoSpaceDN/>
        <w:bidi w:val="0"/>
        <w:snapToGrid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（2）信用查询截止时点：资格审查结束前。</w:t>
      </w:r>
    </w:p>
    <w:p w14:paraId="3B11953D">
      <w:pPr>
        <w:keepNext w:val="0"/>
        <w:keepLines w:val="0"/>
        <w:pageBreakBefore w:val="0"/>
        <w:kinsoku/>
        <w:wordWrap/>
        <w:overflowPunct/>
        <w:topLinePunct w:val="0"/>
        <w:autoSpaceDE/>
        <w:autoSpaceDN/>
        <w:bidi w:val="0"/>
        <w:snapToGrid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查询记录和证据留存方式：在查询网站中直接打印查询记录，截图另存为电子文档作为评审资料保存。</w:t>
      </w:r>
    </w:p>
    <w:p w14:paraId="5682F695">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（3）信用信息使用规则：对在“信用中国”网站</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www.creditchina.gov.cn</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、中国政府采购网</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www.ccgp.gov.cn</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被列入失信被执行人、</w:t>
      </w:r>
      <w:r>
        <w:rPr>
          <w:rFonts w:hint="eastAsia" w:ascii="仿宋" w:hAnsi="仿宋" w:eastAsia="仿宋" w:cs="仿宋"/>
          <w:color w:val="auto"/>
          <w:sz w:val="22"/>
          <w:szCs w:val="22"/>
          <w:highlight w:val="none"/>
          <w:lang w:eastAsia="zh-CN"/>
        </w:rPr>
        <w:t>重大税收违法失信主体</w:t>
      </w:r>
      <w:r>
        <w:rPr>
          <w:rFonts w:hint="eastAsia" w:ascii="仿宋" w:hAnsi="仿宋" w:eastAsia="仿宋" w:cs="仿宋"/>
          <w:color w:val="auto"/>
          <w:sz w:val="22"/>
          <w:szCs w:val="22"/>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BDF07D9">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2.2资格审查标准为本谈判文件中载明对供应商资格要求的条件。资格审查采用合格制，凡符合谈判文件规定的供应商资格要求的响应文件均通过资格审查。</w:t>
      </w:r>
    </w:p>
    <w:p w14:paraId="144547FC">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2.3供应商有下列情形之一的，资格审查不通过，其响应文件按无效响应处理：</w:t>
      </w:r>
    </w:p>
    <w:p w14:paraId="1B7A2DF8">
      <w:pPr>
        <w:keepNext w:val="0"/>
        <w:keepLines w:val="0"/>
        <w:pageBreakBefore w:val="0"/>
        <w:kinsoku/>
        <w:wordWrap/>
        <w:overflowPunct/>
        <w:topLinePunct w:val="0"/>
        <w:autoSpaceDE/>
        <w:autoSpaceDN/>
        <w:bidi w:val="0"/>
        <w:snapToGrid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（1）不具备谈判文件中规定的资格要求的；</w:t>
      </w:r>
    </w:p>
    <w:p w14:paraId="3FFA6FD9">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（2）响应文件未提供任一项“供应商须知前附表”资格证明文件规定的“必须提供”的文件资料的；</w:t>
      </w:r>
    </w:p>
    <w:p w14:paraId="51C971BA">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（3）响应文件提供的资格证明文件出现任一项不符合“供应商须知前附表”资格证明文件规定的“必须提供”的文件资料要求或者无效的。</w:t>
      </w:r>
    </w:p>
    <w:p w14:paraId="748B09C3">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bookmarkStart w:id="53" w:name="_Hlk68601553"/>
      <w:r>
        <w:rPr>
          <w:rFonts w:hint="eastAsia" w:ascii="仿宋" w:hAnsi="仿宋" w:eastAsia="仿宋" w:cs="仿宋"/>
          <w:color w:val="auto"/>
          <w:sz w:val="22"/>
          <w:szCs w:val="22"/>
          <w:highlight w:val="none"/>
        </w:rPr>
        <w:t>（4）同一合同项下的不同供应商，单位负责人为同一人或者存在直接控股、管理关系的；为本项目提供过整体设计、规范编制或者项目管理、监理、检测等货物的。</w:t>
      </w:r>
      <w:bookmarkEnd w:id="53"/>
    </w:p>
    <w:p w14:paraId="0DBF2F75">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2.4通过资格审查的合格供应商不足3家的，不得进入符合性审查环节，采购人或者采购代理机构应当重新开展采购活动。</w:t>
      </w:r>
    </w:p>
    <w:p w14:paraId="1092D9FF">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3.符合性审查</w:t>
      </w:r>
    </w:p>
    <w:p w14:paraId="0FB0ED17">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bookmarkStart w:id="54" w:name="_Hlk42528882"/>
      <w:r>
        <w:rPr>
          <w:rFonts w:hint="eastAsia" w:ascii="仿宋" w:hAnsi="仿宋" w:eastAsia="仿宋" w:cs="仿宋"/>
          <w:color w:val="auto"/>
          <w:sz w:val="22"/>
          <w:szCs w:val="22"/>
          <w:highlight w:val="none"/>
        </w:rPr>
        <w:t>3.1由谈判小组对通过资格审查的合格供应商的响应文件的响应报价、商务、技术等实质性要求进行符合性审查，以确定其是否满足谈判文件的实质性要求。</w:t>
      </w:r>
    </w:p>
    <w:bookmarkEnd w:id="54"/>
    <w:p w14:paraId="534D5C5E">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4A9F0AA">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pacing w:val="-6"/>
          <w:sz w:val="22"/>
          <w:szCs w:val="22"/>
          <w:highlight w:val="none"/>
        </w:rPr>
      </w:pPr>
      <w:r>
        <w:rPr>
          <w:rFonts w:hint="eastAsia" w:ascii="仿宋" w:hAnsi="仿宋" w:eastAsia="仿宋" w:cs="仿宋"/>
          <w:color w:val="auto"/>
          <w:sz w:val="22"/>
          <w:szCs w:val="22"/>
          <w:highlight w:val="none"/>
        </w:rPr>
        <w:t>3.3谈判小组要求供应商澄清、说明或者更正响应文件应当以电子澄清函形式作出。供应商的澄清、说明或者更正应当已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公章</w:t>
      </w:r>
      <w:r>
        <w:rPr>
          <w:rFonts w:hint="eastAsia" w:ascii="仿宋" w:hAnsi="仿宋" w:eastAsia="仿宋" w:cs="仿宋"/>
          <w:color w:val="auto"/>
          <w:spacing w:val="-6"/>
          <w:sz w:val="22"/>
          <w:szCs w:val="22"/>
          <w:highlight w:val="none"/>
        </w:rPr>
        <w:t>。供应商为自然人的，必须由本人签字并附身份证明。</w:t>
      </w:r>
    </w:p>
    <w:p w14:paraId="4C75C2AD">
      <w:pPr>
        <w:keepNext w:val="0"/>
        <w:keepLines w:val="0"/>
        <w:pageBreakBefore w:val="0"/>
        <w:kinsoku/>
        <w:wordWrap/>
        <w:overflowPunct/>
        <w:topLinePunct w:val="0"/>
        <w:autoSpaceDE/>
        <w:autoSpaceDN/>
        <w:bidi w:val="0"/>
        <w:spacing w:line="400" w:lineRule="exact"/>
        <w:ind w:firstLine="416"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3.4</w:t>
      </w:r>
      <w:r>
        <w:rPr>
          <w:rFonts w:hint="eastAsia" w:ascii="仿宋" w:hAnsi="仿宋" w:eastAsia="仿宋" w:cs="仿宋"/>
          <w:color w:val="auto"/>
          <w:sz w:val="22"/>
          <w:szCs w:val="22"/>
          <w:highlight w:val="none"/>
        </w:rPr>
        <w:t xml:space="preserve">首次响应文件报价出现前后不一致的，按照下列规定修正： </w:t>
      </w:r>
    </w:p>
    <w:p w14:paraId="1BEE5A24">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（1）响应文件中报价表内容与响应文件中相应内容不一致的，以报价表为准；</w:t>
      </w:r>
    </w:p>
    <w:p w14:paraId="012E6BBD">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（2）大写金额和小写金额不一致的，以大写金额为准；</w:t>
      </w:r>
    </w:p>
    <w:p w14:paraId="077E8B51">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（3）单价金额小数点或者百分比有明显错位的，以报价表的总价为准，并修改单价；</w:t>
      </w:r>
    </w:p>
    <w:p w14:paraId="2A380AB2">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（4）总价金额与按单价汇总金额不一致的，以单价金额计算结果为准。</w:t>
      </w:r>
    </w:p>
    <w:p w14:paraId="18A41D55">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同时出现两种以上不一致的，按照以上（1）-（4）规定的顺序逐条进行修正。修正后的报价经供应商确认后产生约束力，供应商不确认的，其响应文件按无效响应处理。</w:t>
      </w:r>
    </w:p>
    <w:p w14:paraId="5F84EC32">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3.5商务技术、报价评审</w:t>
      </w:r>
    </w:p>
    <w:p w14:paraId="7E427D1A">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在评审时，如发现下列情形之一的，将被视为响应文件无效处理：</w:t>
      </w:r>
    </w:p>
    <w:p w14:paraId="79B594A6">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（1）商务技术评审</w:t>
      </w:r>
    </w:p>
    <w:p w14:paraId="3EBA5005">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1）响应文件未按谈判文件要求签署、盖章；</w:t>
      </w:r>
    </w:p>
    <w:p w14:paraId="3F15CEAE">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2）委托代理人未能出具有效身份证明或者出具的身份证明与授权委托书中的信息不符； </w:t>
      </w:r>
    </w:p>
    <w:p w14:paraId="7F05E3D3">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3）响应文件未提供任一项“供应商须知前附表” 商务技术文件中“必须提供”或者“委托时必须提供”的文件资料；响应文件提供的商务技术文件出现任一项不符合“供应商须知前附表”商务技术文件中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2AB6F3F5">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4）商务条款中标“▲”的条款发生负偏离的或者允许负偏离的条款数超过“供应商须知前附表”规定项数的或者标明实质性的要求发生负偏离；</w:t>
      </w:r>
    </w:p>
    <w:p w14:paraId="678AB975">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5）未对竞标有效期作出响应或者响应文件承诺的竞标有效期不满足谈判文件要求；</w:t>
      </w:r>
    </w:p>
    <w:p w14:paraId="3DA9D231">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6）响应文件的实质性内容未使用中文表述、使用计量单位不符合谈判文件要求；</w:t>
      </w:r>
    </w:p>
    <w:p w14:paraId="34301A2A">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7）响应文件中的文件资料因填写不齐全或者内容虚假或者出现其他情形而导致被谈判小组认定无效；</w:t>
      </w:r>
    </w:p>
    <w:p w14:paraId="21D98413">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8）响应文件含有采购人不能接受的附加条件；</w:t>
      </w:r>
    </w:p>
    <w:p w14:paraId="08990A2C">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9）属于“供应商须知正文”第7.5条情形；</w:t>
      </w:r>
    </w:p>
    <w:p w14:paraId="23B5BCC5">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10）技术需求允许负偏离的条款数超过“供应商须知前附表”规定项数；</w:t>
      </w:r>
    </w:p>
    <w:p w14:paraId="3CA2BD5A">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11）虚假竞标，或者出现其他情形而导致被谈判小组认定无效；</w:t>
      </w:r>
    </w:p>
    <w:p w14:paraId="13F46286">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12）竞标技术方案不明确，谈判文件未允许但响应文件中存在一个或者一个以上备选（替代）竞标方案；</w:t>
      </w:r>
    </w:p>
    <w:p w14:paraId="7CC07FED">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13）响应文件标注的项目名称或者项目编号与竞争性谈判文件标注的项目名称或者项目编号不一致的；</w:t>
      </w:r>
    </w:p>
    <w:p w14:paraId="14BC8FB2">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14）未响应谈判文件实质性要求；</w:t>
      </w:r>
    </w:p>
    <w:p w14:paraId="5646A83C">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15）法律、法规和谈判文件规定的其他无效情形。</w:t>
      </w:r>
    </w:p>
    <w:p w14:paraId="5D5BF88D">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（2）报价评审</w:t>
      </w:r>
    </w:p>
    <w:p w14:paraId="006A0468">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响应文件未提供“供应商须知前附表”报价文件中规定的“响应报价表”；</w:t>
      </w:r>
    </w:p>
    <w:p w14:paraId="46A491D7">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2）未采用人民币报价或者未按照谈判文件标明的币种报价；</w:t>
      </w:r>
    </w:p>
    <w:p w14:paraId="1E197E31">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供应商未就所竞标分标进行报价或者存在漏项报价；供应商未就所竞标分标的单项内容作唯一报价；供应商未就所竞标分标的全部内容作唯一总价报价；供应商响应文件中存在有选择、有条件报价的（谈判文件允许有备选方案或者其他约定的除外）；</w:t>
      </w:r>
    </w:p>
    <w:p w14:paraId="1236D78A">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4）响应报价（包含首次报价、最后报价）超过所竞标分标规定的采购预算金额或者最高限价的（如本项目公布了最高限价）；</w:t>
      </w:r>
      <w:bookmarkStart w:id="55" w:name="_Hlk42596405"/>
      <w:r>
        <w:rPr>
          <w:rFonts w:hint="eastAsia" w:ascii="仿宋" w:hAnsi="仿宋" w:eastAsia="仿宋" w:cs="仿宋"/>
          <w:color w:val="auto"/>
          <w:sz w:val="22"/>
          <w:szCs w:val="22"/>
          <w:highlight w:val="none"/>
        </w:rPr>
        <w:t>响应报价（包含首次报价、最后报价）</w:t>
      </w:r>
      <w:bookmarkEnd w:id="55"/>
      <w:bookmarkStart w:id="56" w:name="_Hlk42596276"/>
      <w:r>
        <w:rPr>
          <w:rFonts w:hint="eastAsia" w:ascii="仿宋" w:hAnsi="仿宋" w:eastAsia="仿宋" w:cs="仿宋"/>
          <w:color w:val="auto"/>
          <w:sz w:val="22"/>
          <w:szCs w:val="22"/>
          <w:highlight w:val="none"/>
        </w:rPr>
        <w:t>超过谈判文件分项采购预算金额或者最高限价的</w:t>
      </w:r>
      <w:bookmarkEnd w:id="56"/>
      <w:r>
        <w:rPr>
          <w:rFonts w:hint="eastAsia" w:ascii="仿宋" w:hAnsi="仿宋" w:eastAsia="仿宋" w:cs="仿宋"/>
          <w:color w:val="auto"/>
          <w:sz w:val="22"/>
          <w:szCs w:val="22"/>
          <w:highlight w:val="none"/>
        </w:rPr>
        <w:t>（如本项目公布了最高限价）；</w:t>
      </w:r>
    </w:p>
    <w:p w14:paraId="234C28A2">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谈判文件分项采购预算金额或者最高限价的（如本项目公布了最高限价）。</w:t>
      </w:r>
    </w:p>
    <w:p w14:paraId="21640023">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6）响应文件响应的标的数量及单位与竞争性谈判采购文件要求实质性不一致的。</w:t>
      </w:r>
    </w:p>
    <w:p w14:paraId="74891E86">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3533B058">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3.7通过符合性审查的合格供应商不足3家的，不得进入谈判环节，应当重新开展采购活动。</w:t>
      </w:r>
    </w:p>
    <w:p w14:paraId="274A38DA">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4.谈判程序</w:t>
      </w:r>
    </w:p>
    <w:p w14:paraId="32BF3C6B">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b/>
          <w:color w:val="auto"/>
          <w:kern w:val="0"/>
          <w:sz w:val="22"/>
          <w:szCs w:val="22"/>
          <w:highlight w:val="none"/>
        </w:rPr>
      </w:pPr>
      <w:r>
        <w:rPr>
          <w:rFonts w:hint="eastAsia" w:ascii="仿宋" w:hAnsi="仿宋" w:eastAsia="仿宋" w:cs="仿宋"/>
          <w:color w:val="auto"/>
          <w:kern w:val="0"/>
          <w:sz w:val="22"/>
          <w:szCs w:val="22"/>
          <w:highlight w:val="none"/>
        </w:rPr>
        <w:t>4.1谈判小组按照“供应商须知前附表”确定的</w:t>
      </w:r>
      <w:r>
        <w:rPr>
          <w:rFonts w:hint="eastAsia" w:ascii="仿宋" w:hAnsi="仿宋" w:eastAsia="仿宋" w:cs="仿宋"/>
          <w:color w:val="auto"/>
          <w:sz w:val="22"/>
          <w:szCs w:val="22"/>
          <w:highlight w:val="none"/>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仿宋" w:hAnsi="仿宋" w:eastAsia="仿宋" w:cs="仿宋"/>
          <w:b/>
          <w:color w:val="auto"/>
          <w:sz w:val="22"/>
          <w:szCs w:val="22"/>
          <w:highlight w:val="none"/>
        </w:rPr>
        <w:t>其响应文件按无效响应处理。</w:t>
      </w:r>
    </w:p>
    <w:p w14:paraId="551BFFCE">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14:paraId="08268C8B">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4.3对谈判文件作出的实质性变动是谈判文件的有效组成部分，由谈判小组及时以电子澄清函形式同时通知所有参加谈判的供应商。</w:t>
      </w:r>
    </w:p>
    <w:p w14:paraId="340196ED">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4.4供应商必须按照谈判文件的变动情况和谈判小组的要求以回函的形式重新提交响应文件，并加盖电子公章。供应商为自然人的，必须由本人签字并附身份证明。参加谈判的供应商未在规定时间内重新提交响应文件的，视同退出谈判。</w:t>
      </w:r>
    </w:p>
    <w:p w14:paraId="45DB93FF">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4.5谈判中，</w:t>
      </w:r>
      <w:r>
        <w:rPr>
          <w:rFonts w:hint="eastAsia" w:ascii="仿宋" w:hAnsi="仿宋" w:eastAsia="仿宋" w:cs="仿宋"/>
          <w:color w:val="auto"/>
          <w:spacing w:val="-6"/>
          <w:sz w:val="22"/>
          <w:szCs w:val="22"/>
          <w:highlight w:val="none"/>
        </w:rPr>
        <w:t>谈判的任何一方不得透露与谈判有关的其他供应商的技术资料、价格和其他信息。</w:t>
      </w:r>
    </w:p>
    <w:p w14:paraId="0599378A">
      <w:pPr>
        <w:keepNext w:val="0"/>
        <w:keepLines w:val="0"/>
        <w:pageBreakBefore w:val="0"/>
        <w:widowControl/>
        <w:tabs>
          <w:tab w:val="left" w:pos="540"/>
        </w:tabs>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4.6谈判小组应对谈判过程和重要谈判内容进行记录，作为评标报告一部分，谈判小组在记录上签字确认。</w:t>
      </w:r>
      <w:r>
        <w:rPr>
          <w:rFonts w:hint="eastAsia" w:ascii="仿宋" w:hAnsi="仿宋" w:eastAsia="仿宋" w:cs="仿宋"/>
          <w:b/>
          <w:color w:val="auto"/>
          <w:sz w:val="22"/>
          <w:szCs w:val="28"/>
          <w:highlight w:val="none"/>
        </w:rPr>
        <w:t>主要内容包括：</w:t>
      </w:r>
    </w:p>
    <w:p w14:paraId="06DFBE95">
      <w:pPr>
        <w:pStyle w:val="71"/>
        <w:keepNext w:val="0"/>
        <w:keepLines w:val="0"/>
        <w:pageBreakBefore w:val="0"/>
        <w:kinsoku/>
        <w:wordWrap/>
        <w:overflowPunct/>
        <w:topLinePunct w:val="0"/>
        <w:autoSpaceDE/>
        <w:autoSpaceDN/>
        <w:bidi w:val="0"/>
        <w:spacing w:before="0" w:line="400" w:lineRule="exact"/>
        <w:ind w:firstLine="396"/>
        <w:textAlignment w:val="auto"/>
        <w:rPr>
          <w:rFonts w:hint="eastAsia" w:ascii="仿宋" w:hAnsi="仿宋" w:eastAsia="仿宋" w:cs="仿宋"/>
          <w:color w:val="auto"/>
          <w:spacing w:val="-6"/>
          <w:kern w:val="2"/>
          <w:sz w:val="22"/>
          <w:szCs w:val="22"/>
          <w:highlight w:val="none"/>
        </w:rPr>
      </w:pPr>
      <w:r>
        <w:rPr>
          <w:rFonts w:hint="eastAsia" w:ascii="仿宋" w:hAnsi="仿宋" w:eastAsia="仿宋" w:cs="仿宋"/>
          <w:color w:val="auto"/>
          <w:spacing w:val="-6"/>
          <w:kern w:val="2"/>
          <w:sz w:val="22"/>
          <w:szCs w:val="22"/>
          <w:highlight w:val="none"/>
        </w:rPr>
        <w:t>（1）按照相关规定进行公示的，公示情况说明；</w:t>
      </w:r>
    </w:p>
    <w:p w14:paraId="2AEAF089">
      <w:pPr>
        <w:pStyle w:val="71"/>
        <w:keepNext w:val="0"/>
        <w:keepLines w:val="0"/>
        <w:pageBreakBefore w:val="0"/>
        <w:kinsoku/>
        <w:wordWrap/>
        <w:overflowPunct/>
        <w:topLinePunct w:val="0"/>
        <w:autoSpaceDE/>
        <w:autoSpaceDN/>
        <w:bidi w:val="0"/>
        <w:spacing w:before="0" w:line="400" w:lineRule="exact"/>
        <w:ind w:firstLine="396"/>
        <w:textAlignment w:val="auto"/>
        <w:rPr>
          <w:rFonts w:hint="eastAsia" w:ascii="仿宋" w:hAnsi="仿宋" w:eastAsia="仿宋" w:cs="仿宋"/>
          <w:color w:val="auto"/>
          <w:spacing w:val="-6"/>
          <w:kern w:val="2"/>
          <w:sz w:val="22"/>
          <w:szCs w:val="22"/>
          <w:highlight w:val="none"/>
        </w:rPr>
      </w:pPr>
      <w:r>
        <w:rPr>
          <w:rFonts w:hint="eastAsia" w:ascii="仿宋" w:hAnsi="仿宋" w:eastAsia="仿宋" w:cs="仿宋"/>
          <w:color w:val="auto"/>
          <w:spacing w:val="-6"/>
          <w:kern w:val="2"/>
          <w:sz w:val="22"/>
          <w:szCs w:val="22"/>
          <w:highlight w:val="none"/>
        </w:rPr>
        <w:t>（2）谈判日期和地点，谈判人员名单；</w:t>
      </w:r>
    </w:p>
    <w:p w14:paraId="139947E9">
      <w:pPr>
        <w:pStyle w:val="71"/>
        <w:keepNext w:val="0"/>
        <w:keepLines w:val="0"/>
        <w:pageBreakBefore w:val="0"/>
        <w:kinsoku/>
        <w:wordWrap/>
        <w:overflowPunct/>
        <w:topLinePunct w:val="0"/>
        <w:autoSpaceDE/>
        <w:autoSpaceDN/>
        <w:bidi w:val="0"/>
        <w:spacing w:before="0" w:line="400" w:lineRule="exact"/>
        <w:ind w:firstLine="396"/>
        <w:textAlignment w:val="auto"/>
        <w:rPr>
          <w:rFonts w:hint="eastAsia" w:ascii="仿宋" w:hAnsi="仿宋" w:eastAsia="仿宋" w:cs="仿宋"/>
          <w:color w:val="auto"/>
          <w:spacing w:val="-6"/>
          <w:kern w:val="2"/>
          <w:sz w:val="22"/>
          <w:szCs w:val="22"/>
          <w:highlight w:val="none"/>
        </w:rPr>
      </w:pPr>
      <w:r>
        <w:rPr>
          <w:rFonts w:hint="eastAsia" w:ascii="仿宋" w:hAnsi="仿宋" w:eastAsia="仿宋" w:cs="仿宋"/>
          <w:color w:val="auto"/>
          <w:spacing w:val="-6"/>
          <w:kern w:val="2"/>
          <w:sz w:val="22"/>
          <w:szCs w:val="22"/>
          <w:highlight w:val="none"/>
        </w:rPr>
        <w:t>（3）合同主要条款及价格商定情况。</w:t>
      </w:r>
    </w:p>
    <w:p w14:paraId="2E435B8B">
      <w:pPr>
        <w:keepNext w:val="0"/>
        <w:keepLines w:val="0"/>
        <w:pageBreakBefore w:val="0"/>
        <w:widowControl/>
        <w:tabs>
          <w:tab w:val="left" w:pos="540"/>
        </w:tabs>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4.7谈判过程中重新提交的响应文件，供应商可以在开启前补充、修改。</w:t>
      </w:r>
    </w:p>
    <w:p w14:paraId="63B3FFF2">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4.8对谈判过程提交的响应文件进行有效性、完整性和响应程度审查，通过审查的合格供应商不足3家的，采购人或者采购代理机构应当重新开展采购活动。</w:t>
      </w:r>
    </w:p>
    <w:p w14:paraId="045E3BB0">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仿宋" w:hAnsi="仿宋" w:eastAsia="仿宋" w:cs="仿宋"/>
          <w:color w:val="auto"/>
          <w:szCs w:val="21"/>
          <w:highlight w:val="none"/>
        </w:rPr>
      </w:pPr>
      <w:r>
        <w:rPr>
          <w:rFonts w:hint="eastAsia" w:ascii="仿宋" w:hAnsi="仿宋" w:eastAsia="仿宋" w:cs="仿宋"/>
          <w:b/>
          <w:bCs/>
          <w:color w:val="auto"/>
          <w:sz w:val="24"/>
          <w:highlight w:val="none"/>
        </w:rPr>
        <w:t>5.最后报价</w:t>
      </w:r>
    </w:p>
    <w:p w14:paraId="7C32E0C7">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5.1谈判文件能够详细列明采购标的的技术、货物要求的，谈判结束后，由谈判小组要求所有继续参加谈判的供应商在规定时间内密封提交最后报价，提交最后报价的供应商不得少于3家，否则必须重新采购。</w:t>
      </w:r>
    </w:p>
    <w:p w14:paraId="31B75DD2">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5.2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在“政采云”平台远程不见面开标大厅响应最后报价。</w:t>
      </w:r>
    </w:p>
    <w:p w14:paraId="4CE20948">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5.3 最后报价是供应商响应文件的有效组成部分。</w:t>
      </w:r>
    </w:p>
    <w:p w14:paraId="61AA8FA5">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5.4已经提交响应文件的供应商，在提交最后报价之前，可以根据谈判情况退出谈判，退出谈判的供应商的响应文件按无效响应处理。</w:t>
      </w:r>
    </w:p>
    <w:p w14:paraId="0849E95F">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5.5供应商未在规定时间内提交最后报价的</w:t>
      </w:r>
      <w:r>
        <w:rPr>
          <w:rFonts w:hint="eastAsia" w:ascii="仿宋" w:hAnsi="仿宋" w:eastAsia="仿宋" w:cs="仿宋"/>
          <w:b/>
          <w:color w:val="auto"/>
          <w:sz w:val="22"/>
          <w:szCs w:val="22"/>
          <w:highlight w:val="none"/>
        </w:rPr>
        <w:t>，视同放弃报价权利退出谈判。</w:t>
      </w:r>
    </w:p>
    <w:p w14:paraId="3F5B8E40">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5.6最终响应文件的报价出现前后不一致的，按照本章第3.4条的规定修正。 </w:t>
      </w:r>
    </w:p>
    <w:p w14:paraId="2F8761CF">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5.7修正后的最终报价出现下列情形的，按无效响应处理：</w:t>
      </w:r>
    </w:p>
    <w:p w14:paraId="73AB8687">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（1）供应商不确认的（全流程电子化评标采取在线确认）；</w:t>
      </w:r>
    </w:p>
    <w:p w14:paraId="101AC77F">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经供应商确认修正后的响应报价（包含首次报价、最后报价）超过所竞标分标规定的采购预算金额或者最高限价的（如本项目公布了最高限价）（全流程电子化评标多轮报价设置了上线控制价，即预算价）；</w:t>
      </w:r>
    </w:p>
    <w:p w14:paraId="4B0F50CA">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（3）经供应商确认修正后的响应报价（包含首次报价、最后报价）超过分项采购预算金额或者最高限价的（如本项目公布了最高限价）。</w:t>
      </w:r>
    </w:p>
    <w:p w14:paraId="06F6A8B9">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5.8经供应商确认修正后的最后报价作为评审及签订合同的依据。</w:t>
      </w:r>
    </w:p>
    <w:p w14:paraId="3A4F5128">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5.9供应商出现最后报价按无效响应处理或者响应文件按无效处理时，谈判小组应当告知有关供应商。</w:t>
      </w:r>
    </w:p>
    <w:p w14:paraId="48A6F2BF">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5.10最后报价结束后，谈判小组不得再与供应商进行任何形式的商谈。</w:t>
      </w:r>
    </w:p>
    <w:p w14:paraId="7CABD3E0">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6.最后报价政府采购政策性扣除</w:t>
      </w:r>
    </w:p>
    <w:p w14:paraId="6071E4A7">
      <w:pPr>
        <w:keepNext w:val="0"/>
        <w:keepLines w:val="0"/>
        <w:pageBreakBefore w:val="0"/>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color w:val="auto"/>
          <w:sz w:val="22"/>
          <w:szCs w:val="28"/>
          <w:highlight w:val="none"/>
          <w:lang w:val="en-US" w:eastAsia="zh-CN"/>
        </w:rPr>
      </w:pPr>
      <w:r>
        <w:rPr>
          <w:rFonts w:hint="eastAsia" w:ascii="仿宋" w:hAnsi="仿宋" w:eastAsia="仿宋" w:cs="仿宋"/>
          <w:color w:val="auto"/>
          <w:sz w:val="22"/>
          <w:szCs w:val="28"/>
          <w:highlight w:val="none"/>
          <w:lang w:val="en-US" w:eastAsia="zh-CN"/>
        </w:rPr>
        <w:t xml:space="preserve">6.1按照《政府采购促进中小企业发展管理办法》（财库〔2020〕46号）的规定，投标人在其投标文件中提供《中小企业声明函》，且其投标产品全部为小型和微型企业产品的，对其最后报价给予 10%的扣除。 </w:t>
      </w:r>
    </w:p>
    <w:p w14:paraId="44818B5D">
      <w:pPr>
        <w:keepNext w:val="0"/>
        <w:keepLines w:val="0"/>
        <w:pageBreakBefore w:val="0"/>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color w:val="auto"/>
          <w:sz w:val="22"/>
          <w:szCs w:val="28"/>
          <w:highlight w:val="none"/>
          <w:lang w:val="en-US" w:eastAsia="zh-CN"/>
        </w:rPr>
      </w:pPr>
      <w:r>
        <w:rPr>
          <w:rFonts w:hint="eastAsia" w:ascii="仿宋" w:hAnsi="仿宋" w:eastAsia="仿宋" w:cs="仿宋"/>
          <w:color w:val="auto"/>
          <w:sz w:val="22"/>
          <w:szCs w:val="28"/>
          <w:highlight w:val="none"/>
          <w:lang w:val="en-US" w:eastAsia="zh-CN"/>
        </w:rPr>
        <w:t xml:space="preserve">6.2按照《财政部、司法部关于政府采购支持监狱企业发展有关问题的通知》（财库〔2014〕68 号）的规定，监狱企业视同小型、微型企业，享受预留份额、评审中价格扣除等促进中小企业发展的政府采购政策。 </w:t>
      </w:r>
    </w:p>
    <w:p w14:paraId="49FDFCCA">
      <w:pPr>
        <w:keepNext w:val="0"/>
        <w:keepLines w:val="0"/>
        <w:pageBreakBefore w:val="0"/>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color w:val="auto"/>
          <w:sz w:val="22"/>
          <w:szCs w:val="28"/>
          <w:highlight w:val="none"/>
          <w:lang w:val="en-US" w:eastAsia="zh-CN"/>
        </w:rPr>
      </w:pPr>
      <w:r>
        <w:rPr>
          <w:rFonts w:hint="eastAsia" w:ascii="仿宋" w:hAnsi="仿宋" w:eastAsia="仿宋" w:cs="仿宋"/>
          <w:color w:val="auto"/>
          <w:sz w:val="22"/>
          <w:szCs w:val="28"/>
          <w:highlight w:val="none"/>
          <w:lang w:val="en-US" w:eastAsia="zh-CN"/>
        </w:rPr>
        <w:t xml:space="preserve">监狱企业参加政府采购活动时，应当提供由省级以上监狱管理局、戒毒管理局(含新疆生产建设兵团)出具的属于监狱企业的证明文件。不重复享受政策。 </w:t>
      </w:r>
    </w:p>
    <w:p w14:paraId="7176B5F8">
      <w:pPr>
        <w:keepNext w:val="0"/>
        <w:keepLines w:val="0"/>
        <w:pageBreakBefore w:val="0"/>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color w:val="auto"/>
          <w:sz w:val="22"/>
          <w:szCs w:val="28"/>
          <w:highlight w:val="none"/>
          <w:lang w:val="en-US" w:eastAsia="zh-CN"/>
        </w:rPr>
      </w:pPr>
      <w:r>
        <w:rPr>
          <w:rFonts w:hint="eastAsia" w:ascii="仿宋" w:hAnsi="仿宋" w:eastAsia="仿宋" w:cs="仿宋"/>
          <w:color w:val="auto"/>
          <w:sz w:val="22"/>
          <w:szCs w:val="28"/>
          <w:highlight w:val="none"/>
          <w:lang w:val="en-US" w:eastAsia="zh-CN"/>
        </w:rPr>
        <w:t xml:space="preserve">6.3按照《关于促进残疾人就业政府采购政策的通知》（财库〔2017〕 </w:t>
      </w:r>
    </w:p>
    <w:p w14:paraId="1C13B058">
      <w:pPr>
        <w:keepNext w:val="0"/>
        <w:keepLines w:val="0"/>
        <w:pageBreakBefore w:val="0"/>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color w:val="auto"/>
          <w:sz w:val="22"/>
          <w:szCs w:val="28"/>
          <w:highlight w:val="none"/>
          <w:lang w:val="en-US" w:eastAsia="zh-CN"/>
        </w:rPr>
      </w:pPr>
      <w:r>
        <w:rPr>
          <w:rFonts w:hint="eastAsia" w:ascii="仿宋" w:hAnsi="仿宋" w:eastAsia="仿宋" w:cs="仿宋"/>
          <w:color w:val="auto"/>
          <w:sz w:val="22"/>
          <w:szCs w:val="28"/>
          <w:highlight w:val="none"/>
          <w:lang w:val="en-US" w:eastAsia="zh-CN"/>
        </w:rPr>
        <w:t xml:space="preserve">141 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 </w:t>
      </w:r>
    </w:p>
    <w:p w14:paraId="05557DF1">
      <w:pPr>
        <w:keepNext w:val="0"/>
        <w:keepLines w:val="0"/>
        <w:pageBreakBefore w:val="0"/>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color w:val="auto"/>
          <w:sz w:val="22"/>
          <w:szCs w:val="28"/>
          <w:highlight w:val="none"/>
          <w:lang w:val="en-US" w:eastAsia="zh-CN"/>
        </w:rPr>
      </w:pPr>
      <w:r>
        <w:rPr>
          <w:rFonts w:hint="eastAsia" w:ascii="仿宋" w:hAnsi="仿宋" w:eastAsia="仿宋" w:cs="仿宋"/>
          <w:color w:val="auto"/>
          <w:sz w:val="22"/>
          <w:szCs w:val="28"/>
          <w:highlight w:val="none"/>
          <w:lang w:val="en-US" w:eastAsia="zh-CN"/>
        </w:rPr>
        <w:t>6.4政策性扣除计算方法。</w:t>
      </w:r>
    </w:p>
    <w:p w14:paraId="462B204B">
      <w:pPr>
        <w:keepNext w:val="0"/>
        <w:keepLines w:val="0"/>
        <w:pageBreakBefore w:val="0"/>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lang w:val="en-US" w:eastAsia="zh-CN"/>
        </w:rPr>
        <w:t>在货物采购项目中，投标人投标全部货物由小型和微型企业制造；对符合上述要求的投标人的投标报价给予 10%的扣除，扣除后的价格为评标报价，即评标报价=投标报价×（1-10%）。接受大中型企业与小微企业 组成联合体或者允许大中型企业向一家或者多家小微企业分包的采购项目，联合协议或者分包意向协议约定小微企业的合同份额占到合同总金额 30%以上的，采购人、采购代理机构应当对联合体或者大中型企业的报价给予 2%（范围为 2%-3%）的扣除，用扣除后的价格参加评审，扣除后的价格为评标报价，即评标报价=投标报价×（1- 2%）。除上述情况外，评标报价=投标报价。</w:t>
      </w:r>
    </w:p>
    <w:p w14:paraId="1D267717">
      <w:pPr>
        <w:keepNext w:val="0"/>
        <w:keepLines w:val="0"/>
        <w:pageBreakBefore w:val="0"/>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lang w:val="en-US" w:eastAsia="zh-CN"/>
        </w:rPr>
        <w:t>6.5</w:t>
      </w:r>
      <w:r>
        <w:rPr>
          <w:rFonts w:hint="eastAsia" w:ascii="仿宋" w:hAnsi="仿宋" w:eastAsia="仿宋" w:cs="仿宋"/>
          <w:color w:val="auto"/>
          <w:sz w:val="22"/>
          <w:szCs w:val="28"/>
          <w:highlight w:val="none"/>
        </w:rPr>
        <w:t>评审报价＝最后报价。</w:t>
      </w:r>
    </w:p>
    <w:p w14:paraId="02EE09FA">
      <w:pPr>
        <w:pStyle w:val="5"/>
        <w:keepNext/>
        <w:keepLines/>
        <w:pageBreakBefore w:val="0"/>
        <w:widowControl w:val="0"/>
        <w:kinsoku/>
        <w:wordWrap/>
        <w:overflowPunct/>
        <w:topLinePunct w:val="0"/>
        <w:autoSpaceDE/>
        <w:autoSpaceDN/>
        <w:bidi w:val="0"/>
        <w:adjustRightInd/>
        <w:snapToGrid/>
        <w:spacing w:before="0" w:beforeLines="50" w:after="0" w:line="360" w:lineRule="auto"/>
        <w:ind w:firstLine="643" w:firstLineChars="200"/>
        <w:jc w:val="center"/>
        <w:textAlignment w:val="auto"/>
        <w:rPr>
          <w:rFonts w:hint="eastAsia" w:ascii="仿宋" w:hAnsi="仿宋" w:eastAsia="仿宋" w:cs="仿宋"/>
          <w:b w:val="0"/>
          <w:color w:val="auto"/>
          <w:highlight w:val="none"/>
        </w:rPr>
      </w:pPr>
      <w:bookmarkStart w:id="57" w:name="_Toc14820"/>
      <w:r>
        <w:rPr>
          <w:rFonts w:hint="eastAsia" w:ascii="仿宋" w:hAnsi="仿宋" w:eastAsia="仿宋" w:cs="仿宋"/>
          <w:b/>
          <w:bCs w:val="0"/>
          <w:color w:val="auto"/>
          <w:highlight w:val="none"/>
        </w:rPr>
        <w:t>第二节 评审原则</w:t>
      </w:r>
      <w:bookmarkEnd w:id="57"/>
    </w:p>
    <w:p w14:paraId="05967146">
      <w:pPr>
        <w:spacing w:line="360" w:lineRule="auto"/>
        <w:ind w:firstLine="482" w:firstLineChars="200"/>
        <w:jc w:val="left"/>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1.评审原则</w:t>
      </w:r>
    </w:p>
    <w:p w14:paraId="2A7099B1">
      <w:pPr>
        <w:spacing w:line="360" w:lineRule="auto"/>
        <w:ind w:firstLine="440" w:firstLineChars="200"/>
        <w:jc w:val="left"/>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568BD9A7">
      <w:pPr>
        <w:spacing w:line="360" w:lineRule="auto"/>
        <w:ind w:firstLine="440" w:firstLineChars="200"/>
        <w:jc w:val="left"/>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1.2根据《政府采购非招标采购方式管理办法》（财政部令第74号）第二十一条规定，评审结果汇总完成后，采购人、采购代理机构和谈判小组均不得修改评审结果或者要求重新评审，但资格性检查认定错误、分值汇总计算错误、分项评分超出评分标准范围、客观分评分不一致、经评审委员会一致认定评分畸高、畸低的情形除外。出现上述除外情形的，谈判小组应当现场修改评审结果，并在评审报告中明确记载。</w:t>
      </w:r>
      <w:bookmarkStart w:id="58" w:name="_Toc432106535"/>
      <w:bookmarkStart w:id="59" w:name="_Toc321836413"/>
      <w:bookmarkStart w:id="60" w:name="_Toc432194885"/>
    </w:p>
    <w:bookmarkEnd w:id="58"/>
    <w:bookmarkEnd w:id="59"/>
    <w:bookmarkEnd w:id="60"/>
    <w:p w14:paraId="5C1E8AEA">
      <w:pPr>
        <w:spacing w:line="360" w:lineRule="auto"/>
        <w:ind w:firstLine="440" w:firstLineChars="200"/>
        <w:rPr>
          <w:rFonts w:hint="eastAsia" w:ascii="仿宋" w:hAnsi="仿宋" w:eastAsia="仿宋" w:cs="仿宋"/>
          <w:color w:val="auto"/>
          <w:highlight w:val="none"/>
        </w:rPr>
      </w:pPr>
      <w:r>
        <w:rPr>
          <w:rFonts w:hint="eastAsia" w:ascii="仿宋" w:hAnsi="仿宋" w:eastAsia="仿宋" w:cs="仿宋"/>
          <w:color w:val="auto"/>
          <w:sz w:val="22"/>
          <w:szCs w:val="28"/>
          <w:highlight w:val="none"/>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14:paraId="7B62CF92">
      <w:pPr>
        <w:spacing w:line="360" w:lineRule="auto"/>
        <w:ind w:firstLine="482" w:firstLineChars="200"/>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2.终止竞争性谈判采购活动</w:t>
      </w:r>
    </w:p>
    <w:p w14:paraId="011CD5B0">
      <w:pPr>
        <w:spacing w:line="360" w:lineRule="auto"/>
        <w:ind w:firstLine="440" w:firstLineChars="200"/>
        <w:jc w:val="left"/>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出现下列情形之一的，采购人或者采购代理机构应当终止竞争性谈判采购活动，发布项目终止公告并说明原因，重新开展采购活动：</w:t>
      </w:r>
    </w:p>
    <w:p w14:paraId="4EE97137">
      <w:pPr>
        <w:spacing w:line="360" w:lineRule="auto"/>
        <w:ind w:firstLine="440" w:firstLineChars="200"/>
        <w:jc w:val="left"/>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 xml:space="preserve">（1）因情况变化，不再符合规定的竞争性谈判采购方式适用情形的； </w:t>
      </w:r>
    </w:p>
    <w:p w14:paraId="7663656F">
      <w:pPr>
        <w:spacing w:line="360" w:lineRule="auto"/>
        <w:ind w:firstLine="440" w:firstLineChars="200"/>
        <w:jc w:val="left"/>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（2）出现影响采购公正的违法、违规行为的；</w:t>
      </w:r>
    </w:p>
    <w:p w14:paraId="43427EBF">
      <w:pPr>
        <w:spacing w:line="360" w:lineRule="auto"/>
        <w:ind w:firstLine="440" w:firstLineChars="200"/>
        <w:jc w:val="left"/>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（3）在采购过程中符合竞争要求的供应商或者报价未超过采购预算的供应商不足3家的，但《政府采购非招标采购方式管理办法》第二十七条第二款规定的情形除外。</w:t>
      </w:r>
    </w:p>
    <w:p w14:paraId="633C9EAF">
      <w:pPr>
        <w:pStyle w:val="5"/>
        <w:spacing w:before="0" w:after="0" w:line="360" w:lineRule="auto"/>
        <w:ind w:firstLine="643" w:firstLineChars="200"/>
        <w:jc w:val="center"/>
        <w:rPr>
          <w:rFonts w:hint="eastAsia" w:ascii="仿宋" w:hAnsi="仿宋" w:eastAsia="仿宋" w:cs="仿宋"/>
          <w:b/>
          <w:bCs w:val="0"/>
          <w:color w:val="auto"/>
          <w:highlight w:val="none"/>
        </w:rPr>
      </w:pPr>
      <w:bookmarkStart w:id="61" w:name="_Toc17941"/>
      <w:r>
        <w:rPr>
          <w:rFonts w:hint="eastAsia" w:ascii="仿宋" w:hAnsi="仿宋" w:eastAsia="仿宋" w:cs="仿宋"/>
          <w:b/>
          <w:bCs w:val="0"/>
          <w:color w:val="auto"/>
          <w:highlight w:val="none"/>
        </w:rPr>
        <w:t>第三节 评标报告</w:t>
      </w:r>
      <w:bookmarkEnd w:id="61"/>
    </w:p>
    <w:p w14:paraId="538B8146">
      <w:pPr>
        <w:spacing w:line="360" w:lineRule="auto"/>
        <w:ind w:firstLine="482" w:firstLineChars="200"/>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1.成交标准</w:t>
      </w:r>
    </w:p>
    <w:p w14:paraId="0D4B735A">
      <w:pPr>
        <w:spacing w:line="360" w:lineRule="auto"/>
        <w:ind w:firstLine="440" w:firstLineChars="200"/>
        <w:rPr>
          <w:rFonts w:hint="eastAsia" w:ascii="仿宋" w:hAnsi="仿宋" w:eastAsia="仿宋" w:cs="仿宋"/>
          <w:color w:val="auto"/>
          <w:sz w:val="24"/>
          <w:highlight w:val="none"/>
        </w:rPr>
      </w:pPr>
      <w:r>
        <w:rPr>
          <w:rFonts w:hint="eastAsia" w:ascii="仿宋" w:hAnsi="仿宋" w:eastAsia="仿宋" w:cs="仿宋"/>
          <w:color w:val="auto"/>
          <w:sz w:val="22"/>
          <w:szCs w:val="28"/>
          <w:highlight w:val="none"/>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26.2条规定的顺序推荐）</w:t>
      </w:r>
      <w:r>
        <w:rPr>
          <w:rFonts w:hint="eastAsia" w:ascii="仿宋" w:hAnsi="仿宋" w:eastAsia="仿宋" w:cs="仿宋"/>
          <w:color w:val="auto"/>
          <w:sz w:val="22"/>
          <w:szCs w:val="28"/>
          <w:highlight w:val="none"/>
          <w:lang w:eastAsia="zh-CN"/>
        </w:rPr>
        <w:t>，</w:t>
      </w:r>
      <w:r>
        <w:rPr>
          <w:rFonts w:hint="eastAsia" w:ascii="仿宋" w:hAnsi="仿宋" w:eastAsia="仿宋" w:cs="仿宋"/>
          <w:color w:val="auto"/>
          <w:sz w:val="22"/>
          <w:szCs w:val="28"/>
          <w:highlight w:val="none"/>
        </w:rPr>
        <w:t>并在线编写电子评审报告。</w:t>
      </w:r>
    </w:p>
    <w:p w14:paraId="15E0DB05">
      <w:pPr>
        <w:spacing w:line="360" w:lineRule="auto"/>
        <w:ind w:firstLine="482" w:firstLineChars="200"/>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2.评标争议事项处理</w:t>
      </w:r>
    </w:p>
    <w:p w14:paraId="60C1DCAC">
      <w:pPr>
        <w:pStyle w:val="71"/>
        <w:spacing w:before="0"/>
        <w:ind w:firstLine="420"/>
        <w:rPr>
          <w:rFonts w:hint="eastAsia" w:ascii="仿宋" w:hAnsi="仿宋" w:eastAsia="仿宋" w:cs="仿宋"/>
          <w:color w:val="auto"/>
          <w:kern w:val="2"/>
          <w:sz w:val="22"/>
          <w:szCs w:val="28"/>
          <w:highlight w:val="none"/>
        </w:rPr>
      </w:pPr>
      <w:r>
        <w:rPr>
          <w:rFonts w:hint="eastAsia" w:ascii="仿宋" w:hAnsi="仿宋" w:eastAsia="仿宋" w:cs="仿宋"/>
          <w:color w:val="auto"/>
          <w:kern w:val="2"/>
          <w:sz w:val="22"/>
          <w:szCs w:val="28"/>
          <w:highlight w:val="none"/>
        </w:rPr>
        <w:t>谈判小组成员对需要共同认定的事项存在争议的，应当按照少数服从多数的原则作出结论。持不同意见的谈判小组成员应当在评标报告上签署不同意见及理由，否则视为同意评标报告。</w:t>
      </w:r>
    </w:p>
    <w:p w14:paraId="32FB9479">
      <w:pPr>
        <w:pStyle w:val="5"/>
        <w:spacing w:before="0" w:after="0" w:line="360" w:lineRule="auto"/>
        <w:ind w:firstLine="643" w:firstLineChars="200"/>
        <w:jc w:val="center"/>
        <w:rPr>
          <w:rFonts w:hint="eastAsia" w:ascii="仿宋" w:hAnsi="仿宋" w:eastAsia="仿宋" w:cs="仿宋"/>
          <w:b/>
          <w:bCs w:val="0"/>
          <w:color w:val="auto"/>
          <w:highlight w:val="none"/>
        </w:rPr>
      </w:pPr>
      <w:bookmarkStart w:id="62" w:name="_Toc20952"/>
      <w:r>
        <w:rPr>
          <w:rFonts w:hint="eastAsia" w:ascii="仿宋" w:hAnsi="仿宋" w:eastAsia="仿宋" w:cs="仿宋"/>
          <w:b/>
          <w:bCs w:val="0"/>
          <w:color w:val="auto"/>
          <w:highlight w:val="none"/>
        </w:rPr>
        <w:t>第四节 评审过程的保密与录像</w:t>
      </w:r>
      <w:bookmarkEnd w:id="62"/>
    </w:p>
    <w:p w14:paraId="10DBB17A">
      <w:pPr>
        <w:spacing w:line="360" w:lineRule="auto"/>
        <w:ind w:firstLine="482" w:firstLineChars="200"/>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1.保密</w:t>
      </w:r>
    </w:p>
    <w:p w14:paraId="6212767F">
      <w:pPr>
        <w:widowControl/>
        <w:spacing w:line="360" w:lineRule="auto"/>
        <w:ind w:firstLine="440" w:firstLineChars="200"/>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10A6E564">
      <w:pPr>
        <w:widowControl/>
        <w:spacing w:line="360" w:lineRule="auto"/>
        <w:ind w:firstLine="482" w:firstLineChars="200"/>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2.录音录像</w:t>
      </w:r>
    </w:p>
    <w:p w14:paraId="6EC94E48">
      <w:pPr>
        <w:spacing w:line="360" w:lineRule="auto"/>
        <w:ind w:firstLine="440" w:firstLineChars="200"/>
        <w:rPr>
          <w:rFonts w:hint="eastAsia" w:ascii="仿宋" w:hAnsi="仿宋" w:eastAsia="仿宋" w:cs="仿宋"/>
          <w:color w:val="auto"/>
          <w:highlight w:val="none"/>
        </w:rPr>
      </w:pPr>
      <w:r>
        <w:rPr>
          <w:rFonts w:hint="eastAsia" w:ascii="仿宋" w:hAnsi="仿宋" w:eastAsia="仿宋" w:cs="仿宋"/>
          <w:color w:val="auto"/>
          <w:sz w:val="22"/>
          <w:szCs w:val="28"/>
          <w:highlight w:val="none"/>
        </w:rPr>
        <w:t>采购代理机构对评审工作现场及操作屏幕进行全过程录音录像，录音录像资料作为采购项目文件随其他文件一并存档。</w:t>
      </w:r>
      <w:r>
        <w:rPr>
          <w:rFonts w:hint="eastAsia" w:ascii="仿宋" w:hAnsi="仿宋" w:eastAsia="仿宋" w:cs="仿宋"/>
          <w:color w:val="auto"/>
          <w:highlight w:val="none"/>
        </w:rPr>
        <w:br w:type="page"/>
      </w:r>
    </w:p>
    <w:p w14:paraId="2944C92D">
      <w:pPr>
        <w:pStyle w:val="5"/>
        <w:jc w:val="center"/>
        <w:rPr>
          <w:rFonts w:hint="eastAsia" w:ascii="仿宋" w:hAnsi="仿宋" w:eastAsia="仿宋" w:cs="仿宋"/>
          <w:color w:val="auto"/>
          <w:highlight w:val="none"/>
        </w:rPr>
      </w:pPr>
    </w:p>
    <w:p w14:paraId="2C663AE7">
      <w:pPr>
        <w:pStyle w:val="5"/>
        <w:jc w:val="center"/>
        <w:rPr>
          <w:rFonts w:hint="eastAsia" w:ascii="仿宋" w:hAnsi="仿宋" w:eastAsia="仿宋" w:cs="仿宋"/>
          <w:color w:val="auto"/>
          <w:highlight w:val="none"/>
        </w:rPr>
      </w:pPr>
    </w:p>
    <w:p w14:paraId="663D1434">
      <w:pPr>
        <w:pStyle w:val="5"/>
        <w:jc w:val="center"/>
        <w:rPr>
          <w:rFonts w:hint="eastAsia" w:ascii="仿宋" w:hAnsi="仿宋" w:eastAsia="仿宋" w:cs="仿宋"/>
          <w:color w:val="auto"/>
          <w:highlight w:val="none"/>
        </w:rPr>
      </w:pPr>
    </w:p>
    <w:p w14:paraId="5766F86C">
      <w:pPr>
        <w:pStyle w:val="5"/>
        <w:jc w:val="center"/>
        <w:rPr>
          <w:rFonts w:hint="eastAsia" w:ascii="仿宋" w:hAnsi="仿宋" w:eastAsia="仿宋" w:cs="仿宋"/>
          <w:color w:val="auto"/>
          <w:highlight w:val="none"/>
        </w:rPr>
      </w:pPr>
    </w:p>
    <w:p w14:paraId="3C3F16A1">
      <w:pPr>
        <w:pStyle w:val="5"/>
        <w:jc w:val="center"/>
        <w:rPr>
          <w:rFonts w:hint="eastAsia" w:ascii="仿宋" w:hAnsi="仿宋" w:eastAsia="仿宋" w:cs="仿宋"/>
          <w:color w:val="auto"/>
          <w:highlight w:val="none"/>
        </w:rPr>
      </w:pPr>
    </w:p>
    <w:p w14:paraId="7BBF6260">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仿宋" w:hAnsi="仿宋" w:eastAsia="仿宋" w:cs="仿宋"/>
          <w:b/>
          <w:bCs/>
          <w:color w:val="auto"/>
          <w:sz w:val="32"/>
          <w:szCs w:val="32"/>
          <w:highlight w:val="none"/>
        </w:rPr>
      </w:pPr>
      <w:bookmarkStart w:id="63" w:name="_Toc18046"/>
      <w:r>
        <w:rPr>
          <w:rFonts w:hint="eastAsia" w:ascii="仿宋" w:hAnsi="仿宋" w:eastAsia="仿宋" w:cs="仿宋"/>
          <w:b/>
          <w:bCs/>
          <w:color w:val="auto"/>
          <w:sz w:val="32"/>
          <w:szCs w:val="32"/>
          <w:highlight w:val="none"/>
        </w:rPr>
        <w:t>第五章 响应文件格式</w:t>
      </w:r>
      <w:bookmarkEnd w:id="63"/>
    </w:p>
    <w:p w14:paraId="700272BF">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1"/>
        <w:rPr>
          <w:rFonts w:hint="eastAsia" w:ascii="仿宋" w:hAnsi="仿宋" w:eastAsia="仿宋" w:cs="仿宋"/>
          <w:b/>
          <w:color w:val="auto"/>
          <w:highlight w:val="none"/>
        </w:rPr>
      </w:pPr>
      <w:r>
        <w:rPr>
          <w:rFonts w:hint="eastAsia" w:ascii="仿宋" w:hAnsi="仿宋" w:eastAsia="仿宋" w:cs="仿宋"/>
          <w:b/>
          <w:bCs/>
          <w:color w:val="auto"/>
          <w:sz w:val="32"/>
          <w:szCs w:val="32"/>
          <w:highlight w:val="none"/>
        </w:rPr>
        <w:br w:type="page"/>
      </w:r>
      <w:bookmarkStart w:id="64" w:name="_Toc26094"/>
      <w:r>
        <w:rPr>
          <w:rFonts w:hint="eastAsia" w:ascii="仿宋" w:hAnsi="仿宋" w:eastAsia="仿宋" w:cs="仿宋"/>
          <w:b/>
          <w:bCs w:val="0"/>
          <w:color w:val="auto"/>
          <w:kern w:val="2"/>
          <w:sz w:val="32"/>
          <w:szCs w:val="32"/>
          <w:highlight w:val="none"/>
          <w:lang w:val="en-US" w:eastAsia="zh-CN" w:bidi="ar-SA"/>
        </w:rPr>
        <w:t>第一节 封面格式</w:t>
      </w:r>
      <w:bookmarkEnd w:id="64"/>
    </w:p>
    <w:p w14:paraId="14A44D4A">
      <w:pPr>
        <w:rPr>
          <w:rFonts w:hint="eastAsia" w:ascii="仿宋" w:hAnsi="仿宋" w:eastAsia="仿宋" w:cs="仿宋"/>
          <w:b/>
          <w:color w:val="auto"/>
          <w:sz w:val="32"/>
          <w:szCs w:val="32"/>
          <w:highlight w:val="none"/>
        </w:rPr>
      </w:pPr>
      <w:bookmarkStart w:id="65" w:name="_Toc44229898"/>
    </w:p>
    <w:p w14:paraId="142BBBE4">
      <w:pPr>
        <w:rPr>
          <w:rFonts w:hint="eastAsia" w:ascii="仿宋" w:hAnsi="仿宋" w:eastAsia="仿宋" w:cs="仿宋"/>
          <w:b/>
          <w:bCs/>
          <w:color w:val="auto"/>
          <w:sz w:val="32"/>
          <w:szCs w:val="32"/>
          <w:highlight w:val="none"/>
        </w:rPr>
      </w:pPr>
      <w:r>
        <w:rPr>
          <w:rFonts w:hint="eastAsia" w:ascii="仿宋" w:hAnsi="仿宋" w:eastAsia="仿宋" w:cs="仿宋"/>
          <w:b/>
          <w:color w:val="auto"/>
          <w:sz w:val="32"/>
          <w:szCs w:val="32"/>
          <w:highlight w:val="none"/>
        </w:rPr>
        <w:t>（</w:t>
      </w:r>
      <w:bookmarkStart w:id="66" w:name="_Toc35611437"/>
      <w:bookmarkStart w:id="67" w:name="_Toc35611515"/>
      <w:r>
        <w:rPr>
          <w:rFonts w:hint="eastAsia" w:ascii="仿宋" w:hAnsi="仿宋" w:eastAsia="仿宋" w:cs="仿宋"/>
          <w:b/>
          <w:bCs/>
          <w:color w:val="auto"/>
          <w:sz w:val="32"/>
          <w:szCs w:val="32"/>
          <w:highlight w:val="none"/>
        </w:rPr>
        <w:t>响应文件外层包装封面格式</w:t>
      </w:r>
      <w:bookmarkEnd w:id="66"/>
      <w:bookmarkEnd w:id="67"/>
      <w:r>
        <w:rPr>
          <w:rFonts w:hint="eastAsia" w:ascii="仿宋" w:hAnsi="仿宋" w:eastAsia="仿宋" w:cs="仿宋"/>
          <w:b/>
          <w:color w:val="auto"/>
          <w:sz w:val="32"/>
          <w:szCs w:val="32"/>
          <w:highlight w:val="none"/>
        </w:rPr>
        <w:t>）</w:t>
      </w:r>
      <w:bookmarkEnd w:id="65"/>
    </w:p>
    <w:p w14:paraId="643EFBFB">
      <w:pPr>
        <w:snapToGrid w:val="0"/>
        <w:spacing w:before="120" w:beforeLines="50" w:after="50"/>
        <w:rPr>
          <w:rFonts w:hint="eastAsia" w:ascii="仿宋" w:hAnsi="仿宋" w:eastAsia="仿宋" w:cs="仿宋"/>
          <w:color w:val="auto"/>
          <w:sz w:val="24"/>
          <w:szCs w:val="20"/>
          <w:highlight w:val="none"/>
        </w:rPr>
      </w:pPr>
    </w:p>
    <w:p w14:paraId="462CB3CE">
      <w:pPr>
        <w:snapToGrid w:val="0"/>
        <w:spacing w:before="120" w:beforeLines="50" w:after="50"/>
        <w:jc w:val="center"/>
        <w:rPr>
          <w:rFonts w:hint="eastAsia" w:ascii="仿宋" w:hAnsi="仿宋" w:eastAsia="仿宋" w:cs="仿宋"/>
          <w:bCs/>
          <w:color w:val="auto"/>
          <w:sz w:val="24"/>
          <w:szCs w:val="20"/>
          <w:highlight w:val="none"/>
        </w:rPr>
      </w:pPr>
    </w:p>
    <w:p w14:paraId="024EA2C1">
      <w:pPr>
        <w:snapToGrid w:val="0"/>
        <w:spacing w:before="120" w:beforeLines="50" w:after="50"/>
        <w:jc w:val="center"/>
        <w:rPr>
          <w:rFonts w:hint="eastAsia" w:ascii="仿宋" w:hAnsi="仿宋" w:eastAsia="仿宋" w:cs="仿宋"/>
          <w:bCs/>
          <w:color w:val="auto"/>
          <w:sz w:val="44"/>
          <w:szCs w:val="44"/>
          <w:highlight w:val="none"/>
        </w:rPr>
      </w:pPr>
    </w:p>
    <w:p w14:paraId="6B88CCE1">
      <w:pPr>
        <w:snapToGrid w:val="0"/>
        <w:spacing w:before="120" w:beforeLines="50" w:after="50"/>
        <w:jc w:val="center"/>
        <w:rPr>
          <w:rFonts w:hint="eastAsia"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t>响  应  文  件</w:t>
      </w:r>
    </w:p>
    <w:p w14:paraId="12D4F338">
      <w:pPr>
        <w:snapToGrid w:val="0"/>
        <w:spacing w:before="120" w:beforeLines="50" w:after="50"/>
        <w:rPr>
          <w:rFonts w:hint="eastAsia" w:ascii="仿宋" w:hAnsi="仿宋" w:eastAsia="仿宋" w:cs="仿宋"/>
          <w:bCs/>
          <w:color w:val="auto"/>
          <w:sz w:val="24"/>
          <w:szCs w:val="20"/>
          <w:highlight w:val="none"/>
        </w:rPr>
      </w:pPr>
    </w:p>
    <w:p w14:paraId="74C24881">
      <w:pPr>
        <w:snapToGrid w:val="0"/>
        <w:spacing w:before="120" w:beforeLines="50" w:after="50"/>
        <w:rPr>
          <w:rFonts w:hint="eastAsia" w:ascii="仿宋" w:hAnsi="仿宋" w:eastAsia="仿宋" w:cs="仿宋"/>
          <w:bCs/>
          <w:color w:val="auto"/>
          <w:sz w:val="24"/>
          <w:szCs w:val="20"/>
          <w:highlight w:val="none"/>
        </w:rPr>
      </w:pPr>
    </w:p>
    <w:p w14:paraId="3A515949">
      <w:pPr>
        <w:snapToGrid w:val="0"/>
        <w:spacing w:before="120" w:beforeLines="50" w:after="50"/>
        <w:rPr>
          <w:rFonts w:hint="eastAsia" w:ascii="仿宋" w:hAnsi="仿宋" w:eastAsia="仿宋" w:cs="仿宋"/>
          <w:bCs/>
          <w:color w:val="auto"/>
          <w:sz w:val="32"/>
          <w:szCs w:val="32"/>
          <w:highlight w:val="none"/>
        </w:rPr>
      </w:pPr>
    </w:p>
    <w:p w14:paraId="1925732A">
      <w:pPr>
        <w:snapToGrid w:val="0"/>
        <w:spacing w:before="120" w:beforeLines="50" w:after="50"/>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项目名称：</w:t>
      </w:r>
    </w:p>
    <w:p w14:paraId="515C870E">
      <w:pPr>
        <w:snapToGrid w:val="0"/>
        <w:spacing w:before="120" w:beforeLines="50" w:after="50"/>
        <w:ind w:firstLine="480" w:firstLineChars="150"/>
        <w:rPr>
          <w:rFonts w:hint="eastAsia" w:ascii="仿宋" w:hAnsi="仿宋" w:eastAsia="仿宋" w:cs="仿宋"/>
          <w:bCs/>
          <w:color w:val="auto"/>
          <w:sz w:val="32"/>
          <w:szCs w:val="32"/>
          <w:highlight w:val="none"/>
        </w:rPr>
      </w:pPr>
    </w:p>
    <w:p w14:paraId="595ED651">
      <w:pPr>
        <w:snapToGrid w:val="0"/>
        <w:spacing w:before="120" w:beforeLines="50" w:after="50"/>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项目编号：</w:t>
      </w:r>
    </w:p>
    <w:p w14:paraId="44AD24CC">
      <w:pPr>
        <w:snapToGrid w:val="0"/>
        <w:spacing w:before="120" w:beforeLines="50" w:after="50"/>
        <w:ind w:firstLine="480" w:firstLineChars="150"/>
        <w:rPr>
          <w:rFonts w:hint="eastAsia" w:ascii="仿宋" w:hAnsi="仿宋" w:eastAsia="仿宋" w:cs="仿宋"/>
          <w:bCs/>
          <w:color w:val="auto"/>
          <w:sz w:val="32"/>
          <w:szCs w:val="32"/>
          <w:highlight w:val="none"/>
        </w:rPr>
      </w:pPr>
    </w:p>
    <w:p w14:paraId="0117BB2A">
      <w:pPr>
        <w:snapToGrid w:val="0"/>
        <w:spacing w:before="120" w:beforeLines="50" w:after="50"/>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所竞分标（如有则填写，无分标时填写“无”或者留空）：</w:t>
      </w:r>
    </w:p>
    <w:p w14:paraId="6048A6FA">
      <w:pPr>
        <w:snapToGrid w:val="0"/>
        <w:spacing w:before="120" w:beforeLines="50" w:after="50"/>
        <w:rPr>
          <w:rFonts w:hint="eastAsia" w:ascii="仿宋" w:hAnsi="仿宋" w:eastAsia="仿宋" w:cs="仿宋"/>
          <w:bCs/>
          <w:color w:val="auto"/>
          <w:sz w:val="32"/>
          <w:szCs w:val="32"/>
          <w:highlight w:val="none"/>
        </w:rPr>
      </w:pPr>
    </w:p>
    <w:p w14:paraId="2401CEB9">
      <w:pPr>
        <w:snapToGrid w:val="0"/>
        <w:spacing w:before="120" w:beforeLines="50" w:after="50"/>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供应商名称：</w:t>
      </w:r>
    </w:p>
    <w:p w14:paraId="782B4B46">
      <w:pPr>
        <w:snapToGrid w:val="0"/>
        <w:spacing w:before="120" w:beforeLines="50" w:after="50"/>
        <w:rPr>
          <w:rFonts w:hint="eastAsia" w:ascii="仿宋" w:hAnsi="仿宋" w:eastAsia="仿宋" w:cs="仿宋"/>
          <w:bCs/>
          <w:color w:val="auto"/>
          <w:sz w:val="32"/>
          <w:szCs w:val="32"/>
          <w:highlight w:val="none"/>
        </w:rPr>
      </w:pPr>
    </w:p>
    <w:p w14:paraId="6961EFF7">
      <w:pPr>
        <w:snapToGrid w:val="0"/>
        <w:spacing w:before="120" w:beforeLines="50" w:after="50"/>
        <w:ind w:firstLine="480" w:firstLineChars="150"/>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首次响应文件提交截止时间前不得解密</w:t>
      </w:r>
    </w:p>
    <w:p w14:paraId="628147F9">
      <w:pPr>
        <w:snapToGrid w:val="0"/>
        <w:spacing w:before="120" w:beforeLines="50" w:after="50"/>
        <w:ind w:firstLine="5440" w:firstLineChars="1700"/>
        <w:jc w:val="center"/>
        <w:rPr>
          <w:rFonts w:hint="eastAsia" w:ascii="仿宋" w:hAnsi="仿宋" w:eastAsia="仿宋" w:cs="仿宋"/>
          <w:bCs/>
          <w:color w:val="auto"/>
          <w:sz w:val="32"/>
          <w:szCs w:val="32"/>
          <w:highlight w:val="none"/>
        </w:rPr>
      </w:pPr>
    </w:p>
    <w:p w14:paraId="1D94E4DE">
      <w:pPr>
        <w:snapToGrid w:val="0"/>
        <w:spacing w:before="120" w:beforeLines="50" w:after="50"/>
        <w:ind w:firstLine="645"/>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年    月    日</w:t>
      </w:r>
    </w:p>
    <w:p w14:paraId="1B15287D">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1"/>
        <w:rPr>
          <w:rFonts w:hint="eastAsia" w:ascii="仿宋" w:hAnsi="仿宋" w:eastAsia="仿宋" w:cs="仿宋"/>
          <w:b/>
          <w:bCs w:val="0"/>
          <w:color w:val="auto"/>
          <w:kern w:val="2"/>
          <w:sz w:val="32"/>
          <w:szCs w:val="32"/>
          <w:highlight w:val="none"/>
          <w:lang w:val="en-US" w:eastAsia="zh-CN" w:bidi="ar-SA"/>
        </w:rPr>
      </w:pPr>
      <w:r>
        <w:rPr>
          <w:rFonts w:hint="eastAsia" w:ascii="仿宋" w:hAnsi="仿宋" w:eastAsia="仿宋" w:cs="仿宋"/>
          <w:bCs/>
          <w:color w:val="auto"/>
          <w:sz w:val="24"/>
          <w:highlight w:val="none"/>
        </w:rPr>
        <w:br w:type="page"/>
      </w:r>
      <w:bookmarkStart w:id="68" w:name="_Toc32746"/>
      <w:r>
        <w:rPr>
          <w:rFonts w:hint="eastAsia" w:ascii="仿宋" w:hAnsi="仿宋" w:eastAsia="仿宋" w:cs="仿宋"/>
          <w:b/>
          <w:bCs w:val="0"/>
          <w:color w:val="auto"/>
          <w:kern w:val="2"/>
          <w:sz w:val="32"/>
          <w:szCs w:val="32"/>
          <w:highlight w:val="none"/>
          <w:lang w:val="en-US" w:eastAsia="zh-CN" w:bidi="ar-SA"/>
        </w:rPr>
        <w:t>第二节 资格证明文件格式</w:t>
      </w:r>
      <w:bookmarkEnd w:id="68"/>
    </w:p>
    <w:p w14:paraId="3CEA00A1">
      <w:pPr>
        <w:snapToGrid w:val="0"/>
        <w:spacing w:before="120" w:beforeLines="50" w:after="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C1CFB66">
      <w:pPr>
        <w:snapToGrid w:val="0"/>
        <w:spacing w:before="120" w:beforeLines="50" w:after="50"/>
        <w:jc w:val="right"/>
        <w:rPr>
          <w:rFonts w:hint="eastAsia" w:ascii="仿宋" w:hAnsi="仿宋" w:eastAsia="仿宋" w:cs="仿宋"/>
          <w:bCs/>
          <w:color w:val="auto"/>
          <w:sz w:val="32"/>
          <w:szCs w:val="20"/>
          <w:highlight w:val="none"/>
        </w:rPr>
      </w:pPr>
      <w:r>
        <w:rPr>
          <w:rFonts w:hint="eastAsia" w:ascii="仿宋" w:hAnsi="仿宋" w:eastAsia="仿宋" w:cs="仿宋"/>
          <w:bCs/>
          <w:color w:val="auto"/>
          <w:sz w:val="22"/>
          <w:szCs w:val="28"/>
          <w:highlight w:val="none"/>
        </w:rPr>
        <w:t>全流程电子文件</w:t>
      </w:r>
    </w:p>
    <w:p w14:paraId="7C5694D1">
      <w:pPr>
        <w:snapToGrid w:val="0"/>
        <w:spacing w:before="120" w:beforeLines="50" w:after="50"/>
        <w:rPr>
          <w:rFonts w:hint="eastAsia" w:ascii="仿宋" w:hAnsi="仿宋" w:eastAsia="仿宋" w:cs="仿宋"/>
          <w:color w:val="auto"/>
          <w:sz w:val="24"/>
          <w:szCs w:val="20"/>
          <w:highlight w:val="none"/>
        </w:rPr>
      </w:pPr>
    </w:p>
    <w:p w14:paraId="6BC891FD">
      <w:pPr>
        <w:snapToGrid w:val="0"/>
        <w:spacing w:before="120" w:beforeLines="50" w:after="50"/>
        <w:rPr>
          <w:rFonts w:hint="eastAsia" w:ascii="仿宋" w:hAnsi="仿宋" w:eastAsia="仿宋" w:cs="仿宋"/>
          <w:color w:val="auto"/>
          <w:sz w:val="24"/>
          <w:szCs w:val="20"/>
          <w:highlight w:val="none"/>
        </w:rPr>
      </w:pPr>
    </w:p>
    <w:p w14:paraId="5E7B0BC2">
      <w:pPr>
        <w:snapToGrid w:val="0"/>
        <w:spacing w:before="120" w:beforeLines="50" w:after="50"/>
        <w:jc w:val="center"/>
        <w:rPr>
          <w:rFonts w:hint="eastAsia" w:ascii="仿宋" w:hAnsi="仿宋" w:eastAsia="仿宋" w:cs="仿宋"/>
          <w:bCs/>
          <w:color w:val="auto"/>
          <w:sz w:val="24"/>
          <w:szCs w:val="20"/>
          <w:highlight w:val="none"/>
        </w:rPr>
      </w:pPr>
      <w:r>
        <w:rPr>
          <w:rFonts w:hint="eastAsia" w:ascii="仿宋" w:hAnsi="仿宋" w:eastAsia="仿宋" w:cs="仿宋"/>
          <w:b/>
          <w:bCs w:val="0"/>
          <w:color w:val="auto"/>
          <w:sz w:val="44"/>
          <w:szCs w:val="44"/>
          <w:highlight w:val="none"/>
        </w:rPr>
        <w:t>资格证明文件（封面）</w:t>
      </w:r>
    </w:p>
    <w:p w14:paraId="6FB8560B">
      <w:pPr>
        <w:snapToGrid w:val="0"/>
        <w:spacing w:before="120" w:beforeLines="50" w:after="50"/>
        <w:rPr>
          <w:rFonts w:hint="eastAsia" w:ascii="仿宋" w:hAnsi="仿宋" w:eastAsia="仿宋" w:cs="仿宋"/>
          <w:bCs/>
          <w:color w:val="auto"/>
          <w:sz w:val="24"/>
          <w:szCs w:val="20"/>
          <w:highlight w:val="none"/>
        </w:rPr>
      </w:pPr>
    </w:p>
    <w:p w14:paraId="61196E1D">
      <w:pPr>
        <w:snapToGrid w:val="0"/>
        <w:spacing w:before="120" w:beforeLines="50" w:after="50"/>
        <w:rPr>
          <w:rFonts w:hint="eastAsia" w:ascii="仿宋" w:hAnsi="仿宋" w:eastAsia="仿宋" w:cs="仿宋"/>
          <w:bCs/>
          <w:color w:val="auto"/>
          <w:sz w:val="24"/>
          <w:szCs w:val="20"/>
          <w:highlight w:val="none"/>
        </w:rPr>
      </w:pPr>
    </w:p>
    <w:p w14:paraId="0E44A12C">
      <w:pPr>
        <w:snapToGrid w:val="0"/>
        <w:spacing w:before="120" w:beforeLines="50" w:after="50"/>
        <w:rPr>
          <w:rFonts w:hint="eastAsia" w:ascii="仿宋" w:hAnsi="仿宋" w:eastAsia="仿宋" w:cs="仿宋"/>
          <w:bCs/>
          <w:color w:val="auto"/>
          <w:sz w:val="24"/>
          <w:szCs w:val="20"/>
          <w:highlight w:val="none"/>
        </w:rPr>
      </w:pPr>
    </w:p>
    <w:p w14:paraId="109C88E0">
      <w:pPr>
        <w:snapToGrid w:val="0"/>
        <w:spacing w:before="120" w:beforeLines="50" w:after="50"/>
        <w:rPr>
          <w:rFonts w:hint="eastAsia" w:ascii="仿宋" w:hAnsi="仿宋" w:eastAsia="仿宋" w:cs="仿宋"/>
          <w:bCs/>
          <w:color w:val="auto"/>
          <w:sz w:val="24"/>
          <w:szCs w:val="20"/>
          <w:highlight w:val="none"/>
        </w:rPr>
      </w:pPr>
    </w:p>
    <w:p w14:paraId="024802BA">
      <w:pPr>
        <w:snapToGrid w:val="0"/>
        <w:spacing w:before="120" w:beforeLines="50" w:after="50"/>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项目名称：</w:t>
      </w:r>
    </w:p>
    <w:p w14:paraId="534EE4B4">
      <w:pPr>
        <w:snapToGrid w:val="0"/>
        <w:spacing w:before="120" w:beforeLines="50" w:after="50"/>
        <w:ind w:firstLine="720" w:firstLineChars="225"/>
        <w:rPr>
          <w:rFonts w:hint="eastAsia" w:ascii="仿宋" w:hAnsi="仿宋" w:eastAsia="仿宋" w:cs="仿宋"/>
          <w:bCs/>
          <w:color w:val="auto"/>
          <w:sz w:val="32"/>
          <w:szCs w:val="32"/>
          <w:highlight w:val="none"/>
        </w:rPr>
      </w:pPr>
    </w:p>
    <w:p w14:paraId="389A9D6D">
      <w:pPr>
        <w:snapToGrid w:val="0"/>
        <w:spacing w:before="120" w:beforeLines="50" w:after="50"/>
        <w:ind w:firstLine="720" w:firstLineChars="225"/>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项目编号：</w:t>
      </w:r>
    </w:p>
    <w:p w14:paraId="074608A2">
      <w:pPr>
        <w:snapToGrid w:val="0"/>
        <w:spacing w:before="120" w:beforeLines="50" w:after="50"/>
        <w:ind w:firstLine="720" w:firstLineChars="225"/>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w:t>
      </w:r>
    </w:p>
    <w:p w14:paraId="40CCEFD6">
      <w:pPr>
        <w:snapToGrid w:val="0"/>
        <w:spacing w:before="120" w:beforeLines="50" w:after="50"/>
        <w:ind w:firstLine="720" w:firstLineChars="225"/>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所竞分标（如有则填写，无分标时填写“无”或者留空）：</w:t>
      </w:r>
    </w:p>
    <w:p w14:paraId="190E3EFA">
      <w:pPr>
        <w:snapToGrid w:val="0"/>
        <w:spacing w:before="120" w:beforeLines="50" w:after="50"/>
        <w:ind w:firstLine="720" w:firstLineChars="225"/>
        <w:rPr>
          <w:rFonts w:hint="eastAsia" w:ascii="仿宋" w:hAnsi="仿宋" w:eastAsia="仿宋" w:cs="仿宋"/>
          <w:bCs/>
          <w:color w:val="auto"/>
          <w:sz w:val="32"/>
          <w:szCs w:val="32"/>
          <w:highlight w:val="none"/>
        </w:rPr>
      </w:pPr>
    </w:p>
    <w:p w14:paraId="266256D4">
      <w:pPr>
        <w:pStyle w:val="8"/>
        <w:snapToGrid w:val="0"/>
        <w:spacing w:before="50" w:after="50"/>
        <w:ind w:firstLine="720" w:firstLineChars="225"/>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供应商名称：</w:t>
      </w:r>
    </w:p>
    <w:p w14:paraId="0727AB34">
      <w:pPr>
        <w:pStyle w:val="8"/>
        <w:snapToGrid w:val="0"/>
        <w:spacing w:before="50" w:after="50"/>
        <w:ind w:firstLine="720" w:firstLineChars="225"/>
        <w:rPr>
          <w:rFonts w:hint="eastAsia" w:ascii="仿宋" w:hAnsi="仿宋" w:eastAsia="仿宋" w:cs="仿宋"/>
          <w:bCs/>
          <w:color w:val="auto"/>
          <w:sz w:val="32"/>
          <w:szCs w:val="32"/>
          <w:highlight w:val="none"/>
        </w:rPr>
      </w:pPr>
    </w:p>
    <w:p w14:paraId="3F460F03">
      <w:pPr>
        <w:pStyle w:val="8"/>
        <w:snapToGrid w:val="0"/>
        <w:spacing w:before="50" w:after="50"/>
        <w:ind w:firstLine="720" w:firstLineChars="225"/>
        <w:rPr>
          <w:rFonts w:hint="eastAsia" w:ascii="仿宋" w:hAnsi="仿宋" w:eastAsia="仿宋" w:cs="仿宋"/>
          <w:bCs/>
          <w:color w:val="auto"/>
          <w:sz w:val="32"/>
          <w:szCs w:val="32"/>
          <w:highlight w:val="none"/>
        </w:rPr>
      </w:pPr>
    </w:p>
    <w:p w14:paraId="4F8711B5">
      <w:pPr>
        <w:pStyle w:val="8"/>
        <w:snapToGrid w:val="0"/>
        <w:spacing w:before="50" w:after="50"/>
        <w:ind w:firstLine="720" w:firstLineChars="225"/>
        <w:rPr>
          <w:rFonts w:hint="eastAsia" w:ascii="仿宋" w:hAnsi="仿宋" w:eastAsia="仿宋" w:cs="仿宋"/>
          <w:bCs/>
          <w:color w:val="auto"/>
          <w:sz w:val="32"/>
          <w:szCs w:val="32"/>
          <w:highlight w:val="none"/>
        </w:rPr>
      </w:pPr>
    </w:p>
    <w:p w14:paraId="19313FC2">
      <w:pPr>
        <w:pStyle w:val="8"/>
        <w:snapToGrid w:val="0"/>
        <w:spacing w:before="50" w:after="50"/>
        <w:ind w:firstLine="1280" w:firstLineChars="400"/>
        <w:rPr>
          <w:rFonts w:hint="eastAsia" w:ascii="仿宋" w:hAnsi="仿宋" w:eastAsia="仿宋" w:cs="仿宋"/>
          <w:bCs/>
          <w:color w:val="auto"/>
          <w:sz w:val="32"/>
          <w:szCs w:val="32"/>
          <w:highlight w:val="none"/>
        </w:rPr>
      </w:pPr>
    </w:p>
    <w:p w14:paraId="6A260E12">
      <w:pPr>
        <w:snapToGrid w:val="0"/>
        <w:spacing w:before="120" w:beforeLines="50" w:after="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0DE42FB2">
      <w:pPr>
        <w:snapToGrid w:val="0"/>
        <w:spacing w:before="120" w:beforeLines="50" w:after="50"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sz w:val="28"/>
          <w:szCs w:val="28"/>
          <w:highlight w:val="none"/>
        </w:rPr>
        <w:t xml:space="preserve"> </w:t>
      </w:r>
      <w:r>
        <w:rPr>
          <w:rFonts w:hint="eastAsia" w:ascii="仿宋" w:hAnsi="仿宋" w:eastAsia="仿宋" w:cs="仿宋"/>
          <w:b/>
          <w:color w:val="auto"/>
          <w:kern w:val="0"/>
          <w:sz w:val="32"/>
          <w:szCs w:val="32"/>
          <w:highlight w:val="none"/>
        </w:rPr>
        <w:t>资格证明文件目录</w:t>
      </w:r>
    </w:p>
    <w:p w14:paraId="445AC2D2">
      <w:pPr>
        <w:snapToGrid w:val="0"/>
        <w:spacing w:line="360" w:lineRule="auto"/>
        <w:rPr>
          <w:rFonts w:hint="eastAsia" w:ascii="仿宋" w:hAnsi="仿宋" w:eastAsia="仿宋" w:cs="仿宋"/>
          <w:color w:val="auto"/>
          <w:kern w:val="0"/>
          <w:sz w:val="24"/>
          <w:highlight w:val="none"/>
        </w:rPr>
      </w:pPr>
    </w:p>
    <w:p w14:paraId="363DE1C1">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lef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根据竞争性</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文件规定及供应商提供的材料自行编写目录（部分格式后附）。</w:t>
      </w:r>
    </w:p>
    <w:p w14:paraId="78319FC0">
      <w:pPr>
        <w:spacing w:line="360" w:lineRule="auto"/>
        <w:rPr>
          <w:rFonts w:hint="eastAsia" w:ascii="仿宋" w:hAnsi="仿宋" w:eastAsia="仿宋" w:cs="仿宋"/>
          <w:b/>
          <w:bCs/>
          <w:color w:val="auto"/>
          <w:sz w:val="24"/>
          <w:highlight w:val="none"/>
        </w:rPr>
      </w:pPr>
    </w:p>
    <w:p w14:paraId="408424D8">
      <w:pPr>
        <w:snapToGrid w:val="0"/>
        <w:spacing w:before="120" w:beforeLines="50" w:after="50"/>
        <w:rPr>
          <w:rFonts w:hint="eastAsia" w:ascii="仿宋" w:hAnsi="仿宋" w:eastAsia="仿宋" w:cs="仿宋"/>
          <w:color w:val="auto"/>
          <w:sz w:val="24"/>
          <w:szCs w:val="20"/>
          <w:highlight w:val="none"/>
        </w:rPr>
        <w:sectPr>
          <w:pgSz w:w="11911" w:h="16838"/>
          <w:pgMar w:top="1338" w:right="1502" w:bottom="850" w:left="1678" w:header="1077" w:footer="720" w:gutter="0"/>
          <w:pgNumType w:fmt="decimal"/>
          <w:cols w:space="720" w:num="1"/>
          <w:rtlGutter w:val="0"/>
          <w:docGrid w:linePitch="0" w:charSpace="0"/>
        </w:sectPr>
      </w:pPr>
    </w:p>
    <w:p w14:paraId="1661DA26">
      <w:pPr>
        <w:spacing w:line="360" w:lineRule="auto"/>
        <w:rPr>
          <w:rFonts w:hint="eastAsia" w:ascii="仿宋" w:hAnsi="仿宋" w:eastAsia="仿宋" w:cs="仿宋"/>
          <w:b/>
          <w:color w:val="auto"/>
          <w:kern w:val="0"/>
          <w:sz w:val="30"/>
          <w:szCs w:val="30"/>
          <w:highlight w:val="none"/>
          <w:lang w:eastAsia="zh-CN"/>
        </w:rPr>
      </w:pPr>
      <w:r>
        <w:rPr>
          <w:rFonts w:hint="eastAsia" w:ascii="仿宋" w:hAnsi="仿宋" w:eastAsia="仿宋" w:cs="仿宋"/>
          <w:b/>
          <w:color w:val="auto"/>
          <w:kern w:val="0"/>
          <w:sz w:val="30"/>
          <w:szCs w:val="30"/>
          <w:highlight w:val="none"/>
        </w:rPr>
        <w:t>一、投标人营业执照。投标人为独立法人或者属于银行、保险、石油石化、电力、电信等有行业特殊情况的分公司或者其他组织的，提供营业执照等证明文件（如营业执照或者事业单位法人证书或者执业许可证等，分公司参加投标的还须提供总公司的有关文件或制度等能证明总公司授权其独立开展业务或提供总公司出具的授权其参与本项目投标的授权文件），投标人为自然人的，提供身份证复印件</w:t>
      </w:r>
      <w:r>
        <w:rPr>
          <w:rFonts w:hint="eastAsia" w:ascii="仿宋" w:hAnsi="仿宋" w:eastAsia="仿宋" w:cs="仿宋"/>
          <w:b/>
          <w:color w:val="auto"/>
          <w:kern w:val="0"/>
          <w:sz w:val="30"/>
          <w:szCs w:val="30"/>
          <w:highlight w:val="none"/>
          <w:lang w:eastAsia="zh-CN"/>
        </w:rPr>
        <w:t>。</w:t>
      </w:r>
    </w:p>
    <w:p w14:paraId="43CDA3F4">
      <w:pPr>
        <w:spacing w:line="360" w:lineRule="auto"/>
        <w:ind w:firstLine="602" w:firstLineChars="200"/>
        <w:rPr>
          <w:rFonts w:hint="eastAsia" w:ascii="仿宋" w:hAnsi="仿宋" w:eastAsia="仿宋" w:cs="仿宋"/>
          <w:b/>
          <w:color w:val="auto"/>
          <w:kern w:val="0"/>
          <w:sz w:val="30"/>
          <w:szCs w:val="30"/>
          <w:highlight w:val="none"/>
        </w:rPr>
      </w:pPr>
    </w:p>
    <w:p w14:paraId="7878309C">
      <w:pPr>
        <w:autoSpaceDE w:val="0"/>
        <w:autoSpaceDN w:val="0"/>
        <w:spacing w:line="360" w:lineRule="auto"/>
        <w:ind w:left="4365" w:leftChars="1850" w:hanging="480" w:hanging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7AF4C6A1">
      <w:pPr>
        <w:autoSpaceDE w:val="0"/>
        <w:autoSpaceDN w:val="0"/>
        <w:spacing w:line="360" w:lineRule="auto"/>
        <w:ind w:firstLine="6120" w:firstLineChars="2550"/>
        <w:rPr>
          <w:rFonts w:hint="eastAsia" w:ascii="仿宋" w:hAnsi="仿宋" w:eastAsia="仿宋" w:cs="仿宋"/>
          <w:color w:val="auto"/>
          <w:sz w:val="24"/>
          <w:szCs w:val="20"/>
          <w:highlight w:val="none"/>
        </w:rPr>
      </w:pPr>
      <w:r>
        <w:rPr>
          <w:rFonts w:hint="eastAsia" w:ascii="仿宋" w:hAnsi="仿宋" w:eastAsia="仿宋" w:cs="仿宋"/>
          <w:color w:val="auto"/>
          <w:kern w:val="0"/>
          <w:sz w:val="24"/>
          <w:highlight w:val="none"/>
          <w:lang w:val="zh-CN"/>
        </w:rPr>
        <w:t>日期：  年  月   日</w:t>
      </w:r>
    </w:p>
    <w:p w14:paraId="3AC4B9D9">
      <w:pPr>
        <w:spacing w:line="360" w:lineRule="auto"/>
        <w:ind w:firstLine="602" w:firstLineChars="200"/>
        <w:rPr>
          <w:rFonts w:hint="eastAsia" w:ascii="仿宋" w:hAnsi="仿宋" w:eastAsia="仿宋" w:cs="仿宋"/>
          <w:b/>
          <w:color w:val="auto"/>
          <w:kern w:val="0"/>
          <w:sz w:val="30"/>
          <w:szCs w:val="30"/>
          <w:highlight w:val="none"/>
        </w:rPr>
      </w:pPr>
    </w:p>
    <w:p w14:paraId="5EE42339">
      <w:pPr>
        <w:spacing w:line="360" w:lineRule="auto"/>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二、供应商依法缴纳税收的相关材料</w:t>
      </w:r>
    </w:p>
    <w:p w14:paraId="1DE221CB">
      <w:pPr>
        <w:spacing w:line="360" w:lineRule="auto"/>
        <w:ind w:firstLine="602" w:firstLineChars="200"/>
        <w:rPr>
          <w:rFonts w:hint="eastAsia" w:ascii="仿宋" w:hAnsi="仿宋" w:eastAsia="仿宋" w:cs="仿宋"/>
          <w:b/>
          <w:color w:val="auto"/>
          <w:kern w:val="0"/>
          <w:sz w:val="30"/>
          <w:szCs w:val="30"/>
          <w:highlight w:val="none"/>
        </w:rPr>
      </w:pPr>
    </w:p>
    <w:p w14:paraId="0D7DC99E">
      <w:pPr>
        <w:autoSpaceDE w:val="0"/>
        <w:autoSpaceDN w:val="0"/>
        <w:spacing w:line="360" w:lineRule="auto"/>
        <w:ind w:left="4365" w:leftChars="1850" w:hanging="480" w:hanging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0F6C9D8B">
      <w:pPr>
        <w:autoSpaceDE w:val="0"/>
        <w:autoSpaceDN w:val="0"/>
        <w:spacing w:line="360" w:lineRule="auto"/>
        <w:ind w:firstLine="6120" w:firstLineChars="255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7B195811">
      <w:pPr>
        <w:snapToGrid w:val="0"/>
        <w:spacing w:before="120" w:beforeLines="50" w:after="50"/>
        <w:rPr>
          <w:rFonts w:hint="eastAsia" w:ascii="仿宋" w:hAnsi="仿宋" w:eastAsia="仿宋" w:cs="仿宋"/>
          <w:color w:val="auto"/>
          <w:sz w:val="24"/>
          <w:szCs w:val="20"/>
          <w:highlight w:val="none"/>
        </w:rPr>
      </w:pPr>
    </w:p>
    <w:p w14:paraId="6780FBEF">
      <w:pPr>
        <w:spacing w:line="360" w:lineRule="auto"/>
        <w:ind w:firstLine="602" w:firstLineChars="200"/>
        <w:rPr>
          <w:rFonts w:hint="eastAsia" w:ascii="仿宋" w:hAnsi="仿宋" w:eastAsia="仿宋" w:cs="仿宋"/>
          <w:b/>
          <w:color w:val="auto"/>
          <w:kern w:val="0"/>
          <w:sz w:val="30"/>
          <w:szCs w:val="30"/>
          <w:highlight w:val="none"/>
        </w:rPr>
      </w:pPr>
    </w:p>
    <w:p w14:paraId="40BE938B">
      <w:pPr>
        <w:spacing w:line="300" w:lineRule="auto"/>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三、供应商依法缴纳社会保障资金的相关材料</w:t>
      </w:r>
    </w:p>
    <w:p w14:paraId="22B35C5E">
      <w:pPr>
        <w:spacing w:line="360" w:lineRule="auto"/>
        <w:ind w:firstLine="602" w:firstLineChars="200"/>
        <w:rPr>
          <w:rFonts w:hint="eastAsia" w:ascii="仿宋" w:hAnsi="仿宋" w:eastAsia="仿宋" w:cs="仿宋"/>
          <w:b/>
          <w:color w:val="auto"/>
          <w:kern w:val="0"/>
          <w:sz w:val="30"/>
          <w:szCs w:val="30"/>
          <w:highlight w:val="none"/>
        </w:rPr>
      </w:pPr>
    </w:p>
    <w:p w14:paraId="6ADF5A2C">
      <w:pPr>
        <w:autoSpaceDE w:val="0"/>
        <w:autoSpaceDN w:val="0"/>
        <w:spacing w:line="360" w:lineRule="auto"/>
        <w:ind w:left="4365" w:leftChars="1850" w:hanging="480" w:hanging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25B9F134">
      <w:pPr>
        <w:autoSpaceDE w:val="0"/>
        <w:autoSpaceDN w:val="0"/>
        <w:spacing w:line="360" w:lineRule="auto"/>
        <w:ind w:firstLine="6120" w:firstLineChars="2550"/>
        <w:rPr>
          <w:rFonts w:hint="eastAsia" w:ascii="仿宋" w:hAnsi="仿宋" w:eastAsia="仿宋" w:cs="仿宋"/>
          <w:color w:val="auto"/>
          <w:sz w:val="24"/>
          <w:szCs w:val="20"/>
          <w:highlight w:val="none"/>
        </w:rPr>
      </w:pPr>
      <w:r>
        <w:rPr>
          <w:rFonts w:hint="eastAsia" w:ascii="仿宋" w:hAnsi="仿宋" w:eastAsia="仿宋" w:cs="仿宋"/>
          <w:color w:val="auto"/>
          <w:kern w:val="0"/>
          <w:sz w:val="24"/>
          <w:highlight w:val="none"/>
          <w:lang w:val="zh-CN"/>
        </w:rPr>
        <w:t>日期：  年  月   日</w:t>
      </w:r>
    </w:p>
    <w:p w14:paraId="23D83166">
      <w:pPr>
        <w:spacing w:line="360" w:lineRule="auto"/>
        <w:ind w:firstLine="602" w:firstLineChars="200"/>
        <w:rPr>
          <w:rFonts w:hint="eastAsia" w:ascii="仿宋" w:hAnsi="仿宋" w:eastAsia="仿宋" w:cs="仿宋"/>
          <w:b/>
          <w:color w:val="auto"/>
          <w:kern w:val="0"/>
          <w:sz w:val="30"/>
          <w:szCs w:val="30"/>
          <w:highlight w:val="none"/>
        </w:rPr>
      </w:pPr>
    </w:p>
    <w:p w14:paraId="2DE34836">
      <w:pPr>
        <w:spacing w:line="300" w:lineRule="auto"/>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lang w:val="en-US" w:eastAsia="zh-CN"/>
        </w:rPr>
        <w:t>四、</w:t>
      </w:r>
      <w:r>
        <w:rPr>
          <w:rFonts w:hint="eastAsia" w:ascii="仿宋" w:hAnsi="仿宋" w:eastAsia="仿宋" w:cs="仿宋"/>
          <w:b/>
          <w:color w:val="auto"/>
          <w:kern w:val="0"/>
          <w:sz w:val="30"/>
          <w:szCs w:val="30"/>
          <w:highlight w:val="none"/>
        </w:rPr>
        <w:t>供应商财务状况报告</w:t>
      </w:r>
    </w:p>
    <w:p w14:paraId="17A42419">
      <w:pPr>
        <w:autoSpaceDE w:val="0"/>
        <w:autoSpaceDN w:val="0"/>
        <w:spacing w:line="360" w:lineRule="auto"/>
        <w:ind w:left="4365" w:leftChars="1850" w:hanging="480" w:hanging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7AFBAF81">
      <w:pPr>
        <w:autoSpaceDE w:val="0"/>
        <w:autoSpaceDN w:val="0"/>
        <w:spacing w:line="360" w:lineRule="auto"/>
        <w:ind w:firstLine="6120" w:firstLineChars="255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0B720416">
      <w:pPr>
        <w:spacing w:line="32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07BC3768">
      <w:pPr>
        <w:snapToGrid w:val="0"/>
        <w:spacing w:before="120" w:beforeLines="50" w:after="50" w:line="360" w:lineRule="auto"/>
        <w:jc w:val="center"/>
        <w:rPr>
          <w:rFonts w:hint="eastAsia" w:ascii="仿宋" w:hAnsi="仿宋" w:eastAsia="仿宋" w:cs="仿宋"/>
          <w:b/>
          <w:color w:val="auto"/>
          <w:sz w:val="24"/>
          <w:highlight w:val="none"/>
        </w:rPr>
      </w:pPr>
    </w:p>
    <w:p w14:paraId="2D61ABED">
      <w:pPr>
        <w:spacing w:line="300" w:lineRule="auto"/>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lang w:val="en-US" w:eastAsia="zh-CN"/>
        </w:rPr>
        <w:br w:type="page"/>
      </w:r>
      <w:r>
        <w:rPr>
          <w:rFonts w:hint="eastAsia" w:ascii="仿宋" w:hAnsi="仿宋" w:eastAsia="仿宋" w:cs="仿宋"/>
          <w:b/>
          <w:color w:val="auto"/>
          <w:kern w:val="0"/>
          <w:sz w:val="30"/>
          <w:szCs w:val="30"/>
          <w:highlight w:val="none"/>
          <w:lang w:val="en-US" w:eastAsia="zh-CN"/>
        </w:rPr>
        <w:t>五、</w:t>
      </w:r>
      <w:r>
        <w:rPr>
          <w:rFonts w:hint="eastAsia" w:ascii="仿宋" w:hAnsi="仿宋" w:eastAsia="仿宋" w:cs="仿宋"/>
          <w:b/>
          <w:color w:val="auto"/>
          <w:kern w:val="0"/>
          <w:sz w:val="30"/>
          <w:szCs w:val="30"/>
          <w:highlight w:val="none"/>
        </w:rPr>
        <w:t>供应商直接控股、管理关系信息表</w:t>
      </w:r>
    </w:p>
    <w:p w14:paraId="2E072E27">
      <w:pPr>
        <w:numPr>
          <w:ilvl w:val="0"/>
          <w:numId w:val="0"/>
        </w:numPr>
        <w:spacing w:line="360" w:lineRule="auto"/>
        <w:contextualSpacing/>
        <w:jc w:val="center"/>
        <w:rPr>
          <w:rFonts w:hint="eastAsia" w:ascii="仿宋" w:hAnsi="仿宋" w:eastAsia="仿宋" w:cs="仿宋"/>
          <w:b/>
          <w:color w:val="auto"/>
          <w:kern w:val="0"/>
          <w:sz w:val="30"/>
          <w:szCs w:val="30"/>
          <w:highlight w:val="none"/>
        </w:rPr>
      </w:pPr>
    </w:p>
    <w:p w14:paraId="11AF5E9F">
      <w:pPr>
        <w:numPr>
          <w:ilvl w:val="0"/>
          <w:numId w:val="0"/>
        </w:numPr>
        <w:spacing w:line="360" w:lineRule="auto"/>
        <w:contextualSpacing/>
        <w:jc w:val="center"/>
        <w:rPr>
          <w:rFonts w:hint="eastAsia" w:ascii="仿宋" w:hAnsi="仿宋" w:eastAsia="仿宋" w:cs="仿宋"/>
          <w:b/>
          <w:color w:val="auto"/>
          <w:sz w:val="24"/>
          <w:highlight w:val="none"/>
        </w:rPr>
      </w:pPr>
      <w:r>
        <w:rPr>
          <w:rFonts w:hint="eastAsia" w:ascii="仿宋" w:hAnsi="仿宋" w:eastAsia="仿宋" w:cs="仿宋"/>
          <w:b/>
          <w:color w:val="auto"/>
          <w:kern w:val="0"/>
          <w:sz w:val="30"/>
          <w:szCs w:val="30"/>
          <w:highlight w:val="none"/>
        </w:rPr>
        <w:t>供应商直接控股股东信息</w:t>
      </w:r>
    </w:p>
    <w:tbl>
      <w:tblPr>
        <w:tblStyle w:val="31"/>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3104B245">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7BD94D">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2D8E00F">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44E2BCC">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2BCB3F">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B2C872E">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14:paraId="7EC11B47">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831FF4A">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502B468">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DED9A1D">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C1C81AD">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9F94232">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rPr>
                <w:rFonts w:hint="eastAsia" w:ascii="仿宋" w:hAnsi="仿宋" w:eastAsia="仿宋" w:cs="仿宋"/>
                <w:color w:val="auto"/>
                <w:kern w:val="0"/>
                <w:sz w:val="24"/>
                <w:highlight w:val="none"/>
              </w:rPr>
            </w:pPr>
          </w:p>
        </w:tc>
      </w:tr>
      <w:tr w14:paraId="5C57A925">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BD5D14B">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B07154">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DF62CB9">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A0CD129">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A3CDC82">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rPr>
                <w:rFonts w:hint="eastAsia" w:ascii="仿宋" w:hAnsi="仿宋" w:eastAsia="仿宋" w:cs="仿宋"/>
                <w:color w:val="auto"/>
                <w:kern w:val="0"/>
                <w:sz w:val="24"/>
                <w:highlight w:val="none"/>
              </w:rPr>
            </w:pPr>
          </w:p>
        </w:tc>
      </w:tr>
      <w:tr w14:paraId="62D7255F">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A294E35">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F45605">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0C4609">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6BFC48">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D7D4219">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rPr>
                <w:rFonts w:hint="eastAsia" w:ascii="仿宋" w:hAnsi="仿宋" w:eastAsia="仿宋" w:cs="仿宋"/>
                <w:color w:val="auto"/>
                <w:kern w:val="0"/>
                <w:sz w:val="24"/>
                <w:highlight w:val="none"/>
              </w:rPr>
            </w:pPr>
          </w:p>
        </w:tc>
      </w:tr>
      <w:tr w14:paraId="2DD75E37">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100FE11">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CDAC48">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0347CBF">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1F440CB">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D6B8A0D">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rPr>
                <w:rFonts w:hint="eastAsia" w:ascii="仿宋" w:hAnsi="仿宋" w:eastAsia="仿宋" w:cs="仿宋"/>
                <w:color w:val="auto"/>
                <w:kern w:val="0"/>
                <w:sz w:val="24"/>
                <w:highlight w:val="none"/>
              </w:rPr>
            </w:pPr>
          </w:p>
        </w:tc>
      </w:tr>
    </w:tbl>
    <w:p w14:paraId="1F721CC0">
      <w:pPr>
        <w:keepNext w:val="0"/>
        <w:keepLines w:val="0"/>
        <w:pageBreakBefore w:val="0"/>
        <w:widowControl w:val="0"/>
        <w:kinsoku/>
        <w:wordWrap/>
        <w:overflowPunct/>
        <w:topLinePunct w:val="0"/>
        <w:autoSpaceDE/>
        <w:autoSpaceDN/>
        <w:bidi w:val="0"/>
        <w:adjustRightInd/>
        <w:snapToGrid/>
        <w:spacing w:before="0" w:beforeLines="50" w:line="360" w:lineRule="auto"/>
        <w:contextualSpacing/>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w:t>
      </w:r>
    </w:p>
    <w:p w14:paraId="05251F16">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C171B1A">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2.本表所指的控股关系仅限于直接控股关系，不包括间接的控股关系。公司实际控制人与公司之间的关系不属于本表所指的直接控股关系。</w:t>
      </w:r>
    </w:p>
    <w:p w14:paraId="6F8E668C">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3.供应商不存在直接控股股东的，则填“无”。</w:t>
      </w:r>
    </w:p>
    <w:p w14:paraId="7C08CD78">
      <w:pPr>
        <w:snapToGrid w:val="0"/>
        <w:spacing w:line="360" w:lineRule="auto"/>
        <w:jc w:val="left"/>
        <w:rPr>
          <w:rFonts w:hint="eastAsia" w:ascii="仿宋" w:hAnsi="仿宋" w:eastAsia="仿宋" w:cs="仿宋"/>
          <w:color w:val="auto"/>
          <w:sz w:val="24"/>
          <w:highlight w:val="none"/>
        </w:rPr>
      </w:pPr>
    </w:p>
    <w:p w14:paraId="1FC6DD67">
      <w:pPr>
        <w:snapToGrid w:val="0"/>
        <w:spacing w:line="360" w:lineRule="auto"/>
        <w:jc w:val="left"/>
        <w:rPr>
          <w:rFonts w:hint="eastAsia" w:ascii="仿宋" w:hAnsi="仿宋" w:eastAsia="仿宋" w:cs="仿宋"/>
          <w:color w:val="auto"/>
          <w:sz w:val="24"/>
          <w:highlight w:val="none"/>
        </w:rPr>
      </w:pPr>
    </w:p>
    <w:p w14:paraId="2B9DC977">
      <w:pPr>
        <w:snapToGrid w:val="0"/>
        <w:spacing w:line="360" w:lineRule="auto"/>
        <w:jc w:val="left"/>
        <w:rPr>
          <w:rFonts w:hint="eastAsia" w:ascii="仿宋" w:hAnsi="仿宋" w:eastAsia="仿宋" w:cs="仿宋"/>
          <w:color w:val="auto"/>
          <w:sz w:val="24"/>
          <w:highlight w:val="none"/>
        </w:rPr>
      </w:pPr>
    </w:p>
    <w:p w14:paraId="5A6D3F43">
      <w:pPr>
        <w:autoSpaceDE w:val="0"/>
        <w:autoSpaceDN w:val="0"/>
        <w:spacing w:line="360" w:lineRule="auto"/>
        <w:ind w:left="4365" w:leftChars="1850" w:hanging="480" w:hanging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16EF7DF9">
      <w:pPr>
        <w:autoSpaceDE w:val="0"/>
        <w:autoSpaceDN w:val="0"/>
        <w:spacing w:line="360" w:lineRule="auto"/>
        <w:ind w:firstLine="6120" w:firstLineChars="255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46892E97">
      <w:pPr>
        <w:snapToGrid w:val="0"/>
        <w:jc w:val="center"/>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br w:type="page"/>
      </w:r>
      <w:r>
        <w:rPr>
          <w:rFonts w:hint="eastAsia" w:ascii="仿宋" w:hAnsi="仿宋" w:eastAsia="仿宋" w:cs="仿宋"/>
          <w:b/>
          <w:color w:val="auto"/>
          <w:kern w:val="0"/>
          <w:sz w:val="30"/>
          <w:szCs w:val="30"/>
          <w:highlight w:val="none"/>
        </w:rPr>
        <w:t>供应商直接管理关系信息表</w:t>
      </w:r>
    </w:p>
    <w:p w14:paraId="7E1FB342">
      <w:pPr>
        <w:snapToGrid w:val="0"/>
        <w:spacing w:line="360" w:lineRule="auto"/>
        <w:jc w:val="center"/>
        <w:rPr>
          <w:rFonts w:hint="eastAsia" w:ascii="仿宋" w:hAnsi="仿宋" w:eastAsia="仿宋" w:cs="仿宋"/>
          <w:b/>
          <w:color w:val="auto"/>
          <w:sz w:val="24"/>
          <w:highlight w:val="none"/>
        </w:rPr>
      </w:pPr>
    </w:p>
    <w:tbl>
      <w:tblPr>
        <w:tblStyle w:val="31"/>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020852ED">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ACF6F9">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11086D5">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932C1F7">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97065E5">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14:paraId="7296C40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D3E56B3">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5276DE7">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B655E43">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AAF0569">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rPr>
                <w:rFonts w:hint="eastAsia" w:ascii="仿宋" w:hAnsi="仿宋" w:eastAsia="仿宋" w:cs="仿宋"/>
                <w:color w:val="auto"/>
                <w:kern w:val="0"/>
                <w:sz w:val="24"/>
                <w:highlight w:val="none"/>
              </w:rPr>
            </w:pPr>
          </w:p>
        </w:tc>
      </w:tr>
      <w:tr w14:paraId="31B7CCC2">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DDC2A37">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DD5BDDD">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08A35F3">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8478112">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rPr>
                <w:rFonts w:hint="eastAsia" w:ascii="仿宋" w:hAnsi="仿宋" w:eastAsia="仿宋" w:cs="仿宋"/>
                <w:color w:val="auto"/>
                <w:kern w:val="0"/>
                <w:sz w:val="24"/>
                <w:highlight w:val="none"/>
              </w:rPr>
            </w:pPr>
          </w:p>
        </w:tc>
      </w:tr>
      <w:tr w14:paraId="71E6885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B27AF8">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E176B1A">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0C65AFD">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C0BCDA3">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rPr>
                <w:rFonts w:hint="eastAsia" w:ascii="仿宋" w:hAnsi="仿宋" w:eastAsia="仿宋" w:cs="仿宋"/>
                <w:color w:val="auto"/>
                <w:kern w:val="0"/>
                <w:sz w:val="24"/>
                <w:highlight w:val="none"/>
              </w:rPr>
            </w:pPr>
          </w:p>
        </w:tc>
      </w:tr>
      <w:tr w14:paraId="21B1C7D0">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6A97F7">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CB264D">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AD8A3DB">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A1E4733">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rPr>
                <w:rFonts w:hint="eastAsia" w:ascii="仿宋" w:hAnsi="仿宋" w:eastAsia="仿宋" w:cs="仿宋"/>
                <w:color w:val="auto"/>
                <w:kern w:val="0"/>
                <w:sz w:val="24"/>
                <w:highlight w:val="none"/>
              </w:rPr>
            </w:pPr>
          </w:p>
        </w:tc>
      </w:tr>
    </w:tbl>
    <w:p w14:paraId="0F949006">
      <w:pPr>
        <w:keepNext w:val="0"/>
        <w:keepLines w:val="0"/>
        <w:pageBreakBefore w:val="0"/>
        <w:widowControl w:val="0"/>
        <w:kinsoku/>
        <w:wordWrap/>
        <w:overflowPunct/>
        <w:topLinePunct w:val="0"/>
        <w:autoSpaceDE/>
        <w:autoSpaceDN/>
        <w:bidi w:val="0"/>
        <w:adjustRightInd/>
        <w:snapToGrid/>
        <w:spacing w:before="0" w:beforeLines="50" w:line="360" w:lineRule="auto"/>
        <w:ind w:firstLine="480" w:firstLineChars="200"/>
        <w:contextualSpacing/>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w:t>
      </w:r>
    </w:p>
    <w:p w14:paraId="4DEEF5CB">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1.管理关系：是指不具有出资持股关系的其他单位之间存在的管理与被管理关系，如一些上下级关系的事业单位和团体组织。</w:t>
      </w:r>
    </w:p>
    <w:p w14:paraId="43016EDC">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2.本表所指的管理关系仅限于直接管理关系，不包括间接的管理关系。</w:t>
      </w:r>
    </w:p>
    <w:p w14:paraId="5973440D">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3.供应商不存在直接管理关系的，则填“无”。</w:t>
      </w:r>
    </w:p>
    <w:p w14:paraId="4AF09C73">
      <w:pPr>
        <w:spacing w:line="360" w:lineRule="auto"/>
        <w:contextualSpacing/>
        <w:jc w:val="left"/>
        <w:rPr>
          <w:rFonts w:hint="eastAsia" w:ascii="仿宋" w:hAnsi="仿宋" w:eastAsia="仿宋" w:cs="仿宋"/>
          <w:color w:val="auto"/>
          <w:sz w:val="24"/>
          <w:highlight w:val="none"/>
        </w:rPr>
      </w:pPr>
    </w:p>
    <w:p w14:paraId="018D4DA1">
      <w:pPr>
        <w:autoSpaceDE w:val="0"/>
        <w:autoSpaceDN w:val="0"/>
        <w:spacing w:line="360" w:lineRule="auto"/>
        <w:ind w:left="4365" w:leftChars="1850" w:hanging="480" w:hanging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2AD9A609">
      <w:pPr>
        <w:autoSpaceDE w:val="0"/>
        <w:autoSpaceDN w:val="0"/>
        <w:spacing w:line="360" w:lineRule="auto"/>
        <w:ind w:firstLine="6120" w:firstLineChars="255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12DA2C3E">
      <w:pPr>
        <w:spacing w:line="360" w:lineRule="auto"/>
        <w:ind w:right="480" w:firstLine="240" w:firstLineChars="100"/>
        <w:contextualSpacing/>
        <w:jc w:val="center"/>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 xml:space="preserve">                                  </w:t>
      </w:r>
    </w:p>
    <w:p w14:paraId="2E406CAA">
      <w:pPr>
        <w:spacing w:line="32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r>
        <w:rPr>
          <w:rFonts w:hint="eastAsia" w:ascii="仿宋" w:hAnsi="仿宋" w:eastAsia="仿宋" w:cs="仿宋"/>
          <w:b/>
          <w:color w:val="auto"/>
          <w:kern w:val="0"/>
          <w:sz w:val="30"/>
          <w:szCs w:val="30"/>
          <w:highlight w:val="none"/>
        </w:rPr>
        <w:t>六、资格声明函</w:t>
      </w:r>
    </w:p>
    <w:p w14:paraId="40A70725">
      <w:pPr>
        <w:spacing w:line="320" w:lineRule="exact"/>
        <w:jc w:val="center"/>
        <w:rPr>
          <w:rFonts w:hint="eastAsia" w:ascii="仿宋" w:hAnsi="仿宋" w:eastAsia="仿宋" w:cs="仿宋"/>
          <w:b/>
          <w:color w:val="auto"/>
          <w:sz w:val="32"/>
          <w:szCs w:val="32"/>
          <w:highlight w:val="none"/>
        </w:rPr>
      </w:pPr>
    </w:p>
    <w:p w14:paraId="57E5CD1C">
      <w:pPr>
        <w:spacing w:line="32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资格声明函</w:t>
      </w:r>
    </w:p>
    <w:p w14:paraId="2336FA11">
      <w:pPr>
        <w:spacing w:line="320" w:lineRule="exact"/>
        <w:jc w:val="center"/>
        <w:rPr>
          <w:rFonts w:hint="eastAsia" w:ascii="仿宋" w:hAnsi="仿宋" w:eastAsia="仿宋" w:cs="仿宋"/>
          <w:color w:val="auto"/>
          <w:sz w:val="24"/>
          <w:szCs w:val="20"/>
          <w:highlight w:val="none"/>
        </w:rPr>
      </w:pPr>
    </w:p>
    <w:p w14:paraId="64284CB5">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（采购代理机构名称）</w:t>
      </w:r>
      <w:r>
        <w:rPr>
          <w:rFonts w:hint="eastAsia" w:ascii="仿宋" w:hAnsi="仿宋" w:eastAsia="仿宋" w:cs="仿宋"/>
          <w:color w:val="auto"/>
          <w:sz w:val="24"/>
          <w:highlight w:val="none"/>
        </w:rPr>
        <w:t>：</w:t>
      </w:r>
    </w:p>
    <w:p w14:paraId="6AC9822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（供应商名称）</w:t>
      </w:r>
      <w:r>
        <w:rPr>
          <w:rFonts w:hint="eastAsia" w:ascii="仿宋" w:hAnsi="仿宋" w:eastAsia="仿宋" w:cs="仿宋"/>
          <w:color w:val="auto"/>
          <w:sz w:val="24"/>
          <w:highlight w:val="none"/>
        </w:rPr>
        <w:t>系中华人民共和国合法供应商，经营地址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1B689BF">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我方愿意参加贵方组织的</w:t>
      </w:r>
      <w:r>
        <w:rPr>
          <w:rFonts w:hint="eastAsia" w:ascii="仿宋" w:hAnsi="仿宋" w:eastAsia="仿宋" w:cs="仿宋"/>
          <w:color w:val="auto"/>
          <w:sz w:val="24"/>
          <w:highlight w:val="none"/>
          <w:u w:val="single"/>
        </w:rPr>
        <w:t xml:space="preserve">           （项目名称）</w:t>
      </w:r>
      <w:r>
        <w:rPr>
          <w:rFonts w:hint="eastAsia" w:ascii="仿宋" w:hAnsi="仿宋" w:eastAsia="仿宋" w:cs="仿宋"/>
          <w:color w:val="auto"/>
          <w:sz w:val="24"/>
          <w:highlight w:val="none"/>
        </w:rPr>
        <w:t>项目的竞标，为便于贵方公正、择优地确定成交供应商及其竞标产品和货物，我方就本次竞标有关事项郑重声明如下：</w:t>
      </w:r>
    </w:p>
    <w:p w14:paraId="0A866716">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1.我方向贵方提交的所有响应文件、资料都是准确的和真实的。</w:t>
      </w:r>
    </w:p>
    <w:p w14:paraId="42B627D6">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6C4EAC1A">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3.在此，我方宣布同意如下：</w:t>
      </w:r>
    </w:p>
    <w:p w14:paraId="2E848BF0">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（1）将按谈判文件的约定履行合同责任和义务；</w:t>
      </w:r>
    </w:p>
    <w:p w14:paraId="6201FFC3">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（2）已详细审查全部谈判文件，包括澄清或者更正公告（如有）；</w:t>
      </w:r>
    </w:p>
    <w:p w14:paraId="5336FBBD">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（3）同意提供按照贵方可能要求的与谈判有关的一切数据或者资料；</w:t>
      </w:r>
    </w:p>
    <w:p w14:paraId="082138FB">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（4）响应谈判文件规定的竞标有效期。</w:t>
      </w:r>
    </w:p>
    <w:p w14:paraId="7257DE37">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4.我方承诺符合《中华人民共和国政府采购法》第二十二条规定：</w:t>
      </w:r>
    </w:p>
    <w:p w14:paraId="3D454D9E">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590B0D70">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（2）具有良好的商业信誉和健全的财务会计制度；</w:t>
      </w:r>
    </w:p>
    <w:p w14:paraId="632754E3">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594D21EE">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51A3538">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52F57BE0">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p>
    <w:p w14:paraId="40305F28">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仿宋" w:hAnsi="仿宋" w:eastAsia="仿宋" w:cs="仿宋"/>
          <w:color w:val="auto"/>
          <w:sz w:val="24"/>
          <w:highlight w:val="none"/>
          <w:lang w:eastAsia="zh-CN"/>
        </w:rPr>
        <w:t>重大税收违法失信主体</w:t>
      </w:r>
      <w:r>
        <w:rPr>
          <w:rFonts w:hint="eastAsia" w:ascii="仿宋" w:hAnsi="仿宋" w:eastAsia="仿宋" w:cs="仿宋"/>
          <w:color w:val="auto"/>
          <w:sz w:val="24"/>
          <w:highlight w:val="none"/>
        </w:rPr>
        <w:t>、政府采购严重违法失信行为记录名单，完全符合《中华人民共和国政府采购法》第二十二条规定的供应商资格条件，我方对此声明负全部法律责任。</w:t>
      </w:r>
    </w:p>
    <w:p w14:paraId="68C4EE00">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56A8A51">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□我方本次响应文件</w:t>
      </w:r>
      <w:r>
        <w:rPr>
          <w:rFonts w:hint="eastAsia" w:ascii="仿宋" w:hAnsi="仿宋" w:eastAsia="仿宋" w:cs="仿宋"/>
          <w:color w:val="auto"/>
          <w:kern w:val="0"/>
          <w:sz w:val="24"/>
          <w:highlight w:val="none"/>
        </w:rPr>
        <w:t>内容中</w:t>
      </w:r>
      <w:r>
        <w:rPr>
          <w:rFonts w:hint="eastAsia" w:ascii="仿宋" w:hAnsi="仿宋" w:eastAsia="仿宋" w:cs="仿宋"/>
          <w:color w:val="auto"/>
          <w:sz w:val="24"/>
          <w:highlight w:val="none"/>
        </w:rPr>
        <w:t>未</w:t>
      </w:r>
      <w:r>
        <w:rPr>
          <w:rFonts w:hint="eastAsia" w:ascii="仿宋" w:hAnsi="仿宋" w:eastAsia="仿宋" w:cs="仿宋"/>
          <w:color w:val="auto"/>
          <w:kern w:val="0"/>
          <w:sz w:val="24"/>
          <w:highlight w:val="none"/>
        </w:rPr>
        <w:t>涉及商业秘密；</w:t>
      </w:r>
    </w:p>
    <w:p w14:paraId="27D5F212">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□我方本次响应文件</w:t>
      </w:r>
      <w:r>
        <w:rPr>
          <w:rFonts w:hint="eastAsia" w:ascii="仿宋" w:hAnsi="仿宋" w:eastAsia="仿宋" w:cs="仿宋"/>
          <w:color w:val="auto"/>
          <w:kern w:val="0"/>
          <w:sz w:val="24"/>
          <w:highlight w:val="none"/>
        </w:rPr>
        <w:t>涉及商业秘密的内容有：</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584C1CA2">
      <w:pPr>
        <w:spacing w:line="360" w:lineRule="auto"/>
        <w:ind w:firstLine="480" w:firstLineChars="200"/>
        <w:contextualSpacing/>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7.与本谈判有关的一切正式往来信函请寄：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邮政编号：</w:t>
      </w:r>
      <w:r>
        <w:rPr>
          <w:rFonts w:hint="eastAsia" w:ascii="仿宋" w:hAnsi="仿宋" w:eastAsia="仿宋" w:cs="仿宋"/>
          <w:color w:val="auto"/>
          <w:kern w:val="0"/>
          <w:sz w:val="24"/>
          <w:highlight w:val="none"/>
          <w:u w:val="single"/>
        </w:rPr>
        <w:t xml:space="preserve">        </w:t>
      </w:r>
    </w:p>
    <w:p w14:paraId="3C898C15">
      <w:pPr>
        <w:spacing w:line="360" w:lineRule="auto"/>
        <w:ind w:firstLine="480" w:firstLineChars="20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电话/传真：</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电子函件：</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51028AAB">
      <w:pPr>
        <w:pStyle w:val="16"/>
        <w:tabs>
          <w:tab w:val="left" w:pos="939"/>
        </w:tabs>
        <w:spacing w:line="360" w:lineRule="auto"/>
        <w:ind w:left="141" w:leftChars="67"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帐号：</w:t>
      </w:r>
      <w:r>
        <w:rPr>
          <w:rFonts w:hint="eastAsia" w:ascii="仿宋" w:hAnsi="仿宋" w:eastAsia="仿宋" w:cs="仿宋"/>
          <w:color w:val="auto"/>
          <w:sz w:val="24"/>
          <w:highlight w:val="none"/>
          <w:u w:val="single"/>
        </w:rPr>
        <w:t xml:space="preserve">                               </w:t>
      </w:r>
    </w:p>
    <w:p w14:paraId="7E8AE375">
      <w:pPr>
        <w:pStyle w:val="16"/>
        <w:tabs>
          <w:tab w:val="left" w:pos="939"/>
        </w:tabs>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8.以上事项如有虚假或者隐瞒，我方愿意承担一切后果，并不再寻求任何旨在减轻或者免除法律责任的辩解。</w:t>
      </w:r>
    </w:p>
    <w:p w14:paraId="6C78BA22">
      <w:pPr>
        <w:pStyle w:val="16"/>
        <w:tabs>
          <w:tab w:val="left" w:pos="939"/>
        </w:tabs>
        <w:spacing w:line="360" w:lineRule="auto"/>
        <w:ind w:left="141" w:leftChars="67"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14:paraId="142DCD58">
      <w:pPr>
        <w:pStyle w:val="16"/>
        <w:tabs>
          <w:tab w:val="left" w:pos="939"/>
        </w:tabs>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注：如为联合体竞标，盖章处须加盖联合体各方公章并由联合体各方法定代表人签署，否则其响应文件按无效响应处理。</w:t>
      </w:r>
    </w:p>
    <w:p w14:paraId="362F9CAD">
      <w:pPr>
        <w:pStyle w:val="16"/>
        <w:tabs>
          <w:tab w:val="left" w:pos="939"/>
        </w:tabs>
        <w:spacing w:line="360" w:lineRule="auto"/>
        <w:ind w:left="0" w:leftChars="0" w:firstLine="480" w:firstLineChars="200"/>
        <w:rPr>
          <w:rFonts w:hint="eastAsia" w:ascii="仿宋" w:hAnsi="仿宋" w:eastAsia="仿宋" w:cs="仿宋"/>
          <w:color w:val="auto"/>
          <w:sz w:val="24"/>
          <w:highlight w:val="none"/>
        </w:rPr>
      </w:pPr>
    </w:p>
    <w:p w14:paraId="60E8390A">
      <w:pPr>
        <w:autoSpaceDE w:val="0"/>
        <w:autoSpaceDN w:val="0"/>
        <w:spacing w:line="360" w:lineRule="auto"/>
        <w:ind w:left="4365" w:leftChars="1850" w:hanging="480" w:hanging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4010F1E1">
      <w:pPr>
        <w:autoSpaceDE w:val="0"/>
        <w:autoSpaceDN w:val="0"/>
        <w:spacing w:line="360" w:lineRule="auto"/>
        <w:ind w:firstLine="6120" w:firstLineChars="2550"/>
        <w:rPr>
          <w:rFonts w:hint="eastAsia" w:ascii="仿宋" w:hAnsi="仿宋" w:eastAsia="仿宋" w:cs="仿宋"/>
          <w:color w:val="auto"/>
          <w:kern w:val="0"/>
          <w:sz w:val="24"/>
          <w:highlight w:val="none"/>
          <w:lang w:val="zh-CN"/>
        </w:rPr>
        <w:sectPr>
          <w:pgSz w:w="11911" w:h="16838"/>
          <w:pgMar w:top="1338" w:right="1502" w:bottom="850" w:left="1678" w:header="1077" w:footer="720" w:gutter="0"/>
          <w:pgNumType w:fmt="decimal"/>
          <w:cols w:space="720" w:num="1"/>
          <w:rtlGutter w:val="0"/>
          <w:docGrid w:linePitch="0" w:charSpace="0"/>
        </w:sectPr>
      </w:pPr>
      <w:r>
        <w:rPr>
          <w:rFonts w:hint="eastAsia" w:ascii="仿宋" w:hAnsi="仿宋" w:eastAsia="仿宋" w:cs="仿宋"/>
          <w:color w:val="auto"/>
          <w:kern w:val="0"/>
          <w:sz w:val="24"/>
          <w:highlight w:val="none"/>
          <w:lang w:val="zh-CN"/>
        </w:rPr>
        <w:t>日期：  年  月   日</w:t>
      </w:r>
    </w:p>
    <w:p w14:paraId="3FDB7C2F">
      <w:pPr>
        <w:pStyle w:val="8"/>
        <w:overflowPunct w:val="0"/>
        <w:spacing w:line="520" w:lineRule="exact"/>
        <w:ind w:firstLine="0"/>
        <w:rPr>
          <w:rFonts w:hint="eastAsia" w:ascii="仿宋" w:hAnsi="仿宋" w:eastAsia="仿宋" w:cs="仿宋"/>
          <w:b/>
          <w:bCs/>
          <w:color w:val="auto"/>
          <w:sz w:val="32"/>
          <w:szCs w:val="32"/>
          <w:highlight w:val="none"/>
        </w:rPr>
      </w:pPr>
      <w:r>
        <w:rPr>
          <w:rFonts w:hint="eastAsia" w:ascii="仿宋" w:hAnsi="仿宋" w:eastAsia="仿宋" w:cs="仿宋"/>
          <w:b/>
          <w:color w:val="auto"/>
          <w:kern w:val="0"/>
          <w:sz w:val="30"/>
          <w:szCs w:val="30"/>
          <w:highlight w:val="none"/>
        </w:rPr>
        <w:t>七、</w:t>
      </w:r>
      <w:r>
        <w:rPr>
          <w:rFonts w:hint="eastAsia" w:ascii="仿宋" w:hAnsi="仿宋" w:eastAsia="仿宋" w:cs="仿宋"/>
          <w:b/>
          <w:color w:val="auto"/>
          <w:sz w:val="32"/>
          <w:szCs w:val="32"/>
          <w:highlight w:val="none"/>
        </w:rPr>
        <w:t>中小企业声明函（按实际情况提供）</w:t>
      </w:r>
    </w:p>
    <w:p w14:paraId="2763AC01">
      <w:pPr>
        <w:spacing w:line="600" w:lineRule="exact"/>
        <w:jc w:val="center"/>
        <w:rPr>
          <w:rFonts w:hint="eastAsia" w:ascii="仿宋" w:hAnsi="仿宋" w:eastAsia="仿宋" w:cs="仿宋"/>
          <w:color w:val="auto"/>
          <w:sz w:val="44"/>
          <w:szCs w:val="44"/>
          <w:highlight w:val="none"/>
        </w:rPr>
      </w:pPr>
    </w:p>
    <w:p w14:paraId="217B7128">
      <w:pPr>
        <w:spacing w:line="32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6E293934">
      <w:pPr>
        <w:pStyle w:val="2"/>
        <w:spacing w:after="0" w:line="360" w:lineRule="auto"/>
        <w:ind w:left="-426" w:right="142" w:firstLine="640"/>
        <w:contextualSpacing/>
        <w:rPr>
          <w:rFonts w:hint="eastAsia" w:ascii="仿宋" w:hAnsi="仿宋" w:eastAsia="仿宋" w:cs="仿宋"/>
          <w:color w:val="auto"/>
          <w:sz w:val="24"/>
          <w:highlight w:val="none"/>
        </w:rPr>
      </w:pPr>
    </w:p>
    <w:p w14:paraId="29F0A15B">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本公司（联合体）郑重声明，根据《政府采购促进中小企业发展管理办法》（财库﹝2020﹞46号）的规定，本公司（联合体）参加</w:t>
      </w:r>
      <w:r>
        <w:rPr>
          <w:rFonts w:hint="eastAsia" w:ascii="仿宋" w:hAnsi="仿宋" w:eastAsia="仿宋" w:cs="仿宋"/>
          <w:color w:val="auto"/>
          <w:sz w:val="24"/>
          <w:highlight w:val="none"/>
          <w:u w:val="single"/>
        </w:rPr>
        <w:t>（单位名称）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采购活动，提供的货物全部由符合政策要求的中小企业制造。相关企业（含联合体中的中小企业、签订分包意向协议的中小企业）的具体情况如下：</w:t>
      </w:r>
    </w:p>
    <w:p w14:paraId="3657BD21">
      <w:pPr>
        <w:keepNext w:val="0"/>
        <w:keepLines w:val="0"/>
        <w:pageBreakBefore w:val="0"/>
        <w:widowControl w:val="0"/>
        <w:tabs>
          <w:tab w:val="left" w:pos="1384"/>
          <w:tab w:val="left" w:pos="4562"/>
          <w:tab w:val="left" w:pos="6803"/>
        </w:tabs>
        <w:kinsoku/>
        <w:wordWrap/>
        <w:overflowPunct/>
        <w:topLinePunct w:val="0"/>
        <w:autoSpaceDE/>
        <w:autoSpaceDN/>
        <w:bidi w:val="0"/>
        <w:adjustRightInd/>
        <w:snapToGrid/>
        <w:spacing w:line="360" w:lineRule="auto"/>
        <w:ind w:left="0" w:leftChars="0" w:right="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行业；制造商为</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7628F9A8">
      <w:pPr>
        <w:keepNext w:val="0"/>
        <w:keepLines w:val="0"/>
        <w:pageBreakBefore w:val="0"/>
        <w:widowControl w:val="0"/>
        <w:tabs>
          <w:tab w:val="left" w:pos="1065"/>
          <w:tab w:val="left" w:pos="6477"/>
        </w:tabs>
        <w:kinsoku/>
        <w:wordWrap/>
        <w:overflowPunct/>
        <w:topLinePunct w:val="0"/>
        <w:autoSpaceDE/>
        <w:autoSpaceDN/>
        <w:bidi w:val="0"/>
        <w:adjustRightInd/>
        <w:snapToGrid/>
        <w:spacing w:line="360" w:lineRule="auto"/>
        <w:ind w:left="0" w:leftChars="0" w:right="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行业；制造商为</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2B02ABC7">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0F05EA9">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69B8928C">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0F2DD2D1">
      <w:pPr>
        <w:pStyle w:val="2"/>
        <w:spacing w:after="0" w:line="360" w:lineRule="auto"/>
        <w:ind w:left="3960" w:right="1808"/>
        <w:contextualSpacing/>
        <w:rPr>
          <w:rFonts w:hint="eastAsia" w:ascii="仿宋" w:hAnsi="仿宋" w:eastAsia="仿宋" w:cs="仿宋"/>
          <w:color w:val="auto"/>
          <w:sz w:val="24"/>
          <w:highlight w:val="none"/>
        </w:rPr>
      </w:pPr>
    </w:p>
    <w:p w14:paraId="19C3BC49">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6BD7EBBC">
      <w:pPr>
        <w:autoSpaceDE w:val="0"/>
        <w:autoSpaceDN w:val="0"/>
        <w:spacing w:line="360" w:lineRule="auto"/>
        <w:ind w:firstLine="6480" w:firstLineChars="27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5E7BA527">
      <w:pPr>
        <w:pStyle w:val="2"/>
        <w:spacing w:after="0" w:line="360" w:lineRule="auto"/>
        <w:ind w:left="3960" w:right="1808"/>
        <w:contextualSpacing/>
        <w:rPr>
          <w:rFonts w:hint="eastAsia" w:ascii="仿宋" w:hAnsi="仿宋" w:eastAsia="仿宋" w:cs="仿宋"/>
          <w:color w:val="auto"/>
          <w:highlight w:val="none"/>
        </w:rPr>
      </w:pPr>
    </w:p>
    <w:p w14:paraId="258B8D4D">
      <w:pPr>
        <w:snapToGrid w:val="0"/>
        <w:spacing w:line="360" w:lineRule="auto"/>
        <w:ind w:firstLine="480" w:firstLineChars="200"/>
        <w:rPr>
          <w:rFonts w:hint="eastAsia" w:ascii="仿宋" w:hAnsi="仿宋" w:eastAsia="仿宋" w:cs="仿宋"/>
          <w:b/>
          <w:color w:val="auto"/>
          <w:sz w:val="30"/>
          <w:szCs w:val="30"/>
          <w:highlight w:val="none"/>
        </w:rPr>
      </w:pPr>
      <w:r>
        <w:rPr>
          <w:rFonts w:hint="eastAsia" w:ascii="仿宋" w:hAnsi="仿宋" w:eastAsia="仿宋" w:cs="仿宋"/>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2ECDD3F2">
      <w:pPr>
        <w:autoSpaceDE w:val="0"/>
        <w:autoSpaceDN w:val="0"/>
        <w:spacing w:line="360" w:lineRule="auto"/>
        <w:ind w:firstLine="6120" w:firstLineChars="2550"/>
        <w:rPr>
          <w:rFonts w:hint="eastAsia" w:ascii="仿宋" w:hAnsi="仿宋" w:eastAsia="仿宋" w:cs="仿宋"/>
          <w:color w:val="auto"/>
          <w:kern w:val="0"/>
          <w:sz w:val="24"/>
          <w:highlight w:val="none"/>
          <w:lang w:val="zh-CN"/>
        </w:rPr>
      </w:pPr>
    </w:p>
    <w:p w14:paraId="5D2591F2">
      <w:pPr>
        <w:autoSpaceDE w:val="0"/>
        <w:autoSpaceDN w:val="0"/>
        <w:spacing w:line="360" w:lineRule="auto"/>
        <w:ind w:firstLine="6120" w:firstLineChars="2550"/>
        <w:rPr>
          <w:rFonts w:hint="eastAsia" w:ascii="仿宋" w:hAnsi="仿宋" w:eastAsia="仿宋" w:cs="仿宋"/>
          <w:color w:val="auto"/>
          <w:kern w:val="0"/>
          <w:sz w:val="24"/>
          <w:highlight w:val="none"/>
          <w:lang w:val="zh-CN"/>
        </w:rPr>
      </w:pPr>
    </w:p>
    <w:p w14:paraId="6AB5D5A8">
      <w:pPr>
        <w:autoSpaceDE w:val="0"/>
        <w:autoSpaceDN w:val="0"/>
        <w:spacing w:line="360" w:lineRule="auto"/>
        <w:ind w:firstLine="6120" w:firstLineChars="2550"/>
        <w:rPr>
          <w:rFonts w:hint="eastAsia" w:ascii="仿宋" w:hAnsi="仿宋" w:eastAsia="仿宋" w:cs="仿宋"/>
          <w:color w:val="auto"/>
          <w:kern w:val="0"/>
          <w:sz w:val="24"/>
          <w:highlight w:val="none"/>
          <w:lang w:val="zh-CN"/>
        </w:rPr>
      </w:pPr>
    </w:p>
    <w:p w14:paraId="62BA9913">
      <w:pPr>
        <w:autoSpaceDE w:val="0"/>
        <w:autoSpaceDN w:val="0"/>
        <w:spacing w:line="360" w:lineRule="auto"/>
        <w:ind w:firstLine="6120" w:firstLineChars="2550"/>
        <w:rPr>
          <w:rFonts w:hint="eastAsia" w:ascii="仿宋" w:hAnsi="仿宋" w:eastAsia="仿宋" w:cs="仿宋"/>
          <w:color w:val="auto"/>
          <w:kern w:val="0"/>
          <w:sz w:val="24"/>
          <w:highlight w:val="none"/>
          <w:lang w:val="zh-CN"/>
        </w:rPr>
      </w:pPr>
    </w:p>
    <w:p w14:paraId="6FC5B535">
      <w:pPr>
        <w:snapToGrid w:val="0"/>
        <w:spacing w:line="360" w:lineRule="auto"/>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rPr>
        <w:br w:type="page"/>
      </w:r>
      <w:r>
        <w:rPr>
          <w:rFonts w:hint="eastAsia" w:ascii="仿宋" w:hAnsi="仿宋" w:eastAsia="仿宋" w:cs="仿宋"/>
          <w:b/>
          <w:color w:val="auto"/>
          <w:sz w:val="30"/>
          <w:szCs w:val="30"/>
          <w:highlight w:val="none"/>
        </w:rPr>
        <w:t>八、</w:t>
      </w:r>
      <w:r>
        <w:rPr>
          <w:rFonts w:hint="eastAsia" w:ascii="仿宋" w:hAnsi="仿宋" w:eastAsia="仿宋" w:cs="仿宋"/>
          <w:b/>
          <w:color w:val="auto"/>
          <w:sz w:val="30"/>
          <w:szCs w:val="30"/>
          <w:highlight w:val="none"/>
          <w:lang w:val="en-US" w:eastAsia="zh-CN"/>
        </w:rPr>
        <w:t>除谈判文件规定必须提供以外，供应商认为需要提供的其他证明材料</w:t>
      </w:r>
    </w:p>
    <w:p w14:paraId="67FD074F">
      <w:pPr>
        <w:snapToGrid w:val="0"/>
        <w:spacing w:line="360" w:lineRule="auto"/>
        <w:ind w:firstLine="602" w:firstLineChars="200"/>
        <w:rPr>
          <w:rFonts w:hint="eastAsia" w:ascii="仿宋" w:hAnsi="仿宋" w:eastAsia="仿宋" w:cs="仿宋"/>
          <w:b/>
          <w:color w:val="auto"/>
          <w:sz w:val="30"/>
          <w:szCs w:val="30"/>
          <w:highlight w:val="none"/>
          <w:lang w:val="en-US" w:eastAsia="zh-CN"/>
        </w:rPr>
      </w:pPr>
    </w:p>
    <w:p w14:paraId="7B1989ED">
      <w:pPr>
        <w:pStyle w:val="5"/>
        <w:jc w:val="center"/>
        <w:rPr>
          <w:rFonts w:hint="eastAsia" w:ascii="仿宋" w:hAnsi="仿宋" w:eastAsia="仿宋" w:cs="仿宋"/>
          <w:b w:val="0"/>
          <w:color w:val="auto"/>
          <w:highlight w:val="none"/>
        </w:rPr>
      </w:pPr>
      <w:r>
        <w:rPr>
          <w:rFonts w:hint="eastAsia" w:ascii="仿宋" w:hAnsi="仿宋" w:eastAsia="仿宋" w:cs="仿宋"/>
          <w:b/>
          <w:bCs/>
          <w:color w:val="auto"/>
          <w:highlight w:val="none"/>
        </w:rPr>
        <w:br w:type="page"/>
      </w:r>
      <w:bookmarkStart w:id="69" w:name="_Toc14274"/>
      <w:r>
        <w:rPr>
          <w:rFonts w:hint="eastAsia" w:ascii="仿宋" w:hAnsi="仿宋" w:eastAsia="仿宋" w:cs="仿宋"/>
          <w:b/>
          <w:bCs/>
          <w:color w:val="auto"/>
          <w:highlight w:val="none"/>
        </w:rPr>
        <w:t>第</w:t>
      </w:r>
      <w:r>
        <w:rPr>
          <w:rFonts w:hint="eastAsia" w:ascii="仿宋" w:hAnsi="仿宋" w:eastAsia="仿宋" w:cs="仿宋"/>
          <w:b/>
          <w:bCs/>
          <w:color w:val="auto"/>
          <w:highlight w:val="none"/>
          <w:lang w:val="en-US" w:eastAsia="zh-CN"/>
        </w:rPr>
        <w:t>三</w:t>
      </w:r>
      <w:r>
        <w:rPr>
          <w:rFonts w:hint="eastAsia" w:ascii="仿宋" w:hAnsi="仿宋" w:eastAsia="仿宋" w:cs="仿宋"/>
          <w:b/>
          <w:bCs/>
          <w:color w:val="auto"/>
          <w:highlight w:val="none"/>
        </w:rPr>
        <w:t>节 商务技术文件格式</w:t>
      </w:r>
      <w:bookmarkEnd w:id="69"/>
    </w:p>
    <w:p w14:paraId="465346B8">
      <w:pPr>
        <w:snapToGrid w:val="0"/>
        <w:spacing w:before="120" w:beforeLines="50" w:after="50"/>
        <w:rPr>
          <w:rFonts w:hint="eastAsia" w:ascii="仿宋" w:hAnsi="仿宋" w:eastAsia="仿宋" w:cs="仿宋"/>
          <w:bCs/>
          <w:color w:val="auto"/>
          <w:sz w:val="32"/>
          <w:szCs w:val="20"/>
          <w:highlight w:val="none"/>
        </w:rPr>
      </w:pPr>
      <w:r>
        <w:rPr>
          <w:rFonts w:hint="eastAsia" w:ascii="仿宋" w:hAnsi="仿宋" w:eastAsia="仿宋" w:cs="仿宋"/>
          <w:color w:val="auto"/>
          <w:sz w:val="24"/>
          <w:highlight w:val="none"/>
        </w:rPr>
        <w:t xml:space="preserve">                                                    </w:t>
      </w:r>
      <w:r>
        <w:rPr>
          <w:rFonts w:hint="eastAsia" w:ascii="仿宋" w:hAnsi="仿宋" w:eastAsia="仿宋" w:cs="仿宋"/>
          <w:bCs/>
          <w:color w:val="auto"/>
          <w:sz w:val="24"/>
          <w:szCs w:val="32"/>
          <w:highlight w:val="none"/>
        </w:rPr>
        <w:t>全流程电子文件</w:t>
      </w:r>
    </w:p>
    <w:p w14:paraId="7CAD83AD">
      <w:pPr>
        <w:snapToGrid w:val="0"/>
        <w:spacing w:before="120" w:beforeLines="50" w:after="50"/>
        <w:rPr>
          <w:rFonts w:hint="eastAsia" w:ascii="仿宋" w:hAnsi="仿宋" w:eastAsia="仿宋" w:cs="仿宋"/>
          <w:color w:val="auto"/>
          <w:sz w:val="24"/>
          <w:szCs w:val="20"/>
          <w:highlight w:val="none"/>
        </w:rPr>
      </w:pPr>
    </w:p>
    <w:p w14:paraId="570ABA5C">
      <w:pPr>
        <w:snapToGrid w:val="0"/>
        <w:spacing w:before="120" w:beforeLines="50" w:after="50"/>
        <w:rPr>
          <w:rFonts w:hint="eastAsia" w:ascii="仿宋" w:hAnsi="仿宋" w:eastAsia="仿宋" w:cs="仿宋"/>
          <w:color w:val="auto"/>
          <w:sz w:val="24"/>
          <w:szCs w:val="20"/>
          <w:highlight w:val="none"/>
        </w:rPr>
      </w:pPr>
    </w:p>
    <w:p w14:paraId="58564CC0">
      <w:pPr>
        <w:snapToGrid w:val="0"/>
        <w:spacing w:before="120" w:beforeLines="50" w:after="50"/>
        <w:rPr>
          <w:rFonts w:hint="eastAsia" w:ascii="仿宋" w:hAnsi="仿宋" w:eastAsia="仿宋" w:cs="仿宋"/>
          <w:color w:val="auto"/>
          <w:sz w:val="24"/>
          <w:szCs w:val="20"/>
          <w:highlight w:val="none"/>
        </w:rPr>
      </w:pPr>
    </w:p>
    <w:p w14:paraId="286464EB">
      <w:pPr>
        <w:snapToGrid w:val="0"/>
        <w:spacing w:before="120" w:beforeLines="50" w:after="50"/>
        <w:jc w:val="center"/>
        <w:rPr>
          <w:rFonts w:hint="eastAsia" w:ascii="仿宋" w:hAnsi="仿宋" w:eastAsia="仿宋" w:cs="仿宋"/>
          <w:bCs/>
          <w:color w:val="auto"/>
          <w:sz w:val="44"/>
          <w:szCs w:val="44"/>
          <w:highlight w:val="none"/>
        </w:rPr>
      </w:pPr>
      <w:r>
        <w:rPr>
          <w:rFonts w:hint="eastAsia" w:ascii="仿宋" w:hAnsi="仿宋" w:eastAsia="仿宋" w:cs="仿宋"/>
          <w:b/>
          <w:bCs w:val="0"/>
          <w:color w:val="auto"/>
          <w:sz w:val="44"/>
          <w:szCs w:val="44"/>
          <w:highlight w:val="none"/>
        </w:rPr>
        <w:t>商务技术文件（封面）</w:t>
      </w:r>
    </w:p>
    <w:p w14:paraId="42ED2A52">
      <w:pPr>
        <w:snapToGrid w:val="0"/>
        <w:spacing w:before="120" w:beforeLines="50" w:after="50"/>
        <w:rPr>
          <w:rFonts w:hint="eastAsia" w:ascii="仿宋" w:hAnsi="仿宋" w:eastAsia="仿宋" w:cs="仿宋"/>
          <w:bCs/>
          <w:color w:val="auto"/>
          <w:sz w:val="24"/>
          <w:szCs w:val="20"/>
          <w:highlight w:val="none"/>
        </w:rPr>
      </w:pPr>
    </w:p>
    <w:p w14:paraId="458AD2B9">
      <w:pPr>
        <w:snapToGrid w:val="0"/>
        <w:spacing w:before="120" w:beforeLines="50" w:after="50"/>
        <w:rPr>
          <w:rFonts w:hint="eastAsia" w:ascii="仿宋" w:hAnsi="仿宋" w:eastAsia="仿宋" w:cs="仿宋"/>
          <w:bCs/>
          <w:color w:val="auto"/>
          <w:sz w:val="24"/>
          <w:szCs w:val="20"/>
          <w:highlight w:val="none"/>
        </w:rPr>
      </w:pPr>
    </w:p>
    <w:p w14:paraId="35346B2C">
      <w:pPr>
        <w:snapToGrid w:val="0"/>
        <w:spacing w:before="120" w:beforeLines="50" w:after="50"/>
        <w:rPr>
          <w:rFonts w:hint="eastAsia" w:ascii="仿宋" w:hAnsi="仿宋" w:eastAsia="仿宋" w:cs="仿宋"/>
          <w:bCs/>
          <w:color w:val="auto"/>
          <w:sz w:val="24"/>
          <w:szCs w:val="20"/>
          <w:highlight w:val="none"/>
        </w:rPr>
      </w:pPr>
    </w:p>
    <w:p w14:paraId="582181B9">
      <w:pPr>
        <w:snapToGrid w:val="0"/>
        <w:spacing w:before="120" w:beforeLines="50" w:after="50"/>
        <w:rPr>
          <w:rFonts w:hint="eastAsia" w:ascii="仿宋" w:hAnsi="仿宋" w:eastAsia="仿宋" w:cs="仿宋"/>
          <w:bCs/>
          <w:color w:val="auto"/>
          <w:sz w:val="24"/>
          <w:szCs w:val="20"/>
          <w:highlight w:val="none"/>
        </w:rPr>
      </w:pPr>
    </w:p>
    <w:p w14:paraId="3628EBBF">
      <w:pPr>
        <w:snapToGrid w:val="0"/>
        <w:spacing w:before="120" w:beforeLines="50" w:after="50"/>
        <w:rPr>
          <w:rFonts w:hint="eastAsia" w:ascii="仿宋" w:hAnsi="仿宋" w:eastAsia="仿宋" w:cs="仿宋"/>
          <w:bCs/>
          <w:color w:val="auto"/>
          <w:sz w:val="24"/>
          <w:szCs w:val="20"/>
          <w:highlight w:val="none"/>
        </w:rPr>
      </w:pPr>
    </w:p>
    <w:p w14:paraId="5A6440BD">
      <w:pPr>
        <w:snapToGrid w:val="0"/>
        <w:spacing w:before="120" w:beforeLines="50" w:after="50"/>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项目名称：</w:t>
      </w:r>
    </w:p>
    <w:p w14:paraId="71DFF1E7">
      <w:pPr>
        <w:snapToGrid w:val="0"/>
        <w:spacing w:before="120" w:beforeLines="50" w:after="50"/>
        <w:ind w:firstLine="720" w:firstLineChars="225"/>
        <w:rPr>
          <w:rFonts w:hint="eastAsia" w:ascii="仿宋" w:hAnsi="仿宋" w:eastAsia="仿宋" w:cs="仿宋"/>
          <w:bCs/>
          <w:color w:val="auto"/>
          <w:sz w:val="32"/>
          <w:szCs w:val="32"/>
          <w:highlight w:val="none"/>
        </w:rPr>
      </w:pPr>
    </w:p>
    <w:p w14:paraId="430278C1">
      <w:pPr>
        <w:snapToGrid w:val="0"/>
        <w:spacing w:before="120" w:beforeLines="50" w:after="50"/>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项目编号：</w:t>
      </w:r>
    </w:p>
    <w:p w14:paraId="0B02A23A">
      <w:pPr>
        <w:snapToGrid w:val="0"/>
        <w:spacing w:before="120" w:beforeLines="50" w:after="50"/>
        <w:ind w:firstLine="720" w:firstLineChars="225"/>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w:t>
      </w:r>
    </w:p>
    <w:p w14:paraId="6C784542">
      <w:pPr>
        <w:snapToGrid w:val="0"/>
        <w:spacing w:before="120" w:beforeLines="50" w:after="50"/>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所竞分标（如有则填写，无分标时填写“无”或者留空）：</w:t>
      </w:r>
    </w:p>
    <w:p w14:paraId="561DF3AF">
      <w:pPr>
        <w:snapToGrid w:val="0"/>
        <w:spacing w:before="120" w:beforeLines="50" w:after="50"/>
        <w:ind w:firstLine="720" w:firstLineChars="225"/>
        <w:rPr>
          <w:rFonts w:hint="eastAsia" w:ascii="仿宋" w:hAnsi="仿宋" w:eastAsia="仿宋" w:cs="仿宋"/>
          <w:bCs/>
          <w:color w:val="auto"/>
          <w:sz w:val="32"/>
          <w:szCs w:val="32"/>
          <w:highlight w:val="none"/>
        </w:rPr>
      </w:pPr>
    </w:p>
    <w:p w14:paraId="5C8A439B">
      <w:pPr>
        <w:pStyle w:val="8"/>
        <w:snapToGrid w:val="0"/>
        <w:spacing w:before="50" w:after="50"/>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供应商名称：</w:t>
      </w:r>
    </w:p>
    <w:p w14:paraId="64C197B4">
      <w:pPr>
        <w:pStyle w:val="8"/>
        <w:snapToGrid w:val="0"/>
        <w:spacing w:before="50" w:after="50"/>
        <w:ind w:firstLine="720" w:firstLineChars="225"/>
        <w:rPr>
          <w:rFonts w:hint="eastAsia" w:ascii="仿宋" w:hAnsi="仿宋" w:eastAsia="仿宋" w:cs="仿宋"/>
          <w:bCs/>
          <w:color w:val="auto"/>
          <w:sz w:val="32"/>
          <w:szCs w:val="32"/>
          <w:highlight w:val="none"/>
        </w:rPr>
      </w:pPr>
    </w:p>
    <w:p w14:paraId="3AEF7E68">
      <w:pPr>
        <w:pStyle w:val="8"/>
        <w:snapToGrid w:val="0"/>
        <w:spacing w:before="50" w:after="50"/>
        <w:ind w:firstLine="720" w:firstLineChars="225"/>
        <w:rPr>
          <w:rFonts w:hint="eastAsia" w:ascii="仿宋" w:hAnsi="仿宋" w:eastAsia="仿宋" w:cs="仿宋"/>
          <w:bCs/>
          <w:color w:val="auto"/>
          <w:sz w:val="32"/>
          <w:szCs w:val="32"/>
          <w:highlight w:val="none"/>
        </w:rPr>
      </w:pPr>
    </w:p>
    <w:p w14:paraId="07451868">
      <w:pPr>
        <w:pStyle w:val="8"/>
        <w:snapToGrid w:val="0"/>
        <w:spacing w:before="50" w:after="50"/>
        <w:ind w:firstLine="1280" w:firstLineChars="400"/>
        <w:rPr>
          <w:rFonts w:hint="eastAsia" w:ascii="仿宋" w:hAnsi="仿宋" w:eastAsia="仿宋" w:cs="仿宋"/>
          <w:bCs/>
          <w:color w:val="auto"/>
          <w:sz w:val="32"/>
          <w:szCs w:val="32"/>
          <w:highlight w:val="none"/>
        </w:rPr>
      </w:pPr>
    </w:p>
    <w:p w14:paraId="4F168079">
      <w:pPr>
        <w:snapToGrid w:val="0"/>
        <w:spacing w:before="120" w:beforeLines="50" w:after="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0CEAEE4E">
      <w:pPr>
        <w:jc w:val="center"/>
        <w:rPr>
          <w:rFonts w:hint="eastAsia" w:ascii="仿宋" w:hAnsi="仿宋" w:eastAsia="仿宋" w:cs="仿宋"/>
          <w:b/>
          <w:color w:val="auto"/>
          <w:kern w:val="0"/>
          <w:sz w:val="28"/>
          <w:szCs w:val="28"/>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kern w:val="0"/>
          <w:sz w:val="28"/>
          <w:szCs w:val="28"/>
          <w:highlight w:val="none"/>
        </w:rPr>
        <w:t>商务技术文件目录</w:t>
      </w:r>
    </w:p>
    <w:p w14:paraId="71ED433C">
      <w:pPr>
        <w:jc w:val="center"/>
        <w:rPr>
          <w:rFonts w:hint="eastAsia" w:ascii="仿宋" w:hAnsi="仿宋" w:eastAsia="仿宋" w:cs="仿宋"/>
          <w:b/>
          <w:color w:val="auto"/>
          <w:kern w:val="0"/>
          <w:sz w:val="28"/>
          <w:szCs w:val="28"/>
          <w:highlight w:val="none"/>
        </w:rPr>
      </w:pPr>
    </w:p>
    <w:p w14:paraId="6EEDBC3E">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lef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根据竞争性</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文件规定及供应商提供的材料自行编写目录（部分格式后附）。</w:t>
      </w:r>
    </w:p>
    <w:p w14:paraId="1274080A">
      <w:pPr>
        <w:spacing w:line="360" w:lineRule="auto"/>
        <w:rPr>
          <w:rFonts w:hint="eastAsia" w:ascii="仿宋" w:hAnsi="仿宋" w:eastAsia="仿宋" w:cs="仿宋"/>
          <w:b/>
          <w:bCs/>
          <w:color w:val="auto"/>
          <w:sz w:val="24"/>
          <w:highlight w:val="none"/>
        </w:rPr>
      </w:pPr>
    </w:p>
    <w:p w14:paraId="6E32BD15">
      <w:pPr>
        <w:snapToGrid w:val="0"/>
        <w:spacing w:before="120" w:beforeLines="50" w:after="50" w:line="360" w:lineRule="auto"/>
        <w:ind w:left="142" w:firstLine="640" w:firstLineChars="200"/>
        <w:jc w:val="left"/>
        <w:rPr>
          <w:rFonts w:hint="eastAsia" w:ascii="仿宋" w:hAnsi="仿宋" w:eastAsia="仿宋" w:cs="仿宋"/>
          <w:color w:val="auto"/>
          <w:sz w:val="32"/>
          <w:szCs w:val="32"/>
          <w:highlight w:val="none"/>
        </w:rPr>
      </w:pPr>
    </w:p>
    <w:p w14:paraId="108B2225">
      <w:pPr>
        <w:spacing w:line="520" w:lineRule="exact"/>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br w:type="page"/>
      </w:r>
      <w:r>
        <w:rPr>
          <w:rFonts w:hint="eastAsia" w:ascii="仿宋" w:hAnsi="仿宋" w:eastAsia="仿宋" w:cs="仿宋"/>
          <w:b/>
          <w:color w:val="auto"/>
          <w:sz w:val="30"/>
          <w:szCs w:val="30"/>
          <w:highlight w:val="none"/>
        </w:rPr>
        <w:t>一、无串通竞标行为的承诺函</w:t>
      </w:r>
    </w:p>
    <w:p w14:paraId="15CC2D3A">
      <w:pPr>
        <w:spacing w:line="520" w:lineRule="exact"/>
        <w:jc w:val="center"/>
        <w:rPr>
          <w:rFonts w:hint="eastAsia" w:ascii="仿宋" w:hAnsi="仿宋" w:eastAsia="仿宋" w:cs="仿宋"/>
          <w:color w:val="auto"/>
          <w:sz w:val="44"/>
          <w:szCs w:val="44"/>
          <w:highlight w:val="none"/>
        </w:rPr>
      </w:pPr>
    </w:p>
    <w:p w14:paraId="3D34522D">
      <w:pPr>
        <w:spacing w:line="520" w:lineRule="exact"/>
        <w:jc w:val="center"/>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无串通竞标行为的承诺函</w:t>
      </w:r>
    </w:p>
    <w:p w14:paraId="2A5C31F8">
      <w:pPr>
        <w:spacing w:line="360" w:lineRule="auto"/>
        <w:contextualSpacing/>
        <w:rPr>
          <w:rFonts w:hint="eastAsia" w:ascii="仿宋" w:hAnsi="仿宋" w:eastAsia="仿宋" w:cs="仿宋"/>
          <w:color w:val="auto"/>
          <w:sz w:val="32"/>
          <w:szCs w:val="32"/>
          <w:highlight w:val="none"/>
        </w:rPr>
      </w:pPr>
    </w:p>
    <w:p w14:paraId="350BFDD0">
      <w:pPr>
        <w:spacing w:line="360" w:lineRule="auto"/>
        <w:ind w:firstLine="482" w:firstLineChars="200"/>
        <w:contextualSpacing/>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一、我方承诺无下列相互串通竞标的情形：</w:t>
      </w:r>
    </w:p>
    <w:p w14:paraId="7C944555">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1.不同供应商的响应文件由同一单位或者个人编制；</w:t>
      </w:r>
    </w:p>
    <w:p w14:paraId="02BAC6C6">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2.不同供应商委托同一单位或者个人办理竞标事宜；</w:t>
      </w:r>
    </w:p>
    <w:p w14:paraId="104024C6">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3.不同的供应商的响应文件载明的项目管理员为同一个人；</w:t>
      </w:r>
    </w:p>
    <w:p w14:paraId="27CF3856">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4.不</w:t>
      </w:r>
      <w:r>
        <w:rPr>
          <w:rFonts w:hint="eastAsia" w:ascii="仿宋" w:hAnsi="仿宋" w:eastAsia="仿宋" w:cs="仿宋"/>
          <w:color w:val="auto"/>
          <w:spacing w:val="-6"/>
          <w:sz w:val="24"/>
          <w:highlight w:val="none"/>
        </w:rPr>
        <w:t>同供应商的响应文件异常一致或者竞标报价呈规律性差异；</w:t>
      </w:r>
    </w:p>
    <w:p w14:paraId="1A38064F">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5.不同供应商的响应文件相互混装；</w:t>
      </w:r>
    </w:p>
    <w:p w14:paraId="33DB5EA8">
      <w:pPr>
        <w:spacing w:line="360" w:lineRule="auto"/>
        <w:ind w:firstLine="482" w:firstLineChars="200"/>
        <w:contextualSpacing/>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二、我方承诺无下列恶意串通的情形：</w:t>
      </w:r>
    </w:p>
    <w:p w14:paraId="14A081F1">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1.供应商直接或者间接从采购人或者采购代理机构处获得其他供应商的相关信息并修改其响应文件；</w:t>
      </w:r>
    </w:p>
    <w:p w14:paraId="1B3DF16F">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2.供应商按照采购人或者采购代理机构的授意撤换、修改响应文件；</w:t>
      </w:r>
    </w:p>
    <w:p w14:paraId="4EDD494D">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3.供</w:t>
      </w:r>
      <w:r>
        <w:rPr>
          <w:rFonts w:hint="eastAsia" w:ascii="仿宋" w:hAnsi="仿宋" w:eastAsia="仿宋" w:cs="仿宋"/>
          <w:color w:val="auto"/>
          <w:spacing w:val="-6"/>
          <w:sz w:val="24"/>
          <w:highlight w:val="none"/>
        </w:rPr>
        <w:t>应商之间协商报价、技术方案等响应文件的实质性内容；</w:t>
      </w:r>
    </w:p>
    <w:p w14:paraId="310E34F5">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4.属于同一集团、协会、商会等组织成员的供应商按照该组织要求协同参加政府采购活动；</w:t>
      </w:r>
    </w:p>
    <w:p w14:paraId="54ED1725">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5.供应商之间事先约定一致抬高或者压低竞标报价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或者在竞争性谈判项目中事先约定轮流以高价位或者低价位成交</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或者事先约定由某一特定供应商成交</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然后再参加竞标；</w:t>
      </w:r>
    </w:p>
    <w:p w14:paraId="7D7AE3D8">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6.供应商之间商定部分供应商放弃参加政府采购活动或者放弃成交；</w:t>
      </w:r>
    </w:p>
    <w:p w14:paraId="6931FB92">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7.供应商与采购人或者采购代理机构之间、供应商相互之间，为</w:t>
      </w:r>
      <w:r>
        <w:rPr>
          <w:rFonts w:hint="eastAsia" w:ascii="仿宋" w:hAnsi="仿宋" w:eastAsia="仿宋" w:cs="仿宋"/>
          <w:color w:val="auto"/>
          <w:spacing w:val="-6"/>
          <w:sz w:val="24"/>
          <w:highlight w:val="none"/>
        </w:rPr>
        <w:t>谋求特定供应商成交或者排斥其他供应商的其他串通行为。</w:t>
      </w:r>
    </w:p>
    <w:p w14:paraId="56DBA194">
      <w:pPr>
        <w:spacing w:line="360" w:lineRule="auto"/>
        <w:ind w:firstLine="480" w:firstLineChars="200"/>
        <w:contextualSpacing/>
        <w:rPr>
          <w:rFonts w:hint="eastAsia" w:ascii="仿宋" w:hAnsi="仿宋" w:eastAsia="仿宋" w:cs="仿宋"/>
          <w:color w:val="auto"/>
          <w:sz w:val="24"/>
          <w:highlight w:val="none"/>
        </w:rPr>
      </w:pPr>
    </w:p>
    <w:p w14:paraId="08E8A20B">
      <w:pPr>
        <w:spacing w:line="360" w:lineRule="auto"/>
        <w:ind w:firstLine="482" w:firstLineChars="200"/>
        <w:contextualSpacing/>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以上情形一经核查属实，我方愿意承担一切后果，并不再寻求任何旨在减轻或者免除法律责任的辩解。</w:t>
      </w:r>
    </w:p>
    <w:p w14:paraId="031101B3">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429E5E26">
      <w:pPr>
        <w:spacing w:line="520" w:lineRule="exact"/>
        <w:ind w:firstLine="6360" w:firstLineChars="2650"/>
        <w:jc w:val="left"/>
        <w:rPr>
          <w:rFonts w:hint="eastAsia" w:ascii="仿宋" w:hAnsi="仿宋" w:eastAsia="仿宋" w:cs="仿宋"/>
          <w:bCs/>
          <w:color w:val="auto"/>
          <w:sz w:val="44"/>
          <w:szCs w:val="44"/>
          <w:highlight w:val="none"/>
        </w:rPr>
      </w:pPr>
      <w:r>
        <w:rPr>
          <w:rFonts w:hint="eastAsia" w:ascii="仿宋" w:hAnsi="仿宋" w:eastAsia="仿宋" w:cs="仿宋"/>
          <w:color w:val="auto"/>
          <w:kern w:val="0"/>
          <w:sz w:val="24"/>
          <w:highlight w:val="none"/>
          <w:lang w:val="zh-CN"/>
        </w:rPr>
        <w:t xml:space="preserve">日期：  年  月   日        </w:t>
      </w:r>
      <w:r>
        <w:rPr>
          <w:rFonts w:hint="eastAsia" w:ascii="仿宋" w:hAnsi="仿宋" w:eastAsia="仿宋" w:cs="仿宋"/>
          <w:b/>
          <w:bCs/>
          <w:color w:val="auto"/>
          <w:sz w:val="32"/>
          <w:szCs w:val="32"/>
          <w:highlight w:val="none"/>
        </w:rPr>
        <w:br w:type="page"/>
      </w:r>
      <w:r>
        <w:rPr>
          <w:rFonts w:hint="eastAsia" w:ascii="仿宋" w:hAnsi="仿宋" w:eastAsia="仿宋" w:cs="仿宋"/>
          <w:b/>
          <w:color w:val="auto"/>
          <w:sz w:val="30"/>
          <w:szCs w:val="30"/>
          <w:highlight w:val="none"/>
        </w:rPr>
        <w:t>二、法定代表人身份证明及法定代表人有效身份证正反面复印件</w:t>
      </w:r>
    </w:p>
    <w:p w14:paraId="2DA5DBD0">
      <w:pPr>
        <w:spacing w:line="520" w:lineRule="exact"/>
        <w:jc w:val="center"/>
        <w:rPr>
          <w:rFonts w:hint="eastAsia" w:ascii="仿宋" w:hAnsi="仿宋" w:eastAsia="仿宋" w:cs="仿宋"/>
          <w:bCs/>
          <w:color w:val="auto"/>
          <w:sz w:val="44"/>
          <w:szCs w:val="44"/>
          <w:highlight w:val="none"/>
        </w:rPr>
      </w:pPr>
    </w:p>
    <w:p w14:paraId="71015687">
      <w:pPr>
        <w:spacing w:line="520" w:lineRule="exact"/>
        <w:jc w:val="center"/>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法定代表人</w:t>
      </w:r>
      <w:r>
        <w:rPr>
          <w:rFonts w:hint="eastAsia" w:ascii="仿宋" w:hAnsi="仿宋" w:eastAsia="仿宋" w:cs="仿宋"/>
          <w:b/>
          <w:bCs w:val="0"/>
          <w:color w:val="auto"/>
          <w:sz w:val="32"/>
          <w:szCs w:val="32"/>
          <w:highlight w:val="none"/>
          <w:lang w:val="en-US" w:eastAsia="zh-CN"/>
        </w:rPr>
        <w:t>身份</w:t>
      </w:r>
      <w:r>
        <w:rPr>
          <w:rFonts w:hint="eastAsia" w:ascii="仿宋" w:hAnsi="仿宋" w:eastAsia="仿宋" w:cs="仿宋"/>
          <w:b/>
          <w:bCs w:val="0"/>
          <w:color w:val="auto"/>
          <w:sz w:val="32"/>
          <w:szCs w:val="32"/>
          <w:highlight w:val="none"/>
        </w:rPr>
        <w:t>证明书</w:t>
      </w:r>
    </w:p>
    <w:p w14:paraId="60F8F727">
      <w:pPr>
        <w:spacing w:line="360" w:lineRule="auto"/>
        <w:ind w:left="540"/>
        <w:contextualSpacing/>
        <w:rPr>
          <w:rFonts w:hint="eastAsia" w:ascii="仿宋" w:hAnsi="仿宋" w:eastAsia="仿宋" w:cs="仿宋"/>
          <w:color w:val="auto"/>
          <w:sz w:val="32"/>
          <w:szCs w:val="32"/>
          <w:highlight w:val="none"/>
        </w:rPr>
      </w:pPr>
    </w:p>
    <w:p w14:paraId="35190FC6">
      <w:pPr>
        <w:keepNext w:val="0"/>
        <w:keepLines w:val="0"/>
        <w:pageBreakBefore w:val="0"/>
        <w:widowControl w:val="0"/>
        <w:kinsoku/>
        <w:wordWrap/>
        <w:overflowPunct/>
        <w:topLinePunct w:val="0"/>
        <w:autoSpaceDE/>
        <w:autoSpaceDN/>
        <w:bidi w:val="0"/>
        <w:adjustRightInd/>
        <w:snapToGrid/>
        <w:spacing w:line="700" w:lineRule="exact"/>
        <w:ind w:left="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p>
    <w:p w14:paraId="3D31C24E">
      <w:pPr>
        <w:keepNext w:val="0"/>
        <w:keepLines w:val="0"/>
        <w:pageBreakBefore w:val="0"/>
        <w:widowControl w:val="0"/>
        <w:kinsoku/>
        <w:wordWrap/>
        <w:overflowPunct/>
        <w:topLinePunct w:val="0"/>
        <w:autoSpaceDE/>
        <w:autoSpaceDN/>
        <w:bidi w:val="0"/>
        <w:adjustRightInd/>
        <w:snapToGrid/>
        <w:spacing w:line="700" w:lineRule="exact"/>
        <w:ind w:left="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60880108">
      <w:pPr>
        <w:keepNext w:val="0"/>
        <w:keepLines w:val="0"/>
        <w:pageBreakBefore w:val="0"/>
        <w:widowControl w:val="0"/>
        <w:kinsoku/>
        <w:wordWrap/>
        <w:overflowPunct/>
        <w:topLinePunct w:val="0"/>
        <w:autoSpaceDE/>
        <w:autoSpaceDN/>
        <w:bidi w:val="0"/>
        <w:adjustRightInd/>
        <w:snapToGrid/>
        <w:spacing w:line="700" w:lineRule="exact"/>
        <w:ind w:left="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性     别：</w:t>
      </w:r>
      <w:r>
        <w:rPr>
          <w:rFonts w:hint="eastAsia" w:ascii="仿宋" w:hAnsi="仿宋" w:eastAsia="仿宋" w:cs="仿宋"/>
          <w:color w:val="auto"/>
          <w:sz w:val="24"/>
          <w:highlight w:val="none"/>
          <w:u w:val="single"/>
        </w:rPr>
        <w:t xml:space="preserve">                </w:t>
      </w:r>
    </w:p>
    <w:p w14:paraId="0AC2E8D0">
      <w:pPr>
        <w:keepNext w:val="0"/>
        <w:keepLines w:val="0"/>
        <w:pageBreakBefore w:val="0"/>
        <w:widowControl w:val="0"/>
        <w:kinsoku/>
        <w:wordWrap/>
        <w:overflowPunct/>
        <w:topLinePunct w:val="0"/>
        <w:autoSpaceDE/>
        <w:autoSpaceDN/>
        <w:bidi w:val="0"/>
        <w:adjustRightInd/>
        <w:snapToGrid/>
        <w:spacing w:line="700" w:lineRule="exact"/>
        <w:ind w:left="0" w:firstLine="480" w:firstLineChars="200"/>
        <w:contextualSpacing/>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年    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687D8005">
      <w:pPr>
        <w:keepNext w:val="0"/>
        <w:keepLines w:val="0"/>
        <w:pageBreakBefore w:val="0"/>
        <w:widowControl w:val="0"/>
        <w:kinsoku/>
        <w:wordWrap/>
        <w:overflowPunct/>
        <w:topLinePunct w:val="0"/>
        <w:autoSpaceDE/>
        <w:autoSpaceDN/>
        <w:bidi w:val="0"/>
        <w:adjustRightInd/>
        <w:snapToGrid/>
        <w:spacing w:line="700" w:lineRule="exact"/>
        <w:ind w:left="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459836C9">
      <w:pPr>
        <w:keepNext w:val="0"/>
        <w:keepLines w:val="0"/>
        <w:pageBreakBefore w:val="0"/>
        <w:widowControl w:val="0"/>
        <w:kinsoku/>
        <w:wordWrap/>
        <w:overflowPunct/>
        <w:topLinePunct w:val="0"/>
        <w:autoSpaceDE/>
        <w:autoSpaceDN/>
        <w:bidi w:val="0"/>
        <w:adjustRightInd/>
        <w:snapToGrid/>
        <w:spacing w:line="700" w:lineRule="exact"/>
        <w:ind w:left="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（供应商名称）</w:t>
      </w:r>
      <w:r>
        <w:rPr>
          <w:rFonts w:hint="eastAsia" w:ascii="仿宋" w:hAnsi="仿宋" w:eastAsia="仿宋" w:cs="仿宋"/>
          <w:color w:val="auto"/>
          <w:sz w:val="24"/>
          <w:highlight w:val="none"/>
        </w:rPr>
        <w:t>的法定代表人。</w:t>
      </w:r>
    </w:p>
    <w:p w14:paraId="3CF2DBAB">
      <w:pPr>
        <w:keepNext w:val="0"/>
        <w:keepLines w:val="0"/>
        <w:pageBreakBefore w:val="0"/>
        <w:widowControl w:val="0"/>
        <w:kinsoku/>
        <w:wordWrap/>
        <w:overflowPunct/>
        <w:topLinePunct w:val="0"/>
        <w:autoSpaceDE/>
        <w:autoSpaceDN/>
        <w:bidi w:val="0"/>
        <w:adjustRightInd/>
        <w:snapToGrid/>
        <w:spacing w:line="700" w:lineRule="exact"/>
        <w:ind w:left="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3CEED0C7">
      <w:pPr>
        <w:spacing w:line="360" w:lineRule="auto"/>
        <w:ind w:left="540"/>
        <w:contextualSpacing/>
        <w:rPr>
          <w:rFonts w:hint="eastAsia" w:ascii="仿宋" w:hAnsi="仿宋" w:eastAsia="仿宋" w:cs="仿宋"/>
          <w:color w:val="auto"/>
          <w:sz w:val="24"/>
          <w:highlight w:val="none"/>
        </w:rPr>
      </w:pPr>
    </w:p>
    <w:p w14:paraId="74A6E29A">
      <w:pPr>
        <w:spacing w:line="360" w:lineRule="auto"/>
        <w:ind w:left="54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附件：法定代表人有效身份证正反面复印件</w:t>
      </w:r>
    </w:p>
    <w:p w14:paraId="257380C1">
      <w:pPr>
        <w:spacing w:line="360" w:lineRule="auto"/>
        <w:ind w:left="540"/>
        <w:contextualSpacing/>
        <w:rPr>
          <w:rFonts w:hint="eastAsia" w:ascii="仿宋" w:hAnsi="仿宋" w:eastAsia="仿宋" w:cs="仿宋"/>
          <w:color w:val="auto"/>
          <w:sz w:val="24"/>
          <w:highlight w:val="none"/>
        </w:rPr>
      </w:pPr>
    </w:p>
    <w:p w14:paraId="36767BF4">
      <w:pPr>
        <w:pStyle w:val="6"/>
        <w:rPr>
          <w:rFonts w:hint="eastAsia"/>
          <w:color w:val="auto"/>
          <w:highlight w:val="none"/>
        </w:rPr>
      </w:pPr>
    </w:p>
    <w:p w14:paraId="7B6984AA">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10CC12CF">
      <w:pPr>
        <w:spacing w:line="360" w:lineRule="auto"/>
        <w:contextualSpacing/>
        <w:jc w:val="center"/>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 xml:space="preserve">                                                   日期：  年  月   日</w:t>
      </w:r>
    </w:p>
    <w:p w14:paraId="5F3120BD">
      <w:pPr>
        <w:spacing w:line="360" w:lineRule="auto"/>
        <w:contextualSpacing/>
        <w:jc w:val="left"/>
        <w:rPr>
          <w:rFonts w:hint="eastAsia" w:ascii="仿宋" w:hAnsi="仿宋" w:eastAsia="仿宋" w:cs="仿宋"/>
          <w:color w:val="auto"/>
          <w:sz w:val="24"/>
          <w:highlight w:val="none"/>
        </w:rPr>
      </w:pPr>
    </w:p>
    <w:p w14:paraId="2F533100">
      <w:pPr>
        <w:spacing w:line="360" w:lineRule="auto"/>
        <w:contextualSpacing/>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注：1.自然人竞标的无需提供，联合体竞标的只需牵头人出具。</w:t>
      </w:r>
    </w:p>
    <w:p w14:paraId="5D3EE87F">
      <w:pPr>
        <w:spacing w:line="360" w:lineRule="auto"/>
        <w:ind w:firstLine="480" w:firstLineChars="200"/>
        <w:contextualSpacing/>
        <w:jc w:val="left"/>
        <w:rPr>
          <w:rFonts w:hint="eastAsia" w:ascii="仿宋" w:hAnsi="仿宋" w:eastAsia="仿宋" w:cs="仿宋"/>
          <w:color w:val="auto"/>
          <w:sz w:val="24"/>
          <w:highlight w:val="none"/>
        </w:rPr>
        <w:sectPr>
          <w:pgSz w:w="11911" w:h="16838"/>
          <w:pgMar w:top="1338" w:right="1502" w:bottom="850" w:left="1678" w:header="1077" w:footer="720" w:gutter="0"/>
          <w:pgNumType w:fmt="decimal"/>
          <w:cols w:space="720" w:num="1"/>
          <w:rtlGutter w:val="0"/>
          <w:docGrid w:linePitch="0" w:charSpace="0"/>
        </w:sectPr>
      </w:pPr>
      <w:r>
        <w:rPr>
          <w:rFonts w:hint="eastAsia" w:ascii="仿宋" w:hAnsi="仿宋" w:eastAsia="仿宋" w:cs="仿宋"/>
          <w:color w:val="auto"/>
          <w:sz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2C190D53">
      <w:pPr>
        <w:spacing w:line="360" w:lineRule="auto"/>
        <w:ind w:firstLine="482" w:firstLineChars="200"/>
        <w:contextualSpacing/>
        <w:jc w:val="left"/>
        <w:rPr>
          <w:rFonts w:hint="eastAsia" w:ascii="仿宋" w:hAnsi="仿宋" w:eastAsia="仿宋" w:cs="仿宋"/>
          <w:color w:val="auto"/>
          <w:sz w:val="24"/>
          <w:highlight w:val="none"/>
          <w:vertAlign w:val="baseline"/>
        </w:rPr>
      </w:pPr>
      <w:r>
        <w:rPr>
          <w:rFonts w:hint="eastAsia" w:ascii="仿宋" w:hAnsi="仿宋" w:eastAsia="仿宋" w:cs="仿宋"/>
          <w:b/>
          <w:color w:val="auto"/>
          <w:sz w:val="24"/>
          <w:highlight w:val="none"/>
        </w:rPr>
        <w:t>附件：</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6AD4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1" w:hRule="atLeast"/>
        </w:trPr>
        <w:tc>
          <w:tcPr>
            <w:tcW w:w="8946" w:type="dxa"/>
            <w:noWrap w:val="0"/>
            <w:vAlign w:val="top"/>
          </w:tcPr>
          <w:p w14:paraId="0B811CAD">
            <w:pPr>
              <w:spacing w:line="360" w:lineRule="auto"/>
              <w:contextualSpacing/>
              <w:jc w:val="left"/>
              <w:rPr>
                <w:rFonts w:hint="eastAsia" w:ascii="仿宋" w:hAnsi="仿宋" w:eastAsia="仿宋" w:cs="仿宋"/>
                <w:b/>
                <w:color w:val="auto"/>
                <w:sz w:val="24"/>
                <w:highlight w:val="none"/>
              </w:rPr>
            </w:pPr>
          </w:p>
          <w:p w14:paraId="3D515AD7">
            <w:pPr>
              <w:spacing w:line="360" w:lineRule="auto"/>
              <w:contextualSpacing/>
              <w:jc w:val="left"/>
              <w:rPr>
                <w:rFonts w:hint="eastAsia" w:ascii="仿宋" w:hAnsi="仿宋" w:eastAsia="仿宋" w:cs="仿宋"/>
                <w:color w:val="auto"/>
                <w:sz w:val="24"/>
                <w:highlight w:val="none"/>
                <w:vertAlign w:val="baseline"/>
              </w:rPr>
            </w:pPr>
            <w:r>
              <w:rPr>
                <w:rFonts w:hint="eastAsia" w:ascii="仿宋" w:hAnsi="仿宋" w:eastAsia="仿宋" w:cs="仿宋"/>
                <w:b/>
                <w:color w:val="auto"/>
                <w:sz w:val="24"/>
                <w:highlight w:val="none"/>
              </w:rPr>
              <w:t>法定代表身份证复印件</w:t>
            </w:r>
            <w:r>
              <w:rPr>
                <w:rFonts w:hint="eastAsia" w:ascii="仿宋" w:hAnsi="仿宋" w:eastAsia="仿宋" w:cs="仿宋"/>
                <w:b/>
                <w:color w:val="auto"/>
                <w:sz w:val="24"/>
                <w:highlight w:val="none"/>
                <w:lang w:val="en-US" w:eastAsia="zh-CN"/>
              </w:rPr>
              <w:t>粘贴</w:t>
            </w:r>
            <w:r>
              <w:rPr>
                <w:rFonts w:hint="eastAsia" w:ascii="仿宋" w:hAnsi="仿宋" w:eastAsia="仿宋" w:cs="仿宋"/>
                <w:b/>
                <w:color w:val="auto"/>
                <w:sz w:val="24"/>
                <w:highlight w:val="none"/>
              </w:rPr>
              <w:t>处（正、反面）</w:t>
            </w:r>
          </w:p>
        </w:tc>
      </w:tr>
    </w:tbl>
    <w:p w14:paraId="6DFA07D9">
      <w:pPr>
        <w:spacing w:line="360" w:lineRule="auto"/>
        <w:ind w:firstLine="480" w:firstLineChars="200"/>
        <w:contextualSpacing/>
        <w:jc w:val="left"/>
        <w:rPr>
          <w:rFonts w:hint="eastAsia" w:ascii="仿宋" w:hAnsi="仿宋" w:eastAsia="仿宋" w:cs="仿宋"/>
          <w:color w:val="auto"/>
          <w:sz w:val="24"/>
          <w:highlight w:val="none"/>
        </w:rPr>
        <w:sectPr>
          <w:headerReference r:id="rId9" w:type="default"/>
          <w:pgSz w:w="11911" w:h="16838"/>
          <w:pgMar w:top="1338" w:right="1502" w:bottom="850" w:left="1678" w:header="1077" w:footer="720" w:gutter="0"/>
          <w:pgNumType w:fmt="decimal"/>
          <w:cols w:space="720" w:num="1"/>
          <w:rtlGutter w:val="0"/>
          <w:docGrid w:linePitch="0" w:charSpace="0"/>
        </w:sectPr>
      </w:pPr>
    </w:p>
    <w:p w14:paraId="2A9740E7">
      <w:pPr>
        <w:snapToGrid w:val="0"/>
        <w:spacing w:line="360" w:lineRule="auto"/>
        <w:rPr>
          <w:rFonts w:hint="eastAsia" w:ascii="仿宋" w:hAnsi="仿宋" w:eastAsia="仿宋" w:cs="仿宋"/>
          <w:bCs/>
          <w:color w:val="auto"/>
          <w:sz w:val="44"/>
          <w:szCs w:val="44"/>
          <w:highlight w:val="none"/>
        </w:rPr>
      </w:pPr>
      <w:r>
        <w:rPr>
          <w:rFonts w:hint="eastAsia" w:ascii="仿宋" w:hAnsi="仿宋" w:eastAsia="仿宋" w:cs="仿宋"/>
          <w:b/>
          <w:color w:val="auto"/>
          <w:sz w:val="30"/>
          <w:szCs w:val="30"/>
          <w:highlight w:val="none"/>
        </w:rPr>
        <w:t>三、法定代表人授权委托书及委托代理人有效身份证正反面复印件</w:t>
      </w:r>
    </w:p>
    <w:p w14:paraId="2CCED3F8">
      <w:pPr>
        <w:spacing w:line="500" w:lineRule="exact"/>
        <w:jc w:val="center"/>
        <w:rPr>
          <w:rFonts w:hint="eastAsia" w:ascii="仿宋" w:hAnsi="仿宋" w:eastAsia="仿宋" w:cs="仿宋"/>
          <w:color w:val="auto"/>
          <w:sz w:val="44"/>
          <w:szCs w:val="44"/>
          <w:highlight w:val="none"/>
        </w:rPr>
      </w:pPr>
    </w:p>
    <w:p w14:paraId="014BBA1F">
      <w:pPr>
        <w:spacing w:line="52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授权委托书（非联合体竞标格式）</w:t>
      </w:r>
    </w:p>
    <w:p w14:paraId="2C4E1DF2">
      <w:pPr>
        <w:spacing w:line="52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（如有委托时）</w:t>
      </w:r>
    </w:p>
    <w:p w14:paraId="61035294">
      <w:pPr>
        <w:spacing w:line="520" w:lineRule="exact"/>
        <w:rPr>
          <w:rFonts w:hint="eastAsia" w:ascii="仿宋" w:hAnsi="仿宋" w:eastAsia="仿宋" w:cs="仿宋"/>
          <w:color w:val="auto"/>
          <w:sz w:val="32"/>
          <w:szCs w:val="32"/>
          <w:highlight w:val="none"/>
        </w:rPr>
      </w:pPr>
    </w:p>
    <w:p w14:paraId="5718379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（采购人名称）</w:t>
      </w:r>
      <w:r>
        <w:rPr>
          <w:rFonts w:hint="eastAsia" w:ascii="仿宋" w:hAnsi="仿宋" w:eastAsia="仿宋" w:cs="仿宋"/>
          <w:color w:val="auto"/>
          <w:sz w:val="24"/>
          <w:highlight w:val="none"/>
        </w:rPr>
        <w:t>：</w:t>
      </w:r>
    </w:p>
    <w:p w14:paraId="196B2EC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w:t>
      </w:r>
      <w:r>
        <w:rPr>
          <w:rFonts w:hint="eastAsia" w:ascii="仿宋" w:hAnsi="仿宋" w:eastAsia="仿宋" w:cs="仿宋"/>
          <w:color w:val="auto"/>
          <w:sz w:val="24"/>
          <w:highlight w:val="none"/>
          <w:u w:val="single"/>
        </w:rPr>
        <w:t xml:space="preserve">      （姓名）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（供应商名称）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□法定代表人/□负责人/□自然人本人</w:t>
      </w:r>
      <w:r>
        <w:rPr>
          <w:rFonts w:hint="eastAsia" w:ascii="仿宋" w:hAnsi="仿宋" w:eastAsia="仿宋" w:cs="仿宋"/>
          <w:color w:val="auto"/>
          <w:sz w:val="24"/>
          <w:highlight w:val="none"/>
        </w:rPr>
        <w:t>），现授权</w:t>
      </w:r>
      <w:r>
        <w:rPr>
          <w:rFonts w:hint="eastAsia" w:ascii="仿宋" w:hAnsi="仿宋" w:eastAsia="仿宋" w:cs="仿宋"/>
          <w:color w:val="auto"/>
          <w:sz w:val="24"/>
          <w:highlight w:val="none"/>
          <w:u w:val="single"/>
        </w:rPr>
        <w:t xml:space="preserve">        （姓名）</w:t>
      </w:r>
      <w:r>
        <w:rPr>
          <w:rFonts w:hint="eastAsia" w:ascii="仿宋" w:hAnsi="仿宋" w:eastAsia="仿宋" w:cs="仿宋"/>
          <w:color w:val="auto"/>
          <w:sz w:val="24"/>
          <w:highlight w:val="none"/>
        </w:rPr>
        <w:t>以我方的名义参加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项目的竞标活动，并代表我方全权办理针对上述项目的所有采购程序和环节的具体事务和签署相关文件。</w:t>
      </w:r>
    </w:p>
    <w:p w14:paraId="17E50CB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我方对委托代理人的签字事项负全部责任。</w:t>
      </w:r>
    </w:p>
    <w:p w14:paraId="6C9FF06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本授权书自签署之日起生效，在撤销授权的书面通知以前，本授权书一直有效。委托代理人在授权书有效期内签署的所有文件不因授权的撤销而失效。</w:t>
      </w:r>
    </w:p>
    <w:p w14:paraId="550B6A6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委托代理人无转委托权，特此委托。</w:t>
      </w:r>
    </w:p>
    <w:p w14:paraId="41FECBD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附：法定代表人有效身份证正反面复印件及委托代理人有效身份证正反面复印件</w:t>
      </w:r>
    </w:p>
    <w:p w14:paraId="3FE1699F">
      <w:pPr>
        <w:spacing w:line="360" w:lineRule="auto"/>
        <w:rPr>
          <w:rFonts w:hint="eastAsia" w:ascii="仿宋" w:hAnsi="仿宋" w:eastAsia="仿宋" w:cs="仿宋"/>
          <w:color w:val="auto"/>
          <w:sz w:val="24"/>
          <w:highlight w:val="none"/>
        </w:rPr>
      </w:pPr>
    </w:p>
    <w:p w14:paraId="484B8E0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委托代理人（签字）：                 法定代表人（签字或盖章）：                    </w:t>
      </w:r>
    </w:p>
    <w:p w14:paraId="5B19B14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委托代理人身份证号码：                              </w:t>
      </w:r>
    </w:p>
    <w:p w14:paraId="48C8B45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8EA0C28">
      <w:pPr>
        <w:spacing w:line="360" w:lineRule="auto"/>
        <w:ind w:firstLine="3840" w:firstLineChars="16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供应商名称（电子签章）：</w:t>
      </w:r>
    </w:p>
    <w:p w14:paraId="04216DAD">
      <w:pPr>
        <w:spacing w:line="360" w:lineRule="auto"/>
        <w:contextualSpacing/>
        <w:jc w:val="center"/>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 xml:space="preserve">                                                   日期：  年  月   日</w:t>
      </w:r>
    </w:p>
    <w:p w14:paraId="462040E5">
      <w:pPr>
        <w:spacing w:line="360" w:lineRule="auto"/>
        <w:rPr>
          <w:rFonts w:hint="eastAsia" w:ascii="仿宋" w:hAnsi="仿宋" w:eastAsia="仿宋" w:cs="仿宋"/>
          <w:color w:val="auto"/>
          <w:sz w:val="24"/>
          <w:highlight w:val="none"/>
        </w:rPr>
      </w:pPr>
    </w:p>
    <w:p w14:paraId="07BA3E7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注：1.法定代表人必须在授权委托书上亲笔签字或盖章，委托代理人必须在授权委托书上亲笔签字，</w:t>
      </w:r>
      <w:r>
        <w:rPr>
          <w:rFonts w:hint="eastAsia" w:ascii="仿宋" w:hAnsi="仿宋" w:eastAsia="仿宋" w:cs="仿宋"/>
          <w:b/>
          <w:color w:val="auto"/>
          <w:sz w:val="24"/>
          <w:highlight w:val="none"/>
        </w:rPr>
        <w:t>否则其响应文件按无效响应处理。</w:t>
      </w:r>
    </w:p>
    <w:p w14:paraId="1AE66DB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4655A89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3.法人、其他组织竞标时“我方”是指“我单位”，自然人竞标时“我方”是指“本人”。</w:t>
      </w:r>
    </w:p>
    <w:p w14:paraId="37747E57">
      <w:pPr>
        <w:spacing w:line="360" w:lineRule="auto"/>
        <w:ind w:firstLine="480" w:firstLineChars="200"/>
        <w:contextualSpacing/>
        <w:jc w:val="left"/>
        <w:rPr>
          <w:rFonts w:hint="eastAsia" w:ascii="仿宋" w:hAnsi="仿宋" w:eastAsia="仿宋" w:cs="仿宋"/>
          <w:color w:val="auto"/>
          <w:sz w:val="24"/>
          <w:highlight w:val="none"/>
          <w:vertAlign w:val="baseline"/>
        </w:rPr>
      </w:pPr>
      <w:r>
        <w:rPr>
          <w:rFonts w:hint="eastAsia" w:ascii="仿宋" w:hAnsi="仿宋" w:eastAsia="仿宋" w:cs="仿宋"/>
          <w:color w:val="auto"/>
          <w:sz w:val="24"/>
          <w:highlight w:val="none"/>
        </w:rPr>
        <w:br w:type="page"/>
      </w:r>
      <w:r>
        <w:rPr>
          <w:rFonts w:hint="eastAsia" w:ascii="仿宋" w:hAnsi="仿宋" w:eastAsia="仿宋" w:cs="仿宋"/>
          <w:b/>
          <w:color w:val="auto"/>
          <w:sz w:val="24"/>
          <w:highlight w:val="none"/>
        </w:rPr>
        <w:t>附件：</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4B59E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7" w:hRule="atLeast"/>
        </w:trPr>
        <w:tc>
          <w:tcPr>
            <w:tcW w:w="8946" w:type="dxa"/>
            <w:noWrap w:val="0"/>
            <w:vAlign w:val="top"/>
          </w:tcPr>
          <w:p w14:paraId="558FCB93">
            <w:pPr>
              <w:spacing w:line="360" w:lineRule="auto"/>
              <w:contextualSpacing/>
              <w:jc w:val="left"/>
              <w:rPr>
                <w:rFonts w:hint="eastAsia" w:ascii="仿宋" w:hAnsi="仿宋" w:eastAsia="仿宋" w:cs="仿宋"/>
                <w:b/>
                <w:color w:val="auto"/>
                <w:sz w:val="24"/>
                <w:highlight w:val="none"/>
              </w:rPr>
            </w:pPr>
          </w:p>
          <w:p w14:paraId="1CFEB491">
            <w:pPr>
              <w:spacing w:line="360" w:lineRule="auto"/>
              <w:contextualSpacing/>
              <w:jc w:val="left"/>
              <w:rPr>
                <w:rFonts w:hint="eastAsia" w:ascii="仿宋" w:hAnsi="仿宋" w:eastAsia="仿宋" w:cs="仿宋"/>
                <w:color w:val="auto"/>
                <w:sz w:val="24"/>
                <w:highlight w:val="none"/>
                <w:vertAlign w:val="baseline"/>
              </w:rPr>
            </w:pPr>
            <w:r>
              <w:rPr>
                <w:rFonts w:hint="eastAsia" w:ascii="仿宋" w:hAnsi="仿宋" w:eastAsia="仿宋" w:cs="仿宋"/>
                <w:b/>
                <w:color w:val="auto"/>
                <w:sz w:val="24"/>
                <w:highlight w:val="none"/>
              </w:rPr>
              <w:t>法定代表身份证复印件</w:t>
            </w:r>
            <w:r>
              <w:rPr>
                <w:rFonts w:hint="eastAsia" w:ascii="仿宋" w:hAnsi="仿宋" w:eastAsia="仿宋" w:cs="仿宋"/>
                <w:b/>
                <w:color w:val="auto"/>
                <w:sz w:val="24"/>
                <w:highlight w:val="none"/>
                <w:lang w:val="en-US" w:eastAsia="zh-CN"/>
              </w:rPr>
              <w:t>粘贴</w:t>
            </w:r>
            <w:r>
              <w:rPr>
                <w:rFonts w:hint="eastAsia" w:ascii="仿宋" w:hAnsi="仿宋" w:eastAsia="仿宋" w:cs="仿宋"/>
                <w:b/>
                <w:color w:val="auto"/>
                <w:sz w:val="24"/>
                <w:highlight w:val="none"/>
              </w:rPr>
              <w:t>处（正、反面）</w:t>
            </w:r>
          </w:p>
        </w:tc>
      </w:tr>
      <w:tr w14:paraId="203E7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4" w:hRule="atLeast"/>
        </w:trPr>
        <w:tc>
          <w:tcPr>
            <w:tcW w:w="8946" w:type="dxa"/>
            <w:noWrap w:val="0"/>
            <w:vAlign w:val="top"/>
          </w:tcPr>
          <w:p w14:paraId="32DE1323">
            <w:pPr>
              <w:spacing w:line="360" w:lineRule="auto"/>
              <w:rPr>
                <w:rFonts w:hint="eastAsia" w:ascii="仿宋" w:hAnsi="仿宋" w:eastAsia="仿宋" w:cs="仿宋"/>
                <w:b/>
                <w:bCs/>
                <w:color w:val="auto"/>
                <w:sz w:val="24"/>
                <w:highlight w:val="none"/>
              </w:rPr>
            </w:pPr>
          </w:p>
          <w:p w14:paraId="01252850">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委托代理人有效身份证复印件</w:t>
            </w:r>
            <w:r>
              <w:rPr>
                <w:rFonts w:hint="eastAsia" w:ascii="仿宋" w:hAnsi="仿宋" w:eastAsia="仿宋" w:cs="仿宋"/>
                <w:b/>
                <w:color w:val="auto"/>
                <w:sz w:val="24"/>
                <w:highlight w:val="none"/>
                <w:lang w:val="en-US" w:eastAsia="zh-CN"/>
              </w:rPr>
              <w:t>粘贴</w:t>
            </w:r>
            <w:r>
              <w:rPr>
                <w:rFonts w:hint="eastAsia" w:ascii="仿宋" w:hAnsi="仿宋" w:eastAsia="仿宋" w:cs="仿宋"/>
                <w:b/>
                <w:color w:val="auto"/>
                <w:sz w:val="24"/>
                <w:highlight w:val="none"/>
              </w:rPr>
              <w:t>处（正、反面）</w:t>
            </w:r>
          </w:p>
          <w:p w14:paraId="4B3EAC8B">
            <w:pPr>
              <w:spacing w:line="360" w:lineRule="auto"/>
              <w:contextualSpacing/>
              <w:jc w:val="left"/>
              <w:rPr>
                <w:rFonts w:hint="eastAsia" w:ascii="仿宋" w:hAnsi="仿宋" w:eastAsia="仿宋" w:cs="仿宋"/>
                <w:b/>
                <w:color w:val="auto"/>
                <w:sz w:val="24"/>
                <w:highlight w:val="none"/>
              </w:rPr>
            </w:pPr>
          </w:p>
        </w:tc>
      </w:tr>
    </w:tbl>
    <w:p w14:paraId="3B137A7A">
      <w:pPr>
        <w:spacing w:line="360" w:lineRule="auto"/>
        <w:ind w:firstLine="480" w:firstLineChars="200"/>
        <w:jc w:val="left"/>
        <w:rPr>
          <w:rFonts w:hint="eastAsia" w:ascii="仿宋" w:hAnsi="仿宋" w:eastAsia="仿宋" w:cs="仿宋"/>
          <w:color w:val="auto"/>
          <w:sz w:val="24"/>
          <w:highlight w:val="none"/>
        </w:rPr>
      </w:pPr>
    </w:p>
    <w:p w14:paraId="222BE415">
      <w:pPr>
        <w:spacing w:line="360" w:lineRule="auto"/>
        <w:ind w:firstLine="420" w:firstLineChars="200"/>
        <w:jc w:val="left"/>
        <w:rPr>
          <w:rFonts w:hint="eastAsia" w:ascii="仿宋" w:hAnsi="仿宋" w:eastAsia="仿宋" w:cs="仿宋"/>
          <w:color w:val="auto"/>
          <w:szCs w:val="21"/>
          <w:highlight w:val="none"/>
        </w:rPr>
      </w:pPr>
    </w:p>
    <w:p w14:paraId="7382C6DA">
      <w:pPr>
        <w:spacing w:line="52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r>
        <w:rPr>
          <w:rFonts w:hint="eastAsia" w:ascii="仿宋" w:hAnsi="仿宋" w:eastAsia="仿宋" w:cs="仿宋"/>
          <w:b/>
          <w:bCs/>
          <w:color w:val="auto"/>
          <w:sz w:val="32"/>
          <w:szCs w:val="32"/>
          <w:highlight w:val="none"/>
        </w:rPr>
        <w:t>授权委托书（联合体竞标格式）</w:t>
      </w:r>
    </w:p>
    <w:p w14:paraId="2BAC0412">
      <w:pPr>
        <w:spacing w:line="52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（如有委托时）</w:t>
      </w:r>
    </w:p>
    <w:p w14:paraId="4737CC80">
      <w:pPr>
        <w:spacing w:line="500" w:lineRule="exact"/>
        <w:jc w:val="center"/>
        <w:rPr>
          <w:rFonts w:hint="eastAsia" w:ascii="仿宋" w:hAnsi="仿宋" w:eastAsia="仿宋" w:cs="仿宋"/>
          <w:color w:val="auto"/>
          <w:sz w:val="32"/>
          <w:szCs w:val="32"/>
          <w:highlight w:val="none"/>
        </w:rPr>
      </w:pPr>
    </w:p>
    <w:p w14:paraId="268B98A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本授权委托书声明：根据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（牵头人名称）与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（联合体其他成员名称）签订的《联合体竞标协议书》的内容，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（牵头人名称）的法定代表人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（姓名）现授权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（姓名）为联合委托代理人，并代表我方全权办理针对上述项目的所有采购程序和环节的具体事务和签署相关文件。</w:t>
      </w:r>
    </w:p>
    <w:p w14:paraId="5EBEC10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我方对委托代理人的签字事项负全部责任。</w:t>
      </w:r>
    </w:p>
    <w:p w14:paraId="19D568B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本授权书自签署之日起生效，在撤销授权的书面通知以前，本授权书一直有效。委托代理人在授权书有效期内签署的所有文件不因授权的撤销而失效。</w:t>
      </w:r>
    </w:p>
    <w:p w14:paraId="76FA387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委托代理人无转委托权，特此委托。</w:t>
      </w:r>
    </w:p>
    <w:p w14:paraId="012D55D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附：</w:t>
      </w:r>
      <w:r>
        <w:rPr>
          <w:rFonts w:hint="eastAsia" w:ascii="仿宋" w:hAnsi="仿宋" w:eastAsia="仿宋" w:cs="仿宋"/>
          <w:color w:val="auto"/>
          <w:sz w:val="24"/>
          <w:highlight w:val="none"/>
          <w:lang w:val="en-US" w:eastAsia="zh-CN"/>
        </w:rPr>
        <w:t>牵头人</w:t>
      </w:r>
      <w:r>
        <w:rPr>
          <w:rFonts w:hint="eastAsia" w:ascii="仿宋" w:hAnsi="仿宋" w:eastAsia="仿宋" w:cs="仿宋"/>
          <w:color w:val="auto"/>
          <w:sz w:val="24"/>
          <w:highlight w:val="none"/>
        </w:rPr>
        <w:t>法定代表人有效身份证正反面复印件及委托代理人有效身份证正反面复印件</w:t>
      </w:r>
    </w:p>
    <w:p w14:paraId="1441E99F">
      <w:pPr>
        <w:pStyle w:val="6"/>
        <w:rPr>
          <w:rFonts w:hint="eastAsia"/>
          <w:highlight w:val="none"/>
        </w:rPr>
      </w:pPr>
    </w:p>
    <w:p w14:paraId="14CCC58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牵头人法定代表人（签字或盖章）：</w:t>
      </w:r>
    </w:p>
    <w:p w14:paraId="4EA5A0E8">
      <w:pPr>
        <w:spacing w:line="360" w:lineRule="auto"/>
        <w:ind w:firstLine="3000" w:firstLineChars="1250"/>
        <w:rPr>
          <w:rFonts w:hint="eastAsia" w:ascii="仿宋" w:hAnsi="仿宋" w:eastAsia="仿宋" w:cs="仿宋"/>
          <w:color w:val="auto"/>
          <w:sz w:val="24"/>
          <w:highlight w:val="none"/>
        </w:rPr>
      </w:pPr>
      <w:r>
        <w:rPr>
          <w:rFonts w:hint="eastAsia" w:ascii="仿宋" w:hAnsi="仿宋" w:eastAsia="仿宋" w:cs="仿宋"/>
          <w:color w:val="auto"/>
          <w:sz w:val="24"/>
          <w:highlight w:val="none"/>
        </w:rPr>
        <w:t>牵头人（电子签章）：</w:t>
      </w:r>
    </w:p>
    <w:p w14:paraId="44459DA4">
      <w:pPr>
        <w:spacing w:line="360" w:lineRule="auto"/>
        <w:ind w:firstLine="3840" w:firstLineChars="16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70728295">
      <w:pPr>
        <w:spacing w:line="360" w:lineRule="auto"/>
        <w:rPr>
          <w:rFonts w:hint="eastAsia" w:ascii="仿宋" w:hAnsi="仿宋" w:eastAsia="仿宋" w:cs="仿宋"/>
          <w:color w:val="auto"/>
          <w:sz w:val="24"/>
          <w:highlight w:val="none"/>
        </w:rPr>
      </w:pPr>
    </w:p>
    <w:p w14:paraId="2C9DD07A">
      <w:pPr>
        <w:spacing w:line="360" w:lineRule="auto"/>
        <w:ind w:firstLine="3120"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被授权人（签字）：</w:t>
      </w:r>
    </w:p>
    <w:p w14:paraId="071BC8E4">
      <w:pPr>
        <w:spacing w:line="360" w:lineRule="auto"/>
        <w:ind w:firstLine="3840" w:firstLineChars="16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0F8AF0DA">
      <w:pPr>
        <w:spacing w:line="360" w:lineRule="auto"/>
        <w:rPr>
          <w:rFonts w:hint="eastAsia" w:ascii="仿宋" w:hAnsi="仿宋" w:eastAsia="仿宋" w:cs="仿宋"/>
          <w:color w:val="auto"/>
          <w:sz w:val="24"/>
          <w:highlight w:val="none"/>
        </w:rPr>
      </w:pPr>
    </w:p>
    <w:p w14:paraId="5EFC0B7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1662AEAB">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1.法定代表人必须在授权委托书上亲笔签字或盖章，委托代理人必须在授权委托书上亲笔签字，</w:t>
      </w:r>
      <w:r>
        <w:rPr>
          <w:rFonts w:hint="eastAsia" w:ascii="仿宋" w:hAnsi="仿宋" w:eastAsia="仿宋" w:cs="仿宋"/>
          <w:b/>
          <w:color w:val="auto"/>
          <w:sz w:val="24"/>
          <w:highlight w:val="none"/>
        </w:rPr>
        <w:t>否则其响应文件按无效响应处理。</w:t>
      </w:r>
    </w:p>
    <w:p w14:paraId="2D93BD35">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2.本授权委托书应由联合体牵头人的法定代表人按上述规定签署。</w:t>
      </w:r>
    </w:p>
    <w:p w14:paraId="2C5AACA1">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72929D64">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4.法人、其他组织竞标时“我方”是指“我单位”，自然人竞标时“我方”是指“本人”。</w:t>
      </w:r>
    </w:p>
    <w:p w14:paraId="387B60DE">
      <w:pPr>
        <w:spacing w:line="360" w:lineRule="auto"/>
        <w:ind w:firstLine="480" w:firstLineChars="200"/>
        <w:contextualSpacing/>
        <w:jc w:val="left"/>
        <w:rPr>
          <w:rFonts w:hint="eastAsia" w:ascii="仿宋" w:hAnsi="仿宋" w:eastAsia="仿宋" w:cs="仿宋"/>
          <w:color w:val="auto"/>
          <w:sz w:val="24"/>
          <w:highlight w:val="none"/>
          <w:vertAlign w:val="baseline"/>
        </w:rPr>
      </w:pPr>
      <w:r>
        <w:rPr>
          <w:rFonts w:hint="eastAsia" w:ascii="仿宋" w:hAnsi="仿宋" w:eastAsia="仿宋" w:cs="仿宋"/>
          <w:color w:val="auto"/>
          <w:sz w:val="24"/>
          <w:highlight w:val="none"/>
        </w:rPr>
        <w:br w:type="page"/>
      </w:r>
      <w:r>
        <w:rPr>
          <w:rFonts w:hint="eastAsia" w:ascii="仿宋" w:hAnsi="仿宋" w:eastAsia="仿宋" w:cs="仿宋"/>
          <w:b/>
          <w:color w:val="auto"/>
          <w:sz w:val="24"/>
          <w:highlight w:val="none"/>
        </w:rPr>
        <w:t>附件：</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50AC3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7" w:hRule="atLeast"/>
        </w:trPr>
        <w:tc>
          <w:tcPr>
            <w:tcW w:w="8946" w:type="dxa"/>
            <w:noWrap w:val="0"/>
            <w:vAlign w:val="top"/>
          </w:tcPr>
          <w:p w14:paraId="496D2D34">
            <w:pPr>
              <w:spacing w:line="360" w:lineRule="auto"/>
              <w:contextualSpacing/>
              <w:jc w:val="left"/>
              <w:rPr>
                <w:rFonts w:hint="eastAsia" w:ascii="仿宋" w:hAnsi="仿宋" w:eastAsia="仿宋" w:cs="仿宋"/>
                <w:b/>
                <w:color w:val="auto"/>
                <w:sz w:val="24"/>
                <w:highlight w:val="none"/>
              </w:rPr>
            </w:pPr>
          </w:p>
          <w:p w14:paraId="6817FDA5">
            <w:pPr>
              <w:spacing w:line="360" w:lineRule="auto"/>
              <w:contextualSpacing/>
              <w:jc w:val="left"/>
              <w:rPr>
                <w:rFonts w:hint="eastAsia" w:ascii="仿宋" w:hAnsi="仿宋" w:eastAsia="仿宋" w:cs="仿宋"/>
                <w:color w:val="auto"/>
                <w:sz w:val="24"/>
                <w:highlight w:val="none"/>
                <w:vertAlign w:val="baseline"/>
              </w:rPr>
            </w:pPr>
            <w:r>
              <w:rPr>
                <w:rFonts w:hint="eastAsia" w:ascii="仿宋" w:hAnsi="仿宋" w:eastAsia="仿宋" w:cs="仿宋"/>
                <w:b/>
                <w:color w:val="auto"/>
                <w:sz w:val="24"/>
                <w:highlight w:val="none"/>
                <w:lang w:val="en-US" w:eastAsia="zh-CN"/>
              </w:rPr>
              <w:t>牵头人</w:t>
            </w:r>
            <w:r>
              <w:rPr>
                <w:rFonts w:hint="eastAsia" w:ascii="仿宋" w:hAnsi="仿宋" w:eastAsia="仿宋" w:cs="仿宋"/>
                <w:b/>
                <w:color w:val="auto"/>
                <w:sz w:val="24"/>
                <w:highlight w:val="none"/>
              </w:rPr>
              <w:t>法定代表身份证复印件</w:t>
            </w:r>
            <w:r>
              <w:rPr>
                <w:rFonts w:hint="eastAsia" w:ascii="仿宋" w:hAnsi="仿宋" w:eastAsia="仿宋" w:cs="仿宋"/>
                <w:b/>
                <w:color w:val="auto"/>
                <w:sz w:val="24"/>
                <w:highlight w:val="none"/>
                <w:lang w:val="en-US" w:eastAsia="zh-CN"/>
              </w:rPr>
              <w:t>粘贴</w:t>
            </w:r>
            <w:r>
              <w:rPr>
                <w:rFonts w:hint="eastAsia" w:ascii="仿宋" w:hAnsi="仿宋" w:eastAsia="仿宋" w:cs="仿宋"/>
                <w:b/>
                <w:color w:val="auto"/>
                <w:sz w:val="24"/>
                <w:highlight w:val="none"/>
              </w:rPr>
              <w:t>处（正、反面）</w:t>
            </w:r>
          </w:p>
        </w:tc>
      </w:tr>
      <w:tr w14:paraId="1B3A1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4" w:hRule="atLeast"/>
        </w:trPr>
        <w:tc>
          <w:tcPr>
            <w:tcW w:w="8946" w:type="dxa"/>
            <w:noWrap w:val="0"/>
            <w:vAlign w:val="top"/>
          </w:tcPr>
          <w:p w14:paraId="30E15494">
            <w:pPr>
              <w:spacing w:line="360" w:lineRule="auto"/>
              <w:rPr>
                <w:rFonts w:hint="eastAsia" w:ascii="仿宋" w:hAnsi="仿宋" w:eastAsia="仿宋" w:cs="仿宋"/>
                <w:b/>
                <w:bCs/>
                <w:color w:val="auto"/>
                <w:sz w:val="24"/>
                <w:highlight w:val="none"/>
              </w:rPr>
            </w:pPr>
          </w:p>
          <w:p w14:paraId="7034A01D">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委托代理人有效身份证复印件</w:t>
            </w:r>
            <w:r>
              <w:rPr>
                <w:rFonts w:hint="eastAsia" w:ascii="仿宋" w:hAnsi="仿宋" w:eastAsia="仿宋" w:cs="仿宋"/>
                <w:b/>
                <w:color w:val="auto"/>
                <w:sz w:val="24"/>
                <w:highlight w:val="none"/>
                <w:lang w:val="en-US" w:eastAsia="zh-CN"/>
              </w:rPr>
              <w:t>粘贴</w:t>
            </w:r>
            <w:r>
              <w:rPr>
                <w:rFonts w:hint="eastAsia" w:ascii="仿宋" w:hAnsi="仿宋" w:eastAsia="仿宋" w:cs="仿宋"/>
                <w:b/>
                <w:color w:val="auto"/>
                <w:sz w:val="24"/>
                <w:highlight w:val="none"/>
              </w:rPr>
              <w:t>处（正、反面）</w:t>
            </w:r>
          </w:p>
          <w:p w14:paraId="50E3863B">
            <w:pPr>
              <w:spacing w:line="360" w:lineRule="auto"/>
              <w:contextualSpacing/>
              <w:jc w:val="left"/>
              <w:rPr>
                <w:rFonts w:hint="eastAsia" w:ascii="仿宋" w:hAnsi="仿宋" w:eastAsia="仿宋" w:cs="仿宋"/>
                <w:b/>
                <w:color w:val="auto"/>
                <w:sz w:val="24"/>
                <w:highlight w:val="none"/>
              </w:rPr>
            </w:pPr>
          </w:p>
        </w:tc>
      </w:tr>
    </w:tbl>
    <w:p w14:paraId="5C15AD2E">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仿宋" w:hAnsi="仿宋" w:eastAsia="仿宋" w:cs="仿宋"/>
          <w:color w:val="auto"/>
          <w:szCs w:val="21"/>
          <w:highlight w:val="none"/>
        </w:rPr>
      </w:pPr>
    </w:p>
    <w:p w14:paraId="2903E71B">
      <w:pPr>
        <w:snapToGrid w:val="0"/>
        <w:spacing w:line="360" w:lineRule="auto"/>
        <w:rPr>
          <w:rFonts w:hint="eastAsia" w:ascii="仿宋" w:hAnsi="仿宋" w:eastAsia="仿宋" w:cs="仿宋"/>
          <w:b/>
          <w:bCs/>
          <w:color w:val="auto"/>
          <w:sz w:val="32"/>
          <w:szCs w:val="32"/>
          <w:highlight w:val="none"/>
        </w:rPr>
      </w:pPr>
      <w:r>
        <w:rPr>
          <w:rFonts w:hint="eastAsia" w:ascii="仿宋" w:hAnsi="仿宋" w:eastAsia="仿宋" w:cs="仿宋"/>
          <w:b/>
          <w:color w:val="auto"/>
          <w:sz w:val="30"/>
          <w:szCs w:val="30"/>
          <w:highlight w:val="none"/>
          <w:lang w:val="en-US" w:eastAsia="zh-CN"/>
        </w:rPr>
        <w:br w:type="page"/>
      </w:r>
      <w:r>
        <w:rPr>
          <w:rFonts w:hint="eastAsia" w:ascii="仿宋" w:hAnsi="仿宋" w:eastAsia="仿宋" w:cs="仿宋"/>
          <w:b/>
          <w:color w:val="auto"/>
          <w:sz w:val="30"/>
          <w:szCs w:val="30"/>
          <w:highlight w:val="none"/>
          <w:lang w:val="en-US" w:eastAsia="zh-CN"/>
        </w:rPr>
        <w:t>四、</w:t>
      </w:r>
      <w:r>
        <w:rPr>
          <w:rFonts w:hint="eastAsia" w:ascii="仿宋" w:hAnsi="仿宋" w:eastAsia="仿宋" w:cs="仿宋"/>
          <w:b/>
          <w:color w:val="auto"/>
          <w:sz w:val="30"/>
          <w:szCs w:val="30"/>
          <w:highlight w:val="none"/>
        </w:rPr>
        <w:t>商务条款偏离表</w:t>
      </w:r>
    </w:p>
    <w:p w14:paraId="28B3FECC">
      <w:pPr>
        <w:spacing w:line="500" w:lineRule="exact"/>
        <w:jc w:val="center"/>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商务条款偏离表</w:t>
      </w:r>
    </w:p>
    <w:p w14:paraId="0D5887C5">
      <w:pPr>
        <w:spacing w:line="360" w:lineRule="auto"/>
        <w:contextualSpacing/>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single"/>
        </w:rPr>
        <w:t xml:space="preserve">                 </w:t>
      </w:r>
    </w:p>
    <w:p w14:paraId="36134462">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rPr>
        <w:t xml:space="preserve">                 </w:t>
      </w:r>
    </w:p>
    <w:p w14:paraId="0CC278D6">
      <w:pPr>
        <w:spacing w:line="360" w:lineRule="auto"/>
        <w:contextualSpacing/>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分标号</w:t>
      </w:r>
      <w:r>
        <w:rPr>
          <w:rFonts w:hint="eastAsia" w:ascii="仿宋" w:hAnsi="仿宋" w:eastAsia="仿宋" w:cs="仿宋"/>
          <w:color w:val="auto"/>
          <w:szCs w:val="21"/>
          <w:highlight w:val="none"/>
        </w:rPr>
        <w:t>（此处有分标时填写具体分标号，无分标时填写“无”）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tbl>
      <w:tblPr>
        <w:tblStyle w:val="31"/>
        <w:tblpPr w:leftFromText="180" w:rightFromText="180" w:vertAnchor="text" w:horzAnchor="margin" w:tblpXSpec="center" w:tblpY="94"/>
        <w:tblW w:w="9719"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3926"/>
        <w:gridCol w:w="3589"/>
        <w:gridCol w:w="1274"/>
      </w:tblGrid>
      <w:tr w14:paraId="29ED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14:paraId="59F137CB">
            <w:pPr>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4FC6364D">
            <w:pPr>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竞争性谈判采购文件的商务需求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78ACB541">
            <w:pPr>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35F035D7">
            <w:pPr>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偏离说明</w:t>
            </w:r>
          </w:p>
        </w:tc>
      </w:tr>
      <w:tr w14:paraId="05DF0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14:paraId="278138D6">
            <w:pPr>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4B7297BC">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w:t>
            </w:r>
          </w:p>
          <w:p w14:paraId="1417A0DA">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w:t>
            </w:r>
          </w:p>
          <w:p w14:paraId="02866B26">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w:t>
            </w:r>
          </w:p>
          <w:p w14:paraId="79E16A30">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729A853C">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w:t>
            </w:r>
          </w:p>
          <w:p w14:paraId="66396FCF">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w:t>
            </w:r>
          </w:p>
          <w:p w14:paraId="2EEDAE36">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w:t>
            </w:r>
          </w:p>
          <w:p w14:paraId="4CE43871">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1389ED13">
            <w:pPr>
              <w:spacing w:line="300" w:lineRule="exact"/>
              <w:rPr>
                <w:rFonts w:hint="eastAsia" w:ascii="仿宋" w:hAnsi="仿宋" w:eastAsia="仿宋" w:cs="仿宋"/>
                <w:color w:val="auto"/>
                <w:sz w:val="24"/>
                <w:szCs w:val="24"/>
                <w:highlight w:val="none"/>
              </w:rPr>
            </w:pPr>
          </w:p>
        </w:tc>
      </w:tr>
      <w:tr w14:paraId="15F6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0"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14:paraId="24FD20C8">
            <w:pPr>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25BCB062">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w:t>
            </w:r>
          </w:p>
          <w:p w14:paraId="720E1137">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w:t>
            </w:r>
          </w:p>
          <w:p w14:paraId="33693A11">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w:t>
            </w:r>
          </w:p>
          <w:p w14:paraId="40598D04">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5C3D6ABE">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w:t>
            </w:r>
          </w:p>
          <w:p w14:paraId="16685F1D">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w:t>
            </w:r>
          </w:p>
          <w:p w14:paraId="6DBA707A">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w:t>
            </w:r>
          </w:p>
          <w:p w14:paraId="7298732B">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35A498A0">
            <w:pPr>
              <w:spacing w:line="300" w:lineRule="exact"/>
              <w:rPr>
                <w:rFonts w:hint="eastAsia" w:ascii="仿宋" w:hAnsi="仿宋" w:eastAsia="仿宋" w:cs="仿宋"/>
                <w:color w:val="auto"/>
                <w:sz w:val="24"/>
                <w:szCs w:val="24"/>
                <w:highlight w:val="none"/>
              </w:rPr>
            </w:pPr>
          </w:p>
        </w:tc>
      </w:tr>
      <w:tr w14:paraId="5EC8A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14:paraId="602BA762">
            <w:pPr>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430D42C5">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w:t>
            </w:r>
          </w:p>
          <w:p w14:paraId="25F957BC">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w:t>
            </w:r>
          </w:p>
          <w:p w14:paraId="4E54013F">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w:t>
            </w:r>
          </w:p>
          <w:p w14:paraId="0970741D">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42851E44">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w:t>
            </w:r>
          </w:p>
          <w:p w14:paraId="3F1CD2D0">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w:t>
            </w:r>
          </w:p>
          <w:p w14:paraId="63D1E62C">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w:t>
            </w:r>
          </w:p>
          <w:p w14:paraId="613913A6">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282DBC35">
            <w:pPr>
              <w:spacing w:line="300" w:lineRule="exact"/>
              <w:rPr>
                <w:rFonts w:hint="eastAsia" w:ascii="仿宋" w:hAnsi="仿宋" w:eastAsia="仿宋" w:cs="仿宋"/>
                <w:color w:val="auto"/>
                <w:sz w:val="24"/>
                <w:szCs w:val="24"/>
                <w:highlight w:val="none"/>
              </w:rPr>
            </w:pPr>
          </w:p>
        </w:tc>
      </w:tr>
    </w:tbl>
    <w:p w14:paraId="78FE4C9F">
      <w:pPr>
        <w:pStyle w:val="14"/>
        <w:spacing w:line="400" w:lineRule="exact"/>
        <w:ind w:firstLine="0" w:firstLineChars="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1D293906">
      <w:pPr>
        <w:pStyle w:val="14"/>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1.说明：应对照谈判文件“第二章 采购需求”中的商务条款逐条作出明确响应，并作出偏离说明。</w:t>
      </w:r>
    </w:p>
    <w:p w14:paraId="77FB9E00">
      <w:pPr>
        <w:pStyle w:val="14"/>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应根据自身的承诺，对照谈判文件要求，在“偏离说明”中注明“正偏离”、“负偏离”或者“无偏离”。既不属于“正偏离”也不属于“负偏离”即为“无偏离”。当响应文件的商务内容低于竞争性谈判采购文件要求时，竞标人应当如实写明“负偏离”，否则视为虚假应标</w:t>
      </w:r>
    </w:p>
    <w:p w14:paraId="0CEA501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3.表格内容均需按要求填写并盖章，不得留空，否则按竞标无效处理。</w:t>
      </w:r>
    </w:p>
    <w:p w14:paraId="515658B4">
      <w:pPr>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50C8A6B9">
      <w:pPr>
        <w:spacing w:line="360" w:lineRule="auto"/>
        <w:ind w:right="-817" w:rightChars="-389"/>
        <w:contextualSpacing/>
        <w:rPr>
          <w:rFonts w:hint="eastAsia" w:ascii="仿宋" w:hAnsi="仿宋" w:eastAsia="仿宋" w:cs="仿宋"/>
          <w:color w:val="auto"/>
          <w:sz w:val="24"/>
          <w:highlight w:val="none"/>
        </w:rPr>
      </w:pPr>
    </w:p>
    <w:p w14:paraId="0EE680BF">
      <w:pPr>
        <w:spacing w:line="360" w:lineRule="auto"/>
        <w:ind w:firstLine="3840" w:firstLineChars="16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供应商名称（电子签章）：</w:t>
      </w:r>
    </w:p>
    <w:p w14:paraId="19376054">
      <w:pPr>
        <w:spacing w:line="360" w:lineRule="auto"/>
        <w:contextualSpacing/>
        <w:jc w:val="center"/>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 xml:space="preserve">                                                   日期：  年  月   日</w:t>
      </w:r>
    </w:p>
    <w:p w14:paraId="1F858002">
      <w:pPr>
        <w:snapToGrid w:val="0"/>
        <w:spacing w:line="360" w:lineRule="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五</w:t>
      </w:r>
      <w:r>
        <w:rPr>
          <w:rFonts w:hint="eastAsia" w:ascii="仿宋" w:hAnsi="仿宋" w:eastAsia="仿宋" w:cs="仿宋"/>
          <w:b/>
          <w:color w:val="auto"/>
          <w:sz w:val="30"/>
          <w:szCs w:val="30"/>
          <w:highlight w:val="none"/>
        </w:rPr>
        <w:t>、竞标人情况介绍</w:t>
      </w:r>
    </w:p>
    <w:p w14:paraId="2B4AB5E3">
      <w:pPr>
        <w:snapToGrid w:val="0"/>
        <w:spacing w:line="360" w:lineRule="auto"/>
        <w:ind w:firstLine="602" w:firstLineChars="200"/>
        <w:rPr>
          <w:rFonts w:hint="eastAsia" w:ascii="仿宋" w:hAnsi="仿宋" w:eastAsia="仿宋" w:cs="仿宋"/>
          <w:b/>
          <w:color w:val="auto"/>
          <w:sz w:val="30"/>
          <w:szCs w:val="30"/>
          <w:highlight w:val="none"/>
        </w:rPr>
      </w:pPr>
    </w:p>
    <w:p w14:paraId="008247E8">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0B9AC71D">
      <w:pPr>
        <w:autoSpaceDE w:val="0"/>
        <w:autoSpaceDN w:val="0"/>
        <w:spacing w:line="360" w:lineRule="auto"/>
        <w:ind w:firstLine="6480" w:firstLineChars="270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041FF322">
      <w:pPr>
        <w:snapToGrid w:val="0"/>
        <w:spacing w:before="120" w:beforeLines="50" w:after="50"/>
        <w:rPr>
          <w:rFonts w:hint="eastAsia" w:ascii="仿宋" w:hAnsi="仿宋" w:eastAsia="仿宋" w:cs="仿宋"/>
          <w:b/>
          <w:color w:val="auto"/>
          <w:sz w:val="30"/>
          <w:szCs w:val="30"/>
          <w:highlight w:val="none"/>
        </w:rPr>
      </w:pPr>
    </w:p>
    <w:p w14:paraId="23CEA085">
      <w:pPr>
        <w:snapToGrid w:val="0"/>
        <w:spacing w:before="120" w:beforeLines="50" w:after="50"/>
        <w:rPr>
          <w:rFonts w:hint="eastAsia" w:ascii="仿宋" w:hAnsi="仿宋" w:eastAsia="仿宋" w:cs="仿宋"/>
          <w:b/>
          <w:color w:val="auto"/>
          <w:sz w:val="30"/>
          <w:szCs w:val="30"/>
          <w:highlight w:val="none"/>
        </w:rPr>
      </w:pPr>
    </w:p>
    <w:p w14:paraId="45C1DFD2">
      <w:pPr>
        <w:snapToGrid w:val="0"/>
        <w:spacing w:before="120" w:beforeLines="50" w:after="50"/>
        <w:rPr>
          <w:rFonts w:hint="default"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lang w:val="en-US" w:eastAsia="zh-CN"/>
        </w:rPr>
        <w:t>六</w:t>
      </w:r>
      <w:r>
        <w:rPr>
          <w:rFonts w:hint="eastAsia" w:ascii="仿宋" w:hAnsi="仿宋" w:eastAsia="仿宋" w:cs="仿宋"/>
          <w:b/>
          <w:color w:val="auto"/>
          <w:sz w:val="30"/>
          <w:szCs w:val="30"/>
          <w:highlight w:val="none"/>
        </w:rPr>
        <w:t>、供应商</w:t>
      </w:r>
      <w:r>
        <w:rPr>
          <w:rFonts w:hint="eastAsia" w:ascii="仿宋" w:hAnsi="仿宋" w:eastAsia="仿宋" w:cs="仿宋"/>
          <w:b/>
          <w:color w:val="auto"/>
          <w:sz w:val="30"/>
          <w:szCs w:val="30"/>
          <w:highlight w:val="none"/>
          <w:lang w:val="en-US" w:eastAsia="zh-CN"/>
        </w:rPr>
        <w:t>认为需要提供的其他有关材料</w:t>
      </w:r>
    </w:p>
    <w:p w14:paraId="37947FE8">
      <w:pPr>
        <w:pStyle w:val="24"/>
        <w:snapToGrid w:val="0"/>
        <w:ind w:left="480" w:hanging="480"/>
        <w:rPr>
          <w:rFonts w:hint="eastAsia" w:ascii="仿宋" w:hAnsi="仿宋" w:eastAsia="仿宋" w:cs="仿宋"/>
          <w:color w:val="auto"/>
          <w:sz w:val="24"/>
          <w:highlight w:val="none"/>
        </w:rPr>
      </w:pPr>
    </w:p>
    <w:p w14:paraId="67AFA36C">
      <w:pPr>
        <w:snapToGrid w:val="0"/>
        <w:spacing w:line="360" w:lineRule="auto"/>
        <w:ind w:firstLine="4935" w:firstLineChars="235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396B3094">
      <w:pPr>
        <w:snapToGrid w:val="0"/>
        <w:spacing w:line="360" w:lineRule="auto"/>
        <w:ind w:left="4410" w:leftChars="2100" w:firstLine="5670" w:firstLineChars="2700"/>
        <w:rPr>
          <w:rFonts w:hint="eastAsia" w:ascii="仿宋" w:hAnsi="仿宋" w:eastAsia="仿宋" w:cs="仿宋"/>
          <w:color w:val="auto"/>
          <w:kern w:val="0"/>
          <w:sz w:val="24"/>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kern w:val="0"/>
          <w:sz w:val="24"/>
          <w:highlight w:val="none"/>
          <w:lang w:val="zh-CN"/>
        </w:rPr>
        <w:t>供应商名称（电子签章）：</w:t>
      </w:r>
    </w:p>
    <w:p w14:paraId="19922423">
      <w:pPr>
        <w:spacing w:line="500" w:lineRule="exact"/>
        <w:jc w:val="center"/>
        <w:rPr>
          <w:rFonts w:hint="eastAsia" w:ascii="仿宋" w:hAnsi="仿宋" w:eastAsia="仿宋" w:cs="仿宋"/>
          <w:color w:val="auto"/>
          <w:sz w:val="32"/>
          <w:szCs w:val="32"/>
          <w:highlight w:val="none"/>
        </w:rPr>
        <w:sectPr>
          <w:pgSz w:w="11911" w:h="16838"/>
          <w:pgMar w:top="1338" w:right="1502" w:bottom="850" w:left="1678" w:header="1077" w:footer="720" w:gutter="0"/>
          <w:pgNumType w:fmt="decimal"/>
          <w:cols w:space="720" w:num="1"/>
          <w:rtlGutter w:val="0"/>
          <w:docGrid w:linePitch="0" w:charSpace="0"/>
        </w:sect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4F2E680E">
      <w:pPr>
        <w:snapToGrid w:val="0"/>
        <w:spacing w:line="360" w:lineRule="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七</w:t>
      </w:r>
      <w:r>
        <w:rPr>
          <w:rFonts w:hint="eastAsia" w:ascii="仿宋" w:hAnsi="仿宋" w:eastAsia="仿宋" w:cs="仿宋"/>
          <w:b/>
          <w:color w:val="auto"/>
          <w:sz w:val="30"/>
          <w:szCs w:val="30"/>
          <w:highlight w:val="none"/>
        </w:rPr>
        <w:t>、货物需求偏离表</w:t>
      </w:r>
    </w:p>
    <w:p w14:paraId="5CB563B9">
      <w:pPr>
        <w:spacing w:line="500" w:lineRule="exact"/>
        <w:jc w:val="center"/>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货物需求偏离表</w:t>
      </w:r>
    </w:p>
    <w:p w14:paraId="2965E84F">
      <w:pPr>
        <w:spacing w:line="500" w:lineRule="exact"/>
        <w:jc w:val="center"/>
        <w:rPr>
          <w:rFonts w:hint="eastAsia" w:ascii="仿宋" w:hAnsi="仿宋" w:eastAsia="仿宋" w:cs="仿宋"/>
          <w:b/>
          <w:color w:val="auto"/>
          <w:sz w:val="32"/>
          <w:szCs w:val="32"/>
          <w:highlight w:val="none"/>
          <w:lang w:eastAsia="zh-CN"/>
        </w:rPr>
      </w:pPr>
      <w:r>
        <w:rPr>
          <w:rFonts w:hint="eastAsia" w:ascii="仿宋" w:hAnsi="仿宋" w:eastAsia="仿宋" w:cs="仿宋"/>
          <w:b/>
          <w:bCs w:val="0"/>
          <w:color w:val="auto"/>
          <w:sz w:val="32"/>
          <w:szCs w:val="32"/>
          <w:highlight w:val="none"/>
          <w:lang w:eastAsia="zh-CN"/>
        </w:rPr>
        <w:t>（</w:t>
      </w:r>
      <w:r>
        <w:rPr>
          <w:rFonts w:hint="eastAsia" w:ascii="仿宋" w:hAnsi="仿宋" w:eastAsia="仿宋" w:cs="仿宋"/>
          <w:b/>
          <w:bCs w:val="0"/>
          <w:color w:val="auto"/>
          <w:sz w:val="32"/>
          <w:szCs w:val="32"/>
          <w:highlight w:val="none"/>
        </w:rPr>
        <w:t>注：按采购需求具体条款修改</w:t>
      </w:r>
      <w:r>
        <w:rPr>
          <w:rFonts w:hint="eastAsia" w:ascii="仿宋" w:hAnsi="仿宋" w:eastAsia="仿宋" w:cs="仿宋"/>
          <w:b/>
          <w:bCs w:val="0"/>
          <w:color w:val="auto"/>
          <w:sz w:val="32"/>
          <w:szCs w:val="32"/>
          <w:highlight w:val="none"/>
          <w:lang w:eastAsia="zh-CN"/>
        </w:rPr>
        <w:t>）</w:t>
      </w:r>
    </w:p>
    <w:p w14:paraId="5F10E1D1">
      <w:pPr>
        <w:spacing w:line="360" w:lineRule="auto"/>
        <w:contextualSpacing/>
        <w:jc w:val="left"/>
        <w:rPr>
          <w:rFonts w:hint="eastAsia" w:ascii="仿宋" w:hAnsi="仿宋" w:eastAsia="仿宋" w:cs="仿宋"/>
          <w:color w:val="auto"/>
          <w:sz w:val="24"/>
          <w:highlight w:val="none"/>
        </w:rPr>
      </w:pPr>
    </w:p>
    <w:p w14:paraId="2272D7E3">
      <w:pPr>
        <w:spacing w:line="360" w:lineRule="auto"/>
        <w:contextualSpacing/>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single"/>
        </w:rPr>
        <w:t xml:space="preserve">                 </w:t>
      </w:r>
    </w:p>
    <w:p w14:paraId="51C8E6D0">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rPr>
        <w:t xml:space="preserve">                 </w:t>
      </w:r>
    </w:p>
    <w:p w14:paraId="40A76AA4">
      <w:pPr>
        <w:spacing w:line="360" w:lineRule="auto"/>
        <w:contextualSpacing/>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分标号</w:t>
      </w:r>
      <w:r>
        <w:rPr>
          <w:rFonts w:hint="eastAsia" w:ascii="仿宋" w:hAnsi="仿宋" w:eastAsia="仿宋" w:cs="仿宋"/>
          <w:color w:val="auto"/>
          <w:szCs w:val="21"/>
          <w:highlight w:val="none"/>
        </w:rPr>
        <w:t>（此处有分标时填写具体分标号，无分标时填写“无”）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275"/>
        <w:gridCol w:w="814"/>
        <w:gridCol w:w="2220"/>
        <w:gridCol w:w="1318"/>
        <w:gridCol w:w="737"/>
        <w:gridCol w:w="1770"/>
        <w:gridCol w:w="791"/>
      </w:tblGrid>
      <w:tr w14:paraId="0DC11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14:paraId="02AEDEB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项号</w:t>
            </w:r>
          </w:p>
        </w:tc>
        <w:tc>
          <w:tcPr>
            <w:tcW w:w="4309" w:type="dxa"/>
            <w:gridSpan w:val="3"/>
            <w:tcBorders>
              <w:top w:val="single" w:color="auto" w:sz="4" w:space="0"/>
              <w:left w:val="single" w:color="auto" w:sz="4" w:space="0"/>
              <w:bottom w:val="single" w:color="auto" w:sz="4" w:space="0"/>
              <w:right w:val="single" w:color="auto" w:sz="4" w:space="0"/>
            </w:tcBorders>
            <w:noWrap w:val="0"/>
            <w:vAlign w:val="center"/>
          </w:tcPr>
          <w:p w14:paraId="53699A4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竞争性谈判采购文件需求</w:t>
            </w:r>
          </w:p>
        </w:tc>
        <w:tc>
          <w:tcPr>
            <w:tcW w:w="3825" w:type="dxa"/>
            <w:gridSpan w:val="3"/>
            <w:tcBorders>
              <w:top w:val="single" w:color="auto" w:sz="4" w:space="0"/>
              <w:left w:val="single" w:color="auto" w:sz="4" w:space="0"/>
              <w:bottom w:val="single" w:color="auto" w:sz="4" w:space="0"/>
              <w:right w:val="single" w:color="auto" w:sz="4" w:space="0"/>
            </w:tcBorders>
            <w:noWrap w:val="0"/>
            <w:vAlign w:val="center"/>
          </w:tcPr>
          <w:p w14:paraId="6E9542E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响应文件承诺</w:t>
            </w:r>
          </w:p>
        </w:tc>
        <w:tc>
          <w:tcPr>
            <w:tcW w:w="791" w:type="dxa"/>
            <w:vMerge w:val="restart"/>
            <w:tcBorders>
              <w:top w:val="single" w:color="auto" w:sz="4" w:space="0"/>
              <w:left w:val="single" w:color="auto" w:sz="4" w:space="0"/>
              <w:bottom w:val="single" w:color="auto" w:sz="4" w:space="0"/>
              <w:right w:val="single" w:color="auto" w:sz="4" w:space="0"/>
            </w:tcBorders>
            <w:noWrap w:val="0"/>
            <w:vAlign w:val="center"/>
          </w:tcPr>
          <w:p w14:paraId="1FB1AAA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偏离说明</w:t>
            </w:r>
          </w:p>
        </w:tc>
      </w:tr>
      <w:tr w14:paraId="256E6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14:paraId="653F0110">
            <w:pPr>
              <w:widowControl/>
              <w:jc w:val="center"/>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02E7EA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货物名称</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10C244D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A9394E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货物技术参数要求</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182D46E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货物名称</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286AE80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D7A818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货物技术参数</w:t>
            </w:r>
          </w:p>
        </w:tc>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14:paraId="1DA402E9">
            <w:pPr>
              <w:widowControl/>
              <w:jc w:val="center"/>
              <w:rPr>
                <w:rFonts w:hint="eastAsia" w:ascii="仿宋" w:hAnsi="仿宋" w:eastAsia="仿宋" w:cs="仿宋"/>
                <w:color w:val="auto"/>
                <w:sz w:val="24"/>
                <w:szCs w:val="24"/>
                <w:highlight w:val="none"/>
              </w:rPr>
            </w:pPr>
          </w:p>
        </w:tc>
      </w:tr>
      <w:tr w14:paraId="0CECF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73E3AB0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497FA0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1708B3E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529914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w:t>
            </w:r>
          </w:p>
          <w:p w14:paraId="7B7ACAE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w:t>
            </w:r>
          </w:p>
          <w:p w14:paraId="450C7E7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w:t>
            </w:r>
          </w:p>
          <w:p w14:paraId="6D339E2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1A3FC07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1602E2A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312835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w:t>
            </w:r>
          </w:p>
          <w:p w14:paraId="0341D10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w:t>
            </w:r>
          </w:p>
          <w:p w14:paraId="426EAC9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w:t>
            </w:r>
          </w:p>
          <w:p w14:paraId="06C640F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2A26D24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highlight w:val="none"/>
              </w:rPr>
            </w:pPr>
          </w:p>
        </w:tc>
      </w:tr>
      <w:tr w14:paraId="41DA8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4758302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266DF6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6456BBD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2FE678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w:t>
            </w:r>
          </w:p>
          <w:p w14:paraId="268412E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w:t>
            </w:r>
          </w:p>
          <w:p w14:paraId="62DA7F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w:t>
            </w:r>
          </w:p>
          <w:p w14:paraId="0EB078E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F64A47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19B4BED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2BE25E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w:t>
            </w:r>
          </w:p>
          <w:p w14:paraId="11BAB6A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w:t>
            </w:r>
          </w:p>
          <w:p w14:paraId="3623853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w:t>
            </w:r>
          </w:p>
          <w:p w14:paraId="2C1817A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4AC19D2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highlight w:val="none"/>
              </w:rPr>
            </w:pPr>
          </w:p>
        </w:tc>
      </w:tr>
      <w:tr w14:paraId="6EF46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187B754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A6FA4B2">
            <w:pPr>
              <w:jc w:val="center"/>
              <w:rPr>
                <w:rFonts w:hint="eastAsia" w:ascii="仿宋" w:hAnsi="仿宋" w:eastAsia="仿宋" w:cs="仿宋"/>
                <w:color w:val="auto"/>
                <w:sz w:val="24"/>
                <w:szCs w:val="24"/>
                <w:highlight w:val="none"/>
              </w:rPr>
            </w:pPr>
          </w:p>
        </w:tc>
        <w:tc>
          <w:tcPr>
            <w:tcW w:w="814" w:type="dxa"/>
            <w:tcBorders>
              <w:top w:val="single" w:color="auto" w:sz="4" w:space="0"/>
              <w:left w:val="single" w:color="auto" w:sz="4" w:space="0"/>
              <w:bottom w:val="single" w:color="auto" w:sz="4" w:space="0"/>
              <w:right w:val="single" w:color="auto" w:sz="4" w:space="0"/>
            </w:tcBorders>
            <w:noWrap w:val="0"/>
            <w:vAlign w:val="center"/>
          </w:tcPr>
          <w:p w14:paraId="5F07A95A">
            <w:pPr>
              <w:jc w:val="center"/>
              <w:rPr>
                <w:rFonts w:hint="eastAsia" w:ascii="仿宋" w:hAnsi="仿宋" w:eastAsia="仿宋" w:cs="仿宋"/>
                <w:color w:val="auto"/>
                <w:sz w:val="24"/>
                <w:szCs w:val="24"/>
                <w:highlight w:val="none"/>
              </w:rPr>
            </w:pP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6D3FF94">
            <w:pPr>
              <w:jc w:val="center"/>
              <w:rPr>
                <w:rFonts w:hint="eastAsia" w:ascii="仿宋" w:hAnsi="仿宋" w:eastAsia="仿宋" w:cs="仿宋"/>
                <w:color w:val="auto"/>
                <w:sz w:val="24"/>
                <w:szCs w:val="24"/>
                <w:highlight w:val="none"/>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602190E">
            <w:pPr>
              <w:jc w:val="center"/>
              <w:rPr>
                <w:rFonts w:hint="eastAsia" w:ascii="仿宋" w:hAnsi="仿宋" w:eastAsia="仿宋" w:cs="仿宋"/>
                <w:color w:val="auto"/>
                <w:sz w:val="24"/>
                <w:szCs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52EAFCB4">
            <w:pPr>
              <w:jc w:val="center"/>
              <w:rPr>
                <w:rFonts w:hint="eastAsia" w:ascii="仿宋" w:hAnsi="仿宋" w:eastAsia="仿宋" w:cs="仿宋"/>
                <w:color w:val="auto"/>
                <w:sz w:val="24"/>
                <w:szCs w:val="24"/>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826EAE2">
            <w:pPr>
              <w:jc w:val="center"/>
              <w:rPr>
                <w:rFonts w:hint="eastAsia" w:ascii="仿宋" w:hAnsi="仿宋" w:eastAsia="仿宋" w:cs="仿宋"/>
                <w:color w:val="auto"/>
                <w:sz w:val="24"/>
                <w:szCs w:val="24"/>
                <w:highlight w:val="none"/>
              </w:rPr>
            </w:pPr>
          </w:p>
        </w:tc>
        <w:tc>
          <w:tcPr>
            <w:tcW w:w="791" w:type="dxa"/>
            <w:tcBorders>
              <w:top w:val="single" w:color="auto" w:sz="4" w:space="0"/>
              <w:left w:val="single" w:color="auto" w:sz="4" w:space="0"/>
              <w:bottom w:val="single" w:color="auto" w:sz="4" w:space="0"/>
              <w:right w:val="single" w:color="auto" w:sz="4" w:space="0"/>
            </w:tcBorders>
            <w:noWrap w:val="0"/>
            <w:vAlign w:val="center"/>
          </w:tcPr>
          <w:p w14:paraId="2E58DADC">
            <w:pPr>
              <w:jc w:val="center"/>
              <w:rPr>
                <w:rFonts w:hint="eastAsia" w:ascii="仿宋" w:hAnsi="仿宋" w:eastAsia="仿宋" w:cs="仿宋"/>
                <w:color w:val="auto"/>
                <w:sz w:val="24"/>
                <w:szCs w:val="24"/>
                <w:highlight w:val="none"/>
              </w:rPr>
            </w:pPr>
          </w:p>
        </w:tc>
      </w:tr>
    </w:tbl>
    <w:p w14:paraId="64EC4318">
      <w:pPr>
        <w:pStyle w:val="13"/>
        <w:keepNext w:val="0"/>
        <w:keepLines w:val="0"/>
        <w:pageBreakBefore w:val="0"/>
        <w:widowControl w:val="0"/>
        <w:kinsoku/>
        <w:wordWrap/>
        <w:overflowPunct/>
        <w:topLinePunct w:val="0"/>
        <w:autoSpaceDE/>
        <w:autoSpaceDN/>
        <w:bidi w:val="0"/>
        <w:adjustRightInd/>
        <w:snapToGrid/>
        <w:spacing w:before="0" w:beforeLines="50" w:after="0" w:line="360" w:lineRule="auto"/>
        <w:contextualSpacing/>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p>
    <w:p w14:paraId="5489A002">
      <w:pPr>
        <w:pStyle w:val="13"/>
        <w:keepNext w:val="0"/>
        <w:keepLines w:val="0"/>
        <w:pageBreakBefore w:val="0"/>
        <w:widowControl w:val="0"/>
        <w:kinsoku/>
        <w:wordWrap/>
        <w:overflowPunct/>
        <w:topLinePunct w:val="0"/>
        <w:autoSpaceDE/>
        <w:autoSpaceDN/>
        <w:bidi w:val="0"/>
        <w:adjustRightInd/>
        <w:snapToGrid/>
        <w:spacing w:after="0" w:line="360" w:lineRule="exact"/>
        <w:ind w:firstLine="480" w:firstLineChars="200"/>
        <w:contextualSpacing/>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1.说明：应对照谈判文件“第二章”中“货物需求一览表”的采购清单及技术参数条款逐条作出明确响应，并作出偏离说明。</w:t>
      </w:r>
    </w:p>
    <w:p w14:paraId="096384F8">
      <w:pPr>
        <w:pStyle w:val="14"/>
        <w:keepNext w:val="0"/>
        <w:keepLines w:val="0"/>
        <w:pageBreakBefore w:val="0"/>
        <w:widowControl w:val="0"/>
        <w:kinsoku/>
        <w:wordWrap/>
        <w:overflowPunct/>
        <w:topLinePunct w:val="0"/>
        <w:autoSpaceDE/>
        <w:autoSpaceDN/>
        <w:bidi w:val="0"/>
        <w:adjustRightInd/>
        <w:snapToGrid/>
        <w:spacing w:line="360" w:lineRule="exact"/>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应根据自身的承诺，对照谈判文件要求，在“偏离说明”中注明“正偏离”、“负偏离”或者“无偏离”。既不属于“正偏离”也不属于“负偏离”即为“无偏离”。当响应文件的商务内容低于竞争性谈判采购文件要求时，竞标人应当如实写明“负偏离”，否则视为虚假应标</w:t>
      </w:r>
    </w:p>
    <w:p w14:paraId="5F4AB39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3.表格内容均需按要求填写并盖章，不得留空，否则按竞标无效处理。</w:t>
      </w:r>
    </w:p>
    <w:p w14:paraId="3F1985A1">
      <w:pPr>
        <w:keepNext w:val="0"/>
        <w:keepLines w:val="0"/>
        <w:pageBreakBefore w:val="0"/>
        <w:widowControl w:val="0"/>
        <w:kinsoku/>
        <w:wordWrap/>
        <w:overflowPunct/>
        <w:topLinePunct w:val="0"/>
        <w:autoSpaceDE/>
        <w:autoSpaceDN/>
        <w:bidi w:val="0"/>
        <w:adjustRightInd/>
        <w:snapToGrid/>
        <w:spacing w:line="360" w:lineRule="exact"/>
        <w:ind w:firstLine="480" w:firstLineChars="200"/>
        <w:contextualSpacing/>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47E0A52C">
      <w:pPr>
        <w:pStyle w:val="14"/>
        <w:keepNext w:val="0"/>
        <w:keepLines w:val="0"/>
        <w:pageBreakBefore w:val="0"/>
        <w:widowControl w:val="0"/>
        <w:kinsoku/>
        <w:wordWrap/>
        <w:overflowPunct/>
        <w:topLinePunct w:val="0"/>
        <w:autoSpaceDE/>
        <w:autoSpaceDN/>
        <w:bidi w:val="0"/>
        <w:adjustRightInd/>
        <w:snapToGrid/>
        <w:spacing w:line="360" w:lineRule="exact"/>
        <w:ind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5.如技术偏离表中的竞标响应与佐证材料不一致的，以佐证材料为准。</w:t>
      </w:r>
    </w:p>
    <w:p w14:paraId="3CC0F7FF">
      <w:pPr>
        <w:snapToGrid w:val="0"/>
        <w:spacing w:line="360" w:lineRule="auto"/>
        <w:ind w:firstLine="602" w:firstLineChars="200"/>
        <w:rPr>
          <w:rFonts w:hint="eastAsia" w:ascii="仿宋" w:hAnsi="仿宋" w:eastAsia="仿宋" w:cs="仿宋"/>
          <w:b/>
          <w:color w:val="auto"/>
          <w:sz w:val="30"/>
          <w:szCs w:val="30"/>
          <w:highlight w:val="none"/>
        </w:rPr>
      </w:pPr>
    </w:p>
    <w:p w14:paraId="78D214C3">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79BE8DCA">
      <w:pPr>
        <w:autoSpaceDE w:val="0"/>
        <w:autoSpaceDN w:val="0"/>
        <w:spacing w:line="360" w:lineRule="auto"/>
        <w:ind w:firstLine="6480" w:firstLineChars="270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17761151">
      <w:pPr>
        <w:spacing w:line="500" w:lineRule="exact"/>
        <w:jc w:val="center"/>
        <w:rPr>
          <w:rFonts w:hint="eastAsia" w:ascii="仿宋" w:hAnsi="仿宋" w:eastAsia="仿宋" w:cs="仿宋"/>
          <w:color w:val="auto"/>
          <w:sz w:val="32"/>
          <w:szCs w:val="32"/>
          <w:highlight w:val="none"/>
        </w:rPr>
        <w:sectPr>
          <w:pgSz w:w="11911" w:h="16838"/>
          <w:pgMar w:top="1338" w:right="1502" w:bottom="850" w:left="1678" w:header="1077" w:footer="720" w:gutter="0"/>
          <w:pgNumType w:fmt="decimal"/>
          <w:cols w:space="720" w:num="1"/>
          <w:rtlGutter w:val="0"/>
          <w:docGrid w:linePitch="0" w:charSpace="0"/>
        </w:sectPr>
      </w:pPr>
    </w:p>
    <w:p w14:paraId="0086189E">
      <w:pPr>
        <w:snapToGrid w:val="0"/>
        <w:spacing w:line="360" w:lineRule="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八</w:t>
      </w:r>
      <w:r>
        <w:rPr>
          <w:rFonts w:hint="eastAsia" w:ascii="仿宋" w:hAnsi="仿宋" w:eastAsia="仿宋" w:cs="仿宋"/>
          <w:b/>
          <w:color w:val="auto"/>
          <w:sz w:val="30"/>
          <w:szCs w:val="30"/>
          <w:highlight w:val="none"/>
        </w:rPr>
        <w:t>、货物配置清单</w:t>
      </w:r>
    </w:p>
    <w:p w14:paraId="5F6448CC">
      <w:pPr>
        <w:spacing w:line="500" w:lineRule="exact"/>
        <w:jc w:val="center"/>
        <w:rPr>
          <w:rFonts w:hint="eastAsia" w:ascii="仿宋" w:hAnsi="仿宋" w:eastAsia="仿宋" w:cs="仿宋"/>
          <w:color w:val="auto"/>
          <w:sz w:val="32"/>
          <w:szCs w:val="32"/>
          <w:highlight w:val="none"/>
        </w:rPr>
      </w:pPr>
    </w:p>
    <w:p w14:paraId="27B520C5">
      <w:pPr>
        <w:adjustRightInd w:val="0"/>
        <w:snapToGrid w:val="0"/>
        <w:spacing w:line="520" w:lineRule="exact"/>
        <w:jc w:val="center"/>
        <w:rPr>
          <w:rFonts w:hint="eastAsia" w:ascii="仿宋" w:hAnsi="仿宋" w:eastAsia="仿宋" w:cs="仿宋"/>
          <w:b/>
          <w:color w:val="auto"/>
          <w:sz w:val="32"/>
          <w:szCs w:val="32"/>
          <w:highlight w:val="none"/>
        </w:rPr>
      </w:pPr>
      <w:r>
        <w:rPr>
          <w:rFonts w:hint="eastAsia" w:ascii="仿宋" w:hAnsi="仿宋" w:eastAsia="仿宋" w:cs="仿宋"/>
          <w:b/>
          <w:bCs w:val="0"/>
          <w:color w:val="auto"/>
          <w:sz w:val="32"/>
          <w:szCs w:val="32"/>
          <w:highlight w:val="none"/>
        </w:rPr>
        <w:t>货物配置清单</w:t>
      </w:r>
    </w:p>
    <w:p w14:paraId="68D6ACF1">
      <w:pPr>
        <w:spacing w:line="300" w:lineRule="auto"/>
        <w:rPr>
          <w:rFonts w:hint="eastAsia" w:ascii="仿宋" w:hAnsi="仿宋" w:eastAsia="仿宋" w:cs="仿宋"/>
          <w:color w:val="auto"/>
          <w:szCs w:val="21"/>
          <w:highlight w:val="none"/>
        </w:rPr>
      </w:pPr>
    </w:p>
    <w:p w14:paraId="32F42BDE">
      <w:pPr>
        <w:spacing w:line="360" w:lineRule="auto"/>
        <w:contextualSpacing/>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single"/>
        </w:rPr>
        <w:t xml:space="preserve">                 </w:t>
      </w:r>
    </w:p>
    <w:p w14:paraId="10B0B5E6">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rPr>
        <w:t xml:space="preserve">                 </w:t>
      </w:r>
    </w:p>
    <w:p w14:paraId="473FC1C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分标号</w:t>
      </w:r>
      <w:r>
        <w:rPr>
          <w:rFonts w:hint="eastAsia" w:ascii="仿宋" w:hAnsi="仿宋" w:eastAsia="仿宋" w:cs="仿宋"/>
          <w:color w:val="auto"/>
          <w:szCs w:val="21"/>
          <w:highlight w:val="none"/>
        </w:rPr>
        <w:t>（此处有分标时填写具体分标号，无分标时填写“无”）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tbl>
      <w:tblPr>
        <w:tblStyle w:val="31"/>
        <w:tblW w:w="97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6"/>
        <w:gridCol w:w="1358"/>
        <w:gridCol w:w="1443"/>
        <w:gridCol w:w="945"/>
        <w:gridCol w:w="1412"/>
        <w:gridCol w:w="1183"/>
        <w:gridCol w:w="979"/>
        <w:gridCol w:w="1632"/>
      </w:tblGrid>
      <w:tr w14:paraId="6E0FC8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6EA9D000">
            <w:pPr>
              <w:snapToGrid w:val="0"/>
              <w:spacing w:before="50" w:after="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358" w:type="dxa"/>
            <w:tcBorders>
              <w:top w:val="single" w:color="auto" w:sz="4" w:space="0"/>
              <w:left w:val="single" w:color="auto" w:sz="4" w:space="0"/>
              <w:bottom w:val="single" w:color="auto" w:sz="4" w:space="0"/>
              <w:right w:val="single" w:color="auto" w:sz="4" w:space="0"/>
            </w:tcBorders>
            <w:noWrap w:val="0"/>
            <w:vAlign w:val="center"/>
          </w:tcPr>
          <w:p w14:paraId="0799AE77">
            <w:pPr>
              <w:snapToGrid w:val="0"/>
              <w:spacing w:before="50" w:after="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货物名称</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29E4A1BF">
            <w:pPr>
              <w:snapToGrid w:val="0"/>
              <w:spacing w:before="50" w:after="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数量及单位</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6799DEE1">
            <w:pPr>
              <w:snapToGrid w:val="0"/>
              <w:spacing w:before="50" w:after="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品牌</w:t>
            </w:r>
          </w:p>
        </w:tc>
        <w:tc>
          <w:tcPr>
            <w:tcW w:w="1412" w:type="dxa"/>
            <w:tcBorders>
              <w:top w:val="single" w:color="auto" w:sz="4" w:space="0"/>
              <w:left w:val="single" w:color="auto" w:sz="4" w:space="0"/>
              <w:bottom w:val="single" w:color="auto" w:sz="4" w:space="0"/>
              <w:right w:val="single" w:color="auto" w:sz="4" w:space="0"/>
            </w:tcBorders>
            <w:noWrap w:val="0"/>
            <w:vAlign w:val="center"/>
          </w:tcPr>
          <w:p w14:paraId="0BD913A6">
            <w:pPr>
              <w:snapToGrid w:val="0"/>
              <w:spacing w:before="50" w:after="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10E0A55A">
            <w:pPr>
              <w:snapToGrid w:val="0"/>
              <w:spacing w:before="50" w:after="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制造商</w:t>
            </w:r>
          </w:p>
        </w:tc>
        <w:tc>
          <w:tcPr>
            <w:tcW w:w="979" w:type="dxa"/>
            <w:tcBorders>
              <w:top w:val="single" w:color="auto" w:sz="4" w:space="0"/>
              <w:left w:val="single" w:color="auto" w:sz="4" w:space="0"/>
              <w:bottom w:val="single" w:color="auto" w:sz="4" w:space="0"/>
              <w:right w:val="single" w:color="auto" w:sz="4" w:space="0"/>
            </w:tcBorders>
            <w:noWrap w:val="0"/>
            <w:vAlign w:val="center"/>
          </w:tcPr>
          <w:p w14:paraId="7F9D1268">
            <w:pPr>
              <w:snapToGrid w:val="0"/>
              <w:spacing w:before="50" w:after="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原产地</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13D5CE95">
            <w:pPr>
              <w:snapToGrid w:val="0"/>
              <w:spacing w:before="50" w:after="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参数性能、指标及配置</w:t>
            </w:r>
          </w:p>
        </w:tc>
      </w:tr>
      <w:tr w14:paraId="7BEEF2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2A61F787">
            <w:pPr>
              <w:snapToGrid w:val="0"/>
              <w:spacing w:before="50" w:after="50"/>
              <w:jc w:val="center"/>
              <w:rPr>
                <w:rFonts w:hint="eastAsia" w:ascii="仿宋" w:hAnsi="仿宋" w:eastAsia="仿宋" w:cs="仿宋"/>
                <w:color w:val="auto"/>
                <w:sz w:val="24"/>
                <w:highlight w:val="none"/>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14:paraId="3510E033">
            <w:pPr>
              <w:snapToGrid w:val="0"/>
              <w:spacing w:before="50" w:after="50"/>
              <w:jc w:val="center"/>
              <w:rPr>
                <w:rFonts w:hint="eastAsia" w:ascii="仿宋" w:hAnsi="仿宋" w:eastAsia="仿宋" w:cs="仿宋"/>
                <w:color w:val="auto"/>
                <w:sz w:val="24"/>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101106DA">
            <w:pPr>
              <w:snapToGrid w:val="0"/>
              <w:spacing w:before="50" w:after="50"/>
              <w:jc w:val="center"/>
              <w:rPr>
                <w:rFonts w:hint="eastAsia" w:ascii="仿宋" w:hAnsi="仿宋" w:eastAsia="仿宋" w:cs="仿宋"/>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19E7AAF8">
            <w:pPr>
              <w:snapToGrid w:val="0"/>
              <w:spacing w:before="50" w:after="50"/>
              <w:jc w:val="center"/>
              <w:rPr>
                <w:rFonts w:hint="eastAsia" w:ascii="仿宋" w:hAnsi="仿宋" w:eastAsia="仿宋" w:cs="仿宋"/>
                <w:color w:val="auto"/>
                <w:sz w:val="24"/>
                <w:highlight w:val="none"/>
              </w:rPr>
            </w:pPr>
          </w:p>
        </w:tc>
        <w:tc>
          <w:tcPr>
            <w:tcW w:w="1412" w:type="dxa"/>
            <w:tcBorders>
              <w:top w:val="single" w:color="auto" w:sz="4" w:space="0"/>
              <w:left w:val="single" w:color="auto" w:sz="4" w:space="0"/>
              <w:bottom w:val="single" w:color="auto" w:sz="4" w:space="0"/>
              <w:right w:val="single" w:color="auto" w:sz="4" w:space="0"/>
            </w:tcBorders>
            <w:noWrap w:val="0"/>
            <w:vAlign w:val="top"/>
          </w:tcPr>
          <w:p w14:paraId="41A35C9C">
            <w:pPr>
              <w:snapToGrid w:val="0"/>
              <w:spacing w:before="50" w:after="50"/>
              <w:jc w:val="center"/>
              <w:rPr>
                <w:rFonts w:hint="eastAsia" w:ascii="仿宋" w:hAnsi="仿宋" w:eastAsia="仿宋" w:cs="仿宋"/>
                <w:color w:val="auto"/>
                <w:sz w:val="24"/>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31BAD1C7">
            <w:pPr>
              <w:snapToGrid w:val="0"/>
              <w:spacing w:before="50" w:after="50"/>
              <w:jc w:val="center"/>
              <w:rPr>
                <w:rFonts w:hint="eastAsia" w:ascii="仿宋" w:hAnsi="仿宋" w:eastAsia="仿宋" w:cs="仿宋"/>
                <w:color w:val="auto"/>
                <w:sz w:val="24"/>
                <w:highlight w:val="none"/>
              </w:rPr>
            </w:pPr>
          </w:p>
        </w:tc>
        <w:tc>
          <w:tcPr>
            <w:tcW w:w="979" w:type="dxa"/>
            <w:tcBorders>
              <w:top w:val="single" w:color="auto" w:sz="4" w:space="0"/>
              <w:left w:val="single" w:color="auto" w:sz="4" w:space="0"/>
              <w:bottom w:val="single" w:color="auto" w:sz="4" w:space="0"/>
              <w:right w:val="single" w:color="auto" w:sz="4" w:space="0"/>
            </w:tcBorders>
            <w:noWrap w:val="0"/>
            <w:vAlign w:val="center"/>
          </w:tcPr>
          <w:p w14:paraId="2B6C7242">
            <w:pPr>
              <w:snapToGrid w:val="0"/>
              <w:spacing w:before="50" w:after="50"/>
              <w:jc w:val="center"/>
              <w:rPr>
                <w:rFonts w:hint="eastAsia" w:ascii="仿宋" w:hAnsi="仿宋" w:eastAsia="仿宋" w:cs="仿宋"/>
                <w:color w:val="auto"/>
                <w:sz w:val="24"/>
                <w:highlight w:val="none"/>
              </w:rPr>
            </w:pPr>
          </w:p>
        </w:tc>
        <w:tc>
          <w:tcPr>
            <w:tcW w:w="1632" w:type="dxa"/>
            <w:tcBorders>
              <w:top w:val="single" w:color="auto" w:sz="4" w:space="0"/>
              <w:left w:val="single" w:color="auto" w:sz="4" w:space="0"/>
              <w:bottom w:val="single" w:color="auto" w:sz="4" w:space="0"/>
              <w:right w:val="single" w:color="auto" w:sz="4" w:space="0"/>
            </w:tcBorders>
            <w:noWrap w:val="0"/>
            <w:vAlign w:val="center"/>
          </w:tcPr>
          <w:p w14:paraId="1280ECFD">
            <w:pPr>
              <w:snapToGrid w:val="0"/>
              <w:spacing w:before="50" w:after="50"/>
              <w:jc w:val="center"/>
              <w:rPr>
                <w:rFonts w:hint="eastAsia" w:ascii="仿宋" w:hAnsi="仿宋" w:eastAsia="仿宋" w:cs="仿宋"/>
                <w:color w:val="auto"/>
                <w:sz w:val="24"/>
                <w:highlight w:val="none"/>
              </w:rPr>
            </w:pPr>
          </w:p>
        </w:tc>
      </w:tr>
      <w:tr w14:paraId="57BD36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1B3E41E7">
            <w:pPr>
              <w:snapToGrid w:val="0"/>
              <w:spacing w:before="50" w:after="50"/>
              <w:jc w:val="center"/>
              <w:rPr>
                <w:rFonts w:hint="eastAsia" w:ascii="仿宋" w:hAnsi="仿宋" w:eastAsia="仿宋" w:cs="仿宋"/>
                <w:color w:val="auto"/>
                <w:sz w:val="24"/>
                <w:highlight w:val="none"/>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14:paraId="14723577">
            <w:pPr>
              <w:snapToGrid w:val="0"/>
              <w:spacing w:before="50" w:after="50"/>
              <w:jc w:val="center"/>
              <w:rPr>
                <w:rFonts w:hint="eastAsia" w:ascii="仿宋" w:hAnsi="仿宋" w:eastAsia="仿宋" w:cs="仿宋"/>
                <w:color w:val="auto"/>
                <w:sz w:val="24"/>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21FC7F18">
            <w:pPr>
              <w:snapToGrid w:val="0"/>
              <w:spacing w:before="50" w:after="50"/>
              <w:jc w:val="center"/>
              <w:rPr>
                <w:rFonts w:hint="eastAsia" w:ascii="仿宋" w:hAnsi="仿宋" w:eastAsia="仿宋" w:cs="仿宋"/>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0AAC3234">
            <w:pPr>
              <w:snapToGrid w:val="0"/>
              <w:spacing w:before="50" w:after="50"/>
              <w:jc w:val="center"/>
              <w:rPr>
                <w:rFonts w:hint="eastAsia" w:ascii="仿宋" w:hAnsi="仿宋" w:eastAsia="仿宋" w:cs="仿宋"/>
                <w:color w:val="auto"/>
                <w:sz w:val="24"/>
                <w:highlight w:val="none"/>
              </w:rPr>
            </w:pPr>
          </w:p>
        </w:tc>
        <w:tc>
          <w:tcPr>
            <w:tcW w:w="1412" w:type="dxa"/>
            <w:tcBorders>
              <w:top w:val="single" w:color="auto" w:sz="4" w:space="0"/>
              <w:left w:val="single" w:color="auto" w:sz="4" w:space="0"/>
              <w:bottom w:val="single" w:color="auto" w:sz="4" w:space="0"/>
              <w:right w:val="single" w:color="auto" w:sz="4" w:space="0"/>
            </w:tcBorders>
            <w:noWrap w:val="0"/>
            <w:vAlign w:val="top"/>
          </w:tcPr>
          <w:p w14:paraId="59A5FAA5">
            <w:pPr>
              <w:snapToGrid w:val="0"/>
              <w:spacing w:before="50" w:after="50"/>
              <w:jc w:val="center"/>
              <w:rPr>
                <w:rFonts w:hint="eastAsia" w:ascii="仿宋" w:hAnsi="仿宋" w:eastAsia="仿宋" w:cs="仿宋"/>
                <w:color w:val="auto"/>
                <w:sz w:val="24"/>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7F3923F0">
            <w:pPr>
              <w:snapToGrid w:val="0"/>
              <w:spacing w:before="50" w:after="50"/>
              <w:jc w:val="center"/>
              <w:rPr>
                <w:rFonts w:hint="eastAsia" w:ascii="仿宋" w:hAnsi="仿宋" w:eastAsia="仿宋" w:cs="仿宋"/>
                <w:color w:val="auto"/>
                <w:sz w:val="24"/>
                <w:highlight w:val="none"/>
              </w:rPr>
            </w:pPr>
          </w:p>
        </w:tc>
        <w:tc>
          <w:tcPr>
            <w:tcW w:w="979" w:type="dxa"/>
            <w:tcBorders>
              <w:top w:val="single" w:color="auto" w:sz="4" w:space="0"/>
              <w:left w:val="single" w:color="auto" w:sz="4" w:space="0"/>
              <w:bottom w:val="single" w:color="auto" w:sz="4" w:space="0"/>
              <w:right w:val="single" w:color="auto" w:sz="4" w:space="0"/>
            </w:tcBorders>
            <w:noWrap w:val="0"/>
            <w:vAlign w:val="center"/>
          </w:tcPr>
          <w:p w14:paraId="3C7601A4">
            <w:pPr>
              <w:snapToGrid w:val="0"/>
              <w:spacing w:before="50" w:after="50"/>
              <w:jc w:val="center"/>
              <w:rPr>
                <w:rFonts w:hint="eastAsia" w:ascii="仿宋" w:hAnsi="仿宋" w:eastAsia="仿宋" w:cs="仿宋"/>
                <w:color w:val="auto"/>
                <w:sz w:val="24"/>
                <w:highlight w:val="none"/>
              </w:rPr>
            </w:pPr>
          </w:p>
        </w:tc>
        <w:tc>
          <w:tcPr>
            <w:tcW w:w="1632" w:type="dxa"/>
            <w:tcBorders>
              <w:top w:val="single" w:color="auto" w:sz="4" w:space="0"/>
              <w:left w:val="single" w:color="auto" w:sz="4" w:space="0"/>
              <w:bottom w:val="single" w:color="auto" w:sz="4" w:space="0"/>
              <w:right w:val="single" w:color="auto" w:sz="4" w:space="0"/>
            </w:tcBorders>
            <w:noWrap w:val="0"/>
            <w:vAlign w:val="center"/>
          </w:tcPr>
          <w:p w14:paraId="61927976">
            <w:pPr>
              <w:snapToGrid w:val="0"/>
              <w:spacing w:before="50" w:after="50"/>
              <w:jc w:val="center"/>
              <w:rPr>
                <w:rFonts w:hint="eastAsia" w:ascii="仿宋" w:hAnsi="仿宋" w:eastAsia="仿宋" w:cs="仿宋"/>
                <w:color w:val="auto"/>
                <w:sz w:val="24"/>
                <w:highlight w:val="none"/>
              </w:rPr>
            </w:pPr>
          </w:p>
        </w:tc>
      </w:tr>
      <w:tr w14:paraId="4A53FD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4043A79B">
            <w:pPr>
              <w:snapToGrid w:val="0"/>
              <w:spacing w:before="50" w:after="50"/>
              <w:jc w:val="center"/>
              <w:rPr>
                <w:rFonts w:hint="eastAsia" w:ascii="仿宋" w:hAnsi="仿宋" w:eastAsia="仿宋" w:cs="仿宋"/>
                <w:color w:val="auto"/>
                <w:sz w:val="24"/>
                <w:highlight w:val="none"/>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14:paraId="75117496">
            <w:pPr>
              <w:snapToGrid w:val="0"/>
              <w:spacing w:before="50" w:after="50"/>
              <w:jc w:val="center"/>
              <w:rPr>
                <w:rFonts w:hint="eastAsia" w:ascii="仿宋" w:hAnsi="仿宋" w:eastAsia="仿宋" w:cs="仿宋"/>
                <w:color w:val="auto"/>
                <w:sz w:val="24"/>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598488B1">
            <w:pPr>
              <w:snapToGrid w:val="0"/>
              <w:spacing w:before="50" w:after="50"/>
              <w:jc w:val="center"/>
              <w:rPr>
                <w:rFonts w:hint="eastAsia" w:ascii="仿宋" w:hAnsi="仿宋" w:eastAsia="仿宋" w:cs="仿宋"/>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064FF859">
            <w:pPr>
              <w:snapToGrid w:val="0"/>
              <w:spacing w:before="50" w:after="50"/>
              <w:jc w:val="center"/>
              <w:rPr>
                <w:rFonts w:hint="eastAsia" w:ascii="仿宋" w:hAnsi="仿宋" w:eastAsia="仿宋" w:cs="仿宋"/>
                <w:color w:val="auto"/>
                <w:sz w:val="24"/>
                <w:highlight w:val="none"/>
              </w:rPr>
            </w:pPr>
          </w:p>
        </w:tc>
        <w:tc>
          <w:tcPr>
            <w:tcW w:w="1412" w:type="dxa"/>
            <w:tcBorders>
              <w:top w:val="single" w:color="auto" w:sz="4" w:space="0"/>
              <w:left w:val="single" w:color="auto" w:sz="4" w:space="0"/>
              <w:bottom w:val="single" w:color="auto" w:sz="4" w:space="0"/>
              <w:right w:val="single" w:color="auto" w:sz="4" w:space="0"/>
            </w:tcBorders>
            <w:noWrap w:val="0"/>
            <w:vAlign w:val="top"/>
          </w:tcPr>
          <w:p w14:paraId="37386E0A">
            <w:pPr>
              <w:snapToGrid w:val="0"/>
              <w:spacing w:before="50" w:after="50"/>
              <w:jc w:val="center"/>
              <w:rPr>
                <w:rFonts w:hint="eastAsia" w:ascii="仿宋" w:hAnsi="仿宋" w:eastAsia="仿宋" w:cs="仿宋"/>
                <w:color w:val="auto"/>
                <w:sz w:val="24"/>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65E7A2FD">
            <w:pPr>
              <w:snapToGrid w:val="0"/>
              <w:spacing w:before="50" w:after="50"/>
              <w:jc w:val="center"/>
              <w:rPr>
                <w:rFonts w:hint="eastAsia" w:ascii="仿宋" w:hAnsi="仿宋" w:eastAsia="仿宋" w:cs="仿宋"/>
                <w:color w:val="auto"/>
                <w:sz w:val="24"/>
                <w:highlight w:val="none"/>
              </w:rPr>
            </w:pPr>
          </w:p>
        </w:tc>
        <w:tc>
          <w:tcPr>
            <w:tcW w:w="979" w:type="dxa"/>
            <w:tcBorders>
              <w:top w:val="single" w:color="auto" w:sz="4" w:space="0"/>
              <w:left w:val="single" w:color="auto" w:sz="4" w:space="0"/>
              <w:bottom w:val="single" w:color="auto" w:sz="4" w:space="0"/>
              <w:right w:val="single" w:color="auto" w:sz="4" w:space="0"/>
            </w:tcBorders>
            <w:noWrap w:val="0"/>
            <w:vAlign w:val="center"/>
          </w:tcPr>
          <w:p w14:paraId="0CA60A94">
            <w:pPr>
              <w:snapToGrid w:val="0"/>
              <w:spacing w:before="50" w:after="50"/>
              <w:jc w:val="center"/>
              <w:rPr>
                <w:rFonts w:hint="eastAsia" w:ascii="仿宋" w:hAnsi="仿宋" w:eastAsia="仿宋" w:cs="仿宋"/>
                <w:color w:val="auto"/>
                <w:sz w:val="24"/>
                <w:highlight w:val="none"/>
              </w:rPr>
            </w:pPr>
          </w:p>
        </w:tc>
        <w:tc>
          <w:tcPr>
            <w:tcW w:w="1632" w:type="dxa"/>
            <w:tcBorders>
              <w:top w:val="single" w:color="auto" w:sz="4" w:space="0"/>
              <w:left w:val="single" w:color="auto" w:sz="4" w:space="0"/>
              <w:bottom w:val="single" w:color="auto" w:sz="4" w:space="0"/>
              <w:right w:val="single" w:color="auto" w:sz="4" w:space="0"/>
            </w:tcBorders>
            <w:noWrap w:val="0"/>
            <w:vAlign w:val="center"/>
          </w:tcPr>
          <w:p w14:paraId="0F5B7BCD">
            <w:pPr>
              <w:snapToGrid w:val="0"/>
              <w:spacing w:before="50" w:after="50"/>
              <w:jc w:val="center"/>
              <w:rPr>
                <w:rFonts w:hint="eastAsia" w:ascii="仿宋" w:hAnsi="仿宋" w:eastAsia="仿宋" w:cs="仿宋"/>
                <w:color w:val="auto"/>
                <w:sz w:val="24"/>
                <w:highlight w:val="none"/>
              </w:rPr>
            </w:pPr>
          </w:p>
        </w:tc>
      </w:tr>
    </w:tbl>
    <w:p w14:paraId="071309DF">
      <w:pPr>
        <w:spacing w:line="360" w:lineRule="auto"/>
        <w:contextualSpacing/>
        <w:rPr>
          <w:rFonts w:hint="eastAsia" w:ascii="仿宋" w:hAnsi="仿宋" w:eastAsia="仿宋" w:cs="仿宋"/>
          <w:color w:val="auto"/>
          <w:sz w:val="24"/>
          <w:highlight w:val="none"/>
        </w:rPr>
      </w:pPr>
    </w:p>
    <w:p w14:paraId="2A41D634">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r>
        <w:rPr>
          <w:rFonts w:hint="eastAsia" w:ascii="仿宋" w:hAnsi="仿宋" w:eastAsia="仿宋" w:cs="仿宋"/>
          <w:b/>
          <w:bCs/>
          <w:color w:val="auto"/>
          <w:sz w:val="24"/>
          <w:highlight w:val="none"/>
        </w:rPr>
        <w:t>以上性能配置清单中“货物名称、数量及单位、品牌、规格型号、制造商、原产地、参数性能、指标及配置”必须如实填写完整，品牌、规格型号没有则填无，填写有缺漏的，响应文件作无效处理</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货物名称、数量及单位、品牌必须与“货物需求一览表”一致，</w:t>
      </w:r>
      <w:r>
        <w:rPr>
          <w:rFonts w:hint="eastAsia" w:ascii="仿宋" w:hAnsi="仿宋" w:eastAsia="仿宋" w:cs="仿宋"/>
          <w:bCs/>
          <w:color w:val="auto"/>
          <w:sz w:val="24"/>
          <w:highlight w:val="none"/>
        </w:rPr>
        <w:t>否则响应文件作无效处理</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ab/>
      </w:r>
    </w:p>
    <w:p w14:paraId="47D6C0C7">
      <w:pPr>
        <w:adjustRightInd w:val="0"/>
        <w:spacing w:line="360" w:lineRule="auto"/>
        <w:contextualSpacing/>
        <w:jc w:val="left"/>
        <w:rPr>
          <w:rFonts w:hint="eastAsia" w:ascii="仿宋" w:hAnsi="仿宋" w:eastAsia="仿宋" w:cs="仿宋"/>
          <w:color w:val="auto"/>
          <w:sz w:val="24"/>
          <w:highlight w:val="none"/>
        </w:rPr>
      </w:pPr>
    </w:p>
    <w:p w14:paraId="5A600B4D">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056255F0">
      <w:pPr>
        <w:autoSpaceDE w:val="0"/>
        <w:autoSpaceDN w:val="0"/>
        <w:spacing w:line="360" w:lineRule="auto"/>
        <w:ind w:firstLine="6480" w:firstLineChars="270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25E386EA">
      <w:pPr>
        <w:spacing w:line="500" w:lineRule="exact"/>
        <w:rPr>
          <w:rFonts w:hint="eastAsia" w:ascii="仿宋" w:hAnsi="仿宋" w:eastAsia="仿宋" w:cs="仿宋"/>
          <w:color w:val="auto"/>
          <w:sz w:val="32"/>
          <w:szCs w:val="32"/>
          <w:highlight w:val="none"/>
        </w:rPr>
      </w:pPr>
    </w:p>
    <w:p w14:paraId="18E7C2AB">
      <w:pPr>
        <w:snapToGrid w:val="0"/>
        <w:spacing w:line="360" w:lineRule="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r>
        <w:rPr>
          <w:rFonts w:hint="eastAsia" w:ascii="仿宋" w:hAnsi="仿宋" w:eastAsia="仿宋" w:cs="仿宋"/>
          <w:b/>
          <w:color w:val="auto"/>
          <w:sz w:val="30"/>
          <w:szCs w:val="30"/>
          <w:highlight w:val="none"/>
          <w:lang w:val="en-US" w:eastAsia="zh-CN"/>
        </w:rPr>
        <w:t>九</w:t>
      </w:r>
      <w:r>
        <w:rPr>
          <w:rFonts w:hint="eastAsia" w:ascii="仿宋" w:hAnsi="仿宋" w:eastAsia="仿宋" w:cs="仿宋"/>
          <w:b/>
          <w:color w:val="auto"/>
          <w:sz w:val="30"/>
          <w:szCs w:val="30"/>
          <w:highlight w:val="none"/>
        </w:rPr>
        <w:t>、售后服务承诺</w:t>
      </w:r>
    </w:p>
    <w:p w14:paraId="1D368A2E">
      <w:pPr>
        <w:snapToGrid w:val="0"/>
        <w:spacing w:line="360" w:lineRule="auto"/>
        <w:jc w:val="center"/>
        <w:rPr>
          <w:rFonts w:hint="eastAsia" w:ascii="仿宋" w:hAnsi="仿宋" w:eastAsia="仿宋" w:cs="仿宋"/>
          <w:color w:val="auto"/>
          <w:sz w:val="24"/>
          <w:szCs w:val="24"/>
          <w:highlight w:val="none"/>
          <w:lang w:eastAsia="zh-CN"/>
        </w:rPr>
      </w:pPr>
    </w:p>
    <w:p w14:paraId="67D3AEA3">
      <w:pPr>
        <w:snapToGrid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（由竞标人按本项目竞争性谈判采购文件第二章“货物需求一览表”中商务条款部分的售后服务要求自行填写。）</w:t>
      </w:r>
    </w:p>
    <w:p w14:paraId="08601CE9">
      <w:pPr>
        <w:spacing w:line="500" w:lineRule="exact"/>
        <w:rPr>
          <w:rFonts w:hint="eastAsia" w:ascii="仿宋" w:hAnsi="仿宋" w:eastAsia="仿宋" w:cs="仿宋"/>
          <w:color w:val="auto"/>
          <w:sz w:val="32"/>
          <w:szCs w:val="32"/>
          <w:highlight w:val="none"/>
        </w:rPr>
      </w:pPr>
    </w:p>
    <w:p w14:paraId="277E2D63">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1A8ED574">
      <w:pPr>
        <w:autoSpaceDE w:val="0"/>
        <w:autoSpaceDN w:val="0"/>
        <w:spacing w:line="360" w:lineRule="auto"/>
        <w:ind w:firstLine="6480" w:firstLineChars="27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4A12538F">
      <w:pPr>
        <w:snapToGrid w:val="0"/>
        <w:spacing w:line="360" w:lineRule="auto"/>
        <w:jc w:val="both"/>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r>
        <w:rPr>
          <w:rFonts w:hint="eastAsia" w:ascii="仿宋" w:hAnsi="仿宋" w:eastAsia="仿宋" w:cs="仿宋"/>
          <w:b/>
          <w:color w:val="auto"/>
          <w:sz w:val="30"/>
          <w:szCs w:val="30"/>
          <w:highlight w:val="none"/>
          <w:lang w:val="en-US" w:eastAsia="zh-CN"/>
        </w:rPr>
        <w:t>十、</w:t>
      </w:r>
      <w:r>
        <w:rPr>
          <w:rFonts w:hint="eastAsia" w:ascii="仿宋" w:hAnsi="仿宋" w:eastAsia="仿宋" w:cs="仿宋"/>
          <w:b/>
          <w:color w:val="auto"/>
          <w:sz w:val="30"/>
          <w:szCs w:val="30"/>
          <w:highlight w:val="none"/>
        </w:rPr>
        <w:t>项目实施人员一览表（</w:t>
      </w:r>
      <w:r>
        <w:rPr>
          <w:rFonts w:hint="eastAsia" w:ascii="仿宋" w:hAnsi="仿宋" w:eastAsia="仿宋" w:cs="仿宋"/>
          <w:b/>
          <w:color w:val="auto"/>
          <w:sz w:val="30"/>
          <w:szCs w:val="30"/>
          <w:highlight w:val="none"/>
          <w:lang w:val="en-US" w:eastAsia="zh-CN"/>
        </w:rPr>
        <w:t>如有</w:t>
      </w:r>
      <w:r>
        <w:rPr>
          <w:rFonts w:hint="eastAsia" w:ascii="仿宋" w:hAnsi="仿宋" w:eastAsia="仿宋" w:cs="仿宋"/>
          <w:b/>
          <w:color w:val="auto"/>
          <w:sz w:val="30"/>
          <w:szCs w:val="30"/>
          <w:highlight w:val="none"/>
        </w:rPr>
        <w:t>）</w:t>
      </w:r>
    </w:p>
    <w:p w14:paraId="17645E6C">
      <w:pPr>
        <w:spacing w:line="360" w:lineRule="auto"/>
        <w:jc w:val="center"/>
        <w:rPr>
          <w:rFonts w:hint="eastAsia" w:ascii="仿宋" w:hAnsi="仿宋" w:eastAsia="仿宋" w:cs="仿宋"/>
          <w:b/>
          <w:color w:val="auto"/>
          <w:sz w:val="30"/>
          <w:szCs w:val="30"/>
          <w:highlight w:val="none"/>
        </w:rPr>
      </w:pPr>
    </w:p>
    <w:p w14:paraId="324C4371">
      <w:pPr>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项目实施人员一览表</w:t>
      </w:r>
    </w:p>
    <w:p w14:paraId="4EFFA381">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（由供应商根据采购需求及采购文件要求编制）</w:t>
      </w:r>
    </w:p>
    <w:p w14:paraId="10F77E15">
      <w:pPr>
        <w:spacing w:line="360" w:lineRule="auto"/>
        <w:contextualSpacing/>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single"/>
        </w:rPr>
        <w:t xml:space="preserve">                 </w:t>
      </w:r>
    </w:p>
    <w:p w14:paraId="2B5758B5">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rPr>
        <w:t xml:space="preserve">                 </w:t>
      </w:r>
    </w:p>
    <w:p w14:paraId="6F3AA112">
      <w:pPr>
        <w:spacing w:line="360" w:lineRule="auto"/>
        <w:contextualSpacing/>
        <w:rPr>
          <w:rFonts w:hint="eastAsia" w:ascii="仿宋" w:hAnsi="仿宋" w:eastAsia="仿宋" w:cs="仿宋"/>
          <w:color w:val="auto"/>
          <w:sz w:val="24"/>
          <w:highlight w:val="none"/>
          <w:u w:val="single"/>
          <w:vertAlign w:val="baseline"/>
        </w:rPr>
      </w:pPr>
      <w:r>
        <w:rPr>
          <w:rFonts w:hint="eastAsia" w:ascii="仿宋" w:hAnsi="仿宋" w:eastAsia="仿宋" w:cs="仿宋"/>
          <w:color w:val="auto"/>
          <w:sz w:val="24"/>
          <w:highlight w:val="none"/>
        </w:rPr>
        <w:t>分标号</w:t>
      </w:r>
      <w:r>
        <w:rPr>
          <w:rFonts w:hint="eastAsia" w:ascii="仿宋" w:hAnsi="仿宋" w:eastAsia="仿宋" w:cs="仿宋"/>
          <w:color w:val="auto"/>
          <w:szCs w:val="21"/>
          <w:highlight w:val="none"/>
        </w:rPr>
        <w:t>（此处有分标时填写具体分标号，无分标时填写“无”）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185"/>
        <w:gridCol w:w="1170"/>
        <w:gridCol w:w="1896"/>
        <w:gridCol w:w="1278"/>
        <w:gridCol w:w="1278"/>
        <w:gridCol w:w="1278"/>
      </w:tblGrid>
      <w:tr w14:paraId="7A8D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61" w:type="dxa"/>
            <w:noWrap w:val="0"/>
            <w:vAlign w:val="center"/>
          </w:tcPr>
          <w:p w14:paraId="1486D2AE">
            <w:pPr>
              <w:jc w:val="center"/>
              <w:rPr>
                <w:rFonts w:hint="eastAsia" w:ascii="仿宋" w:hAnsi="仿宋" w:eastAsia="仿宋" w:cs="仿宋"/>
                <w:color w:val="auto"/>
                <w:sz w:val="24"/>
                <w:highlight w:val="none"/>
                <w:u w:val="none"/>
                <w:vertAlign w:val="baseline"/>
                <w:lang w:val="en-US" w:eastAsia="zh-CN"/>
              </w:rPr>
            </w:pPr>
            <w:r>
              <w:rPr>
                <w:rFonts w:hint="eastAsia" w:ascii="仿宋" w:hAnsi="仿宋" w:eastAsia="仿宋" w:cs="仿宋"/>
                <w:color w:val="auto"/>
                <w:sz w:val="24"/>
                <w:highlight w:val="none"/>
                <w:u w:val="none"/>
                <w:vertAlign w:val="baseline"/>
                <w:lang w:val="en-US" w:eastAsia="zh-CN"/>
              </w:rPr>
              <w:t>序号</w:t>
            </w:r>
          </w:p>
        </w:tc>
        <w:tc>
          <w:tcPr>
            <w:tcW w:w="1185" w:type="dxa"/>
            <w:noWrap w:val="0"/>
            <w:vAlign w:val="center"/>
          </w:tcPr>
          <w:p w14:paraId="5D2303EA">
            <w:pPr>
              <w:jc w:val="center"/>
              <w:rPr>
                <w:rFonts w:hint="eastAsia" w:ascii="仿宋" w:hAnsi="仿宋" w:eastAsia="仿宋" w:cs="仿宋"/>
                <w:color w:val="auto"/>
                <w:sz w:val="24"/>
                <w:highlight w:val="none"/>
                <w:u w:val="none"/>
                <w:vertAlign w:val="baseline"/>
              </w:rPr>
            </w:pPr>
            <w:r>
              <w:rPr>
                <w:rFonts w:hint="eastAsia" w:ascii="仿宋" w:hAnsi="仿宋" w:eastAsia="仿宋" w:cs="仿宋"/>
                <w:color w:val="auto"/>
                <w:sz w:val="24"/>
                <w:highlight w:val="none"/>
                <w:u w:val="none"/>
                <w:vertAlign w:val="baseline"/>
              </w:rPr>
              <w:t>姓名</w:t>
            </w:r>
          </w:p>
        </w:tc>
        <w:tc>
          <w:tcPr>
            <w:tcW w:w="1170" w:type="dxa"/>
            <w:noWrap w:val="0"/>
            <w:vAlign w:val="center"/>
          </w:tcPr>
          <w:p w14:paraId="06F627E3">
            <w:pPr>
              <w:jc w:val="center"/>
              <w:rPr>
                <w:rFonts w:hint="eastAsia" w:ascii="仿宋" w:hAnsi="仿宋" w:eastAsia="仿宋" w:cs="仿宋"/>
                <w:color w:val="auto"/>
                <w:sz w:val="24"/>
                <w:highlight w:val="none"/>
                <w:u w:val="none"/>
                <w:vertAlign w:val="baseline"/>
              </w:rPr>
            </w:pPr>
            <w:r>
              <w:rPr>
                <w:rFonts w:hint="eastAsia" w:ascii="仿宋" w:hAnsi="仿宋" w:eastAsia="仿宋" w:cs="仿宋"/>
                <w:color w:val="auto"/>
                <w:sz w:val="24"/>
                <w:highlight w:val="none"/>
                <w:u w:val="none"/>
                <w:vertAlign w:val="baseline"/>
              </w:rPr>
              <w:t>职务</w:t>
            </w:r>
          </w:p>
        </w:tc>
        <w:tc>
          <w:tcPr>
            <w:tcW w:w="1896" w:type="dxa"/>
            <w:noWrap w:val="0"/>
            <w:vAlign w:val="center"/>
          </w:tcPr>
          <w:p w14:paraId="6A186718">
            <w:pPr>
              <w:jc w:val="center"/>
              <w:rPr>
                <w:rFonts w:hint="eastAsia" w:ascii="仿宋" w:hAnsi="仿宋" w:eastAsia="仿宋" w:cs="仿宋"/>
                <w:color w:val="auto"/>
                <w:sz w:val="24"/>
                <w:highlight w:val="none"/>
                <w:u w:val="none"/>
                <w:vertAlign w:val="baseline"/>
              </w:rPr>
            </w:pPr>
            <w:r>
              <w:rPr>
                <w:rFonts w:hint="eastAsia" w:ascii="仿宋" w:hAnsi="仿宋" w:eastAsia="仿宋" w:cs="仿宋"/>
                <w:color w:val="auto"/>
                <w:sz w:val="24"/>
                <w:highlight w:val="none"/>
                <w:u w:val="none"/>
                <w:vertAlign w:val="baseline"/>
              </w:rPr>
              <w:t>证书名称</w:t>
            </w:r>
          </w:p>
        </w:tc>
        <w:tc>
          <w:tcPr>
            <w:tcW w:w="1278" w:type="dxa"/>
            <w:noWrap w:val="0"/>
            <w:vAlign w:val="center"/>
          </w:tcPr>
          <w:p w14:paraId="692D5101">
            <w:pPr>
              <w:jc w:val="center"/>
              <w:rPr>
                <w:rFonts w:hint="eastAsia" w:ascii="仿宋" w:hAnsi="仿宋" w:eastAsia="仿宋" w:cs="仿宋"/>
                <w:color w:val="auto"/>
                <w:sz w:val="24"/>
                <w:highlight w:val="none"/>
                <w:u w:val="none"/>
                <w:vertAlign w:val="baseline"/>
              </w:rPr>
            </w:pPr>
            <w:r>
              <w:rPr>
                <w:rFonts w:hint="eastAsia" w:ascii="仿宋" w:hAnsi="仿宋" w:eastAsia="仿宋" w:cs="仿宋"/>
                <w:color w:val="auto"/>
                <w:sz w:val="24"/>
                <w:highlight w:val="none"/>
                <w:u w:val="none"/>
                <w:vertAlign w:val="baseline"/>
              </w:rPr>
              <w:t>证号</w:t>
            </w:r>
          </w:p>
        </w:tc>
        <w:tc>
          <w:tcPr>
            <w:tcW w:w="1278" w:type="dxa"/>
            <w:noWrap w:val="0"/>
            <w:vAlign w:val="center"/>
          </w:tcPr>
          <w:p w14:paraId="4EC82442">
            <w:pPr>
              <w:jc w:val="center"/>
              <w:rPr>
                <w:rFonts w:hint="eastAsia" w:ascii="仿宋" w:hAnsi="仿宋" w:eastAsia="仿宋" w:cs="仿宋"/>
                <w:color w:val="auto"/>
                <w:sz w:val="24"/>
                <w:highlight w:val="none"/>
                <w:u w:val="none"/>
                <w:vertAlign w:val="baseline"/>
              </w:rPr>
            </w:pPr>
            <w:r>
              <w:rPr>
                <w:rFonts w:hint="eastAsia" w:ascii="仿宋" w:hAnsi="仿宋" w:eastAsia="仿宋" w:cs="仿宋"/>
                <w:color w:val="auto"/>
                <w:sz w:val="24"/>
                <w:highlight w:val="none"/>
                <w:u w:val="none"/>
                <w:vertAlign w:val="baseline"/>
              </w:rPr>
              <w:t>专业</w:t>
            </w:r>
          </w:p>
        </w:tc>
        <w:tc>
          <w:tcPr>
            <w:tcW w:w="1278" w:type="dxa"/>
            <w:noWrap w:val="0"/>
            <w:vAlign w:val="center"/>
          </w:tcPr>
          <w:p w14:paraId="04FCFAD8">
            <w:pPr>
              <w:jc w:val="center"/>
              <w:rPr>
                <w:rFonts w:hint="eastAsia" w:ascii="仿宋" w:hAnsi="仿宋" w:eastAsia="仿宋" w:cs="仿宋"/>
                <w:color w:val="auto"/>
                <w:sz w:val="24"/>
                <w:highlight w:val="none"/>
                <w:u w:val="none"/>
                <w:vertAlign w:val="baseline"/>
              </w:rPr>
            </w:pPr>
            <w:r>
              <w:rPr>
                <w:rFonts w:hint="eastAsia" w:ascii="仿宋" w:hAnsi="仿宋" w:eastAsia="仿宋" w:cs="仿宋"/>
                <w:color w:val="auto"/>
                <w:sz w:val="24"/>
                <w:highlight w:val="none"/>
                <w:u w:val="none"/>
                <w:vertAlign w:val="baseline"/>
              </w:rPr>
              <w:t>备注</w:t>
            </w:r>
          </w:p>
        </w:tc>
      </w:tr>
      <w:tr w14:paraId="79C20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noWrap w:val="0"/>
            <w:vAlign w:val="top"/>
          </w:tcPr>
          <w:p w14:paraId="075B5478">
            <w:pPr>
              <w:spacing w:line="360" w:lineRule="auto"/>
              <w:contextualSpacing/>
              <w:rPr>
                <w:rFonts w:hint="eastAsia" w:ascii="仿宋" w:hAnsi="仿宋" w:eastAsia="仿宋" w:cs="仿宋"/>
                <w:color w:val="auto"/>
                <w:sz w:val="24"/>
                <w:highlight w:val="none"/>
                <w:u w:val="single"/>
                <w:vertAlign w:val="baseline"/>
              </w:rPr>
            </w:pPr>
          </w:p>
        </w:tc>
        <w:tc>
          <w:tcPr>
            <w:tcW w:w="1185" w:type="dxa"/>
            <w:noWrap w:val="0"/>
            <w:vAlign w:val="top"/>
          </w:tcPr>
          <w:p w14:paraId="295FC6E5">
            <w:pPr>
              <w:spacing w:line="360" w:lineRule="auto"/>
              <w:contextualSpacing/>
              <w:rPr>
                <w:rFonts w:hint="eastAsia" w:ascii="仿宋" w:hAnsi="仿宋" w:eastAsia="仿宋" w:cs="仿宋"/>
                <w:color w:val="auto"/>
                <w:sz w:val="24"/>
                <w:highlight w:val="none"/>
                <w:u w:val="single"/>
                <w:vertAlign w:val="baseline"/>
              </w:rPr>
            </w:pPr>
          </w:p>
        </w:tc>
        <w:tc>
          <w:tcPr>
            <w:tcW w:w="1170" w:type="dxa"/>
            <w:noWrap w:val="0"/>
            <w:vAlign w:val="top"/>
          </w:tcPr>
          <w:p w14:paraId="74CF7353">
            <w:pPr>
              <w:spacing w:line="360" w:lineRule="auto"/>
              <w:contextualSpacing/>
              <w:rPr>
                <w:rFonts w:hint="eastAsia" w:ascii="仿宋" w:hAnsi="仿宋" w:eastAsia="仿宋" w:cs="仿宋"/>
                <w:color w:val="auto"/>
                <w:sz w:val="24"/>
                <w:highlight w:val="none"/>
                <w:u w:val="single"/>
                <w:vertAlign w:val="baseline"/>
              </w:rPr>
            </w:pPr>
          </w:p>
        </w:tc>
        <w:tc>
          <w:tcPr>
            <w:tcW w:w="1896" w:type="dxa"/>
            <w:noWrap w:val="0"/>
            <w:vAlign w:val="top"/>
          </w:tcPr>
          <w:p w14:paraId="67DED21B">
            <w:pPr>
              <w:spacing w:line="360" w:lineRule="auto"/>
              <w:contextualSpacing/>
              <w:rPr>
                <w:rFonts w:hint="eastAsia" w:ascii="仿宋" w:hAnsi="仿宋" w:eastAsia="仿宋" w:cs="仿宋"/>
                <w:color w:val="auto"/>
                <w:sz w:val="24"/>
                <w:highlight w:val="none"/>
                <w:u w:val="single"/>
                <w:vertAlign w:val="baseline"/>
              </w:rPr>
            </w:pPr>
          </w:p>
        </w:tc>
        <w:tc>
          <w:tcPr>
            <w:tcW w:w="1278" w:type="dxa"/>
            <w:noWrap w:val="0"/>
            <w:vAlign w:val="top"/>
          </w:tcPr>
          <w:p w14:paraId="6FC7D182">
            <w:pPr>
              <w:spacing w:line="360" w:lineRule="auto"/>
              <w:contextualSpacing/>
              <w:rPr>
                <w:rFonts w:hint="eastAsia" w:ascii="仿宋" w:hAnsi="仿宋" w:eastAsia="仿宋" w:cs="仿宋"/>
                <w:color w:val="auto"/>
                <w:sz w:val="24"/>
                <w:highlight w:val="none"/>
                <w:u w:val="single"/>
                <w:vertAlign w:val="baseline"/>
              </w:rPr>
            </w:pPr>
          </w:p>
        </w:tc>
        <w:tc>
          <w:tcPr>
            <w:tcW w:w="1278" w:type="dxa"/>
            <w:noWrap w:val="0"/>
            <w:vAlign w:val="top"/>
          </w:tcPr>
          <w:p w14:paraId="42474F4E">
            <w:pPr>
              <w:spacing w:line="360" w:lineRule="auto"/>
              <w:contextualSpacing/>
              <w:rPr>
                <w:rFonts w:hint="eastAsia" w:ascii="仿宋" w:hAnsi="仿宋" w:eastAsia="仿宋" w:cs="仿宋"/>
                <w:color w:val="auto"/>
                <w:sz w:val="24"/>
                <w:highlight w:val="none"/>
                <w:u w:val="single"/>
                <w:vertAlign w:val="baseline"/>
              </w:rPr>
            </w:pPr>
          </w:p>
        </w:tc>
        <w:tc>
          <w:tcPr>
            <w:tcW w:w="1278" w:type="dxa"/>
            <w:noWrap w:val="0"/>
            <w:vAlign w:val="top"/>
          </w:tcPr>
          <w:p w14:paraId="75B68AB9">
            <w:pPr>
              <w:spacing w:line="360" w:lineRule="auto"/>
              <w:contextualSpacing/>
              <w:rPr>
                <w:rFonts w:hint="eastAsia" w:ascii="仿宋" w:hAnsi="仿宋" w:eastAsia="仿宋" w:cs="仿宋"/>
                <w:color w:val="auto"/>
                <w:sz w:val="24"/>
                <w:highlight w:val="none"/>
                <w:u w:val="single"/>
                <w:vertAlign w:val="baseline"/>
              </w:rPr>
            </w:pPr>
          </w:p>
        </w:tc>
      </w:tr>
      <w:tr w14:paraId="42C4E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noWrap w:val="0"/>
            <w:vAlign w:val="top"/>
          </w:tcPr>
          <w:p w14:paraId="51E0A232">
            <w:pPr>
              <w:spacing w:line="360" w:lineRule="auto"/>
              <w:contextualSpacing/>
              <w:rPr>
                <w:rFonts w:hint="eastAsia" w:ascii="仿宋" w:hAnsi="仿宋" w:eastAsia="仿宋" w:cs="仿宋"/>
                <w:color w:val="auto"/>
                <w:sz w:val="24"/>
                <w:highlight w:val="none"/>
                <w:u w:val="single"/>
                <w:vertAlign w:val="baseline"/>
              </w:rPr>
            </w:pPr>
          </w:p>
        </w:tc>
        <w:tc>
          <w:tcPr>
            <w:tcW w:w="1185" w:type="dxa"/>
            <w:noWrap w:val="0"/>
            <w:vAlign w:val="top"/>
          </w:tcPr>
          <w:p w14:paraId="2B7FCCB7">
            <w:pPr>
              <w:spacing w:line="360" w:lineRule="auto"/>
              <w:contextualSpacing/>
              <w:rPr>
                <w:rFonts w:hint="eastAsia" w:ascii="仿宋" w:hAnsi="仿宋" w:eastAsia="仿宋" w:cs="仿宋"/>
                <w:color w:val="auto"/>
                <w:sz w:val="24"/>
                <w:highlight w:val="none"/>
                <w:u w:val="single"/>
                <w:vertAlign w:val="baseline"/>
              </w:rPr>
            </w:pPr>
          </w:p>
        </w:tc>
        <w:tc>
          <w:tcPr>
            <w:tcW w:w="1170" w:type="dxa"/>
            <w:noWrap w:val="0"/>
            <w:vAlign w:val="top"/>
          </w:tcPr>
          <w:p w14:paraId="5BD6D61C">
            <w:pPr>
              <w:spacing w:line="360" w:lineRule="auto"/>
              <w:contextualSpacing/>
              <w:rPr>
                <w:rFonts w:hint="eastAsia" w:ascii="仿宋" w:hAnsi="仿宋" w:eastAsia="仿宋" w:cs="仿宋"/>
                <w:color w:val="auto"/>
                <w:sz w:val="24"/>
                <w:highlight w:val="none"/>
                <w:u w:val="single"/>
                <w:vertAlign w:val="baseline"/>
              </w:rPr>
            </w:pPr>
          </w:p>
        </w:tc>
        <w:tc>
          <w:tcPr>
            <w:tcW w:w="1896" w:type="dxa"/>
            <w:noWrap w:val="0"/>
            <w:vAlign w:val="top"/>
          </w:tcPr>
          <w:p w14:paraId="7E813F01">
            <w:pPr>
              <w:spacing w:line="360" w:lineRule="auto"/>
              <w:contextualSpacing/>
              <w:rPr>
                <w:rFonts w:hint="eastAsia" w:ascii="仿宋" w:hAnsi="仿宋" w:eastAsia="仿宋" w:cs="仿宋"/>
                <w:color w:val="auto"/>
                <w:sz w:val="24"/>
                <w:highlight w:val="none"/>
                <w:u w:val="single"/>
                <w:vertAlign w:val="baseline"/>
              </w:rPr>
            </w:pPr>
          </w:p>
        </w:tc>
        <w:tc>
          <w:tcPr>
            <w:tcW w:w="1278" w:type="dxa"/>
            <w:noWrap w:val="0"/>
            <w:vAlign w:val="top"/>
          </w:tcPr>
          <w:p w14:paraId="40D178AC">
            <w:pPr>
              <w:spacing w:line="360" w:lineRule="auto"/>
              <w:contextualSpacing/>
              <w:rPr>
                <w:rFonts w:hint="eastAsia" w:ascii="仿宋" w:hAnsi="仿宋" w:eastAsia="仿宋" w:cs="仿宋"/>
                <w:color w:val="auto"/>
                <w:sz w:val="24"/>
                <w:highlight w:val="none"/>
                <w:u w:val="single"/>
                <w:vertAlign w:val="baseline"/>
              </w:rPr>
            </w:pPr>
          </w:p>
        </w:tc>
        <w:tc>
          <w:tcPr>
            <w:tcW w:w="1278" w:type="dxa"/>
            <w:noWrap w:val="0"/>
            <w:vAlign w:val="top"/>
          </w:tcPr>
          <w:p w14:paraId="3D61D3F0">
            <w:pPr>
              <w:spacing w:line="360" w:lineRule="auto"/>
              <w:contextualSpacing/>
              <w:rPr>
                <w:rFonts w:hint="eastAsia" w:ascii="仿宋" w:hAnsi="仿宋" w:eastAsia="仿宋" w:cs="仿宋"/>
                <w:color w:val="auto"/>
                <w:sz w:val="24"/>
                <w:highlight w:val="none"/>
                <w:u w:val="single"/>
                <w:vertAlign w:val="baseline"/>
              </w:rPr>
            </w:pPr>
          </w:p>
        </w:tc>
        <w:tc>
          <w:tcPr>
            <w:tcW w:w="1278" w:type="dxa"/>
            <w:noWrap w:val="0"/>
            <w:vAlign w:val="top"/>
          </w:tcPr>
          <w:p w14:paraId="2F834F00">
            <w:pPr>
              <w:spacing w:line="360" w:lineRule="auto"/>
              <w:contextualSpacing/>
              <w:rPr>
                <w:rFonts w:hint="eastAsia" w:ascii="仿宋" w:hAnsi="仿宋" w:eastAsia="仿宋" w:cs="仿宋"/>
                <w:color w:val="auto"/>
                <w:sz w:val="24"/>
                <w:highlight w:val="none"/>
                <w:u w:val="single"/>
                <w:vertAlign w:val="baseline"/>
              </w:rPr>
            </w:pPr>
          </w:p>
        </w:tc>
      </w:tr>
      <w:tr w14:paraId="2C0C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noWrap w:val="0"/>
            <w:vAlign w:val="top"/>
          </w:tcPr>
          <w:p w14:paraId="7DE5266B">
            <w:pPr>
              <w:spacing w:line="360" w:lineRule="auto"/>
              <w:contextualSpacing/>
              <w:rPr>
                <w:rFonts w:hint="eastAsia" w:ascii="仿宋" w:hAnsi="仿宋" w:eastAsia="仿宋" w:cs="仿宋"/>
                <w:color w:val="auto"/>
                <w:sz w:val="24"/>
                <w:highlight w:val="none"/>
                <w:u w:val="single"/>
                <w:vertAlign w:val="baseline"/>
              </w:rPr>
            </w:pPr>
          </w:p>
        </w:tc>
        <w:tc>
          <w:tcPr>
            <w:tcW w:w="1185" w:type="dxa"/>
            <w:noWrap w:val="0"/>
            <w:vAlign w:val="top"/>
          </w:tcPr>
          <w:p w14:paraId="4E690393">
            <w:pPr>
              <w:spacing w:line="360" w:lineRule="auto"/>
              <w:contextualSpacing/>
              <w:rPr>
                <w:rFonts w:hint="eastAsia" w:ascii="仿宋" w:hAnsi="仿宋" w:eastAsia="仿宋" w:cs="仿宋"/>
                <w:color w:val="auto"/>
                <w:sz w:val="24"/>
                <w:highlight w:val="none"/>
                <w:u w:val="single"/>
                <w:vertAlign w:val="baseline"/>
              </w:rPr>
            </w:pPr>
          </w:p>
        </w:tc>
        <w:tc>
          <w:tcPr>
            <w:tcW w:w="1170" w:type="dxa"/>
            <w:noWrap w:val="0"/>
            <w:vAlign w:val="top"/>
          </w:tcPr>
          <w:p w14:paraId="0EFB5048">
            <w:pPr>
              <w:spacing w:line="360" w:lineRule="auto"/>
              <w:contextualSpacing/>
              <w:rPr>
                <w:rFonts w:hint="eastAsia" w:ascii="仿宋" w:hAnsi="仿宋" w:eastAsia="仿宋" w:cs="仿宋"/>
                <w:color w:val="auto"/>
                <w:sz w:val="24"/>
                <w:highlight w:val="none"/>
                <w:u w:val="single"/>
                <w:vertAlign w:val="baseline"/>
              </w:rPr>
            </w:pPr>
          </w:p>
        </w:tc>
        <w:tc>
          <w:tcPr>
            <w:tcW w:w="1896" w:type="dxa"/>
            <w:noWrap w:val="0"/>
            <w:vAlign w:val="top"/>
          </w:tcPr>
          <w:p w14:paraId="075FCECB">
            <w:pPr>
              <w:spacing w:line="360" w:lineRule="auto"/>
              <w:contextualSpacing/>
              <w:rPr>
                <w:rFonts w:hint="eastAsia" w:ascii="仿宋" w:hAnsi="仿宋" w:eastAsia="仿宋" w:cs="仿宋"/>
                <w:color w:val="auto"/>
                <w:sz w:val="24"/>
                <w:highlight w:val="none"/>
                <w:u w:val="single"/>
                <w:vertAlign w:val="baseline"/>
              </w:rPr>
            </w:pPr>
          </w:p>
        </w:tc>
        <w:tc>
          <w:tcPr>
            <w:tcW w:w="1278" w:type="dxa"/>
            <w:noWrap w:val="0"/>
            <w:vAlign w:val="top"/>
          </w:tcPr>
          <w:p w14:paraId="086BA8AA">
            <w:pPr>
              <w:spacing w:line="360" w:lineRule="auto"/>
              <w:contextualSpacing/>
              <w:rPr>
                <w:rFonts w:hint="eastAsia" w:ascii="仿宋" w:hAnsi="仿宋" w:eastAsia="仿宋" w:cs="仿宋"/>
                <w:color w:val="auto"/>
                <w:sz w:val="24"/>
                <w:highlight w:val="none"/>
                <w:u w:val="single"/>
                <w:vertAlign w:val="baseline"/>
              </w:rPr>
            </w:pPr>
          </w:p>
        </w:tc>
        <w:tc>
          <w:tcPr>
            <w:tcW w:w="1278" w:type="dxa"/>
            <w:noWrap w:val="0"/>
            <w:vAlign w:val="top"/>
          </w:tcPr>
          <w:p w14:paraId="67FF0B26">
            <w:pPr>
              <w:spacing w:line="360" w:lineRule="auto"/>
              <w:contextualSpacing/>
              <w:rPr>
                <w:rFonts w:hint="eastAsia" w:ascii="仿宋" w:hAnsi="仿宋" w:eastAsia="仿宋" w:cs="仿宋"/>
                <w:color w:val="auto"/>
                <w:sz w:val="24"/>
                <w:highlight w:val="none"/>
                <w:u w:val="single"/>
                <w:vertAlign w:val="baseline"/>
              </w:rPr>
            </w:pPr>
          </w:p>
        </w:tc>
        <w:tc>
          <w:tcPr>
            <w:tcW w:w="1278" w:type="dxa"/>
            <w:noWrap w:val="0"/>
            <w:vAlign w:val="top"/>
          </w:tcPr>
          <w:p w14:paraId="1B9B3F90">
            <w:pPr>
              <w:spacing w:line="360" w:lineRule="auto"/>
              <w:contextualSpacing/>
              <w:rPr>
                <w:rFonts w:hint="eastAsia" w:ascii="仿宋" w:hAnsi="仿宋" w:eastAsia="仿宋" w:cs="仿宋"/>
                <w:color w:val="auto"/>
                <w:sz w:val="24"/>
                <w:highlight w:val="none"/>
                <w:u w:val="single"/>
                <w:vertAlign w:val="baseline"/>
              </w:rPr>
            </w:pPr>
          </w:p>
        </w:tc>
      </w:tr>
      <w:tr w14:paraId="4A72F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noWrap w:val="0"/>
            <w:vAlign w:val="top"/>
          </w:tcPr>
          <w:p w14:paraId="100C6303">
            <w:pPr>
              <w:spacing w:line="360" w:lineRule="auto"/>
              <w:contextualSpacing/>
              <w:rPr>
                <w:rFonts w:hint="eastAsia" w:ascii="仿宋" w:hAnsi="仿宋" w:eastAsia="仿宋" w:cs="仿宋"/>
                <w:color w:val="auto"/>
                <w:sz w:val="24"/>
                <w:highlight w:val="none"/>
                <w:u w:val="single"/>
                <w:vertAlign w:val="baseline"/>
              </w:rPr>
            </w:pPr>
          </w:p>
        </w:tc>
        <w:tc>
          <w:tcPr>
            <w:tcW w:w="1185" w:type="dxa"/>
            <w:noWrap w:val="0"/>
            <w:vAlign w:val="top"/>
          </w:tcPr>
          <w:p w14:paraId="30EF5CEC">
            <w:pPr>
              <w:spacing w:line="360" w:lineRule="auto"/>
              <w:contextualSpacing/>
              <w:rPr>
                <w:rFonts w:hint="eastAsia" w:ascii="仿宋" w:hAnsi="仿宋" w:eastAsia="仿宋" w:cs="仿宋"/>
                <w:color w:val="auto"/>
                <w:sz w:val="24"/>
                <w:highlight w:val="none"/>
                <w:u w:val="single"/>
                <w:vertAlign w:val="baseline"/>
              </w:rPr>
            </w:pPr>
          </w:p>
        </w:tc>
        <w:tc>
          <w:tcPr>
            <w:tcW w:w="1170" w:type="dxa"/>
            <w:noWrap w:val="0"/>
            <w:vAlign w:val="top"/>
          </w:tcPr>
          <w:p w14:paraId="1483F04D">
            <w:pPr>
              <w:spacing w:line="360" w:lineRule="auto"/>
              <w:contextualSpacing/>
              <w:rPr>
                <w:rFonts w:hint="eastAsia" w:ascii="仿宋" w:hAnsi="仿宋" w:eastAsia="仿宋" w:cs="仿宋"/>
                <w:color w:val="auto"/>
                <w:sz w:val="24"/>
                <w:highlight w:val="none"/>
                <w:u w:val="single"/>
                <w:vertAlign w:val="baseline"/>
              </w:rPr>
            </w:pPr>
          </w:p>
        </w:tc>
        <w:tc>
          <w:tcPr>
            <w:tcW w:w="1896" w:type="dxa"/>
            <w:noWrap w:val="0"/>
            <w:vAlign w:val="top"/>
          </w:tcPr>
          <w:p w14:paraId="0F2B6397">
            <w:pPr>
              <w:spacing w:line="360" w:lineRule="auto"/>
              <w:contextualSpacing/>
              <w:rPr>
                <w:rFonts w:hint="eastAsia" w:ascii="仿宋" w:hAnsi="仿宋" w:eastAsia="仿宋" w:cs="仿宋"/>
                <w:color w:val="auto"/>
                <w:sz w:val="24"/>
                <w:highlight w:val="none"/>
                <w:u w:val="single"/>
                <w:vertAlign w:val="baseline"/>
              </w:rPr>
            </w:pPr>
          </w:p>
        </w:tc>
        <w:tc>
          <w:tcPr>
            <w:tcW w:w="1278" w:type="dxa"/>
            <w:noWrap w:val="0"/>
            <w:vAlign w:val="top"/>
          </w:tcPr>
          <w:p w14:paraId="1CFC1E80">
            <w:pPr>
              <w:spacing w:line="360" w:lineRule="auto"/>
              <w:contextualSpacing/>
              <w:rPr>
                <w:rFonts w:hint="eastAsia" w:ascii="仿宋" w:hAnsi="仿宋" w:eastAsia="仿宋" w:cs="仿宋"/>
                <w:color w:val="auto"/>
                <w:sz w:val="24"/>
                <w:highlight w:val="none"/>
                <w:u w:val="single"/>
                <w:vertAlign w:val="baseline"/>
              </w:rPr>
            </w:pPr>
          </w:p>
        </w:tc>
        <w:tc>
          <w:tcPr>
            <w:tcW w:w="1278" w:type="dxa"/>
            <w:noWrap w:val="0"/>
            <w:vAlign w:val="top"/>
          </w:tcPr>
          <w:p w14:paraId="3247DF88">
            <w:pPr>
              <w:spacing w:line="360" w:lineRule="auto"/>
              <w:contextualSpacing/>
              <w:rPr>
                <w:rFonts w:hint="eastAsia" w:ascii="仿宋" w:hAnsi="仿宋" w:eastAsia="仿宋" w:cs="仿宋"/>
                <w:color w:val="auto"/>
                <w:sz w:val="24"/>
                <w:highlight w:val="none"/>
                <w:u w:val="single"/>
                <w:vertAlign w:val="baseline"/>
              </w:rPr>
            </w:pPr>
          </w:p>
        </w:tc>
        <w:tc>
          <w:tcPr>
            <w:tcW w:w="1278" w:type="dxa"/>
            <w:noWrap w:val="0"/>
            <w:vAlign w:val="top"/>
          </w:tcPr>
          <w:p w14:paraId="7B969B4A">
            <w:pPr>
              <w:spacing w:line="360" w:lineRule="auto"/>
              <w:contextualSpacing/>
              <w:rPr>
                <w:rFonts w:hint="eastAsia" w:ascii="仿宋" w:hAnsi="仿宋" w:eastAsia="仿宋" w:cs="仿宋"/>
                <w:color w:val="auto"/>
                <w:sz w:val="24"/>
                <w:highlight w:val="none"/>
                <w:u w:val="single"/>
                <w:vertAlign w:val="baseline"/>
              </w:rPr>
            </w:pPr>
          </w:p>
        </w:tc>
      </w:tr>
      <w:tr w14:paraId="64021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noWrap w:val="0"/>
            <w:vAlign w:val="top"/>
          </w:tcPr>
          <w:p w14:paraId="452DED40">
            <w:pPr>
              <w:spacing w:line="360" w:lineRule="auto"/>
              <w:contextualSpacing/>
              <w:rPr>
                <w:rFonts w:hint="eastAsia" w:ascii="仿宋" w:hAnsi="仿宋" w:eastAsia="仿宋" w:cs="仿宋"/>
                <w:color w:val="auto"/>
                <w:sz w:val="24"/>
                <w:highlight w:val="none"/>
                <w:u w:val="single"/>
                <w:vertAlign w:val="baseline"/>
              </w:rPr>
            </w:pPr>
          </w:p>
        </w:tc>
        <w:tc>
          <w:tcPr>
            <w:tcW w:w="1185" w:type="dxa"/>
            <w:noWrap w:val="0"/>
            <w:vAlign w:val="top"/>
          </w:tcPr>
          <w:p w14:paraId="03C145C7">
            <w:pPr>
              <w:spacing w:line="360" w:lineRule="auto"/>
              <w:contextualSpacing/>
              <w:rPr>
                <w:rFonts w:hint="eastAsia" w:ascii="仿宋" w:hAnsi="仿宋" w:eastAsia="仿宋" w:cs="仿宋"/>
                <w:color w:val="auto"/>
                <w:sz w:val="24"/>
                <w:highlight w:val="none"/>
                <w:u w:val="single"/>
                <w:vertAlign w:val="baseline"/>
              </w:rPr>
            </w:pPr>
          </w:p>
        </w:tc>
        <w:tc>
          <w:tcPr>
            <w:tcW w:w="1170" w:type="dxa"/>
            <w:noWrap w:val="0"/>
            <w:vAlign w:val="top"/>
          </w:tcPr>
          <w:p w14:paraId="6BC3F7DF">
            <w:pPr>
              <w:spacing w:line="360" w:lineRule="auto"/>
              <w:contextualSpacing/>
              <w:rPr>
                <w:rFonts w:hint="eastAsia" w:ascii="仿宋" w:hAnsi="仿宋" w:eastAsia="仿宋" w:cs="仿宋"/>
                <w:color w:val="auto"/>
                <w:sz w:val="24"/>
                <w:highlight w:val="none"/>
                <w:u w:val="single"/>
                <w:vertAlign w:val="baseline"/>
              </w:rPr>
            </w:pPr>
          </w:p>
        </w:tc>
        <w:tc>
          <w:tcPr>
            <w:tcW w:w="1896" w:type="dxa"/>
            <w:noWrap w:val="0"/>
            <w:vAlign w:val="top"/>
          </w:tcPr>
          <w:p w14:paraId="6890D5FB">
            <w:pPr>
              <w:spacing w:line="360" w:lineRule="auto"/>
              <w:contextualSpacing/>
              <w:rPr>
                <w:rFonts w:hint="eastAsia" w:ascii="仿宋" w:hAnsi="仿宋" w:eastAsia="仿宋" w:cs="仿宋"/>
                <w:color w:val="auto"/>
                <w:sz w:val="24"/>
                <w:highlight w:val="none"/>
                <w:u w:val="single"/>
                <w:vertAlign w:val="baseline"/>
              </w:rPr>
            </w:pPr>
          </w:p>
        </w:tc>
        <w:tc>
          <w:tcPr>
            <w:tcW w:w="1278" w:type="dxa"/>
            <w:noWrap w:val="0"/>
            <w:vAlign w:val="top"/>
          </w:tcPr>
          <w:p w14:paraId="6D89AFFC">
            <w:pPr>
              <w:spacing w:line="360" w:lineRule="auto"/>
              <w:contextualSpacing/>
              <w:rPr>
                <w:rFonts w:hint="eastAsia" w:ascii="仿宋" w:hAnsi="仿宋" w:eastAsia="仿宋" w:cs="仿宋"/>
                <w:color w:val="auto"/>
                <w:sz w:val="24"/>
                <w:highlight w:val="none"/>
                <w:u w:val="single"/>
                <w:vertAlign w:val="baseline"/>
              </w:rPr>
            </w:pPr>
          </w:p>
        </w:tc>
        <w:tc>
          <w:tcPr>
            <w:tcW w:w="1278" w:type="dxa"/>
            <w:noWrap w:val="0"/>
            <w:vAlign w:val="top"/>
          </w:tcPr>
          <w:p w14:paraId="6D03CA32">
            <w:pPr>
              <w:spacing w:line="360" w:lineRule="auto"/>
              <w:contextualSpacing/>
              <w:rPr>
                <w:rFonts w:hint="eastAsia" w:ascii="仿宋" w:hAnsi="仿宋" w:eastAsia="仿宋" w:cs="仿宋"/>
                <w:color w:val="auto"/>
                <w:sz w:val="24"/>
                <w:highlight w:val="none"/>
                <w:u w:val="single"/>
                <w:vertAlign w:val="baseline"/>
              </w:rPr>
            </w:pPr>
          </w:p>
        </w:tc>
        <w:tc>
          <w:tcPr>
            <w:tcW w:w="1278" w:type="dxa"/>
            <w:noWrap w:val="0"/>
            <w:vAlign w:val="top"/>
          </w:tcPr>
          <w:p w14:paraId="28699CD5">
            <w:pPr>
              <w:spacing w:line="360" w:lineRule="auto"/>
              <w:contextualSpacing/>
              <w:rPr>
                <w:rFonts w:hint="eastAsia" w:ascii="仿宋" w:hAnsi="仿宋" w:eastAsia="仿宋" w:cs="仿宋"/>
                <w:color w:val="auto"/>
                <w:sz w:val="24"/>
                <w:highlight w:val="none"/>
                <w:u w:val="single"/>
                <w:vertAlign w:val="baseline"/>
              </w:rPr>
            </w:pPr>
          </w:p>
        </w:tc>
      </w:tr>
      <w:tr w14:paraId="054B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noWrap w:val="0"/>
            <w:vAlign w:val="top"/>
          </w:tcPr>
          <w:p w14:paraId="7F68EF50">
            <w:pPr>
              <w:spacing w:line="360" w:lineRule="auto"/>
              <w:contextualSpacing/>
              <w:rPr>
                <w:rFonts w:hint="eastAsia" w:ascii="仿宋" w:hAnsi="仿宋" w:eastAsia="仿宋" w:cs="仿宋"/>
                <w:color w:val="auto"/>
                <w:sz w:val="24"/>
                <w:highlight w:val="none"/>
                <w:u w:val="single"/>
                <w:vertAlign w:val="baseline"/>
              </w:rPr>
            </w:pPr>
          </w:p>
        </w:tc>
        <w:tc>
          <w:tcPr>
            <w:tcW w:w="1185" w:type="dxa"/>
            <w:noWrap w:val="0"/>
            <w:vAlign w:val="top"/>
          </w:tcPr>
          <w:p w14:paraId="72FB40B1">
            <w:pPr>
              <w:spacing w:line="360" w:lineRule="auto"/>
              <w:contextualSpacing/>
              <w:rPr>
                <w:rFonts w:hint="eastAsia" w:ascii="仿宋" w:hAnsi="仿宋" w:eastAsia="仿宋" w:cs="仿宋"/>
                <w:color w:val="auto"/>
                <w:sz w:val="24"/>
                <w:highlight w:val="none"/>
                <w:u w:val="single"/>
                <w:vertAlign w:val="baseline"/>
              </w:rPr>
            </w:pPr>
          </w:p>
        </w:tc>
        <w:tc>
          <w:tcPr>
            <w:tcW w:w="1170" w:type="dxa"/>
            <w:noWrap w:val="0"/>
            <w:vAlign w:val="top"/>
          </w:tcPr>
          <w:p w14:paraId="720D9AF3">
            <w:pPr>
              <w:spacing w:line="360" w:lineRule="auto"/>
              <w:contextualSpacing/>
              <w:rPr>
                <w:rFonts w:hint="eastAsia" w:ascii="仿宋" w:hAnsi="仿宋" w:eastAsia="仿宋" w:cs="仿宋"/>
                <w:color w:val="auto"/>
                <w:sz w:val="24"/>
                <w:highlight w:val="none"/>
                <w:u w:val="single"/>
                <w:vertAlign w:val="baseline"/>
              </w:rPr>
            </w:pPr>
          </w:p>
        </w:tc>
        <w:tc>
          <w:tcPr>
            <w:tcW w:w="1896" w:type="dxa"/>
            <w:noWrap w:val="0"/>
            <w:vAlign w:val="top"/>
          </w:tcPr>
          <w:p w14:paraId="72E67675">
            <w:pPr>
              <w:spacing w:line="360" w:lineRule="auto"/>
              <w:contextualSpacing/>
              <w:rPr>
                <w:rFonts w:hint="eastAsia" w:ascii="仿宋" w:hAnsi="仿宋" w:eastAsia="仿宋" w:cs="仿宋"/>
                <w:color w:val="auto"/>
                <w:sz w:val="24"/>
                <w:highlight w:val="none"/>
                <w:u w:val="single"/>
                <w:vertAlign w:val="baseline"/>
              </w:rPr>
            </w:pPr>
          </w:p>
        </w:tc>
        <w:tc>
          <w:tcPr>
            <w:tcW w:w="1278" w:type="dxa"/>
            <w:noWrap w:val="0"/>
            <w:vAlign w:val="top"/>
          </w:tcPr>
          <w:p w14:paraId="40A22A18">
            <w:pPr>
              <w:spacing w:line="360" w:lineRule="auto"/>
              <w:contextualSpacing/>
              <w:rPr>
                <w:rFonts w:hint="eastAsia" w:ascii="仿宋" w:hAnsi="仿宋" w:eastAsia="仿宋" w:cs="仿宋"/>
                <w:color w:val="auto"/>
                <w:sz w:val="24"/>
                <w:highlight w:val="none"/>
                <w:u w:val="single"/>
                <w:vertAlign w:val="baseline"/>
              </w:rPr>
            </w:pPr>
          </w:p>
        </w:tc>
        <w:tc>
          <w:tcPr>
            <w:tcW w:w="1278" w:type="dxa"/>
            <w:noWrap w:val="0"/>
            <w:vAlign w:val="top"/>
          </w:tcPr>
          <w:p w14:paraId="3E1DA87C">
            <w:pPr>
              <w:spacing w:line="360" w:lineRule="auto"/>
              <w:contextualSpacing/>
              <w:rPr>
                <w:rFonts w:hint="eastAsia" w:ascii="仿宋" w:hAnsi="仿宋" w:eastAsia="仿宋" w:cs="仿宋"/>
                <w:color w:val="auto"/>
                <w:sz w:val="24"/>
                <w:highlight w:val="none"/>
                <w:u w:val="single"/>
                <w:vertAlign w:val="baseline"/>
              </w:rPr>
            </w:pPr>
          </w:p>
        </w:tc>
        <w:tc>
          <w:tcPr>
            <w:tcW w:w="1278" w:type="dxa"/>
            <w:noWrap w:val="0"/>
            <w:vAlign w:val="top"/>
          </w:tcPr>
          <w:p w14:paraId="177D0235">
            <w:pPr>
              <w:spacing w:line="360" w:lineRule="auto"/>
              <w:contextualSpacing/>
              <w:rPr>
                <w:rFonts w:hint="eastAsia" w:ascii="仿宋" w:hAnsi="仿宋" w:eastAsia="仿宋" w:cs="仿宋"/>
                <w:color w:val="auto"/>
                <w:sz w:val="24"/>
                <w:highlight w:val="none"/>
                <w:u w:val="single"/>
                <w:vertAlign w:val="baseline"/>
              </w:rPr>
            </w:pPr>
          </w:p>
        </w:tc>
      </w:tr>
      <w:tr w14:paraId="65BFC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noWrap w:val="0"/>
            <w:vAlign w:val="top"/>
          </w:tcPr>
          <w:p w14:paraId="404D280F">
            <w:pPr>
              <w:spacing w:line="360" w:lineRule="auto"/>
              <w:contextualSpacing/>
              <w:rPr>
                <w:rFonts w:hint="eastAsia" w:ascii="仿宋" w:hAnsi="仿宋" w:eastAsia="仿宋" w:cs="仿宋"/>
                <w:color w:val="auto"/>
                <w:sz w:val="24"/>
                <w:highlight w:val="none"/>
                <w:u w:val="single"/>
                <w:vertAlign w:val="baseline"/>
              </w:rPr>
            </w:pPr>
          </w:p>
        </w:tc>
        <w:tc>
          <w:tcPr>
            <w:tcW w:w="1185" w:type="dxa"/>
            <w:noWrap w:val="0"/>
            <w:vAlign w:val="top"/>
          </w:tcPr>
          <w:p w14:paraId="057008D8">
            <w:pPr>
              <w:spacing w:line="360" w:lineRule="auto"/>
              <w:contextualSpacing/>
              <w:rPr>
                <w:rFonts w:hint="eastAsia" w:ascii="仿宋" w:hAnsi="仿宋" w:eastAsia="仿宋" w:cs="仿宋"/>
                <w:color w:val="auto"/>
                <w:sz w:val="24"/>
                <w:highlight w:val="none"/>
                <w:u w:val="single"/>
                <w:vertAlign w:val="baseline"/>
              </w:rPr>
            </w:pPr>
          </w:p>
        </w:tc>
        <w:tc>
          <w:tcPr>
            <w:tcW w:w="1170" w:type="dxa"/>
            <w:noWrap w:val="0"/>
            <w:vAlign w:val="top"/>
          </w:tcPr>
          <w:p w14:paraId="0B20B2AF">
            <w:pPr>
              <w:spacing w:line="360" w:lineRule="auto"/>
              <w:contextualSpacing/>
              <w:rPr>
                <w:rFonts w:hint="eastAsia" w:ascii="仿宋" w:hAnsi="仿宋" w:eastAsia="仿宋" w:cs="仿宋"/>
                <w:color w:val="auto"/>
                <w:sz w:val="24"/>
                <w:highlight w:val="none"/>
                <w:u w:val="single"/>
                <w:vertAlign w:val="baseline"/>
              </w:rPr>
            </w:pPr>
          </w:p>
        </w:tc>
        <w:tc>
          <w:tcPr>
            <w:tcW w:w="1896" w:type="dxa"/>
            <w:noWrap w:val="0"/>
            <w:vAlign w:val="top"/>
          </w:tcPr>
          <w:p w14:paraId="1D322897">
            <w:pPr>
              <w:spacing w:line="360" w:lineRule="auto"/>
              <w:contextualSpacing/>
              <w:rPr>
                <w:rFonts w:hint="eastAsia" w:ascii="仿宋" w:hAnsi="仿宋" w:eastAsia="仿宋" w:cs="仿宋"/>
                <w:color w:val="auto"/>
                <w:sz w:val="24"/>
                <w:highlight w:val="none"/>
                <w:u w:val="single"/>
                <w:vertAlign w:val="baseline"/>
              </w:rPr>
            </w:pPr>
          </w:p>
        </w:tc>
        <w:tc>
          <w:tcPr>
            <w:tcW w:w="1278" w:type="dxa"/>
            <w:noWrap w:val="0"/>
            <w:vAlign w:val="top"/>
          </w:tcPr>
          <w:p w14:paraId="4BE025AD">
            <w:pPr>
              <w:spacing w:line="360" w:lineRule="auto"/>
              <w:contextualSpacing/>
              <w:rPr>
                <w:rFonts w:hint="eastAsia" w:ascii="仿宋" w:hAnsi="仿宋" w:eastAsia="仿宋" w:cs="仿宋"/>
                <w:color w:val="auto"/>
                <w:sz w:val="24"/>
                <w:highlight w:val="none"/>
                <w:u w:val="single"/>
                <w:vertAlign w:val="baseline"/>
              </w:rPr>
            </w:pPr>
          </w:p>
        </w:tc>
        <w:tc>
          <w:tcPr>
            <w:tcW w:w="1278" w:type="dxa"/>
            <w:noWrap w:val="0"/>
            <w:vAlign w:val="top"/>
          </w:tcPr>
          <w:p w14:paraId="70C2CA2E">
            <w:pPr>
              <w:spacing w:line="360" w:lineRule="auto"/>
              <w:contextualSpacing/>
              <w:rPr>
                <w:rFonts w:hint="eastAsia" w:ascii="仿宋" w:hAnsi="仿宋" w:eastAsia="仿宋" w:cs="仿宋"/>
                <w:color w:val="auto"/>
                <w:sz w:val="24"/>
                <w:highlight w:val="none"/>
                <w:u w:val="single"/>
                <w:vertAlign w:val="baseline"/>
              </w:rPr>
            </w:pPr>
          </w:p>
        </w:tc>
        <w:tc>
          <w:tcPr>
            <w:tcW w:w="1278" w:type="dxa"/>
            <w:noWrap w:val="0"/>
            <w:vAlign w:val="top"/>
          </w:tcPr>
          <w:p w14:paraId="65290A63">
            <w:pPr>
              <w:spacing w:line="360" w:lineRule="auto"/>
              <w:contextualSpacing/>
              <w:rPr>
                <w:rFonts w:hint="eastAsia" w:ascii="仿宋" w:hAnsi="仿宋" w:eastAsia="仿宋" w:cs="仿宋"/>
                <w:color w:val="auto"/>
                <w:sz w:val="24"/>
                <w:highlight w:val="none"/>
                <w:u w:val="single"/>
                <w:vertAlign w:val="baseline"/>
              </w:rPr>
            </w:pPr>
          </w:p>
        </w:tc>
      </w:tr>
      <w:tr w14:paraId="329D4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noWrap w:val="0"/>
            <w:vAlign w:val="top"/>
          </w:tcPr>
          <w:p w14:paraId="7F63285F">
            <w:pPr>
              <w:spacing w:line="360" w:lineRule="auto"/>
              <w:contextualSpacing/>
              <w:rPr>
                <w:rFonts w:hint="eastAsia" w:ascii="仿宋" w:hAnsi="仿宋" w:eastAsia="仿宋" w:cs="仿宋"/>
                <w:color w:val="auto"/>
                <w:sz w:val="24"/>
                <w:highlight w:val="none"/>
                <w:u w:val="single"/>
                <w:vertAlign w:val="baseline"/>
              </w:rPr>
            </w:pPr>
          </w:p>
        </w:tc>
        <w:tc>
          <w:tcPr>
            <w:tcW w:w="1185" w:type="dxa"/>
            <w:noWrap w:val="0"/>
            <w:vAlign w:val="top"/>
          </w:tcPr>
          <w:p w14:paraId="40BB27DF">
            <w:pPr>
              <w:spacing w:line="360" w:lineRule="auto"/>
              <w:contextualSpacing/>
              <w:rPr>
                <w:rFonts w:hint="eastAsia" w:ascii="仿宋" w:hAnsi="仿宋" w:eastAsia="仿宋" w:cs="仿宋"/>
                <w:color w:val="auto"/>
                <w:sz w:val="24"/>
                <w:highlight w:val="none"/>
                <w:u w:val="single"/>
                <w:vertAlign w:val="baseline"/>
              </w:rPr>
            </w:pPr>
          </w:p>
        </w:tc>
        <w:tc>
          <w:tcPr>
            <w:tcW w:w="1170" w:type="dxa"/>
            <w:noWrap w:val="0"/>
            <w:vAlign w:val="top"/>
          </w:tcPr>
          <w:p w14:paraId="336E80ED">
            <w:pPr>
              <w:spacing w:line="360" w:lineRule="auto"/>
              <w:contextualSpacing/>
              <w:rPr>
                <w:rFonts w:hint="eastAsia" w:ascii="仿宋" w:hAnsi="仿宋" w:eastAsia="仿宋" w:cs="仿宋"/>
                <w:color w:val="auto"/>
                <w:sz w:val="24"/>
                <w:highlight w:val="none"/>
                <w:u w:val="single"/>
                <w:vertAlign w:val="baseline"/>
              </w:rPr>
            </w:pPr>
          </w:p>
        </w:tc>
        <w:tc>
          <w:tcPr>
            <w:tcW w:w="1896" w:type="dxa"/>
            <w:noWrap w:val="0"/>
            <w:vAlign w:val="top"/>
          </w:tcPr>
          <w:p w14:paraId="06368A9B">
            <w:pPr>
              <w:spacing w:line="360" w:lineRule="auto"/>
              <w:contextualSpacing/>
              <w:rPr>
                <w:rFonts w:hint="eastAsia" w:ascii="仿宋" w:hAnsi="仿宋" w:eastAsia="仿宋" w:cs="仿宋"/>
                <w:color w:val="auto"/>
                <w:sz w:val="24"/>
                <w:highlight w:val="none"/>
                <w:u w:val="single"/>
                <w:vertAlign w:val="baseline"/>
              </w:rPr>
            </w:pPr>
          </w:p>
        </w:tc>
        <w:tc>
          <w:tcPr>
            <w:tcW w:w="1278" w:type="dxa"/>
            <w:noWrap w:val="0"/>
            <w:vAlign w:val="top"/>
          </w:tcPr>
          <w:p w14:paraId="1CEF1CC3">
            <w:pPr>
              <w:spacing w:line="360" w:lineRule="auto"/>
              <w:contextualSpacing/>
              <w:rPr>
                <w:rFonts w:hint="eastAsia" w:ascii="仿宋" w:hAnsi="仿宋" w:eastAsia="仿宋" w:cs="仿宋"/>
                <w:color w:val="auto"/>
                <w:sz w:val="24"/>
                <w:highlight w:val="none"/>
                <w:u w:val="single"/>
                <w:vertAlign w:val="baseline"/>
              </w:rPr>
            </w:pPr>
          </w:p>
        </w:tc>
        <w:tc>
          <w:tcPr>
            <w:tcW w:w="1278" w:type="dxa"/>
            <w:noWrap w:val="0"/>
            <w:vAlign w:val="top"/>
          </w:tcPr>
          <w:p w14:paraId="68EB1DEE">
            <w:pPr>
              <w:spacing w:line="360" w:lineRule="auto"/>
              <w:contextualSpacing/>
              <w:rPr>
                <w:rFonts w:hint="eastAsia" w:ascii="仿宋" w:hAnsi="仿宋" w:eastAsia="仿宋" w:cs="仿宋"/>
                <w:color w:val="auto"/>
                <w:sz w:val="24"/>
                <w:highlight w:val="none"/>
                <w:u w:val="single"/>
                <w:vertAlign w:val="baseline"/>
              </w:rPr>
            </w:pPr>
          </w:p>
        </w:tc>
        <w:tc>
          <w:tcPr>
            <w:tcW w:w="1278" w:type="dxa"/>
            <w:noWrap w:val="0"/>
            <w:vAlign w:val="top"/>
          </w:tcPr>
          <w:p w14:paraId="51D73009">
            <w:pPr>
              <w:spacing w:line="360" w:lineRule="auto"/>
              <w:contextualSpacing/>
              <w:rPr>
                <w:rFonts w:hint="eastAsia" w:ascii="仿宋" w:hAnsi="仿宋" w:eastAsia="仿宋" w:cs="仿宋"/>
                <w:color w:val="auto"/>
                <w:sz w:val="24"/>
                <w:highlight w:val="none"/>
                <w:u w:val="single"/>
                <w:vertAlign w:val="baseline"/>
              </w:rPr>
            </w:pPr>
          </w:p>
        </w:tc>
      </w:tr>
      <w:tr w14:paraId="54C68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noWrap w:val="0"/>
            <w:vAlign w:val="top"/>
          </w:tcPr>
          <w:p w14:paraId="10D7CC51">
            <w:pPr>
              <w:spacing w:line="360" w:lineRule="auto"/>
              <w:contextualSpacing/>
              <w:rPr>
                <w:rFonts w:hint="eastAsia" w:ascii="仿宋" w:hAnsi="仿宋" w:eastAsia="仿宋" w:cs="仿宋"/>
                <w:color w:val="auto"/>
                <w:sz w:val="24"/>
                <w:highlight w:val="none"/>
                <w:u w:val="single"/>
                <w:vertAlign w:val="baseline"/>
              </w:rPr>
            </w:pPr>
          </w:p>
        </w:tc>
        <w:tc>
          <w:tcPr>
            <w:tcW w:w="1185" w:type="dxa"/>
            <w:noWrap w:val="0"/>
            <w:vAlign w:val="top"/>
          </w:tcPr>
          <w:p w14:paraId="28D8716C">
            <w:pPr>
              <w:spacing w:line="360" w:lineRule="auto"/>
              <w:contextualSpacing/>
              <w:rPr>
                <w:rFonts w:hint="eastAsia" w:ascii="仿宋" w:hAnsi="仿宋" w:eastAsia="仿宋" w:cs="仿宋"/>
                <w:color w:val="auto"/>
                <w:sz w:val="24"/>
                <w:highlight w:val="none"/>
                <w:u w:val="single"/>
                <w:vertAlign w:val="baseline"/>
              </w:rPr>
            </w:pPr>
          </w:p>
        </w:tc>
        <w:tc>
          <w:tcPr>
            <w:tcW w:w="1170" w:type="dxa"/>
            <w:noWrap w:val="0"/>
            <w:vAlign w:val="top"/>
          </w:tcPr>
          <w:p w14:paraId="5F2557AA">
            <w:pPr>
              <w:spacing w:line="360" w:lineRule="auto"/>
              <w:contextualSpacing/>
              <w:rPr>
                <w:rFonts w:hint="eastAsia" w:ascii="仿宋" w:hAnsi="仿宋" w:eastAsia="仿宋" w:cs="仿宋"/>
                <w:color w:val="auto"/>
                <w:sz w:val="24"/>
                <w:highlight w:val="none"/>
                <w:u w:val="single"/>
                <w:vertAlign w:val="baseline"/>
              </w:rPr>
            </w:pPr>
          </w:p>
        </w:tc>
        <w:tc>
          <w:tcPr>
            <w:tcW w:w="1896" w:type="dxa"/>
            <w:noWrap w:val="0"/>
            <w:vAlign w:val="top"/>
          </w:tcPr>
          <w:p w14:paraId="16F8DB41">
            <w:pPr>
              <w:spacing w:line="360" w:lineRule="auto"/>
              <w:contextualSpacing/>
              <w:rPr>
                <w:rFonts w:hint="eastAsia" w:ascii="仿宋" w:hAnsi="仿宋" w:eastAsia="仿宋" w:cs="仿宋"/>
                <w:color w:val="auto"/>
                <w:sz w:val="24"/>
                <w:highlight w:val="none"/>
                <w:u w:val="single"/>
                <w:vertAlign w:val="baseline"/>
              </w:rPr>
            </w:pPr>
          </w:p>
        </w:tc>
        <w:tc>
          <w:tcPr>
            <w:tcW w:w="1278" w:type="dxa"/>
            <w:noWrap w:val="0"/>
            <w:vAlign w:val="top"/>
          </w:tcPr>
          <w:p w14:paraId="146CC38F">
            <w:pPr>
              <w:spacing w:line="360" w:lineRule="auto"/>
              <w:contextualSpacing/>
              <w:rPr>
                <w:rFonts w:hint="eastAsia" w:ascii="仿宋" w:hAnsi="仿宋" w:eastAsia="仿宋" w:cs="仿宋"/>
                <w:color w:val="auto"/>
                <w:sz w:val="24"/>
                <w:highlight w:val="none"/>
                <w:u w:val="single"/>
                <w:vertAlign w:val="baseline"/>
              </w:rPr>
            </w:pPr>
          </w:p>
        </w:tc>
        <w:tc>
          <w:tcPr>
            <w:tcW w:w="1278" w:type="dxa"/>
            <w:noWrap w:val="0"/>
            <w:vAlign w:val="top"/>
          </w:tcPr>
          <w:p w14:paraId="60E6243D">
            <w:pPr>
              <w:spacing w:line="360" w:lineRule="auto"/>
              <w:contextualSpacing/>
              <w:rPr>
                <w:rFonts w:hint="eastAsia" w:ascii="仿宋" w:hAnsi="仿宋" w:eastAsia="仿宋" w:cs="仿宋"/>
                <w:color w:val="auto"/>
                <w:sz w:val="24"/>
                <w:highlight w:val="none"/>
                <w:u w:val="single"/>
                <w:vertAlign w:val="baseline"/>
              </w:rPr>
            </w:pPr>
          </w:p>
        </w:tc>
        <w:tc>
          <w:tcPr>
            <w:tcW w:w="1278" w:type="dxa"/>
            <w:noWrap w:val="0"/>
            <w:vAlign w:val="top"/>
          </w:tcPr>
          <w:p w14:paraId="0E6D7C71">
            <w:pPr>
              <w:spacing w:line="360" w:lineRule="auto"/>
              <w:contextualSpacing/>
              <w:rPr>
                <w:rFonts w:hint="eastAsia" w:ascii="仿宋" w:hAnsi="仿宋" w:eastAsia="仿宋" w:cs="仿宋"/>
                <w:color w:val="auto"/>
                <w:sz w:val="24"/>
                <w:highlight w:val="none"/>
                <w:u w:val="single"/>
                <w:vertAlign w:val="baseline"/>
              </w:rPr>
            </w:pPr>
          </w:p>
        </w:tc>
      </w:tr>
    </w:tbl>
    <w:p w14:paraId="155C8304">
      <w:pPr>
        <w:spacing w:line="360" w:lineRule="auto"/>
        <w:contextualSpacing/>
        <w:rPr>
          <w:rFonts w:hint="eastAsia" w:ascii="仿宋" w:hAnsi="仿宋" w:eastAsia="仿宋" w:cs="仿宋"/>
          <w:color w:val="auto"/>
          <w:sz w:val="24"/>
          <w:highlight w:val="none"/>
          <w:u w:val="single"/>
        </w:rPr>
      </w:pPr>
    </w:p>
    <w:p w14:paraId="15872494">
      <w:pPr>
        <w:snapToGrid w:val="0"/>
        <w:spacing w:line="360" w:lineRule="auto"/>
        <w:ind w:firstLine="602" w:firstLineChars="200"/>
        <w:rPr>
          <w:rFonts w:hint="eastAsia" w:ascii="仿宋" w:hAnsi="仿宋" w:eastAsia="仿宋" w:cs="仿宋"/>
          <w:b/>
          <w:color w:val="auto"/>
          <w:sz w:val="30"/>
          <w:szCs w:val="30"/>
          <w:highlight w:val="none"/>
        </w:rPr>
      </w:pPr>
    </w:p>
    <w:p w14:paraId="6309AE75">
      <w:pPr>
        <w:autoSpaceDE w:val="0"/>
        <w:autoSpaceDN w:val="0"/>
        <w:spacing w:line="360" w:lineRule="auto"/>
        <w:ind w:firstLine="6505" w:firstLineChars="2700"/>
        <w:rPr>
          <w:rFonts w:hint="eastAsia" w:ascii="仿宋" w:hAnsi="仿宋" w:eastAsia="仿宋" w:cs="仿宋"/>
          <w:b/>
          <w:bCs/>
          <w:color w:val="auto"/>
          <w:sz w:val="24"/>
          <w:highlight w:val="none"/>
        </w:rPr>
      </w:pPr>
    </w:p>
    <w:p w14:paraId="52E7319B">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6F949542">
      <w:pPr>
        <w:autoSpaceDE w:val="0"/>
        <w:autoSpaceDN w:val="0"/>
        <w:spacing w:line="360" w:lineRule="auto"/>
        <w:ind w:firstLine="6480" w:firstLineChars="2700"/>
        <w:rPr>
          <w:rFonts w:hint="eastAsia" w:ascii="仿宋_GB2312" w:hAnsi="仿宋" w:eastAsia="仿宋_GB2312" w:cs="仿宋_GB2312"/>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27AABDFB">
      <w:pPr>
        <w:autoSpaceDE w:val="0"/>
        <w:autoSpaceDN w:val="0"/>
        <w:spacing w:line="360" w:lineRule="auto"/>
        <w:ind w:firstLine="6480" w:firstLineChars="2700"/>
        <w:rPr>
          <w:rFonts w:hint="eastAsia" w:ascii="仿宋" w:hAnsi="仿宋" w:eastAsia="仿宋" w:cs="仿宋"/>
          <w:color w:val="auto"/>
          <w:kern w:val="0"/>
          <w:sz w:val="24"/>
          <w:highlight w:val="none"/>
          <w:lang w:val="zh-CN"/>
        </w:rPr>
      </w:pPr>
    </w:p>
    <w:p w14:paraId="1B18F236">
      <w:pPr>
        <w:spacing w:line="500" w:lineRule="exact"/>
        <w:rPr>
          <w:rFonts w:hint="eastAsia" w:ascii="仿宋" w:hAnsi="仿宋" w:eastAsia="仿宋" w:cs="仿宋"/>
          <w:color w:val="auto"/>
          <w:sz w:val="32"/>
          <w:szCs w:val="32"/>
          <w:highlight w:val="none"/>
        </w:rPr>
      </w:pPr>
    </w:p>
    <w:p w14:paraId="776BDAE4">
      <w:pPr>
        <w:autoSpaceDE w:val="0"/>
        <w:autoSpaceDN w:val="0"/>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0"/>
          <w:szCs w:val="30"/>
          <w:highlight w:val="none"/>
        </w:rPr>
        <w:br w:type="page"/>
      </w:r>
      <w:r>
        <w:rPr>
          <w:rFonts w:hint="eastAsia" w:ascii="仿宋" w:hAnsi="仿宋" w:eastAsia="仿宋" w:cs="仿宋"/>
          <w:b/>
          <w:color w:val="auto"/>
          <w:sz w:val="30"/>
          <w:szCs w:val="30"/>
          <w:highlight w:val="none"/>
        </w:rPr>
        <w:t>十</w:t>
      </w:r>
      <w:r>
        <w:rPr>
          <w:rFonts w:hint="eastAsia" w:ascii="仿宋" w:hAnsi="仿宋" w:eastAsia="仿宋" w:cs="仿宋"/>
          <w:b/>
          <w:color w:val="auto"/>
          <w:sz w:val="30"/>
          <w:szCs w:val="30"/>
          <w:highlight w:val="none"/>
          <w:lang w:val="en-US" w:eastAsia="zh-CN"/>
        </w:rPr>
        <w:t>一</w:t>
      </w:r>
      <w:r>
        <w:rPr>
          <w:rFonts w:hint="eastAsia" w:ascii="仿宋" w:hAnsi="仿宋" w:eastAsia="仿宋" w:cs="仿宋"/>
          <w:b/>
          <w:color w:val="auto"/>
          <w:sz w:val="30"/>
          <w:szCs w:val="30"/>
          <w:highlight w:val="none"/>
        </w:rPr>
        <w:t>、对应采购需求的货物需求、商务条款提供的其他文件资料；（</w:t>
      </w:r>
      <w:r>
        <w:rPr>
          <w:rFonts w:hint="eastAsia" w:ascii="仿宋" w:hAnsi="仿宋" w:eastAsia="仿宋" w:cs="仿宋"/>
          <w:b/>
          <w:color w:val="auto"/>
          <w:sz w:val="30"/>
          <w:szCs w:val="30"/>
          <w:highlight w:val="none"/>
          <w:lang w:val="en-US" w:eastAsia="zh-CN"/>
        </w:rPr>
        <w:t>采购需求中有要求的则</w:t>
      </w:r>
      <w:r>
        <w:rPr>
          <w:rFonts w:hint="eastAsia" w:ascii="仿宋" w:hAnsi="仿宋" w:eastAsia="仿宋" w:cs="仿宋"/>
          <w:b/>
          <w:color w:val="auto"/>
          <w:sz w:val="30"/>
          <w:szCs w:val="30"/>
          <w:highlight w:val="none"/>
        </w:rPr>
        <w:t>必须提供，加盖单位公章，否则竞标无效）</w:t>
      </w:r>
    </w:p>
    <w:p w14:paraId="3C492EC9">
      <w:pPr>
        <w:snapToGrid w:val="0"/>
        <w:spacing w:line="360" w:lineRule="auto"/>
        <w:ind w:firstLine="602" w:firstLineChars="200"/>
        <w:rPr>
          <w:rFonts w:hint="eastAsia" w:ascii="仿宋" w:hAnsi="仿宋" w:eastAsia="仿宋" w:cs="仿宋"/>
          <w:b/>
          <w:color w:val="auto"/>
          <w:sz w:val="30"/>
          <w:szCs w:val="30"/>
          <w:highlight w:val="none"/>
        </w:rPr>
      </w:pPr>
    </w:p>
    <w:p w14:paraId="6B270AD3">
      <w:pPr>
        <w:pStyle w:val="6"/>
        <w:rPr>
          <w:rFonts w:hint="eastAsia"/>
          <w:highlight w:val="none"/>
        </w:rPr>
      </w:pPr>
    </w:p>
    <w:p w14:paraId="6B40E1A3">
      <w:pPr>
        <w:snapToGrid w:val="0"/>
        <w:spacing w:line="360" w:lineRule="auto"/>
        <w:rPr>
          <w:rFonts w:hint="default" w:ascii="仿宋" w:hAnsi="仿宋" w:eastAsia="仿宋" w:cs="仿宋"/>
          <w:b/>
          <w:color w:val="auto"/>
          <w:sz w:val="30"/>
          <w:szCs w:val="30"/>
          <w:highlight w:val="none"/>
          <w:lang w:val="en-US"/>
        </w:rPr>
      </w:pPr>
      <w:r>
        <w:rPr>
          <w:rFonts w:hint="eastAsia" w:ascii="仿宋" w:hAnsi="仿宋" w:eastAsia="仿宋" w:cs="仿宋"/>
          <w:b/>
          <w:color w:val="auto"/>
          <w:sz w:val="30"/>
          <w:szCs w:val="30"/>
          <w:highlight w:val="none"/>
        </w:rPr>
        <w:t>十</w:t>
      </w:r>
      <w:r>
        <w:rPr>
          <w:rFonts w:hint="eastAsia" w:ascii="仿宋" w:hAnsi="仿宋" w:eastAsia="仿宋" w:cs="仿宋"/>
          <w:b/>
          <w:color w:val="auto"/>
          <w:sz w:val="30"/>
          <w:szCs w:val="30"/>
          <w:highlight w:val="none"/>
          <w:lang w:val="en-US" w:eastAsia="zh-CN"/>
        </w:rPr>
        <w:t>二</w:t>
      </w:r>
      <w:r>
        <w:rPr>
          <w:rFonts w:hint="eastAsia" w:ascii="仿宋" w:hAnsi="仿宋" w:eastAsia="仿宋" w:cs="仿宋"/>
          <w:b/>
          <w:color w:val="auto"/>
          <w:sz w:val="30"/>
          <w:szCs w:val="30"/>
          <w:highlight w:val="none"/>
        </w:rPr>
        <w:t>、</w:t>
      </w:r>
      <w:r>
        <w:rPr>
          <w:rFonts w:hint="eastAsia" w:ascii="仿宋" w:hAnsi="仿宋" w:eastAsia="仿宋" w:cs="仿宋"/>
          <w:b/>
          <w:color w:val="auto"/>
          <w:sz w:val="30"/>
          <w:szCs w:val="30"/>
          <w:highlight w:val="none"/>
          <w:lang w:val="en-US" w:eastAsia="zh-CN"/>
        </w:rPr>
        <w:t>供应商认为需要提供的其他有关资料</w:t>
      </w:r>
    </w:p>
    <w:p w14:paraId="4BBC16BB">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p>
    <w:p w14:paraId="6777EDB6">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1DB66EB0">
      <w:pPr>
        <w:autoSpaceDE w:val="0"/>
        <w:autoSpaceDN w:val="0"/>
        <w:spacing w:line="360" w:lineRule="auto"/>
        <w:ind w:firstLine="6480" w:firstLineChars="27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1377F5E7">
      <w:pPr>
        <w:spacing w:line="500" w:lineRule="exact"/>
        <w:rPr>
          <w:rFonts w:hint="eastAsia" w:ascii="仿宋" w:hAnsi="仿宋" w:eastAsia="仿宋" w:cs="仿宋"/>
          <w:color w:val="auto"/>
          <w:sz w:val="32"/>
          <w:szCs w:val="32"/>
          <w:highlight w:val="none"/>
        </w:rPr>
        <w:sectPr>
          <w:pgSz w:w="11911" w:h="16838"/>
          <w:pgMar w:top="1338" w:right="1502" w:bottom="850" w:left="1678" w:header="1077" w:footer="720" w:gutter="0"/>
          <w:pgNumType w:fmt="decimal"/>
          <w:cols w:space="720" w:num="1"/>
          <w:rtlGutter w:val="0"/>
          <w:docGrid w:linePitch="0" w:charSpace="0"/>
        </w:sectPr>
      </w:pPr>
    </w:p>
    <w:p w14:paraId="68078716">
      <w:pPr>
        <w:adjustRightInd w:val="0"/>
        <w:snapToGrid w:val="0"/>
        <w:spacing w:line="300" w:lineRule="auto"/>
        <w:rPr>
          <w:rFonts w:hint="eastAsia" w:ascii="仿宋" w:hAnsi="仿宋" w:eastAsia="仿宋" w:cs="仿宋"/>
          <w:color w:val="auto"/>
          <w:szCs w:val="21"/>
          <w:highlight w:val="none"/>
          <w:u w:val="single"/>
        </w:rPr>
      </w:pPr>
    </w:p>
    <w:p w14:paraId="3490E7EA">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仿宋"/>
          <w:color w:val="auto"/>
          <w:highlight w:val="none"/>
        </w:rPr>
      </w:pPr>
      <w:bookmarkStart w:id="70" w:name="_Toc29382"/>
      <w:r>
        <w:rPr>
          <w:rFonts w:hint="eastAsia" w:ascii="仿宋" w:hAnsi="仿宋" w:eastAsia="仿宋" w:cs="仿宋"/>
          <w:color w:val="auto"/>
          <w:highlight w:val="none"/>
        </w:rPr>
        <w:t>第</w:t>
      </w:r>
      <w:r>
        <w:rPr>
          <w:rFonts w:hint="eastAsia" w:ascii="仿宋" w:hAnsi="仿宋" w:eastAsia="仿宋" w:cs="仿宋"/>
          <w:color w:val="auto"/>
          <w:highlight w:val="none"/>
          <w:lang w:val="en-US" w:eastAsia="zh-CN"/>
        </w:rPr>
        <w:t>四</w:t>
      </w:r>
      <w:r>
        <w:rPr>
          <w:rFonts w:hint="eastAsia" w:ascii="仿宋" w:hAnsi="仿宋" w:eastAsia="仿宋" w:cs="仿宋"/>
          <w:color w:val="auto"/>
          <w:highlight w:val="none"/>
        </w:rPr>
        <w:t>节 报价文件格式</w:t>
      </w:r>
      <w:bookmarkEnd w:id="70"/>
    </w:p>
    <w:p w14:paraId="09100621">
      <w:pPr>
        <w:snapToGrid w:val="0"/>
        <w:spacing w:before="120" w:beforeLines="50" w:after="50"/>
        <w:rPr>
          <w:rFonts w:hint="eastAsia" w:ascii="仿宋" w:hAnsi="仿宋" w:eastAsia="仿宋" w:cs="仿宋"/>
          <w:bCs/>
          <w:color w:val="auto"/>
          <w:sz w:val="32"/>
          <w:szCs w:val="20"/>
          <w:highlight w:val="none"/>
        </w:rPr>
      </w:pPr>
      <w:r>
        <w:rPr>
          <w:rFonts w:hint="eastAsia" w:ascii="仿宋" w:hAnsi="仿宋" w:eastAsia="仿宋" w:cs="仿宋"/>
          <w:color w:val="auto"/>
          <w:sz w:val="24"/>
          <w:highlight w:val="none"/>
        </w:rPr>
        <w:t xml:space="preserve">                                                    </w:t>
      </w:r>
      <w:r>
        <w:rPr>
          <w:rFonts w:hint="eastAsia" w:ascii="仿宋" w:hAnsi="仿宋" w:eastAsia="仿宋" w:cs="仿宋"/>
          <w:bCs/>
          <w:color w:val="auto"/>
          <w:sz w:val="24"/>
          <w:szCs w:val="32"/>
          <w:highlight w:val="none"/>
        </w:rPr>
        <w:t>全流程电子文件</w:t>
      </w:r>
    </w:p>
    <w:p w14:paraId="025AAC0A">
      <w:pPr>
        <w:snapToGrid w:val="0"/>
        <w:spacing w:before="120" w:beforeLines="50" w:after="50"/>
        <w:rPr>
          <w:rFonts w:hint="eastAsia" w:ascii="仿宋" w:hAnsi="仿宋" w:eastAsia="仿宋" w:cs="仿宋"/>
          <w:color w:val="auto"/>
          <w:sz w:val="24"/>
          <w:szCs w:val="20"/>
          <w:highlight w:val="none"/>
        </w:rPr>
      </w:pPr>
    </w:p>
    <w:p w14:paraId="5494CE77">
      <w:pPr>
        <w:snapToGrid w:val="0"/>
        <w:spacing w:before="120" w:beforeLines="50" w:after="50"/>
        <w:rPr>
          <w:rFonts w:hint="eastAsia" w:ascii="仿宋" w:hAnsi="仿宋" w:eastAsia="仿宋" w:cs="仿宋"/>
          <w:color w:val="auto"/>
          <w:sz w:val="24"/>
          <w:szCs w:val="20"/>
          <w:highlight w:val="none"/>
        </w:rPr>
      </w:pPr>
    </w:p>
    <w:p w14:paraId="799A1F62">
      <w:pPr>
        <w:snapToGrid w:val="0"/>
        <w:spacing w:before="120" w:beforeLines="50" w:after="50"/>
        <w:rPr>
          <w:rFonts w:hint="eastAsia" w:ascii="仿宋" w:hAnsi="仿宋" w:eastAsia="仿宋" w:cs="仿宋"/>
          <w:color w:val="auto"/>
          <w:sz w:val="24"/>
          <w:szCs w:val="20"/>
          <w:highlight w:val="none"/>
        </w:rPr>
      </w:pPr>
    </w:p>
    <w:p w14:paraId="5787905E">
      <w:pPr>
        <w:snapToGrid w:val="0"/>
        <w:spacing w:before="120" w:beforeLines="50" w:after="50"/>
        <w:jc w:val="center"/>
        <w:rPr>
          <w:rFonts w:hint="eastAsia" w:ascii="仿宋" w:hAnsi="仿宋" w:eastAsia="仿宋" w:cs="仿宋"/>
          <w:b/>
          <w:bCs w:val="0"/>
          <w:color w:val="auto"/>
          <w:sz w:val="44"/>
          <w:szCs w:val="44"/>
          <w:highlight w:val="none"/>
        </w:rPr>
      </w:pPr>
      <w:r>
        <w:rPr>
          <w:rFonts w:hint="eastAsia" w:ascii="仿宋" w:hAnsi="仿宋" w:eastAsia="仿宋" w:cs="仿宋"/>
          <w:b/>
          <w:bCs w:val="0"/>
          <w:color w:val="auto"/>
          <w:sz w:val="44"/>
          <w:szCs w:val="44"/>
          <w:highlight w:val="none"/>
        </w:rPr>
        <w:t>报价文件（封面）</w:t>
      </w:r>
    </w:p>
    <w:p w14:paraId="6224B867">
      <w:pPr>
        <w:snapToGrid w:val="0"/>
        <w:spacing w:before="120" w:beforeLines="50" w:after="50"/>
        <w:rPr>
          <w:rFonts w:hint="eastAsia" w:ascii="仿宋" w:hAnsi="仿宋" w:eastAsia="仿宋" w:cs="仿宋"/>
          <w:bCs/>
          <w:color w:val="auto"/>
          <w:sz w:val="24"/>
          <w:szCs w:val="20"/>
          <w:highlight w:val="none"/>
        </w:rPr>
      </w:pPr>
    </w:p>
    <w:p w14:paraId="4069B6BF">
      <w:pPr>
        <w:snapToGrid w:val="0"/>
        <w:spacing w:before="120" w:beforeLines="50" w:after="50"/>
        <w:rPr>
          <w:rFonts w:hint="eastAsia" w:ascii="仿宋" w:hAnsi="仿宋" w:eastAsia="仿宋" w:cs="仿宋"/>
          <w:bCs/>
          <w:color w:val="auto"/>
          <w:sz w:val="24"/>
          <w:szCs w:val="20"/>
          <w:highlight w:val="none"/>
        </w:rPr>
      </w:pPr>
    </w:p>
    <w:p w14:paraId="4EE96C68">
      <w:pPr>
        <w:snapToGrid w:val="0"/>
        <w:spacing w:before="120" w:beforeLines="50" w:after="50"/>
        <w:rPr>
          <w:rFonts w:hint="eastAsia" w:ascii="仿宋" w:hAnsi="仿宋" w:eastAsia="仿宋" w:cs="仿宋"/>
          <w:bCs/>
          <w:color w:val="auto"/>
          <w:sz w:val="24"/>
          <w:szCs w:val="20"/>
          <w:highlight w:val="none"/>
        </w:rPr>
      </w:pPr>
    </w:p>
    <w:p w14:paraId="6E54EDBF">
      <w:pPr>
        <w:snapToGrid w:val="0"/>
        <w:spacing w:before="120" w:beforeLines="50" w:after="50"/>
        <w:rPr>
          <w:rFonts w:hint="eastAsia" w:ascii="仿宋" w:hAnsi="仿宋" w:eastAsia="仿宋" w:cs="仿宋"/>
          <w:bCs/>
          <w:color w:val="auto"/>
          <w:sz w:val="24"/>
          <w:szCs w:val="20"/>
          <w:highlight w:val="none"/>
        </w:rPr>
      </w:pPr>
    </w:p>
    <w:p w14:paraId="6554A493">
      <w:pPr>
        <w:snapToGrid w:val="0"/>
        <w:spacing w:before="120" w:beforeLines="50" w:after="50"/>
        <w:rPr>
          <w:rFonts w:hint="eastAsia" w:ascii="仿宋" w:hAnsi="仿宋" w:eastAsia="仿宋" w:cs="仿宋"/>
          <w:bCs/>
          <w:color w:val="auto"/>
          <w:sz w:val="24"/>
          <w:szCs w:val="20"/>
          <w:highlight w:val="none"/>
        </w:rPr>
      </w:pPr>
    </w:p>
    <w:p w14:paraId="24D8C59F">
      <w:pPr>
        <w:snapToGrid w:val="0"/>
        <w:spacing w:before="120" w:beforeLines="50" w:after="50"/>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项目名称：</w:t>
      </w:r>
    </w:p>
    <w:p w14:paraId="2FFB16CD">
      <w:pPr>
        <w:snapToGrid w:val="0"/>
        <w:spacing w:before="120" w:beforeLines="50" w:after="50"/>
        <w:ind w:firstLine="720" w:firstLineChars="225"/>
        <w:rPr>
          <w:rFonts w:hint="eastAsia" w:ascii="仿宋" w:hAnsi="仿宋" w:eastAsia="仿宋" w:cs="仿宋"/>
          <w:bCs/>
          <w:color w:val="auto"/>
          <w:sz w:val="32"/>
          <w:szCs w:val="32"/>
          <w:highlight w:val="none"/>
        </w:rPr>
      </w:pPr>
    </w:p>
    <w:p w14:paraId="1A1AA74E">
      <w:pPr>
        <w:snapToGrid w:val="0"/>
        <w:spacing w:before="120" w:beforeLines="50" w:after="50"/>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项目编号：</w:t>
      </w:r>
    </w:p>
    <w:p w14:paraId="1C01EE8A">
      <w:pPr>
        <w:snapToGrid w:val="0"/>
        <w:spacing w:before="120" w:beforeLines="50" w:after="50"/>
        <w:ind w:firstLine="720" w:firstLineChars="225"/>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w:t>
      </w:r>
    </w:p>
    <w:p w14:paraId="5B5CFF63">
      <w:pPr>
        <w:snapToGrid w:val="0"/>
        <w:spacing w:before="120" w:beforeLines="50" w:after="50"/>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所竞分标（如有则填写，无分标时填写“无”或者留空）：</w:t>
      </w:r>
    </w:p>
    <w:p w14:paraId="2626AC91">
      <w:pPr>
        <w:snapToGrid w:val="0"/>
        <w:spacing w:before="120" w:beforeLines="50" w:after="50"/>
        <w:ind w:firstLine="720" w:firstLineChars="225"/>
        <w:rPr>
          <w:rFonts w:hint="eastAsia" w:ascii="仿宋" w:hAnsi="仿宋" w:eastAsia="仿宋" w:cs="仿宋"/>
          <w:bCs/>
          <w:color w:val="auto"/>
          <w:sz w:val="32"/>
          <w:szCs w:val="32"/>
          <w:highlight w:val="none"/>
        </w:rPr>
      </w:pPr>
    </w:p>
    <w:p w14:paraId="0F37A1B9">
      <w:pPr>
        <w:pStyle w:val="8"/>
        <w:snapToGrid w:val="0"/>
        <w:spacing w:before="50" w:after="50"/>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供应商名称：</w:t>
      </w:r>
    </w:p>
    <w:p w14:paraId="1B3F1EAB">
      <w:pPr>
        <w:pStyle w:val="8"/>
        <w:snapToGrid w:val="0"/>
        <w:spacing w:before="50" w:after="50"/>
        <w:ind w:firstLine="720" w:firstLineChars="225"/>
        <w:rPr>
          <w:rFonts w:hint="eastAsia" w:ascii="仿宋" w:hAnsi="仿宋" w:eastAsia="仿宋" w:cs="仿宋"/>
          <w:bCs/>
          <w:color w:val="auto"/>
          <w:sz w:val="32"/>
          <w:szCs w:val="32"/>
          <w:highlight w:val="none"/>
        </w:rPr>
      </w:pPr>
    </w:p>
    <w:p w14:paraId="5B34577A">
      <w:pPr>
        <w:pStyle w:val="8"/>
        <w:snapToGrid w:val="0"/>
        <w:spacing w:before="50" w:after="50"/>
        <w:ind w:firstLine="720" w:firstLineChars="225"/>
        <w:rPr>
          <w:rFonts w:hint="eastAsia" w:ascii="仿宋" w:hAnsi="仿宋" w:eastAsia="仿宋" w:cs="仿宋"/>
          <w:bCs/>
          <w:color w:val="auto"/>
          <w:sz w:val="32"/>
          <w:szCs w:val="32"/>
          <w:highlight w:val="none"/>
        </w:rPr>
      </w:pPr>
    </w:p>
    <w:p w14:paraId="60A4C94F">
      <w:pPr>
        <w:pStyle w:val="8"/>
        <w:snapToGrid w:val="0"/>
        <w:spacing w:before="50" w:after="50"/>
        <w:ind w:firstLine="1280" w:firstLineChars="400"/>
        <w:rPr>
          <w:rFonts w:hint="eastAsia" w:ascii="仿宋" w:hAnsi="仿宋" w:eastAsia="仿宋" w:cs="仿宋"/>
          <w:bCs/>
          <w:color w:val="auto"/>
          <w:sz w:val="32"/>
          <w:szCs w:val="32"/>
          <w:highlight w:val="none"/>
        </w:rPr>
      </w:pPr>
    </w:p>
    <w:p w14:paraId="49234BD8">
      <w:pPr>
        <w:snapToGrid w:val="0"/>
        <w:spacing w:before="120" w:beforeLines="50" w:after="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796A9DAF">
      <w:pPr>
        <w:snapToGrid w:val="0"/>
        <w:spacing w:before="120" w:beforeLines="50" w:after="50" w:line="400" w:lineRule="exact"/>
        <w:jc w:val="center"/>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sz w:val="32"/>
          <w:szCs w:val="32"/>
          <w:highlight w:val="none"/>
        </w:rPr>
        <w:t>报价文件目录</w:t>
      </w:r>
    </w:p>
    <w:p w14:paraId="607E0DFC">
      <w:pPr>
        <w:rPr>
          <w:rFonts w:hint="eastAsia" w:ascii="仿宋" w:hAnsi="仿宋" w:eastAsia="仿宋" w:cs="仿宋"/>
          <w:color w:val="auto"/>
          <w:highlight w:val="none"/>
        </w:rPr>
      </w:pPr>
    </w:p>
    <w:p w14:paraId="00D4BF0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根据竞争性</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文件规定及供应商提供的材料自行编写目录（部分格式后附）。</w:t>
      </w:r>
    </w:p>
    <w:p w14:paraId="0BEBFEE6">
      <w:pPr>
        <w:snapToGrid w:val="0"/>
        <w:spacing w:before="120" w:beforeLines="50" w:after="50" w:line="360" w:lineRule="auto"/>
        <w:ind w:left="142" w:firstLine="640" w:firstLineChars="200"/>
        <w:jc w:val="left"/>
        <w:rPr>
          <w:rFonts w:hint="eastAsia" w:ascii="仿宋" w:hAnsi="仿宋" w:eastAsia="仿宋" w:cs="仿宋"/>
          <w:color w:val="auto"/>
          <w:sz w:val="32"/>
          <w:szCs w:val="32"/>
          <w:highlight w:val="none"/>
        </w:rPr>
      </w:pPr>
    </w:p>
    <w:p w14:paraId="122C967D">
      <w:pPr>
        <w:spacing w:line="500" w:lineRule="exac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br w:type="page"/>
      </w:r>
      <w:r>
        <w:rPr>
          <w:rFonts w:hint="eastAsia" w:ascii="仿宋" w:hAnsi="仿宋" w:eastAsia="仿宋" w:cs="仿宋"/>
          <w:b/>
          <w:color w:val="auto"/>
          <w:sz w:val="30"/>
          <w:szCs w:val="30"/>
          <w:highlight w:val="none"/>
        </w:rPr>
        <w:t>一、响应函</w:t>
      </w:r>
    </w:p>
    <w:p w14:paraId="3825AD9E">
      <w:pPr>
        <w:spacing w:line="500" w:lineRule="exact"/>
        <w:jc w:val="center"/>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响应函</w:t>
      </w:r>
    </w:p>
    <w:p w14:paraId="5166D3C4">
      <w:pPr>
        <w:spacing w:line="500" w:lineRule="exact"/>
        <w:rPr>
          <w:rFonts w:hint="eastAsia" w:ascii="仿宋" w:hAnsi="仿宋" w:eastAsia="仿宋" w:cs="仿宋"/>
          <w:color w:val="auto"/>
          <w:kern w:val="0"/>
          <w:sz w:val="32"/>
          <w:szCs w:val="21"/>
          <w:highlight w:val="none"/>
        </w:rPr>
      </w:pPr>
    </w:p>
    <w:p w14:paraId="558389DE">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（采购人名称）</w:t>
      </w:r>
      <w:r>
        <w:rPr>
          <w:rFonts w:hint="eastAsia" w:ascii="仿宋" w:hAnsi="仿宋" w:eastAsia="仿宋" w:cs="仿宋"/>
          <w:color w:val="auto"/>
          <w:sz w:val="24"/>
          <w:szCs w:val="24"/>
          <w:highlight w:val="none"/>
        </w:rPr>
        <w:t>：</w:t>
      </w:r>
    </w:p>
    <w:p w14:paraId="144B2F7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（供应商名称）</w:t>
      </w:r>
      <w:r>
        <w:rPr>
          <w:rFonts w:hint="eastAsia" w:ascii="仿宋" w:hAnsi="仿宋" w:eastAsia="仿宋" w:cs="仿宋"/>
          <w:color w:val="auto"/>
          <w:sz w:val="24"/>
          <w:szCs w:val="24"/>
          <w:highlight w:val="none"/>
        </w:rPr>
        <w:t>系中华人民共和国合法供应商，经营地址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C003DA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我方愿意参加贵方组织的</w:t>
      </w:r>
      <w:r>
        <w:rPr>
          <w:rFonts w:hint="eastAsia" w:ascii="仿宋" w:hAnsi="仿宋" w:eastAsia="仿宋" w:cs="仿宋"/>
          <w:color w:val="auto"/>
          <w:sz w:val="24"/>
          <w:szCs w:val="24"/>
          <w:highlight w:val="none"/>
          <w:u w:val="single"/>
        </w:rPr>
        <w:t xml:space="preserve">                （项目名称）</w:t>
      </w:r>
      <w:r>
        <w:rPr>
          <w:rFonts w:hint="eastAsia" w:ascii="仿宋" w:hAnsi="仿宋" w:eastAsia="仿宋" w:cs="仿宋"/>
          <w:color w:val="auto"/>
          <w:sz w:val="24"/>
          <w:szCs w:val="24"/>
          <w:highlight w:val="none"/>
        </w:rPr>
        <w:t>项目的竞标，为便于贵方公正、择优地确定成交供应商及其竞标产品和货物，我方就本次竞标有关事项郑重声明如下：</w:t>
      </w:r>
    </w:p>
    <w:p w14:paraId="67FF4EB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1.我方向贵方提交的所有响应文件、资料都是准确的和真实的。</w:t>
      </w:r>
    </w:p>
    <w:p w14:paraId="296409A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08CA956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3.在此，我方宣布同意如下：</w:t>
      </w:r>
    </w:p>
    <w:p w14:paraId="4790FDB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将按谈判文件的约定履行合同责任和义务；</w:t>
      </w:r>
    </w:p>
    <w:p w14:paraId="2303639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已详细审查全部谈判文件，包括补遗文件（如有）；</w:t>
      </w:r>
    </w:p>
    <w:p w14:paraId="7D66E0D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同意提供按照贵方可能要求的与谈判有关的一切数据或者资料；</w:t>
      </w:r>
    </w:p>
    <w:p w14:paraId="624E02B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响应谈判文件规定的竞标有效期。</w:t>
      </w:r>
    </w:p>
    <w:p w14:paraId="4EDA2D0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4.我方承诺符合《中华人民共和国政府采购法》第二十二条规定：</w:t>
      </w:r>
    </w:p>
    <w:p w14:paraId="5A0E9E4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4914885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14:paraId="53DA0F4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14:paraId="354D3BF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364E864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w:t>
      </w:r>
    </w:p>
    <w:p w14:paraId="68B1A09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p w14:paraId="5512EE3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仿宋" w:hAnsi="仿宋" w:eastAsia="仿宋" w:cs="仿宋"/>
          <w:color w:val="auto"/>
          <w:sz w:val="24"/>
          <w:szCs w:val="24"/>
          <w:highlight w:val="none"/>
          <w:lang w:eastAsia="zh-CN"/>
        </w:rPr>
        <w:t>重大税收违法失信主体</w:t>
      </w:r>
      <w:r>
        <w:rPr>
          <w:rFonts w:hint="eastAsia" w:ascii="仿宋" w:hAnsi="仿宋" w:eastAsia="仿宋" w:cs="仿宋"/>
          <w:color w:val="auto"/>
          <w:sz w:val="24"/>
          <w:szCs w:val="24"/>
          <w:highlight w:val="none"/>
        </w:rPr>
        <w:t>、政府采购严重违法失信行为记录名单，完全符合《中华人民共和国政府采购法》第二十二条规定的供应商资格条件，我方对此声明负全部法律责任。</w:t>
      </w:r>
    </w:p>
    <w:p w14:paraId="31AE744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27038D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□我方本次响应文件</w:t>
      </w:r>
      <w:r>
        <w:rPr>
          <w:rFonts w:hint="eastAsia" w:ascii="仿宋" w:hAnsi="仿宋" w:eastAsia="仿宋" w:cs="仿宋"/>
          <w:color w:val="auto"/>
          <w:kern w:val="0"/>
          <w:sz w:val="24"/>
          <w:szCs w:val="24"/>
          <w:highlight w:val="none"/>
        </w:rPr>
        <w:t>内容中</w:t>
      </w:r>
      <w:r>
        <w:rPr>
          <w:rFonts w:hint="eastAsia" w:ascii="仿宋" w:hAnsi="仿宋" w:eastAsia="仿宋" w:cs="仿宋"/>
          <w:color w:val="auto"/>
          <w:sz w:val="24"/>
          <w:szCs w:val="24"/>
          <w:highlight w:val="none"/>
        </w:rPr>
        <w:t>未</w:t>
      </w:r>
      <w:r>
        <w:rPr>
          <w:rFonts w:hint="eastAsia" w:ascii="仿宋" w:hAnsi="仿宋" w:eastAsia="仿宋" w:cs="仿宋"/>
          <w:color w:val="auto"/>
          <w:kern w:val="0"/>
          <w:sz w:val="24"/>
          <w:szCs w:val="24"/>
          <w:highlight w:val="none"/>
        </w:rPr>
        <w:t>涉及商业秘密；</w:t>
      </w:r>
    </w:p>
    <w:p w14:paraId="401D2C2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□我方本次响应文件</w:t>
      </w:r>
      <w:r>
        <w:rPr>
          <w:rFonts w:hint="eastAsia" w:ascii="仿宋" w:hAnsi="仿宋" w:eastAsia="仿宋" w:cs="仿宋"/>
          <w:color w:val="auto"/>
          <w:kern w:val="0"/>
          <w:sz w:val="24"/>
          <w:szCs w:val="24"/>
          <w:highlight w:val="none"/>
        </w:rPr>
        <w:t>涉及商业秘密的内容有：</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71F43C6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7.以上事项如有虚假或者隐瞒，我方愿意承担一切后果，并不再寻求任何旨在减轻或者免除法律责任的辩解。</w:t>
      </w:r>
    </w:p>
    <w:p w14:paraId="7E026D4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8.与本谈判有关的一切正式往来信函请寄：</w:t>
      </w:r>
    </w:p>
    <w:p w14:paraId="23291BB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14:paraId="4C0F309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电话：</w:t>
      </w:r>
      <w:r>
        <w:rPr>
          <w:rFonts w:hint="eastAsia" w:ascii="仿宋" w:hAnsi="仿宋" w:eastAsia="仿宋" w:cs="仿宋"/>
          <w:color w:val="auto"/>
          <w:kern w:val="0"/>
          <w:sz w:val="24"/>
          <w:szCs w:val="24"/>
          <w:highlight w:val="none"/>
          <w:u w:val="single"/>
        </w:rPr>
        <w:t xml:space="preserve">                                      　　　　　　　　　</w:t>
      </w:r>
    </w:p>
    <w:p w14:paraId="001E207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传真：</w:t>
      </w:r>
      <w:r>
        <w:rPr>
          <w:rFonts w:hint="eastAsia" w:ascii="仿宋" w:hAnsi="仿宋" w:eastAsia="仿宋" w:cs="仿宋"/>
          <w:color w:val="auto"/>
          <w:kern w:val="0"/>
          <w:sz w:val="24"/>
          <w:szCs w:val="24"/>
          <w:highlight w:val="none"/>
          <w:u w:val="single"/>
        </w:rPr>
        <w:t>　　　　　　　　　　　　　　　　　　　　　　　　　　　　</w:t>
      </w:r>
    </w:p>
    <w:p w14:paraId="2FD1A80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邮政编码：</w:t>
      </w:r>
      <w:r>
        <w:rPr>
          <w:rFonts w:hint="eastAsia" w:ascii="仿宋" w:hAnsi="仿宋" w:eastAsia="仿宋" w:cs="仿宋"/>
          <w:color w:val="auto"/>
          <w:kern w:val="0"/>
          <w:sz w:val="24"/>
          <w:szCs w:val="24"/>
          <w:highlight w:val="none"/>
          <w:u w:val="single"/>
        </w:rPr>
        <w:t xml:space="preserve">                                                    </w:t>
      </w:r>
    </w:p>
    <w:p w14:paraId="44AA340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开户名称：</w:t>
      </w:r>
      <w:r>
        <w:rPr>
          <w:rFonts w:hint="eastAsia" w:ascii="仿宋" w:hAnsi="仿宋" w:eastAsia="仿宋" w:cs="仿宋"/>
          <w:color w:val="auto"/>
          <w:kern w:val="0"/>
          <w:sz w:val="24"/>
          <w:szCs w:val="24"/>
          <w:highlight w:val="none"/>
          <w:u w:val="single"/>
        </w:rPr>
        <w:t xml:space="preserve">                                                    </w:t>
      </w:r>
    </w:p>
    <w:p w14:paraId="46F4E67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开户银行：</w:t>
      </w:r>
      <w:r>
        <w:rPr>
          <w:rFonts w:hint="eastAsia" w:ascii="仿宋" w:hAnsi="仿宋" w:eastAsia="仿宋" w:cs="仿宋"/>
          <w:color w:val="auto"/>
          <w:kern w:val="0"/>
          <w:sz w:val="24"/>
          <w:szCs w:val="24"/>
          <w:highlight w:val="none"/>
          <w:u w:val="single"/>
        </w:rPr>
        <w:t xml:space="preserve">                                                    </w:t>
      </w:r>
    </w:p>
    <w:p w14:paraId="3B3C91A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银行账号：</w:t>
      </w:r>
      <w:r>
        <w:rPr>
          <w:rFonts w:hint="eastAsia" w:ascii="仿宋" w:hAnsi="仿宋" w:eastAsia="仿宋" w:cs="仿宋"/>
          <w:color w:val="auto"/>
          <w:kern w:val="0"/>
          <w:sz w:val="24"/>
          <w:szCs w:val="24"/>
          <w:highlight w:val="none"/>
          <w:u w:val="single"/>
        </w:rPr>
        <w:t xml:space="preserve">                                                    </w:t>
      </w:r>
    </w:p>
    <w:p w14:paraId="4F727E9D">
      <w:pPr>
        <w:pStyle w:val="16"/>
        <w:keepNext w:val="0"/>
        <w:keepLines w:val="0"/>
        <w:pageBreakBefore w:val="0"/>
        <w:widowControl w:val="0"/>
        <w:tabs>
          <w:tab w:val="left" w:pos="939"/>
        </w:tab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14:paraId="79F01768">
      <w:pPr>
        <w:spacing w:line="360" w:lineRule="auto"/>
        <w:contextualSpacing/>
        <w:jc w:val="left"/>
        <w:rPr>
          <w:rFonts w:hint="eastAsia" w:ascii="仿宋" w:hAnsi="仿宋" w:eastAsia="仿宋" w:cs="仿宋"/>
          <w:color w:val="auto"/>
          <w:szCs w:val="21"/>
          <w:highlight w:val="none"/>
        </w:rPr>
      </w:pPr>
    </w:p>
    <w:p w14:paraId="356D03DA">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35DE8AB1">
      <w:pPr>
        <w:autoSpaceDE w:val="0"/>
        <w:autoSpaceDN w:val="0"/>
        <w:spacing w:line="360" w:lineRule="auto"/>
        <w:ind w:firstLine="6480" w:firstLineChars="27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1C55AAD0">
      <w:pPr>
        <w:spacing w:line="360" w:lineRule="auto"/>
        <w:ind w:firstLine="420"/>
        <w:rPr>
          <w:rFonts w:hint="eastAsia" w:ascii="仿宋" w:hAnsi="仿宋" w:eastAsia="仿宋" w:cs="仿宋"/>
          <w:color w:val="auto"/>
          <w:kern w:val="0"/>
          <w:sz w:val="20"/>
          <w:szCs w:val="21"/>
          <w:highlight w:val="none"/>
        </w:rPr>
      </w:pPr>
    </w:p>
    <w:p w14:paraId="51D9D02E">
      <w:pPr>
        <w:spacing w:line="520" w:lineRule="exact"/>
        <w:ind w:firstLine="420" w:firstLineChars="200"/>
        <w:rPr>
          <w:rFonts w:hint="eastAsia" w:ascii="仿宋" w:hAnsi="仿宋" w:eastAsia="仿宋" w:cs="仿宋"/>
          <w:color w:val="auto"/>
          <w:highlight w:val="none"/>
        </w:rPr>
        <w:sectPr>
          <w:pgSz w:w="11911" w:h="16838"/>
          <w:pgMar w:top="1338" w:right="1502" w:bottom="850" w:left="1678" w:header="1077" w:footer="720" w:gutter="0"/>
          <w:pgNumType w:fmt="decimal"/>
          <w:cols w:space="720" w:num="1"/>
          <w:rtlGutter w:val="0"/>
          <w:docGrid w:linePitch="0" w:charSpace="0"/>
        </w:sectPr>
      </w:pPr>
    </w:p>
    <w:p w14:paraId="2F05844D">
      <w:pPr>
        <w:spacing w:line="5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二、响应报价表 </w:t>
      </w:r>
    </w:p>
    <w:p w14:paraId="61C0ECF1">
      <w:pPr>
        <w:snapToGrid w:val="0"/>
        <w:spacing w:before="50" w:after="50"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响应报价表</w:t>
      </w:r>
    </w:p>
    <w:p w14:paraId="4B698F5F">
      <w:pPr>
        <w:snapToGrid w:val="0"/>
        <w:spacing w:before="50" w:after="50"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分标：</w:t>
      </w:r>
      <w:r>
        <w:rPr>
          <w:rFonts w:hint="eastAsia" w:ascii="仿宋" w:hAnsi="仿宋" w:eastAsia="仿宋" w:cs="仿宋"/>
          <w:color w:val="auto"/>
          <w:sz w:val="24"/>
          <w:highlight w:val="none"/>
          <w:u w:val="single"/>
        </w:rPr>
        <w:t xml:space="preserve">           </w:t>
      </w:r>
    </w:p>
    <w:p w14:paraId="431BCA3D">
      <w:pPr>
        <w:snapToGrid w:val="0"/>
        <w:spacing w:before="50" w:after="50"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31"/>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319"/>
        <w:gridCol w:w="1659"/>
        <w:gridCol w:w="1035"/>
        <w:gridCol w:w="1275"/>
        <w:gridCol w:w="2100"/>
        <w:gridCol w:w="1765"/>
      </w:tblGrid>
      <w:tr w14:paraId="06036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53A7C5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序号</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6A1544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货物名称</w:t>
            </w:r>
          </w:p>
        </w:tc>
        <w:tc>
          <w:tcPr>
            <w:tcW w:w="1659" w:type="dxa"/>
            <w:tcBorders>
              <w:top w:val="single" w:color="auto" w:sz="4" w:space="0"/>
              <w:left w:val="single" w:color="auto" w:sz="4" w:space="0"/>
              <w:bottom w:val="single" w:color="auto" w:sz="4" w:space="0"/>
              <w:right w:val="single" w:color="auto" w:sz="4" w:space="0"/>
            </w:tcBorders>
            <w:noWrap w:val="0"/>
            <w:vAlign w:val="center"/>
          </w:tcPr>
          <w:p w14:paraId="415631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品牌、</w:t>
            </w:r>
            <w:r>
              <w:rPr>
                <w:rFonts w:hint="eastAsia" w:ascii="仿宋" w:hAnsi="仿宋" w:eastAsia="仿宋" w:cs="仿宋"/>
                <w:color w:val="auto"/>
                <w:sz w:val="24"/>
                <w:szCs w:val="28"/>
                <w:highlight w:val="none"/>
              </w:rPr>
              <w:t>规格型号</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58A69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数量①</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C0CBC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单价</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rPr>
              <w:t>元</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rPr>
              <w:t>②</w:t>
            </w:r>
          </w:p>
        </w:tc>
        <w:tc>
          <w:tcPr>
            <w:tcW w:w="2100" w:type="dxa"/>
            <w:tcBorders>
              <w:top w:val="single" w:color="auto" w:sz="4" w:space="0"/>
              <w:left w:val="single" w:color="auto" w:sz="4" w:space="0"/>
              <w:bottom w:val="single" w:color="auto" w:sz="4" w:space="0"/>
              <w:right w:val="single" w:color="auto" w:sz="4" w:space="0"/>
            </w:tcBorders>
            <w:noWrap w:val="0"/>
            <w:vAlign w:val="center"/>
          </w:tcPr>
          <w:p w14:paraId="79867B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单项合价（元）</w:t>
            </w:r>
          </w:p>
          <w:p w14:paraId="1896C9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③＝①×②</w:t>
            </w:r>
          </w:p>
        </w:tc>
        <w:tc>
          <w:tcPr>
            <w:tcW w:w="1765" w:type="dxa"/>
            <w:tcBorders>
              <w:top w:val="single" w:color="auto" w:sz="4" w:space="0"/>
              <w:left w:val="single" w:color="auto" w:sz="4" w:space="0"/>
              <w:bottom w:val="single" w:color="auto" w:sz="4" w:space="0"/>
              <w:right w:val="single" w:color="auto" w:sz="4" w:space="0"/>
            </w:tcBorders>
            <w:noWrap w:val="0"/>
            <w:vAlign w:val="center"/>
          </w:tcPr>
          <w:p w14:paraId="6499FA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备注</w:t>
            </w:r>
          </w:p>
        </w:tc>
      </w:tr>
      <w:tr w14:paraId="666F8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15475D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6148BD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8"/>
                <w:highlight w:val="none"/>
              </w:rPr>
            </w:pPr>
          </w:p>
        </w:tc>
        <w:tc>
          <w:tcPr>
            <w:tcW w:w="1659" w:type="dxa"/>
            <w:tcBorders>
              <w:top w:val="single" w:color="auto" w:sz="4" w:space="0"/>
              <w:left w:val="single" w:color="auto" w:sz="4" w:space="0"/>
              <w:bottom w:val="single" w:color="auto" w:sz="4" w:space="0"/>
              <w:right w:val="single" w:color="auto" w:sz="4" w:space="0"/>
            </w:tcBorders>
            <w:noWrap w:val="0"/>
            <w:vAlign w:val="center"/>
          </w:tcPr>
          <w:p w14:paraId="2329C3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8"/>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8279D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8"/>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F4157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8"/>
                <w:highlight w:val="none"/>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14:paraId="3D23D8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8"/>
                <w:highlight w:val="none"/>
              </w:rPr>
            </w:pPr>
          </w:p>
        </w:tc>
        <w:tc>
          <w:tcPr>
            <w:tcW w:w="1765" w:type="dxa"/>
            <w:tcBorders>
              <w:top w:val="single" w:color="auto" w:sz="4" w:space="0"/>
              <w:left w:val="single" w:color="auto" w:sz="4" w:space="0"/>
              <w:bottom w:val="single" w:color="auto" w:sz="4" w:space="0"/>
              <w:right w:val="single" w:color="auto" w:sz="4" w:space="0"/>
            </w:tcBorders>
            <w:noWrap w:val="0"/>
            <w:vAlign w:val="center"/>
          </w:tcPr>
          <w:p w14:paraId="654B88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8"/>
                <w:highlight w:val="none"/>
              </w:rPr>
            </w:pPr>
          </w:p>
        </w:tc>
      </w:tr>
      <w:tr w14:paraId="159BE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2825E7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332EB9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8"/>
                <w:highlight w:val="none"/>
              </w:rPr>
            </w:pPr>
          </w:p>
        </w:tc>
        <w:tc>
          <w:tcPr>
            <w:tcW w:w="1659" w:type="dxa"/>
            <w:tcBorders>
              <w:top w:val="single" w:color="auto" w:sz="4" w:space="0"/>
              <w:left w:val="single" w:color="auto" w:sz="4" w:space="0"/>
              <w:bottom w:val="single" w:color="auto" w:sz="4" w:space="0"/>
              <w:right w:val="single" w:color="auto" w:sz="4" w:space="0"/>
            </w:tcBorders>
            <w:noWrap w:val="0"/>
            <w:vAlign w:val="center"/>
          </w:tcPr>
          <w:p w14:paraId="056331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8"/>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938DA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8"/>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3706C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8"/>
                <w:highlight w:val="none"/>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14:paraId="183453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8"/>
                <w:highlight w:val="none"/>
              </w:rPr>
            </w:pPr>
          </w:p>
        </w:tc>
        <w:tc>
          <w:tcPr>
            <w:tcW w:w="1765" w:type="dxa"/>
            <w:tcBorders>
              <w:top w:val="single" w:color="auto" w:sz="4" w:space="0"/>
              <w:left w:val="single" w:color="auto" w:sz="4" w:space="0"/>
              <w:bottom w:val="single" w:color="auto" w:sz="4" w:space="0"/>
              <w:right w:val="single" w:color="auto" w:sz="4" w:space="0"/>
            </w:tcBorders>
            <w:noWrap w:val="0"/>
            <w:vAlign w:val="center"/>
          </w:tcPr>
          <w:p w14:paraId="2F317A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8"/>
                <w:highlight w:val="none"/>
              </w:rPr>
            </w:pPr>
          </w:p>
        </w:tc>
      </w:tr>
      <w:tr w14:paraId="0B56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391998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7271F0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8"/>
                <w:highlight w:val="none"/>
              </w:rPr>
            </w:pPr>
          </w:p>
        </w:tc>
        <w:tc>
          <w:tcPr>
            <w:tcW w:w="1659" w:type="dxa"/>
            <w:tcBorders>
              <w:top w:val="single" w:color="auto" w:sz="4" w:space="0"/>
              <w:left w:val="single" w:color="auto" w:sz="4" w:space="0"/>
              <w:bottom w:val="single" w:color="auto" w:sz="4" w:space="0"/>
              <w:right w:val="single" w:color="auto" w:sz="4" w:space="0"/>
            </w:tcBorders>
            <w:noWrap w:val="0"/>
            <w:vAlign w:val="center"/>
          </w:tcPr>
          <w:p w14:paraId="0CBF53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8"/>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8199E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8"/>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6D4FC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8"/>
                <w:highlight w:val="none"/>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14:paraId="7B39D4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8"/>
                <w:highlight w:val="none"/>
              </w:rPr>
            </w:pPr>
          </w:p>
        </w:tc>
        <w:tc>
          <w:tcPr>
            <w:tcW w:w="1765" w:type="dxa"/>
            <w:tcBorders>
              <w:top w:val="single" w:color="auto" w:sz="4" w:space="0"/>
              <w:left w:val="single" w:color="auto" w:sz="4" w:space="0"/>
              <w:bottom w:val="single" w:color="auto" w:sz="4" w:space="0"/>
              <w:right w:val="single" w:color="auto" w:sz="4" w:space="0"/>
            </w:tcBorders>
            <w:noWrap w:val="0"/>
            <w:vAlign w:val="center"/>
          </w:tcPr>
          <w:p w14:paraId="4B81E6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8"/>
                <w:highlight w:val="none"/>
              </w:rPr>
            </w:pPr>
          </w:p>
        </w:tc>
      </w:tr>
      <w:tr w14:paraId="2D06A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06" w:type="dxa"/>
            <w:gridSpan w:val="7"/>
            <w:tcBorders>
              <w:top w:val="single" w:color="auto" w:sz="4" w:space="0"/>
              <w:left w:val="single" w:color="auto" w:sz="4" w:space="0"/>
              <w:bottom w:val="single" w:color="auto" w:sz="4" w:space="0"/>
              <w:right w:val="single" w:color="auto" w:sz="4" w:space="0"/>
            </w:tcBorders>
            <w:noWrap w:val="0"/>
            <w:vAlign w:val="center"/>
          </w:tcPr>
          <w:p w14:paraId="736FAD34">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报价合计（包含税费等所有费用）：（大写）人民币</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元）</w:t>
            </w:r>
          </w:p>
        </w:tc>
      </w:tr>
      <w:tr w14:paraId="43A0F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06" w:type="dxa"/>
            <w:gridSpan w:val="7"/>
            <w:tcBorders>
              <w:top w:val="single" w:color="auto" w:sz="4" w:space="0"/>
              <w:left w:val="single" w:color="auto" w:sz="4" w:space="0"/>
              <w:bottom w:val="single" w:color="auto" w:sz="4" w:space="0"/>
              <w:right w:val="single" w:color="auto" w:sz="4" w:space="0"/>
            </w:tcBorders>
            <w:noWrap w:val="0"/>
            <w:vAlign w:val="center"/>
          </w:tcPr>
          <w:p w14:paraId="415D4E7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验收标准：</w:t>
            </w:r>
          </w:p>
        </w:tc>
      </w:tr>
      <w:tr w14:paraId="14101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06" w:type="dxa"/>
            <w:gridSpan w:val="7"/>
            <w:tcBorders>
              <w:top w:val="single" w:color="auto" w:sz="4" w:space="0"/>
              <w:left w:val="single" w:color="auto" w:sz="4" w:space="0"/>
              <w:bottom w:val="single" w:color="auto" w:sz="4" w:space="0"/>
              <w:right w:val="single" w:color="auto" w:sz="4" w:space="0"/>
            </w:tcBorders>
            <w:noWrap w:val="0"/>
            <w:vAlign w:val="center"/>
          </w:tcPr>
          <w:p w14:paraId="66D8FEE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保质期：</w:t>
            </w:r>
          </w:p>
        </w:tc>
      </w:tr>
      <w:tr w14:paraId="3E612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06" w:type="dxa"/>
            <w:gridSpan w:val="7"/>
            <w:tcBorders>
              <w:top w:val="single" w:color="auto" w:sz="4" w:space="0"/>
              <w:left w:val="single" w:color="auto" w:sz="4" w:space="0"/>
              <w:bottom w:val="single" w:color="auto" w:sz="4" w:space="0"/>
              <w:right w:val="single" w:color="auto" w:sz="4" w:space="0"/>
            </w:tcBorders>
            <w:noWrap w:val="0"/>
            <w:vAlign w:val="center"/>
          </w:tcPr>
          <w:p w14:paraId="7B677FA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优惠及其它：</w:t>
            </w:r>
          </w:p>
        </w:tc>
      </w:tr>
    </w:tbl>
    <w:p w14:paraId="3235CAB8">
      <w:pPr>
        <w:keepNext w:val="0"/>
        <w:keepLines w:val="0"/>
        <w:pageBreakBefore w:val="0"/>
        <w:widowControl w:val="0"/>
        <w:kinsoku/>
        <w:wordWrap/>
        <w:overflowPunct/>
        <w:topLinePunct w:val="0"/>
        <w:autoSpaceDE/>
        <w:autoSpaceDN/>
        <w:bidi w:val="0"/>
        <w:adjustRightInd/>
        <w:snapToGrid w:val="0"/>
        <w:spacing w:before="167" w:beforeLines="50" w:line="360" w:lineRule="auto"/>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注： </w:t>
      </w:r>
    </w:p>
    <w:p w14:paraId="7DF3E4B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lang w:val="zh-CN"/>
        </w:rPr>
        <w:t>供应商需按本表格式填写，不得自行更改，也不得留空，如有多分标，按分标分别提供响应报价表</w:t>
      </w:r>
      <w:r>
        <w:rPr>
          <w:rFonts w:hint="eastAsia" w:ascii="仿宋" w:hAnsi="仿宋" w:eastAsia="仿宋" w:cs="仿宋"/>
          <w:b w:val="0"/>
          <w:bCs/>
          <w:color w:val="auto"/>
          <w:kern w:val="0"/>
          <w:sz w:val="24"/>
          <w:highlight w:val="none"/>
          <w:lang w:val="zh-CN"/>
        </w:rPr>
        <w:t>。</w:t>
      </w:r>
    </w:p>
    <w:p w14:paraId="6E00B95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2</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lang w:val="zh-CN"/>
        </w:rPr>
        <w:t>如为联合体响应的，“供应商名称”处必须列明联合体各方名称，并标注联合体牵头人名称，且盖章处须加盖联合体各方公章，</w:t>
      </w:r>
      <w:r>
        <w:rPr>
          <w:rFonts w:hint="eastAsia" w:ascii="仿宋" w:hAnsi="仿宋" w:eastAsia="仿宋" w:cs="仿宋"/>
          <w:b/>
          <w:color w:val="auto"/>
          <w:kern w:val="0"/>
          <w:sz w:val="24"/>
          <w:highlight w:val="none"/>
          <w:lang w:val="zh-CN"/>
        </w:rPr>
        <w:t>否则其响应作无效响应处理。</w:t>
      </w:r>
    </w:p>
    <w:p w14:paraId="5621601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3</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lang w:val="zh-CN"/>
        </w:rPr>
        <w:t>以上表格要求细分项目及报价，在“具体货物内容”一栏中，填写具体货物，，</w:t>
      </w:r>
      <w:r>
        <w:rPr>
          <w:rFonts w:hint="eastAsia" w:ascii="仿宋" w:hAnsi="仿宋" w:eastAsia="仿宋" w:cs="仿宋"/>
          <w:b/>
          <w:color w:val="auto"/>
          <w:kern w:val="0"/>
          <w:sz w:val="24"/>
          <w:highlight w:val="none"/>
          <w:lang w:val="zh-CN"/>
        </w:rPr>
        <w:t>否则其响应作无效响应处理。</w:t>
      </w:r>
    </w:p>
    <w:p w14:paraId="554691A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lang w:val="zh-CN"/>
        </w:rPr>
        <w:t>特别提示：采购机构将对项目名称和项目编号，成交供应商名称、地址和成交金额，主要成交标的的名称、规格型号、数量、单价、货物要求等予以公示。</w:t>
      </w:r>
    </w:p>
    <w:p w14:paraId="6518185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5</w:t>
      </w:r>
      <w:r>
        <w:rPr>
          <w:rFonts w:hint="eastAsia" w:ascii="仿宋" w:hAnsi="仿宋" w:eastAsia="仿宋" w:cs="仿宋"/>
          <w:color w:val="auto"/>
          <w:kern w:val="0"/>
          <w:sz w:val="24"/>
          <w:szCs w:val="22"/>
          <w:highlight w:val="none"/>
          <w:lang w:val="en-US" w:eastAsia="zh-CN"/>
        </w:rPr>
        <w:t>.</w:t>
      </w:r>
      <w:r>
        <w:rPr>
          <w:rFonts w:hint="eastAsia" w:ascii="仿宋" w:hAnsi="仿宋" w:eastAsia="仿宋" w:cs="仿宋"/>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B9F3CF5">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p>
    <w:p w14:paraId="1B527E5F">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687E56D9">
      <w:pPr>
        <w:autoSpaceDE w:val="0"/>
        <w:autoSpaceDN w:val="0"/>
        <w:spacing w:line="360" w:lineRule="auto"/>
        <w:ind w:firstLine="6480" w:firstLineChars="27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39BE8547">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仿宋"/>
          <w:b w:val="0"/>
          <w:color w:val="auto"/>
          <w:highlight w:val="none"/>
        </w:rPr>
      </w:pPr>
      <w:r>
        <w:rPr>
          <w:rFonts w:hint="eastAsia" w:ascii="仿宋" w:hAnsi="仿宋" w:eastAsia="仿宋" w:cs="仿宋"/>
          <w:b w:val="0"/>
          <w:bCs w:val="0"/>
          <w:color w:val="auto"/>
          <w:sz w:val="24"/>
          <w:highlight w:val="none"/>
        </w:rPr>
        <w:br w:type="page"/>
      </w:r>
      <w:bookmarkStart w:id="71" w:name="_Toc32327"/>
      <w:r>
        <w:rPr>
          <w:rFonts w:hint="eastAsia" w:ascii="仿宋" w:hAnsi="仿宋" w:eastAsia="仿宋" w:cs="仿宋"/>
          <w:color w:val="auto"/>
          <w:highlight w:val="none"/>
        </w:rPr>
        <w:t>第</w:t>
      </w:r>
      <w:r>
        <w:rPr>
          <w:rFonts w:hint="eastAsia" w:ascii="仿宋" w:hAnsi="仿宋" w:eastAsia="仿宋" w:cs="仿宋"/>
          <w:color w:val="auto"/>
          <w:highlight w:val="none"/>
          <w:lang w:val="en-US" w:eastAsia="zh-CN"/>
        </w:rPr>
        <w:t>五</w:t>
      </w:r>
      <w:r>
        <w:rPr>
          <w:rFonts w:hint="eastAsia" w:ascii="仿宋" w:hAnsi="仿宋" w:eastAsia="仿宋" w:cs="仿宋"/>
          <w:color w:val="auto"/>
          <w:highlight w:val="none"/>
        </w:rPr>
        <w:t>节 其他文书、文件格式</w:t>
      </w:r>
      <w:bookmarkEnd w:id="71"/>
    </w:p>
    <w:p w14:paraId="18E4165E">
      <w:pPr>
        <w:spacing w:line="520" w:lineRule="exact"/>
        <w:rPr>
          <w:rFonts w:hint="eastAsia" w:ascii="仿宋" w:hAnsi="仿宋" w:eastAsia="仿宋" w:cs="仿宋"/>
          <w:color w:val="auto"/>
          <w:sz w:val="24"/>
          <w:highlight w:val="none"/>
        </w:rPr>
      </w:pPr>
    </w:p>
    <w:p w14:paraId="00B5BE91">
      <w:pPr>
        <w:ind w:firstLine="482"/>
        <w:jc w:val="center"/>
        <w:rPr>
          <w:rFonts w:hint="eastAsia" w:ascii="仿宋" w:hAnsi="仿宋" w:eastAsia="仿宋" w:cs="仿宋"/>
          <w:b/>
          <w:bCs/>
          <w:sz w:val="32"/>
          <w:szCs w:val="32"/>
          <w:highlight w:val="none"/>
          <w:lang w:val="en"/>
        </w:rPr>
      </w:pPr>
      <w:r>
        <w:rPr>
          <w:rFonts w:hint="eastAsia" w:ascii="仿宋" w:hAnsi="仿宋" w:eastAsia="仿宋" w:cs="仿宋"/>
          <w:b/>
          <w:bCs/>
          <w:sz w:val="32"/>
          <w:szCs w:val="32"/>
          <w:highlight w:val="none"/>
          <w:lang w:val="en"/>
        </w:rPr>
        <w:t>知识产权合规性声明</w:t>
      </w:r>
    </w:p>
    <w:p w14:paraId="42595893">
      <w:pPr>
        <w:ind w:firstLine="600" w:firstLineChars="200"/>
        <w:rPr>
          <w:rFonts w:hint="eastAsia" w:ascii="宋体" w:hAnsi="宋体" w:cs="仿宋_GB2312"/>
          <w:sz w:val="30"/>
          <w:szCs w:val="30"/>
          <w:highlight w:val="none"/>
        </w:rPr>
      </w:pPr>
    </w:p>
    <w:p w14:paraId="039CE03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lang w:val="en"/>
        </w:rPr>
      </w:pPr>
      <w:r>
        <w:rPr>
          <w:rFonts w:hint="eastAsia" w:ascii="仿宋" w:hAnsi="仿宋" w:eastAsia="仿宋" w:cs="仿宋"/>
          <w:sz w:val="24"/>
          <w:szCs w:val="24"/>
          <w:highlight w:val="none"/>
        </w:rPr>
        <w:t>本</w:t>
      </w:r>
      <w:r>
        <w:rPr>
          <w:rFonts w:hint="eastAsia" w:ascii="仿宋" w:hAnsi="仿宋" w:eastAsia="仿宋" w:cs="仿宋"/>
          <w:sz w:val="24"/>
          <w:szCs w:val="24"/>
          <w:highlight w:val="none"/>
          <w:lang w:val="en"/>
        </w:rPr>
        <w:t>企业（单位）自愿参与政府投资政府采购的</w:t>
      </w:r>
      <w:r>
        <w:rPr>
          <w:rFonts w:hint="eastAsia" w:ascii="仿宋" w:hAnsi="仿宋" w:eastAsia="仿宋" w:cs="仿宋"/>
          <w:sz w:val="24"/>
          <w:szCs w:val="24"/>
          <w:highlight w:val="none"/>
          <w:u w:val="single"/>
          <w:lang w:val="en-US" w:eastAsia="zh-CN"/>
        </w:rPr>
        <w:t xml:space="preserve">         （项目名称） </w:t>
      </w:r>
      <w:r>
        <w:rPr>
          <w:rFonts w:hint="eastAsia" w:ascii="仿宋" w:hAnsi="仿宋" w:eastAsia="仿宋" w:cs="仿宋"/>
          <w:sz w:val="24"/>
          <w:szCs w:val="24"/>
          <w:highlight w:val="none"/>
          <w:lang w:val="en"/>
        </w:rPr>
        <w:t>，</w:t>
      </w:r>
      <w:r>
        <w:rPr>
          <w:rFonts w:hint="eastAsia" w:ascii="仿宋" w:hAnsi="仿宋" w:eastAsia="仿宋" w:cs="仿宋"/>
          <w:b/>
          <w:bCs/>
          <w:sz w:val="24"/>
          <w:szCs w:val="24"/>
          <w:highlight w:val="none"/>
          <w:lang w:val="en"/>
        </w:rPr>
        <w:t>在此郑重承诺：</w:t>
      </w:r>
      <w:r>
        <w:rPr>
          <w:rFonts w:hint="eastAsia" w:ascii="仿宋" w:hAnsi="仿宋" w:eastAsia="仿宋" w:cs="仿宋"/>
          <w:sz w:val="24"/>
          <w:szCs w:val="24"/>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5453E8A1">
      <w:pPr>
        <w:snapToGrid w:val="0"/>
        <w:spacing w:line="360" w:lineRule="auto"/>
        <w:ind w:left="5634" w:leftChars="1736" w:hanging="1988" w:hangingChars="825"/>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           </w:t>
      </w:r>
    </w:p>
    <w:p w14:paraId="3248BDBD">
      <w:pPr>
        <w:snapToGrid w:val="0"/>
        <w:spacing w:line="360" w:lineRule="auto"/>
        <w:ind w:left="5634" w:leftChars="1736" w:hanging="1988" w:hangingChars="825"/>
        <w:rPr>
          <w:rFonts w:hint="eastAsia" w:ascii="仿宋" w:hAnsi="仿宋" w:eastAsia="仿宋" w:cs="仿宋"/>
          <w:b/>
          <w:sz w:val="24"/>
          <w:szCs w:val="24"/>
          <w:highlight w:val="none"/>
        </w:rPr>
      </w:pPr>
    </w:p>
    <w:p w14:paraId="4806F531">
      <w:pPr>
        <w:snapToGrid w:val="0"/>
        <w:spacing w:line="360" w:lineRule="auto"/>
        <w:ind w:left="5634" w:leftChars="1736" w:hanging="1988" w:hangingChars="825"/>
        <w:rPr>
          <w:rFonts w:hint="eastAsia" w:ascii="仿宋" w:hAnsi="仿宋" w:eastAsia="仿宋" w:cs="仿宋"/>
          <w:b/>
          <w:sz w:val="24"/>
          <w:szCs w:val="24"/>
          <w:highlight w:val="none"/>
        </w:rPr>
      </w:pPr>
    </w:p>
    <w:p w14:paraId="05AA21A4">
      <w:pPr>
        <w:snapToGrid w:val="0"/>
        <w:spacing w:line="360" w:lineRule="auto"/>
        <w:ind w:left="5634" w:leftChars="1736" w:hanging="1988" w:hangingChars="825"/>
        <w:rPr>
          <w:rFonts w:hint="eastAsia" w:ascii="仿宋" w:hAnsi="仿宋" w:eastAsia="仿宋" w:cs="仿宋"/>
          <w:b/>
          <w:sz w:val="24"/>
          <w:szCs w:val="24"/>
          <w:highlight w:val="none"/>
        </w:rPr>
      </w:pPr>
    </w:p>
    <w:p w14:paraId="4C2DDAEC">
      <w:pPr>
        <w:snapToGrid w:val="0"/>
        <w:spacing w:line="360" w:lineRule="auto"/>
        <w:ind w:left="5634" w:leftChars="1736" w:hanging="1988" w:hangingChars="825"/>
        <w:rPr>
          <w:rFonts w:hint="eastAsia" w:ascii="仿宋" w:hAnsi="仿宋" w:eastAsia="仿宋" w:cs="仿宋"/>
          <w:kern w:val="0"/>
          <w:sz w:val="24"/>
          <w:szCs w:val="24"/>
          <w:highlight w:val="none"/>
        </w:rPr>
      </w:pPr>
      <w:r>
        <w:rPr>
          <w:rFonts w:hint="eastAsia" w:ascii="仿宋" w:hAnsi="仿宋" w:eastAsia="仿宋" w:cs="仿宋"/>
          <w:b/>
          <w:sz w:val="24"/>
          <w:szCs w:val="24"/>
          <w:highlight w:val="none"/>
        </w:rPr>
        <w:t xml:space="preserve">      </w:t>
      </w:r>
      <w:r>
        <w:rPr>
          <w:rFonts w:hint="eastAsia" w:ascii="仿宋" w:hAnsi="仿宋" w:eastAsia="仿宋" w:cs="仿宋"/>
          <w:kern w:val="0"/>
          <w:sz w:val="24"/>
          <w:szCs w:val="24"/>
          <w:highlight w:val="none"/>
          <w:lang w:val="zh-CN"/>
        </w:rPr>
        <w:t>投标人名称(电子签章)：</w:t>
      </w:r>
    </w:p>
    <w:p w14:paraId="798F55D2">
      <w:pPr>
        <w:snapToGrid w:val="0"/>
        <w:spacing w:line="360" w:lineRule="auto"/>
        <w:ind w:firstLine="5160" w:firstLineChars="2150"/>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日期</w:t>
      </w:r>
      <w:r>
        <w:rPr>
          <w:rFonts w:hint="eastAsia" w:ascii="仿宋" w:hAnsi="仿宋" w:eastAsia="仿宋" w:cs="仿宋"/>
          <w:kern w:val="0"/>
          <w:sz w:val="24"/>
          <w:szCs w:val="24"/>
          <w:highlight w:val="none"/>
        </w:rPr>
        <w:t xml:space="preserve">：  年  </w:t>
      </w:r>
      <w:r>
        <w:rPr>
          <w:rFonts w:hint="eastAsia" w:ascii="仿宋" w:hAnsi="仿宋" w:eastAsia="仿宋" w:cs="仿宋"/>
          <w:kern w:val="0"/>
          <w:sz w:val="24"/>
          <w:szCs w:val="24"/>
          <w:highlight w:val="none"/>
          <w:lang w:val="zh-CN"/>
        </w:rPr>
        <w:t>月</w:t>
      </w:r>
      <w:r>
        <w:rPr>
          <w:rFonts w:hint="eastAsia"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日</w:t>
      </w:r>
    </w:p>
    <w:p w14:paraId="719F3E67">
      <w:pPr>
        <w:spacing w:line="520" w:lineRule="exact"/>
        <w:ind w:firstLine="360"/>
        <w:rPr>
          <w:rFonts w:hint="eastAsia" w:ascii="仿宋" w:hAnsi="仿宋" w:eastAsia="仿宋" w:cs="仿宋"/>
          <w:sz w:val="24"/>
          <w:szCs w:val="24"/>
          <w:highlight w:val="none"/>
        </w:rPr>
        <w:sectPr>
          <w:pgSz w:w="11906" w:h="16838"/>
          <w:pgMar w:top="1134" w:right="1134" w:bottom="1134" w:left="1134" w:header="720" w:footer="720" w:gutter="0"/>
          <w:cols w:space="720" w:num="1"/>
          <w:docGrid w:type="lines" w:linePitch="331" w:charSpace="0"/>
        </w:sectPr>
      </w:pPr>
    </w:p>
    <w:p w14:paraId="0DCD3F07">
      <w:pPr>
        <w:spacing w:line="520" w:lineRule="exact"/>
        <w:jc w:val="center"/>
        <w:rPr>
          <w:rFonts w:hint="eastAsia" w:ascii="仿宋" w:hAnsi="仿宋" w:eastAsia="仿宋" w:cs="仿宋"/>
          <w:b/>
          <w:bCs/>
          <w:color w:val="auto"/>
          <w:sz w:val="32"/>
          <w:szCs w:val="32"/>
          <w:highlight w:val="none"/>
        </w:rPr>
      </w:pPr>
    </w:p>
    <w:p w14:paraId="2652D636">
      <w:pPr>
        <w:spacing w:line="52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残疾人福利性单位声明函</w:t>
      </w:r>
    </w:p>
    <w:p w14:paraId="0D007479">
      <w:pPr>
        <w:spacing w:line="520" w:lineRule="exact"/>
        <w:rPr>
          <w:rFonts w:hint="eastAsia" w:ascii="仿宋" w:hAnsi="仿宋" w:eastAsia="仿宋" w:cs="仿宋"/>
          <w:color w:val="auto"/>
          <w:sz w:val="32"/>
          <w:szCs w:val="32"/>
          <w:highlight w:val="none"/>
        </w:rPr>
      </w:pPr>
    </w:p>
    <w:p w14:paraId="08AA86B8">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7EBB90A">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3FEAED13">
      <w:pPr>
        <w:spacing w:line="360" w:lineRule="auto"/>
        <w:contextualSpacing/>
        <w:rPr>
          <w:rFonts w:hint="eastAsia" w:ascii="仿宋" w:hAnsi="仿宋" w:eastAsia="仿宋" w:cs="仿宋"/>
          <w:color w:val="auto"/>
          <w:sz w:val="24"/>
          <w:highlight w:val="none"/>
        </w:rPr>
      </w:pPr>
    </w:p>
    <w:p w14:paraId="4A6C847B">
      <w:pPr>
        <w:spacing w:line="360" w:lineRule="auto"/>
        <w:contextualSpacing/>
        <w:rPr>
          <w:rFonts w:hint="eastAsia" w:ascii="仿宋" w:hAnsi="仿宋" w:eastAsia="仿宋" w:cs="仿宋"/>
          <w:color w:val="auto"/>
          <w:sz w:val="24"/>
          <w:highlight w:val="none"/>
        </w:rPr>
      </w:pPr>
    </w:p>
    <w:p w14:paraId="5DDE7668">
      <w:pPr>
        <w:spacing w:line="360" w:lineRule="auto"/>
        <w:contextualSpacing/>
        <w:rPr>
          <w:rFonts w:hint="eastAsia" w:ascii="仿宋" w:hAnsi="仿宋" w:eastAsia="仿宋" w:cs="仿宋"/>
          <w:color w:val="auto"/>
          <w:sz w:val="24"/>
          <w:highlight w:val="none"/>
        </w:rPr>
      </w:pPr>
    </w:p>
    <w:p w14:paraId="652DAED6">
      <w:pPr>
        <w:spacing w:line="360" w:lineRule="auto"/>
        <w:ind w:firstLine="2400" w:firstLineChars="10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供应商名称（电子签章）：</w:t>
      </w:r>
    </w:p>
    <w:p w14:paraId="022DE458">
      <w:pPr>
        <w:spacing w:line="360" w:lineRule="auto"/>
        <w:ind w:firstLine="4320" w:firstLineChars="18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7CCAFDF0">
      <w:pPr>
        <w:spacing w:line="360" w:lineRule="auto"/>
        <w:contextualSpacing/>
        <w:rPr>
          <w:rFonts w:hint="eastAsia" w:ascii="仿宋" w:hAnsi="仿宋" w:eastAsia="仿宋" w:cs="仿宋"/>
          <w:color w:val="auto"/>
          <w:sz w:val="24"/>
          <w:highlight w:val="none"/>
        </w:rPr>
      </w:pPr>
    </w:p>
    <w:p w14:paraId="3DAB11CE">
      <w:pPr>
        <w:spacing w:line="360" w:lineRule="auto"/>
        <w:contextualSpacing/>
        <w:rPr>
          <w:rFonts w:hint="eastAsia" w:ascii="仿宋" w:hAnsi="仿宋" w:eastAsia="仿宋" w:cs="仿宋"/>
          <w:color w:val="auto"/>
          <w:sz w:val="24"/>
          <w:highlight w:val="none"/>
        </w:rPr>
      </w:pPr>
    </w:p>
    <w:p w14:paraId="4994DBBE">
      <w:pPr>
        <w:spacing w:line="360" w:lineRule="auto"/>
        <w:contextualSpacing/>
        <w:rPr>
          <w:rFonts w:hint="eastAsia" w:ascii="仿宋" w:hAnsi="仿宋" w:eastAsia="仿宋" w:cs="仿宋"/>
          <w:color w:val="auto"/>
          <w:sz w:val="24"/>
          <w:highlight w:val="none"/>
        </w:rPr>
      </w:pPr>
    </w:p>
    <w:p w14:paraId="743FD012">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17368493">
      <w:pPr>
        <w:spacing w:line="520" w:lineRule="exact"/>
        <w:jc w:val="center"/>
        <w:rPr>
          <w:rFonts w:hint="eastAsia" w:ascii="仿宋" w:hAnsi="仿宋" w:eastAsia="仿宋" w:cs="仿宋"/>
          <w:color w:val="auto"/>
          <w:sz w:val="24"/>
          <w:highlight w:val="none"/>
        </w:rPr>
      </w:pPr>
    </w:p>
    <w:p w14:paraId="48EC22C8">
      <w:pPr>
        <w:spacing w:line="520" w:lineRule="exact"/>
        <w:jc w:val="center"/>
        <w:rPr>
          <w:rFonts w:hint="eastAsia" w:ascii="仿宋" w:hAnsi="仿宋" w:eastAsia="仿宋" w:cs="仿宋"/>
          <w:color w:val="auto"/>
          <w:sz w:val="24"/>
          <w:highlight w:val="none"/>
        </w:rPr>
      </w:pPr>
    </w:p>
    <w:p w14:paraId="7979DD4D">
      <w:pPr>
        <w:spacing w:line="520" w:lineRule="exact"/>
        <w:jc w:val="center"/>
        <w:rPr>
          <w:rFonts w:hint="eastAsia" w:ascii="仿宋" w:hAnsi="仿宋" w:eastAsia="仿宋" w:cs="仿宋"/>
          <w:color w:val="auto"/>
          <w:sz w:val="24"/>
          <w:highlight w:val="none"/>
        </w:rPr>
      </w:pPr>
    </w:p>
    <w:p w14:paraId="039631B5">
      <w:pPr>
        <w:spacing w:line="520" w:lineRule="exact"/>
        <w:jc w:val="center"/>
        <w:rPr>
          <w:rFonts w:hint="eastAsia" w:ascii="仿宋" w:hAnsi="仿宋" w:eastAsia="仿宋" w:cs="仿宋"/>
          <w:color w:val="auto"/>
          <w:sz w:val="24"/>
          <w:highlight w:val="none"/>
        </w:rPr>
      </w:pPr>
    </w:p>
    <w:p w14:paraId="74A36ADD">
      <w:pPr>
        <w:spacing w:line="520" w:lineRule="exact"/>
        <w:jc w:val="center"/>
        <w:rPr>
          <w:rFonts w:hint="eastAsia" w:ascii="仿宋" w:hAnsi="仿宋" w:eastAsia="仿宋" w:cs="仿宋"/>
          <w:color w:val="auto"/>
          <w:sz w:val="24"/>
          <w:highlight w:val="none"/>
        </w:rPr>
      </w:pPr>
    </w:p>
    <w:p w14:paraId="68682C31">
      <w:pPr>
        <w:spacing w:line="520" w:lineRule="exact"/>
        <w:jc w:val="center"/>
        <w:rPr>
          <w:rFonts w:hint="eastAsia" w:ascii="仿宋" w:hAnsi="仿宋" w:eastAsia="仿宋" w:cs="仿宋"/>
          <w:color w:val="auto"/>
          <w:sz w:val="24"/>
          <w:highlight w:val="none"/>
        </w:rPr>
      </w:pPr>
    </w:p>
    <w:p w14:paraId="2ED2C58D">
      <w:pPr>
        <w:spacing w:line="520" w:lineRule="exact"/>
        <w:jc w:val="center"/>
        <w:rPr>
          <w:rFonts w:hint="eastAsia" w:ascii="仿宋" w:hAnsi="仿宋" w:eastAsia="仿宋" w:cs="仿宋"/>
          <w:color w:val="auto"/>
          <w:sz w:val="24"/>
          <w:highlight w:val="none"/>
        </w:rPr>
      </w:pPr>
    </w:p>
    <w:p w14:paraId="06EDB8BD">
      <w:pPr>
        <w:spacing w:line="52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r>
        <w:rPr>
          <w:rFonts w:hint="eastAsia" w:ascii="仿宋" w:hAnsi="仿宋" w:eastAsia="仿宋" w:cs="仿宋"/>
          <w:b/>
          <w:bCs/>
          <w:color w:val="auto"/>
          <w:sz w:val="32"/>
          <w:szCs w:val="32"/>
          <w:highlight w:val="none"/>
        </w:rPr>
        <w:t>监狱企业证明</w:t>
      </w:r>
    </w:p>
    <w:p w14:paraId="39CDF00B">
      <w:pPr>
        <w:spacing w:line="520" w:lineRule="exact"/>
        <w:ind w:firstLine="480" w:firstLineChars="200"/>
        <w:jc w:val="left"/>
        <w:rPr>
          <w:rFonts w:hint="eastAsia" w:ascii="仿宋" w:hAnsi="仿宋" w:eastAsia="仿宋" w:cs="仿宋"/>
          <w:color w:val="auto"/>
          <w:sz w:val="24"/>
          <w:highlight w:val="none"/>
        </w:rPr>
      </w:pPr>
    </w:p>
    <w:p w14:paraId="36DC5FD4">
      <w:pPr>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提供由省级以上监狱管理局、戒毒管理局（含新疆生产建设兵团）出具的属于监狱企业的证明文件。</w:t>
      </w:r>
    </w:p>
    <w:p w14:paraId="4A4C3FD6">
      <w:pPr>
        <w:spacing w:line="520" w:lineRule="exact"/>
        <w:jc w:val="center"/>
        <w:rPr>
          <w:rFonts w:hint="eastAsia" w:ascii="仿宋" w:hAnsi="仿宋" w:eastAsia="仿宋" w:cs="仿宋"/>
          <w:color w:val="auto"/>
          <w:sz w:val="24"/>
          <w:highlight w:val="none"/>
        </w:rPr>
      </w:pPr>
    </w:p>
    <w:p w14:paraId="0A1F354D">
      <w:pPr>
        <w:spacing w:line="360" w:lineRule="auto"/>
        <w:jc w:val="center"/>
        <w:rPr>
          <w:rFonts w:hint="eastAsia" w:ascii="仿宋" w:hAnsi="仿宋" w:eastAsia="仿宋" w:cs="仿宋"/>
          <w:b/>
          <w:bCs/>
          <w:color w:val="auto"/>
          <w:sz w:val="44"/>
          <w:szCs w:val="44"/>
          <w:highlight w:val="none"/>
        </w:rPr>
      </w:pPr>
    </w:p>
    <w:p w14:paraId="02560A5C">
      <w:pPr>
        <w:spacing w:line="360" w:lineRule="auto"/>
        <w:ind w:firstLine="4320" w:firstLineChars="18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供应商名称（电子签章）：</w:t>
      </w:r>
    </w:p>
    <w:p w14:paraId="0BB1C819">
      <w:pPr>
        <w:spacing w:line="360" w:lineRule="auto"/>
        <w:ind w:firstLine="4320" w:firstLineChars="18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383FF9C8">
      <w:pPr>
        <w:spacing w:line="520" w:lineRule="exact"/>
        <w:jc w:val="center"/>
        <w:rPr>
          <w:rFonts w:hint="eastAsia" w:ascii="仿宋" w:hAnsi="仿宋" w:eastAsia="仿宋" w:cs="仿宋"/>
          <w:color w:val="auto"/>
          <w:sz w:val="24"/>
          <w:highlight w:val="none"/>
        </w:rPr>
      </w:pPr>
    </w:p>
    <w:p w14:paraId="6C8E6F2A">
      <w:pPr>
        <w:spacing w:line="520" w:lineRule="exact"/>
        <w:jc w:val="center"/>
        <w:rPr>
          <w:rFonts w:hint="eastAsia" w:ascii="仿宋" w:hAnsi="仿宋" w:eastAsia="仿宋" w:cs="仿宋"/>
          <w:color w:val="auto"/>
          <w:sz w:val="24"/>
          <w:highlight w:val="none"/>
        </w:rPr>
      </w:pPr>
    </w:p>
    <w:p w14:paraId="3140FFAB">
      <w:pPr>
        <w:spacing w:line="520" w:lineRule="exact"/>
        <w:jc w:val="center"/>
        <w:rPr>
          <w:rFonts w:hint="eastAsia" w:ascii="仿宋" w:hAnsi="仿宋" w:eastAsia="仿宋" w:cs="仿宋"/>
          <w:color w:val="auto"/>
          <w:sz w:val="24"/>
          <w:highlight w:val="none"/>
        </w:rPr>
      </w:pPr>
    </w:p>
    <w:p w14:paraId="05ECBED6">
      <w:pPr>
        <w:spacing w:line="520" w:lineRule="exact"/>
        <w:jc w:val="center"/>
        <w:rPr>
          <w:rFonts w:hint="eastAsia" w:ascii="仿宋" w:hAnsi="仿宋" w:eastAsia="仿宋" w:cs="仿宋"/>
          <w:color w:val="auto"/>
          <w:sz w:val="24"/>
          <w:highlight w:val="none"/>
        </w:rPr>
      </w:pPr>
    </w:p>
    <w:p w14:paraId="2DF0477B">
      <w:pPr>
        <w:spacing w:line="520" w:lineRule="exact"/>
        <w:jc w:val="center"/>
        <w:rPr>
          <w:rFonts w:hint="eastAsia" w:ascii="仿宋" w:hAnsi="仿宋" w:eastAsia="仿宋" w:cs="仿宋"/>
          <w:color w:val="auto"/>
          <w:sz w:val="24"/>
          <w:highlight w:val="none"/>
        </w:rPr>
      </w:pPr>
    </w:p>
    <w:p w14:paraId="3F0AE7C1">
      <w:pPr>
        <w:spacing w:line="520" w:lineRule="exact"/>
        <w:jc w:val="center"/>
        <w:rPr>
          <w:rFonts w:hint="eastAsia" w:ascii="仿宋" w:hAnsi="仿宋" w:eastAsia="仿宋" w:cs="仿宋"/>
          <w:color w:val="auto"/>
          <w:sz w:val="24"/>
          <w:highlight w:val="none"/>
        </w:rPr>
      </w:pPr>
    </w:p>
    <w:p w14:paraId="1BD7ED8A">
      <w:pPr>
        <w:spacing w:line="520" w:lineRule="exact"/>
        <w:jc w:val="center"/>
        <w:rPr>
          <w:rFonts w:hint="eastAsia" w:ascii="仿宋" w:hAnsi="仿宋" w:eastAsia="仿宋" w:cs="仿宋"/>
          <w:color w:val="auto"/>
          <w:sz w:val="24"/>
          <w:highlight w:val="none"/>
        </w:rPr>
      </w:pPr>
    </w:p>
    <w:p w14:paraId="368AAC28">
      <w:pPr>
        <w:spacing w:line="520" w:lineRule="exact"/>
        <w:jc w:val="center"/>
        <w:rPr>
          <w:rFonts w:hint="eastAsia" w:ascii="仿宋" w:hAnsi="仿宋" w:eastAsia="仿宋" w:cs="仿宋"/>
          <w:color w:val="auto"/>
          <w:sz w:val="24"/>
          <w:highlight w:val="none"/>
        </w:rPr>
      </w:pPr>
    </w:p>
    <w:p w14:paraId="4A3044F7">
      <w:pPr>
        <w:spacing w:line="520" w:lineRule="exact"/>
        <w:jc w:val="center"/>
        <w:rPr>
          <w:rFonts w:hint="eastAsia" w:ascii="仿宋" w:hAnsi="仿宋" w:eastAsia="仿宋" w:cs="仿宋"/>
          <w:color w:val="auto"/>
          <w:sz w:val="24"/>
          <w:highlight w:val="none"/>
        </w:rPr>
      </w:pPr>
    </w:p>
    <w:p w14:paraId="11667A3F">
      <w:pPr>
        <w:spacing w:line="360" w:lineRule="auto"/>
        <w:jc w:val="center"/>
        <w:rPr>
          <w:rFonts w:hint="eastAsia" w:ascii="仿宋" w:hAnsi="仿宋" w:eastAsia="仿宋" w:cs="仿宋"/>
          <w:b/>
          <w:bCs/>
          <w:color w:val="auto"/>
          <w:sz w:val="44"/>
          <w:szCs w:val="44"/>
          <w:highlight w:val="none"/>
        </w:rPr>
      </w:pPr>
    </w:p>
    <w:p w14:paraId="4845520C">
      <w:pPr>
        <w:spacing w:line="360" w:lineRule="auto"/>
        <w:jc w:val="center"/>
        <w:rPr>
          <w:rFonts w:hint="eastAsia" w:ascii="仿宋" w:hAnsi="仿宋" w:eastAsia="仿宋" w:cs="仿宋"/>
          <w:b/>
          <w:bCs/>
          <w:color w:val="auto"/>
          <w:sz w:val="44"/>
          <w:szCs w:val="44"/>
          <w:highlight w:val="none"/>
        </w:rPr>
      </w:pPr>
    </w:p>
    <w:p w14:paraId="217B563F">
      <w:pPr>
        <w:spacing w:line="360" w:lineRule="auto"/>
        <w:jc w:val="center"/>
        <w:rPr>
          <w:rFonts w:hint="eastAsia" w:ascii="仿宋" w:hAnsi="仿宋" w:eastAsia="仿宋" w:cs="仿宋"/>
          <w:b/>
          <w:bCs/>
          <w:color w:val="auto"/>
          <w:sz w:val="44"/>
          <w:szCs w:val="44"/>
          <w:highlight w:val="none"/>
        </w:rPr>
      </w:pPr>
    </w:p>
    <w:p w14:paraId="3A1C564C">
      <w:pPr>
        <w:spacing w:line="360" w:lineRule="auto"/>
        <w:jc w:val="center"/>
        <w:rPr>
          <w:rFonts w:hint="eastAsia" w:ascii="仿宋" w:hAnsi="仿宋" w:eastAsia="仿宋" w:cs="仿宋"/>
          <w:b/>
          <w:bCs/>
          <w:color w:val="auto"/>
          <w:sz w:val="44"/>
          <w:szCs w:val="44"/>
          <w:highlight w:val="none"/>
        </w:rPr>
      </w:pPr>
    </w:p>
    <w:p w14:paraId="4810CCF4">
      <w:pPr>
        <w:spacing w:line="360" w:lineRule="auto"/>
        <w:jc w:val="center"/>
        <w:rPr>
          <w:rFonts w:hint="eastAsia" w:ascii="仿宋" w:hAnsi="仿宋" w:eastAsia="仿宋" w:cs="仿宋"/>
          <w:b/>
          <w:bCs/>
          <w:color w:val="auto"/>
          <w:sz w:val="44"/>
          <w:szCs w:val="44"/>
          <w:highlight w:val="none"/>
        </w:rPr>
      </w:pPr>
    </w:p>
    <w:p w14:paraId="55027F05">
      <w:pPr>
        <w:spacing w:line="360" w:lineRule="auto"/>
        <w:jc w:val="center"/>
        <w:rPr>
          <w:rFonts w:hint="eastAsia" w:ascii="仿宋" w:hAnsi="仿宋" w:eastAsia="仿宋" w:cs="仿宋"/>
          <w:b/>
          <w:bCs/>
          <w:color w:val="auto"/>
          <w:sz w:val="44"/>
          <w:szCs w:val="44"/>
          <w:highlight w:val="none"/>
        </w:rPr>
      </w:pPr>
    </w:p>
    <w:p w14:paraId="08129828">
      <w:pPr>
        <w:pStyle w:val="3"/>
        <w:jc w:val="center"/>
        <w:rPr>
          <w:rFonts w:hint="eastAsia" w:ascii="仿宋" w:hAnsi="仿宋" w:eastAsia="仿宋" w:cs="仿宋"/>
          <w:b/>
          <w:bCs/>
          <w:color w:val="auto"/>
          <w:highlight w:val="none"/>
        </w:rPr>
      </w:pPr>
    </w:p>
    <w:p w14:paraId="60F295BC">
      <w:pPr>
        <w:pStyle w:val="3"/>
        <w:jc w:val="center"/>
        <w:rPr>
          <w:rFonts w:hint="eastAsia" w:ascii="仿宋" w:hAnsi="仿宋" w:eastAsia="仿宋" w:cs="仿宋"/>
          <w:b/>
          <w:bCs/>
          <w:color w:val="auto"/>
          <w:highlight w:val="none"/>
        </w:rPr>
      </w:pPr>
    </w:p>
    <w:p w14:paraId="1BCF5775">
      <w:pPr>
        <w:pStyle w:val="3"/>
        <w:jc w:val="center"/>
        <w:rPr>
          <w:rFonts w:hint="eastAsia" w:ascii="仿宋" w:hAnsi="仿宋" w:eastAsia="仿宋" w:cs="仿宋"/>
          <w:b/>
          <w:bCs/>
          <w:color w:val="auto"/>
          <w:highlight w:val="none"/>
        </w:rPr>
      </w:pPr>
    </w:p>
    <w:p w14:paraId="0412AB6A">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仿宋"/>
          <w:color w:val="auto"/>
          <w:sz w:val="24"/>
          <w:highlight w:val="none"/>
          <w:u w:val="single"/>
        </w:rPr>
      </w:pPr>
      <w:bookmarkStart w:id="72" w:name="_Toc14728"/>
      <w:r>
        <w:rPr>
          <w:rFonts w:hint="eastAsia" w:ascii="仿宋" w:hAnsi="仿宋" w:eastAsia="仿宋" w:cs="仿宋"/>
          <w:b/>
          <w:bCs/>
          <w:color w:val="auto"/>
          <w:sz w:val="32"/>
          <w:szCs w:val="32"/>
          <w:highlight w:val="none"/>
        </w:rPr>
        <w:t>第六章  合同文本</w:t>
      </w:r>
      <w:r>
        <w:rPr>
          <w:rFonts w:hint="eastAsia" w:ascii="仿宋" w:hAnsi="仿宋" w:eastAsia="仿宋" w:cs="仿宋"/>
          <w:b/>
          <w:bCs/>
          <w:color w:val="auto"/>
          <w:highlight w:val="none"/>
        </w:rPr>
        <w:br w:type="page"/>
      </w:r>
      <w:bookmarkEnd w:id="72"/>
    </w:p>
    <w:p w14:paraId="5CF42223">
      <w:pPr>
        <w:spacing w:line="360" w:lineRule="auto"/>
        <w:jc w:val="center"/>
        <w:rPr>
          <w:rFonts w:hint="eastAsia" w:ascii="仿宋" w:hAnsi="仿宋" w:eastAsia="仿宋" w:cs="仿宋"/>
          <w:b/>
          <w:bCs/>
          <w:color w:val="auto"/>
          <w:sz w:val="52"/>
          <w:highlight w:val="none"/>
          <w:lang w:val="en-US" w:eastAsia="zh-CN"/>
        </w:rPr>
      </w:pPr>
    </w:p>
    <w:p w14:paraId="31FB9212">
      <w:pPr>
        <w:pStyle w:val="6"/>
        <w:rPr>
          <w:rFonts w:hint="eastAsia"/>
          <w:highlight w:val="none"/>
          <w:lang w:val="en-US" w:eastAsia="zh-CN"/>
        </w:rPr>
      </w:pPr>
    </w:p>
    <w:p w14:paraId="22B5F9AD">
      <w:pPr>
        <w:spacing w:line="360" w:lineRule="auto"/>
        <w:jc w:val="center"/>
        <w:rPr>
          <w:rFonts w:hint="eastAsia" w:ascii="仿宋" w:hAnsi="仿宋" w:eastAsia="仿宋" w:cs="仿宋"/>
          <w:b/>
          <w:bCs/>
          <w:color w:val="auto"/>
          <w:sz w:val="52"/>
          <w:highlight w:val="none"/>
        </w:rPr>
      </w:pPr>
      <w:r>
        <w:rPr>
          <w:rFonts w:hint="eastAsia" w:ascii="仿宋" w:hAnsi="仿宋" w:eastAsia="仿宋" w:cs="仿宋"/>
          <w:b/>
          <w:bCs/>
          <w:color w:val="auto"/>
          <w:sz w:val="52"/>
          <w:highlight w:val="none"/>
          <w:lang w:val="en-US" w:eastAsia="zh-CN"/>
        </w:rPr>
        <w:t xml:space="preserve">梧 州 市 </w:t>
      </w:r>
      <w:r>
        <w:rPr>
          <w:rFonts w:hint="eastAsia" w:ascii="仿宋" w:hAnsi="仿宋" w:eastAsia="仿宋" w:cs="仿宋"/>
          <w:b/>
          <w:bCs/>
          <w:color w:val="auto"/>
          <w:sz w:val="52"/>
          <w:highlight w:val="none"/>
        </w:rPr>
        <w:t>政 府 采 购</w:t>
      </w:r>
    </w:p>
    <w:p w14:paraId="13A3E5EA">
      <w:pPr>
        <w:spacing w:line="360" w:lineRule="auto"/>
        <w:jc w:val="center"/>
        <w:rPr>
          <w:rFonts w:hint="eastAsia" w:ascii="仿宋" w:hAnsi="仿宋" w:eastAsia="仿宋" w:cs="仿宋"/>
          <w:b/>
          <w:bCs/>
          <w:color w:val="auto"/>
          <w:sz w:val="52"/>
          <w:highlight w:val="none"/>
        </w:rPr>
      </w:pPr>
    </w:p>
    <w:p w14:paraId="452E0DAF">
      <w:pPr>
        <w:spacing w:line="360" w:lineRule="auto"/>
        <w:ind w:firstLine="420" w:firstLineChars="200"/>
        <w:rPr>
          <w:rFonts w:hint="eastAsia" w:ascii="仿宋" w:hAnsi="仿宋" w:eastAsia="仿宋" w:cs="仿宋"/>
          <w:color w:val="auto"/>
          <w:highlight w:val="none"/>
        </w:rPr>
      </w:pPr>
    </w:p>
    <w:p w14:paraId="0596C542">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21507380">
      <w:pPr>
        <w:spacing w:line="360" w:lineRule="auto"/>
        <w:jc w:val="center"/>
        <w:rPr>
          <w:rFonts w:hint="eastAsia" w:ascii="仿宋" w:hAnsi="仿宋" w:eastAsia="仿宋" w:cs="仿宋"/>
          <w:b/>
          <w:bCs/>
          <w:color w:val="auto"/>
          <w:sz w:val="44"/>
          <w:highlight w:val="none"/>
        </w:rPr>
      </w:pPr>
      <w:r>
        <w:rPr>
          <w:rFonts w:hint="eastAsia" w:ascii="仿宋" w:hAnsi="仿宋" w:eastAsia="仿宋" w:cs="仿宋"/>
          <w:b/>
          <w:bCs/>
          <w:color w:val="auto"/>
          <w:sz w:val="44"/>
          <w:highlight w:val="none"/>
          <w:u w:val="single"/>
        </w:rPr>
        <w:t xml:space="preserve">         （项目名称）         </w:t>
      </w:r>
      <w:r>
        <w:rPr>
          <w:rFonts w:hint="eastAsia" w:ascii="仿宋" w:hAnsi="仿宋" w:eastAsia="仿宋" w:cs="仿宋"/>
          <w:b/>
          <w:bCs/>
          <w:color w:val="auto"/>
          <w:sz w:val="44"/>
          <w:highlight w:val="none"/>
        </w:rPr>
        <w:t>合同</w:t>
      </w:r>
    </w:p>
    <w:p w14:paraId="17109C4C">
      <w:pPr>
        <w:spacing w:line="360" w:lineRule="auto"/>
        <w:jc w:val="center"/>
        <w:rPr>
          <w:rFonts w:hint="eastAsia" w:ascii="仿宋" w:hAnsi="仿宋" w:eastAsia="仿宋" w:cs="仿宋"/>
          <w:b/>
          <w:bCs/>
          <w:color w:val="auto"/>
          <w:sz w:val="44"/>
          <w:highlight w:val="none"/>
        </w:rPr>
      </w:pPr>
    </w:p>
    <w:p w14:paraId="5329675B">
      <w:pPr>
        <w:spacing w:line="360" w:lineRule="auto"/>
        <w:ind w:firstLine="3507" w:firstLineChars="794"/>
        <w:rPr>
          <w:rFonts w:hint="eastAsia" w:ascii="仿宋" w:hAnsi="仿宋" w:eastAsia="仿宋" w:cs="仿宋"/>
          <w:b/>
          <w:bCs/>
          <w:color w:val="auto"/>
          <w:sz w:val="44"/>
          <w:highlight w:val="none"/>
        </w:rPr>
      </w:pPr>
    </w:p>
    <w:p w14:paraId="6168C50A">
      <w:pPr>
        <w:spacing w:line="360" w:lineRule="auto"/>
        <w:ind w:firstLine="3507" w:firstLineChars="794"/>
        <w:rPr>
          <w:rFonts w:hint="eastAsia" w:ascii="仿宋" w:hAnsi="仿宋" w:eastAsia="仿宋" w:cs="仿宋"/>
          <w:b/>
          <w:bCs/>
          <w:color w:val="auto"/>
          <w:sz w:val="44"/>
          <w:highlight w:val="none"/>
        </w:rPr>
      </w:pPr>
    </w:p>
    <w:p w14:paraId="22CBE22C">
      <w:pPr>
        <w:ind w:firstLine="1995" w:firstLineChars="552"/>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采购项目编号：</w:t>
      </w:r>
      <w:r>
        <w:rPr>
          <w:rFonts w:hint="eastAsia" w:ascii="仿宋" w:hAnsi="仿宋" w:eastAsia="仿宋" w:cs="仿宋"/>
          <w:b/>
          <w:color w:val="auto"/>
          <w:sz w:val="36"/>
          <w:szCs w:val="36"/>
          <w:highlight w:val="none"/>
          <w:u w:val="single"/>
        </w:rPr>
        <w:t xml:space="preserve">                     </w:t>
      </w:r>
    </w:p>
    <w:p w14:paraId="1A0E8B23">
      <w:pPr>
        <w:ind w:firstLine="1995" w:firstLineChars="552"/>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采购计划编号：</w:t>
      </w:r>
      <w:r>
        <w:rPr>
          <w:rFonts w:hint="eastAsia" w:ascii="仿宋" w:hAnsi="仿宋" w:eastAsia="仿宋" w:cs="仿宋"/>
          <w:b/>
          <w:color w:val="auto"/>
          <w:sz w:val="36"/>
          <w:szCs w:val="36"/>
          <w:highlight w:val="none"/>
          <w:u w:val="single"/>
        </w:rPr>
        <w:t xml:space="preserve">                     </w:t>
      </w:r>
    </w:p>
    <w:p w14:paraId="2C2FE4EE">
      <w:pPr>
        <w:ind w:firstLine="1308" w:firstLineChars="545"/>
        <w:rPr>
          <w:rFonts w:hint="eastAsia" w:ascii="仿宋" w:hAnsi="仿宋" w:eastAsia="仿宋" w:cs="仿宋"/>
          <w:color w:val="auto"/>
          <w:sz w:val="24"/>
          <w:highlight w:val="none"/>
        </w:rPr>
      </w:pPr>
    </w:p>
    <w:p w14:paraId="21F800F8">
      <w:pPr>
        <w:ind w:firstLine="1995" w:firstLineChars="552"/>
        <w:rPr>
          <w:rFonts w:hint="eastAsia" w:ascii="仿宋" w:hAnsi="仿宋" w:eastAsia="仿宋" w:cs="仿宋"/>
          <w:b/>
          <w:color w:val="auto"/>
          <w:sz w:val="36"/>
          <w:szCs w:val="36"/>
          <w:highlight w:val="none"/>
          <w:u w:val="single"/>
        </w:rPr>
      </w:pPr>
    </w:p>
    <w:p w14:paraId="1A6FFF78">
      <w:pPr>
        <w:ind w:firstLine="1995" w:firstLineChars="552"/>
        <w:rPr>
          <w:rFonts w:hint="eastAsia" w:ascii="仿宋" w:hAnsi="仿宋" w:eastAsia="仿宋" w:cs="仿宋"/>
          <w:b/>
          <w:color w:val="auto"/>
          <w:sz w:val="36"/>
          <w:szCs w:val="36"/>
          <w:highlight w:val="none"/>
          <w:u w:val="single"/>
        </w:rPr>
      </w:pPr>
    </w:p>
    <w:p w14:paraId="2C353753">
      <w:pPr>
        <w:tabs>
          <w:tab w:val="left" w:pos="7200"/>
        </w:tabs>
        <w:spacing w:line="360" w:lineRule="auto"/>
        <w:ind w:firstLine="1995" w:firstLineChars="552"/>
        <w:rPr>
          <w:rFonts w:hint="eastAsia" w:ascii="仿宋" w:hAnsi="仿宋" w:eastAsia="仿宋" w:cs="仿宋"/>
          <w:b/>
          <w:color w:val="auto"/>
          <w:sz w:val="36"/>
          <w:szCs w:val="36"/>
          <w:highlight w:val="none"/>
          <w:u w:val="single"/>
        </w:rPr>
      </w:pPr>
      <w:r>
        <w:rPr>
          <w:rFonts w:hint="eastAsia" w:ascii="仿宋" w:hAnsi="仿宋" w:eastAsia="仿宋" w:cs="仿宋"/>
          <w:b/>
          <w:color w:val="auto"/>
          <w:sz w:val="36"/>
          <w:szCs w:val="36"/>
          <w:highlight w:val="none"/>
        </w:rPr>
        <w:t>采购人：</w:t>
      </w:r>
      <w:r>
        <w:rPr>
          <w:rFonts w:hint="eastAsia" w:ascii="仿宋" w:hAnsi="仿宋" w:eastAsia="仿宋" w:cs="仿宋"/>
          <w:b/>
          <w:color w:val="auto"/>
          <w:sz w:val="36"/>
          <w:szCs w:val="36"/>
          <w:highlight w:val="none"/>
          <w:u w:val="single"/>
        </w:rPr>
        <w:t xml:space="preserve">                       </w:t>
      </w:r>
    </w:p>
    <w:p w14:paraId="7A1C24CE">
      <w:pPr>
        <w:tabs>
          <w:tab w:val="left" w:pos="7380"/>
        </w:tabs>
        <w:spacing w:line="360" w:lineRule="auto"/>
        <w:ind w:firstLine="1995" w:firstLineChars="552"/>
        <w:rPr>
          <w:rFonts w:hint="eastAsia" w:ascii="仿宋" w:hAnsi="仿宋" w:eastAsia="仿宋" w:cs="仿宋"/>
          <w:b/>
          <w:bCs/>
          <w:color w:val="auto"/>
          <w:sz w:val="44"/>
          <w:highlight w:val="none"/>
        </w:rPr>
      </w:pPr>
      <w:r>
        <w:rPr>
          <w:rFonts w:hint="eastAsia" w:ascii="仿宋" w:hAnsi="仿宋" w:eastAsia="仿宋" w:cs="仿宋"/>
          <w:b/>
          <w:color w:val="auto"/>
          <w:sz w:val="36"/>
          <w:szCs w:val="36"/>
          <w:highlight w:val="none"/>
          <w:lang w:val="en-US" w:eastAsia="zh-CN"/>
        </w:rPr>
        <w:t>成交</w:t>
      </w:r>
      <w:r>
        <w:rPr>
          <w:rFonts w:hint="eastAsia" w:ascii="仿宋" w:hAnsi="仿宋" w:eastAsia="仿宋" w:cs="仿宋"/>
          <w:b/>
          <w:color w:val="auto"/>
          <w:sz w:val="36"/>
          <w:szCs w:val="36"/>
          <w:highlight w:val="none"/>
        </w:rPr>
        <w:t>供应商：</w:t>
      </w:r>
      <w:r>
        <w:rPr>
          <w:rFonts w:hint="eastAsia" w:ascii="仿宋" w:hAnsi="仿宋" w:eastAsia="仿宋" w:cs="仿宋"/>
          <w:b/>
          <w:color w:val="auto"/>
          <w:sz w:val="36"/>
          <w:szCs w:val="36"/>
          <w:highlight w:val="none"/>
          <w:u w:val="single"/>
        </w:rPr>
        <w:t xml:space="preserve">                   </w:t>
      </w:r>
    </w:p>
    <w:p w14:paraId="0F58C01A">
      <w:pPr>
        <w:tabs>
          <w:tab w:val="left" w:pos="7380"/>
        </w:tabs>
        <w:spacing w:line="360" w:lineRule="auto"/>
        <w:rPr>
          <w:rFonts w:hint="eastAsia" w:ascii="仿宋" w:hAnsi="仿宋" w:eastAsia="仿宋" w:cs="仿宋"/>
          <w:b/>
          <w:bCs/>
          <w:color w:val="auto"/>
          <w:sz w:val="44"/>
          <w:highlight w:val="none"/>
        </w:rPr>
      </w:pPr>
    </w:p>
    <w:p w14:paraId="5D944FAB">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b/>
          <w:bCs/>
          <w:sz w:val="24"/>
          <w:szCs w:val="24"/>
          <w:highlight w:val="none"/>
        </w:rPr>
      </w:pPr>
      <w:r>
        <w:rPr>
          <w:rFonts w:hint="eastAsia" w:ascii="仿宋" w:hAnsi="仿宋" w:eastAsia="仿宋" w:cs="仿宋"/>
          <w:b/>
          <w:bCs/>
          <w:color w:val="auto"/>
          <w:sz w:val="44"/>
          <w:highlight w:val="none"/>
        </w:rPr>
        <w:br w:type="page"/>
      </w:r>
      <w:r>
        <w:rPr>
          <w:rFonts w:hint="eastAsia" w:ascii="仿宋" w:hAnsi="仿宋" w:eastAsia="仿宋" w:cs="仿宋"/>
          <w:b/>
          <w:bCs/>
          <w:sz w:val="28"/>
          <w:szCs w:val="28"/>
          <w:highlight w:val="none"/>
        </w:rPr>
        <w:t>政府采购合同使用说明</w:t>
      </w:r>
    </w:p>
    <w:p w14:paraId="01603338">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b/>
          <w:bCs/>
          <w:sz w:val="24"/>
          <w:szCs w:val="24"/>
          <w:highlight w:val="none"/>
        </w:rPr>
      </w:pPr>
      <w:r>
        <w:rPr>
          <w:rFonts w:hint="eastAsia" w:ascii="仿宋" w:hAnsi="仿宋" w:eastAsia="仿宋" w:cs="仿宋"/>
          <w:b/>
          <w:bCs/>
          <w:spacing w:val="12"/>
          <w:sz w:val="24"/>
          <w:szCs w:val="24"/>
          <w:highlight w:val="none"/>
          <w:lang w:eastAsia="zh-CN"/>
        </w:rPr>
        <w:t>（</w:t>
      </w:r>
      <w:r>
        <w:rPr>
          <w:rFonts w:hint="eastAsia" w:ascii="仿宋" w:hAnsi="仿宋" w:eastAsia="仿宋" w:cs="仿宋"/>
          <w:b/>
          <w:bCs/>
          <w:spacing w:val="12"/>
          <w:sz w:val="24"/>
          <w:szCs w:val="24"/>
          <w:highlight w:val="none"/>
        </w:rPr>
        <w:t>一般货物类</w:t>
      </w:r>
      <w:r>
        <w:rPr>
          <w:rFonts w:hint="eastAsia" w:ascii="仿宋" w:hAnsi="仿宋" w:eastAsia="仿宋" w:cs="仿宋"/>
          <w:b/>
          <w:bCs/>
          <w:spacing w:val="12"/>
          <w:sz w:val="24"/>
          <w:szCs w:val="24"/>
          <w:highlight w:val="none"/>
          <w:lang w:eastAsia="zh-CN"/>
        </w:rPr>
        <w:t>）</w:t>
      </w:r>
    </w:p>
    <w:p w14:paraId="5347468F">
      <w:pPr>
        <w:keepNext w:val="0"/>
        <w:keepLines w:val="0"/>
        <w:pageBreakBefore w:val="0"/>
        <w:widowControl w:val="0"/>
        <w:kinsoku/>
        <w:wordWrap/>
        <w:overflowPunct/>
        <w:topLinePunct w:val="0"/>
        <w:autoSpaceDE/>
        <w:autoSpaceDN/>
        <w:bidi w:val="0"/>
        <w:adjustRightInd/>
        <w:snapToGrid/>
        <w:spacing w:line="360" w:lineRule="exact"/>
        <w:ind w:left="0" w:right="0" w:firstLine="476" w:firstLineChars="200"/>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《政府</w:t>
      </w:r>
      <w:r>
        <w:rPr>
          <w:rFonts w:hint="eastAsia" w:ascii="仿宋" w:hAnsi="仿宋" w:eastAsia="仿宋" w:cs="仿宋"/>
          <w:sz w:val="24"/>
          <w:szCs w:val="24"/>
          <w:highlight w:val="none"/>
        </w:rPr>
        <w:t>采购合同》是对竞争性谈判文件规定或者响应文件承诺中的货物和服务要约事项</w:t>
      </w:r>
      <w:r>
        <w:rPr>
          <w:rFonts w:hint="eastAsia" w:ascii="仿宋" w:hAnsi="仿宋" w:eastAsia="仿宋" w:cs="仿宋"/>
          <w:spacing w:val="-6"/>
          <w:sz w:val="24"/>
          <w:szCs w:val="24"/>
          <w:highlight w:val="none"/>
        </w:rPr>
        <w:t>的细化和补充，所签</w:t>
      </w:r>
      <w:r>
        <w:rPr>
          <w:rFonts w:hint="eastAsia" w:ascii="仿宋" w:hAnsi="仿宋" w:eastAsia="仿宋" w:cs="仿宋"/>
          <w:spacing w:val="-5"/>
          <w:sz w:val="24"/>
          <w:szCs w:val="24"/>
          <w:highlight w:val="none"/>
        </w:rPr>
        <w:t>订</w:t>
      </w:r>
      <w:r>
        <w:rPr>
          <w:rFonts w:hint="eastAsia" w:ascii="仿宋" w:hAnsi="仿宋" w:eastAsia="仿宋" w:cs="仿宋"/>
          <w:spacing w:val="-3"/>
          <w:sz w:val="24"/>
          <w:szCs w:val="24"/>
          <w:highlight w:val="none"/>
        </w:rPr>
        <w:t>的合同不得对竞争性谈判文件和成交供应商响应文件作实质性修改；</w:t>
      </w:r>
      <w:r>
        <w:rPr>
          <w:rFonts w:hint="eastAsia" w:ascii="仿宋" w:hAnsi="仿宋" w:eastAsia="仿宋" w:cs="仿宋"/>
          <w:spacing w:val="-1"/>
          <w:sz w:val="24"/>
          <w:szCs w:val="24"/>
          <w:highlight w:val="none"/>
        </w:rPr>
        <w:t>采</w:t>
      </w:r>
      <w:r>
        <w:rPr>
          <w:rFonts w:hint="eastAsia" w:ascii="仿宋" w:hAnsi="仿宋" w:eastAsia="仿宋" w:cs="仿宋"/>
          <w:sz w:val="24"/>
          <w:szCs w:val="24"/>
          <w:highlight w:val="none"/>
        </w:rPr>
        <w:t>购活动过程中有关项目标的性状的重要澄清和承诺事项必须在合同相应条款中予以明确表</w:t>
      </w:r>
      <w:r>
        <w:rPr>
          <w:rFonts w:hint="eastAsia" w:ascii="仿宋" w:hAnsi="仿宋" w:eastAsia="仿宋" w:cs="仿宋"/>
          <w:spacing w:val="-4"/>
          <w:sz w:val="24"/>
          <w:szCs w:val="24"/>
          <w:highlight w:val="none"/>
        </w:rPr>
        <w:t>达。采购人和成交供应商不</w:t>
      </w:r>
      <w:r>
        <w:rPr>
          <w:rFonts w:hint="eastAsia" w:ascii="仿宋" w:hAnsi="仿宋" w:eastAsia="仿宋" w:cs="仿宋"/>
          <w:spacing w:val="-2"/>
          <w:sz w:val="24"/>
          <w:szCs w:val="24"/>
          <w:highlight w:val="none"/>
        </w:rPr>
        <w:t>得提出任何不合理的要求作为签订合同的条件；不得私下订立背</w:t>
      </w:r>
      <w:r>
        <w:rPr>
          <w:rFonts w:hint="eastAsia" w:ascii="仿宋" w:hAnsi="仿宋" w:eastAsia="仿宋" w:cs="仿宋"/>
          <w:spacing w:val="-1"/>
          <w:sz w:val="24"/>
          <w:szCs w:val="24"/>
          <w:highlight w:val="none"/>
        </w:rPr>
        <w:t>离竞争</w:t>
      </w:r>
      <w:r>
        <w:rPr>
          <w:rFonts w:hint="eastAsia" w:ascii="仿宋" w:hAnsi="仿宋" w:eastAsia="仿宋" w:cs="仿宋"/>
          <w:sz w:val="24"/>
          <w:szCs w:val="24"/>
          <w:highlight w:val="none"/>
        </w:rPr>
        <w:t>性谈判文件实质性内容的协议。</w:t>
      </w:r>
    </w:p>
    <w:p w14:paraId="48310BC3">
      <w:pPr>
        <w:keepNext w:val="0"/>
        <w:keepLines w:val="0"/>
        <w:pageBreakBefore w:val="0"/>
        <w:widowControl w:val="0"/>
        <w:kinsoku/>
        <w:wordWrap/>
        <w:overflowPunct/>
        <w:topLinePunct w:val="0"/>
        <w:autoSpaceDE/>
        <w:autoSpaceDN/>
        <w:bidi w:val="0"/>
        <w:adjustRightInd/>
        <w:snapToGrid/>
        <w:spacing w:line="360" w:lineRule="exact"/>
        <w:ind w:left="0" w:right="0" w:firstLine="476" w:firstLineChars="200"/>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一</w:t>
      </w:r>
      <w:r>
        <w:rPr>
          <w:rFonts w:hint="eastAsia" w:ascii="仿宋" w:hAnsi="仿宋" w:eastAsia="仿宋" w:cs="仿宋"/>
          <w:sz w:val="24"/>
          <w:szCs w:val="24"/>
          <w:highlight w:val="none"/>
        </w:rPr>
        <w:t>、本合同适用范围</w:t>
      </w:r>
    </w:p>
    <w:p w14:paraId="3F9B99F1">
      <w:pPr>
        <w:keepNext w:val="0"/>
        <w:keepLines w:val="0"/>
        <w:pageBreakBefore w:val="0"/>
        <w:widowControl w:val="0"/>
        <w:kinsoku/>
        <w:wordWrap/>
        <w:overflowPunct/>
        <w:topLinePunct w:val="0"/>
        <w:autoSpaceDE/>
        <w:autoSpaceDN/>
        <w:bidi w:val="0"/>
        <w:adjustRightInd/>
        <w:snapToGrid/>
        <w:spacing w:line="360" w:lineRule="exact"/>
        <w:ind w:left="0" w:right="0" w:firstLine="476" w:firstLineChars="200"/>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家用电器、电子产品、教学仪器设备、医疗仪器设备、广播电视仪器设备、体</w:t>
      </w:r>
      <w:r>
        <w:rPr>
          <w:rFonts w:hint="eastAsia" w:ascii="仿宋" w:hAnsi="仿宋" w:eastAsia="仿宋" w:cs="仿宋"/>
          <w:sz w:val="24"/>
          <w:szCs w:val="24"/>
          <w:highlight w:val="none"/>
        </w:rPr>
        <w:t>育器材、</w:t>
      </w:r>
      <w:r>
        <w:rPr>
          <w:rFonts w:hint="eastAsia" w:ascii="仿宋" w:hAnsi="仿宋" w:eastAsia="仿宋" w:cs="仿宋"/>
          <w:spacing w:val="2"/>
          <w:sz w:val="24"/>
          <w:szCs w:val="24"/>
          <w:highlight w:val="none"/>
        </w:rPr>
        <w:t>音响乐器、药品、服装、印刷设备和印刷品等政府采购项</w:t>
      </w:r>
      <w:r>
        <w:rPr>
          <w:rFonts w:hint="eastAsia" w:ascii="仿宋" w:hAnsi="仿宋" w:eastAsia="仿宋" w:cs="仿宋"/>
          <w:spacing w:val="1"/>
          <w:sz w:val="24"/>
          <w:szCs w:val="24"/>
          <w:highlight w:val="none"/>
        </w:rPr>
        <w:t>目</w:t>
      </w:r>
      <w:r>
        <w:rPr>
          <w:rFonts w:hint="eastAsia" w:ascii="仿宋" w:hAnsi="仿宋" w:eastAsia="仿宋" w:cs="仿宋"/>
          <w:spacing w:val="1"/>
          <w:sz w:val="24"/>
          <w:szCs w:val="24"/>
          <w:highlight w:val="none"/>
          <w:lang w:eastAsia="zh-CN"/>
        </w:rPr>
        <w:t>（</w:t>
      </w:r>
      <w:r>
        <w:rPr>
          <w:rFonts w:hint="eastAsia" w:ascii="仿宋" w:hAnsi="仿宋" w:eastAsia="仿宋" w:cs="仿宋"/>
          <w:spacing w:val="1"/>
          <w:sz w:val="24"/>
          <w:szCs w:val="24"/>
          <w:highlight w:val="none"/>
        </w:rPr>
        <w:t>协议供货除外</w:t>
      </w:r>
      <w:r>
        <w:rPr>
          <w:rFonts w:hint="eastAsia" w:ascii="仿宋" w:hAnsi="仿宋" w:eastAsia="仿宋" w:cs="仿宋"/>
          <w:spacing w:val="1"/>
          <w:sz w:val="24"/>
          <w:szCs w:val="24"/>
          <w:highlight w:val="none"/>
          <w:lang w:eastAsia="zh-CN"/>
        </w:rPr>
        <w:t>）</w:t>
      </w:r>
      <w:r>
        <w:rPr>
          <w:rFonts w:hint="eastAsia" w:ascii="仿宋" w:hAnsi="仿宋" w:eastAsia="仿宋" w:cs="仿宋"/>
          <w:spacing w:val="1"/>
          <w:sz w:val="24"/>
          <w:szCs w:val="24"/>
          <w:highlight w:val="none"/>
        </w:rPr>
        <w:t>适用于本合同。</w:t>
      </w:r>
    </w:p>
    <w:p w14:paraId="7D2D399A">
      <w:pPr>
        <w:keepNext w:val="0"/>
        <w:keepLines w:val="0"/>
        <w:pageBreakBefore w:val="0"/>
        <w:widowControl w:val="0"/>
        <w:kinsoku/>
        <w:wordWrap/>
        <w:overflowPunct/>
        <w:topLinePunct w:val="0"/>
        <w:autoSpaceDE/>
        <w:autoSpaceDN/>
        <w:bidi w:val="0"/>
        <w:adjustRightInd/>
        <w:snapToGrid/>
        <w:spacing w:line="360" w:lineRule="exact"/>
        <w:ind w:left="0" w:right="0" w:firstLine="476" w:firstLineChars="200"/>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二、填写</w:t>
      </w:r>
      <w:r>
        <w:rPr>
          <w:rFonts w:hint="eastAsia" w:ascii="仿宋" w:hAnsi="仿宋" w:eastAsia="仿宋" w:cs="仿宋"/>
          <w:sz w:val="24"/>
          <w:szCs w:val="24"/>
          <w:highlight w:val="none"/>
        </w:rPr>
        <w:t>说明</w:t>
      </w:r>
    </w:p>
    <w:p w14:paraId="576E44B5">
      <w:pPr>
        <w:keepNext w:val="0"/>
        <w:keepLines w:val="0"/>
        <w:pageBreakBefore w:val="0"/>
        <w:widowControl w:val="0"/>
        <w:kinsoku/>
        <w:wordWrap/>
        <w:overflowPunct/>
        <w:topLinePunct w:val="0"/>
        <w:autoSpaceDE/>
        <w:autoSpaceDN/>
        <w:bidi w:val="0"/>
        <w:adjustRightInd/>
        <w:snapToGrid/>
        <w:spacing w:line="360" w:lineRule="exact"/>
        <w:ind w:left="0" w:right="0" w:firstLine="492" w:firstLineChars="200"/>
        <w:textAlignment w:val="auto"/>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lang w:eastAsia="zh-CN"/>
        </w:rPr>
        <w:t>（</w:t>
      </w:r>
      <w:r>
        <w:rPr>
          <w:rFonts w:hint="eastAsia" w:ascii="仿宋" w:hAnsi="仿宋" w:eastAsia="仿宋" w:cs="仿宋"/>
          <w:spacing w:val="3"/>
          <w:sz w:val="24"/>
          <w:szCs w:val="24"/>
          <w:highlight w:val="none"/>
        </w:rPr>
        <w:t>一</w:t>
      </w:r>
      <w:r>
        <w:rPr>
          <w:rFonts w:hint="eastAsia" w:ascii="仿宋" w:hAnsi="仿宋" w:eastAsia="仿宋" w:cs="仿宋"/>
          <w:spacing w:val="3"/>
          <w:sz w:val="24"/>
          <w:szCs w:val="24"/>
          <w:highlight w:val="none"/>
          <w:lang w:eastAsia="zh-CN"/>
        </w:rPr>
        <w:t>）</w:t>
      </w:r>
      <w:r>
        <w:rPr>
          <w:rFonts w:hint="eastAsia" w:ascii="仿宋" w:hAnsi="仿宋" w:eastAsia="仿宋" w:cs="仿宋"/>
          <w:spacing w:val="3"/>
          <w:sz w:val="24"/>
          <w:szCs w:val="24"/>
          <w:highlight w:val="none"/>
        </w:rPr>
        <w:t>合同标题：地市县使用时可在“广西壮族自治区”后再加所在地名称或者将“广西壮族自治区”删除加所在地名称。</w:t>
      </w:r>
    </w:p>
    <w:p w14:paraId="54677B89">
      <w:pPr>
        <w:keepNext w:val="0"/>
        <w:keepLines w:val="0"/>
        <w:pageBreakBefore w:val="0"/>
        <w:widowControl w:val="0"/>
        <w:kinsoku/>
        <w:wordWrap/>
        <w:overflowPunct/>
        <w:topLinePunct w:val="0"/>
        <w:autoSpaceDE/>
        <w:autoSpaceDN/>
        <w:bidi w:val="0"/>
        <w:adjustRightInd/>
        <w:snapToGrid/>
        <w:spacing w:line="360" w:lineRule="exact"/>
        <w:ind w:left="0" w:right="0" w:firstLine="492" w:firstLineChars="200"/>
        <w:textAlignment w:val="auto"/>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lang w:eastAsia="zh-CN"/>
        </w:rPr>
        <w:t>（</w:t>
      </w:r>
      <w:r>
        <w:rPr>
          <w:rFonts w:hint="eastAsia" w:ascii="仿宋" w:hAnsi="仿宋" w:eastAsia="仿宋" w:cs="仿宋"/>
          <w:spacing w:val="3"/>
          <w:sz w:val="24"/>
          <w:szCs w:val="24"/>
          <w:highlight w:val="none"/>
        </w:rPr>
        <w:t>二</w:t>
      </w:r>
      <w:r>
        <w:rPr>
          <w:rFonts w:hint="eastAsia" w:ascii="仿宋" w:hAnsi="仿宋" w:eastAsia="仿宋" w:cs="仿宋"/>
          <w:spacing w:val="3"/>
          <w:sz w:val="24"/>
          <w:szCs w:val="24"/>
          <w:highlight w:val="none"/>
          <w:lang w:eastAsia="zh-CN"/>
        </w:rPr>
        <w:t>）</w:t>
      </w:r>
      <w:r>
        <w:rPr>
          <w:rFonts w:hint="eastAsia" w:ascii="仿宋" w:hAnsi="仿宋" w:eastAsia="仿宋" w:cs="仿宋"/>
          <w:spacing w:val="3"/>
          <w:sz w:val="24"/>
          <w:szCs w:val="24"/>
          <w:highlight w:val="none"/>
        </w:rPr>
        <w:t>本合同划线部分所需填写内容，除以下条款特殊要求外，按竞争性谈判文件规定或者响应文件承诺的要求填写，如竞争性谈判文件规定或者响应文件承诺的没有明确，按甲乙双方商定意见填写。</w:t>
      </w:r>
    </w:p>
    <w:p w14:paraId="7F8051E5">
      <w:pPr>
        <w:keepNext w:val="0"/>
        <w:keepLines w:val="0"/>
        <w:pageBreakBefore w:val="0"/>
        <w:widowControl w:val="0"/>
        <w:kinsoku/>
        <w:wordWrap/>
        <w:overflowPunct/>
        <w:topLinePunct w:val="0"/>
        <w:autoSpaceDE/>
        <w:autoSpaceDN/>
        <w:bidi w:val="0"/>
        <w:adjustRightInd/>
        <w:snapToGrid/>
        <w:spacing w:line="360" w:lineRule="exact"/>
        <w:ind w:left="0" w:right="0" w:firstLine="492" w:firstLineChars="200"/>
        <w:textAlignment w:val="auto"/>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lang w:eastAsia="zh-CN"/>
        </w:rPr>
        <w:t>（</w:t>
      </w:r>
      <w:r>
        <w:rPr>
          <w:rFonts w:hint="eastAsia" w:ascii="仿宋" w:hAnsi="仿宋" w:eastAsia="仿宋" w:cs="仿宋"/>
          <w:spacing w:val="3"/>
          <w:sz w:val="24"/>
          <w:szCs w:val="24"/>
          <w:highlight w:val="none"/>
        </w:rPr>
        <w:t>三</w:t>
      </w:r>
      <w:r>
        <w:rPr>
          <w:rFonts w:hint="eastAsia" w:ascii="仿宋" w:hAnsi="仿宋" w:eastAsia="仿宋" w:cs="仿宋"/>
          <w:spacing w:val="3"/>
          <w:sz w:val="24"/>
          <w:szCs w:val="24"/>
          <w:highlight w:val="none"/>
          <w:lang w:eastAsia="zh-CN"/>
        </w:rPr>
        <w:t>）</w:t>
      </w:r>
      <w:r>
        <w:rPr>
          <w:rFonts w:hint="eastAsia" w:ascii="仿宋" w:hAnsi="仿宋" w:eastAsia="仿宋" w:cs="仿宋"/>
          <w:spacing w:val="3"/>
          <w:sz w:val="24"/>
          <w:szCs w:val="24"/>
          <w:highlight w:val="none"/>
        </w:rPr>
        <w:t>第一条合同标的：按表中各项目要求填写，内容填写不下时可另加附页。</w:t>
      </w:r>
    </w:p>
    <w:p w14:paraId="4E8FBE86">
      <w:pPr>
        <w:keepNext w:val="0"/>
        <w:keepLines w:val="0"/>
        <w:pageBreakBefore w:val="0"/>
        <w:widowControl w:val="0"/>
        <w:kinsoku/>
        <w:wordWrap/>
        <w:overflowPunct/>
        <w:topLinePunct w:val="0"/>
        <w:autoSpaceDE/>
        <w:autoSpaceDN/>
        <w:bidi w:val="0"/>
        <w:adjustRightInd/>
        <w:snapToGrid/>
        <w:spacing w:line="360" w:lineRule="exact"/>
        <w:ind w:left="0" w:right="0" w:firstLine="492" w:firstLineChars="200"/>
        <w:textAlignment w:val="auto"/>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lang w:eastAsia="zh-CN"/>
        </w:rPr>
        <w:t>（</w:t>
      </w:r>
      <w:r>
        <w:rPr>
          <w:rFonts w:hint="eastAsia" w:ascii="仿宋" w:hAnsi="仿宋" w:eastAsia="仿宋" w:cs="仿宋"/>
          <w:spacing w:val="3"/>
          <w:sz w:val="24"/>
          <w:szCs w:val="24"/>
          <w:highlight w:val="none"/>
        </w:rPr>
        <w:t>四</w:t>
      </w:r>
      <w:r>
        <w:rPr>
          <w:rFonts w:hint="eastAsia" w:ascii="仿宋" w:hAnsi="仿宋" w:eastAsia="仿宋" w:cs="仿宋"/>
          <w:spacing w:val="3"/>
          <w:sz w:val="24"/>
          <w:szCs w:val="24"/>
          <w:highlight w:val="none"/>
          <w:lang w:eastAsia="zh-CN"/>
        </w:rPr>
        <w:t>）</w:t>
      </w:r>
      <w:r>
        <w:rPr>
          <w:rFonts w:hint="eastAsia" w:ascii="仿宋" w:hAnsi="仿宋" w:eastAsia="仿宋" w:cs="仿宋"/>
          <w:spacing w:val="3"/>
          <w:sz w:val="24"/>
          <w:szCs w:val="24"/>
          <w:highlight w:val="none"/>
        </w:rPr>
        <w:t>第四条包装和运输：货物运输方式包括；汽车、火车、轮船等。</w:t>
      </w:r>
    </w:p>
    <w:p w14:paraId="6F13CED5">
      <w:pPr>
        <w:keepNext w:val="0"/>
        <w:keepLines w:val="0"/>
        <w:pageBreakBefore w:val="0"/>
        <w:widowControl w:val="0"/>
        <w:kinsoku/>
        <w:wordWrap/>
        <w:overflowPunct/>
        <w:topLinePunct w:val="0"/>
        <w:autoSpaceDE/>
        <w:autoSpaceDN/>
        <w:bidi w:val="0"/>
        <w:adjustRightInd/>
        <w:snapToGrid/>
        <w:spacing w:line="360" w:lineRule="exact"/>
        <w:ind w:left="0" w:right="0" w:firstLine="492" w:firstLineChars="200"/>
        <w:textAlignment w:val="auto"/>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lang w:eastAsia="zh-CN"/>
        </w:rPr>
        <w:t>（</w:t>
      </w:r>
      <w:r>
        <w:rPr>
          <w:rFonts w:hint="eastAsia" w:ascii="仿宋" w:hAnsi="仿宋" w:eastAsia="仿宋" w:cs="仿宋"/>
          <w:spacing w:val="3"/>
          <w:sz w:val="24"/>
          <w:szCs w:val="24"/>
          <w:highlight w:val="none"/>
        </w:rPr>
        <w:t>五</w:t>
      </w:r>
      <w:r>
        <w:rPr>
          <w:rFonts w:hint="eastAsia" w:ascii="仿宋" w:hAnsi="仿宋" w:eastAsia="仿宋" w:cs="仿宋"/>
          <w:spacing w:val="3"/>
          <w:sz w:val="24"/>
          <w:szCs w:val="24"/>
          <w:highlight w:val="none"/>
          <w:lang w:eastAsia="zh-CN"/>
        </w:rPr>
        <w:t>）</w:t>
      </w:r>
      <w:r>
        <w:rPr>
          <w:rFonts w:hint="eastAsia" w:ascii="仿宋" w:hAnsi="仿宋" w:eastAsia="仿宋" w:cs="仿宋"/>
          <w:spacing w:val="3"/>
          <w:sz w:val="24"/>
          <w:szCs w:val="24"/>
          <w:highlight w:val="none"/>
        </w:rPr>
        <w:t>货物交付和验收：时间按合同签订</w:t>
      </w:r>
      <w:r>
        <w:rPr>
          <w:rFonts w:hint="eastAsia" w:ascii="仿宋" w:hAnsi="仿宋" w:eastAsia="仿宋" w:cs="仿宋"/>
          <w:spacing w:val="3"/>
          <w:sz w:val="24"/>
          <w:szCs w:val="24"/>
          <w:highlight w:val="none"/>
          <w:lang w:eastAsia="zh-CN"/>
        </w:rPr>
        <w:t>（</w:t>
      </w:r>
      <w:r>
        <w:rPr>
          <w:rFonts w:hint="eastAsia" w:ascii="仿宋" w:hAnsi="仿宋" w:eastAsia="仿宋" w:cs="仿宋"/>
          <w:spacing w:val="3"/>
          <w:sz w:val="24"/>
          <w:szCs w:val="24"/>
          <w:highlight w:val="none"/>
        </w:rPr>
        <w:t>或者生效</w:t>
      </w:r>
      <w:r>
        <w:rPr>
          <w:rFonts w:hint="eastAsia" w:ascii="仿宋" w:hAnsi="仿宋" w:eastAsia="仿宋" w:cs="仿宋"/>
          <w:spacing w:val="3"/>
          <w:sz w:val="24"/>
          <w:szCs w:val="24"/>
          <w:highlight w:val="none"/>
          <w:lang w:eastAsia="zh-CN"/>
        </w:rPr>
        <w:t>）</w:t>
      </w:r>
      <w:r>
        <w:rPr>
          <w:rFonts w:hint="eastAsia" w:ascii="仿宋" w:hAnsi="仿宋" w:eastAsia="仿宋" w:cs="仿宋"/>
          <w:spacing w:val="3"/>
          <w:sz w:val="24"/>
          <w:szCs w:val="24"/>
          <w:highlight w:val="none"/>
        </w:rPr>
        <w:t>后多少日</w:t>
      </w:r>
      <w:r>
        <w:rPr>
          <w:rFonts w:hint="eastAsia" w:ascii="仿宋" w:hAnsi="仿宋" w:eastAsia="仿宋" w:cs="仿宋"/>
          <w:spacing w:val="3"/>
          <w:sz w:val="24"/>
          <w:szCs w:val="24"/>
          <w:highlight w:val="none"/>
          <w:lang w:eastAsia="zh-CN"/>
        </w:rPr>
        <w:t>（</w:t>
      </w:r>
      <w:r>
        <w:rPr>
          <w:rFonts w:hint="eastAsia" w:ascii="仿宋" w:hAnsi="仿宋" w:eastAsia="仿宋" w:cs="仿宋"/>
          <w:spacing w:val="3"/>
          <w:sz w:val="24"/>
          <w:szCs w:val="24"/>
          <w:highlight w:val="none"/>
        </w:rPr>
        <w:t>或者工作日</w:t>
      </w:r>
      <w:r>
        <w:rPr>
          <w:rFonts w:hint="eastAsia" w:ascii="仿宋" w:hAnsi="仿宋" w:eastAsia="仿宋" w:cs="仿宋"/>
          <w:spacing w:val="3"/>
          <w:sz w:val="24"/>
          <w:szCs w:val="24"/>
          <w:highlight w:val="none"/>
          <w:lang w:eastAsia="zh-CN"/>
        </w:rPr>
        <w:t>）</w:t>
      </w:r>
      <w:r>
        <w:rPr>
          <w:rFonts w:hint="eastAsia" w:ascii="仿宋" w:hAnsi="仿宋" w:eastAsia="仿宋" w:cs="仿宋"/>
          <w:spacing w:val="3"/>
          <w:sz w:val="24"/>
          <w:szCs w:val="24"/>
          <w:highlight w:val="none"/>
        </w:rPr>
        <w:t>或者直接填X年X月X日前交货。</w:t>
      </w:r>
    </w:p>
    <w:p w14:paraId="245D35CA">
      <w:pPr>
        <w:keepNext w:val="0"/>
        <w:keepLines w:val="0"/>
        <w:pageBreakBefore w:val="0"/>
        <w:widowControl w:val="0"/>
        <w:kinsoku/>
        <w:wordWrap/>
        <w:overflowPunct/>
        <w:topLinePunct w:val="0"/>
        <w:autoSpaceDE/>
        <w:autoSpaceDN/>
        <w:bidi w:val="0"/>
        <w:adjustRightInd/>
        <w:snapToGrid/>
        <w:spacing w:line="360" w:lineRule="exact"/>
        <w:ind w:left="0" w:right="0" w:firstLine="492" w:firstLineChars="200"/>
        <w:textAlignment w:val="auto"/>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lang w:eastAsia="zh-CN"/>
        </w:rPr>
        <w:t>（</w:t>
      </w:r>
      <w:r>
        <w:rPr>
          <w:rFonts w:hint="eastAsia" w:ascii="仿宋" w:hAnsi="仿宋" w:eastAsia="仿宋" w:cs="仿宋"/>
          <w:spacing w:val="3"/>
          <w:sz w:val="24"/>
          <w:szCs w:val="24"/>
          <w:highlight w:val="none"/>
        </w:rPr>
        <w:t>六</w:t>
      </w:r>
      <w:r>
        <w:rPr>
          <w:rFonts w:hint="eastAsia" w:ascii="仿宋" w:hAnsi="仿宋" w:eastAsia="仿宋" w:cs="仿宋"/>
          <w:spacing w:val="3"/>
          <w:sz w:val="24"/>
          <w:szCs w:val="24"/>
          <w:highlight w:val="none"/>
          <w:lang w:eastAsia="zh-CN"/>
        </w:rPr>
        <w:t>）</w:t>
      </w:r>
      <w:r>
        <w:rPr>
          <w:rFonts w:hint="eastAsia" w:ascii="仿宋" w:hAnsi="仿宋" w:eastAsia="仿宋" w:cs="仿宋"/>
          <w:spacing w:val="3"/>
          <w:sz w:val="24"/>
          <w:szCs w:val="24"/>
          <w:highlight w:val="none"/>
        </w:rPr>
        <w:t>第八条付款方式：资金性质按一般预算拨款、财政性基金拨款、纳入财政专户管理的收入安排的资金、未纳入财政专户管理的收入安排的资金、上年结余填写。</w:t>
      </w:r>
    </w:p>
    <w:p w14:paraId="0006133F">
      <w:pPr>
        <w:keepNext w:val="0"/>
        <w:keepLines w:val="0"/>
        <w:pageBreakBefore w:val="0"/>
        <w:widowControl w:val="0"/>
        <w:kinsoku/>
        <w:wordWrap/>
        <w:overflowPunct/>
        <w:topLinePunct w:val="0"/>
        <w:autoSpaceDE/>
        <w:autoSpaceDN/>
        <w:bidi w:val="0"/>
        <w:adjustRightInd/>
        <w:snapToGrid/>
        <w:spacing w:line="360" w:lineRule="exact"/>
        <w:ind w:left="0" w:right="0" w:firstLine="476" w:firstLineChars="200"/>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三</w:t>
      </w:r>
      <w:r>
        <w:rPr>
          <w:rFonts w:hint="eastAsia" w:ascii="仿宋" w:hAnsi="仿宋" w:eastAsia="仿宋" w:cs="仿宋"/>
          <w:sz w:val="24"/>
          <w:szCs w:val="24"/>
          <w:highlight w:val="none"/>
        </w:rPr>
        <w:t>、有关要求</w:t>
      </w:r>
    </w:p>
    <w:p w14:paraId="612CBD91">
      <w:pPr>
        <w:keepNext w:val="0"/>
        <w:keepLines w:val="0"/>
        <w:pageBreakBefore w:val="0"/>
        <w:widowControl w:val="0"/>
        <w:kinsoku/>
        <w:wordWrap/>
        <w:overflowPunct/>
        <w:topLinePunct w:val="0"/>
        <w:autoSpaceDE/>
        <w:autoSpaceDN/>
        <w:bidi w:val="0"/>
        <w:adjustRightInd/>
        <w:snapToGrid/>
        <w:spacing w:line="360" w:lineRule="exact"/>
        <w:ind w:left="0" w:right="0" w:firstLine="492" w:firstLineChars="200"/>
        <w:textAlignment w:val="auto"/>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lang w:eastAsia="zh-CN"/>
        </w:rPr>
        <w:t>（</w:t>
      </w:r>
      <w:r>
        <w:rPr>
          <w:rFonts w:hint="eastAsia" w:ascii="仿宋" w:hAnsi="仿宋" w:eastAsia="仿宋" w:cs="仿宋"/>
          <w:spacing w:val="3"/>
          <w:sz w:val="24"/>
          <w:szCs w:val="24"/>
          <w:highlight w:val="none"/>
        </w:rPr>
        <w:t>一</w:t>
      </w:r>
      <w:r>
        <w:rPr>
          <w:rFonts w:hint="eastAsia" w:ascii="仿宋" w:hAnsi="仿宋" w:eastAsia="仿宋" w:cs="仿宋"/>
          <w:spacing w:val="3"/>
          <w:sz w:val="24"/>
          <w:szCs w:val="24"/>
          <w:highlight w:val="none"/>
          <w:lang w:eastAsia="zh-CN"/>
        </w:rPr>
        <w:t>）</w:t>
      </w:r>
      <w:r>
        <w:rPr>
          <w:rFonts w:hint="eastAsia" w:ascii="仿宋" w:hAnsi="仿宋" w:eastAsia="仿宋" w:cs="仿宋"/>
          <w:spacing w:val="3"/>
          <w:sz w:val="24"/>
          <w:szCs w:val="24"/>
          <w:highlight w:val="none"/>
        </w:rPr>
        <w:t>各单位现使用的专业合同可作为本合同附件，但专业合同各条款必须符合竞争性谈判文件规定或者响应文件承诺的和本合同各条款要求，如发生矛盾以本合同为准。</w:t>
      </w:r>
    </w:p>
    <w:p w14:paraId="145C04D3">
      <w:pPr>
        <w:keepNext w:val="0"/>
        <w:keepLines w:val="0"/>
        <w:pageBreakBefore w:val="0"/>
        <w:widowControl w:val="0"/>
        <w:kinsoku/>
        <w:wordWrap/>
        <w:overflowPunct/>
        <w:topLinePunct w:val="0"/>
        <w:autoSpaceDE/>
        <w:autoSpaceDN/>
        <w:bidi w:val="0"/>
        <w:adjustRightInd/>
        <w:snapToGrid/>
        <w:spacing w:line="360" w:lineRule="exact"/>
        <w:ind w:left="0" w:right="0" w:firstLine="492" w:firstLineChars="200"/>
        <w:textAlignment w:val="auto"/>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lang w:eastAsia="zh-CN"/>
        </w:rPr>
        <w:t>（</w:t>
      </w:r>
      <w:r>
        <w:rPr>
          <w:rFonts w:hint="eastAsia" w:ascii="仿宋" w:hAnsi="仿宋" w:eastAsia="仿宋" w:cs="仿宋"/>
          <w:spacing w:val="3"/>
          <w:sz w:val="24"/>
          <w:szCs w:val="24"/>
          <w:highlight w:val="none"/>
        </w:rPr>
        <w:t>二</w:t>
      </w:r>
      <w:r>
        <w:rPr>
          <w:rFonts w:hint="eastAsia" w:ascii="仿宋" w:hAnsi="仿宋" w:eastAsia="仿宋" w:cs="仿宋"/>
          <w:spacing w:val="3"/>
          <w:sz w:val="24"/>
          <w:szCs w:val="24"/>
          <w:highlight w:val="none"/>
          <w:lang w:eastAsia="zh-CN"/>
        </w:rPr>
        <w:t>）</w:t>
      </w:r>
      <w:r>
        <w:rPr>
          <w:rFonts w:hint="eastAsia" w:ascii="仿宋" w:hAnsi="仿宋" w:eastAsia="仿宋" w:cs="仿宋"/>
          <w:spacing w:val="3"/>
          <w:sz w:val="24"/>
          <w:szCs w:val="24"/>
          <w:highlight w:val="none"/>
        </w:rPr>
        <w:t>协议供货合同应使用原文本。</w:t>
      </w:r>
    </w:p>
    <w:p w14:paraId="3251A560">
      <w:pPr>
        <w:keepNext w:val="0"/>
        <w:keepLines w:val="0"/>
        <w:pageBreakBefore w:val="0"/>
        <w:widowControl w:val="0"/>
        <w:kinsoku/>
        <w:wordWrap/>
        <w:overflowPunct/>
        <w:topLinePunct w:val="0"/>
        <w:autoSpaceDE/>
        <w:autoSpaceDN/>
        <w:bidi w:val="0"/>
        <w:adjustRightInd/>
        <w:snapToGrid/>
        <w:spacing w:line="360" w:lineRule="exact"/>
        <w:ind w:left="0" w:right="0" w:firstLine="492" w:firstLineChars="200"/>
        <w:textAlignment w:val="auto"/>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lang w:eastAsia="zh-CN"/>
        </w:rPr>
        <w:t>（</w:t>
      </w:r>
      <w:r>
        <w:rPr>
          <w:rFonts w:hint="eastAsia" w:ascii="仿宋" w:hAnsi="仿宋" w:eastAsia="仿宋" w:cs="仿宋"/>
          <w:spacing w:val="3"/>
          <w:sz w:val="24"/>
          <w:szCs w:val="24"/>
          <w:highlight w:val="none"/>
        </w:rPr>
        <w:t>三</w:t>
      </w:r>
      <w:r>
        <w:rPr>
          <w:rFonts w:hint="eastAsia" w:ascii="仿宋" w:hAnsi="仿宋" w:eastAsia="仿宋" w:cs="仿宋"/>
          <w:spacing w:val="3"/>
          <w:sz w:val="24"/>
          <w:szCs w:val="24"/>
          <w:highlight w:val="none"/>
          <w:lang w:eastAsia="zh-CN"/>
        </w:rPr>
        <w:t>）</w:t>
      </w:r>
      <w:r>
        <w:rPr>
          <w:rFonts w:hint="eastAsia" w:ascii="仿宋" w:hAnsi="仿宋" w:eastAsia="仿宋" w:cs="仿宋"/>
          <w:spacing w:val="3"/>
          <w:sz w:val="24"/>
          <w:szCs w:val="24"/>
          <w:highlight w:val="none"/>
        </w:rPr>
        <w:t>甲乙双方对本合同各条款均不能改动，只能在划线位置填写，如有改动视同无效合同。</w:t>
      </w:r>
    </w:p>
    <w:p w14:paraId="76A68C3A">
      <w:pPr>
        <w:keepNext w:val="0"/>
        <w:keepLines w:val="0"/>
        <w:pageBreakBefore w:val="0"/>
        <w:widowControl w:val="0"/>
        <w:kinsoku/>
        <w:wordWrap/>
        <w:overflowPunct/>
        <w:topLinePunct w:val="0"/>
        <w:autoSpaceDE/>
        <w:autoSpaceDN/>
        <w:bidi w:val="0"/>
        <w:adjustRightInd/>
        <w:snapToGrid/>
        <w:spacing w:line="360" w:lineRule="exact"/>
        <w:ind w:left="0" w:right="0" w:firstLine="492" w:firstLineChars="200"/>
        <w:textAlignment w:val="auto"/>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lang w:eastAsia="zh-CN"/>
        </w:rPr>
        <w:t>（</w:t>
      </w:r>
      <w:r>
        <w:rPr>
          <w:rFonts w:hint="eastAsia" w:ascii="仿宋" w:hAnsi="仿宋" w:eastAsia="仿宋" w:cs="仿宋"/>
          <w:spacing w:val="3"/>
          <w:sz w:val="24"/>
          <w:szCs w:val="24"/>
          <w:highlight w:val="none"/>
        </w:rPr>
        <w:t>四</w:t>
      </w:r>
      <w:r>
        <w:rPr>
          <w:rFonts w:hint="eastAsia" w:ascii="仿宋" w:hAnsi="仿宋" w:eastAsia="仿宋" w:cs="仿宋"/>
          <w:spacing w:val="3"/>
          <w:sz w:val="24"/>
          <w:szCs w:val="24"/>
          <w:highlight w:val="none"/>
          <w:lang w:eastAsia="zh-CN"/>
        </w:rPr>
        <w:t>）</w:t>
      </w:r>
      <w:r>
        <w:rPr>
          <w:rFonts w:hint="eastAsia" w:ascii="仿宋" w:hAnsi="仿宋" w:eastAsia="仿宋" w:cs="仿宋"/>
          <w:spacing w:val="3"/>
          <w:sz w:val="24"/>
          <w:szCs w:val="24"/>
          <w:highlight w:val="none"/>
        </w:rPr>
        <w:t>本合同统一用A4纸打印。</w:t>
      </w:r>
    </w:p>
    <w:p w14:paraId="43FB8E10">
      <w:pPr>
        <w:keepNext w:val="0"/>
        <w:keepLines w:val="0"/>
        <w:pageBreakBefore w:val="0"/>
        <w:widowControl w:val="0"/>
        <w:kinsoku/>
        <w:wordWrap/>
        <w:overflowPunct/>
        <w:topLinePunct w:val="0"/>
        <w:autoSpaceDE/>
        <w:autoSpaceDN/>
        <w:bidi w:val="0"/>
        <w:adjustRightInd/>
        <w:snapToGrid/>
        <w:spacing w:line="360" w:lineRule="exact"/>
        <w:ind w:left="0" w:right="0" w:firstLine="492" w:firstLineChars="200"/>
        <w:textAlignment w:val="auto"/>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lang w:eastAsia="zh-CN"/>
        </w:rPr>
        <w:t>（</w:t>
      </w:r>
      <w:r>
        <w:rPr>
          <w:rFonts w:hint="eastAsia" w:ascii="仿宋" w:hAnsi="仿宋" w:eastAsia="仿宋" w:cs="仿宋"/>
          <w:spacing w:val="3"/>
          <w:sz w:val="24"/>
          <w:szCs w:val="24"/>
          <w:highlight w:val="none"/>
        </w:rPr>
        <w:t>五</w:t>
      </w:r>
      <w:r>
        <w:rPr>
          <w:rFonts w:hint="eastAsia" w:ascii="仿宋" w:hAnsi="仿宋" w:eastAsia="仿宋" w:cs="仿宋"/>
          <w:spacing w:val="3"/>
          <w:sz w:val="24"/>
          <w:szCs w:val="24"/>
          <w:highlight w:val="none"/>
          <w:lang w:eastAsia="zh-CN"/>
        </w:rPr>
        <w:t>）</w:t>
      </w:r>
      <w:r>
        <w:rPr>
          <w:rFonts w:hint="eastAsia" w:ascii="仿宋" w:hAnsi="仿宋" w:eastAsia="仿宋" w:cs="仿宋"/>
          <w:spacing w:val="3"/>
          <w:sz w:val="24"/>
          <w:szCs w:val="24"/>
          <w:highlight w:val="none"/>
        </w:rPr>
        <w:t>本合同为试行文本，采购人和成交供应商在使用过程中如发现不当之处，请及时提出建议，以便修正。</w:t>
      </w:r>
    </w:p>
    <w:p w14:paraId="4068213C">
      <w:pPr>
        <w:keepNext w:val="0"/>
        <w:keepLines w:val="0"/>
        <w:pageBreakBefore w:val="0"/>
        <w:widowControl w:val="0"/>
        <w:kinsoku/>
        <w:wordWrap/>
        <w:overflowPunct/>
        <w:topLinePunct w:val="0"/>
        <w:autoSpaceDE/>
        <w:autoSpaceDN/>
        <w:bidi w:val="0"/>
        <w:adjustRightInd/>
        <w:snapToGrid/>
        <w:spacing w:line="360" w:lineRule="exact"/>
        <w:ind w:left="0" w:right="0" w:firstLine="476" w:firstLineChars="200"/>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本合同各条款由广西壮族自治区财政厅政府</w:t>
      </w:r>
      <w:r>
        <w:rPr>
          <w:rFonts w:hint="eastAsia" w:ascii="仿宋" w:hAnsi="仿宋" w:eastAsia="仿宋" w:cs="仿宋"/>
          <w:sz w:val="24"/>
          <w:szCs w:val="24"/>
          <w:highlight w:val="none"/>
        </w:rPr>
        <w:t>采购监督管理处负责解释。</w:t>
      </w:r>
    </w:p>
    <w:p w14:paraId="643B017F">
      <w:pPr>
        <w:pStyle w:val="29"/>
        <w:ind w:firstLine="21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梧州市</w:t>
      </w:r>
      <w:r>
        <w:rPr>
          <w:rFonts w:hint="eastAsia" w:ascii="仿宋" w:hAnsi="仿宋" w:eastAsia="仿宋" w:cs="仿宋"/>
          <w:b/>
          <w:bCs/>
          <w:color w:val="auto"/>
          <w:sz w:val="28"/>
          <w:szCs w:val="28"/>
          <w:highlight w:val="none"/>
        </w:rPr>
        <w:t>政府采购合同》文本</w:t>
      </w:r>
    </w:p>
    <w:p w14:paraId="2EE51CDD">
      <w:pPr>
        <w:spacing w:before="68" w:line="221" w:lineRule="auto"/>
        <w:ind w:left="7165"/>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合</w:t>
      </w:r>
      <w:r>
        <w:rPr>
          <w:rFonts w:hint="eastAsia" w:ascii="仿宋" w:hAnsi="仿宋" w:eastAsia="仿宋" w:cs="仿宋"/>
          <w:spacing w:val="-6"/>
          <w:sz w:val="24"/>
          <w:szCs w:val="24"/>
          <w:highlight w:val="none"/>
        </w:rPr>
        <w:t>同编号：</w:t>
      </w:r>
    </w:p>
    <w:p w14:paraId="6099C70C">
      <w:pPr>
        <w:spacing w:before="156" w:line="361" w:lineRule="auto"/>
        <w:ind w:left="192"/>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采购人</w:t>
      </w:r>
      <w:r>
        <w:rPr>
          <w:rFonts w:hint="eastAsia" w:ascii="仿宋" w:hAnsi="仿宋" w:eastAsia="仿宋" w:cs="仿宋"/>
          <w:spacing w:val="11"/>
          <w:sz w:val="24"/>
          <w:szCs w:val="24"/>
          <w:highlight w:val="none"/>
          <w:lang w:eastAsia="zh-CN"/>
        </w:rPr>
        <w:t>（</w:t>
      </w:r>
      <w:r>
        <w:rPr>
          <w:rFonts w:hint="eastAsia" w:ascii="仿宋" w:hAnsi="仿宋" w:eastAsia="仿宋" w:cs="仿宋"/>
          <w:spacing w:val="11"/>
          <w:sz w:val="24"/>
          <w:szCs w:val="24"/>
          <w:highlight w:val="none"/>
        </w:rPr>
        <w:t>甲方</w:t>
      </w:r>
      <w:r>
        <w:rPr>
          <w:rFonts w:hint="eastAsia" w:ascii="仿宋" w:hAnsi="仿宋" w:eastAsia="仿宋" w:cs="仿宋"/>
          <w:spacing w:val="11"/>
          <w:sz w:val="24"/>
          <w:szCs w:val="24"/>
          <w:highlight w:val="none"/>
          <w:lang w:eastAsia="zh-CN"/>
        </w:rPr>
        <w:t>）</w:t>
      </w:r>
      <w:r>
        <w:rPr>
          <w:rFonts w:hint="eastAsia" w:ascii="仿宋" w:hAnsi="仿宋" w:eastAsia="仿宋" w:cs="仿宋"/>
          <w:spacing w:val="11"/>
          <w:sz w:val="24"/>
          <w:szCs w:val="24"/>
          <w:highlight w:val="none"/>
        </w:rPr>
        <w:t xml:space="preserve"> ：</w:t>
      </w:r>
      <w:r>
        <w:rPr>
          <w:rFonts w:hint="eastAsia" w:ascii="仿宋" w:hAnsi="仿宋" w:eastAsia="仿宋" w:cs="仿宋"/>
          <w:sz w:val="24"/>
          <w:szCs w:val="24"/>
          <w:highlight w:val="none"/>
          <w:u w:val="single" w:color="auto"/>
        </w:rPr>
        <w:t xml:space="preserve">                      </w:t>
      </w:r>
    </w:p>
    <w:p w14:paraId="26519D50">
      <w:pPr>
        <w:spacing w:line="220" w:lineRule="auto"/>
        <w:ind w:left="193"/>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供应商</w:t>
      </w:r>
      <w:r>
        <w:rPr>
          <w:rFonts w:hint="eastAsia" w:ascii="仿宋" w:hAnsi="仿宋" w:eastAsia="仿宋" w:cs="仿宋"/>
          <w:spacing w:val="11"/>
          <w:sz w:val="24"/>
          <w:szCs w:val="24"/>
          <w:highlight w:val="none"/>
          <w:lang w:eastAsia="zh-CN"/>
        </w:rPr>
        <w:t>（</w:t>
      </w:r>
      <w:r>
        <w:rPr>
          <w:rFonts w:hint="eastAsia" w:ascii="仿宋" w:hAnsi="仿宋" w:eastAsia="仿宋" w:cs="仿宋"/>
          <w:spacing w:val="11"/>
          <w:sz w:val="24"/>
          <w:szCs w:val="24"/>
          <w:highlight w:val="none"/>
        </w:rPr>
        <w:t>乙方</w:t>
      </w:r>
      <w:r>
        <w:rPr>
          <w:rFonts w:hint="eastAsia" w:ascii="仿宋" w:hAnsi="仿宋" w:eastAsia="仿宋" w:cs="仿宋"/>
          <w:spacing w:val="11"/>
          <w:sz w:val="24"/>
          <w:szCs w:val="24"/>
          <w:highlight w:val="none"/>
          <w:lang w:eastAsia="zh-CN"/>
        </w:rPr>
        <w:t>）</w:t>
      </w:r>
      <w:r>
        <w:rPr>
          <w:rFonts w:hint="eastAsia" w:ascii="仿宋" w:hAnsi="仿宋" w:eastAsia="仿宋" w:cs="仿宋"/>
          <w:spacing w:val="11"/>
          <w:sz w:val="24"/>
          <w:szCs w:val="24"/>
          <w:highlight w:val="none"/>
        </w:rPr>
        <w:t xml:space="preserve"> </w:t>
      </w:r>
      <w:r>
        <w:rPr>
          <w:rFonts w:hint="eastAsia" w:ascii="仿宋" w:hAnsi="仿宋" w:eastAsia="仿宋" w:cs="仿宋"/>
          <w:spacing w:val="10"/>
          <w:sz w:val="24"/>
          <w:szCs w:val="24"/>
          <w:highlight w:val="none"/>
        </w:rPr>
        <w:t>：</w:t>
      </w:r>
      <w:r>
        <w:rPr>
          <w:rFonts w:hint="eastAsia" w:ascii="仿宋" w:hAnsi="仿宋" w:eastAsia="仿宋" w:cs="仿宋"/>
          <w:sz w:val="24"/>
          <w:szCs w:val="24"/>
          <w:highlight w:val="none"/>
          <w:u w:val="single" w:color="auto"/>
        </w:rPr>
        <w:t xml:space="preserve">                      </w:t>
      </w:r>
    </w:p>
    <w:p w14:paraId="1D6AFFE1">
      <w:pPr>
        <w:spacing w:before="156" w:line="221" w:lineRule="auto"/>
        <w:ind w:left="192"/>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采购计划</w:t>
      </w:r>
      <w:r>
        <w:rPr>
          <w:rFonts w:hint="eastAsia" w:ascii="仿宋" w:hAnsi="仿宋" w:eastAsia="仿宋" w:cs="仿宋"/>
          <w:sz w:val="24"/>
          <w:szCs w:val="24"/>
          <w:highlight w:val="none"/>
        </w:rPr>
        <w:t>号：</w:t>
      </w:r>
      <w:r>
        <w:rPr>
          <w:rFonts w:hint="eastAsia" w:ascii="仿宋" w:hAnsi="仿宋" w:eastAsia="仿宋" w:cs="仿宋"/>
          <w:sz w:val="24"/>
          <w:szCs w:val="24"/>
          <w:highlight w:val="none"/>
          <w:u w:val="single" w:color="auto"/>
        </w:rPr>
        <w:t xml:space="preserve">                         </w:t>
      </w:r>
    </w:p>
    <w:p w14:paraId="008FDB3C">
      <w:pPr>
        <w:spacing w:before="157" w:line="359" w:lineRule="auto"/>
        <w:ind w:left="196"/>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项目名称：</w:t>
      </w:r>
      <w:r>
        <w:rPr>
          <w:rFonts w:hint="eastAsia" w:ascii="仿宋" w:hAnsi="仿宋" w:eastAsia="仿宋" w:cs="仿宋"/>
          <w:spacing w:val="-3"/>
          <w:sz w:val="24"/>
          <w:szCs w:val="24"/>
          <w:highlight w:val="none"/>
          <w:u w:val="single" w:color="auto"/>
        </w:rPr>
        <w:t xml:space="preserve">                              </w:t>
      </w:r>
      <w:r>
        <w:rPr>
          <w:rFonts w:hint="eastAsia" w:ascii="仿宋" w:hAnsi="仿宋" w:eastAsia="仿宋" w:cs="仿宋"/>
          <w:spacing w:val="-3"/>
          <w:sz w:val="24"/>
          <w:szCs w:val="24"/>
          <w:highlight w:val="none"/>
        </w:rPr>
        <w:t>项目编</w:t>
      </w:r>
      <w:r>
        <w:rPr>
          <w:rFonts w:hint="eastAsia" w:ascii="仿宋" w:hAnsi="仿宋" w:eastAsia="仿宋" w:cs="仿宋"/>
          <w:spacing w:val="-1"/>
          <w:sz w:val="24"/>
          <w:szCs w:val="24"/>
          <w:highlight w:val="none"/>
        </w:rPr>
        <w:t>号</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color="auto"/>
        </w:rPr>
        <w:t xml:space="preserve">            </w:t>
      </w:r>
    </w:p>
    <w:p w14:paraId="3CD500A1">
      <w:pPr>
        <w:spacing w:line="223" w:lineRule="auto"/>
        <w:ind w:left="193"/>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签订地点：</w:t>
      </w:r>
      <w:r>
        <w:rPr>
          <w:rFonts w:hint="eastAsia" w:ascii="仿宋" w:hAnsi="仿宋" w:eastAsia="仿宋" w:cs="仿宋"/>
          <w:spacing w:val="-4"/>
          <w:sz w:val="24"/>
          <w:szCs w:val="24"/>
          <w:highlight w:val="none"/>
          <w:u w:val="single" w:color="auto"/>
        </w:rPr>
        <w:t xml:space="preserve">           </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2"/>
          <w:sz w:val="24"/>
          <w:szCs w:val="24"/>
          <w:highlight w:val="none"/>
        </w:rPr>
        <w:t>签订时间：</w:t>
      </w:r>
      <w:r>
        <w:rPr>
          <w:rFonts w:hint="eastAsia" w:ascii="仿宋" w:hAnsi="仿宋" w:eastAsia="仿宋" w:cs="仿宋"/>
          <w:sz w:val="24"/>
          <w:szCs w:val="24"/>
          <w:highlight w:val="none"/>
          <w:u w:val="single" w:color="auto"/>
        </w:rPr>
        <w:t xml:space="preserve">            </w:t>
      </w:r>
    </w:p>
    <w:p w14:paraId="48084802">
      <w:pPr>
        <w:spacing w:before="153" w:line="221" w:lineRule="auto"/>
        <w:ind w:left="193"/>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本</w:t>
      </w:r>
      <w:r>
        <w:rPr>
          <w:rFonts w:hint="eastAsia" w:ascii="仿宋" w:hAnsi="仿宋" w:eastAsia="仿宋" w:cs="仿宋"/>
          <w:spacing w:val="-6"/>
          <w:sz w:val="24"/>
          <w:szCs w:val="24"/>
          <w:highlight w:val="none"/>
        </w:rPr>
        <w:t xml:space="preserve">合同为中小企业预留合同： </w:t>
      </w:r>
      <w:r>
        <w:rPr>
          <w:rFonts w:hint="eastAsia" w:ascii="仿宋" w:hAnsi="仿宋" w:eastAsia="仿宋" w:cs="仿宋"/>
          <w:spacing w:val="-6"/>
          <w:sz w:val="24"/>
          <w:szCs w:val="24"/>
          <w:highlight w:val="none"/>
          <w:u w:val="single" w:color="auto"/>
        </w:rPr>
        <w:t xml:space="preserve"> </w:t>
      </w:r>
      <w:r>
        <w:rPr>
          <w:rFonts w:hint="eastAsia" w:ascii="仿宋" w:hAnsi="仿宋" w:eastAsia="仿宋" w:cs="仿宋"/>
          <w:spacing w:val="-6"/>
          <w:sz w:val="24"/>
          <w:szCs w:val="24"/>
          <w:highlight w:val="none"/>
          <w:u w:val="single" w:color="auto"/>
          <w:lang w:val="en-US" w:eastAsia="zh-CN"/>
        </w:rPr>
        <w:t xml:space="preserve">  </w:t>
      </w:r>
      <w:r>
        <w:rPr>
          <w:rFonts w:hint="eastAsia" w:ascii="仿宋" w:hAnsi="仿宋" w:eastAsia="仿宋" w:cs="仿宋"/>
          <w:spacing w:val="-6"/>
          <w:sz w:val="24"/>
          <w:szCs w:val="24"/>
          <w:highlight w:val="none"/>
          <w:u w:val="single" w:color="auto"/>
        </w:rPr>
        <w:t xml:space="preserve"> </w:t>
      </w:r>
      <w:r>
        <w:rPr>
          <w:rFonts w:hint="eastAsia" w:ascii="仿宋" w:hAnsi="仿宋" w:eastAsia="仿宋" w:cs="仿宋"/>
          <w:spacing w:val="-6"/>
          <w:sz w:val="24"/>
          <w:szCs w:val="24"/>
          <w:highlight w:val="none"/>
        </w:rPr>
        <w:t>。</w:t>
      </w:r>
    </w:p>
    <w:p w14:paraId="3F77537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p>
    <w:p w14:paraId="3B4A18DD">
      <w:pPr>
        <w:pStyle w:val="18"/>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根据《中华人民共和国政府采购法》、《中华人民共和国民法典》等法律、法规规定， 按照采购文件规定条款和乙方投标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竞标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承诺， 甲乙双方签订本合同。</w:t>
      </w:r>
    </w:p>
    <w:p w14:paraId="5F89075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第一条　合同标的</w:t>
      </w:r>
    </w:p>
    <w:p w14:paraId="7DB7D76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1.供货一览表</w:t>
      </w:r>
    </w:p>
    <w:tbl>
      <w:tblPr>
        <w:tblStyle w:val="31"/>
        <w:tblW w:w="915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737"/>
        <w:gridCol w:w="735"/>
        <w:gridCol w:w="1095"/>
        <w:gridCol w:w="1145"/>
      </w:tblGrid>
      <w:tr w14:paraId="2252B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noWrap w:val="0"/>
            <w:vAlign w:val="center"/>
          </w:tcPr>
          <w:p w14:paraId="7E9DC394">
            <w:pPr>
              <w:snapToGrid w:val="0"/>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序号</w:t>
            </w:r>
          </w:p>
        </w:tc>
        <w:tc>
          <w:tcPr>
            <w:tcW w:w="1233" w:type="dxa"/>
            <w:noWrap w:val="0"/>
            <w:vAlign w:val="center"/>
          </w:tcPr>
          <w:p w14:paraId="69F0FFE6">
            <w:pPr>
              <w:snapToGrid w:val="0"/>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产品名称</w:t>
            </w:r>
          </w:p>
        </w:tc>
        <w:tc>
          <w:tcPr>
            <w:tcW w:w="1059" w:type="dxa"/>
            <w:noWrap w:val="0"/>
            <w:vAlign w:val="center"/>
          </w:tcPr>
          <w:p w14:paraId="75F61116">
            <w:pPr>
              <w:snapToGrid w:val="0"/>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商标品牌</w:t>
            </w:r>
          </w:p>
        </w:tc>
        <w:tc>
          <w:tcPr>
            <w:tcW w:w="1233" w:type="dxa"/>
            <w:noWrap w:val="0"/>
            <w:vAlign w:val="center"/>
          </w:tcPr>
          <w:p w14:paraId="76CEBD99">
            <w:pPr>
              <w:snapToGrid w:val="0"/>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规格型号</w:t>
            </w:r>
          </w:p>
        </w:tc>
        <w:tc>
          <w:tcPr>
            <w:tcW w:w="1210" w:type="dxa"/>
            <w:noWrap w:val="0"/>
            <w:vAlign w:val="center"/>
          </w:tcPr>
          <w:p w14:paraId="4E53EB1A">
            <w:pPr>
              <w:snapToGrid w:val="0"/>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生产厂家</w:t>
            </w:r>
          </w:p>
        </w:tc>
        <w:tc>
          <w:tcPr>
            <w:tcW w:w="737" w:type="dxa"/>
            <w:noWrap w:val="0"/>
            <w:vAlign w:val="center"/>
          </w:tcPr>
          <w:p w14:paraId="5E430FB2">
            <w:pPr>
              <w:snapToGrid w:val="0"/>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数量</w:t>
            </w:r>
          </w:p>
        </w:tc>
        <w:tc>
          <w:tcPr>
            <w:tcW w:w="735" w:type="dxa"/>
            <w:noWrap w:val="0"/>
            <w:vAlign w:val="center"/>
          </w:tcPr>
          <w:p w14:paraId="64FE1D9F">
            <w:pPr>
              <w:snapToGrid w:val="0"/>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单位</w:t>
            </w:r>
          </w:p>
        </w:tc>
        <w:tc>
          <w:tcPr>
            <w:tcW w:w="1095" w:type="dxa"/>
            <w:noWrap w:val="0"/>
            <w:vAlign w:val="center"/>
          </w:tcPr>
          <w:p w14:paraId="30E88CEE">
            <w:pPr>
              <w:snapToGrid w:val="0"/>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单价（元）</w:t>
            </w:r>
          </w:p>
        </w:tc>
        <w:tc>
          <w:tcPr>
            <w:tcW w:w="1145" w:type="dxa"/>
            <w:noWrap w:val="0"/>
            <w:vAlign w:val="center"/>
          </w:tcPr>
          <w:p w14:paraId="4D8B7722">
            <w:pPr>
              <w:snapToGrid w:val="0"/>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金额（元）</w:t>
            </w:r>
          </w:p>
        </w:tc>
      </w:tr>
      <w:tr w14:paraId="1A562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14:paraId="5AA93002">
            <w:pPr>
              <w:snapToGrid w:val="0"/>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1233" w:type="dxa"/>
            <w:noWrap w:val="0"/>
            <w:vAlign w:val="center"/>
          </w:tcPr>
          <w:p w14:paraId="48D27D02">
            <w:pPr>
              <w:snapToGrid w:val="0"/>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w:t>
            </w:r>
          </w:p>
        </w:tc>
        <w:tc>
          <w:tcPr>
            <w:tcW w:w="1059" w:type="dxa"/>
            <w:noWrap w:val="0"/>
            <w:vAlign w:val="center"/>
          </w:tcPr>
          <w:p w14:paraId="0CAFC3CD">
            <w:pPr>
              <w:snapToGrid w:val="0"/>
              <w:spacing w:line="360" w:lineRule="auto"/>
              <w:jc w:val="center"/>
              <w:rPr>
                <w:rFonts w:hint="eastAsia" w:ascii="仿宋" w:hAnsi="仿宋" w:eastAsia="仿宋" w:cs="仿宋"/>
                <w:color w:val="auto"/>
                <w:kern w:val="0"/>
                <w:sz w:val="24"/>
                <w:szCs w:val="24"/>
                <w:highlight w:val="none"/>
                <w:lang w:val="en-US" w:eastAsia="zh-CN" w:bidi="ar-SA"/>
              </w:rPr>
            </w:pPr>
          </w:p>
        </w:tc>
        <w:tc>
          <w:tcPr>
            <w:tcW w:w="1233" w:type="dxa"/>
            <w:noWrap w:val="0"/>
            <w:vAlign w:val="center"/>
          </w:tcPr>
          <w:p w14:paraId="02DFB0C3">
            <w:pPr>
              <w:snapToGrid w:val="0"/>
              <w:spacing w:line="360" w:lineRule="auto"/>
              <w:jc w:val="center"/>
              <w:rPr>
                <w:rFonts w:hint="eastAsia" w:ascii="仿宋" w:hAnsi="仿宋" w:eastAsia="仿宋" w:cs="仿宋"/>
                <w:color w:val="auto"/>
                <w:kern w:val="0"/>
                <w:sz w:val="24"/>
                <w:szCs w:val="24"/>
                <w:highlight w:val="none"/>
                <w:lang w:val="en-US" w:eastAsia="zh-CN" w:bidi="ar-SA"/>
              </w:rPr>
            </w:pPr>
          </w:p>
        </w:tc>
        <w:tc>
          <w:tcPr>
            <w:tcW w:w="1210" w:type="dxa"/>
            <w:noWrap w:val="0"/>
            <w:vAlign w:val="top"/>
          </w:tcPr>
          <w:p w14:paraId="3A096D37">
            <w:pPr>
              <w:snapToGrid w:val="0"/>
              <w:spacing w:line="360" w:lineRule="auto"/>
              <w:jc w:val="center"/>
              <w:rPr>
                <w:rFonts w:hint="eastAsia" w:ascii="仿宋" w:hAnsi="仿宋" w:eastAsia="仿宋" w:cs="仿宋"/>
                <w:color w:val="auto"/>
                <w:kern w:val="0"/>
                <w:sz w:val="24"/>
                <w:szCs w:val="24"/>
                <w:highlight w:val="none"/>
                <w:lang w:val="en-US" w:eastAsia="zh-CN" w:bidi="ar-SA"/>
              </w:rPr>
            </w:pPr>
          </w:p>
        </w:tc>
        <w:tc>
          <w:tcPr>
            <w:tcW w:w="737" w:type="dxa"/>
            <w:noWrap w:val="0"/>
            <w:vAlign w:val="top"/>
          </w:tcPr>
          <w:p w14:paraId="5C0D6D77">
            <w:pPr>
              <w:snapToGrid w:val="0"/>
              <w:spacing w:line="360" w:lineRule="auto"/>
              <w:jc w:val="center"/>
              <w:rPr>
                <w:rFonts w:hint="eastAsia" w:ascii="仿宋" w:hAnsi="仿宋" w:eastAsia="仿宋" w:cs="仿宋"/>
                <w:color w:val="auto"/>
                <w:kern w:val="0"/>
                <w:sz w:val="24"/>
                <w:szCs w:val="24"/>
                <w:highlight w:val="none"/>
                <w:lang w:val="en-US" w:eastAsia="zh-CN" w:bidi="ar-SA"/>
              </w:rPr>
            </w:pPr>
          </w:p>
        </w:tc>
        <w:tc>
          <w:tcPr>
            <w:tcW w:w="735" w:type="dxa"/>
            <w:noWrap w:val="0"/>
            <w:vAlign w:val="top"/>
          </w:tcPr>
          <w:p w14:paraId="781424D0">
            <w:pPr>
              <w:snapToGrid w:val="0"/>
              <w:spacing w:line="360" w:lineRule="auto"/>
              <w:jc w:val="center"/>
              <w:rPr>
                <w:rFonts w:hint="eastAsia" w:ascii="仿宋" w:hAnsi="仿宋" w:eastAsia="仿宋" w:cs="仿宋"/>
                <w:color w:val="auto"/>
                <w:kern w:val="0"/>
                <w:sz w:val="24"/>
                <w:szCs w:val="24"/>
                <w:highlight w:val="none"/>
                <w:lang w:val="en-US" w:eastAsia="zh-CN" w:bidi="ar-SA"/>
              </w:rPr>
            </w:pPr>
          </w:p>
        </w:tc>
        <w:tc>
          <w:tcPr>
            <w:tcW w:w="1095" w:type="dxa"/>
            <w:noWrap w:val="0"/>
            <w:vAlign w:val="center"/>
          </w:tcPr>
          <w:p w14:paraId="3FA5A9EB">
            <w:pPr>
              <w:snapToGrid w:val="0"/>
              <w:spacing w:line="360" w:lineRule="auto"/>
              <w:jc w:val="center"/>
              <w:rPr>
                <w:rFonts w:hint="eastAsia" w:ascii="仿宋" w:hAnsi="仿宋" w:eastAsia="仿宋" w:cs="仿宋"/>
                <w:color w:val="auto"/>
                <w:kern w:val="0"/>
                <w:sz w:val="24"/>
                <w:szCs w:val="24"/>
                <w:highlight w:val="none"/>
                <w:lang w:val="en-US" w:eastAsia="zh-CN" w:bidi="ar-SA"/>
              </w:rPr>
            </w:pPr>
          </w:p>
        </w:tc>
        <w:tc>
          <w:tcPr>
            <w:tcW w:w="1145" w:type="dxa"/>
            <w:noWrap w:val="0"/>
            <w:vAlign w:val="center"/>
          </w:tcPr>
          <w:p w14:paraId="1AC6F005">
            <w:pPr>
              <w:snapToGrid w:val="0"/>
              <w:spacing w:line="360" w:lineRule="auto"/>
              <w:jc w:val="center"/>
              <w:rPr>
                <w:rFonts w:hint="eastAsia" w:ascii="仿宋" w:hAnsi="仿宋" w:eastAsia="仿宋" w:cs="仿宋"/>
                <w:color w:val="auto"/>
                <w:kern w:val="0"/>
                <w:sz w:val="24"/>
                <w:szCs w:val="24"/>
                <w:highlight w:val="none"/>
                <w:lang w:val="en-US" w:eastAsia="zh-CN" w:bidi="ar-SA"/>
              </w:rPr>
            </w:pPr>
          </w:p>
        </w:tc>
      </w:tr>
      <w:tr w14:paraId="20202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6" w:type="dxa"/>
            <w:gridSpan w:val="9"/>
            <w:noWrap w:val="0"/>
            <w:vAlign w:val="center"/>
          </w:tcPr>
          <w:p w14:paraId="6AF33C98">
            <w:pPr>
              <w:snapToGrid w:val="0"/>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人民币合计金额（大写）                   （小写）                 </w:t>
            </w:r>
          </w:p>
        </w:tc>
      </w:tr>
    </w:tbl>
    <w:p w14:paraId="2E221B32">
      <w:pPr>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合同合计金额包括竞标货物（包括备品备件、专用工具等）的价格（包括已在中国境内的进口货物完税后的仓库交货价、展室交货价或者货架交货价），竞标货物运输（含保险）、安装（如有）、调试、检验、技术服务、培训和竞争性谈判文件要求提供的所有伴随服务、工程等费用和税费。</w:t>
      </w:r>
    </w:p>
    <w:p w14:paraId="0B861176">
      <w:pPr>
        <w:keepNext w:val="0"/>
        <w:keepLines w:val="0"/>
        <w:pageBreakBefore w:val="0"/>
        <w:kinsoku/>
        <w:wordWrap/>
        <w:overflowPunct/>
        <w:topLinePunct w:val="0"/>
        <w:bidi w:val="0"/>
        <w:adjustRightInd/>
        <w:snapToGrid w:val="0"/>
        <w:spacing w:line="360" w:lineRule="auto"/>
        <w:ind w:left="0" w:leftChars="0" w:right="0" w:firstLine="482" w:firstLineChars="200"/>
        <w:jc w:val="both"/>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第二条　质量要求</w:t>
      </w:r>
    </w:p>
    <w:p w14:paraId="7DFBBEC1">
      <w:pPr>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1.乙方所提供的产品名称、商标品牌、生产厂家、规格型号、技术参数等质量必须与竞争性谈判文件规定及响应文件承诺相一致。乙方提供的节能和环保产品必须是列入政府采购品目清单的产品。</w:t>
      </w:r>
    </w:p>
    <w:p w14:paraId="7AC4CFA3">
      <w:pPr>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2.乙方所提供的货物必须是全新、未使用的原装产品，且在正常安装、使用和保养条件下，其使用寿命期内各项指标均达到竞争性谈判文件规定或者响应文件承诺的质量要求。</w:t>
      </w:r>
    </w:p>
    <w:p w14:paraId="18D1BB09">
      <w:pPr>
        <w:keepNext w:val="0"/>
        <w:keepLines w:val="0"/>
        <w:pageBreakBefore w:val="0"/>
        <w:kinsoku/>
        <w:wordWrap/>
        <w:overflowPunct/>
        <w:topLinePunct w:val="0"/>
        <w:bidi w:val="0"/>
        <w:adjustRightInd/>
        <w:snapToGrid w:val="0"/>
        <w:spacing w:line="360" w:lineRule="auto"/>
        <w:ind w:left="0" w:leftChars="0" w:right="0" w:firstLine="482" w:firstLineChars="200"/>
        <w:jc w:val="both"/>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第三条　权利保证</w:t>
      </w:r>
    </w:p>
    <w:p w14:paraId="269AD6F3">
      <w:pPr>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1.乙方应保证所提供货物在使用时不会侵犯任何第三方的专利权、商标权、工业设计权或者其他权利。</w:t>
      </w:r>
    </w:p>
    <w:p w14:paraId="127A7758">
      <w:pPr>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2.乙方应按竞争性谈判文件规定或者响应文件承诺的时间向甲方提供使用货物的有关技术资料。</w:t>
      </w:r>
    </w:p>
    <w:p w14:paraId="097F0BE9">
      <w:pPr>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27C2138F">
      <w:pPr>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4.乙方保证将要交付的货物的所有权完全属于乙方且无任何抵押、质押、查封等产权瑕疵。</w:t>
      </w:r>
    </w:p>
    <w:p w14:paraId="043367B9">
      <w:pPr>
        <w:keepNext w:val="0"/>
        <w:keepLines w:val="0"/>
        <w:pageBreakBefore w:val="0"/>
        <w:kinsoku/>
        <w:wordWrap/>
        <w:overflowPunct/>
        <w:topLinePunct w:val="0"/>
        <w:bidi w:val="0"/>
        <w:adjustRightInd/>
        <w:snapToGrid w:val="0"/>
        <w:spacing w:line="360" w:lineRule="auto"/>
        <w:ind w:left="0" w:leftChars="0" w:right="0" w:firstLine="482" w:firstLineChars="200"/>
        <w:jc w:val="both"/>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第四条　包装和运输</w:t>
      </w:r>
    </w:p>
    <w:p w14:paraId="5B5C2223">
      <w:pPr>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1.乙方提供的货物均应按竞争性谈判文件规定或者响应文件承诺的要求的包装材料、包装标准、包装方式进行包装，每一包装单元内应附详细的装箱单和质量合格证。</w:t>
      </w:r>
    </w:p>
    <w:p w14:paraId="67FC1901">
      <w:pPr>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2.货物的运输方式：             。</w:t>
      </w:r>
    </w:p>
    <w:p w14:paraId="416FFB15">
      <w:pPr>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3.乙方负责货物运输，货物运输合理损耗及计算方法：</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 xml:space="preserve"> 。</w:t>
      </w:r>
    </w:p>
    <w:p w14:paraId="27CB33F5">
      <w:pPr>
        <w:keepNext w:val="0"/>
        <w:keepLines w:val="0"/>
        <w:pageBreakBefore w:val="0"/>
        <w:kinsoku/>
        <w:wordWrap/>
        <w:overflowPunct/>
        <w:topLinePunct w:val="0"/>
        <w:bidi w:val="0"/>
        <w:adjustRightInd/>
        <w:snapToGrid w:val="0"/>
        <w:spacing w:line="360" w:lineRule="auto"/>
        <w:ind w:left="0" w:leftChars="0" w:right="0" w:firstLine="482" w:firstLineChars="200"/>
        <w:jc w:val="both"/>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第五条　交付和验收</w:t>
      </w:r>
    </w:p>
    <w:p w14:paraId="6C690B91">
      <w:pPr>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1.交付时间：</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；交付地点：</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 xml:space="preserve"> 。</w:t>
      </w:r>
    </w:p>
    <w:p w14:paraId="218B4CA8">
      <w:pPr>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2.乙方提供不符合竞争性谈判文件规定或者响应文件承诺的和本合同规定的货物，甲方有权拒绝接受。</w:t>
      </w:r>
    </w:p>
    <w:p w14:paraId="23CB0F39">
      <w:pPr>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0C8AFC30">
      <w:pPr>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4.甲方应当在到货（安装、调试完）后七个工作日内进行验收，逾期不验收的，乙方可视同验收合格。验收合格后由甲乙双方签署货物验收单并加盖甲方公章，甲乙双方各执一份。</w:t>
      </w:r>
    </w:p>
    <w:p w14:paraId="6D8A3F97">
      <w:pPr>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5FB51501">
      <w:pPr>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6.甲方对验收有异议的，在验收后五个工作日内以书面形式向乙方提出，乙方应自收到甲方书面异议后</w:t>
      </w:r>
      <w:r>
        <w:rPr>
          <w:rFonts w:hint="eastAsia" w:ascii="仿宋" w:hAnsi="仿宋" w:eastAsia="仿宋" w:cs="仿宋"/>
          <w:color w:val="auto"/>
          <w:kern w:val="0"/>
          <w:sz w:val="24"/>
          <w:szCs w:val="24"/>
          <w:highlight w:val="none"/>
          <w:u w:val="single"/>
          <w:lang w:val="en-US" w:eastAsia="zh-CN" w:bidi="ar-SA"/>
        </w:rPr>
        <w:t xml:space="preserve">    日</w:t>
      </w:r>
      <w:r>
        <w:rPr>
          <w:rFonts w:hint="eastAsia" w:ascii="仿宋" w:hAnsi="仿宋" w:eastAsia="仿宋" w:cs="仿宋"/>
          <w:color w:val="auto"/>
          <w:kern w:val="0"/>
          <w:sz w:val="24"/>
          <w:szCs w:val="24"/>
          <w:highlight w:val="none"/>
          <w:lang w:val="en-US" w:eastAsia="zh-CN" w:bidi="ar-SA"/>
        </w:rPr>
        <w:t>内及时予以解决。</w:t>
      </w:r>
    </w:p>
    <w:p w14:paraId="43558929">
      <w:pPr>
        <w:keepNext w:val="0"/>
        <w:keepLines w:val="0"/>
        <w:pageBreakBefore w:val="0"/>
        <w:kinsoku/>
        <w:wordWrap/>
        <w:overflowPunct/>
        <w:topLinePunct w:val="0"/>
        <w:bidi w:val="0"/>
        <w:adjustRightInd/>
        <w:snapToGrid w:val="0"/>
        <w:spacing w:line="360" w:lineRule="auto"/>
        <w:ind w:left="0" w:leftChars="0" w:right="0" w:firstLine="482" w:firstLineChars="200"/>
        <w:jc w:val="both"/>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第六条　安装和培训</w:t>
      </w:r>
    </w:p>
    <w:p w14:paraId="2B258442">
      <w:pPr>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1.甲方应提供必要安装条件（如场地、电源、水源等）。</w:t>
      </w:r>
    </w:p>
    <w:p w14:paraId="69590B51">
      <w:pPr>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2.乙方响应文件承诺负责甲方有关人员的培训。培训时间、地点：                   。</w:t>
      </w:r>
    </w:p>
    <w:p w14:paraId="5709D966">
      <w:pPr>
        <w:keepNext w:val="0"/>
        <w:keepLines w:val="0"/>
        <w:pageBreakBefore w:val="0"/>
        <w:kinsoku/>
        <w:wordWrap/>
        <w:overflowPunct/>
        <w:topLinePunct w:val="0"/>
        <w:bidi w:val="0"/>
        <w:adjustRightInd/>
        <w:snapToGrid w:val="0"/>
        <w:spacing w:line="360" w:lineRule="auto"/>
        <w:ind w:left="0" w:leftChars="0" w:right="0" w:firstLine="482" w:firstLineChars="200"/>
        <w:jc w:val="both"/>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第七条  售后服务、保修期</w:t>
      </w:r>
    </w:p>
    <w:p w14:paraId="5B2B2536">
      <w:pPr>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1.乙方应按照国家有关法律法规和“三包”规定以及本合同所附的《服务承诺》，为甲方提供售后服务。</w:t>
      </w:r>
    </w:p>
    <w:p w14:paraId="25151E4A">
      <w:pPr>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2.货物保修期：               。</w:t>
      </w:r>
    </w:p>
    <w:p w14:paraId="2C6A25BA">
      <w:pPr>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3.乙方提供的服务承诺和售后服务及保修期责任等其它具体约定事项。（见合同附件）</w:t>
      </w:r>
    </w:p>
    <w:p w14:paraId="285430F6">
      <w:pPr>
        <w:keepNext w:val="0"/>
        <w:keepLines w:val="0"/>
        <w:pageBreakBefore w:val="0"/>
        <w:kinsoku/>
        <w:wordWrap/>
        <w:overflowPunct/>
        <w:topLinePunct w:val="0"/>
        <w:bidi w:val="0"/>
        <w:adjustRightInd/>
        <w:snapToGrid w:val="0"/>
        <w:spacing w:line="360" w:lineRule="auto"/>
        <w:ind w:left="0" w:leftChars="0" w:right="0" w:firstLine="482" w:firstLineChars="200"/>
        <w:jc w:val="both"/>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第八条　付款方式</w:t>
      </w:r>
    </w:p>
    <w:p w14:paraId="284C8C5D">
      <w:pPr>
        <w:pStyle w:val="98"/>
        <w:keepNext w:val="0"/>
        <w:keepLines w:val="0"/>
        <w:pageBreakBefore w:val="0"/>
        <w:kinsoku/>
        <w:wordWrap/>
        <w:overflowPunct/>
        <w:topLinePunct w:val="0"/>
        <w:bidi w:val="0"/>
        <w:adjustRightInd/>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本项目无预付款。经采购人安装调试通过验收后，采购人收到发票30日内支付合同总额的100%支付成交供应商。</w:t>
      </w:r>
    </w:p>
    <w:p w14:paraId="23CB0EF6">
      <w:pPr>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合同签署的成交供应商名称及发票开具单位与收款单位必须一致，在合同执行过程中，成交供应商不得以其他不正当理由要求调整发票开具单位或收款单位，否则视为成交供应商违约。</w:t>
      </w:r>
    </w:p>
    <w:p w14:paraId="5FC6E3F1">
      <w:pPr>
        <w:keepNext w:val="0"/>
        <w:keepLines w:val="0"/>
        <w:pageBreakBefore w:val="0"/>
        <w:kinsoku/>
        <w:wordWrap/>
        <w:overflowPunct/>
        <w:topLinePunct w:val="0"/>
        <w:bidi w:val="0"/>
        <w:adjustRightInd/>
        <w:snapToGrid w:val="0"/>
        <w:spacing w:line="360" w:lineRule="auto"/>
        <w:ind w:left="0" w:leftChars="0" w:right="0" w:firstLine="482" w:firstLineChars="200"/>
        <w:jc w:val="both"/>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第九条　履约保证金</w:t>
      </w:r>
    </w:p>
    <w:p w14:paraId="365DEFF8">
      <w:pPr>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无</w:t>
      </w:r>
    </w:p>
    <w:p w14:paraId="1ED7C9E1">
      <w:pPr>
        <w:keepNext w:val="0"/>
        <w:keepLines w:val="0"/>
        <w:pageBreakBefore w:val="0"/>
        <w:kinsoku/>
        <w:wordWrap/>
        <w:overflowPunct/>
        <w:topLinePunct w:val="0"/>
        <w:bidi w:val="0"/>
        <w:adjustRightInd/>
        <w:snapToGrid w:val="0"/>
        <w:spacing w:line="360" w:lineRule="auto"/>
        <w:ind w:left="0" w:leftChars="0" w:right="0" w:firstLine="482" w:firstLineChars="200"/>
        <w:jc w:val="both"/>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第十条  税费</w:t>
      </w:r>
    </w:p>
    <w:p w14:paraId="4A6DC329">
      <w:pPr>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本合同执行中相关的一切税费均由乙方负担，合同另有约定的除外。</w:t>
      </w:r>
    </w:p>
    <w:p w14:paraId="25E6CBBC">
      <w:pPr>
        <w:keepNext w:val="0"/>
        <w:keepLines w:val="0"/>
        <w:pageBreakBefore w:val="0"/>
        <w:kinsoku/>
        <w:wordWrap/>
        <w:overflowPunct/>
        <w:topLinePunct w:val="0"/>
        <w:bidi w:val="0"/>
        <w:adjustRightInd/>
        <w:snapToGrid w:val="0"/>
        <w:spacing w:line="360" w:lineRule="auto"/>
        <w:ind w:left="0" w:leftChars="0" w:right="0" w:firstLine="482" w:firstLineChars="200"/>
        <w:jc w:val="both"/>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第十一条  质量保证及售后服务</w:t>
      </w:r>
    </w:p>
    <w:p w14:paraId="1F4EDFA8">
      <w:pPr>
        <w:pStyle w:val="18"/>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1.乙方应按竞争性谈判文件规定的产品名称、商标品牌、生产厂家、规格型号、技术参数、质量标准向甲方提供未经使用的全新产品。不符合要求的，根据实际情况，经双方协商，可按以下办法处理：</w:t>
      </w:r>
    </w:p>
    <w:p w14:paraId="3DB73E10">
      <w:pPr>
        <w:pStyle w:val="18"/>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⑴更换：由乙方承担所发生的全部费用。</w:t>
      </w:r>
    </w:p>
    <w:p w14:paraId="4DADE491">
      <w:pPr>
        <w:pStyle w:val="18"/>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⑵贬值处理：由甲乙双方合议定价。</w:t>
      </w:r>
    </w:p>
    <w:p w14:paraId="58BD3E71">
      <w:pPr>
        <w:pStyle w:val="18"/>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⑶退货处理：乙方应退还甲方支付的合同款，同时应承担该货物的直接费用（运输、保险、检验、货款利息及银行手续费等）。</w:t>
      </w:r>
    </w:p>
    <w:p w14:paraId="359C6418">
      <w:pPr>
        <w:pStyle w:val="18"/>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2.如在使用过程中发生质量问题，乙方在接到甲方通知后到达甲方现场处理的时间（按响应文件承诺的数据填写）小时内。</w:t>
      </w:r>
    </w:p>
    <w:p w14:paraId="0E31C838">
      <w:pPr>
        <w:pStyle w:val="18"/>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3.在保修期内，乙方应对货物出现的质量及安全问题负责处理解决并承担一切费用。</w:t>
      </w:r>
    </w:p>
    <w:p w14:paraId="29CD9EBF">
      <w:pPr>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4.上述的货物保修期为</w:t>
      </w:r>
      <w:r>
        <w:rPr>
          <w:rFonts w:hint="eastAsia" w:ascii="仿宋" w:hAnsi="仿宋" w:eastAsia="仿宋" w:cs="仿宋"/>
          <w:color w:val="auto"/>
          <w:kern w:val="0"/>
          <w:sz w:val="24"/>
          <w:szCs w:val="24"/>
          <w:highlight w:val="none"/>
          <w:u w:val="single"/>
          <w:lang w:val="en-US" w:eastAsia="zh-CN" w:bidi="ar-SA"/>
        </w:rPr>
        <w:t xml:space="preserve">     年</w:t>
      </w:r>
      <w:r>
        <w:rPr>
          <w:rFonts w:hint="eastAsia" w:ascii="仿宋" w:hAnsi="仿宋" w:eastAsia="仿宋" w:cs="仿宋"/>
          <w:color w:val="auto"/>
          <w:kern w:val="0"/>
          <w:sz w:val="24"/>
          <w:szCs w:val="24"/>
          <w:highlight w:val="none"/>
          <w:lang w:val="en-US" w:eastAsia="zh-CN" w:bidi="ar-SA"/>
        </w:rPr>
        <w:t>，因人为因素出现的故障不在免费保修范围内。超过保修期的机器设备，终生维修，维修时只收部件成本费。</w:t>
      </w:r>
    </w:p>
    <w:p w14:paraId="0C98597B">
      <w:pPr>
        <w:keepNext w:val="0"/>
        <w:keepLines w:val="0"/>
        <w:pageBreakBefore w:val="0"/>
        <w:kinsoku/>
        <w:wordWrap/>
        <w:overflowPunct/>
        <w:topLinePunct w:val="0"/>
        <w:bidi w:val="0"/>
        <w:adjustRightInd/>
        <w:snapToGrid w:val="0"/>
        <w:spacing w:line="360" w:lineRule="auto"/>
        <w:ind w:left="0" w:leftChars="0" w:right="0" w:firstLine="482" w:firstLineChars="200"/>
        <w:jc w:val="both"/>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第十二条  调试和验收（本条款适用于甲方自行验收，委托第三方验收的另行规定）</w:t>
      </w:r>
    </w:p>
    <w:p w14:paraId="6B7C3F98">
      <w:pPr>
        <w:pStyle w:val="18"/>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甲方对乙方提交的货物依据竞争性谈判文件上的技术规格要求和国家有关质量标准进行现场初步验收，外观、说明书符合竞争性谈判文件技术要求的，给予签收，初步验收不合格的不予签收。货到后，甲方应当在到货（安装、调试完）后七个工作日内进行验收。</w:t>
      </w:r>
    </w:p>
    <w:p w14:paraId="15EEAB83">
      <w:pPr>
        <w:pStyle w:val="18"/>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2.乙方交货前应对产品作出全面检查和对验收文件进行整理，并列出清单，作为甲方收货验收和使用的技术条件依据，检验的结果应随货物交甲方。</w:t>
      </w:r>
    </w:p>
    <w:p w14:paraId="2B402378">
      <w:pPr>
        <w:pStyle w:val="18"/>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3.甲方对乙方提供的货物在使用前进行调试时，乙方需负责安装并培训甲方的使用操作人员，并协助甲方一起调试，直到符合技术要求，甲方才做最终验收。</w:t>
      </w:r>
    </w:p>
    <w:p w14:paraId="399F6DA6">
      <w:pPr>
        <w:pStyle w:val="18"/>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4.对技术复杂的货物，甲方应请国家认可的专业检测机构参与初步验收及最终验收，并由其出具质量检测报告。</w:t>
      </w:r>
    </w:p>
    <w:p w14:paraId="1F9542A3">
      <w:pPr>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5.验收时乙方必须在现场，验收完毕后作出验收结果报告；验收费用按竞争性谈判文件约定承担方负责。</w:t>
      </w:r>
    </w:p>
    <w:p w14:paraId="54152459">
      <w:pPr>
        <w:pStyle w:val="18"/>
        <w:keepNext w:val="0"/>
        <w:keepLines w:val="0"/>
        <w:pageBreakBefore w:val="0"/>
        <w:kinsoku/>
        <w:wordWrap/>
        <w:overflowPunct/>
        <w:topLinePunct w:val="0"/>
        <w:bidi w:val="0"/>
        <w:adjustRightInd/>
        <w:snapToGrid w:val="0"/>
        <w:spacing w:line="360" w:lineRule="auto"/>
        <w:ind w:left="0" w:leftChars="0" w:right="0" w:firstLine="482" w:firstLineChars="200"/>
        <w:jc w:val="both"/>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第十三条  货物包装、发运及运输</w:t>
      </w:r>
    </w:p>
    <w:p w14:paraId="7C425A4F">
      <w:pPr>
        <w:pStyle w:val="18"/>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1.乙方应在货物发运前对其进行满足运输距离、防潮、防震、防锈和防破损装卸等要求包装，以保证货物安全运达甲方指定地点。</w:t>
      </w:r>
    </w:p>
    <w:p w14:paraId="2A375F54">
      <w:pPr>
        <w:pStyle w:val="18"/>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2.使用说明书（货物属于进口产品的，供货时应同时附上中文使用说明书）、质量检验证明书、随配附件和工具以及清单一并附于货物内。</w:t>
      </w:r>
    </w:p>
    <w:p w14:paraId="319533E8">
      <w:pPr>
        <w:pStyle w:val="18"/>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3.乙方在货物发运手续办理完毕后二十四小时内或者货到甲方四十八小时前通知甲方，以准备接货。</w:t>
      </w:r>
    </w:p>
    <w:p w14:paraId="1163869C">
      <w:pPr>
        <w:pStyle w:val="18"/>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4.货物在交付甲方前发生的风险均由乙方负责。</w:t>
      </w:r>
    </w:p>
    <w:p w14:paraId="38E05577">
      <w:pPr>
        <w:pStyle w:val="18"/>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5.货物在规定的交付期限内由乙方送达甲方指定的地点视为交付，乙方同时需通知甲方货物已送达。</w:t>
      </w:r>
    </w:p>
    <w:p w14:paraId="6E0A3906">
      <w:pPr>
        <w:keepNext w:val="0"/>
        <w:keepLines w:val="0"/>
        <w:pageBreakBefore w:val="0"/>
        <w:kinsoku/>
        <w:wordWrap/>
        <w:overflowPunct/>
        <w:topLinePunct w:val="0"/>
        <w:bidi w:val="0"/>
        <w:adjustRightInd/>
        <w:snapToGrid w:val="0"/>
        <w:spacing w:line="360" w:lineRule="auto"/>
        <w:ind w:left="0" w:leftChars="0" w:right="0" w:firstLine="482" w:firstLineChars="200"/>
        <w:jc w:val="both"/>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第十四条　违约责任</w:t>
      </w:r>
    </w:p>
    <w:p w14:paraId="6CD57895">
      <w:pPr>
        <w:pStyle w:val="18"/>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14:paraId="42EBFA0B">
      <w:pPr>
        <w:pStyle w:val="18"/>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2.乙方提供的货物如侵犯了第三方合法权益而引发的任何纠纷或者诉讼，均由乙方负责交涉并承担全部责任。</w:t>
      </w:r>
    </w:p>
    <w:p w14:paraId="01992B6E">
      <w:pPr>
        <w:pStyle w:val="18"/>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3.因包装、运输引起的货物损坏，按质量不合格处罚。</w:t>
      </w:r>
    </w:p>
    <w:p w14:paraId="1C50887B">
      <w:pPr>
        <w:pStyle w:val="18"/>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4.甲方无故延期接收货物、乙方逾期交货的，每天向对方偿付违约货款额3‰违约金，但违约金累计不得超过违约货款额5%，超过   天对方有权解除合同，违约方承担因此给对方造成经济损失；甲方延期付货款的，每天向乙方偿付延期货款额3‰滞纳金，但滞纳金累计不得超过延期货款额5%。</w:t>
      </w:r>
    </w:p>
    <w:p w14:paraId="4B2D02ED">
      <w:pPr>
        <w:pStyle w:val="18"/>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5.乙方未按本合同和响应文件中规定的服务承诺提供售后服务的，乙方应按本合同合计金额 5%向甲方支付违约金。</w:t>
      </w:r>
    </w:p>
    <w:p w14:paraId="6807AE30">
      <w:pPr>
        <w:pStyle w:val="18"/>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6.乙方提供的货物在保修期内，因设计、工艺或者材料的缺陷和其它质量原因造成的问题，由乙方负责，费用从余款中扣除或另付，不足另补。</w:t>
      </w:r>
    </w:p>
    <w:p w14:paraId="27A8C82A">
      <w:pPr>
        <w:pStyle w:val="18"/>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7.甲乙双方有其它违约行为的，由违约方向对方支付违约内容涉及货款额的5%，违约内容涉及货款额的5%不足以赔偿经济损失的按实际赔偿。</w:t>
      </w:r>
    </w:p>
    <w:p w14:paraId="215B5C3A">
      <w:pPr>
        <w:pStyle w:val="18"/>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在产品验收合格之日起保修期内，如乙方未按合同第七条、第十一条的约定履行售后服务，甲方可以自行委托第三方来维护或提供售后服务，所产生的维护费用、售后服务费用由乙方承担，同时，乙方按照合同价款的10%向甲方支付违约金。</w:t>
      </w:r>
    </w:p>
    <w:p w14:paraId="1DE2792C">
      <w:pPr>
        <w:pStyle w:val="18"/>
        <w:keepNext w:val="0"/>
        <w:keepLines w:val="0"/>
        <w:pageBreakBefore w:val="0"/>
        <w:kinsoku/>
        <w:wordWrap/>
        <w:overflowPunct/>
        <w:topLinePunct w:val="0"/>
        <w:bidi w:val="0"/>
        <w:adjustRightInd/>
        <w:snapToGrid w:val="0"/>
        <w:spacing w:line="360" w:lineRule="auto"/>
        <w:ind w:left="0" w:leftChars="0" w:right="0" w:firstLine="482" w:firstLineChars="200"/>
        <w:jc w:val="both"/>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第十五条  不可抗力事件处理</w:t>
      </w:r>
    </w:p>
    <w:p w14:paraId="70FA0B36">
      <w:pPr>
        <w:pStyle w:val="18"/>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1.在合同有效期内，任何一方因不可抗力事件导致不能履行合同，则合同履行期可延长，其延长期与不可抗力影响期相同。</w:t>
      </w:r>
    </w:p>
    <w:p w14:paraId="39D7922F">
      <w:pPr>
        <w:pStyle w:val="18"/>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2.不可抗力事件发生后，应立即通知对方，并寄送有关权威机构出具的证明。</w:t>
      </w:r>
    </w:p>
    <w:p w14:paraId="7F342DDB">
      <w:pPr>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3.不可抗力事件延续一百二十天以上，双方应通过友好协商，确定是否继续履行合同。</w:t>
      </w:r>
    </w:p>
    <w:p w14:paraId="4E8E06F8">
      <w:pPr>
        <w:keepNext w:val="0"/>
        <w:keepLines w:val="0"/>
        <w:pageBreakBefore w:val="0"/>
        <w:kinsoku/>
        <w:wordWrap/>
        <w:overflowPunct/>
        <w:topLinePunct w:val="0"/>
        <w:bidi w:val="0"/>
        <w:adjustRightInd/>
        <w:snapToGrid w:val="0"/>
        <w:spacing w:line="360" w:lineRule="auto"/>
        <w:ind w:left="0" w:leftChars="0" w:right="0" w:firstLine="482" w:firstLineChars="200"/>
        <w:jc w:val="both"/>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第十六条  合同争议解决</w:t>
      </w:r>
    </w:p>
    <w:p w14:paraId="7B2BE9AE">
      <w:pPr>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1.因货物质量问题发生争议的，应邀请国家认可的质量检测机构对货物质量进行鉴定。货物符合标准的，鉴定费由甲方承担；货物不符合标准的，鉴定费由乙方承担。</w:t>
      </w:r>
    </w:p>
    <w:p w14:paraId="46322B22">
      <w:pPr>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2.因履行本合同引起的或者与本合同有关的争议，甲乙双方应首先通过友好协商解决，如果协商不能解决，可向甲方所在地人民法院提起诉讼。</w:t>
      </w:r>
    </w:p>
    <w:p w14:paraId="79907613">
      <w:pPr>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3.诉讼期间，本合同继续履行。</w:t>
      </w:r>
    </w:p>
    <w:p w14:paraId="0A8215DB">
      <w:pPr>
        <w:pStyle w:val="18"/>
        <w:keepNext w:val="0"/>
        <w:keepLines w:val="0"/>
        <w:pageBreakBefore w:val="0"/>
        <w:kinsoku/>
        <w:wordWrap/>
        <w:overflowPunct/>
        <w:topLinePunct w:val="0"/>
        <w:bidi w:val="0"/>
        <w:adjustRightInd/>
        <w:snapToGrid w:val="0"/>
        <w:spacing w:line="360" w:lineRule="auto"/>
        <w:ind w:left="0" w:leftChars="0" w:right="0" w:firstLine="482" w:firstLineChars="200"/>
        <w:jc w:val="both"/>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第十七条  合同生效及其它</w:t>
      </w:r>
    </w:p>
    <w:p w14:paraId="0C2EA24F">
      <w:pPr>
        <w:pStyle w:val="18"/>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 合同经双方法定代表人或者委托代理人签字并加盖单位公章后生效（委托代理人签字的需后附授权委托书，格式自拟）。</w:t>
      </w:r>
    </w:p>
    <w:p w14:paraId="3398BB8C">
      <w:pPr>
        <w:pStyle w:val="18"/>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2.合同执行中涉及采购资金和采购内容修改或者补充的，须经财政部门审批，并签书面补充协议报财政部门备案，方可作为主合同不可分割的一部分。</w:t>
      </w:r>
    </w:p>
    <w:p w14:paraId="3F9909A5">
      <w:pPr>
        <w:pStyle w:val="18"/>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3.本合同未尽事宜，遵照《中华人民共和国民法典》有关条文执行。</w:t>
      </w:r>
    </w:p>
    <w:p w14:paraId="575F5A88">
      <w:pPr>
        <w:keepNext w:val="0"/>
        <w:keepLines w:val="0"/>
        <w:pageBreakBefore w:val="0"/>
        <w:kinsoku/>
        <w:wordWrap/>
        <w:overflowPunct/>
        <w:topLinePunct w:val="0"/>
        <w:bidi w:val="0"/>
        <w:adjustRightInd/>
        <w:snapToGrid w:val="0"/>
        <w:spacing w:line="360" w:lineRule="auto"/>
        <w:ind w:left="0" w:leftChars="0" w:right="0" w:firstLine="482" w:firstLineChars="200"/>
        <w:jc w:val="both"/>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第十八条　合同的变更、终止与转让</w:t>
      </w:r>
    </w:p>
    <w:p w14:paraId="58EABE43">
      <w:pPr>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1.除《中华人民共和国政府采购法》第五十条规定的情形外，本合同一经签订，甲乙双方不得擅自变更、中止或者终止。</w:t>
      </w:r>
    </w:p>
    <w:p w14:paraId="47827B8B">
      <w:pPr>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2.乙方不得擅自转让（无进口资格的供应商委托进口货物除外）其应履行的合同义务。</w:t>
      </w:r>
    </w:p>
    <w:p w14:paraId="1BD13BBC">
      <w:pPr>
        <w:keepNext w:val="0"/>
        <w:keepLines w:val="0"/>
        <w:pageBreakBefore w:val="0"/>
        <w:kinsoku/>
        <w:wordWrap/>
        <w:overflowPunct/>
        <w:topLinePunct w:val="0"/>
        <w:bidi w:val="0"/>
        <w:adjustRightInd/>
        <w:snapToGrid w:val="0"/>
        <w:spacing w:line="360" w:lineRule="auto"/>
        <w:ind w:left="0" w:leftChars="0" w:right="0" w:firstLine="482" w:firstLineChars="200"/>
        <w:jc w:val="both"/>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第十九条　本合同书与下列文件一起构成合同文件</w:t>
      </w:r>
    </w:p>
    <w:p w14:paraId="1F3DB487">
      <w:pPr>
        <w:pStyle w:val="18"/>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1.成交通知书；</w:t>
      </w:r>
    </w:p>
    <w:p w14:paraId="54B49772">
      <w:pPr>
        <w:pStyle w:val="18"/>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2.竞标声明书；</w:t>
      </w:r>
    </w:p>
    <w:p w14:paraId="6F691E66">
      <w:pPr>
        <w:pStyle w:val="18"/>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3.商务要求偏离表和技术要求偏离表；</w:t>
      </w:r>
    </w:p>
    <w:p w14:paraId="2E8819AF">
      <w:pPr>
        <w:pStyle w:val="18"/>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4.采购需求；</w:t>
      </w:r>
    </w:p>
    <w:p w14:paraId="1F7A683B">
      <w:pPr>
        <w:pStyle w:val="18"/>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5.竞标报价表；</w:t>
      </w:r>
    </w:p>
    <w:p w14:paraId="3699BB31">
      <w:pPr>
        <w:pStyle w:val="18"/>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6.其他合同文件。</w:t>
      </w:r>
    </w:p>
    <w:p w14:paraId="608E0615">
      <w:pPr>
        <w:pStyle w:val="18"/>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7.上述合同文件互相补充和解释。如果合同文件之间存在矛盾或者不一致之处，以上述文件的排列顺序在先者为准。</w:t>
      </w:r>
    </w:p>
    <w:p w14:paraId="1BB8C9C6">
      <w:pPr>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第二十条　本合同一式四份，具有同等法律效力，财政部门（政府采购监管部门）、采购代理机构各一份，甲乙双方各一份（可根据需要另增加）。</w:t>
      </w:r>
    </w:p>
    <w:p w14:paraId="658E0C3C">
      <w:pPr>
        <w:keepNext w:val="0"/>
        <w:keepLines w:val="0"/>
        <w:pageBreakBefore w:val="0"/>
        <w:kinsoku/>
        <w:wordWrap/>
        <w:overflowPunct/>
        <w:topLinePunct w:val="0"/>
        <w:bidi w:val="0"/>
        <w:adjustRightInd/>
        <w:snapToGrid w:val="0"/>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本合同甲乙双方签字盖章后生效，自签订之日起七个工作日内，甲方应当将合同副本报同级财政部门备案。</w:t>
      </w:r>
    </w:p>
    <w:p w14:paraId="015DA950">
      <w:pPr>
        <w:keepNext w:val="0"/>
        <w:keepLines w:val="0"/>
        <w:pageBreakBefore w:val="0"/>
        <w:kinsoku/>
        <w:wordWrap/>
        <w:overflowPunct/>
        <w:topLinePunct w:val="0"/>
        <w:bidi w:val="0"/>
        <w:adjustRightInd/>
        <w:spacing w:line="360" w:lineRule="auto"/>
        <w:ind w:left="0" w:leftChars="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本合同自签订之日起2个工作日内，甲方应当将采购合同在广西壮族自治区财政厅指定的媒体上公告。</w:t>
      </w:r>
    </w:p>
    <w:p w14:paraId="5885BF25">
      <w:pPr>
        <w:snapToGrid w:val="0"/>
        <w:spacing w:line="360" w:lineRule="auto"/>
        <w:ind w:firstLine="480" w:firstLineChars="200"/>
        <w:rPr>
          <w:rFonts w:hint="eastAsia" w:ascii="仿宋" w:hAnsi="仿宋" w:eastAsia="仿宋" w:cs="仿宋"/>
          <w:color w:val="auto"/>
          <w:kern w:val="0"/>
          <w:sz w:val="24"/>
          <w:szCs w:val="24"/>
          <w:highlight w:val="none"/>
          <w:lang w:val="en-US" w:eastAsia="zh-CN" w:bidi="ar-SA"/>
        </w:rPr>
      </w:pPr>
    </w:p>
    <w:p w14:paraId="14C6500F">
      <w:pPr>
        <w:snapToGrid w:val="0"/>
        <w:spacing w:line="360" w:lineRule="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1F8ED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noWrap w:val="0"/>
            <w:vAlign w:val="center"/>
          </w:tcPr>
          <w:p w14:paraId="5F53BE44">
            <w:pPr>
              <w:snapToGrid w:val="0"/>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甲方（章）           </w:t>
            </w:r>
          </w:p>
          <w:p w14:paraId="000694D4">
            <w:pPr>
              <w:snapToGrid w:val="0"/>
              <w:spacing w:line="360" w:lineRule="auto"/>
              <w:rPr>
                <w:rFonts w:hint="eastAsia" w:ascii="仿宋" w:hAnsi="仿宋" w:eastAsia="仿宋" w:cs="仿宋"/>
                <w:color w:val="auto"/>
                <w:kern w:val="0"/>
                <w:sz w:val="24"/>
                <w:szCs w:val="24"/>
                <w:highlight w:val="none"/>
                <w:lang w:val="en-US" w:eastAsia="zh-CN" w:bidi="ar-SA"/>
              </w:rPr>
            </w:pPr>
          </w:p>
          <w:p w14:paraId="680282BA">
            <w:pPr>
              <w:snapToGrid w:val="0"/>
              <w:spacing w:line="360" w:lineRule="auto"/>
              <w:ind w:firstLine="1080" w:firstLineChars="450"/>
              <w:jc w:val="righ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年   月   日</w:t>
            </w:r>
          </w:p>
        </w:tc>
        <w:tc>
          <w:tcPr>
            <w:tcW w:w="4517" w:type="dxa"/>
            <w:noWrap w:val="0"/>
            <w:vAlign w:val="center"/>
          </w:tcPr>
          <w:p w14:paraId="067A6BBF">
            <w:pPr>
              <w:snapToGrid w:val="0"/>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乙方（章）              </w:t>
            </w:r>
          </w:p>
          <w:p w14:paraId="69650D8B">
            <w:pPr>
              <w:snapToGrid w:val="0"/>
              <w:spacing w:line="360" w:lineRule="auto"/>
              <w:rPr>
                <w:rFonts w:hint="eastAsia" w:ascii="仿宋" w:hAnsi="仿宋" w:eastAsia="仿宋" w:cs="仿宋"/>
                <w:color w:val="auto"/>
                <w:kern w:val="0"/>
                <w:sz w:val="24"/>
                <w:szCs w:val="24"/>
                <w:highlight w:val="none"/>
                <w:lang w:val="en-US" w:eastAsia="zh-CN" w:bidi="ar-SA"/>
              </w:rPr>
            </w:pPr>
          </w:p>
          <w:p w14:paraId="0A217715">
            <w:pPr>
              <w:snapToGrid w:val="0"/>
              <w:spacing w:line="360" w:lineRule="auto"/>
              <w:jc w:val="righ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 年   月   日</w:t>
            </w:r>
          </w:p>
        </w:tc>
      </w:tr>
      <w:tr w14:paraId="509B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noWrap w:val="0"/>
            <w:vAlign w:val="center"/>
          </w:tcPr>
          <w:p w14:paraId="6242886C">
            <w:pPr>
              <w:snapToGrid w:val="0"/>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单位地址：</w:t>
            </w:r>
          </w:p>
        </w:tc>
        <w:tc>
          <w:tcPr>
            <w:tcW w:w="4517" w:type="dxa"/>
            <w:noWrap w:val="0"/>
            <w:vAlign w:val="center"/>
          </w:tcPr>
          <w:p w14:paraId="29637C16">
            <w:pPr>
              <w:snapToGrid w:val="0"/>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单位地址：</w:t>
            </w:r>
          </w:p>
        </w:tc>
      </w:tr>
      <w:tr w14:paraId="19E7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4516" w:type="dxa"/>
            <w:noWrap w:val="0"/>
            <w:vAlign w:val="top"/>
          </w:tcPr>
          <w:p w14:paraId="170C6923">
            <w:pPr>
              <w:snapToGrid w:val="0"/>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法定代表人或者委托代理人：</w:t>
            </w:r>
          </w:p>
        </w:tc>
        <w:tc>
          <w:tcPr>
            <w:tcW w:w="4517" w:type="dxa"/>
            <w:noWrap w:val="0"/>
            <w:vAlign w:val="top"/>
          </w:tcPr>
          <w:p w14:paraId="30413F11">
            <w:pPr>
              <w:snapToGrid w:val="0"/>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法定代表人或者委托代理人：</w:t>
            </w:r>
          </w:p>
        </w:tc>
      </w:tr>
      <w:tr w14:paraId="62438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noWrap w:val="0"/>
            <w:vAlign w:val="center"/>
          </w:tcPr>
          <w:p w14:paraId="5F0EFFD9">
            <w:pPr>
              <w:snapToGrid w:val="0"/>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电话：</w:t>
            </w:r>
          </w:p>
        </w:tc>
        <w:tc>
          <w:tcPr>
            <w:tcW w:w="4517" w:type="dxa"/>
            <w:noWrap w:val="0"/>
            <w:vAlign w:val="center"/>
          </w:tcPr>
          <w:p w14:paraId="68B65F9D">
            <w:pPr>
              <w:snapToGrid w:val="0"/>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电话：</w:t>
            </w:r>
          </w:p>
        </w:tc>
      </w:tr>
      <w:tr w14:paraId="1BF4D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noWrap w:val="0"/>
            <w:vAlign w:val="center"/>
          </w:tcPr>
          <w:p w14:paraId="5CFC1454">
            <w:pPr>
              <w:snapToGrid w:val="0"/>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电子邮箱：</w:t>
            </w:r>
          </w:p>
        </w:tc>
        <w:tc>
          <w:tcPr>
            <w:tcW w:w="4517" w:type="dxa"/>
            <w:noWrap w:val="0"/>
            <w:vAlign w:val="center"/>
          </w:tcPr>
          <w:p w14:paraId="0DF65F10">
            <w:pPr>
              <w:snapToGrid w:val="0"/>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电子邮箱：</w:t>
            </w:r>
          </w:p>
        </w:tc>
      </w:tr>
      <w:tr w14:paraId="49F4B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noWrap w:val="0"/>
            <w:vAlign w:val="center"/>
          </w:tcPr>
          <w:p w14:paraId="231419EE">
            <w:pPr>
              <w:snapToGrid w:val="0"/>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开户银行：</w:t>
            </w:r>
          </w:p>
        </w:tc>
        <w:tc>
          <w:tcPr>
            <w:tcW w:w="4517" w:type="dxa"/>
            <w:noWrap w:val="0"/>
            <w:vAlign w:val="center"/>
          </w:tcPr>
          <w:p w14:paraId="710DF82B">
            <w:pPr>
              <w:snapToGrid w:val="0"/>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开户银行：</w:t>
            </w:r>
          </w:p>
        </w:tc>
      </w:tr>
      <w:tr w14:paraId="54D3F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noWrap w:val="0"/>
            <w:vAlign w:val="center"/>
          </w:tcPr>
          <w:p w14:paraId="781D1206">
            <w:pPr>
              <w:snapToGrid w:val="0"/>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账号：</w:t>
            </w:r>
          </w:p>
        </w:tc>
        <w:tc>
          <w:tcPr>
            <w:tcW w:w="4517" w:type="dxa"/>
            <w:noWrap w:val="0"/>
            <w:vAlign w:val="center"/>
          </w:tcPr>
          <w:p w14:paraId="3482881C">
            <w:pPr>
              <w:snapToGrid w:val="0"/>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账号：</w:t>
            </w:r>
          </w:p>
        </w:tc>
      </w:tr>
      <w:tr w14:paraId="72EF6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noWrap w:val="0"/>
            <w:vAlign w:val="center"/>
          </w:tcPr>
          <w:p w14:paraId="6DA08590">
            <w:pPr>
              <w:snapToGrid w:val="0"/>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邮政编码：</w:t>
            </w:r>
          </w:p>
        </w:tc>
        <w:tc>
          <w:tcPr>
            <w:tcW w:w="4517" w:type="dxa"/>
            <w:noWrap w:val="0"/>
            <w:vAlign w:val="center"/>
          </w:tcPr>
          <w:p w14:paraId="6F0DBF01">
            <w:pPr>
              <w:snapToGrid w:val="0"/>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邮政编码：</w:t>
            </w:r>
          </w:p>
        </w:tc>
      </w:tr>
    </w:tbl>
    <w:p w14:paraId="66694C9C">
      <w:pPr>
        <w:tabs>
          <w:tab w:val="left" w:pos="7380"/>
        </w:tabs>
        <w:spacing w:line="360" w:lineRule="auto"/>
        <w:jc w:val="center"/>
        <w:rPr>
          <w:rFonts w:hint="eastAsia" w:ascii="仿宋" w:hAnsi="仿宋" w:eastAsia="仿宋" w:cs="仿宋"/>
          <w:b/>
          <w:color w:val="auto"/>
          <w:sz w:val="44"/>
          <w:szCs w:val="44"/>
          <w:highlight w:val="none"/>
        </w:rPr>
      </w:pPr>
      <w:r>
        <w:rPr>
          <w:color w:val="auto"/>
          <w:highlight w:val="none"/>
        </w:rPr>
        <w:br w:type="page"/>
      </w:r>
    </w:p>
    <w:p w14:paraId="2A5DFBAD">
      <w:pPr>
        <w:tabs>
          <w:tab w:val="left" w:pos="3261"/>
        </w:tabs>
        <w:spacing w:line="360" w:lineRule="auto"/>
        <w:contextualSpacing/>
        <w:jc w:val="center"/>
        <w:rPr>
          <w:rFonts w:hint="eastAsia" w:ascii="仿宋" w:hAnsi="仿宋" w:eastAsia="仿宋" w:cs="仿宋"/>
          <w:b/>
          <w:color w:val="auto"/>
          <w:sz w:val="44"/>
          <w:szCs w:val="44"/>
          <w:highlight w:val="none"/>
        </w:rPr>
      </w:pPr>
    </w:p>
    <w:p w14:paraId="329B34E7">
      <w:pPr>
        <w:tabs>
          <w:tab w:val="left" w:pos="3261"/>
        </w:tabs>
        <w:spacing w:line="360" w:lineRule="auto"/>
        <w:contextualSpacing/>
        <w:jc w:val="center"/>
        <w:rPr>
          <w:rFonts w:hint="eastAsia" w:ascii="仿宋" w:hAnsi="仿宋" w:eastAsia="仿宋" w:cs="仿宋"/>
          <w:b/>
          <w:color w:val="auto"/>
          <w:sz w:val="44"/>
          <w:szCs w:val="44"/>
          <w:highlight w:val="none"/>
        </w:rPr>
      </w:pPr>
    </w:p>
    <w:p w14:paraId="4415AD75">
      <w:pPr>
        <w:tabs>
          <w:tab w:val="left" w:pos="3261"/>
        </w:tabs>
        <w:spacing w:line="360" w:lineRule="auto"/>
        <w:contextualSpacing/>
        <w:jc w:val="center"/>
        <w:rPr>
          <w:rFonts w:hint="eastAsia" w:ascii="仿宋" w:hAnsi="仿宋" w:eastAsia="仿宋" w:cs="仿宋"/>
          <w:b/>
          <w:color w:val="auto"/>
          <w:sz w:val="44"/>
          <w:szCs w:val="44"/>
          <w:highlight w:val="none"/>
        </w:rPr>
      </w:pPr>
    </w:p>
    <w:p w14:paraId="4D04A95D">
      <w:pPr>
        <w:pStyle w:val="3"/>
        <w:jc w:val="center"/>
        <w:rPr>
          <w:rFonts w:hint="eastAsia" w:ascii="仿宋" w:hAnsi="仿宋" w:eastAsia="仿宋" w:cs="仿宋"/>
          <w:b/>
          <w:color w:val="auto"/>
          <w:highlight w:val="none"/>
        </w:rPr>
      </w:pPr>
    </w:p>
    <w:p w14:paraId="00EB08E7">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仿宋"/>
          <w:b/>
          <w:bCs w:val="0"/>
          <w:color w:val="auto"/>
          <w:sz w:val="32"/>
          <w:szCs w:val="32"/>
          <w:highlight w:val="none"/>
        </w:rPr>
        <w:sectPr>
          <w:pgSz w:w="11911" w:h="16838"/>
          <w:pgMar w:top="1338" w:right="1502" w:bottom="850" w:left="1678" w:header="1077" w:footer="720" w:gutter="0"/>
          <w:pgNumType w:fmt="decimal"/>
          <w:cols w:space="720" w:num="1"/>
          <w:rtlGutter w:val="0"/>
          <w:docGrid w:linePitch="0" w:charSpace="0"/>
        </w:sectPr>
      </w:pPr>
      <w:bookmarkStart w:id="73" w:name="_Toc29732"/>
      <w:r>
        <w:rPr>
          <w:rFonts w:hint="eastAsia" w:ascii="仿宋" w:hAnsi="仿宋" w:eastAsia="仿宋" w:cs="仿宋"/>
          <w:b/>
          <w:bCs w:val="0"/>
          <w:color w:val="auto"/>
          <w:sz w:val="32"/>
          <w:szCs w:val="32"/>
          <w:highlight w:val="none"/>
        </w:rPr>
        <w:t>第七章 质疑、投诉材料格式</w:t>
      </w:r>
      <w:bookmarkEnd w:id="73"/>
    </w:p>
    <w:p w14:paraId="74264247">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质疑函（格式）</w:t>
      </w:r>
    </w:p>
    <w:p w14:paraId="761999F6">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一、质疑供应商基本信息：</w:t>
      </w:r>
    </w:p>
    <w:p w14:paraId="04AEA89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仿宋" w:hAnsi="仿宋" w:eastAsia="仿宋" w:cs="仿宋"/>
          <w:bCs/>
          <w:color w:val="auto"/>
          <w:kern w:val="0"/>
          <w:sz w:val="24"/>
          <w:highlight w:val="none"/>
          <w:u w:val="single"/>
        </w:rPr>
      </w:pPr>
      <w:r>
        <w:rPr>
          <w:rFonts w:hint="eastAsia" w:ascii="仿宋" w:hAnsi="仿宋" w:eastAsia="仿宋" w:cs="仿宋"/>
          <w:bCs/>
          <w:color w:val="auto"/>
          <w:kern w:val="0"/>
          <w:sz w:val="24"/>
          <w:highlight w:val="none"/>
        </w:rPr>
        <w:t>质疑供应商：</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 xml:space="preserve">                 </w:t>
      </w:r>
    </w:p>
    <w:p w14:paraId="10DC610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地址：</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邮编：</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 xml:space="preserve">                 </w:t>
      </w:r>
    </w:p>
    <w:p w14:paraId="664C4C4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联系人：</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联系电话：</w:t>
      </w:r>
      <w:r>
        <w:rPr>
          <w:rFonts w:hint="eastAsia" w:ascii="仿宋" w:hAnsi="仿宋" w:eastAsia="仿宋" w:cs="仿宋"/>
          <w:bCs/>
          <w:color w:val="auto"/>
          <w:kern w:val="0"/>
          <w:sz w:val="24"/>
          <w:highlight w:val="none"/>
          <w:u w:val="single"/>
        </w:rPr>
        <w:t xml:space="preserve">                 </w:t>
      </w:r>
    </w:p>
    <w:p w14:paraId="1A00F71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授权代表：</w:t>
      </w:r>
      <w:r>
        <w:rPr>
          <w:rFonts w:hint="eastAsia" w:ascii="仿宋" w:hAnsi="仿宋" w:eastAsia="仿宋" w:cs="仿宋"/>
          <w:bCs/>
          <w:color w:val="auto"/>
          <w:kern w:val="0"/>
          <w:sz w:val="24"/>
          <w:highlight w:val="none"/>
          <w:u w:val="single"/>
        </w:rPr>
        <w:t xml:space="preserve">                      </w:t>
      </w:r>
    </w:p>
    <w:p w14:paraId="6FD1CF3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仿宋" w:hAnsi="仿宋" w:eastAsia="仿宋" w:cs="仿宋"/>
          <w:bCs/>
          <w:color w:val="auto"/>
          <w:kern w:val="0"/>
          <w:sz w:val="24"/>
          <w:highlight w:val="none"/>
          <w:u w:val="single"/>
        </w:rPr>
      </w:pPr>
      <w:r>
        <w:rPr>
          <w:rFonts w:hint="eastAsia" w:ascii="仿宋" w:hAnsi="仿宋" w:eastAsia="仿宋" w:cs="仿宋"/>
          <w:bCs/>
          <w:color w:val="auto"/>
          <w:kern w:val="0"/>
          <w:sz w:val="24"/>
          <w:highlight w:val="none"/>
        </w:rPr>
        <w:t>联系电话：</w:t>
      </w:r>
      <w:r>
        <w:rPr>
          <w:rFonts w:hint="eastAsia" w:ascii="仿宋" w:hAnsi="仿宋" w:eastAsia="仿宋" w:cs="仿宋"/>
          <w:bCs/>
          <w:color w:val="auto"/>
          <w:kern w:val="0"/>
          <w:sz w:val="24"/>
          <w:highlight w:val="none"/>
          <w:u w:val="single"/>
        </w:rPr>
        <w:t xml:space="preserve">                      </w:t>
      </w:r>
    </w:p>
    <w:p w14:paraId="7556AD5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地址：</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邮编：</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 xml:space="preserve">     </w:t>
      </w:r>
    </w:p>
    <w:p w14:paraId="1956F33C">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二、质疑项目基本情况：</w:t>
      </w:r>
    </w:p>
    <w:p w14:paraId="5BCA371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rPr>
        <w:t>质疑</w:t>
      </w:r>
      <w:r>
        <w:rPr>
          <w:rFonts w:hint="eastAsia" w:ascii="仿宋" w:hAnsi="仿宋" w:eastAsia="仿宋" w:cs="仿宋"/>
          <w:color w:val="auto"/>
          <w:kern w:val="0"/>
          <w:sz w:val="24"/>
          <w:highlight w:val="none"/>
        </w:rPr>
        <w:t>项目的名称：</w:t>
      </w:r>
      <w:r>
        <w:rPr>
          <w:rFonts w:hint="eastAsia" w:ascii="仿宋" w:hAnsi="仿宋" w:eastAsia="仿宋" w:cs="仿宋"/>
          <w:bCs/>
          <w:color w:val="auto"/>
          <w:kern w:val="0"/>
          <w:sz w:val="24"/>
          <w:highlight w:val="none"/>
          <w:u w:val="single"/>
        </w:rPr>
        <w:t xml:space="preserve">                                     </w:t>
      </w:r>
    </w:p>
    <w:p w14:paraId="5DABDB5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rPr>
        <w:t>质疑</w:t>
      </w:r>
      <w:r>
        <w:rPr>
          <w:rFonts w:hint="eastAsia" w:ascii="仿宋" w:hAnsi="仿宋" w:eastAsia="仿宋" w:cs="仿宋"/>
          <w:color w:val="auto"/>
          <w:kern w:val="0"/>
          <w:sz w:val="24"/>
          <w:highlight w:val="none"/>
        </w:rPr>
        <w:t>项目的编号：</w:t>
      </w:r>
      <w:r>
        <w:rPr>
          <w:rFonts w:hint="eastAsia" w:ascii="仿宋" w:hAnsi="仿宋" w:eastAsia="仿宋" w:cs="仿宋"/>
          <w:bCs/>
          <w:color w:val="auto"/>
          <w:kern w:val="0"/>
          <w:sz w:val="24"/>
          <w:highlight w:val="none"/>
          <w:u w:val="single"/>
        </w:rPr>
        <w:t xml:space="preserve">                                     </w:t>
      </w:r>
    </w:p>
    <w:p w14:paraId="79E5304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采购人名称：</w:t>
      </w:r>
      <w:r>
        <w:rPr>
          <w:rFonts w:hint="eastAsia" w:ascii="仿宋" w:hAnsi="仿宋" w:eastAsia="仿宋" w:cs="仿宋"/>
          <w:bCs/>
          <w:color w:val="auto"/>
          <w:kern w:val="0"/>
          <w:sz w:val="24"/>
          <w:highlight w:val="none"/>
          <w:u w:val="single"/>
        </w:rPr>
        <w:t xml:space="preserve">                                         </w:t>
      </w:r>
    </w:p>
    <w:p w14:paraId="38B9076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质疑事项：</w:t>
      </w:r>
    </w:p>
    <w:p w14:paraId="43A4973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□采购文件   采购文件获取日期：</w:t>
      </w:r>
      <w:r>
        <w:rPr>
          <w:rFonts w:hint="eastAsia" w:ascii="仿宋" w:hAnsi="仿宋" w:eastAsia="仿宋" w:cs="仿宋"/>
          <w:bCs/>
          <w:color w:val="auto"/>
          <w:kern w:val="0"/>
          <w:sz w:val="24"/>
          <w:highlight w:val="none"/>
          <w:u w:val="single"/>
        </w:rPr>
        <w:t xml:space="preserve">                                   </w:t>
      </w:r>
    </w:p>
    <w:p w14:paraId="058D03D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□采购过程   </w:t>
      </w:r>
    </w:p>
    <w:p w14:paraId="5B45673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仿宋" w:hAnsi="仿宋" w:eastAsia="仿宋" w:cs="仿宋"/>
          <w:bCs/>
          <w:color w:val="auto"/>
          <w:kern w:val="0"/>
          <w:sz w:val="24"/>
          <w:highlight w:val="none"/>
          <w:u w:val="single"/>
        </w:rPr>
      </w:pPr>
      <w:r>
        <w:rPr>
          <w:rFonts w:hint="eastAsia" w:ascii="仿宋" w:hAnsi="仿宋" w:eastAsia="仿宋" w:cs="仿宋"/>
          <w:color w:val="auto"/>
          <w:kern w:val="0"/>
          <w:sz w:val="24"/>
          <w:highlight w:val="none"/>
        </w:rPr>
        <w:t xml:space="preserve">□成交结果   </w:t>
      </w:r>
    </w:p>
    <w:p w14:paraId="1A1D73F9">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三、质疑事项具体内容</w:t>
      </w:r>
    </w:p>
    <w:p w14:paraId="585BEB5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质疑事项1：</w:t>
      </w:r>
      <w:r>
        <w:rPr>
          <w:rFonts w:hint="eastAsia" w:ascii="仿宋" w:hAnsi="仿宋" w:eastAsia="仿宋" w:cs="仿宋"/>
          <w:bCs/>
          <w:color w:val="auto"/>
          <w:kern w:val="0"/>
          <w:sz w:val="24"/>
          <w:highlight w:val="none"/>
          <w:u w:val="single"/>
        </w:rPr>
        <w:t xml:space="preserve">                                                                    </w:t>
      </w:r>
    </w:p>
    <w:p w14:paraId="3CB3EFB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事实依据：</w:t>
      </w:r>
      <w:r>
        <w:rPr>
          <w:rFonts w:hint="eastAsia" w:ascii="仿宋" w:hAnsi="仿宋" w:eastAsia="仿宋" w:cs="仿宋"/>
          <w:bCs/>
          <w:color w:val="auto"/>
          <w:kern w:val="0"/>
          <w:sz w:val="24"/>
          <w:highlight w:val="none"/>
          <w:u w:val="single"/>
        </w:rPr>
        <w:t xml:space="preserve">                                                                      </w:t>
      </w:r>
    </w:p>
    <w:p w14:paraId="21F52B7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法律依据：</w:t>
      </w:r>
      <w:r>
        <w:rPr>
          <w:rFonts w:hint="eastAsia" w:ascii="仿宋" w:hAnsi="仿宋" w:eastAsia="仿宋" w:cs="仿宋"/>
          <w:color w:val="auto"/>
          <w:kern w:val="0"/>
          <w:sz w:val="24"/>
          <w:highlight w:val="none"/>
          <w:u w:val="single"/>
        </w:rPr>
        <w:t xml:space="preserve">                                                        </w:t>
      </w:r>
      <w:r>
        <w:rPr>
          <w:rFonts w:hint="eastAsia" w:ascii="仿宋" w:hAnsi="仿宋" w:eastAsia="仿宋" w:cs="仿宋"/>
          <w:bCs/>
          <w:color w:val="auto"/>
          <w:kern w:val="0"/>
          <w:sz w:val="24"/>
          <w:highlight w:val="none"/>
          <w:u w:val="single"/>
        </w:rPr>
        <w:t xml:space="preserve">               </w:t>
      </w:r>
    </w:p>
    <w:p w14:paraId="693ACD7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质疑事项2</w:t>
      </w:r>
    </w:p>
    <w:p w14:paraId="5DFA363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p w14:paraId="70C78F9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四、与质疑事项相关的质疑请求：</w:t>
      </w:r>
    </w:p>
    <w:p w14:paraId="6547D8C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请求：</w:t>
      </w:r>
      <w:r>
        <w:rPr>
          <w:rFonts w:hint="eastAsia" w:ascii="仿宋" w:hAnsi="仿宋" w:eastAsia="仿宋" w:cs="仿宋"/>
          <w:bCs/>
          <w:color w:val="auto"/>
          <w:kern w:val="0"/>
          <w:sz w:val="24"/>
          <w:highlight w:val="none"/>
          <w:u w:val="single"/>
        </w:rPr>
        <w:t xml:space="preserve">                                                                </w:t>
      </w:r>
    </w:p>
    <w:p w14:paraId="504A7CE6">
      <w:pPr>
        <w:spacing w:line="360" w:lineRule="auto"/>
        <w:ind w:left="25" w:leftChars="12" w:firstLine="352" w:firstLineChars="147"/>
        <w:contextualSpacing/>
        <w:rPr>
          <w:rFonts w:hint="eastAsia" w:ascii="仿宋" w:hAnsi="仿宋" w:eastAsia="仿宋" w:cs="仿宋"/>
          <w:color w:val="auto"/>
          <w:kern w:val="0"/>
          <w:sz w:val="24"/>
          <w:highlight w:val="none"/>
        </w:rPr>
      </w:pPr>
    </w:p>
    <w:p w14:paraId="515A059F">
      <w:pPr>
        <w:spacing w:line="360" w:lineRule="auto"/>
        <w:ind w:left="25" w:leftChars="12" w:firstLine="472" w:firstLineChars="197"/>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签字（签章）：                                       公章：</w:t>
      </w:r>
    </w:p>
    <w:p w14:paraId="37EF3EE9">
      <w:pPr>
        <w:spacing w:line="360" w:lineRule="auto"/>
        <w:ind w:left="25" w:leftChars="12" w:firstLine="352" w:firstLineChars="147"/>
        <w:contextualSpacing/>
        <w:rPr>
          <w:rFonts w:hint="eastAsia" w:ascii="仿宋" w:hAnsi="仿宋" w:eastAsia="仿宋" w:cs="仿宋"/>
          <w:color w:val="auto"/>
          <w:kern w:val="0"/>
          <w:sz w:val="24"/>
          <w:highlight w:val="none"/>
        </w:rPr>
      </w:pPr>
    </w:p>
    <w:p w14:paraId="1793A363">
      <w:pPr>
        <w:spacing w:line="360" w:lineRule="auto"/>
        <w:ind w:left="25" w:leftChars="12" w:firstLine="472" w:firstLineChars="197"/>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w:t>
      </w:r>
    </w:p>
    <w:p w14:paraId="07A5F332">
      <w:pPr>
        <w:spacing w:line="360" w:lineRule="auto"/>
        <w:contextualSpacing/>
        <w:rPr>
          <w:rFonts w:hint="eastAsia" w:ascii="仿宋" w:hAnsi="仿宋" w:eastAsia="仿宋" w:cs="仿宋"/>
          <w:b/>
          <w:color w:val="auto"/>
          <w:kern w:val="0"/>
          <w:sz w:val="24"/>
          <w:highlight w:val="none"/>
        </w:rPr>
      </w:pPr>
    </w:p>
    <w:p w14:paraId="3DEDD883">
      <w:pPr>
        <w:spacing w:line="360" w:lineRule="auto"/>
        <w:contextualSpacing/>
        <w:rPr>
          <w:rFonts w:hint="eastAsia" w:ascii="仿宋" w:hAnsi="仿宋" w:eastAsia="仿宋" w:cs="仿宋"/>
          <w:b/>
          <w:color w:val="auto"/>
          <w:kern w:val="0"/>
          <w:sz w:val="24"/>
          <w:highlight w:val="none"/>
        </w:rPr>
      </w:pPr>
    </w:p>
    <w:p w14:paraId="14E29466">
      <w:pPr>
        <w:spacing w:line="360" w:lineRule="auto"/>
        <w:contextualSpacing/>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说明：</w:t>
      </w:r>
    </w:p>
    <w:p w14:paraId="4B01C599">
      <w:pPr>
        <w:spacing w:line="360" w:lineRule="auto"/>
        <w:ind w:left="25" w:leftChars="12" w:firstLine="354" w:firstLineChars="147"/>
        <w:contextualSpacing/>
        <w:rPr>
          <w:rFonts w:hint="eastAsia" w:ascii="仿宋" w:hAnsi="仿宋" w:eastAsia="仿宋" w:cs="仿宋"/>
          <w:b/>
          <w:bCs/>
          <w:color w:val="auto"/>
          <w:kern w:val="0"/>
          <w:sz w:val="24"/>
          <w:highlight w:val="none"/>
        </w:rPr>
      </w:pPr>
      <w:r>
        <w:rPr>
          <w:rFonts w:hint="eastAsia" w:ascii="仿宋" w:hAnsi="仿宋" w:eastAsia="仿宋" w:cs="仿宋"/>
          <w:b/>
          <w:color w:val="auto"/>
          <w:kern w:val="0"/>
          <w:sz w:val="24"/>
          <w:highlight w:val="none"/>
        </w:rPr>
        <w:t>1.供应商提出质疑时，应提交质疑函和必要的证明材料</w:t>
      </w:r>
      <w:r>
        <w:rPr>
          <w:rFonts w:hint="eastAsia" w:ascii="仿宋" w:hAnsi="仿宋" w:eastAsia="仿宋" w:cs="仿宋"/>
          <w:b/>
          <w:bCs/>
          <w:color w:val="auto"/>
          <w:kern w:val="0"/>
          <w:sz w:val="24"/>
          <w:highlight w:val="none"/>
        </w:rPr>
        <w:t>。</w:t>
      </w:r>
    </w:p>
    <w:p w14:paraId="78E0120A">
      <w:pPr>
        <w:spacing w:line="360" w:lineRule="auto"/>
        <w:ind w:left="25" w:leftChars="12" w:firstLine="354" w:firstLineChars="147"/>
        <w:contextualSpacing/>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78425B9">
      <w:pPr>
        <w:spacing w:line="360" w:lineRule="auto"/>
        <w:ind w:left="25" w:leftChars="12" w:firstLine="354" w:firstLineChars="147"/>
        <w:contextualSpacing/>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3.质疑函的质疑事项应具体、明确，并有必要的事实依据和法律依据。</w:t>
      </w:r>
    </w:p>
    <w:p w14:paraId="51FED603">
      <w:pPr>
        <w:spacing w:line="360" w:lineRule="auto"/>
        <w:ind w:left="25" w:leftChars="12" w:firstLine="354" w:firstLineChars="147"/>
        <w:contextualSpacing/>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4.质疑函的质疑请求应与质疑事项相关。</w:t>
      </w:r>
    </w:p>
    <w:p w14:paraId="7B6E640C">
      <w:pPr>
        <w:spacing w:line="360" w:lineRule="auto"/>
        <w:ind w:left="25" w:leftChars="12" w:firstLine="354" w:firstLineChars="147"/>
        <w:contextualSpacing/>
        <w:rPr>
          <w:rFonts w:hint="eastAsia" w:ascii="仿宋" w:hAnsi="仿宋" w:eastAsia="仿宋" w:cs="仿宋"/>
          <w:b/>
          <w:color w:val="auto"/>
          <w:kern w:val="0"/>
          <w:sz w:val="20"/>
          <w:szCs w:val="21"/>
          <w:highlight w:val="none"/>
        </w:rPr>
      </w:pPr>
      <w:r>
        <w:rPr>
          <w:rFonts w:hint="eastAsia" w:ascii="仿宋" w:hAnsi="仿宋" w:eastAsia="仿宋" w:cs="仿宋"/>
          <w:b/>
          <w:color w:val="auto"/>
          <w:kern w:val="0"/>
          <w:sz w:val="24"/>
          <w:highlight w:val="none"/>
        </w:rPr>
        <w:t>5.质疑供应商为法人或者其他组织的，质疑函应由法定代表人、主要负责人，或者其授权代表签字或者盖章，并加盖公章。</w:t>
      </w:r>
    </w:p>
    <w:p w14:paraId="69822169">
      <w:pPr>
        <w:snapToGrid w:val="0"/>
        <w:rPr>
          <w:rFonts w:hint="eastAsia" w:ascii="仿宋" w:hAnsi="仿宋" w:eastAsia="仿宋" w:cs="仿宋"/>
          <w:b/>
          <w:color w:val="auto"/>
          <w:kern w:val="0"/>
          <w:sz w:val="24"/>
          <w:highlight w:val="none"/>
        </w:rPr>
      </w:pPr>
    </w:p>
    <w:p w14:paraId="74E25530">
      <w:pPr>
        <w:spacing w:line="460" w:lineRule="exact"/>
        <w:jc w:val="center"/>
        <w:rPr>
          <w:rFonts w:hint="eastAsia" w:ascii="仿宋" w:hAnsi="仿宋" w:eastAsia="仿宋" w:cs="仿宋"/>
          <w:b/>
          <w:bCs/>
          <w:color w:val="auto"/>
          <w:sz w:val="32"/>
          <w:szCs w:val="32"/>
          <w:highlight w:val="none"/>
        </w:rPr>
      </w:pPr>
      <w:r>
        <w:rPr>
          <w:rFonts w:hint="eastAsia" w:ascii="仿宋" w:hAnsi="仿宋" w:eastAsia="仿宋" w:cs="仿宋"/>
          <w:color w:val="auto"/>
          <w:sz w:val="44"/>
          <w:highlight w:val="none"/>
        </w:rPr>
        <w:br w:type="page"/>
      </w:r>
      <w:r>
        <w:rPr>
          <w:rFonts w:hint="eastAsia" w:ascii="仿宋" w:hAnsi="仿宋" w:eastAsia="仿宋" w:cs="仿宋"/>
          <w:b/>
          <w:bCs/>
          <w:color w:val="auto"/>
          <w:sz w:val="32"/>
          <w:szCs w:val="32"/>
          <w:highlight w:val="none"/>
        </w:rPr>
        <w:t>投诉书（格式）</w:t>
      </w:r>
    </w:p>
    <w:p w14:paraId="14B303DF">
      <w:pPr>
        <w:keepNext w:val="0"/>
        <w:keepLines w:val="0"/>
        <w:pageBreakBefore w:val="0"/>
        <w:widowControl w:val="0"/>
        <w:kinsoku/>
        <w:wordWrap/>
        <w:overflowPunct/>
        <w:topLinePunct w:val="0"/>
        <w:autoSpaceDE/>
        <w:autoSpaceDN/>
        <w:bidi w:val="0"/>
        <w:adjustRightInd/>
        <w:snapToGrid w:val="0"/>
        <w:spacing w:before="0" w:beforeLines="50" w:line="360" w:lineRule="auto"/>
        <w:ind w:firstLine="482" w:firstLineChars="200"/>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一、投诉相关主体基本情况：</w:t>
      </w:r>
    </w:p>
    <w:p w14:paraId="57CAE32F">
      <w:pPr>
        <w:snapToGrid w:val="0"/>
        <w:spacing w:line="360" w:lineRule="auto"/>
        <w:ind w:firstLine="480" w:firstLineChars="200"/>
        <w:rPr>
          <w:rFonts w:hint="eastAsia" w:ascii="仿宋" w:hAnsi="仿宋" w:eastAsia="仿宋" w:cs="仿宋"/>
          <w:bCs/>
          <w:color w:val="auto"/>
          <w:kern w:val="0"/>
          <w:sz w:val="24"/>
          <w:highlight w:val="none"/>
          <w:u w:val="single"/>
        </w:rPr>
      </w:pPr>
      <w:r>
        <w:rPr>
          <w:rFonts w:hint="eastAsia" w:ascii="仿宋" w:hAnsi="仿宋" w:eastAsia="仿宋" w:cs="仿宋"/>
          <w:bCs/>
          <w:color w:val="auto"/>
          <w:kern w:val="0"/>
          <w:sz w:val="24"/>
          <w:highlight w:val="none"/>
        </w:rPr>
        <w:t>供应商：</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 xml:space="preserve">                 </w:t>
      </w:r>
    </w:p>
    <w:p w14:paraId="2886BD8C">
      <w:pPr>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地址：</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邮编：</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 xml:space="preserve">                 </w:t>
      </w:r>
    </w:p>
    <w:p w14:paraId="1B306EDD">
      <w:pPr>
        <w:snapToGrid w:val="0"/>
        <w:spacing w:line="360" w:lineRule="auto"/>
        <w:ind w:firstLine="480" w:firstLineChars="200"/>
        <w:rPr>
          <w:rFonts w:hint="eastAsia" w:ascii="仿宋" w:hAnsi="仿宋" w:eastAsia="仿宋" w:cs="仿宋"/>
          <w:bCs/>
          <w:color w:val="auto"/>
          <w:kern w:val="0"/>
          <w:sz w:val="24"/>
          <w:highlight w:val="none"/>
          <w:u w:val="single"/>
        </w:rPr>
      </w:pPr>
      <w:r>
        <w:rPr>
          <w:rFonts w:hint="eastAsia" w:ascii="仿宋" w:hAnsi="仿宋" w:eastAsia="仿宋" w:cs="仿宋"/>
          <w:bCs/>
          <w:color w:val="auto"/>
          <w:kern w:val="0"/>
          <w:sz w:val="24"/>
          <w:highlight w:val="none"/>
        </w:rPr>
        <w:t>法定代表人/主要负责人：</w:t>
      </w:r>
      <w:r>
        <w:rPr>
          <w:rFonts w:hint="eastAsia" w:ascii="仿宋" w:hAnsi="仿宋" w:eastAsia="仿宋" w:cs="仿宋"/>
          <w:bCs/>
          <w:color w:val="auto"/>
          <w:kern w:val="0"/>
          <w:sz w:val="24"/>
          <w:highlight w:val="none"/>
          <w:u w:val="single"/>
        </w:rPr>
        <w:t xml:space="preserve">                                                         </w:t>
      </w:r>
    </w:p>
    <w:p w14:paraId="1B4784B5">
      <w:pPr>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联系电话：</w:t>
      </w:r>
      <w:r>
        <w:rPr>
          <w:rFonts w:hint="eastAsia" w:ascii="仿宋" w:hAnsi="仿宋" w:eastAsia="仿宋" w:cs="仿宋"/>
          <w:bCs/>
          <w:color w:val="auto"/>
          <w:kern w:val="0"/>
          <w:sz w:val="24"/>
          <w:highlight w:val="none"/>
          <w:u w:val="single"/>
        </w:rPr>
        <w:t xml:space="preserve">                                         </w:t>
      </w:r>
    </w:p>
    <w:p w14:paraId="2895624C">
      <w:pPr>
        <w:snapToGrid w:val="0"/>
        <w:spacing w:line="360" w:lineRule="auto"/>
        <w:ind w:firstLine="480" w:firstLineChars="200"/>
        <w:rPr>
          <w:rFonts w:hint="eastAsia" w:ascii="仿宋" w:hAnsi="仿宋" w:eastAsia="仿宋" w:cs="仿宋"/>
          <w:bCs/>
          <w:color w:val="auto"/>
          <w:kern w:val="0"/>
          <w:sz w:val="24"/>
          <w:highlight w:val="none"/>
          <w:u w:val="single"/>
        </w:rPr>
      </w:pPr>
      <w:r>
        <w:rPr>
          <w:rFonts w:hint="eastAsia" w:ascii="仿宋" w:hAnsi="仿宋" w:eastAsia="仿宋" w:cs="仿宋"/>
          <w:bCs/>
          <w:color w:val="auto"/>
          <w:kern w:val="0"/>
          <w:sz w:val="24"/>
          <w:highlight w:val="none"/>
        </w:rPr>
        <w:t>授权代表：</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联系电话：</w:t>
      </w:r>
      <w:r>
        <w:rPr>
          <w:rFonts w:hint="eastAsia" w:ascii="仿宋" w:hAnsi="仿宋" w:eastAsia="仿宋" w:cs="仿宋"/>
          <w:bCs/>
          <w:color w:val="auto"/>
          <w:kern w:val="0"/>
          <w:sz w:val="24"/>
          <w:highlight w:val="none"/>
          <w:u w:val="single"/>
        </w:rPr>
        <w:t xml:space="preserve">                   </w:t>
      </w:r>
    </w:p>
    <w:p w14:paraId="463157E0">
      <w:pPr>
        <w:snapToGrid w:val="0"/>
        <w:spacing w:line="360" w:lineRule="auto"/>
        <w:ind w:firstLine="480" w:firstLineChars="200"/>
        <w:rPr>
          <w:rFonts w:hint="eastAsia" w:ascii="仿宋" w:hAnsi="仿宋" w:eastAsia="仿宋" w:cs="仿宋"/>
          <w:bCs/>
          <w:color w:val="auto"/>
          <w:kern w:val="0"/>
          <w:sz w:val="24"/>
          <w:highlight w:val="none"/>
          <w:u w:val="single"/>
        </w:rPr>
      </w:pPr>
      <w:r>
        <w:rPr>
          <w:rFonts w:hint="eastAsia" w:ascii="仿宋" w:hAnsi="仿宋" w:eastAsia="仿宋" w:cs="仿宋"/>
          <w:bCs/>
          <w:color w:val="auto"/>
          <w:kern w:val="0"/>
          <w:sz w:val="24"/>
          <w:highlight w:val="none"/>
        </w:rPr>
        <w:t>地址：</w:t>
      </w:r>
      <w:r>
        <w:rPr>
          <w:rFonts w:hint="eastAsia" w:ascii="仿宋" w:hAnsi="仿宋" w:eastAsia="仿宋" w:cs="仿宋"/>
          <w:bCs/>
          <w:color w:val="auto"/>
          <w:kern w:val="0"/>
          <w:sz w:val="24"/>
          <w:highlight w:val="none"/>
          <w:u w:val="single"/>
        </w:rPr>
        <w:t xml:space="preserve">                                                            </w:t>
      </w:r>
    </w:p>
    <w:p w14:paraId="6A72D2C5">
      <w:pPr>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邮编：</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 xml:space="preserve">   </w:t>
      </w:r>
    </w:p>
    <w:p w14:paraId="5E65F910">
      <w:pPr>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被投诉人1：</w:t>
      </w:r>
    </w:p>
    <w:p w14:paraId="61EA4652">
      <w:pPr>
        <w:snapToGrid w:val="0"/>
        <w:spacing w:line="360" w:lineRule="auto"/>
        <w:ind w:firstLine="480" w:firstLineChars="200"/>
        <w:rPr>
          <w:rFonts w:hint="eastAsia" w:ascii="仿宋" w:hAnsi="仿宋" w:eastAsia="仿宋" w:cs="仿宋"/>
          <w:bCs/>
          <w:color w:val="auto"/>
          <w:kern w:val="0"/>
          <w:sz w:val="24"/>
          <w:highlight w:val="none"/>
          <w:u w:val="single"/>
        </w:rPr>
      </w:pPr>
      <w:r>
        <w:rPr>
          <w:rFonts w:hint="eastAsia" w:ascii="仿宋" w:hAnsi="仿宋" w:eastAsia="仿宋" w:cs="仿宋"/>
          <w:bCs/>
          <w:color w:val="auto"/>
          <w:kern w:val="0"/>
          <w:sz w:val="24"/>
          <w:highlight w:val="none"/>
        </w:rPr>
        <w:t>地址：</w:t>
      </w:r>
      <w:r>
        <w:rPr>
          <w:rFonts w:hint="eastAsia" w:ascii="仿宋" w:hAnsi="仿宋" w:eastAsia="仿宋" w:cs="仿宋"/>
          <w:bCs/>
          <w:color w:val="auto"/>
          <w:kern w:val="0"/>
          <w:sz w:val="24"/>
          <w:highlight w:val="none"/>
          <w:u w:val="single"/>
        </w:rPr>
        <w:t xml:space="preserve">                                                            </w:t>
      </w:r>
    </w:p>
    <w:p w14:paraId="018D7488">
      <w:pPr>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邮编：</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 xml:space="preserve">  </w:t>
      </w:r>
    </w:p>
    <w:p w14:paraId="1A513328">
      <w:pPr>
        <w:snapToGrid w:val="0"/>
        <w:spacing w:line="360" w:lineRule="auto"/>
        <w:ind w:firstLine="480" w:firstLineChars="200"/>
        <w:rPr>
          <w:rFonts w:hint="eastAsia" w:ascii="仿宋" w:hAnsi="仿宋" w:eastAsia="仿宋" w:cs="仿宋"/>
          <w:bCs/>
          <w:color w:val="auto"/>
          <w:kern w:val="0"/>
          <w:sz w:val="24"/>
          <w:highlight w:val="none"/>
          <w:u w:val="single"/>
        </w:rPr>
      </w:pPr>
      <w:r>
        <w:rPr>
          <w:rFonts w:hint="eastAsia" w:ascii="仿宋" w:hAnsi="仿宋" w:eastAsia="仿宋" w:cs="仿宋"/>
          <w:bCs/>
          <w:color w:val="auto"/>
          <w:kern w:val="0"/>
          <w:sz w:val="24"/>
          <w:highlight w:val="none"/>
        </w:rPr>
        <w:t>联系人：</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联系电话：</w:t>
      </w:r>
      <w:r>
        <w:rPr>
          <w:rFonts w:hint="eastAsia" w:ascii="仿宋" w:hAnsi="仿宋" w:eastAsia="仿宋" w:cs="仿宋"/>
          <w:bCs/>
          <w:color w:val="auto"/>
          <w:kern w:val="0"/>
          <w:sz w:val="24"/>
          <w:highlight w:val="none"/>
          <w:u w:val="single"/>
        </w:rPr>
        <w:t xml:space="preserve">                </w:t>
      </w:r>
    </w:p>
    <w:p w14:paraId="30C021FC">
      <w:pPr>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被投诉人2：</w:t>
      </w:r>
    </w:p>
    <w:p w14:paraId="6F685571">
      <w:pPr>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w:t>
      </w:r>
    </w:p>
    <w:p w14:paraId="70CB0DE3">
      <w:pPr>
        <w:snapToGrid w:val="0"/>
        <w:spacing w:line="360" w:lineRule="auto"/>
        <w:ind w:firstLine="480" w:firstLineChars="200"/>
        <w:rPr>
          <w:rFonts w:hint="eastAsia" w:ascii="仿宋" w:hAnsi="仿宋" w:eastAsia="仿宋" w:cs="仿宋"/>
          <w:bCs/>
          <w:color w:val="auto"/>
          <w:kern w:val="0"/>
          <w:sz w:val="24"/>
          <w:highlight w:val="none"/>
          <w:u w:val="single"/>
        </w:rPr>
      </w:pPr>
      <w:r>
        <w:rPr>
          <w:rFonts w:hint="eastAsia" w:ascii="仿宋" w:hAnsi="仿宋" w:eastAsia="仿宋" w:cs="仿宋"/>
          <w:bCs/>
          <w:color w:val="auto"/>
          <w:kern w:val="0"/>
          <w:sz w:val="24"/>
          <w:highlight w:val="none"/>
        </w:rPr>
        <w:t>相关供应商：</w:t>
      </w:r>
      <w:r>
        <w:rPr>
          <w:rFonts w:hint="eastAsia" w:ascii="仿宋" w:hAnsi="仿宋" w:eastAsia="仿宋" w:cs="仿宋"/>
          <w:bCs/>
          <w:color w:val="auto"/>
          <w:kern w:val="0"/>
          <w:sz w:val="24"/>
          <w:highlight w:val="none"/>
          <w:u w:val="single"/>
        </w:rPr>
        <w:t xml:space="preserve">                                                                       </w:t>
      </w:r>
    </w:p>
    <w:p w14:paraId="240A2FCB">
      <w:pPr>
        <w:snapToGrid w:val="0"/>
        <w:spacing w:line="360" w:lineRule="auto"/>
        <w:ind w:firstLine="480" w:firstLineChars="200"/>
        <w:rPr>
          <w:rFonts w:hint="eastAsia" w:ascii="仿宋" w:hAnsi="仿宋" w:eastAsia="仿宋" w:cs="仿宋"/>
          <w:bCs/>
          <w:color w:val="auto"/>
          <w:kern w:val="0"/>
          <w:sz w:val="24"/>
          <w:highlight w:val="none"/>
          <w:u w:val="single"/>
        </w:rPr>
      </w:pPr>
      <w:r>
        <w:rPr>
          <w:rFonts w:hint="eastAsia" w:ascii="仿宋" w:hAnsi="仿宋" w:eastAsia="仿宋" w:cs="仿宋"/>
          <w:bCs/>
          <w:color w:val="auto"/>
          <w:kern w:val="0"/>
          <w:sz w:val="24"/>
          <w:highlight w:val="none"/>
        </w:rPr>
        <w:t>地址：</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邮编：</w:t>
      </w:r>
      <w:r>
        <w:rPr>
          <w:rFonts w:hint="eastAsia" w:ascii="仿宋" w:hAnsi="仿宋" w:eastAsia="仿宋" w:cs="仿宋"/>
          <w:bCs/>
          <w:color w:val="auto"/>
          <w:kern w:val="0"/>
          <w:sz w:val="24"/>
          <w:highlight w:val="none"/>
          <w:u w:val="single"/>
        </w:rPr>
        <w:t xml:space="preserve">                         </w:t>
      </w:r>
    </w:p>
    <w:p w14:paraId="13DA16C0">
      <w:pPr>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联系人：</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联系电话：</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 xml:space="preserve">                </w:t>
      </w:r>
    </w:p>
    <w:p w14:paraId="2A42C9AE">
      <w:pPr>
        <w:snapToGrid w:val="0"/>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二、投诉项目基本情况：</w:t>
      </w:r>
    </w:p>
    <w:p w14:paraId="27CE884A">
      <w:pPr>
        <w:spacing w:line="360" w:lineRule="auto"/>
        <w:ind w:left="25" w:leftChars="12" w:firstLine="472" w:firstLineChars="197"/>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rPr>
        <w:t>采购</w:t>
      </w:r>
      <w:r>
        <w:rPr>
          <w:rFonts w:hint="eastAsia" w:ascii="仿宋" w:hAnsi="仿宋" w:eastAsia="仿宋" w:cs="仿宋"/>
          <w:color w:val="auto"/>
          <w:kern w:val="0"/>
          <w:sz w:val="24"/>
          <w:highlight w:val="none"/>
        </w:rPr>
        <w:t>项目的名称：</w:t>
      </w:r>
      <w:r>
        <w:rPr>
          <w:rFonts w:hint="eastAsia" w:ascii="仿宋" w:hAnsi="仿宋" w:eastAsia="仿宋" w:cs="仿宋"/>
          <w:bCs/>
          <w:color w:val="auto"/>
          <w:kern w:val="0"/>
          <w:sz w:val="24"/>
          <w:highlight w:val="none"/>
          <w:u w:val="single"/>
        </w:rPr>
        <w:t xml:space="preserve">                                                                   </w:t>
      </w:r>
    </w:p>
    <w:p w14:paraId="5522BC39">
      <w:pPr>
        <w:spacing w:line="360" w:lineRule="auto"/>
        <w:ind w:left="25" w:leftChars="12" w:firstLine="472" w:firstLineChars="197"/>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rPr>
        <w:t>采购</w:t>
      </w:r>
      <w:r>
        <w:rPr>
          <w:rFonts w:hint="eastAsia" w:ascii="仿宋" w:hAnsi="仿宋" w:eastAsia="仿宋" w:cs="仿宋"/>
          <w:color w:val="auto"/>
          <w:kern w:val="0"/>
          <w:sz w:val="24"/>
          <w:highlight w:val="none"/>
        </w:rPr>
        <w:t>项目的编号：</w:t>
      </w:r>
      <w:r>
        <w:rPr>
          <w:rFonts w:hint="eastAsia" w:ascii="仿宋" w:hAnsi="仿宋" w:eastAsia="仿宋" w:cs="仿宋"/>
          <w:bCs/>
          <w:color w:val="auto"/>
          <w:kern w:val="0"/>
          <w:sz w:val="24"/>
          <w:highlight w:val="none"/>
          <w:u w:val="single"/>
        </w:rPr>
        <w:t xml:space="preserve">                                          </w:t>
      </w:r>
    </w:p>
    <w:p w14:paraId="4D8765BA">
      <w:pPr>
        <w:spacing w:line="360" w:lineRule="auto"/>
        <w:ind w:left="25" w:leftChars="12" w:firstLine="472" w:firstLineChars="197"/>
        <w:rPr>
          <w:rFonts w:hint="eastAsia" w:ascii="仿宋" w:hAnsi="仿宋" w:eastAsia="仿宋" w:cs="仿宋"/>
          <w:bCs/>
          <w:color w:val="auto"/>
          <w:kern w:val="0"/>
          <w:sz w:val="24"/>
          <w:highlight w:val="none"/>
          <w:u w:val="single"/>
        </w:rPr>
      </w:pPr>
      <w:r>
        <w:rPr>
          <w:rFonts w:hint="eastAsia" w:ascii="仿宋" w:hAnsi="仿宋" w:eastAsia="仿宋" w:cs="仿宋"/>
          <w:color w:val="auto"/>
          <w:kern w:val="0"/>
          <w:sz w:val="24"/>
          <w:highlight w:val="none"/>
        </w:rPr>
        <w:t>采购人名称：</w:t>
      </w:r>
      <w:r>
        <w:rPr>
          <w:rFonts w:hint="eastAsia" w:ascii="仿宋" w:hAnsi="仿宋" w:eastAsia="仿宋" w:cs="仿宋"/>
          <w:bCs/>
          <w:color w:val="auto"/>
          <w:kern w:val="0"/>
          <w:sz w:val="24"/>
          <w:highlight w:val="none"/>
          <w:u w:val="single"/>
        </w:rPr>
        <w:t xml:space="preserve">                                                                        </w:t>
      </w:r>
    </w:p>
    <w:p w14:paraId="38741404">
      <w:pPr>
        <w:spacing w:line="360" w:lineRule="auto"/>
        <w:ind w:left="25" w:leftChars="12" w:firstLine="472" w:firstLineChars="197"/>
        <w:rPr>
          <w:rFonts w:hint="eastAsia" w:ascii="仿宋" w:hAnsi="仿宋" w:eastAsia="仿宋" w:cs="仿宋"/>
          <w:bCs/>
          <w:color w:val="auto"/>
          <w:kern w:val="0"/>
          <w:sz w:val="24"/>
          <w:highlight w:val="none"/>
          <w:u w:val="single"/>
        </w:rPr>
      </w:pPr>
      <w:r>
        <w:rPr>
          <w:rFonts w:hint="eastAsia" w:ascii="仿宋" w:hAnsi="仿宋" w:eastAsia="仿宋" w:cs="仿宋"/>
          <w:color w:val="auto"/>
          <w:kern w:val="0"/>
          <w:sz w:val="24"/>
          <w:highlight w:val="none"/>
        </w:rPr>
        <w:t>代理机构名称：</w:t>
      </w:r>
      <w:r>
        <w:rPr>
          <w:rFonts w:hint="eastAsia" w:ascii="仿宋" w:hAnsi="仿宋" w:eastAsia="仿宋" w:cs="仿宋"/>
          <w:bCs/>
          <w:color w:val="auto"/>
          <w:kern w:val="0"/>
          <w:sz w:val="24"/>
          <w:highlight w:val="none"/>
          <w:u w:val="single"/>
        </w:rPr>
        <w:t xml:space="preserve">                                                                      </w:t>
      </w:r>
    </w:p>
    <w:p w14:paraId="5FFFB5CF">
      <w:pPr>
        <w:spacing w:line="360" w:lineRule="auto"/>
        <w:ind w:left="25" w:leftChars="12" w:firstLine="472" w:firstLineChars="197"/>
        <w:rPr>
          <w:rFonts w:hint="eastAsia" w:ascii="仿宋" w:hAnsi="仿宋" w:eastAsia="仿宋" w:cs="仿宋"/>
          <w:bCs/>
          <w:color w:val="auto"/>
          <w:kern w:val="0"/>
          <w:sz w:val="24"/>
          <w:highlight w:val="none"/>
          <w:u w:val="single"/>
        </w:rPr>
      </w:pPr>
      <w:r>
        <w:rPr>
          <w:rFonts w:hint="default" w:ascii="仿宋" w:hAnsi="仿宋" w:eastAsia="仿宋" w:cs="仿宋"/>
          <w:bCs/>
          <w:color w:val="auto"/>
          <w:kern w:val="0"/>
          <w:sz w:val="24"/>
          <w:highlight w:val="none"/>
        </w:rPr>
        <w:t>采购文件</w:t>
      </w:r>
      <w:r>
        <w:rPr>
          <w:rFonts w:hint="eastAsia" w:ascii="仿宋" w:hAnsi="仿宋" w:eastAsia="仿宋" w:cs="仿宋"/>
          <w:bCs/>
          <w:color w:val="auto"/>
          <w:kern w:val="0"/>
          <w:sz w:val="24"/>
          <w:highlight w:val="none"/>
        </w:rPr>
        <w:t>公告：</w:t>
      </w:r>
      <w:r>
        <w:rPr>
          <w:rFonts w:hint="eastAsia" w:ascii="仿宋" w:hAnsi="仿宋" w:eastAsia="仿宋" w:cs="仿宋"/>
          <w:bCs/>
          <w:color w:val="auto"/>
          <w:kern w:val="0"/>
          <w:sz w:val="24"/>
          <w:highlight w:val="none"/>
          <w:u w:val="single"/>
        </w:rPr>
        <w:t>是/否</w:t>
      </w:r>
      <w:r>
        <w:rPr>
          <w:rFonts w:hint="eastAsia" w:ascii="仿宋" w:hAnsi="仿宋" w:eastAsia="仿宋" w:cs="仿宋"/>
          <w:bCs/>
          <w:color w:val="auto"/>
          <w:kern w:val="0"/>
          <w:sz w:val="24"/>
          <w:highlight w:val="none"/>
        </w:rPr>
        <w:t>公告期限：</w:t>
      </w:r>
      <w:r>
        <w:rPr>
          <w:rFonts w:hint="eastAsia" w:ascii="仿宋" w:hAnsi="仿宋" w:eastAsia="仿宋" w:cs="仿宋"/>
          <w:bCs/>
          <w:color w:val="auto"/>
          <w:kern w:val="0"/>
          <w:sz w:val="24"/>
          <w:highlight w:val="none"/>
          <w:u w:val="single"/>
        </w:rPr>
        <w:t xml:space="preserve">                                                       </w:t>
      </w:r>
    </w:p>
    <w:p w14:paraId="4CCA174C">
      <w:pPr>
        <w:spacing w:line="360" w:lineRule="auto"/>
        <w:ind w:left="25" w:leftChars="12" w:firstLine="472" w:firstLineChars="197"/>
        <w:rPr>
          <w:rFonts w:hint="eastAsia" w:ascii="仿宋" w:hAnsi="仿宋" w:eastAsia="仿宋" w:cs="仿宋"/>
          <w:b/>
          <w:color w:val="auto"/>
          <w:kern w:val="0"/>
          <w:sz w:val="24"/>
          <w:highlight w:val="none"/>
        </w:rPr>
      </w:pPr>
      <w:r>
        <w:rPr>
          <w:rFonts w:hint="eastAsia" w:ascii="仿宋" w:hAnsi="仿宋" w:eastAsia="仿宋" w:cs="仿宋"/>
          <w:bCs/>
          <w:color w:val="auto"/>
          <w:kern w:val="0"/>
          <w:sz w:val="24"/>
          <w:highlight w:val="none"/>
        </w:rPr>
        <w:t>采购结果公告：</w:t>
      </w:r>
      <w:r>
        <w:rPr>
          <w:rFonts w:hint="eastAsia" w:ascii="仿宋" w:hAnsi="仿宋" w:eastAsia="仿宋" w:cs="仿宋"/>
          <w:bCs/>
          <w:color w:val="auto"/>
          <w:kern w:val="0"/>
          <w:sz w:val="24"/>
          <w:highlight w:val="none"/>
          <w:u w:val="single"/>
        </w:rPr>
        <w:t>是/否</w:t>
      </w:r>
      <w:r>
        <w:rPr>
          <w:rFonts w:hint="eastAsia" w:ascii="仿宋" w:hAnsi="仿宋" w:eastAsia="仿宋" w:cs="仿宋"/>
          <w:bCs/>
          <w:color w:val="auto"/>
          <w:kern w:val="0"/>
          <w:sz w:val="24"/>
          <w:highlight w:val="none"/>
        </w:rPr>
        <w:t>公告期限：</w:t>
      </w:r>
      <w:r>
        <w:rPr>
          <w:rFonts w:hint="eastAsia" w:ascii="仿宋" w:hAnsi="仿宋" w:eastAsia="仿宋" w:cs="仿宋"/>
          <w:bCs/>
          <w:color w:val="auto"/>
          <w:kern w:val="0"/>
          <w:sz w:val="24"/>
          <w:highlight w:val="none"/>
          <w:u w:val="single"/>
        </w:rPr>
        <w:t xml:space="preserve">                                                       </w:t>
      </w:r>
    </w:p>
    <w:p w14:paraId="782EBB5C">
      <w:pPr>
        <w:spacing w:line="360" w:lineRule="auto"/>
        <w:ind w:left="25" w:leftChars="12"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三、质疑基本情况</w:t>
      </w:r>
    </w:p>
    <w:p w14:paraId="4AD03B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kern w:val="0"/>
          <w:sz w:val="24"/>
          <w:highlight w:val="none"/>
          <w:u w:val="single"/>
        </w:rPr>
      </w:pPr>
      <w:r>
        <w:rPr>
          <w:rFonts w:hint="eastAsia" w:ascii="仿宋" w:hAnsi="仿宋" w:eastAsia="仿宋" w:cs="仿宋"/>
          <w:color w:val="auto"/>
          <w:kern w:val="0"/>
          <w:sz w:val="24"/>
          <w:highlight w:val="none"/>
        </w:rPr>
        <w:t>投诉人于</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日，向</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提出质疑，质疑事项为：</w:t>
      </w:r>
      <w:r>
        <w:rPr>
          <w:rFonts w:hint="eastAsia" w:ascii="仿宋" w:hAnsi="仿宋" w:eastAsia="仿宋" w:cs="仿宋"/>
          <w:bCs/>
          <w:color w:val="auto"/>
          <w:kern w:val="0"/>
          <w:sz w:val="24"/>
          <w:highlight w:val="none"/>
          <w:u w:val="single"/>
        </w:rPr>
        <w:t xml:space="preserve">                                                                                      </w:t>
      </w:r>
    </w:p>
    <w:p w14:paraId="6FC3342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u w:val="single"/>
        </w:rPr>
        <w:t>采购人/代理机构</w:t>
      </w:r>
      <w:r>
        <w:rPr>
          <w:rFonts w:hint="eastAsia" w:ascii="仿宋" w:hAnsi="仿宋" w:eastAsia="仿宋" w:cs="仿宋"/>
          <w:bCs/>
          <w:color w:val="auto"/>
          <w:kern w:val="0"/>
          <w:sz w:val="24"/>
          <w:highlight w:val="none"/>
        </w:rPr>
        <w:t>于</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日，</w:t>
      </w:r>
      <w:r>
        <w:rPr>
          <w:rFonts w:hint="eastAsia" w:ascii="仿宋" w:hAnsi="仿宋" w:eastAsia="仿宋" w:cs="仿宋"/>
          <w:bCs/>
          <w:color w:val="auto"/>
          <w:kern w:val="0"/>
          <w:sz w:val="24"/>
          <w:highlight w:val="none"/>
        </w:rPr>
        <w:t xml:space="preserve">就质疑事项作出了答复/没有在法定期限内作出答复。                                                                                             </w:t>
      </w:r>
    </w:p>
    <w:p w14:paraId="2391767A">
      <w:pPr>
        <w:spacing w:line="360" w:lineRule="auto"/>
        <w:ind w:left="25" w:leftChars="12"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四、投诉事项具体内容</w:t>
      </w:r>
    </w:p>
    <w:p w14:paraId="2246681E">
      <w:pPr>
        <w:spacing w:line="360" w:lineRule="auto"/>
        <w:ind w:left="25" w:leftChars="12" w:firstLine="472" w:firstLineChars="197"/>
        <w:rPr>
          <w:rFonts w:hint="eastAsia" w:ascii="仿宋" w:hAnsi="仿宋" w:eastAsia="仿宋" w:cs="仿宋"/>
          <w:bCs/>
          <w:color w:val="auto"/>
          <w:kern w:val="0"/>
          <w:sz w:val="24"/>
          <w:highlight w:val="none"/>
          <w:u w:val="single"/>
        </w:rPr>
      </w:pPr>
      <w:r>
        <w:rPr>
          <w:rFonts w:hint="eastAsia" w:ascii="仿宋" w:hAnsi="仿宋" w:eastAsia="仿宋" w:cs="仿宋"/>
          <w:color w:val="auto"/>
          <w:kern w:val="0"/>
          <w:sz w:val="24"/>
          <w:highlight w:val="none"/>
        </w:rPr>
        <w:t>投诉事项1：</w:t>
      </w:r>
      <w:r>
        <w:rPr>
          <w:rFonts w:hint="eastAsia" w:ascii="仿宋" w:hAnsi="仿宋" w:eastAsia="仿宋" w:cs="仿宋"/>
          <w:bCs/>
          <w:color w:val="auto"/>
          <w:kern w:val="0"/>
          <w:sz w:val="24"/>
          <w:highlight w:val="none"/>
          <w:u w:val="single"/>
        </w:rPr>
        <w:t xml:space="preserve">                                                                           </w:t>
      </w:r>
    </w:p>
    <w:p w14:paraId="67D6FC9C">
      <w:pPr>
        <w:spacing w:line="360" w:lineRule="auto"/>
        <w:ind w:firstLine="480" w:firstLineChars="200"/>
        <w:rPr>
          <w:rFonts w:hint="eastAsia" w:ascii="仿宋" w:hAnsi="仿宋" w:eastAsia="仿宋" w:cs="仿宋"/>
          <w:bCs/>
          <w:color w:val="auto"/>
          <w:kern w:val="0"/>
          <w:sz w:val="24"/>
          <w:highlight w:val="none"/>
          <w:u w:val="single"/>
        </w:rPr>
      </w:pPr>
      <w:r>
        <w:rPr>
          <w:rFonts w:hint="eastAsia" w:ascii="仿宋" w:hAnsi="仿宋" w:eastAsia="仿宋" w:cs="仿宋"/>
          <w:bCs/>
          <w:color w:val="auto"/>
          <w:kern w:val="0"/>
          <w:sz w:val="24"/>
          <w:highlight w:val="none"/>
        </w:rPr>
        <w:t>事实依据：</w:t>
      </w:r>
      <w:r>
        <w:rPr>
          <w:rFonts w:hint="eastAsia" w:ascii="仿宋" w:hAnsi="仿宋" w:eastAsia="仿宋" w:cs="仿宋"/>
          <w:color w:val="auto"/>
          <w:kern w:val="0"/>
          <w:sz w:val="24"/>
          <w:highlight w:val="none"/>
        </w:rPr>
        <w:t xml:space="preserve"> </w:t>
      </w:r>
      <w:r>
        <w:rPr>
          <w:rFonts w:hint="eastAsia" w:ascii="仿宋" w:hAnsi="仿宋" w:eastAsia="仿宋" w:cs="仿宋"/>
          <w:bCs/>
          <w:color w:val="auto"/>
          <w:kern w:val="0"/>
          <w:sz w:val="24"/>
          <w:highlight w:val="none"/>
          <w:u w:val="single"/>
        </w:rPr>
        <w:t xml:space="preserve">                                                                                      </w:t>
      </w:r>
    </w:p>
    <w:p w14:paraId="3DA8CA0F">
      <w:pPr>
        <w:spacing w:line="360" w:lineRule="auto"/>
        <w:ind w:left="25" w:leftChars="12" w:firstLine="472" w:firstLineChars="197"/>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u w:val="single"/>
        </w:rPr>
        <w:t xml:space="preserve">                                                                                        </w:t>
      </w:r>
    </w:p>
    <w:p w14:paraId="53FC6476">
      <w:pPr>
        <w:spacing w:line="360" w:lineRule="auto"/>
        <w:ind w:firstLine="480" w:firstLineChars="200"/>
        <w:rPr>
          <w:rFonts w:hint="eastAsia" w:ascii="仿宋" w:hAnsi="仿宋" w:eastAsia="仿宋" w:cs="仿宋"/>
          <w:bCs/>
          <w:color w:val="auto"/>
          <w:kern w:val="0"/>
          <w:sz w:val="24"/>
          <w:highlight w:val="none"/>
          <w:u w:val="single"/>
        </w:rPr>
      </w:pPr>
      <w:r>
        <w:rPr>
          <w:rFonts w:hint="eastAsia" w:ascii="仿宋" w:hAnsi="仿宋" w:eastAsia="仿宋" w:cs="仿宋"/>
          <w:bCs/>
          <w:color w:val="auto"/>
          <w:kern w:val="0"/>
          <w:sz w:val="24"/>
          <w:highlight w:val="none"/>
        </w:rPr>
        <w:t>法律依据：</w:t>
      </w:r>
      <w:r>
        <w:rPr>
          <w:rFonts w:hint="eastAsia" w:ascii="仿宋" w:hAnsi="仿宋" w:eastAsia="仿宋" w:cs="仿宋"/>
          <w:color w:val="auto"/>
          <w:kern w:val="0"/>
          <w:sz w:val="24"/>
          <w:highlight w:val="none"/>
        </w:rPr>
        <w:t xml:space="preserve"> </w:t>
      </w:r>
      <w:r>
        <w:rPr>
          <w:rFonts w:hint="eastAsia" w:ascii="仿宋" w:hAnsi="仿宋" w:eastAsia="仿宋" w:cs="仿宋"/>
          <w:bCs/>
          <w:color w:val="auto"/>
          <w:kern w:val="0"/>
          <w:sz w:val="24"/>
          <w:highlight w:val="none"/>
          <w:u w:val="single"/>
        </w:rPr>
        <w:t xml:space="preserve">                                                                                      </w:t>
      </w:r>
    </w:p>
    <w:p w14:paraId="37F7EB00">
      <w:pPr>
        <w:spacing w:line="360" w:lineRule="auto"/>
        <w:ind w:left="25" w:leftChars="12" w:firstLine="352" w:firstLineChars="147"/>
        <w:rPr>
          <w:rFonts w:hint="eastAsia" w:ascii="仿宋" w:hAnsi="仿宋" w:eastAsia="仿宋" w:cs="仿宋"/>
          <w:bCs/>
          <w:color w:val="auto"/>
          <w:kern w:val="0"/>
          <w:sz w:val="24"/>
          <w:highlight w:val="none"/>
          <w:u w:val="single"/>
        </w:rPr>
      </w:pPr>
      <w:r>
        <w:rPr>
          <w:rFonts w:hint="eastAsia" w:ascii="仿宋" w:hAnsi="仿宋" w:eastAsia="仿宋" w:cs="仿宋"/>
          <w:bCs/>
          <w:color w:val="auto"/>
          <w:kern w:val="0"/>
          <w:sz w:val="24"/>
          <w:highlight w:val="none"/>
        </w:rPr>
        <w:t xml:space="preserve"> </w:t>
      </w:r>
      <w:r>
        <w:rPr>
          <w:rFonts w:hint="eastAsia" w:ascii="仿宋" w:hAnsi="仿宋" w:eastAsia="仿宋" w:cs="仿宋"/>
          <w:bCs/>
          <w:color w:val="auto"/>
          <w:kern w:val="0"/>
          <w:sz w:val="24"/>
          <w:highlight w:val="none"/>
          <w:u w:val="single"/>
        </w:rPr>
        <w:t xml:space="preserve">                                                                                        </w:t>
      </w:r>
    </w:p>
    <w:p w14:paraId="7F86E6E2">
      <w:pPr>
        <w:spacing w:line="360" w:lineRule="auto"/>
        <w:ind w:left="25" w:leftChars="12" w:firstLine="472" w:firstLineChars="197"/>
        <w:rPr>
          <w:rFonts w:hint="eastAsia" w:ascii="仿宋" w:hAnsi="仿宋" w:eastAsia="仿宋" w:cs="仿宋"/>
          <w:bCs/>
          <w:color w:val="auto"/>
          <w:kern w:val="0"/>
          <w:sz w:val="24"/>
          <w:highlight w:val="none"/>
        </w:rPr>
      </w:pPr>
      <w:r>
        <w:rPr>
          <w:rFonts w:hint="eastAsia" w:ascii="仿宋" w:hAnsi="仿宋" w:eastAsia="仿宋" w:cs="仿宋"/>
          <w:color w:val="auto"/>
          <w:kern w:val="0"/>
          <w:sz w:val="24"/>
          <w:highlight w:val="none"/>
        </w:rPr>
        <w:t xml:space="preserve">投诉事项2  </w:t>
      </w:r>
      <w:r>
        <w:rPr>
          <w:rFonts w:hint="eastAsia" w:ascii="仿宋" w:hAnsi="仿宋" w:eastAsia="仿宋" w:cs="仿宋"/>
          <w:bCs/>
          <w:color w:val="auto"/>
          <w:kern w:val="0"/>
          <w:sz w:val="24"/>
          <w:highlight w:val="none"/>
        </w:rPr>
        <w:t xml:space="preserve">   </w:t>
      </w:r>
    </w:p>
    <w:p w14:paraId="4FF519BC">
      <w:pPr>
        <w:spacing w:line="360" w:lineRule="auto"/>
        <w:ind w:left="25" w:leftChars="12" w:firstLine="472" w:firstLineChars="197"/>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w:t>
      </w:r>
    </w:p>
    <w:p w14:paraId="0F48A817">
      <w:pPr>
        <w:spacing w:line="360" w:lineRule="auto"/>
        <w:ind w:left="25" w:leftChars="12"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五、与投诉事项相关的投诉请求：</w:t>
      </w:r>
    </w:p>
    <w:p w14:paraId="4AD8508E">
      <w:pPr>
        <w:spacing w:line="360" w:lineRule="auto"/>
        <w:ind w:left="25" w:leftChars="12" w:firstLine="472" w:firstLineChars="19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请求：</w:t>
      </w:r>
      <w:r>
        <w:rPr>
          <w:rFonts w:hint="eastAsia" w:ascii="仿宋" w:hAnsi="仿宋" w:eastAsia="仿宋" w:cs="仿宋"/>
          <w:bCs/>
          <w:color w:val="auto"/>
          <w:kern w:val="0"/>
          <w:sz w:val="24"/>
          <w:highlight w:val="none"/>
          <w:u w:val="single"/>
        </w:rPr>
        <w:t xml:space="preserve">                                                                                 </w:t>
      </w:r>
    </w:p>
    <w:p w14:paraId="79BEB4DE">
      <w:pPr>
        <w:spacing w:line="360" w:lineRule="auto"/>
        <w:ind w:left="25" w:leftChars="12" w:firstLine="352" w:firstLineChars="147"/>
        <w:rPr>
          <w:rFonts w:hint="eastAsia" w:ascii="仿宋" w:hAnsi="仿宋" w:eastAsia="仿宋" w:cs="仿宋"/>
          <w:color w:val="auto"/>
          <w:kern w:val="0"/>
          <w:sz w:val="24"/>
          <w:highlight w:val="none"/>
        </w:rPr>
      </w:pPr>
    </w:p>
    <w:p w14:paraId="236942C7">
      <w:pPr>
        <w:spacing w:line="360" w:lineRule="auto"/>
        <w:ind w:left="25" w:leftChars="12" w:firstLine="472" w:firstLineChars="19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签字（签章）：                                       公章：</w:t>
      </w:r>
    </w:p>
    <w:p w14:paraId="703245FE">
      <w:pPr>
        <w:spacing w:line="360" w:lineRule="auto"/>
        <w:ind w:left="25" w:leftChars="12" w:firstLine="352" w:firstLineChars="147"/>
        <w:rPr>
          <w:rFonts w:hint="eastAsia" w:ascii="仿宋" w:hAnsi="仿宋" w:eastAsia="仿宋" w:cs="仿宋"/>
          <w:color w:val="auto"/>
          <w:kern w:val="0"/>
          <w:sz w:val="24"/>
          <w:highlight w:val="none"/>
        </w:rPr>
      </w:pPr>
    </w:p>
    <w:p w14:paraId="55D5E0A7">
      <w:pPr>
        <w:spacing w:line="360" w:lineRule="auto"/>
        <w:ind w:left="25" w:leftChars="12" w:firstLine="472" w:firstLineChars="19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w:t>
      </w:r>
    </w:p>
    <w:p w14:paraId="18CA11B3">
      <w:pPr>
        <w:spacing w:line="360" w:lineRule="auto"/>
        <w:ind w:left="25" w:leftChars="12" w:firstLine="472" w:firstLineChars="197"/>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rPr>
        <w:t xml:space="preserve">                                                                                 </w:t>
      </w:r>
    </w:p>
    <w:p w14:paraId="0CBE8177">
      <w:pPr>
        <w:snapToGrid w:val="0"/>
        <w:spacing w:line="360" w:lineRule="auto"/>
        <w:rPr>
          <w:rFonts w:hint="eastAsia" w:ascii="仿宋" w:hAnsi="仿宋" w:eastAsia="仿宋" w:cs="仿宋"/>
          <w:b/>
          <w:color w:val="auto"/>
          <w:kern w:val="0"/>
          <w:sz w:val="24"/>
          <w:highlight w:val="none"/>
        </w:rPr>
      </w:pPr>
    </w:p>
    <w:p w14:paraId="46AD8938">
      <w:pPr>
        <w:snapToGrid w:val="0"/>
        <w:spacing w:line="360" w:lineRule="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说明：</w:t>
      </w:r>
    </w:p>
    <w:p w14:paraId="17F53616">
      <w:pPr>
        <w:spacing w:line="360" w:lineRule="auto"/>
        <w:ind w:left="25" w:leftChars="12" w:firstLine="354" w:firstLineChars="147"/>
        <w:rPr>
          <w:rFonts w:hint="eastAsia" w:ascii="仿宋" w:hAnsi="仿宋" w:eastAsia="仿宋" w:cs="仿宋"/>
          <w:b/>
          <w:bCs/>
          <w:color w:val="auto"/>
          <w:kern w:val="0"/>
          <w:sz w:val="24"/>
          <w:highlight w:val="none"/>
        </w:rPr>
      </w:pPr>
      <w:r>
        <w:rPr>
          <w:rFonts w:hint="eastAsia" w:ascii="仿宋" w:hAnsi="仿宋" w:eastAsia="仿宋" w:cs="仿宋"/>
          <w:b/>
          <w:color w:val="auto"/>
          <w:kern w:val="0"/>
          <w:sz w:val="24"/>
          <w:highlight w:val="none"/>
        </w:rPr>
        <w:t>1.投诉人提起投诉时，应当提交投诉书和必要的证明材料，并按照被投诉人和与投诉事项有关的供应商数量提供投诉书副本</w:t>
      </w:r>
      <w:r>
        <w:rPr>
          <w:rFonts w:hint="eastAsia" w:ascii="仿宋" w:hAnsi="仿宋" w:eastAsia="仿宋" w:cs="仿宋"/>
          <w:b/>
          <w:bCs/>
          <w:color w:val="auto"/>
          <w:kern w:val="0"/>
          <w:sz w:val="24"/>
          <w:highlight w:val="none"/>
        </w:rPr>
        <w:t>。</w:t>
      </w:r>
    </w:p>
    <w:p w14:paraId="7C8D0F5E">
      <w:pPr>
        <w:spacing w:line="360" w:lineRule="auto"/>
        <w:ind w:left="25" w:leftChars="12" w:firstLine="354" w:firstLineChars="147"/>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41814A0">
      <w:pPr>
        <w:spacing w:line="360" w:lineRule="auto"/>
        <w:ind w:left="25" w:leftChars="12" w:firstLine="354" w:firstLineChars="147"/>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3.投诉书应简要列明质疑事项，质疑函、质疑答复等作为附件材料提供。</w:t>
      </w:r>
    </w:p>
    <w:p w14:paraId="050BC8C4">
      <w:pPr>
        <w:spacing w:line="360" w:lineRule="auto"/>
        <w:ind w:left="25" w:leftChars="12" w:firstLine="354" w:firstLineChars="147"/>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4.投诉书的投诉事项应具体、明确，并有必要的事实依据和法律依据。</w:t>
      </w:r>
    </w:p>
    <w:p w14:paraId="2754C6D1">
      <w:pPr>
        <w:spacing w:line="360" w:lineRule="auto"/>
        <w:ind w:left="25" w:leftChars="12" w:firstLine="354" w:firstLineChars="147"/>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5.投诉书的投诉请求应与投诉事项相关。</w:t>
      </w:r>
    </w:p>
    <w:p w14:paraId="167EA45B">
      <w:pPr>
        <w:spacing w:line="360" w:lineRule="auto"/>
        <w:ind w:left="25" w:leftChars="12" w:firstLine="354" w:firstLineChars="147"/>
        <w:rPr>
          <w:rFonts w:hint="eastAsia" w:ascii="仿宋" w:hAnsi="仿宋" w:eastAsia="仿宋" w:cs="仿宋"/>
          <w:b/>
          <w:color w:val="auto"/>
          <w:kern w:val="0"/>
          <w:sz w:val="20"/>
          <w:szCs w:val="21"/>
          <w:highlight w:val="none"/>
        </w:rPr>
      </w:pPr>
      <w:r>
        <w:rPr>
          <w:rFonts w:hint="eastAsia" w:ascii="仿宋" w:hAnsi="仿宋" w:eastAsia="仿宋" w:cs="仿宋"/>
          <w:b/>
          <w:color w:val="auto"/>
          <w:kern w:val="0"/>
          <w:sz w:val="24"/>
          <w:highlight w:val="none"/>
        </w:rPr>
        <w:t>6.投诉人为法人或者其他组织的，投诉书应由法定代表人、主要负责人，或者其授权代表签字或者盖章，并加盖公章。</w:t>
      </w:r>
    </w:p>
    <w:p w14:paraId="309DFDED">
      <w:pPr>
        <w:pStyle w:val="18"/>
        <w:spacing w:line="360" w:lineRule="auto"/>
        <w:rPr>
          <w:rFonts w:hint="eastAsia" w:hAnsi="宋体"/>
          <w:b/>
          <w:color w:val="auto"/>
          <w:highlight w:val="none"/>
        </w:rPr>
      </w:pPr>
    </w:p>
    <w:sectPr>
      <w:pgSz w:w="11911" w:h="16838"/>
      <w:pgMar w:top="1338" w:right="1502" w:bottom="850" w:left="1678" w:header="1077" w:footer="720" w:gutter="0"/>
      <w:pgNumType w:fmt="decimal"/>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F790C">
    <w:pPr>
      <w:pStyle w:val="21"/>
      <w:tabs>
        <w:tab w:val="center" w:pos="4439"/>
        <w:tab w:val="clear" w:pos="4153"/>
      </w:tabs>
      <w:jc w:val="both"/>
    </w:pPr>
  </w:p>
  <w:p w14:paraId="7A7F7015">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53478">
    <w:pPr>
      <w:pStyle w:val="21"/>
      <w:tabs>
        <w:tab w:val="center" w:pos="443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83FFE9"/>
                      </w:txbxContent>
                    </wps:txbx>
                    <wps:bodyPr wrap="none" lIns="0" tIns="0" rIns="0" bIns="0" upright="0">
                      <a:spAutoFit/>
                    </wps:bodyPr>
                  </wps:wsp>
                </a:graphicData>
              </a:graphic>
            </wp:anchor>
          </w:drawing>
        </mc:Choice>
        <mc:Fallback>
          <w:pict>
            <v:shape id="文本框 51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eFz+ssBAACcAwAADgAAAGRycy9lMm9Eb2MueG1srVNNrtMwEN4jcQfL&#10;e+q0CF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zylx3OLAL9+/XX78uvz8Sl4s&#10;V6+yQn2AGhPvAqam4Y0fcG9mP6AzEx9UtPmLlAjGUd/zVV85JCLyo/Vqva4wJDA2XxCf3T8PEdJb&#10;6S3JRkMjDrDoyk/vIY2pc0qu5vytNqYM0bi/HIiZPSz3PvaYrTTsh4nQ3rdn5NPj7BvqcNUpMe8c&#10;SpvXZDbibOxn4xiiPnRlj3I9CK+PCZsoveUKI+xUGIdW2E0Llrfiz3vJuv+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Xhc/rLAQAAnAMAAA4AAAAAAAAAAQAgAAAAHgEAAGRycy9lMm9E&#10;b2MueG1sUEsFBgAAAAAGAAYAWQEAAFsFAAAAAA==&#10;">
              <v:fill on="f" focussize="0,0"/>
              <v:stroke on="f"/>
              <v:imagedata o:title=""/>
              <o:lock v:ext="edit" aspectratio="f"/>
              <v:textbox inset="0mm,0mm,0mm,0mm" style="mso-fit-shape-to-text:t;">
                <w:txbxContent>
                  <w:p w14:paraId="2683FFE9"/>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20C6F">
    <w:pPr>
      <w:pStyle w:val="21"/>
      <w:tabs>
        <w:tab w:val="center" w:pos="4439"/>
        <w:tab w:val="clear" w:pos="4153"/>
      </w:tabs>
      <w:jc w:val="both"/>
    </w:pPr>
  </w:p>
  <w:p w14:paraId="4E599F00">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8F2BB">
    <w:pPr>
      <w:pStyle w:val="21"/>
      <w:tabs>
        <w:tab w:val="center" w:pos="4365"/>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B317B6">
                          <w:pPr>
                            <w:pStyle w:val="21"/>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51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Cwn47d8BAADBAwAADgAAAAAA&#10;AAABACAAAAAeAQAAZHJzL2Uyb0RvYy54bWxQSwUGAAAAAAYABgBZAQAAbwUAAAAA&#10;">
              <v:fill on="f" focussize="0,0"/>
              <v:stroke on="f"/>
              <v:imagedata o:title=""/>
              <o:lock v:ext="edit" aspectratio="f"/>
              <v:textbox inset="0mm,0mm,0mm,0mm" style="mso-fit-shape-to-text:t;">
                <w:txbxContent>
                  <w:p w14:paraId="79B317B6">
                    <w:pPr>
                      <w:pStyle w:val="2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p w14:paraId="394F10D2">
    <w:pPr>
      <w:pStyle w:val="2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179F9">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F9F2CB">
                          <w:pPr>
                            <w:pStyle w:val="21"/>
                            <w:jc w:val="center"/>
                          </w:pPr>
                          <w:r>
                            <w:fldChar w:fldCharType="begin"/>
                          </w:r>
                          <w:r>
                            <w:instrText xml:space="preserve"> PAGE  \* MERGEFORMAT </w:instrText>
                          </w:r>
                          <w:r>
                            <w:fldChar w:fldCharType="separate"/>
                          </w:r>
                          <w:r>
                            <w:t>101</w:t>
                          </w:r>
                          <w:r>
                            <w:fldChar w:fldCharType="end"/>
                          </w:r>
                        </w:p>
                      </w:txbxContent>
                    </wps:txbx>
                    <wps:bodyPr vert="horz" wrap="none" lIns="0" tIns="0" rIns="0" bIns="0" anchor="t" anchorCtr="0" upright="0">
                      <a:spAutoFit/>
                    </wps:bodyPr>
                  </wps:wsp>
                </a:graphicData>
              </a:graphic>
            </wp:anchor>
          </w:drawing>
        </mc:Choice>
        <mc:Fallback>
          <w:pict>
            <v:shape id="文本框 51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duGRc4QEAAMEDAAAOAAAA&#10;AAAAAAEAIAAAAB4BAABkcnMvZTJvRG9jLnhtbFBLBQYAAAAABgAGAFkBAABxBQAAAAA=&#10;">
              <v:fill on="f" focussize="0,0"/>
              <v:stroke on="f"/>
              <v:imagedata o:title=""/>
              <o:lock v:ext="edit" aspectratio="f"/>
              <v:textbox inset="0mm,0mm,0mm,0mm" style="mso-fit-shape-to-text:t;">
                <w:txbxContent>
                  <w:p w14:paraId="65F9F2CB">
                    <w:pPr>
                      <w:pStyle w:val="21"/>
                      <w:jc w:val="center"/>
                    </w:pPr>
                    <w:r>
                      <w:fldChar w:fldCharType="begin"/>
                    </w:r>
                    <w:r>
                      <w:instrText xml:space="preserve"> PAGE  \* MERGEFORMAT </w:instrText>
                    </w:r>
                    <w:r>
                      <w:fldChar w:fldCharType="separate"/>
                    </w:r>
                    <w:r>
                      <w:t>101</w:t>
                    </w:r>
                    <w:r>
                      <w:fldChar w:fldCharType="end"/>
                    </w:r>
                  </w:p>
                </w:txbxContent>
              </v:textbox>
            </v:shape>
          </w:pict>
        </mc:Fallback>
      </mc:AlternateContent>
    </w:r>
  </w:p>
  <w:p w14:paraId="44390A27">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55E82">
    <w:pPr>
      <w:pStyle w:val="22"/>
      <w:tabs>
        <w:tab w:val="center" w:pos="0"/>
        <w:tab w:val="clear" w:pos="4153"/>
      </w:tabs>
    </w:pPr>
    <w:r>
      <w:rPr>
        <w:rFonts w:hint="eastAsia"/>
        <w:lang w:eastAsia="zh-CN"/>
      </w:rPr>
      <w:t>梧州市公安局城东派出所执法办案管理区建设项目WZZC2022-J1-0XXXX-HRCW</w:t>
    </w:r>
  </w:p>
  <w:p w14:paraId="6EDACC52">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12116">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1A71E1"/>
    <w:multiLevelType w:val="singleLevel"/>
    <w:tmpl w:val="9B1A71E1"/>
    <w:lvl w:ilvl="0" w:tentative="0">
      <w:start w:val="1"/>
      <w:numFmt w:val="decimal"/>
      <w:lvlText w:val="%1."/>
      <w:lvlJc w:val="left"/>
      <w:pPr>
        <w:tabs>
          <w:tab w:val="left" w:pos="312"/>
        </w:tabs>
      </w:pPr>
    </w:lvl>
  </w:abstractNum>
  <w:abstractNum w:abstractNumId="1">
    <w:nsid w:val="E480C857"/>
    <w:multiLevelType w:val="singleLevel"/>
    <w:tmpl w:val="E480C857"/>
    <w:lvl w:ilvl="0" w:tentative="0">
      <w:start w:val="1"/>
      <w:numFmt w:val="decimal"/>
      <w:lvlText w:val="%1."/>
      <w:lvlJc w:val="left"/>
      <w:pPr>
        <w:tabs>
          <w:tab w:val="left" w:pos="312"/>
        </w:tabs>
      </w:pPr>
    </w:lvl>
  </w:abstractNum>
  <w:abstractNum w:abstractNumId="2">
    <w:nsid w:val="FEBA2EF0"/>
    <w:multiLevelType w:val="singleLevel"/>
    <w:tmpl w:val="FEBA2EF0"/>
    <w:lvl w:ilvl="0" w:tentative="0">
      <w:start w:val="1"/>
      <w:numFmt w:val="decimal"/>
      <w:lvlText w:val="%1."/>
      <w:lvlJc w:val="left"/>
      <w:pPr>
        <w:tabs>
          <w:tab w:val="left" w:pos="312"/>
        </w:tabs>
      </w:pPr>
    </w:lvl>
  </w:abstractNum>
  <w:abstractNum w:abstractNumId="3">
    <w:nsid w:val="53BF4777"/>
    <w:multiLevelType w:val="singleLevel"/>
    <w:tmpl w:val="53BF4777"/>
    <w:lvl w:ilvl="0" w:tentative="0">
      <w:start w:val="1"/>
      <w:numFmt w:val="decimal"/>
      <w:lvlText w:val="%1."/>
      <w:lvlJc w:val="left"/>
      <w:pPr>
        <w:tabs>
          <w:tab w:val="left" w:pos="312"/>
        </w:tabs>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jYzQ0OTY1NTFmMGYyNzJkNWNjMWFhOTEzY2M0ZDcifQ=="/>
  </w:docVars>
  <w:rsids>
    <w:rsidRoot w:val="00F34B14"/>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BC9"/>
    <w:rsid w:val="00012854"/>
    <w:rsid w:val="00012B5F"/>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2CD2"/>
    <w:rsid w:val="00024463"/>
    <w:rsid w:val="00025461"/>
    <w:rsid w:val="00025636"/>
    <w:rsid w:val="00025E36"/>
    <w:rsid w:val="00026855"/>
    <w:rsid w:val="00026886"/>
    <w:rsid w:val="00026CF4"/>
    <w:rsid w:val="0002785D"/>
    <w:rsid w:val="000329E0"/>
    <w:rsid w:val="00032DB3"/>
    <w:rsid w:val="00034B5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3E23"/>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4D9"/>
    <w:rsid w:val="00072AED"/>
    <w:rsid w:val="00073F47"/>
    <w:rsid w:val="0007492F"/>
    <w:rsid w:val="00074ED8"/>
    <w:rsid w:val="00075B7E"/>
    <w:rsid w:val="00075F83"/>
    <w:rsid w:val="00077ACA"/>
    <w:rsid w:val="00077C70"/>
    <w:rsid w:val="000813B5"/>
    <w:rsid w:val="00081BA3"/>
    <w:rsid w:val="00081D2E"/>
    <w:rsid w:val="00081F89"/>
    <w:rsid w:val="00082619"/>
    <w:rsid w:val="00082D02"/>
    <w:rsid w:val="00082D4B"/>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977BD"/>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387"/>
    <w:rsid w:val="000B2585"/>
    <w:rsid w:val="000B2BC6"/>
    <w:rsid w:val="000B2D03"/>
    <w:rsid w:val="000B3815"/>
    <w:rsid w:val="000B3C7B"/>
    <w:rsid w:val="000B4321"/>
    <w:rsid w:val="000B6A6B"/>
    <w:rsid w:val="000B6C95"/>
    <w:rsid w:val="000B79FC"/>
    <w:rsid w:val="000C02B1"/>
    <w:rsid w:val="000C1679"/>
    <w:rsid w:val="000C1EE3"/>
    <w:rsid w:val="000C3AE7"/>
    <w:rsid w:val="000C3CC9"/>
    <w:rsid w:val="000C6DE4"/>
    <w:rsid w:val="000C7202"/>
    <w:rsid w:val="000D0A89"/>
    <w:rsid w:val="000D1181"/>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2F16"/>
    <w:rsid w:val="00113678"/>
    <w:rsid w:val="00113C3E"/>
    <w:rsid w:val="00115E11"/>
    <w:rsid w:val="00115EEE"/>
    <w:rsid w:val="00115F56"/>
    <w:rsid w:val="00116CA9"/>
    <w:rsid w:val="00116F38"/>
    <w:rsid w:val="001170A4"/>
    <w:rsid w:val="00117AE7"/>
    <w:rsid w:val="00117CBD"/>
    <w:rsid w:val="0012006A"/>
    <w:rsid w:val="00121979"/>
    <w:rsid w:val="00122064"/>
    <w:rsid w:val="00122C12"/>
    <w:rsid w:val="00123A31"/>
    <w:rsid w:val="00124341"/>
    <w:rsid w:val="00124492"/>
    <w:rsid w:val="00124B12"/>
    <w:rsid w:val="001250A0"/>
    <w:rsid w:val="001263B8"/>
    <w:rsid w:val="0012763E"/>
    <w:rsid w:val="00130217"/>
    <w:rsid w:val="00130783"/>
    <w:rsid w:val="00130A47"/>
    <w:rsid w:val="00130D7C"/>
    <w:rsid w:val="001313DA"/>
    <w:rsid w:val="00131A6A"/>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2862"/>
    <w:rsid w:val="00184F57"/>
    <w:rsid w:val="00185544"/>
    <w:rsid w:val="00185617"/>
    <w:rsid w:val="00186FE1"/>
    <w:rsid w:val="00187A14"/>
    <w:rsid w:val="0019171E"/>
    <w:rsid w:val="00192368"/>
    <w:rsid w:val="001923A0"/>
    <w:rsid w:val="001928B1"/>
    <w:rsid w:val="00193537"/>
    <w:rsid w:val="00193846"/>
    <w:rsid w:val="00195424"/>
    <w:rsid w:val="001955FF"/>
    <w:rsid w:val="001975B5"/>
    <w:rsid w:val="00197EDD"/>
    <w:rsid w:val="001A02B3"/>
    <w:rsid w:val="001A04BB"/>
    <w:rsid w:val="001A08D0"/>
    <w:rsid w:val="001A1B39"/>
    <w:rsid w:val="001A2120"/>
    <w:rsid w:val="001A28C6"/>
    <w:rsid w:val="001A2E69"/>
    <w:rsid w:val="001A3440"/>
    <w:rsid w:val="001A3C34"/>
    <w:rsid w:val="001A3EDE"/>
    <w:rsid w:val="001A4222"/>
    <w:rsid w:val="001A50EA"/>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5E60"/>
    <w:rsid w:val="001B6512"/>
    <w:rsid w:val="001B65D7"/>
    <w:rsid w:val="001B6752"/>
    <w:rsid w:val="001B6768"/>
    <w:rsid w:val="001B6F1F"/>
    <w:rsid w:val="001B7ECC"/>
    <w:rsid w:val="001C025B"/>
    <w:rsid w:val="001C115F"/>
    <w:rsid w:val="001C1EAB"/>
    <w:rsid w:val="001C25A7"/>
    <w:rsid w:val="001C2E56"/>
    <w:rsid w:val="001C318C"/>
    <w:rsid w:val="001C35C4"/>
    <w:rsid w:val="001C35E1"/>
    <w:rsid w:val="001C4287"/>
    <w:rsid w:val="001C433C"/>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9BE"/>
    <w:rsid w:val="001E3B63"/>
    <w:rsid w:val="001E5A94"/>
    <w:rsid w:val="001E5F6F"/>
    <w:rsid w:val="001E68B8"/>
    <w:rsid w:val="001F2001"/>
    <w:rsid w:val="001F2A2E"/>
    <w:rsid w:val="001F3356"/>
    <w:rsid w:val="001F3C63"/>
    <w:rsid w:val="001F4460"/>
    <w:rsid w:val="001F5262"/>
    <w:rsid w:val="001F711A"/>
    <w:rsid w:val="001F75B0"/>
    <w:rsid w:val="00200CE5"/>
    <w:rsid w:val="00200F7C"/>
    <w:rsid w:val="002014DB"/>
    <w:rsid w:val="0020150B"/>
    <w:rsid w:val="00201E12"/>
    <w:rsid w:val="00202B13"/>
    <w:rsid w:val="002032DA"/>
    <w:rsid w:val="002033B5"/>
    <w:rsid w:val="0020382C"/>
    <w:rsid w:val="0020437A"/>
    <w:rsid w:val="0020454C"/>
    <w:rsid w:val="00204740"/>
    <w:rsid w:val="00205129"/>
    <w:rsid w:val="0020521F"/>
    <w:rsid w:val="0020532C"/>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3805"/>
    <w:rsid w:val="00254EAB"/>
    <w:rsid w:val="002557AF"/>
    <w:rsid w:val="0025589C"/>
    <w:rsid w:val="00255B62"/>
    <w:rsid w:val="002566B1"/>
    <w:rsid w:val="002575E3"/>
    <w:rsid w:val="00257A74"/>
    <w:rsid w:val="002603C1"/>
    <w:rsid w:val="002609A1"/>
    <w:rsid w:val="002612B1"/>
    <w:rsid w:val="00266165"/>
    <w:rsid w:val="002662FE"/>
    <w:rsid w:val="00266F2C"/>
    <w:rsid w:val="00270D48"/>
    <w:rsid w:val="0027125E"/>
    <w:rsid w:val="00271767"/>
    <w:rsid w:val="00272293"/>
    <w:rsid w:val="002723C8"/>
    <w:rsid w:val="002725C1"/>
    <w:rsid w:val="00273C2A"/>
    <w:rsid w:val="00273CBE"/>
    <w:rsid w:val="002746B1"/>
    <w:rsid w:val="00274BAD"/>
    <w:rsid w:val="00282D56"/>
    <w:rsid w:val="002835B0"/>
    <w:rsid w:val="002836F1"/>
    <w:rsid w:val="00283C74"/>
    <w:rsid w:val="0028407E"/>
    <w:rsid w:val="0028410F"/>
    <w:rsid w:val="00284572"/>
    <w:rsid w:val="00285221"/>
    <w:rsid w:val="00286FB5"/>
    <w:rsid w:val="00287763"/>
    <w:rsid w:val="00290606"/>
    <w:rsid w:val="002909B2"/>
    <w:rsid w:val="00291D6D"/>
    <w:rsid w:val="00291FF1"/>
    <w:rsid w:val="00292AA2"/>
    <w:rsid w:val="00292BF7"/>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17B"/>
    <w:rsid w:val="002B058D"/>
    <w:rsid w:val="002B0C16"/>
    <w:rsid w:val="002B2AC5"/>
    <w:rsid w:val="002B3528"/>
    <w:rsid w:val="002B3539"/>
    <w:rsid w:val="002B4532"/>
    <w:rsid w:val="002B5042"/>
    <w:rsid w:val="002B69CC"/>
    <w:rsid w:val="002B6D71"/>
    <w:rsid w:val="002C0C1C"/>
    <w:rsid w:val="002C54C2"/>
    <w:rsid w:val="002C5D34"/>
    <w:rsid w:val="002C60BB"/>
    <w:rsid w:val="002C661A"/>
    <w:rsid w:val="002D0D6F"/>
    <w:rsid w:val="002D25FC"/>
    <w:rsid w:val="002D4AC6"/>
    <w:rsid w:val="002D5BF5"/>
    <w:rsid w:val="002D5E95"/>
    <w:rsid w:val="002D5EE8"/>
    <w:rsid w:val="002D7150"/>
    <w:rsid w:val="002D7360"/>
    <w:rsid w:val="002D7648"/>
    <w:rsid w:val="002E109C"/>
    <w:rsid w:val="002E193E"/>
    <w:rsid w:val="002E1A94"/>
    <w:rsid w:val="002E1D55"/>
    <w:rsid w:val="002E1F3E"/>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1EC6"/>
    <w:rsid w:val="00302EFC"/>
    <w:rsid w:val="00303243"/>
    <w:rsid w:val="00303BCC"/>
    <w:rsid w:val="00303D4A"/>
    <w:rsid w:val="00303F2B"/>
    <w:rsid w:val="00303F8D"/>
    <w:rsid w:val="0030572D"/>
    <w:rsid w:val="0030586A"/>
    <w:rsid w:val="0030622D"/>
    <w:rsid w:val="00306811"/>
    <w:rsid w:val="00306F32"/>
    <w:rsid w:val="003074C5"/>
    <w:rsid w:val="00307A3C"/>
    <w:rsid w:val="00307FA4"/>
    <w:rsid w:val="00310290"/>
    <w:rsid w:val="0031083D"/>
    <w:rsid w:val="00310CC1"/>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4EC2"/>
    <w:rsid w:val="003255AF"/>
    <w:rsid w:val="003256EB"/>
    <w:rsid w:val="003259DB"/>
    <w:rsid w:val="003314D9"/>
    <w:rsid w:val="00331653"/>
    <w:rsid w:val="0033194F"/>
    <w:rsid w:val="00331A48"/>
    <w:rsid w:val="00331BCC"/>
    <w:rsid w:val="003330C9"/>
    <w:rsid w:val="0033364C"/>
    <w:rsid w:val="00334415"/>
    <w:rsid w:val="00335EA1"/>
    <w:rsid w:val="0033691E"/>
    <w:rsid w:val="00336A6A"/>
    <w:rsid w:val="00336CCB"/>
    <w:rsid w:val="003411D1"/>
    <w:rsid w:val="003416BA"/>
    <w:rsid w:val="00342148"/>
    <w:rsid w:val="00342F99"/>
    <w:rsid w:val="0034575A"/>
    <w:rsid w:val="00345F57"/>
    <w:rsid w:val="00346E7F"/>
    <w:rsid w:val="00350458"/>
    <w:rsid w:val="00350E6C"/>
    <w:rsid w:val="003518A6"/>
    <w:rsid w:val="00351E7F"/>
    <w:rsid w:val="00351FCB"/>
    <w:rsid w:val="003525A7"/>
    <w:rsid w:val="00352953"/>
    <w:rsid w:val="00354062"/>
    <w:rsid w:val="0035459E"/>
    <w:rsid w:val="00354A03"/>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2DA"/>
    <w:rsid w:val="003A5728"/>
    <w:rsid w:val="003A60E7"/>
    <w:rsid w:val="003A7092"/>
    <w:rsid w:val="003A72A1"/>
    <w:rsid w:val="003A7611"/>
    <w:rsid w:val="003A7D1F"/>
    <w:rsid w:val="003B0B6A"/>
    <w:rsid w:val="003B22F7"/>
    <w:rsid w:val="003B29CF"/>
    <w:rsid w:val="003B3A90"/>
    <w:rsid w:val="003B53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2BE6"/>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001"/>
    <w:rsid w:val="0040763D"/>
    <w:rsid w:val="00410D17"/>
    <w:rsid w:val="00413442"/>
    <w:rsid w:val="00413821"/>
    <w:rsid w:val="00413BA5"/>
    <w:rsid w:val="004141A3"/>
    <w:rsid w:val="00414909"/>
    <w:rsid w:val="0041582F"/>
    <w:rsid w:val="00416112"/>
    <w:rsid w:val="00417AE0"/>
    <w:rsid w:val="00417BAA"/>
    <w:rsid w:val="0042042B"/>
    <w:rsid w:val="00420B45"/>
    <w:rsid w:val="00420D7A"/>
    <w:rsid w:val="00421257"/>
    <w:rsid w:val="00422193"/>
    <w:rsid w:val="004223DE"/>
    <w:rsid w:val="00422A10"/>
    <w:rsid w:val="004249C0"/>
    <w:rsid w:val="00424D17"/>
    <w:rsid w:val="00425DFD"/>
    <w:rsid w:val="004263A3"/>
    <w:rsid w:val="00427713"/>
    <w:rsid w:val="00427CCC"/>
    <w:rsid w:val="0043013A"/>
    <w:rsid w:val="00430421"/>
    <w:rsid w:val="0043049B"/>
    <w:rsid w:val="00430A36"/>
    <w:rsid w:val="00430B4F"/>
    <w:rsid w:val="00431084"/>
    <w:rsid w:val="004310D7"/>
    <w:rsid w:val="004313D9"/>
    <w:rsid w:val="004322D6"/>
    <w:rsid w:val="00432589"/>
    <w:rsid w:val="00432A94"/>
    <w:rsid w:val="00432C95"/>
    <w:rsid w:val="00433827"/>
    <w:rsid w:val="00433A40"/>
    <w:rsid w:val="00434B70"/>
    <w:rsid w:val="004360C8"/>
    <w:rsid w:val="00436FA4"/>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A9F"/>
    <w:rsid w:val="00450DC6"/>
    <w:rsid w:val="004516A5"/>
    <w:rsid w:val="00451E9C"/>
    <w:rsid w:val="0045280F"/>
    <w:rsid w:val="00452C81"/>
    <w:rsid w:val="004535AE"/>
    <w:rsid w:val="0045444D"/>
    <w:rsid w:val="0045463A"/>
    <w:rsid w:val="00454AC9"/>
    <w:rsid w:val="00455050"/>
    <w:rsid w:val="004554A3"/>
    <w:rsid w:val="00455A6E"/>
    <w:rsid w:val="00455EAD"/>
    <w:rsid w:val="004578EB"/>
    <w:rsid w:val="004604D5"/>
    <w:rsid w:val="00460697"/>
    <w:rsid w:val="0046117B"/>
    <w:rsid w:val="00464AB7"/>
    <w:rsid w:val="00465DE5"/>
    <w:rsid w:val="00467EF8"/>
    <w:rsid w:val="00471FC4"/>
    <w:rsid w:val="00472429"/>
    <w:rsid w:val="004725E5"/>
    <w:rsid w:val="00472751"/>
    <w:rsid w:val="00473128"/>
    <w:rsid w:val="00475078"/>
    <w:rsid w:val="00475767"/>
    <w:rsid w:val="004765FB"/>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797C"/>
    <w:rsid w:val="00497B25"/>
    <w:rsid w:val="004A0404"/>
    <w:rsid w:val="004A0943"/>
    <w:rsid w:val="004A1405"/>
    <w:rsid w:val="004A1FC6"/>
    <w:rsid w:val="004A2E5F"/>
    <w:rsid w:val="004A38C2"/>
    <w:rsid w:val="004A3C03"/>
    <w:rsid w:val="004A3DB7"/>
    <w:rsid w:val="004A5088"/>
    <w:rsid w:val="004A5255"/>
    <w:rsid w:val="004A6CB0"/>
    <w:rsid w:val="004A70FF"/>
    <w:rsid w:val="004A76D5"/>
    <w:rsid w:val="004A7EDE"/>
    <w:rsid w:val="004B0D93"/>
    <w:rsid w:val="004B1FA4"/>
    <w:rsid w:val="004B29AC"/>
    <w:rsid w:val="004B35DF"/>
    <w:rsid w:val="004B3627"/>
    <w:rsid w:val="004B4922"/>
    <w:rsid w:val="004B57DF"/>
    <w:rsid w:val="004B5976"/>
    <w:rsid w:val="004B722E"/>
    <w:rsid w:val="004B72E8"/>
    <w:rsid w:val="004C01A5"/>
    <w:rsid w:val="004C0412"/>
    <w:rsid w:val="004C114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EA4"/>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63EF"/>
    <w:rsid w:val="004F7160"/>
    <w:rsid w:val="00500258"/>
    <w:rsid w:val="00500B2D"/>
    <w:rsid w:val="00501A99"/>
    <w:rsid w:val="00503180"/>
    <w:rsid w:val="005038A4"/>
    <w:rsid w:val="00505450"/>
    <w:rsid w:val="005055C4"/>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171C6"/>
    <w:rsid w:val="00520EF8"/>
    <w:rsid w:val="005210F7"/>
    <w:rsid w:val="00521753"/>
    <w:rsid w:val="0052239D"/>
    <w:rsid w:val="005224EE"/>
    <w:rsid w:val="00522879"/>
    <w:rsid w:val="00523BB1"/>
    <w:rsid w:val="00524839"/>
    <w:rsid w:val="0052570E"/>
    <w:rsid w:val="005260CD"/>
    <w:rsid w:val="00526265"/>
    <w:rsid w:val="0052655D"/>
    <w:rsid w:val="005265E0"/>
    <w:rsid w:val="00526BC3"/>
    <w:rsid w:val="00531761"/>
    <w:rsid w:val="00531820"/>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8D5"/>
    <w:rsid w:val="00567B5D"/>
    <w:rsid w:val="00570757"/>
    <w:rsid w:val="00573733"/>
    <w:rsid w:val="00573E3F"/>
    <w:rsid w:val="00573F8B"/>
    <w:rsid w:val="00574554"/>
    <w:rsid w:val="00574E06"/>
    <w:rsid w:val="005751BB"/>
    <w:rsid w:val="00576089"/>
    <w:rsid w:val="005764B1"/>
    <w:rsid w:val="00576852"/>
    <w:rsid w:val="00576D06"/>
    <w:rsid w:val="005779E4"/>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77D2"/>
    <w:rsid w:val="005C019B"/>
    <w:rsid w:val="005C08D0"/>
    <w:rsid w:val="005C1AED"/>
    <w:rsid w:val="005C203C"/>
    <w:rsid w:val="005C30C7"/>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1C8F"/>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69D"/>
    <w:rsid w:val="0062181E"/>
    <w:rsid w:val="0062211B"/>
    <w:rsid w:val="00622BB7"/>
    <w:rsid w:val="00622C1E"/>
    <w:rsid w:val="00623389"/>
    <w:rsid w:val="00623DAA"/>
    <w:rsid w:val="00623FAF"/>
    <w:rsid w:val="006265C4"/>
    <w:rsid w:val="0062678A"/>
    <w:rsid w:val="006270AF"/>
    <w:rsid w:val="00632D04"/>
    <w:rsid w:val="00634367"/>
    <w:rsid w:val="00640082"/>
    <w:rsid w:val="00640291"/>
    <w:rsid w:val="006408B6"/>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5EA"/>
    <w:rsid w:val="00673711"/>
    <w:rsid w:val="00673F82"/>
    <w:rsid w:val="00674F74"/>
    <w:rsid w:val="0067508F"/>
    <w:rsid w:val="00677576"/>
    <w:rsid w:val="0068051E"/>
    <w:rsid w:val="00680B9D"/>
    <w:rsid w:val="00681F13"/>
    <w:rsid w:val="0068231C"/>
    <w:rsid w:val="00682344"/>
    <w:rsid w:val="00682B23"/>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5AD"/>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E12"/>
    <w:rsid w:val="006D70CB"/>
    <w:rsid w:val="006D715C"/>
    <w:rsid w:val="006D7363"/>
    <w:rsid w:val="006D774E"/>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61D8"/>
    <w:rsid w:val="006F62B7"/>
    <w:rsid w:val="006F70BC"/>
    <w:rsid w:val="006F7E7C"/>
    <w:rsid w:val="0070174E"/>
    <w:rsid w:val="007018DB"/>
    <w:rsid w:val="00701DE6"/>
    <w:rsid w:val="00702740"/>
    <w:rsid w:val="0070381B"/>
    <w:rsid w:val="0070796C"/>
    <w:rsid w:val="007109BB"/>
    <w:rsid w:val="00710EBF"/>
    <w:rsid w:val="007110B8"/>
    <w:rsid w:val="0071209F"/>
    <w:rsid w:val="007125A2"/>
    <w:rsid w:val="00712BAE"/>
    <w:rsid w:val="00713DD9"/>
    <w:rsid w:val="00713F79"/>
    <w:rsid w:val="007148A8"/>
    <w:rsid w:val="0071569F"/>
    <w:rsid w:val="00716AC8"/>
    <w:rsid w:val="00716E54"/>
    <w:rsid w:val="00717421"/>
    <w:rsid w:val="0072033C"/>
    <w:rsid w:val="00720B1B"/>
    <w:rsid w:val="00720B9C"/>
    <w:rsid w:val="00721062"/>
    <w:rsid w:val="00721E5D"/>
    <w:rsid w:val="007229D4"/>
    <w:rsid w:val="007230F8"/>
    <w:rsid w:val="007233F4"/>
    <w:rsid w:val="00724044"/>
    <w:rsid w:val="007248D3"/>
    <w:rsid w:val="00724DF8"/>
    <w:rsid w:val="00725137"/>
    <w:rsid w:val="00725378"/>
    <w:rsid w:val="00727A43"/>
    <w:rsid w:val="00727F2A"/>
    <w:rsid w:val="00727FF2"/>
    <w:rsid w:val="00730550"/>
    <w:rsid w:val="00730C2A"/>
    <w:rsid w:val="00731434"/>
    <w:rsid w:val="00731E59"/>
    <w:rsid w:val="007323E0"/>
    <w:rsid w:val="00732911"/>
    <w:rsid w:val="00733721"/>
    <w:rsid w:val="00733DE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3C48"/>
    <w:rsid w:val="00754250"/>
    <w:rsid w:val="00754FE4"/>
    <w:rsid w:val="00755216"/>
    <w:rsid w:val="00756236"/>
    <w:rsid w:val="00756271"/>
    <w:rsid w:val="00756348"/>
    <w:rsid w:val="00756521"/>
    <w:rsid w:val="00756AB7"/>
    <w:rsid w:val="00757E5C"/>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7CC"/>
    <w:rsid w:val="00777B32"/>
    <w:rsid w:val="0078051E"/>
    <w:rsid w:val="00781089"/>
    <w:rsid w:val="007838F3"/>
    <w:rsid w:val="007856FE"/>
    <w:rsid w:val="00785F46"/>
    <w:rsid w:val="007865F4"/>
    <w:rsid w:val="00786D5C"/>
    <w:rsid w:val="00786E96"/>
    <w:rsid w:val="0078798A"/>
    <w:rsid w:val="00787DFF"/>
    <w:rsid w:val="00787F93"/>
    <w:rsid w:val="00791E6D"/>
    <w:rsid w:val="00791EB5"/>
    <w:rsid w:val="00791FF2"/>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4CD7"/>
    <w:rsid w:val="007B7490"/>
    <w:rsid w:val="007C0525"/>
    <w:rsid w:val="007C13F7"/>
    <w:rsid w:val="007C218D"/>
    <w:rsid w:val="007C2D28"/>
    <w:rsid w:val="007C3E22"/>
    <w:rsid w:val="007C49EE"/>
    <w:rsid w:val="007C5B90"/>
    <w:rsid w:val="007C6218"/>
    <w:rsid w:val="007C6484"/>
    <w:rsid w:val="007C67C6"/>
    <w:rsid w:val="007C78BE"/>
    <w:rsid w:val="007C7E59"/>
    <w:rsid w:val="007D0476"/>
    <w:rsid w:val="007D0B91"/>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19A7"/>
    <w:rsid w:val="007F2C13"/>
    <w:rsid w:val="007F2CEC"/>
    <w:rsid w:val="007F3435"/>
    <w:rsid w:val="007F55DE"/>
    <w:rsid w:val="007F564B"/>
    <w:rsid w:val="007F762D"/>
    <w:rsid w:val="007F78F0"/>
    <w:rsid w:val="007F78FF"/>
    <w:rsid w:val="008001C5"/>
    <w:rsid w:val="00800F6C"/>
    <w:rsid w:val="00801065"/>
    <w:rsid w:val="00802C0B"/>
    <w:rsid w:val="008051FC"/>
    <w:rsid w:val="008055A9"/>
    <w:rsid w:val="008056C4"/>
    <w:rsid w:val="008057FD"/>
    <w:rsid w:val="00805D8B"/>
    <w:rsid w:val="0080773A"/>
    <w:rsid w:val="00810BB6"/>
    <w:rsid w:val="00810E8E"/>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A1A"/>
    <w:rsid w:val="00833B7F"/>
    <w:rsid w:val="00833E8E"/>
    <w:rsid w:val="00834906"/>
    <w:rsid w:val="00836075"/>
    <w:rsid w:val="00836417"/>
    <w:rsid w:val="00836A3E"/>
    <w:rsid w:val="00837526"/>
    <w:rsid w:val="00837CE8"/>
    <w:rsid w:val="008407A7"/>
    <w:rsid w:val="0084117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104"/>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49EE"/>
    <w:rsid w:val="008754E4"/>
    <w:rsid w:val="00876EAE"/>
    <w:rsid w:val="00880106"/>
    <w:rsid w:val="00880F95"/>
    <w:rsid w:val="00882B44"/>
    <w:rsid w:val="008838AD"/>
    <w:rsid w:val="008864B3"/>
    <w:rsid w:val="008865E5"/>
    <w:rsid w:val="008871B0"/>
    <w:rsid w:val="00890B57"/>
    <w:rsid w:val="008916BA"/>
    <w:rsid w:val="0089217C"/>
    <w:rsid w:val="00892790"/>
    <w:rsid w:val="00893671"/>
    <w:rsid w:val="00895838"/>
    <w:rsid w:val="00895A1E"/>
    <w:rsid w:val="00895A72"/>
    <w:rsid w:val="00895CDF"/>
    <w:rsid w:val="00896679"/>
    <w:rsid w:val="00896D8C"/>
    <w:rsid w:val="008A0836"/>
    <w:rsid w:val="008A0FC9"/>
    <w:rsid w:val="008A17D6"/>
    <w:rsid w:val="008A1956"/>
    <w:rsid w:val="008A1A7C"/>
    <w:rsid w:val="008A2CE2"/>
    <w:rsid w:val="008A40D3"/>
    <w:rsid w:val="008A469C"/>
    <w:rsid w:val="008A51D1"/>
    <w:rsid w:val="008A5DCE"/>
    <w:rsid w:val="008A6AB1"/>
    <w:rsid w:val="008A75D3"/>
    <w:rsid w:val="008B05DD"/>
    <w:rsid w:val="008B07B8"/>
    <w:rsid w:val="008B17E8"/>
    <w:rsid w:val="008B2E7C"/>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3B2D"/>
    <w:rsid w:val="008D58D9"/>
    <w:rsid w:val="008D5AD4"/>
    <w:rsid w:val="008D695E"/>
    <w:rsid w:val="008D6DD5"/>
    <w:rsid w:val="008D6E59"/>
    <w:rsid w:val="008D7155"/>
    <w:rsid w:val="008D76E0"/>
    <w:rsid w:val="008E0B29"/>
    <w:rsid w:val="008E141A"/>
    <w:rsid w:val="008E1A44"/>
    <w:rsid w:val="008E28E6"/>
    <w:rsid w:val="008E3232"/>
    <w:rsid w:val="008E3674"/>
    <w:rsid w:val="008E3B6C"/>
    <w:rsid w:val="008E3DE7"/>
    <w:rsid w:val="008E562C"/>
    <w:rsid w:val="008E6540"/>
    <w:rsid w:val="008E77D4"/>
    <w:rsid w:val="008E7ADD"/>
    <w:rsid w:val="008F091F"/>
    <w:rsid w:val="008F17B2"/>
    <w:rsid w:val="008F22B3"/>
    <w:rsid w:val="008F357B"/>
    <w:rsid w:val="008F44CA"/>
    <w:rsid w:val="008F49D3"/>
    <w:rsid w:val="008F5DFC"/>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0EC8"/>
    <w:rsid w:val="009321B1"/>
    <w:rsid w:val="00932ED7"/>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63E5"/>
    <w:rsid w:val="00947797"/>
    <w:rsid w:val="009478A2"/>
    <w:rsid w:val="00953808"/>
    <w:rsid w:val="009539A6"/>
    <w:rsid w:val="00954032"/>
    <w:rsid w:val="00954537"/>
    <w:rsid w:val="0095472D"/>
    <w:rsid w:val="00955098"/>
    <w:rsid w:val="00955FBB"/>
    <w:rsid w:val="0095694B"/>
    <w:rsid w:val="00956BD5"/>
    <w:rsid w:val="00956D84"/>
    <w:rsid w:val="009577B5"/>
    <w:rsid w:val="009608E6"/>
    <w:rsid w:val="00960F57"/>
    <w:rsid w:val="00961C90"/>
    <w:rsid w:val="00962AD6"/>
    <w:rsid w:val="00962E03"/>
    <w:rsid w:val="00965443"/>
    <w:rsid w:val="00965954"/>
    <w:rsid w:val="00965A21"/>
    <w:rsid w:val="00965E55"/>
    <w:rsid w:val="0096608E"/>
    <w:rsid w:val="00966522"/>
    <w:rsid w:val="00966C33"/>
    <w:rsid w:val="00970F18"/>
    <w:rsid w:val="00971CF1"/>
    <w:rsid w:val="00971F5D"/>
    <w:rsid w:val="009721E9"/>
    <w:rsid w:val="00973772"/>
    <w:rsid w:val="0097560A"/>
    <w:rsid w:val="00975E1E"/>
    <w:rsid w:val="00975E70"/>
    <w:rsid w:val="009761DE"/>
    <w:rsid w:val="009766FA"/>
    <w:rsid w:val="00976E1C"/>
    <w:rsid w:val="0097789E"/>
    <w:rsid w:val="00977CD6"/>
    <w:rsid w:val="0098048B"/>
    <w:rsid w:val="00980DF9"/>
    <w:rsid w:val="0098243D"/>
    <w:rsid w:val="00982D26"/>
    <w:rsid w:val="00983B6E"/>
    <w:rsid w:val="00983FE5"/>
    <w:rsid w:val="009849E9"/>
    <w:rsid w:val="009859E4"/>
    <w:rsid w:val="00987812"/>
    <w:rsid w:val="00990225"/>
    <w:rsid w:val="00992A13"/>
    <w:rsid w:val="00992B2E"/>
    <w:rsid w:val="00992C78"/>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5B14"/>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9F7CBA"/>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330"/>
    <w:rsid w:val="00A2244D"/>
    <w:rsid w:val="00A2253D"/>
    <w:rsid w:val="00A2267F"/>
    <w:rsid w:val="00A22CDB"/>
    <w:rsid w:val="00A247B8"/>
    <w:rsid w:val="00A2495A"/>
    <w:rsid w:val="00A24C7A"/>
    <w:rsid w:val="00A24D8F"/>
    <w:rsid w:val="00A25B8B"/>
    <w:rsid w:val="00A25C5D"/>
    <w:rsid w:val="00A2689F"/>
    <w:rsid w:val="00A26C1A"/>
    <w:rsid w:val="00A26ECA"/>
    <w:rsid w:val="00A27461"/>
    <w:rsid w:val="00A27D67"/>
    <w:rsid w:val="00A30ABC"/>
    <w:rsid w:val="00A32415"/>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1C60"/>
    <w:rsid w:val="00A61ECB"/>
    <w:rsid w:val="00A62B3C"/>
    <w:rsid w:val="00A637EC"/>
    <w:rsid w:val="00A6410C"/>
    <w:rsid w:val="00A647B1"/>
    <w:rsid w:val="00A64DEF"/>
    <w:rsid w:val="00A654D2"/>
    <w:rsid w:val="00A665DF"/>
    <w:rsid w:val="00A671E0"/>
    <w:rsid w:val="00A67FCC"/>
    <w:rsid w:val="00A7064F"/>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7A7"/>
    <w:rsid w:val="00A85930"/>
    <w:rsid w:val="00A863F7"/>
    <w:rsid w:val="00A86604"/>
    <w:rsid w:val="00A87519"/>
    <w:rsid w:val="00A92040"/>
    <w:rsid w:val="00A9246D"/>
    <w:rsid w:val="00A92CCA"/>
    <w:rsid w:val="00A93BD0"/>
    <w:rsid w:val="00A93CC2"/>
    <w:rsid w:val="00A974CC"/>
    <w:rsid w:val="00AA2001"/>
    <w:rsid w:val="00AA2B5C"/>
    <w:rsid w:val="00AA32D2"/>
    <w:rsid w:val="00AA4016"/>
    <w:rsid w:val="00AA4C1F"/>
    <w:rsid w:val="00AA5328"/>
    <w:rsid w:val="00AA5393"/>
    <w:rsid w:val="00AA63D4"/>
    <w:rsid w:val="00AA796E"/>
    <w:rsid w:val="00AB03FD"/>
    <w:rsid w:val="00AB2000"/>
    <w:rsid w:val="00AB38CB"/>
    <w:rsid w:val="00AB3BEC"/>
    <w:rsid w:val="00AB44E4"/>
    <w:rsid w:val="00AB4AEB"/>
    <w:rsid w:val="00AB4E5F"/>
    <w:rsid w:val="00AB5352"/>
    <w:rsid w:val="00AB56AE"/>
    <w:rsid w:val="00AB5B8F"/>
    <w:rsid w:val="00AB62D5"/>
    <w:rsid w:val="00AB65B5"/>
    <w:rsid w:val="00AB6DCD"/>
    <w:rsid w:val="00AB6EE0"/>
    <w:rsid w:val="00AB775A"/>
    <w:rsid w:val="00AB7871"/>
    <w:rsid w:val="00AC17A2"/>
    <w:rsid w:val="00AC40B7"/>
    <w:rsid w:val="00AC531F"/>
    <w:rsid w:val="00AC5B36"/>
    <w:rsid w:val="00AC6377"/>
    <w:rsid w:val="00AC66A4"/>
    <w:rsid w:val="00AC6A4E"/>
    <w:rsid w:val="00AC6CB1"/>
    <w:rsid w:val="00AC7D6D"/>
    <w:rsid w:val="00AD0091"/>
    <w:rsid w:val="00AD23EF"/>
    <w:rsid w:val="00AD2662"/>
    <w:rsid w:val="00AD307B"/>
    <w:rsid w:val="00AD4014"/>
    <w:rsid w:val="00AD41B3"/>
    <w:rsid w:val="00AD5721"/>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7280"/>
    <w:rsid w:val="00AF033A"/>
    <w:rsid w:val="00AF0696"/>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761"/>
    <w:rsid w:val="00B13859"/>
    <w:rsid w:val="00B13EC9"/>
    <w:rsid w:val="00B14319"/>
    <w:rsid w:val="00B14A06"/>
    <w:rsid w:val="00B1581D"/>
    <w:rsid w:val="00B158E1"/>
    <w:rsid w:val="00B16715"/>
    <w:rsid w:val="00B1768E"/>
    <w:rsid w:val="00B17910"/>
    <w:rsid w:val="00B20F18"/>
    <w:rsid w:val="00B21516"/>
    <w:rsid w:val="00B21669"/>
    <w:rsid w:val="00B21A37"/>
    <w:rsid w:val="00B21D23"/>
    <w:rsid w:val="00B21F62"/>
    <w:rsid w:val="00B22CE0"/>
    <w:rsid w:val="00B23738"/>
    <w:rsid w:val="00B23BEF"/>
    <w:rsid w:val="00B247BB"/>
    <w:rsid w:val="00B2504A"/>
    <w:rsid w:val="00B25EE6"/>
    <w:rsid w:val="00B266DF"/>
    <w:rsid w:val="00B3115A"/>
    <w:rsid w:val="00B31825"/>
    <w:rsid w:val="00B31A5C"/>
    <w:rsid w:val="00B33B06"/>
    <w:rsid w:val="00B33C19"/>
    <w:rsid w:val="00B35A15"/>
    <w:rsid w:val="00B35B45"/>
    <w:rsid w:val="00B36A99"/>
    <w:rsid w:val="00B42264"/>
    <w:rsid w:val="00B434B2"/>
    <w:rsid w:val="00B43D45"/>
    <w:rsid w:val="00B45B3F"/>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81"/>
    <w:rsid w:val="00B662FF"/>
    <w:rsid w:val="00B66679"/>
    <w:rsid w:val="00B67136"/>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67D"/>
    <w:rsid w:val="00B86C2A"/>
    <w:rsid w:val="00B878BE"/>
    <w:rsid w:val="00B902A5"/>
    <w:rsid w:val="00B90420"/>
    <w:rsid w:val="00B90848"/>
    <w:rsid w:val="00B91146"/>
    <w:rsid w:val="00B913E4"/>
    <w:rsid w:val="00B91DB9"/>
    <w:rsid w:val="00B91FF3"/>
    <w:rsid w:val="00B93B29"/>
    <w:rsid w:val="00B93EFE"/>
    <w:rsid w:val="00B944B9"/>
    <w:rsid w:val="00B94956"/>
    <w:rsid w:val="00B94C7F"/>
    <w:rsid w:val="00B94E93"/>
    <w:rsid w:val="00B956B5"/>
    <w:rsid w:val="00B96DF2"/>
    <w:rsid w:val="00B96E18"/>
    <w:rsid w:val="00B96F5A"/>
    <w:rsid w:val="00BA0B39"/>
    <w:rsid w:val="00BA0CB2"/>
    <w:rsid w:val="00BA0E26"/>
    <w:rsid w:val="00BA138B"/>
    <w:rsid w:val="00BA13F3"/>
    <w:rsid w:val="00BA305B"/>
    <w:rsid w:val="00BA31BF"/>
    <w:rsid w:val="00BA3FC7"/>
    <w:rsid w:val="00BA478B"/>
    <w:rsid w:val="00BA5224"/>
    <w:rsid w:val="00BA575E"/>
    <w:rsid w:val="00BA76B7"/>
    <w:rsid w:val="00BA7BAB"/>
    <w:rsid w:val="00BA7E3B"/>
    <w:rsid w:val="00BB078D"/>
    <w:rsid w:val="00BB079C"/>
    <w:rsid w:val="00BB0D7A"/>
    <w:rsid w:val="00BB10E1"/>
    <w:rsid w:val="00BB2471"/>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E73"/>
    <w:rsid w:val="00BC74D3"/>
    <w:rsid w:val="00BC7A0F"/>
    <w:rsid w:val="00BD0014"/>
    <w:rsid w:val="00BD01D8"/>
    <w:rsid w:val="00BD191B"/>
    <w:rsid w:val="00BD255F"/>
    <w:rsid w:val="00BD2895"/>
    <w:rsid w:val="00BD4236"/>
    <w:rsid w:val="00BD483B"/>
    <w:rsid w:val="00BD5CD4"/>
    <w:rsid w:val="00BD65D9"/>
    <w:rsid w:val="00BD6DF3"/>
    <w:rsid w:val="00BD6E09"/>
    <w:rsid w:val="00BD6EF9"/>
    <w:rsid w:val="00BD7616"/>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245A"/>
    <w:rsid w:val="00BF4342"/>
    <w:rsid w:val="00BF4704"/>
    <w:rsid w:val="00BF4FFC"/>
    <w:rsid w:val="00BF5050"/>
    <w:rsid w:val="00BF50D1"/>
    <w:rsid w:val="00BF5422"/>
    <w:rsid w:val="00BF59B1"/>
    <w:rsid w:val="00BF6A78"/>
    <w:rsid w:val="00BF7695"/>
    <w:rsid w:val="00BF79B4"/>
    <w:rsid w:val="00BF7C61"/>
    <w:rsid w:val="00C01427"/>
    <w:rsid w:val="00C014C7"/>
    <w:rsid w:val="00C047AB"/>
    <w:rsid w:val="00C058AF"/>
    <w:rsid w:val="00C075B6"/>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21F"/>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653"/>
    <w:rsid w:val="00C37B19"/>
    <w:rsid w:val="00C413CB"/>
    <w:rsid w:val="00C42752"/>
    <w:rsid w:val="00C42973"/>
    <w:rsid w:val="00C445E8"/>
    <w:rsid w:val="00C44C69"/>
    <w:rsid w:val="00C4712A"/>
    <w:rsid w:val="00C5034F"/>
    <w:rsid w:val="00C50830"/>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AE7"/>
    <w:rsid w:val="00C63D26"/>
    <w:rsid w:val="00C6540A"/>
    <w:rsid w:val="00C668A1"/>
    <w:rsid w:val="00C66DEC"/>
    <w:rsid w:val="00C67223"/>
    <w:rsid w:val="00C707B8"/>
    <w:rsid w:val="00C712AC"/>
    <w:rsid w:val="00C71C15"/>
    <w:rsid w:val="00C71F3D"/>
    <w:rsid w:val="00C72F53"/>
    <w:rsid w:val="00C7313D"/>
    <w:rsid w:val="00C73BA7"/>
    <w:rsid w:val="00C74035"/>
    <w:rsid w:val="00C748EA"/>
    <w:rsid w:val="00C77818"/>
    <w:rsid w:val="00C8063F"/>
    <w:rsid w:val="00C81282"/>
    <w:rsid w:val="00C827B4"/>
    <w:rsid w:val="00C83214"/>
    <w:rsid w:val="00C8329F"/>
    <w:rsid w:val="00C84F8A"/>
    <w:rsid w:val="00C85603"/>
    <w:rsid w:val="00C85BA4"/>
    <w:rsid w:val="00C8618F"/>
    <w:rsid w:val="00C8625D"/>
    <w:rsid w:val="00C8753A"/>
    <w:rsid w:val="00C90372"/>
    <w:rsid w:val="00C9041F"/>
    <w:rsid w:val="00C9166B"/>
    <w:rsid w:val="00C91A45"/>
    <w:rsid w:val="00C91FB4"/>
    <w:rsid w:val="00C92150"/>
    <w:rsid w:val="00C92328"/>
    <w:rsid w:val="00C92D42"/>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0901"/>
    <w:rsid w:val="00CB19D7"/>
    <w:rsid w:val="00CB19FE"/>
    <w:rsid w:val="00CB1C3F"/>
    <w:rsid w:val="00CB21F6"/>
    <w:rsid w:val="00CB2364"/>
    <w:rsid w:val="00CB304C"/>
    <w:rsid w:val="00CB3933"/>
    <w:rsid w:val="00CB53E8"/>
    <w:rsid w:val="00CB594A"/>
    <w:rsid w:val="00CB5CB2"/>
    <w:rsid w:val="00CB6979"/>
    <w:rsid w:val="00CB6E7D"/>
    <w:rsid w:val="00CB7DDE"/>
    <w:rsid w:val="00CC0A3D"/>
    <w:rsid w:val="00CC0E22"/>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3529"/>
    <w:rsid w:val="00CE35C8"/>
    <w:rsid w:val="00CE3962"/>
    <w:rsid w:val="00CE4D1A"/>
    <w:rsid w:val="00CE4E8A"/>
    <w:rsid w:val="00CE5105"/>
    <w:rsid w:val="00CE56BD"/>
    <w:rsid w:val="00CE5EC0"/>
    <w:rsid w:val="00CE6F9F"/>
    <w:rsid w:val="00CE781A"/>
    <w:rsid w:val="00CE7B08"/>
    <w:rsid w:val="00CE7D52"/>
    <w:rsid w:val="00CF1D74"/>
    <w:rsid w:val="00CF2646"/>
    <w:rsid w:val="00CF2BE2"/>
    <w:rsid w:val="00CF3DEB"/>
    <w:rsid w:val="00CF55F9"/>
    <w:rsid w:val="00CF7074"/>
    <w:rsid w:val="00CF7495"/>
    <w:rsid w:val="00D0033D"/>
    <w:rsid w:val="00D01CF9"/>
    <w:rsid w:val="00D0334D"/>
    <w:rsid w:val="00D0374D"/>
    <w:rsid w:val="00D03A2D"/>
    <w:rsid w:val="00D06D7B"/>
    <w:rsid w:val="00D06DA5"/>
    <w:rsid w:val="00D07191"/>
    <w:rsid w:val="00D07F1D"/>
    <w:rsid w:val="00D10558"/>
    <w:rsid w:val="00D106EB"/>
    <w:rsid w:val="00D114EB"/>
    <w:rsid w:val="00D11D4D"/>
    <w:rsid w:val="00D126DC"/>
    <w:rsid w:val="00D129E1"/>
    <w:rsid w:val="00D12B03"/>
    <w:rsid w:val="00D13CEB"/>
    <w:rsid w:val="00D13E70"/>
    <w:rsid w:val="00D15FCD"/>
    <w:rsid w:val="00D16C58"/>
    <w:rsid w:val="00D17019"/>
    <w:rsid w:val="00D17FC8"/>
    <w:rsid w:val="00D20B44"/>
    <w:rsid w:val="00D21168"/>
    <w:rsid w:val="00D2438C"/>
    <w:rsid w:val="00D2585A"/>
    <w:rsid w:val="00D259B0"/>
    <w:rsid w:val="00D26C3F"/>
    <w:rsid w:val="00D27185"/>
    <w:rsid w:val="00D30EF8"/>
    <w:rsid w:val="00D32518"/>
    <w:rsid w:val="00D33488"/>
    <w:rsid w:val="00D33AB3"/>
    <w:rsid w:val="00D33F24"/>
    <w:rsid w:val="00D34160"/>
    <w:rsid w:val="00D346B8"/>
    <w:rsid w:val="00D34DCA"/>
    <w:rsid w:val="00D35AC8"/>
    <w:rsid w:val="00D36F87"/>
    <w:rsid w:val="00D37E4E"/>
    <w:rsid w:val="00D40DEF"/>
    <w:rsid w:val="00D417D8"/>
    <w:rsid w:val="00D41F78"/>
    <w:rsid w:val="00D42E6C"/>
    <w:rsid w:val="00D4351C"/>
    <w:rsid w:val="00D43B80"/>
    <w:rsid w:val="00D44988"/>
    <w:rsid w:val="00D45B4C"/>
    <w:rsid w:val="00D45BA4"/>
    <w:rsid w:val="00D465D0"/>
    <w:rsid w:val="00D471AF"/>
    <w:rsid w:val="00D4724F"/>
    <w:rsid w:val="00D50519"/>
    <w:rsid w:val="00D51601"/>
    <w:rsid w:val="00D51ECB"/>
    <w:rsid w:val="00D522B9"/>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78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85A"/>
    <w:rsid w:val="00DE0A1D"/>
    <w:rsid w:val="00DE15B2"/>
    <w:rsid w:val="00DE1A9A"/>
    <w:rsid w:val="00DE3D2C"/>
    <w:rsid w:val="00DE5E82"/>
    <w:rsid w:val="00DE5F9B"/>
    <w:rsid w:val="00DE5FA6"/>
    <w:rsid w:val="00DE660A"/>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37F"/>
    <w:rsid w:val="00DF6608"/>
    <w:rsid w:val="00DF6CCC"/>
    <w:rsid w:val="00DF6D0C"/>
    <w:rsid w:val="00DF6F64"/>
    <w:rsid w:val="00DF721E"/>
    <w:rsid w:val="00DF7B8A"/>
    <w:rsid w:val="00DF7C87"/>
    <w:rsid w:val="00E009B0"/>
    <w:rsid w:val="00E00A12"/>
    <w:rsid w:val="00E00C49"/>
    <w:rsid w:val="00E00E9A"/>
    <w:rsid w:val="00E01C9C"/>
    <w:rsid w:val="00E0219D"/>
    <w:rsid w:val="00E04C0F"/>
    <w:rsid w:val="00E0570B"/>
    <w:rsid w:val="00E10913"/>
    <w:rsid w:val="00E10B87"/>
    <w:rsid w:val="00E121CE"/>
    <w:rsid w:val="00E1478B"/>
    <w:rsid w:val="00E14FAC"/>
    <w:rsid w:val="00E15007"/>
    <w:rsid w:val="00E16277"/>
    <w:rsid w:val="00E16BDE"/>
    <w:rsid w:val="00E16EC7"/>
    <w:rsid w:val="00E219CE"/>
    <w:rsid w:val="00E24071"/>
    <w:rsid w:val="00E24EBC"/>
    <w:rsid w:val="00E2522C"/>
    <w:rsid w:val="00E2552F"/>
    <w:rsid w:val="00E2599B"/>
    <w:rsid w:val="00E2710C"/>
    <w:rsid w:val="00E27428"/>
    <w:rsid w:val="00E305B4"/>
    <w:rsid w:val="00E31AFA"/>
    <w:rsid w:val="00E31CB7"/>
    <w:rsid w:val="00E324EE"/>
    <w:rsid w:val="00E34DB1"/>
    <w:rsid w:val="00E35931"/>
    <w:rsid w:val="00E359FF"/>
    <w:rsid w:val="00E402C5"/>
    <w:rsid w:val="00E402F4"/>
    <w:rsid w:val="00E405F1"/>
    <w:rsid w:val="00E417DB"/>
    <w:rsid w:val="00E43054"/>
    <w:rsid w:val="00E43655"/>
    <w:rsid w:val="00E44440"/>
    <w:rsid w:val="00E46013"/>
    <w:rsid w:val="00E47099"/>
    <w:rsid w:val="00E47284"/>
    <w:rsid w:val="00E4730A"/>
    <w:rsid w:val="00E477C3"/>
    <w:rsid w:val="00E51E16"/>
    <w:rsid w:val="00E530D0"/>
    <w:rsid w:val="00E53730"/>
    <w:rsid w:val="00E5438D"/>
    <w:rsid w:val="00E54511"/>
    <w:rsid w:val="00E54E50"/>
    <w:rsid w:val="00E55288"/>
    <w:rsid w:val="00E55332"/>
    <w:rsid w:val="00E57577"/>
    <w:rsid w:val="00E62043"/>
    <w:rsid w:val="00E626B9"/>
    <w:rsid w:val="00E627C9"/>
    <w:rsid w:val="00E630F3"/>
    <w:rsid w:val="00E6332F"/>
    <w:rsid w:val="00E637C9"/>
    <w:rsid w:val="00E6402D"/>
    <w:rsid w:val="00E658BE"/>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2154"/>
    <w:rsid w:val="00E923CF"/>
    <w:rsid w:val="00E93685"/>
    <w:rsid w:val="00E93B65"/>
    <w:rsid w:val="00E93C8C"/>
    <w:rsid w:val="00E95111"/>
    <w:rsid w:val="00E95E1F"/>
    <w:rsid w:val="00E95FDF"/>
    <w:rsid w:val="00EA14C8"/>
    <w:rsid w:val="00EA2110"/>
    <w:rsid w:val="00EA283A"/>
    <w:rsid w:val="00EA2C90"/>
    <w:rsid w:val="00EA2E07"/>
    <w:rsid w:val="00EA383B"/>
    <w:rsid w:val="00EA48F3"/>
    <w:rsid w:val="00EA511B"/>
    <w:rsid w:val="00EA60BF"/>
    <w:rsid w:val="00EA7365"/>
    <w:rsid w:val="00EA763F"/>
    <w:rsid w:val="00EA77E9"/>
    <w:rsid w:val="00EB05D0"/>
    <w:rsid w:val="00EB1151"/>
    <w:rsid w:val="00EB1D49"/>
    <w:rsid w:val="00EB234C"/>
    <w:rsid w:val="00EB23D9"/>
    <w:rsid w:val="00EB39A0"/>
    <w:rsid w:val="00EB4507"/>
    <w:rsid w:val="00EB559F"/>
    <w:rsid w:val="00EB566C"/>
    <w:rsid w:val="00EB5F3D"/>
    <w:rsid w:val="00EB6D01"/>
    <w:rsid w:val="00EC1CEB"/>
    <w:rsid w:val="00EC1DC0"/>
    <w:rsid w:val="00EC1DC2"/>
    <w:rsid w:val="00EC21EC"/>
    <w:rsid w:val="00EC24B8"/>
    <w:rsid w:val="00EC268C"/>
    <w:rsid w:val="00EC3753"/>
    <w:rsid w:val="00EC4E71"/>
    <w:rsid w:val="00EC5F1C"/>
    <w:rsid w:val="00ED0365"/>
    <w:rsid w:val="00ED0865"/>
    <w:rsid w:val="00ED1C60"/>
    <w:rsid w:val="00ED2084"/>
    <w:rsid w:val="00ED2EB9"/>
    <w:rsid w:val="00ED3722"/>
    <w:rsid w:val="00ED3A31"/>
    <w:rsid w:val="00ED4469"/>
    <w:rsid w:val="00ED5424"/>
    <w:rsid w:val="00ED5F23"/>
    <w:rsid w:val="00ED6DC0"/>
    <w:rsid w:val="00ED7A7A"/>
    <w:rsid w:val="00EE0327"/>
    <w:rsid w:val="00EE038C"/>
    <w:rsid w:val="00EE2243"/>
    <w:rsid w:val="00EE28C5"/>
    <w:rsid w:val="00EE2F09"/>
    <w:rsid w:val="00EE2F13"/>
    <w:rsid w:val="00EE3654"/>
    <w:rsid w:val="00EE46C0"/>
    <w:rsid w:val="00EE47C5"/>
    <w:rsid w:val="00EE490C"/>
    <w:rsid w:val="00EE4E57"/>
    <w:rsid w:val="00EE5738"/>
    <w:rsid w:val="00EE58BD"/>
    <w:rsid w:val="00EE5E59"/>
    <w:rsid w:val="00EE6549"/>
    <w:rsid w:val="00EE73D0"/>
    <w:rsid w:val="00EE7CB0"/>
    <w:rsid w:val="00EF08A8"/>
    <w:rsid w:val="00EF167B"/>
    <w:rsid w:val="00EF41A8"/>
    <w:rsid w:val="00EF44FB"/>
    <w:rsid w:val="00EF4895"/>
    <w:rsid w:val="00EF5122"/>
    <w:rsid w:val="00EF5554"/>
    <w:rsid w:val="00EF5AD8"/>
    <w:rsid w:val="00EF6B90"/>
    <w:rsid w:val="00EF7807"/>
    <w:rsid w:val="00EF79F7"/>
    <w:rsid w:val="00F006C0"/>
    <w:rsid w:val="00F0125F"/>
    <w:rsid w:val="00F019AA"/>
    <w:rsid w:val="00F0267E"/>
    <w:rsid w:val="00F02686"/>
    <w:rsid w:val="00F028B7"/>
    <w:rsid w:val="00F030C0"/>
    <w:rsid w:val="00F03291"/>
    <w:rsid w:val="00F0459B"/>
    <w:rsid w:val="00F04E15"/>
    <w:rsid w:val="00F05DF3"/>
    <w:rsid w:val="00F069EA"/>
    <w:rsid w:val="00F070E5"/>
    <w:rsid w:val="00F07DDE"/>
    <w:rsid w:val="00F11675"/>
    <w:rsid w:val="00F12557"/>
    <w:rsid w:val="00F13599"/>
    <w:rsid w:val="00F13B28"/>
    <w:rsid w:val="00F13DB6"/>
    <w:rsid w:val="00F14E01"/>
    <w:rsid w:val="00F156A0"/>
    <w:rsid w:val="00F15730"/>
    <w:rsid w:val="00F164B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634"/>
    <w:rsid w:val="00F35D17"/>
    <w:rsid w:val="00F35DA7"/>
    <w:rsid w:val="00F36A6A"/>
    <w:rsid w:val="00F40101"/>
    <w:rsid w:val="00F404F7"/>
    <w:rsid w:val="00F40CCA"/>
    <w:rsid w:val="00F41069"/>
    <w:rsid w:val="00F42D97"/>
    <w:rsid w:val="00F436B2"/>
    <w:rsid w:val="00F43813"/>
    <w:rsid w:val="00F43FEE"/>
    <w:rsid w:val="00F45A72"/>
    <w:rsid w:val="00F46723"/>
    <w:rsid w:val="00F4706D"/>
    <w:rsid w:val="00F476E1"/>
    <w:rsid w:val="00F47D1D"/>
    <w:rsid w:val="00F47F29"/>
    <w:rsid w:val="00F50016"/>
    <w:rsid w:val="00F5118A"/>
    <w:rsid w:val="00F51A21"/>
    <w:rsid w:val="00F52614"/>
    <w:rsid w:val="00F5276E"/>
    <w:rsid w:val="00F52E9F"/>
    <w:rsid w:val="00F53304"/>
    <w:rsid w:val="00F539EA"/>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67FB"/>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5B72"/>
    <w:rsid w:val="00F86540"/>
    <w:rsid w:val="00F865CE"/>
    <w:rsid w:val="00F8766F"/>
    <w:rsid w:val="00F91082"/>
    <w:rsid w:val="00F9116D"/>
    <w:rsid w:val="00F91A9A"/>
    <w:rsid w:val="00F91C67"/>
    <w:rsid w:val="00F9203B"/>
    <w:rsid w:val="00F93251"/>
    <w:rsid w:val="00F93ABB"/>
    <w:rsid w:val="00F94D79"/>
    <w:rsid w:val="00F9658C"/>
    <w:rsid w:val="00F97A7F"/>
    <w:rsid w:val="00FA0889"/>
    <w:rsid w:val="00FA16E7"/>
    <w:rsid w:val="00FA31C7"/>
    <w:rsid w:val="00FA472D"/>
    <w:rsid w:val="00FB0CBF"/>
    <w:rsid w:val="00FB18F6"/>
    <w:rsid w:val="00FB23E5"/>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524"/>
    <w:rsid w:val="00FC75AC"/>
    <w:rsid w:val="00FD01BF"/>
    <w:rsid w:val="00FD022A"/>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0AE8"/>
    <w:rsid w:val="00FF1C9B"/>
    <w:rsid w:val="00FF1D49"/>
    <w:rsid w:val="00FF203B"/>
    <w:rsid w:val="00FF2562"/>
    <w:rsid w:val="00FF3A41"/>
    <w:rsid w:val="00FF3E5B"/>
    <w:rsid w:val="00FF57E4"/>
    <w:rsid w:val="00FF72B5"/>
    <w:rsid w:val="00FF78E5"/>
    <w:rsid w:val="01AF3D99"/>
    <w:rsid w:val="01E803F8"/>
    <w:rsid w:val="02511F9D"/>
    <w:rsid w:val="02A17CAC"/>
    <w:rsid w:val="03A314B8"/>
    <w:rsid w:val="03D82B98"/>
    <w:rsid w:val="03F83E8B"/>
    <w:rsid w:val="05966A2E"/>
    <w:rsid w:val="05A80523"/>
    <w:rsid w:val="05C56868"/>
    <w:rsid w:val="061F02F9"/>
    <w:rsid w:val="065D5A7C"/>
    <w:rsid w:val="06E04BAD"/>
    <w:rsid w:val="0749321E"/>
    <w:rsid w:val="075025DE"/>
    <w:rsid w:val="07B3102F"/>
    <w:rsid w:val="07B72767"/>
    <w:rsid w:val="08077E72"/>
    <w:rsid w:val="08882DD0"/>
    <w:rsid w:val="09B64B76"/>
    <w:rsid w:val="09CC2AAC"/>
    <w:rsid w:val="09D26E76"/>
    <w:rsid w:val="0A652D3E"/>
    <w:rsid w:val="0B326F2A"/>
    <w:rsid w:val="0C1E2888"/>
    <w:rsid w:val="0C92213C"/>
    <w:rsid w:val="0D84032B"/>
    <w:rsid w:val="0E062DE9"/>
    <w:rsid w:val="0F2A74C4"/>
    <w:rsid w:val="0FBF6AB0"/>
    <w:rsid w:val="10A27F31"/>
    <w:rsid w:val="10D17073"/>
    <w:rsid w:val="1132275A"/>
    <w:rsid w:val="117D12F5"/>
    <w:rsid w:val="11927058"/>
    <w:rsid w:val="11C20C65"/>
    <w:rsid w:val="13AF4F03"/>
    <w:rsid w:val="13F25FD0"/>
    <w:rsid w:val="14736E66"/>
    <w:rsid w:val="147F458F"/>
    <w:rsid w:val="149F5675"/>
    <w:rsid w:val="14D958EC"/>
    <w:rsid w:val="1534169A"/>
    <w:rsid w:val="15C03E03"/>
    <w:rsid w:val="15FD705D"/>
    <w:rsid w:val="162A25EB"/>
    <w:rsid w:val="167631F1"/>
    <w:rsid w:val="16FD2A55"/>
    <w:rsid w:val="17067C1A"/>
    <w:rsid w:val="17366761"/>
    <w:rsid w:val="177C01F0"/>
    <w:rsid w:val="17CE6630"/>
    <w:rsid w:val="183D4FEE"/>
    <w:rsid w:val="19F0393A"/>
    <w:rsid w:val="1AFF0AFE"/>
    <w:rsid w:val="1B4F19F8"/>
    <w:rsid w:val="1BC2131D"/>
    <w:rsid w:val="1BC670A8"/>
    <w:rsid w:val="1C226F03"/>
    <w:rsid w:val="1C422D87"/>
    <w:rsid w:val="1CCB10F4"/>
    <w:rsid w:val="1CE7106A"/>
    <w:rsid w:val="1D53585A"/>
    <w:rsid w:val="1D6A78C3"/>
    <w:rsid w:val="1D7F34D2"/>
    <w:rsid w:val="1ECC44FA"/>
    <w:rsid w:val="1F063325"/>
    <w:rsid w:val="1FBC5DF5"/>
    <w:rsid w:val="1FF90588"/>
    <w:rsid w:val="20322F5E"/>
    <w:rsid w:val="20C3623F"/>
    <w:rsid w:val="20DF0586"/>
    <w:rsid w:val="21781212"/>
    <w:rsid w:val="21B83F86"/>
    <w:rsid w:val="221178A8"/>
    <w:rsid w:val="221213CF"/>
    <w:rsid w:val="22327A92"/>
    <w:rsid w:val="224C1889"/>
    <w:rsid w:val="22745AB0"/>
    <w:rsid w:val="23123E6C"/>
    <w:rsid w:val="231D53A2"/>
    <w:rsid w:val="236B29CC"/>
    <w:rsid w:val="236D5383"/>
    <w:rsid w:val="23B7504C"/>
    <w:rsid w:val="23EB3467"/>
    <w:rsid w:val="24571307"/>
    <w:rsid w:val="25110A2A"/>
    <w:rsid w:val="25537BFE"/>
    <w:rsid w:val="256C0944"/>
    <w:rsid w:val="25DF5E86"/>
    <w:rsid w:val="26446DE3"/>
    <w:rsid w:val="269669E7"/>
    <w:rsid w:val="26D7699F"/>
    <w:rsid w:val="26FB2685"/>
    <w:rsid w:val="280305D4"/>
    <w:rsid w:val="2A4F1E36"/>
    <w:rsid w:val="2A8F56E0"/>
    <w:rsid w:val="2B043ED6"/>
    <w:rsid w:val="2B774624"/>
    <w:rsid w:val="2C7A72BE"/>
    <w:rsid w:val="2C9A7D75"/>
    <w:rsid w:val="2CC17412"/>
    <w:rsid w:val="2DA02A7D"/>
    <w:rsid w:val="2E1C51B6"/>
    <w:rsid w:val="2E3C62C0"/>
    <w:rsid w:val="2E9976CE"/>
    <w:rsid w:val="2EAD6628"/>
    <w:rsid w:val="2F401D3C"/>
    <w:rsid w:val="2F50640C"/>
    <w:rsid w:val="2F5B24E1"/>
    <w:rsid w:val="2F6C71B0"/>
    <w:rsid w:val="2FA95C88"/>
    <w:rsid w:val="301E705B"/>
    <w:rsid w:val="3041370F"/>
    <w:rsid w:val="30926CF5"/>
    <w:rsid w:val="310F5189"/>
    <w:rsid w:val="312B50A3"/>
    <w:rsid w:val="31A86C1C"/>
    <w:rsid w:val="31E50689"/>
    <w:rsid w:val="32453A27"/>
    <w:rsid w:val="3263064A"/>
    <w:rsid w:val="32A43132"/>
    <w:rsid w:val="32AB45CC"/>
    <w:rsid w:val="32AC0C06"/>
    <w:rsid w:val="33344EF5"/>
    <w:rsid w:val="33CD7905"/>
    <w:rsid w:val="34934894"/>
    <w:rsid w:val="34D801F1"/>
    <w:rsid w:val="3537750C"/>
    <w:rsid w:val="3537798C"/>
    <w:rsid w:val="35C13FC9"/>
    <w:rsid w:val="364257B6"/>
    <w:rsid w:val="365E0D0B"/>
    <w:rsid w:val="372E4267"/>
    <w:rsid w:val="37620483"/>
    <w:rsid w:val="37EA5922"/>
    <w:rsid w:val="38276B93"/>
    <w:rsid w:val="38AC3431"/>
    <w:rsid w:val="39124EA3"/>
    <w:rsid w:val="392F2E16"/>
    <w:rsid w:val="395E7E53"/>
    <w:rsid w:val="39CB4D8C"/>
    <w:rsid w:val="39E00529"/>
    <w:rsid w:val="3A0B64A7"/>
    <w:rsid w:val="3A574DDA"/>
    <w:rsid w:val="3AD3075A"/>
    <w:rsid w:val="3ADF038D"/>
    <w:rsid w:val="3AF74C02"/>
    <w:rsid w:val="3B6E05C1"/>
    <w:rsid w:val="3BD11D17"/>
    <w:rsid w:val="3C0059A5"/>
    <w:rsid w:val="3C134E78"/>
    <w:rsid w:val="3DEC7285"/>
    <w:rsid w:val="3DF6345D"/>
    <w:rsid w:val="3E2B5515"/>
    <w:rsid w:val="3E4D4F28"/>
    <w:rsid w:val="3E8E0134"/>
    <w:rsid w:val="3EE13701"/>
    <w:rsid w:val="3F1A4BB3"/>
    <w:rsid w:val="40192BA6"/>
    <w:rsid w:val="41766EA9"/>
    <w:rsid w:val="42550A18"/>
    <w:rsid w:val="425D7556"/>
    <w:rsid w:val="429D496A"/>
    <w:rsid w:val="42F473A1"/>
    <w:rsid w:val="441E62C0"/>
    <w:rsid w:val="44543F5C"/>
    <w:rsid w:val="45325D14"/>
    <w:rsid w:val="45811B0D"/>
    <w:rsid w:val="45811C7C"/>
    <w:rsid w:val="45906116"/>
    <w:rsid w:val="4591479D"/>
    <w:rsid w:val="468B3EFB"/>
    <w:rsid w:val="46D56B8C"/>
    <w:rsid w:val="470A6193"/>
    <w:rsid w:val="47317E50"/>
    <w:rsid w:val="47385210"/>
    <w:rsid w:val="47C72F42"/>
    <w:rsid w:val="47DC4F5C"/>
    <w:rsid w:val="482644BF"/>
    <w:rsid w:val="48B40671"/>
    <w:rsid w:val="495D4F33"/>
    <w:rsid w:val="499B5738"/>
    <w:rsid w:val="499F244D"/>
    <w:rsid w:val="4A973F3F"/>
    <w:rsid w:val="4AF84C20"/>
    <w:rsid w:val="4AF96BC7"/>
    <w:rsid w:val="4B5A416B"/>
    <w:rsid w:val="4B63146A"/>
    <w:rsid w:val="4B862A85"/>
    <w:rsid w:val="4C4B33F3"/>
    <w:rsid w:val="4CB25D6A"/>
    <w:rsid w:val="4CDC1D8E"/>
    <w:rsid w:val="4CEF36E2"/>
    <w:rsid w:val="4CEF4DC5"/>
    <w:rsid w:val="4D017F56"/>
    <w:rsid w:val="4E257655"/>
    <w:rsid w:val="4E8E7871"/>
    <w:rsid w:val="4F372380"/>
    <w:rsid w:val="4F372FFB"/>
    <w:rsid w:val="4FA84B42"/>
    <w:rsid w:val="5025116D"/>
    <w:rsid w:val="507B2BDD"/>
    <w:rsid w:val="52395ECD"/>
    <w:rsid w:val="523C08C1"/>
    <w:rsid w:val="52C10D75"/>
    <w:rsid w:val="534A3D46"/>
    <w:rsid w:val="53C27FF8"/>
    <w:rsid w:val="549E1A80"/>
    <w:rsid w:val="54C658F4"/>
    <w:rsid w:val="550C4BD7"/>
    <w:rsid w:val="554C1D56"/>
    <w:rsid w:val="55572986"/>
    <w:rsid w:val="55866D69"/>
    <w:rsid w:val="55C062DD"/>
    <w:rsid w:val="56090F70"/>
    <w:rsid w:val="565340FA"/>
    <w:rsid w:val="5717642E"/>
    <w:rsid w:val="5723343E"/>
    <w:rsid w:val="573D7EAB"/>
    <w:rsid w:val="57825B12"/>
    <w:rsid w:val="5794627D"/>
    <w:rsid w:val="59AA1175"/>
    <w:rsid w:val="5A2F2CC8"/>
    <w:rsid w:val="5BA26962"/>
    <w:rsid w:val="5C087E03"/>
    <w:rsid w:val="5C10702D"/>
    <w:rsid w:val="5C152601"/>
    <w:rsid w:val="5C591F03"/>
    <w:rsid w:val="5C8A1B2F"/>
    <w:rsid w:val="5D551762"/>
    <w:rsid w:val="5D8B5B9E"/>
    <w:rsid w:val="5D914004"/>
    <w:rsid w:val="5F561B72"/>
    <w:rsid w:val="603B30BA"/>
    <w:rsid w:val="606007BB"/>
    <w:rsid w:val="60AC7F66"/>
    <w:rsid w:val="618260C3"/>
    <w:rsid w:val="61BF10D9"/>
    <w:rsid w:val="61C176C2"/>
    <w:rsid w:val="61D128A5"/>
    <w:rsid w:val="61DA3D4C"/>
    <w:rsid w:val="62AC22DC"/>
    <w:rsid w:val="62DF44DB"/>
    <w:rsid w:val="637833E8"/>
    <w:rsid w:val="645A1AD6"/>
    <w:rsid w:val="64E45EF7"/>
    <w:rsid w:val="65402B07"/>
    <w:rsid w:val="65C07C91"/>
    <w:rsid w:val="65E76C8C"/>
    <w:rsid w:val="65F7192C"/>
    <w:rsid w:val="668840EF"/>
    <w:rsid w:val="6691014E"/>
    <w:rsid w:val="66A6461A"/>
    <w:rsid w:val="66C87CCE"/>
    <w:rsid w:val="677435B2"/>
    <w:rsid w:val="67EF75F1"/>
    <w:rsid w:val="68B406B1"/>
    <w:rsid w:val="690F274E"/>
    <w:rsid w:val="69124F16"/>
    <w:rsid w:val="694A5205"/>
    <w:rsid w:val="69CD5C14"/>
    <w:rsid w:val="69CF0D33"/>
    <w:rsid w:val="6B317667"/>
    <w:rsid w:val="6B9946B3"/>
    <w:rsid w:val="6BFE0288"/>
    <w:rsid w:val="6C2C29A8"/>
    <w:rsid w:val="6C662189"/>
    <w:rsid w:val="6C7007C7"/>
    <w:rsid w:val="6C7B1C49"/>
    <w:rsid w:val="6DA738BA"/>
    <w:rsid w:val="6DE76850"/>
    <w:rsid w:val="6FB20BD4"/>
    <w:rsid w:val="6FB650F7"/>
    <w:rsid w:val="6FBA59BE"/>
    <w:rsid w:val="6FFE1AE2"/>
    <w:rsid w:val="70296B3E"/>
    <w:rsid w:val="70324462"/>
    <w:rsid w:val="70611204"/>
    <w:rsid w:val="70772990"/>
    <w:rsid w:val="713B4D36"/>
    <w:rsid w:val="73445350"/>
    <w:rsid w:val="7366631C"/>
    <w:rsid w:val="742B78C8"/>
    <w:rsid w:val="74D71567"/>
    <w:rsid w:val="74D74DCC"/>
    <w:rsid w:val="74FA2C30"/>
    <w:rsid w:val="754D5C4B"/>
    <w:rsid w:val="76C240A7"/>
    <w:rsid w:val="775246B7"/>
    <w:rsid w:val="780675BB"/>
    <w:rsid w:val="781E69D1"/>
    <w:rsid w:val="79794555"/>
    <w:rsid w:val="7A263B6B"/>
    <w:rsid w:val="7A651CE6"/>
    <w:rsid w:val="7AF46346"/>
    <w:rsid w:val="7AFC18FB"/>
    <w:rsid w:val="7B0F5EBF"/>
    <w:rsid w:val="7B130FB9"/>
    <w:rsid w:val="7B22506F"/>
    <w:rsid w:val="7BF64EDE"/>
    <w:rsid w:val="7C387B70"/>
    <w:rsid w:val="7C400C1E"/>
    <w:rsid w:val="7C9D5A79"/>
    <w:rsid w:val="7DA41F1A"/>
    <w:rsid w:val="7DD11708"/>
    <w:rsid w:val="7E2D0419"/>
    <w:rsid w:val="7EBD579E"/>
    <w:rsid w:val="7EC167BD"/>
    <w:rsid w:val="7EC46B81"/>
    <w:rsid w:val="7F272D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41"/>
    <w:qFormat/>
    <w:uiPriority w:val="9"/>
    <w:pPr>
      <w:keepNext/>
      <w:keepLines/>
      <w:spacing w:before="340" w:after="330" w:line="578" w:lineRule="auto"/>
      <w:outlineLvl w:val="0"/>
    </w:pPr>
    <w:rPr>
      <w:b w:val="0"/>
      <w:bCs w:val="0"/>
      <w:kern w:val="44"/>
      <w:sz w:val="44"/>
      <w:szCs w:val="44"/>
    </w:rPr>
  </w:style>
  <w:style w:type="paragraph" w:styleId="5">
    <w:name w:val="heading 2"/>
    <w:basedOn w:val="1"/>
    <w:next w:val="1"/>
    <w:link w:val="42"/>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0"/>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43"/>
    <w:qFormat/>
    <w:uiPriority w:val="9"/>
    <w:pPr>
      <w:keepNext/>
      <w:keepLines/>
      <w:spacing w:before="280" w:after="290" w:line="376" w:lineRule="auto"/>
      <w:outlineLvl w:val="4"/>
    </w:pPr>
    <w:rPr>
      <w:b/>
      <w:bCs/>
      <w:sz w:val="28"/>
      <w:szCs w:val="28"/>
    </w:rPr>
  </w:style>
  <w:style w:type="paragraph" w:styleId="9">
    <w:name w:val="heading 8"/>
    <w:basedOn w:val="1"/>
    <w:next w:val="1"/>
    <w:link w:val="44"/>
    <w:qFormat/>
    <w:uiPriority w:val="9"/>
    <w:pPr>
      <w:keepNext/>
      <w:keepLines/>
      <w:spacing w:before="240" w:after="64" w:line="320" w:lineRule="auto"/>
      <w:outlineLvl w:val="7"/>
    </w:pPr>
    <w:rPr>
      <w:rFonts w:ascii="等线 Light" w:hAnsi="等线 Light" w:eastAsia="等线 Light"/>
      <w:sz w:val="24"/>
    </w:rPr>
  </w:style>
  <w:style w:type="paragraph" w:styleId="10">
    <w:name w:val="heading 9"/>
    <w:basedOn w:val="1"/>
    <w:next w:val="1"/>
    <w:link w:val="45"/>
    <w:qFormat/>
    <w:uiPriority w:val="9"/>
    <w:pPr>
      <w:keepNext/>
      <w:keepLines/>
      <w:spacing w:before="240" w:after="64" w:line="320" w:lineRule="auto"/>
      <w:outlineLvl w:val="8"/>
    </w:pPr>
    <w:rPr>
      <w:rFonts w:ascii="Cambria" w:hAnsi="Cambria"/>
      <w:szCs w:val="21"/>
    </w:rPr>
  </w:style>
  <w:style w:type="character" w:default="1" w:styleId="33">
    <w:name w:val="Default Paragraph Font"/>
    <w:unhideWhenUsed/>
    <w:qFormat/>
    <w:uiPriority w:val="1"/>
  </w:style>
  <w:style w:type="table" w:default="1" w:styleId="31">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48"/>
    <w:unhideWhenUsed/>
    <w:qFormat/>
    <w:uiPriority w:val="0"/>
    <w:pPr>
      <w:spacing w:after="120"/>
    </w:pPr>
  </w:style>
  <w:style w:type="paragraph" w:styleId="8">
    <w:name w:val="Normal Indent"/>
    <w:basedOn w:val="1"/>
    <w:qFormat/>
    <w:uiPriority w:val="0"/>
    <w:pPr>
      <w:ind w:firstLine="420"/>
    </w:pPr>
    <w:rPr>
      <w:szCs w:val="20"/>
    </w:rPr>
  </w:style>
  <w:style w:type="paragraph" w:styleId="11">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2">
    <w:name w:val="annotation text"/>
    <w:basedOn w:val="1"/>
    <w:link w:val="46"/>
    <w:qFormat/>
    <w:uiPriority w:val="0"/>
    <w:pPr>
      <w:jc w:val="left"/>
    </w:pPr>
  </w:style>
  <w:style w:type="paragraph" w:styleId="13">
    <w:name w:val="Body Text 3"/>
    <w:basedOn w:val="1"/>
    <w:link w:val="47"/>
    <w:unhideWhenUsed/>
    <w:qFormat/>
    <w:uiPriority w:val="99"/>
    <w:pPr>
      <w:spacing w:after="120"/>
    </w:pPr>
    <w:rPr>
      <w:sz w:val="16"/>
      <w:szCs w:val="16"/>
    </w:rPr>
  </w:style>
  <w:style w:type="paragraph" w:styleId="14">
    <w:name w:val="Body Text Indent"/>
    <w:basedOn w:val="1"/>
    <w:next w:val="15"/>
    <w:link w:val="49"/>
    <w:qFormat/>
    <w:uiPriority w:val="0"/>
    <w:pPr>
      <w:ind w:firstLine="830" w:firstLineChars="352"/>
    </w:pPr>
    <w:rPr>
      <w:rFonts w:ascii="仿宋_GB2312" w:eastAsia="仿宋_GB2312"/>
      <w:kern w:val="0"/>
      <w:sz w:val="32"/>
      <w:szCs w:val="20"/>
    </w:rPr>
  </w:style>
  <w:style w:type="paragraph" w:customStyle="1" w:styleId="15">
    <w:name w:val="目录 42"/>
    <w:next w:val="1"/>
    <w:qFormat/>
    <w:uiPriority w:val="0"/>
    <w:pPr>
      <w:wordWrap w:val="0"/>
      <w:ind w:left="850"/>
      <w:jc w:val="both"/>
    </w:pPr>
    <w:rPr>
      <w:rFonts w:ascii="Times New Roman" w:hAnsi="Times New Roman" w:eastAsia="宋体" w:cs="Times New Roman"/>
      <w:sz w:val="21"/>
      <w:lang w:val="en-US" w:eastAsia="zh-CN" w:bidi="ar-SA"/>
    </w:rPr>
  </w:style>
  <w:style w:type="paragraph" w:styleId="16">
    <w:name w:val="List 2"/>
    <w:basedOn w:val="1"/>
    <w:unhideWhenUsed/>
    <w:qFormat/>
    <w:uiPriority w:val="99"/>
    <w:pPr>
      <w:ind w:left="100" w:leftChars="200" w:hanging="200" w:hangingChars="200"/>
      <w:contextualSpacing/>
    </w:pPr>
  </w:style>
  <w:style w:type="paragraph" w:styleId="17">
    <w:name w:val="toc 3"/>
    <w:basedOn w:val="1"/>
    <w:next w:val="1"/>
    <w:unhideWhenUsed/>
    <w:qFormat/>
    <w:uiPriority w:val="39"/>
    <w:pPr>
      <w:ind w:left="840" w:leftChars="400"/>
    </w:pPr>
  </w:style>
  <w:style w:type="paragraph" w:styleId="18">
    <w:name w:val="Plain Text"/>
    <w:basedOn w:val="1"/>
    <w:link w:val="50"/>
    <w:qFormat/>
    <w:uiPriority w:val="0"/>
    <w:rPr>
      <w:rFonts w:ascii="宋体" w:hAnsi="Courier New"/>
      <w:kern w:val="0"/>
      <w:sz w:val="20"/>
      <w:szCs w:val="21"/>
    </w:rPr>
  </w:style>
  <w:style w:type="paragraph" w:styleId="19">
    <w:name w:val="Date"/>
    <w:basedOn w:val="1"/>
    <w:next w:val="1"/>
    <w:link w:val="51"/>
    <w:unhideWhenUsed/>
    <w:qFormat/>
    <w:uiPriority w:val="99"/>
    <w:pPr>
      <w:ind w:left="100" w:leftChars="2500"/>
    </w:pPr>
  </w:style>
  <w:style w:type="paragraph" w:styleId="20">
    <w:name w:val="Balloon Text"/>
    <w:basedOn w:val="1"/>
    <w:semiHidden/>
    <w:qFormat/>
    <w:uiPriority w:val="0"/>
    <w:rPr>
      <w:sz w:val="18"/>
      <w:szCs w:val="18"/>
    </w:rPr>
  </w:style>
  <w:style w:type="paragraph" w:styleId="21">
    <w:name w:val="footer"/>
    <w:basedOn w:val="1"/>
    <w:link w:val="52"/>
    <w:unhideWhenUsed/>
    <w:qFormat/>
    <w:uiPriority w:val="0"/>
    <w:pPr>
      <w:tabs>
        <w:tab w:val="center" w:pos="4153"/>
        <w:tab w:val="right" w:pos="8306"/>
      </w:tabs>
      <w:snapToGrid w:val="0"/>
      <w:jc w:val="left"/>
    </w:pPr>
    <w:rPr>
      <w:kern w:val="0"/>
      <w:sz w:val="18"/>
      <w:szCs w:val="18"/>
    </w:rPr>
  </w:style>
  <w:style w:type="paragraph" w:styleId="22">
    <w:name w:val="header"/>
    <w:basedOn w:val="1"/>
    <w:link w:val="53"/>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unhideWhenUsed/>
    <w:qFormat/>
    <w:uiPriority w:val="39"/>
  </w:style>
  <w:style w:type="paragraph" w:styleId="24">
    <w:name w:val="List"/>
    <w:basedOn w:val="1"/>
    <w:unhideWhenUsed/>
    <w:qFormat/>
    <w:uiPriority w:val="99"/>
    <w:pPr>
      <w:ind w:left="200" w:hanging="200" w:hangingChars="200"/>
      <w:contextualSpacing/>
    </w:pPr>
  </w:style>
  <w:style w:type="paragraph" w:styleId="25">
    <w:name w:val="toc 2"/>
    <w:basedOn w:val="1"/>
    <w:next w:val="1"/>
    <w:unhideWhenUsed/>
    <w:qFormat/>
    <w:uiPriority w:val="39"/>
    <w:pPr>
      <w:tabs>
        <w:tab w:val="right" w:leader="dot" w:pos="8296"/>
      </w:tabs>
      <w:ind w:left="420" w:leftChars="200"/>
    </w:pPr>
  </w:style>
  <w:style w:type="paragraph" w:styleId="26">
    <w:name w:val="Normal (Web)"/>
    <w:basedOn w:val="1"/>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7">
    <w:name w:val="Title"/>
    <w:basedOn w:val="1"/>
    <w:link w:val="54"/>
    <w:qFormat/>
    <w:uiPriority w:val="10"/>
    <w:pPr>
      <w:widowControl/>
      <w:overflowPunct w:val="0"/>
      <w:autoSpaceDE w:val="0"/>
      <w:autoSpaceDN w:val="0"/>
      <w:adjustRightInd w:val="0"/>
      <w:jc w:val="center"/>
      <w:textAlignment w:val="baseline"/>
    </w:pPr>
    <w:rPr>
      <w:rFonts w:ascii="Cambria" w:hAnsi="Cambria"/>
      <w:b/>
      <w:bCs/>
      <w:sz w:val="32"/>
      <w:szCs w:val="32"/>
    </w:rPr>
  </w:style>
  <w:style w:type="paragraph" w:styleId="28">
    <w:name w:val="annotation subject"/>
    <w:basedOn w:val="12"/>
    <w:next w:val="12"/>
    <w:link w:val="55"/>
    <w:qFormat/>
    <w:uiPriority w:val="99"/>
    <w:rPr>
      <w:b/>
      <w:bCs/>
    </w:rPr>
  </w:style>
  <w:style w:type="paragraph" w:styleId="29">
    <w:name w:val="Body Text First Indent"/>
    <w:basedOn w:val="2"/>
    <w:qFormat/>
    <w:uiPriority w:val="0"/>
    <w:pPr>
      <w:spacing w:after="120" w:afterLines="0" w:line="240" w:lineRule="auto"/>
      <w:ind w:firstLine="420" w:firstLineChars="100"/>
    </w:pPr>
    <w:rPr>
      <w:sz w:val="21"/>
    </w:rPr>
  </w:style>
  <w:style w:type="paragraph" w:styleId="30">
    <w:name w:val="Body Text First Indent 2"/>
    <w:basedOn w:val="14"/>
    <w:link w:val="56"/>
    <w:unhideWhenUsed/>
    <w:qFormat/>
    <w:uiPriority w:val="99"/>
    <w:pPr>
      <w:spacing w:after="120"/>
      <w:ind w:left="420" w:leftChars="200" w:firstLine="420" w:firstLineChars="200"/>
    </w:pPr>
    <w:rPr>
      <w:rFonts w:ascii="Times New Roman" w:eastAsia="宋体"/>
      <w:kern w:val="2"/>
      <w:sz w:val="21"/>
      <w:szCs w:val="24"/>
    </w:rPr>
  </w:style>
  <w:style w:type="table" w:styleId="32">
    <w:name w:val="Table Grid"/>
    <w:basedOn w:val="3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unhideWhenUsed/>
    <w:qFormat/>
    <w:uiPriority w:val="99"/>
    <w:rPr>
      <w:vertAlign w:val="superscript"/>
    </w:rPr>
  </w:style>
  <w:style w:type="character" w:styleId="35">
    <w:name w:val="page number"/>
    <w:qFormat/>
    <w:uiPriority w:val="0"/>
    <w:rPr>
      <w:rFonts w:ascii="Arial" w:hAnsi="Arial" w:eastAsia="黑体" w:cs="Arial"/>
      <w:snapToGrid w:val="0"/>
      <w:kern w:val="0"/>
      <w:szCs w:val="21"/>
    </w:rPr>
  </w:style>
  <w:style w:type="character" w:styleId="36">
    <w:name w:val="FollowedHyperlink"/>
    <w:unhideWhenUsed/>
    <w:qFormat/>
    <w:uiPriority w:val="99"/>
    <w:rPr>
      <w:color w:val="800080"/>
      <w:u w:val="single"/>
    </w:rPr>
  </w:style>
  <w:style w:type="character" w:styleId="37">
    <w:name w:val="Emphasis"/>
    <w:basedOn w:val="33"/>
    <w:qFormat/>
    <w:uiPriority w:val="20"/>
    <w:rPr>
      <w:i/>
    </w:rPr>
  </w:style>
  <w:style w:type="character" w:styleId="38">
    <w:name w:val="Hyperlink"/>
    <w:unhideWhenUsed/>
    <w:qFormat/>
    <w:uiPriority w:val="99"/>
    <w:rPr>
      <w:color w:val="0000FF"/>
      <w:u w:val="single"/>
    </w:rPr>
  </w:style>
  <w:style w:type="character" w:styleId="39">
    <w:name w:val="annotation reference"/>
    <w:qFormat/>
    <w:uiPriority w:val="99"/>
    <w:rPr>
      <w:sz w:val="21"/>
      <w:szCs w:val="21"/>
    </w:rPr>
  </w:style>
  <w:style w:type="character" w:customStyle="1" w:styleId="40">
    <w:name w:val="标题 3 字符"/>
    <w:link w:val="4"/>
    <w:semiHidden/>
    <w:qFormat/>
    <w:uiPriority w:val="9"/>
    <w:rPr>
      <w:b/>
      <w:bCs/>
      <w:kern w:val="2"/>
      <w:sz w:val="32"/>
      <w:szCs w:val="32"/>
    </w:rPr>
  </w:style>
  <w:style w:type="character" w:customStyle="1" w:styleId="41">
    <w:name w:val="标题 1 字符"/>
    <w:link w:val="3"/>
    <w:qFormat/>
    <w:uiPriority w:val="9"/>
    <w:rPr>
      <w:b/>
      <w:bCs/>
      <w:kern w:val="44"/>
      <w:sz w:val="44"/>
      <w:szCs w:val="44"/>
    </w:rPr>
  </w:style>
  <w:style w:type="character" w:customStyle="1" w:styleId="42">
    <w:name w:val="标题 2 字符"/>
    <w:link w:val="5"/>
    <w:qFormat/>
    <w:uiPriority w:val="9"/>
    <w:rPr>
      <w:rFonts w:ascii="Cambria" w:hAnsi="Cambria" w:eastAsia="宋体" w:cs="Times New Roman"/>
      <w:b/>
      <w:bCs/>
      <w:kern w:val="2"/>
      <w:sz w:val="32"/>
      <w:szCs w:val="32"/>
    </w:rPr>
  </w:style>
  <w:style w:type="character" w:customStyle="1" w:styleId="43">
    <w:name w:val="标题 5 字符"/>
    <w:link w:val="7"/>
    <w:qFormat/>
    <w:uiPriority w:val="9"/>
    <w:rPr>
      <w:rFonts w:ascii="Times New Roman" w:hAnsi="Times New Roman"/>
      <w:b/>
      <w:bCs/>
      <w:kern w:val="2"/>
      <w:sz w:val="28"/>
      <w:szCs w:val="28"/>
    </w:rPr>
  </w:style>
  <w:style w:type="character" w:customStyle="1" w:styleId="44">
    <w:name w:val="标题 8 字符"/>
    <w:link w:val="9"/>
    <w:semiHidden/>
    <w:qFormat/>
    <w:uiPriority w:val="9"/>
    <w:rPr>
      <w:rFonts w:ascii="等线 Light" w:hAnsi="等线 Light" w:eastAsia="等线 Light" w:cs="Times New Roman"/>
      <w:kern w:val="2"/>
      <w:sz w:val="24"/>
      <w:szCs w:val="24"/>
    </w:rPr>
  </w:style>
  <w:style w:type="character" w:customStyle="1" w:styleId="45">
    <w:name w:val="标题 9 字符"/>
    <w:link w:val="10"/>
    <w:semiHidden/>
    <w:qFormat/>
    <w:uiPriority w:val="9"/>
    <w:rPr>
      <w:rFonts w:ascii="Cambria" w:hAnsi="Cambria" w:eastAsia="宋体" w:cs="Times New Roman"/>
      <w:kern w:val="2"/>
      <w:sz w:val="21"/>
      <w:szCs w:val="21"/>
    </w:rPr>
  </w:style>
  <w:style w:type="character" w:customStyle="1" w:styleId="46">
    <w:name w:val="批注文字 字符2"/>
    <w:link w:val="12"/>
    <w:qFormat/>
    <w:uiPriority w:val="0"/>
    <w:rPr>
      <w:rFonts w:ascii="Times New Roman" w:hAnsi="Times New Roman"/>
      <w:kern w:val="2"/>
      <w:sz w:val="21"/>
      <w:szCs w:val="24"/>
    </w:rPr>
  </w:style>
  <w:style w:type="character" w:customStyle="1" w:styleId="47">
    <w:name w:val="正文文本 3 字符"/>
    <w:link w:val="13"/>
    <w:semiHidden/>
    <w:qFormat/>
    <w:uiPriority w:val="99"/>
    <w:rPr>
      <w:kern w:val="2"/>
      <w:sz w:val="16"/>
      <w:szCs w:val="16"/>
    </w:rPr>
  </w:style>
  <w:style w:type="character" w:customStyle="1" w:styleId="48">
    <w:name w:val="正文文本 字符1"/>
    <w:link w:val="2"/>
    <w:qFormat/>
    <w:uiPriority w:val="0"/>
    <w:rPr>
      <w:rFonts w:ascii="Times New Roman" w:hAnsi="Times New Roman"/>
      <w:kern w:val="2"/>
      <w:sz w:val="21"/>
      <w:szCs w:val="24"/>
    </w:rPr>
  </w:style>
  <w:style w:type="character" w:customStyle="1" w:styleId="49">
    <w:name w:val="正文文本缩进 字符1"/>
    <w:link w:val="14"/>
    <w:qFormat/>
    <w:uiPriority w:val="0"/>
    <w:rPr>
      <w:rFonts w:ascii="仿宋_GB2312" w:hAnsi="Times New Roman" w:eastAsia="仿宋_GB2312" w:cs="Times New Roman"/>
      <w:sz w:val="32"/>
      <w:szCs w:val="20"/>
    </w:rPr>
  </w:style>
  <w:style w:type="character" w:customStyle="1" w:styleId="50">
    <w:name w:val="纯文本 字符3"/>
    <w:link w:val="18"/>
    <w:qFormat/>
    <w:uiPriority w:val="0"/>
    <w:rPr>
      <w:rFonts w:ascii="宋体" w:hAnsi="Courier New" w:eastAsia="宋体" w:cs="Courier New"/>
      <w:szCs w:val="21"/>
    </w:rPr>
  </w:style>
  <w:style w:type="character" w:customStyle="1" w:styleId="51">
    <w:name w:val="日期 字符"/>
    <w:link w:val="19"/>
    <w:semiHidden/>
    <w:qFormat/>
    <w:uiPriority w:val="99"/>
    <w:rPr>
      <w:rFonts w:ascii="Times New Roman" w:hAnsi="Times New Roman"/>
      <w:kern w:val="2"/>
      <w:sz w:val="21"/>
      <w:szCs w:val="24"/>
    </w:rPr>
  </w:style>
  <w:style w:type="character" w:customStyle="1" w:styleId="52">
    <w:name w:val="页脚 字符"/>
    <w:link w:val="21"/>
    <w:qFormat/>
    <w:uiPriority w:val="0"/>
    <w:rPr>
      <w:sz w:val="18"/>
      <w:szCs w:val="18"/>
    </w:rPr>
  </w:style>
  <w:style w:type="character" w:customStyle="1" w:styleId="53">
    <w:name w:val="页眉 字符"/>
    <w:link w:val="22"/>
    <w:qFormat/>
    <w:uiPriority w:val="0"/>
    <w:rPr>
      <w:sz w:val="18"/>
      <w:szCs w:val="18"/>
    </w:rPr>
  </w:style>
  <w:style w:type="character" w:customStyle="1" w:styleId="54">
    <w:name w:val="标题 字符"/>
    <w:link w:val="27"/>
    <w:qFormat/>
    <w:uiPriority w:val="10"/>
    <w:rPr>
      <w:rFonts w:ascii="Cambria" w:hAnsi="Cambria" w:cs="Times New Roman"/>
      <w:b/>
      <w:bCs/>
      <w:kern w:val="2"/>
      <w:sz w:val="32"/>
      <w:szCs w:val="32"/>
    </w:rPr>
  </w:style>
  <w:style w:type="character" w:customStyle="1" w:styleId="55">
    <w:name w:val="批注主题 字符"/>
    <w:link w:val="28"/>
    <w:qFormat/>
    <w:uiPriority w:val="99"/>
    <w:rPr>
      <w:rFonts w:ascii="Times New Roman" w:hAnsi="Times New Roman"/>
      <w:b/>
      <w:bCs/>
      <w:kern w:val="2"/>
      <w:sz w:val="21"/>
      <w:szCs w:val="24"/>
    </w:rPr>
  </w:style>
  <w:style w:type="character" w:customStyle="1" w:styleId="56">
    <w:name w:val="正文文本首行缩进 2 字符"/>
    <w:link w:val="30"/>
    <w:semiHidden/>
    <w:qFormat/>
    <w:uiPriority w:val="99"/>
    <w:rPr>
      <w:kern w:val="2"/>
      <w:sz w:val="21"/>
      <w:szCs w:val="24"/>
    </w:rPr>
  </w:style>
  <w:style w:type="character" w:customStyle="1" w:styleId="57">
    <w:name w:val="纯文本 字符2"/>
    <w:qFormat/>
    <w:uiPriority w:val="0"/>
    <w:rPr>
      <w:rFonts w:ascii="宋体" w:hAnsi="Courier New" w:eastAsia="宋体" w:cs="Courier New"/>
      <w:szCs w:val="21"/>
    </w:rPr>
  </w:style>
  <w:style w:type="character" w:customStyle="1" w:styleId="58">
    <w:name w:val="标题 Char1"/>
    <w:qFormat/>
    <w:uiPriority w:val="0"/>
    <w:rPr>
      <w:rFonts w:ascii="Calibri" w:hAnsi="Calibri"/>
      <w:b/>
      <w:sz w:val="24"/>
      <w:lang w:val="en-GB"/>
    </w:rPr>
  </w:style>
  <w:style w:type="character" w:customStyle="1" w:styleId="59">
    <w:name w:val="标题 8 Char"/>
    <w:qFormat/>
    <w:uiPriority w:val="0"/>
    <w:rPr>
      <w:rFonts w:ascii="Arial" w:hAnsi="Arial" w:eastAsia="黑体"/>
      <w:kern w:val="2"/>
      <w:sz w:val="24"/>
      <w:szCs w:val="24"/>
    </w:rPr>
  </w:style>
  <w:style w:type="character" w:customStyle="1" w:styleId="60">
    <w:name w:val="批注文字 字符"/>
    <w:qFormat/>
    <w:uiPriority w:val="0"/>
    <w:rPr>
      <w:rFonts w:ascii="Times New Roman" w:hAnsi="Times New Roman"/>
      <w:kern w:val="2"/>
      <w:sz w:val="21"/>
      <w:szCs w:val="24"/>
    </w:rPr>
  </w:style>
  <w:style w:type="character" w:customStyle="1" w:styleId="61">
    <w:name w:val="textcontents"/>
    <w:qFormat/>
    <w:uiPriority w:val="0"/>
  </w:style>
  <w:style w:type="character" w:customStyle="1" w:styleId="62">
    <w:name w:val="批注文字 Char"/>
    <w:qFormat/>
    <w:uiPriority w:val="0"/>
    <w:rPr>
      <w:rFonts w:ascii="Times New Roman" w:hAnsi="Times New Roman"/>
      <w:kern w:val="2"/>
      <w:sz w:val="21"/>
      <w:szCs w:val="24"/>
    </w:rPr>
  </w:style>
  <w:style w:type="character" w:customStyle="1" w:styleId="63">
    <w:name w:val="批注文字 字符1"/>
    <w:qFormat/>
    <w:uiPriority w:val="0"/>
    <w:rPr>
      <w:rFonts w:ascii="Times New Roman" w:hAnsi="Times New Roman"/>
      <w:kern w:val="2"/>
      <w:sz w:val="21"/>
      <w:szCs w:val="24"/>
    </w:rPr>
  </w:style>
  <w:style w:type="character" w:customStyle="1" w:styleId="64">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5">
    <w:name w:val="apple-style-span"/>
    <w:qFormat/>
    <w:uiPriority w:val="0"/>
  </w:style>
  <w:style w:type="character" w:customStyle="1" w:styleId="66">
    <w:name w:val="纯文本 字符"/>
    <w:qFormat/>
    <w:uiPriority w:val="0"/>
    <w:rPr>
      <w:rFonts w:ascii="宋体" w:hAnsi="Courier New" w:eastAsia="宋体" w:cs="Courier New"/>
      <w:szCs w:val="21"/>
    </w:rPr>
  </w:style>
  <w:style w:type="character" w:customStyle="1" w:styleId="67">
    <w:name w:val="NormalCharacter"/>
    <w:qFormat/>
    <w:uiPriority w:val="0"/>
  </w:style>
  <w:style w:type="character" w:customStyle="1" w:styleId="68">
    <w:name w:val="正文文本 字符"/>
    <w:qFormat/>
    <w:uiPriority w:val="0"/>
    <w:rPr>
      <w:rFonts w:ascii="Times New Roman" w:hAnsi="Times New Roman"/>
      <w:kern w:val="2"/>
      <w:sz w:val="21"/>
      <w:szCs w:val="24"/>
    </w:rPr>
  </w:style>
  <w:style w:type="character" w:customStyle="1" w:styleId="69">
    <w:name w:val="标题 1 字符1"/>
    <w:qFormat/>
    <w:uiPriority w:val="0"/>
    <w:rPr>
      <w:b/>
      <w:bCs/>
      <w:kern w:val="44"/>
      <w:sz w:val="44"/>
      <w:szCs w:val="44"/>
    </w:rPr>
  </w:style>
  <w:style w:type="character" w:customStyle="1" w:styleId="70">
    <w:name w:val="正文2 Char Char"/>
    <w:link w:val="71"/>
    <w:qFormat/>
    <w:uiPriority w:val="0"/>
    <w:rPr>
      <w:sz w:val="24"/>
    </w:rPr>
  </w:style>
  <w:style w:type="paragraph" w:customStyle="1" w:styleId="71">
    <w:name w:val="正文2"/>
    <w:basedOn w:val="1"/>
    <w:link w:val="70"/>
    <w:qFormat/>
    <w:uiPriority w:val="0"/>
    <w:pPr>
      <w:adjustRightInd w:val="0"/>
      <w:spacing w:before="156" w:line="360" w:lineRule="auto"/>
      <w:ind w:firstLine="510" w:firstLineChars="200"/>
    </w:pPr>
    <w:rPr>
      <w:kern w:val="0"/>
      <w:sz w:val="24"/>
      <w:szCs w:val="20"/>
    </w:rPr>
  </w:style>
  <w:style w:type="character" w:customStyle="1" w:styleId="72">
    <w:name w:val="标题 2 Char"/>
    <w:qFormat/>
    <w:uiPriority w:val="9"/>
    <w:rPr>
      <w:rFonts w:ascii="Cambria" w:hAnsi="Cambria" w:eastAsia="宋体" w:cs="Times New Roman"/>
      <w:b/>
      <w:bCs/>
      <w:kern w:val="2"/>
      <w:sz w:val="32"/>
      <w:szCs w:val="32"/>
    </w:rPr>
  </w:style>
  <w:style w:type="character" w:customStyle="1" w:styleId="73">
    <w:name w:val="未处理的提及"/>
    <w:unhideWhenUsed/>
    <w:qFormat/>
    <w:uiPriority w:val="99"/>
    <w:rPr>
      <w:color w:val="605E5C"/>
      <w:shd w:val="clear" w:color="auto" w:fill="E1DFDD"/>
    </w:rPr>
  </w:style>
  <w:style w:type="character" w:customStyle="1" w:styleId="74">
    <w:name w:val="纯文本 Char"/>
    <w:qFormat/>
    <w:uiPriority w:val="0"/>
    <w:rPr>
      <w:rFonts w:ascii="宋体" w:hAnsi="Courier New" w:eastAsia="宋体" w:cs="Courier New"/>
      <w:szCs w:val="21"/>
    </w:rPr>
  </w:style>
  <w:style w:type="character" w:customStyle="1" w:styleId="75">
    <w:name w:val="正文文本 Char"/>
    <w:qFormat/>
    <w:uiPriority w:val="0"/>
    <w:rPr>
      <w:rFonts w:ascii="Times New Roman" w:hAnsi="Times New Roman"/>
      <w:kern w:val="2"/>
      <w:sz w:val="21"/>
      <w:szCs w:val="24"/>
    </w:rPr>
  </w:style>
  <w:style w:type="character" w:customStyle="1" w:styleId="76">
    <w:name w:val="纯文本 字符1"/>
    <w:qFormat/>
    <w:uiPriority w:val="0"/>
    <w:rPr>
      <w:rFonts w:ascii="宋体" w:hAnsi="Courier New"/>
    </w:rPr>
  </w:style>
  <w:style w:type="character" w:customStyle="1" w:styleId="77">
    <w:name w:val="正文文本缩进 字符"/>
    <w:qFormat/>
    <w:uiPriority w:val="0"/>
    <w:rPr>
      <w:rFonts w:ascii="仿宋_GB2312" w:hAnsi="Times New Roman" w:eastAsia="仿宋_GB2312" w:cs="Times New Roman"/>
      <w:sz w:val="32"/>
      <w:szCs w:val="20"/>
    </w:rPr>
  </w:style>
  <w:style w:type="character" w:customStyle="1" w:styleId="78">
    <w:name w:val="纯文本 Char2"/>
    <w:qFormat/>
    <w:uiPriority w:val="0"/>
    <w:rPr>
      <w:rFonts w:ascii="宋体" w:hAnsi="Courier New" w:cs="Arial"/>
      <w:snapToGrid w:val="0"/>
      <w:szCs w:val="21"/>
    </w:rPr>
  </w:style>
  <w:style w:type="character" w:customStyle="1" w:styleId="79">
    <w:name w:val="页眉 Char"/>
    <w:qFormat/>
    <w:uiPriority w:val="99"/>
    <w:rPr>
      <w:lang w:eastAsia="zh-CN"/>
    </w:rPr>
  </w:style>
  <w:style w:type="paragraph" w:customStyle="1" w:styleId="80">
    <w:name w:val="正文缩进1"/>
    <w:basedOn w:val="1"/>
    <w:next w:val="14"/>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81">
    <w:name w:val="默认段落字体 Para Char Char Char Char Char Char Char Char Char1 Char Char Char Char"/>
    <w:basedOn w:val="1"/>
    <w:qFormat/>
    <w:uiPriority w:val="0"/>
    <w:rPr>
      <w:rFonts w:ascii="Tahoma" w:hAnsi="Tahoma"/>
      <w:sz w:val="24"/>
      <w:szCs w:val="20"/>
    </w:rPr>
  </w:style>
  <w:style w:type="paragraph" w:customStyle="1" w:styleId="8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83">
    <w:name w:val="List Paragraph"/>
    <w:basedOn w:val="1"/>
    <w:qFormat/>
    <w:uiPriority w:val="34"/>
    <w:pPr>
      <w:ind w:firstLine="420" w:firstLineChars="200"/>
    </w:pPr>
  </w:style>
  <w:style w:type="paragraph" w:customStyle="1" w:styleId="84">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85">
    <w:name w:val="Table Paragraph"/>
    <w:basedOn w:val="1"/>
    <w:qFormat/>
    <w:uiPriority w:val="1"/>
    <w:pPr>
      <w:jc w:val="left"/>
    </w:pPr>
    <w:rPr>
      <w:rFonts w:ascii="Calibri" w:hAnsi="Calibri"/>
      <w:kern w:val="0"/>
      <w:sz w:val="22"/>
      <w:szCs w:val="22"/>
      <w:lang w:eastAsia="en-US"/>
    </w:rPr>
  </w:style>
  <w:style w:type="paragraph" w:customStyle="1" w:styleId="86">
    <w:name w:val="表格文字"/>
    <w:basedOn w:val="1"/>
    <w:next w:val="2"/>
    <w:qFormat/>
    <w:uiPriority w:val="0"/>
    <w:pPr>
      <w:adjustRightInd w:val="0"/>
      <w:spacing w:line="420" w:lineRule="atLeast"/>
      <w:jc w:val="left"/>
      <w:textAlignment w:val="baseline"/>
    </w:pPr>
    <w:rPr>
      <w:kern w:val="0"/>
    </w:rPr>
  </w:style>
  <w:style w:type="paragraph" w:customStyle="1" w:styleId="87">
    <w:name w:val="_Style 86"/>
    <w:basedOn w:val="3"/>
    <w:next w:val="1"/>
    <w:qFormat/>
    <w:uiPriority w:val="39"/>
    <w:pPr>
      <w:widowControl/>
      <w:spacing w:before="240" w:after="0" w:line="259" w:lineRule="auto"/>
      <w:jc w:val="left"/>
      <w:outlineLvl w:val="9"/>
    </w:pPr>
    <w:rPr>
      <w:rFonts w:ascii="等线 Light" w:hAnsi="等线 Light" w:eastAsia="等线 Light" w:cs="Times New Roman"/>
      <w:b/>
      <w:bCs/>
      <w:color w:val="2F5496"/>
      <w:kern w:val="0"/>
      <w:sz w:val="32"/>
      <w:szCs w:val="32"/>
      <w:lang w:val="en-US" w:eastAsia="zh-CN"/>
    </w:rPr>
  </w:style>
  <w:style w:type="paragraph" w:customStyle="1" w:styleId="88">
    <w:name w:val="Char Char Char Char"/>
    <w:basedOn w:val="1"/>
    <w:qFormat/>
    <w:uiPriority w:val="0"/>
    <w:pPr>
      <w:widowControl/>
      <w:spacing w:after="160" w:line="240" w:lineRule="exact"/>
      <w:jc w:val="left"/>
    </w:pPr>
  </w:style>
  <w:style w:type="paragraph" w:customStyle="1" w:styleId="89">
    <w:name w:val="正文-2字符首行缩进"/>
    <w:basedOn w:val="1"/>
    <w:qFormat/>
    <w:uiPriority w:val="0"/>
    <w:pPr>
      <w:widowControl/>
      <w:spacing w:line="360" w:lineRule="auto"/>
      <w:ind w:firstLine="200" w:firstLineChars="200"/>
    </w:pPr>
    <w:rPr>
      <w:rFonts w:ascii="仿宋_GB2312" w:hAnsi="Calibri" w:eastAsia="仿宋_GB2312"/>
      <w:kern w:val="0"/>
      <w:sz w:val="28"/>
      <w:szCs w:val="22"/>
    </w:rPr>
  </w:style>
  <w:style w:type="paragraph" w:customStyle="1" w:styleId="90">
    <w:name w:val="列出段落1"/>
    <w:basedOn w:val="1"/>
    <w:qFormat/>
    <w:uiPriority w:val="99"/>
    <w:pPr>
      <w:ind w:firstLine="420" w:firstLineChars="200"/>
    </w:pPr>
    <w:rPr>
      <w:rFonts w:ascii="等线" w:hAnsi="等线" w:eastAsia="等线" w:cs="Times New Roman"/>
    </w:rPr>
  </w:style>
  <w:style w:type="paragraph" w:customStyle="1" w:styleId="9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92">
    <w:name w:val="font11"/>
    <w:basedOn w:val="33"/>
    <w:qFormat/>
    <w:uiPriority w:val="0"/>
    <w:rPr>
      <w:rFonts w:hint="eastAsia" w:ascii="宋体" w:hAnsi="宋体" w:eastAsia="宋体" w:cs="宋体"/>
      <w:color w:val="000000"/>
      <w:sz w:val="20"/>
      <w:szCs w:val="20"/>
      <w:u w:val="none"/>
      <w:vertAlign w:val="superscript"/>
    </w:rPr>
  </w:style>
  <w:style w:type="character" w:customStyle="1" w:styleId="93">
    <w:name w:val="font41"/>
    <w:basedOn w:val="33"/>
    <w:qFormat/>
    <w:uiPriority w:val="0"/>
    <w:rPr>
      <w:rFonts w:hint="eastAsia" w:ascii="宋体" w:hAnsi="宋体" w:eastAsia="宋体" w:cs="宋体"/>
      <w:color w:val="000000"/>
      <w:sz w:val="20"/>
      <w:szCs w:val="20"/>
      <w:u w:val="none"/>
    </w:rPr>
  </w:style>
  <w:style w:type="table" w:customStyle="1" w:styleId="94">
    <w:name w:val="Table Normal"/>
    <w:unhideWhenUsed/>
    <w:qFormat/>
    <w:uiPriority w:val="0"/>
    <w:tblPr>
      <w:tblCellMar>
        <w:top w:w="0" w:type="dxa"/>
        <w:left w:w="0" w:type="dxa"/>
        <w:bottom w:w="0" w:type="dxa"/>
        <w:right w:w="0" w:type="dxa"/>
      </w:tblCellMar>
    </w:tblPr>
  </w:style>
  <w:style w:type="paragraph" w:customStyle="1" w:styleId="95">
    <w:name w:val="_Style 1"/>
    <w:basedOn w:val="1"/>
    <w:qFormat/>
    <w:uiPriority w:val="34"/>
    <w:pPr>
      <w:ind w:firstLine="420" w:firstLineChars="200"/>
    </w:pPr>
  </w:style>
  <w:style w:type="paragraph" w:customStyle="1" w:styleId="96">
    <w:name w:val="无间隔1"/>
    <w:qFormat/>
    <w:uiPriority w:val="0"/>
    <w:pPr>
      <w:widowControl w:val="0"/>
      <w:jc w:val="both"/>
    </w:pPr>
    <w:rPr>
      <w:rFonts w:ascii="Calibri" w:hAnsi="Calibri" w:eastAsia="宋体" w:cs="Calibri"/>
      <w:color w:val="000000"/>
      <w:kern w:val="1"/>
      <w:sz w:val="21"/>
      <w:szCs w:val="22"/>
      <w:lang w:val="en-US" w:eastAsia="zh-CN" w:bidi="ar-SA"/>
    </w:rPr>
  </w:style>
  <w:style w:type="paragraph" w:customStyle="1" w:styleId="97">
    <w:name w:val="正文1"/>
    <w:basedOn w:val="1"/>
    <w:qFormat/>
    <w:uiPriority w:val="0"/>
    <w:pPr>
      <w:adjustRightInd w:val="0"/>
      <w:spacing w:line="318" w:lineRule="atLeast"/>
      <w:ind w:left="369" w:firstLine="369"/>
      <w:textAlignment w:val="baseline"/>
    </w:pPr>
    <w:rPr>
      <w:szCs w:val="20"/>
    </w:rPr>
  </w:style>
  <w:style w:type="paragraph" w:customStyle="1" w:styleId="98">
    <w:name w:val="null3"/>
    <w:qFormat/>
    <w:uiPriority w:val="0"/>
    <w:rPr>
      <w:rFonts w:hint="eastAsia" w:ascii="Calibri" w:hAnsi="Calibri" w:eastAsia="宋体" w:cs="Times New Roman"/>
      <w:lang w:val="en-US" w:eastAsia="zh-Hans"/>
    </w:rPr>
  </w:style>
  <w:style w:type="character" w:customStyle="1" w:styleId="99">
    <w:name w:val="font61"/>
    <w:basedOn w:val="33"/>
    <w:qFormat/>
    <w:uiPriority w:val="0"/>
    <w:rPr>
      <w:rFonts w:hint="eastAsia" w:ascii="宋体" w:hAnsi="宋体" w:eastAsia="宋体" w:cs="宋体"/>
      <w:color w:val="000000"/>
      <w:sz w:val="20"/>
      <w:szCs w:val="20"/>
      <w:u w:val="none"/>
    </w:rPr>
  </w:style>
  <w:style w:type="character" w:customStyle="1" w:styleId="100">
    <w:name w:val="font81"/>
    <w:basedOn w:val="33"/>
    <w:qFormat/>
    <w:uiPriority w:val="0"/>
    <w:rPr>
      <w:rFonts w:hint="eastAsia" w:ascii="宋体" w:hAnsi="宋体" w:eastAsia="宋体" w:cs="宋体"/>
      <w:color w:val="FF0000"/>
      <w:sz w:val="20"/>
      <w:szCs w:val="20"/>
      <w:u w:val="none"/>
    </w:rPr>
  </w:style>
  <w:style w:type="character" w:customStyle="1" w:styleId="101">
    <w:name w:val="font111"/>
    <w:basedOn w:val="33"/>
    <w:qFormat/>
    <w:uiPriority w:val="0"/>
    <w:rPr>
      <w:rFonts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99</Pages>
  <Words>12827</Words>
  <Characters>15639</Characters>
  <Lines>2123</Lines>
  <Paragraphs>2143</Paragraphs>
  <TotalTime>58</TotalTime>
  <ScaleCrop>false</ScaleCrop>
  <LinksUpToDate>false</LinksUpToDate>
  <CharactersWithSpaces>16107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2021-08-24T07:49:00Z</dcterms:created>
  <dc:creator>唐冰</dc:creator>
  <cp:lastModifiedBy>laotee</cp:lastModifiedBy>
  <cp:lastPrinted>2022-09-21T07:59:00Z</cp:lastPrinted>
  <dcterms:modified xsi:type="dcterms:W3CDTF">2024-10-30T08:20:56Z</dcterms:modified>
  <dc:title>竞争性谈判文件规范</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DED3D390429549408BADC1D7126BC78F_13</vt:lpwstr>
  </property>
</Properties>
</file>