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FAC88">
      <w:pPr>
        <w:jc w:val="center"/>
        <w:rPr>
          <w:rFonts w:ascii="宋体" w:hAnsi="宋体"/>
          <w:color w:val="000000"/>
          <w:highlight w:val="none"/>
        </w:rPr>
      </w:pPr>
    </w:p>
    <w:p w14:paraId="1B1E9D3B">
      <w:pPr>
        <w:jc w:val="center"/>
        <w:rPr>
          <w:rFonts w:hint="eastAsia" w:ascii="宋体" w:hAnsi="宋体"/>
          <w:color w:val="000000"/>
          <w:highlight w:val="none"/>
        </w:rPr>
      </w:pPr>
    </w:p>
    <w:p w14:paraId="2431EF50">
      <w:pPr>
        <w:jc w:val="center"/>
        <w:rPr>
          <w:rFonts w:hint="eastAsia" w:ascii="宋体" w:hAnsi="宋体"/>
          <w:b/>
          <w:color w:val="000000"/>
          <w:sz w:val="52"/>
          <w:szCs w:val="52"/>
          <w:highlight w:val="none"/>
          <w:lang w:eastAsia="zh-CN"/>
        </w:rPr>
      </w:pPr>
      <w:r>
        <w:rPr>
          <w:rFonts w:hint="eastAsia" w:ascii="宋体" w:hAnsi="宋体"/>
          <w:b/>
          <w:color w:val="000000"/>
          <w:sz w:val="52"/>
          <w:szCs w:val="52"/>
          <w:highlight w:val="none"/>
          <w:lang w:eastAsia="zh-CN"/>
        </w:rPr>
        <w:t>广西东裕工程管理有限公司</w:t>
      </w:r>
    </w:p>
    <w:p w14:paraId="5F362F31">
      <w:pPr>
        <w:jc w:val="center"/>
        <w:rPr>
          <w:rFonts w:ascii="宋体" w:hAnsi="宋体"/>
          <w:color w:val="000000"/>
          <w:highlight w:val="none"/>
        </w:rPr>
      </w:pPr>
    </w:p>
    <w:p w14:paraId="3657AF60">
      <w:pPr>
        <w:jc w:val="center"/>
        <w:rPr>
          <w:rFonts w:hint="eastAsia" w:ascii="宋体" w:hAnsi="宋体"/>
          <w:color w:val="000000"/>
          <w:highlight w:val="none"/>
        </w:rPr>
      </w:pPr>
    </w:p>
    <w:p w14:paraId="2279D8F5">
      <w:pPr>
        <w:jc w:val="center"/>
        <w:rPr>
          <w:rFonts w:hint="eastAsia" w:ascii="宋体" w:hAnsi="宋体"/>
          <w:color w:val="000000"/>
          <w:highlight w:val="none"/>
        </w:rPr>
      </w:pPr>
    </w:p>
    <w:p w14:paraId="7DB68AC9">
      <w:pPr>
        <w:jc w:val="center"/>
        <w:rPr>
          <w:rFonts w:hint="eastAsia" w:ascii="宋体" w:hAnsi="宋体"/>
          <w:color w:val="000000"/>
          <w:highlight w:val="none"/>
        </w:rPr>
      </w:pPr>
    </w:p>
    <w:p w14:paraId="7A8D93A9">
      <w:pPr>
        <w:jc w:val="center"/>
        <w:rPr>
          <w:rFonts w:hint="eastAsia" w:ascii="宋体" w:hAnsi="宋体"/>
          <w:color w:val="000000"/>
          <w:highlight w:val="none"/>
        </w:rPr>
      </w:pPr>
    </w:p>
    <w:p w14:paraId="710DBFF2">
      <w:pPr>
        <w:jc w:val="center"/>
        <w:rPr>
          <w:rFonts w:hint="eastAsia" w:ascii="宋体" w:hAnsi="宋体"/>
          <w:b/>
          <w:bCs/>
          <w:color w:val="000000"/>
          <w:sz w:val="84"/>
          <w:highlight w:val="none"/>
        </w:rPr>
      </w:pPr>
      <w:r>
        <w:rPr>
          <w:rFonts w:hint="eastAsia" w:ascii="宋体" w:hAnsi="宋体"/>
          <w:b/>
          <w:bCs/>
          <w:color w:val="000000"/>
          <w:sz w:val="84"/>
          <w:highlight w:val="none"/>
        </w:rPr>
        <w:t>竞争性磋商文件</w:t>
      </w:r>
    </w:p>
    <w:p w14:paraId="6C3AE25D">
      <w:pPr>
        <w:jc w:val="center"/>
        <w:rPr>
          <w:rFonts w:ascii="宋体" w:hAnsi="宋体"/>
          <w:color w:val="000000"/>
          <w:highlight w:val="none"/>
        </w:rPr>
      </w:pPr>
    </w:p>
    <w:p w14:paraId="05BA3E71">
      <w:pPr>
        <w:jc w:val="center"/>
        <w:rPr>
          <w:rFonts w:ascii="宋体" w:hAnsi="宋体"/>
          <w:color w:val="000000"/>
          <w:highlight w:val="none"/>
        </w:rPr>
      </w:pPr>
    </w:p>
    <w:p w14:paraId="6DB81EAA">
      <w:pPr>
        <w:jc w:val="center"/>
        <w:rPr>
          <w:rFonts w:ascii="宋体" w:hAnsi="宋体"/>
          <w:color w:val="000000"/>
          <w:highlight w:val="none"/>
        </w:rPr>
      </w:pPr>
    </w:p>
    <w:p w14:paraId="091C821C">
      <w:pPr>
        <w:pStyle w:val="33"/>
        <w:rPr>
          <w:color w:val="000000"/>
          <w:highlight w:val="none"/>
        </w:rPr>
      </w:pPr>
    </w:p>
    <w:p w14:paraId="15D9672A">
      <w:pPr>
        <w:pStyle w:val="33"/>
        <w:rPr>
          <w:color w:val="000000"/>
          <w:highlight w:val="none"/>
        </w:rPr>
      </w:pPr>
    </w:p>
    <w:p w14:paraId="3E119D31">
      <w:pPr>
        <w:pStyle w:val="33"/>
        <w:rPr>
          <w:color w:val="000000"/>
          <w:highlight w:val="none"/>
        </w:rPr>
      </w:pPr>
    </w:p>
    <w:p w14:paraId="4047879A">
      <w:pPr>
        <w:pStyle w:val="33"/>
        <w:rPr>
          <w:color w:val="000000"/>
          <w:highlight w:val="none"/>
        </w:rPr>
      </w:pPr>
    </w:p>
    <w:p w14:paraId="71230C5D">
      <w:pPr>
        <w:pStyle w:val="33"/>
        <w:rPr>
          <w:color w:val="000000"/>
          <w:highlight w:val="none"/>
        </w:rPr>
      </w:pPr>
    </w:p>
    <w:p w14:paraId="3AF22A7A">
      <w:pPr>
        <w:pStyle w:val="33"/>
        <w:rPr>
          <w:color w:val="000000"/>
          <w:highlight w:val="none"/>
        </w:rPr>
      </w:pPr>
    </w:p>
    <w:p w14:paraId="455B26B0">
      <w:pPr>
        <w:spacing w:before="240" w:line="700" w:lineRule="exact"/>
        <w:ind w:firstLine="707" w:firstLineChars="220"/>
        <w:jc w:val="left"/>
        <w:rPr>
          <w:rFonts w:hint="eastAsia" w:ascii="宋体" w:hAnsi="宋体"/>
          <w:b/>
          <w:color w:val="000000"/>
          <w:sz w:val="32"/>
          <w:szCs w:val="32"/>
          <w:highlight w:val="none"/>
        </w:rPr>
      </w:pPr>
      <w:r>
        <w:rPr>
          <w:rFonts w:hint="eastAsia" w:ascii="宋体" w:hAnsi="宋体"/>
          <w:b/>
          <w:color w:val="000000"/>
          <w:sz w:val="32"/>
          <w:szCs w:val="32"/>
          <w:highlight w:val="none"/>
        </w:rPr>
        <w:t>项目名称：</w:t>
      </w:r>
      <w:r>
        <w:rPr>
          <w:rFonts w:hint="eastAsia" w:ascii="宋体" w:hAnsi="宋体"/>
          <w:b/>
          <w:color w:val="000000"/>
          <w:sz w:val="32"/>
          <w:szCs w:val="32"/>
          <w:highlight w:val="none"/>
          <w:lang w:eastAsia="zh-CN"/>
        </w:rPr>
        <w:t>长洲区泗洲村人居环境整治项目</w:t>
      </w:r>
    </w:p>
    <w:p w14:paraId="0D032969">
      <w:pPr>
        <w:spacing w:before="240" w:line="700" w:lineRule="exact"/>
        <w:ind w:firstLine="707" w:firstLineChars="220"/>
        <w:jc w:val="left"/>
        <w:rPr>
          <w:rFonts w:hint="eastAsia" w:ascii="宋体" w:hAnsi="宋体"/>
          <w:b/>
          <w:color w:val="000000"/>
          <w:sz w:val="32"/>
          <w:szCs w:val="32"/>
          <w:highlight w:val="none"/>
        </w:rPr>
      </w:pPr>
      <w:r>
        <w:rPr>
          <w:rFonts w:hint="eastAsia" w:ascii="宋体" w:hAnsi="宋体"/>
          <w:b/>
          <w:color w:val="000000"/>
          <w:sz w:val="32"/>
          <w:szCs w:val="32"/>
          <w:highlight w:val="none"/>
        </w:rPr>
        <w:t>项目编号：</w:t>
      </w:r>
      <w:r>
        <w:rPr>
          <w:rFonts w:hint="eastAsia" w:ascii="宋体" w:hAnsi="宋体"/>
          <w:b/>
          <w:color w:val="000000"/>
          <w:sz w:val="32"/>
          <w:szCs w:val="32"/>
          <w:highlight w:val="none"/>
          <w:lang w:eastAsia="zh-CN"/>
        </w:rPr>
        <w:t>WZZC2025-C2-050014-DYGS</w:t>
      </w:r>
    </w:p>
    <w:p w14:paraId="6D717B6B">
      <w:pPr>
        <w:ind w:firstLine="707" w:firstLineChars="220"/>
        <w:rPr>
          <w:rFonts w:ascii="宋体" w:hAnsi="宋体"/>
          <w:b/>
          <w:color w:val="000000"/>
          <w:sz w:val="32"/>
          <w:szCs w:val="32"/>
          <w:highlight w:val="none"/>
        </w:rPr>
      </w:pPr>
    </w:p>
    <w:p w14:paraId="4FDB4B4A">
      <w:pPr>
        <w:ind w:firstLine="707" w:firstLineChars="220"/>
        <w:rPr>
          <w:rFonts w:hint="eastAsia" w:ascii="宋体" w:hAnsi="宋体"/>
          <w:b/>
          <w:color w:val="000000"/>
          <w:sz w:val="32"/>
          <w:szCs w:val="32"/>
          <w:highlight w:val="none"/>
        </w:rPr>
      </w:pPr>
      <w:r>
        <w:rPr>
          <w:rFonts w:hint="eastAsia" w:ascii="宋体" w:hAnsi="宋体"/>
          <w:b/>
          <w:color w:val="000000"/>
          <w:sz w:val="32"/>
          <w:szCs w:val="32"/>
          <w:highlight w:val="none"/>
        </w:rPr>
        <w:t>采购人：</w:t>
      </w:r>
      <w:r>
        <w:rPr>
          <w:rFonts w:hint="eastAsia" w:ascii="宋体" w:hAnsi="宋体"/>
          <w:b/>
          <w:color w:val="000000"/>
          <w:sz w:val="32"/>
          <w:szCs w:val="32"/>
          <w:highlight w:val="none"/>
          <w:lang w:eastAsia="zh-CN"/>
        </w:rPr>
        <w:t>梧州市长洲区发展和改革局</w:t>
      </w:r>
    </w:p>
    <w:p w14:paraId="4EC5B73F">
      <w:pPr>
        <w:ind w:left="-2" w:leftChars="-1" w:firstLine="462" w:firstLineChars="220"/>
        <w:rPr>
          <w:rFonts w:ascii="宋体" w:hAnsi="宋体"/>
          <w:color w:val="000000"/>
          <w:highlight w:val="none"/>
        </w:rPr>
      </w:pPr>
    </w:p>
    <w:p w14:paraId="29278083">
      <w:pPr>
        <w:ind w:firstLine="707" w:firstLineChars="220"/>
        <w:rPr>
          <w:rFonts w:ascii="宋体" w:hAnsi="宋体"/>
          <w:b/>
          <w:color w:val="000000"/>
          <w:sz w:val="32"/>
          <w:szCs w:val="32"/>
          <w:highlight w:val="none"/>
        </w:rPr>
      </w:pPr>
    </w:p>
    <w:p w14:paraId="383DDB61">
      <w:pPr>
        <w:ind w:firstLine="643" w:firstLineChars="200"/>
        <w:jc w:val="both"/>
        <w:rPr>
          <w:rFonts w:hint="eastAsia" w:ascii="宋体" w:hAnsi="宋体"/>
          <w:b/>
          <w:color w:val="000000"/>
          <w:sz w:val="32"/>
          <w:szCs w:val="32"/>
          <w:highlight w:val="none"/>
        </w:rPr>
      </w:pPr>
      <w:r>
        <w:rPr>
          <w:rFonts w:hint="eastAsia" w:ascii="宋体" w:hAnsi="宋体"/>
          <w:b/>
          <w:color w:val="000000"/>
          <w:sz w:val="32"/>
          <w:szCs w:val="32"/>
          <w:highlight w:val="none"/>
        </w:rPr>
        <w:t>采购代理机构：</w:t>
      </w:r>
      <w:r>
        <w:rPr>
          <w:rFonts w:hint="eastAsia" w:ascii="宋体" w:hAnsi="宋体"/>
          <w:b/>
          <w:color w:val="000000"/>
          <w:sz w:val="32"/>
          <w:szCs w:val="32"/>
          <w:highlight w:val="none"/>
          <w:lang w:eastAsia="zh-CN"/>
        </w:rPr>
        <w:t>广西东裕工程管理有限公司</w:t>
      </w:r>
    </w:p>
    <w:p w14:paraId="19DFAC7E">
      <w:pPr>
        <w:jc w:val="center"/>
        <w:rPr>
          <w:rFonts w:ascii="宋体" w:hAnsi="宋体"/>
          <w:b/>
          <w:color w:val="000000"/>
          <w:sz w:val="32"/>
          <w:szCs w:val="32"/>
          <w:highlight w:val="none"/>
        </w:rPr>
      </w:pPr>
    </w:p>
    <w:p w14:paraId="787C840D">
      <w:pPr>
        <w:jc w:val="center"/>
        <w:rPr>
          <w:rFonts w:hint="eastAsia" w:ascii="宋体" w:hAnsi="宋体"/>
          <w:b/>
          <w:color w:val="000000"/>
          <w:sz w:val="32"/>
          <w:szCs w:val="32"/>
          <w:highlight w:val="none"/>
        </w:rPr>
      </w:pPr>
      <w:r>
        <w:rPr>
          <w:rFonts w:hint="eastAsia" w:ascii="宋体" w:hAnsi="宋体"/>
          <w:b/>
          <w:color w:val="000000"/>
          <w:sz w:val="32"/>
          <w:szCs w:val="32"/>
          <w:highlight w:val="none"/>
        </w:rPr>
        <w:t>202</w:t>
      </w:r>
      <w:r>
        <w:rPr>
          <w:rFonts w:hint="eastAsia" w:ascii="宋体" w:hAnsi="宋体"/>
          <w:b/>
          <w:color w:val="000000"/>
          <w:sz w:val="32"/>
          <w:szCs w:val="32"/>
          <w:highlight w:val="none"/>
          <w:lang w:val="en-US" w:eastAsia="zh-CN"/>
        </w:rPr>
        <w:t>5</w:t>
      </w:r>
      <w:r>
        <w:rPr>
          <w:rFonts w:hint="eastAsia" w:ascii="宋体" w:hAnsi="宋体"/>
          <w:b/>
          <w:color w:val="000000"/>
          <w:spacing w:val="-8"/>
          <w:sz w:val="32"/>
          <w:szCs w:val="32"/>
          <w:highlight w:val="none"/>
        </w:rPr>
        <w:t>年</w:t>
      </w:r>
      <w:r>
        <w:rPr>
          <w:rFonts w:hint="eastAsia" w:ascii="宋体" w:hAnsi="宋体"/>
          <w:b/>
          <w:color w:val="000000"/>
          <w:spacing w:val="-8"/>
          <w:sz w:val="32"/>
          <w:szCs w:val="32"/>
          <w:highlight w:val="none"/>
          <w:lang w:val="en-US" w:eastAsia="zh-CN"/>
        </w:rPr>
        <w:t>05月</w:t>
      </w:r>
    </w:p>
    <w:p w14:paraId="736550B4">
      <w:pPr>
        <w:pStyle w:val="40"/>
        <w:rPr>
          <w:rFonts w:hAnsi="宋体"/>
          <w:color w:val="000000"/>
          <w:highlight w:val="none"/>
        </w:rPr>
      </w:pPr>
    </w:p>
    <w:p w14:paraId="06EF6BEA">
      <w:pPr>
        <w:pStyle w:val="40"/>
        <w:spacing w:line="140" w:lineRule="exact"/>
        <w:rPr>
          <w:rFonts w:hAnsi="宋体"/>
          <w:color w:val="000000"/>
          <w:highlight w:val="none"/>
        </w:rPr>
        <w:sectPr>
          <w:headerReference r:id="rId4" w:type="first"/>
          <w:headerReference r:id="rId3" w:type="default"/>
          <w:pgSz w:w="11905" w:h="16838"/>
          <w:pgMar w:top="1440" w:right="1077" w:bottom="1440" w:left="1417" w:header="850" w:footer="850" w:gutter="0"/>
          <w:cols w:space="720" w:num="1"/>
          <w:titlePg/>
          <w:docGrid w:linePitch="331" w:charSpace="0"/>
        </w:sectPr>
      </w:pPr>
    </w:p>
    <w:p w14:paraId="3B384CE6">
      <w:pPr>
        <w:tabs>
          <w:tab w:val="left" w:pos="3675"/>
        </w:tabs>
        <w:spacing w:line="640" w:lineRule="exact"/>
        <w:rPr>
          <w:rFonts w:ascii="宋体" w:hAnsi="宋体"/>
          <w:color w:val="000000"/>
          <w:sz w:val="44"/>
          <w:szCs w:val="44"/>
          <w:highlight w:val="none"/>
        </w:rPr>
      </w:pPr>
      <w:r>
        <w:rPr>
          <w:rFonts w:ascii="宋体" w:hAnsi="宋体"/>
          <w:color w:val="000000"/>
          <w:sz w:val="44"/>
          <w:szCs w:val="44"/>
          <w:highlight w:val="none"/>
        </w:rPr>
        <w:tab/>
      </w:r>
    </w:p>
    <w:p w14:paraId="52A1D6F6">
      <w:pPr>
        <w:pStyle w:val="118"/>
        <w:jc w:val="center"/>
        <w:rPr>
          <w:rFonts w:ascii="宋体" w:hAnsi="宋体"/>
          <w:color w:val="000000"/>
          <w:sz w:val="44"/>
          <w:highlight w:val="none"/>
          <w:lang w:val="zh-CN"/>
        </w:rPr>
      </w:pPr>
      <w:r>
        <w:rPr>
          <w:rFonts w:ascii="宋体" w:hAnsi="宋体"/>
          <w:color w:val="000000"/>
          <w:sz w:val="44"/>
          <w:highlight w:val="none"/>
          <w:lang w:val="zh-CN"/>
        </w:rPr>
        <w:t>目录</w:t>
      </w:r>
    </w:p>
    <w:p w14:paraId="7A8857FA">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TOC \o "1-3" \h \z \u </w:instrText>
      </w:r>
      <w:r>
        <w:rPr>
          <w:color w:val="000000"/>
          <w:sz w:val="32"/>
          <w:szCs w:val="32"/>
          <w:highlight w:val="none"/>
        </w:rPr>
        <w:fldChar w:fldCharType="separate"/>
      </w:r>
      <w:r>
        <w:rPr>
          <w:color w:val="000000"/>
          <w:sz w:val="32"/>
          <w:szCs w:val="32"/>
          <w:highlight w:val="none"/>
        </w:rPr>
        <w:fldChar w:fldCharType="begin"/>
      </w:r>
      <w:r>
        <w:rPr>
          <w:color w:val="000000"/>
          <w:sz w:val="32"/>
          <w:szCs w:val="32"/>
          <w:highlight w:val="none"/>
        </w:rPr>
        <w:instrText xml:space="preserve"> HYPERLINK \l _Toc29233 </w:instrText>
      </w:r>
      <w:r>
        <w:rPr>
          <w:color w:val="000000"/>
          <w:sz w:val="32"/>
          <w:szCs w:val="32"/>
          <w:highlight w:val="none"/>
        </w:rPr>
        <w:fldChar w:fldCharType="separate"/>
      </w:r>
      <w:r>
        <w:rPr>
          <w:color w:val="000000"/>
          <w:sz w:val="32"/>
          <w:szCs w:val="32"/>
          <w:highlight w:val="none"/>
        </w:rPr>
        <w:t>第一章   竞争性磋商公告</w:t>
      </w:r>
      <w:bookmarkStart w:id="0" w:name="_Hlt178350072"/>
      <w:bookmarkStart w:id="1" w:name="_Hlt178350073"/>
      <w:r>
        <w:rPr>
          <w:color w:val="000000"/>
          <w:sz w:val="32"/>
          <w:szCs w:val="32"/>
          <w:highlight w:val="none"/>
        </w:rPr>
        <w:tab/>
      </w:r>
      <w:bookmarkEnd w:id="0"/>
      <w:bookmarkEnd w:id="1"/>
      <w:r>
        <w:rPr>
          <w:color w:val="000000"/>
          <w:sz w:val="32"/>
          <w:szCs w:val="32"/>
          <w:highlight w:val="none"/>
        </w:rPr>
        <w:fldChar w:fldCharType="begin"/>
      </w:r>
      <w:r>
        <w:rPr>
          <w:color w:val="000000"/>
          <w:sz w:val="32"/>
          <w:szCs w:val="32"/>
          <w:highlight w:val="none"/>
        </w:rPr>
        <w:instrText xml:space="preserve"> PAGEREF _Toc29233 \h </w:instrText>
      </w:r>
      <w:r>
        <w:rPr>
          <w:color w:val="000000"/>
          <w:sz w:val="32"/>
          <w:szCs w:val="32"/>
          <w:highlight w:val="none"/>
        </w:rPr>
        <w:fldChar w:fldCharType="separate"/>
      </w:r>
      <w:r>
        <w:rPr>
          <w:color w:val="000000"/>
          <w:sz w:val="32"/>
          <w:szCs w:val="32"/>
          <w:highlight w:val="none"/>
        </w:rPr>
        <w:t>1</w:t>
      </w:r>
      <w:r>
        <w:rPr>
          <w:color w:val="000000"/>
          <w:sz w:val="32"/>
          <w:szCs w:val="32"/>
          <w:highlight w:val="none"/>
        </w:rPr>
        <w:fldChar w:fldCharType="end"/>
      </w:r>
      <w:r>
        <w:rPr>
          <w:color w:val="000000"/>
          <w:sz w:val="32"/>
          <w:szCs w:val="32"/>
          <w:highlight w:val="none"/>
        </w:rPr>
        <w:fldChar w:fldCharType="end"/>
      </w:r>
    </w:p>
    <w:p w14:paraId="7694EA8D">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_Toc24189 </w:instrText>
      </w:r>
      <w:r>
        <w:rPr>
          <w:color w:val="000000"/>
          <w:sz w:val="32"/>
          <w:szCs w:val="32"/>
          <w:highlight w:val="none"/>
        </w:rPr>
        <w:fldChar w:fldCharType="separate"/>
      </w:r>
      <w:r>
        <w:rPr>
          <w:rFonts w:hint="eastAsia"/>
          <w:color w:val="000000"/>
          <w:sz w:val="32"/>
          <w:szCs w:val="32"/>
          <w:highlight w:val="none"/>
        </w:rPr>
        <w:t>第二章   供应商须知及前附表</w:t>
      </w:r>
      <w:r>
        <w:rPr>
          <w:color w:val="000000"/>
          <w:sz w:val="32"/>
          <w:szCs w:val="32"/>
          <w:highlight w:val="none"/>
        </w:rPr>
        <w:tab/>
      </w:r>
      <w:r>
        <w:rPr>
          <w:rFonts w:hint="eastAsia"/>
          <w:color w:val="000000"/>
          <w:sz w:val="32"/>
          <w:szCs w:val="32"/>
          <w:highlight w:val="none"/>
          <w:lang w:val="en-US" w:eastAsia="zh-CN"/>
        </w:rPr>
        <w:t>4</w:t>
      </w:r>
      <w:r>
        <w:rPr>
          <w:color w:val="000000"/>
          <w:sz w:val="32"/>
          <w:szCs w:val="32"/>
          <w:highlight w:val="none"/>
        </w:rPr>
        <w:fldChar w:fldCharType="end"/>
      </w:r>
    </w:p>
    <w:p w14:paraId="3F175CF8">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_Toc4579 </w:instrText>
      </w:r>
      <w:r>
        <w:rPr>
          <w:color w:val="000000"/>
          <w:sz w:val="32"/>
          <w:szCs w:val="32"/>
          <w:highlight w:val="none"/>
        </w:rPr>
        <w:fldChar w:fldCharType="separate"/>
      </w:r>
      <w:r>
        <w:rPr>
          <w:rFonts w:hint="eastAsia"/>
          <w:color w:val="000000"/>
          <w:sz w:val="32"/>
          <w:szCs w:val="32"/>
          <w:highlight w:val="none"/>
        </w:rPr>
        <w:t>第三章   采购内容及要求</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_Toc4579 \h </w:instrText>
      </w:r>
      <w:r>
        <w:rPr>
          <w:color w:val="000000"/>
          <w:sz w:val="32"/>
          <w:szCs w:val="32"/>
          <w:highlight w:val="none"/>
        </w:rPr>
        <w:fldChar w:fldCharType="separate"/>
      </w:r>
      <w:r>
        <w:rPr>
          <w:color w:val="000000"/>
          <w:sz w:val="32"/>
          <w:szCs w:val="32"/>
          <w:highlight w:val="none"/>
        </w:rPr>
        <w:t>25</w:t>
      </w:r>
      <w:r>
        <w:rPr>
          <w:color w:val="000000"/>
          <w:sz w:val="32"/>
          <w:szCs w:val="32"/>
          <w:highlight w:val="none"/>
        </w:rPr>
        <w:fldChar w:fldCharType="end"/>
      </w:r>
      <w:r>
        <w:rPr>
          <w:color w:val="000000"/>
          <w:sz w:val="32"/>
          <w:szCs w:val="32"/>
          <w:highlight w:val="none"/>
        </w:rPr>
        <w:fldChar w:fldCharType="end"/>
      </w:r>
    </w:p>
    <w:p w14:paraId="2F1E9F75">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_Toc31480 </w:instrText>
      </w:r>
      <w:r>
        <w:rPr>
          <w:color w:val="000000"/>
          <w:sz w:val="32"/>
          <w:szCs w:val="32"/>
          <w:highlight w:val="none"/>
        </w:rPr>
        <w:fldChar w:fldCharType="separate"/>
      </w:r>
      <w:r>
        <w:rPr>
          <w:rFonts w:hint="eastAsia"/>
          <w:color w:val="000000"/>
          <w:sz w:val="32"/>
          <w:szCs w:val="32"/>
          <w:highlight w:val="none"/>
        </w:rPr>
        <w:t>第四章   施工承包合同协议书（格式）</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_Toc31480 \h </w:instrText>
      </w:r>
      <w:r>
        <w:rPr>
          <w:color w:val="000000"/>
          <w:sz w:val="32"/>
          <w:szCs w:val="32"/>
          <w:highlight w:val="none"/>
        </w:rPr>
        <w:fldChar w:fldCharType="separate"/>
      </w:r>
      <w:r>
        <w:rPr>
          <w:color w:val="000000"/>
          <w:sz w:val="32"/>
          <w:szCs w:val="32"/>
          <w:highlight w:val="none"/>
        </w:rPr>
        <w:t>28</w:t>
      </w:r>
      <w:r>
        <w:rPr>
          <w:color w:val="000000"/>
          <w:sz w:val="32"/>
          <w:szCs w:val="32"/>
          <w:highlight w:val="none"/>
        </w:rPr>
        <w:fldChar w:fldCharType="end"/>
      </w:r>
      <w:r>
        <w:rPr>
          <w:color w:val="000000"/>
          <w:sz w:val="32"/>
          <w:szCs w:val="32"/>
          <w:highlight w:val="none"/>
        </w:rPr>
        <w:fldChar w:fldCharType="end"/>
      </w:r>
    </w:p>
    <w:p w14:paraId="0A6FEBDF">
      <w:pPr>
        <w:pStyle w:val="51"/>
        <w:tabs>
          <w:tab w:val="clear" w:pos="8820"/>
        </w:tabs>
        <w:spacing w:line="800" w:lineRule="exact"/>
        <w:ind w:left="0"/>
        <w:rPr>
          <w:rFonts w:hint="eastAsia" w:eastAsia="宋体"/>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_Toc16858 </w:instrText>
      </w:r>
      <w:r>
        <w:rPr>
          <w:color w:val="000000"/>
          <w:sz w:val="32"/>
          <w:szCs w:val="32"/>
          <w:highlight w:val="none"/>
        </w:rPr>
        <w:fldChar w:fldCharType="separate"/>
      </w:r>
      <w:r>
        <w:rPr>
          <w:rFonts w:hint="eastAsia"/>
          <w:color w:val="000000"/>
          <w:sz w:val="32"/>
          <w:szCs w:val="32"/>
          <w:highlight w:val="none"/>
        </w:rPr>
        <w:t>第五章   评标办法</w:t>
      </w:r>
      <w:r>
        <w:rPr>
          <w:color w:val="000000"/>
          <w:sz w:val="32"/>
          <w:szCs w:val="32"/>
          <w:highlight w:val="none"/>
        </w:rPr>
        <w:tab/>
      </w:r>
      <w:r>
        <w:rPr>
          <w:rFonts w:hint="eastAsia"/>
          <w:color w:val="000000"/>
          <w:sz w:val="32"/>
          <w:szCs w:val="32"/>
          <w:highlight w:val="none"/>
          <w:lang w:val="en-US" w:eastAsia="zh-CN"/>
        </w:rPr>
        <w:t>6</w:t>
      </w:r>
      <w:r>
        <w:rPr>
          <w:color w:val="000000"/>
          <w:sz w:val="32"/>
          <w:szCs w:val="32"/>
          <w:highlight w:val="none"/>
        </w:rPr>
        <w:fldChar w:fldCharType="end"/>
      </w:r>
      <w:r>
        <w:rPr>
          <w:rFonts w:hint="eastAsia"/>
          <w:color w:val="000000"/>
          <w:sz w:val="32"/>
          <w:szCs w:val="32"/>
          <w:highlight w:val="none"/>
          <w:lang w:val="en-US" w:eastAsia="zh-CN"/>
        </w:rPr>
        <w:t>1</w:t>
      </w:r>
    </w:p>
    <w:p w14:paraId="5B14E6D2">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_Toc16707 </w:instrText>
      </w:r>
      <w:r>
        <w:rPr>
          <w:color w:val="000000"/>
          <w:sz w:val="32"/>
          <w:szCs w:val="32"/>
          <w:highlight w:val="none"/>
        </w:rPr>
        <w:fldChar w:fldCharType="separate"/>
      </w:r>
      <w:r>
        <w:rPr>
          <w:rFonts w:hint="eastAsia"/>
          <w:color w:val="000000"/>
          <w:sz w:val="32"/>
          <w:szCs w:val="32"/>
          <w:highlight w:val="none"/>
        </w:rPr>
        <w:t>第六章   响应文件（格式）</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_Toc16707 \h </w:instrText>
      </w:r>
      <w:r>
        <w:rPr>
          <w:color w:val="000000"/>
          <w:sz w:val="32"/>
          <w:szCs w:val="32"/>
          <w:highlight w:val="none"/>
        </w:rPr>
        <w:fldChar w:fldCharType="separate"/>
      </w:r>
      <w:r>
        <w:rPr>
          <w:color w:val="000000"/>
          <w:sz w:val="32"/>
          <w:szCs w:val="32"/>
          <w:highlight w:val="none"/>
        </w:rPr>
        <w:t>67</w:t>
      </w:r>
      <w:r>
        <w:rPr>
          <w:color w:val="000000"/>
          <w:sz w:val="32"/>
          <w:szCs w:val="32"/>
          <w:highlight w:val="none"/>
        </w:rPr>
        <w:fldChar w:fldCharType="end"/>
      </w:r>
      <w:r>
        <w:rPr>
          <w:color w:val="000000"/>
          <w:sz w:val="32"/>
          <w:szCs w:val="32"/>
          <w:highlight w:val="none"/>
        </w:rPr>
        <w:fldChar w:fldCharType="end"/>
      </w:r>
    </w:p>
    <w:p w14:paraId="2A308908">
      <w:pPr>
        <w:pStyle w:val="51"/>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_Toc29263 </w:instrText>
      </w:r>
      <w:r>
        <w:rPr>
          <w:color w:val="000000"/>
          <w:sz w:val="32"/>
          <w:szCs w:val="32"/>
          <w:highlight w:val="none"/>
        </w:rPr>
        <w:fldChar w:fldCharType="separate"/>
      </w:r>
      <w:r>
        <w:rPr>
          <w:rFonts w:hint="eastAsia"/>
          <w:color w:val="000000"/>
          <w:sz w:val="32"/>
          <w:szCs w:val="32"/>
          <w:highlight w:val="none"/>
        </w:rPr>
        <w:t>第七章   附件</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_Toc29263 \h </w:instrText>
      </w:r>
      <w:r>
        <w:rPr>
          <w:color w:val="000000"/>
          <w:sz w:val="32"/>
          <w:szCs w:val="32"/>
          <w:highlight w:val="none"/>
        </w:rPr>
        <w:fldChar w:fldCharType="separate"/>
      </w:r>
      <w:r>
        <w:rPr>
          <w:color w:val="000000"/>
          <w:sz w:val="32"/>
          <w:szCs w:val="32"/>
          <w:highlight w:val="none"/>
        </w:rPr>
        <w:t>86</w:t>
      </w:r>
      <w:r>
        <w:rPr>
          <w:color w:val="000000"/>
          <w:sz w:val="32"/>
          <w:szCs w:val="32"/>
          <w:highlight w:val="none"/>
        </w:rPr>
        <w:fldChar w:fldCharType="end"/>
      </w:r>
      <w:r>
        <w:rPr>
          <w:color w:val="000000"/>
          <w:sz w:val="32"/>
          <w:szCs w:val="32"/>
          <w:highlight w:val="none"/>
        </w:rPr>
        <w:fldChar w:fldCharType="end"/>
      </w:r>
    </w:p>
    <w:p w14:paraId="59B7E791">
      <w:pPr>
        <w:spacing w:line="800" w:lineRule="exact"/>
        <w:rPr>
          <w:rFonts w:ascii="宋体" w:hAnsi="宋体"/>
          <w:b/>
          <w:bCs/>
          <w:color w:val="000000"/>
          <w:sz w:val="32"/>
          <w:szCs w:val="32"/>
          <w:highlight w:val="none"/>
        </w:rPr>
      </w:pPr>
      <w:r>
        <w:rPr>
          <w:rFonts w:ascii="宋体" w:hAnsi="宋体"/>
          <w:b/>
          <w:bCs/>
          <w:color w:val="000000"/>
          <w:sz w:val="32"/>
          <w:szCs w:val="32"/>
          <w:highlight w:val="none"/>
        </w:rPr>
        <w:fldChar w:fldCharType="end"/>
      </w:r>
    </w:p>
    <w:p w14:paraId="05F90570">
      <w:pPr>
        <w:pStyle w:val="33"/>
        <w:rPr>
          <w:rFonts w:ascii="宋体" w:hAnsi="宋体"/>
          <w:color w:val="000000"/>
          <w:highlight w:val="none"/>
        </w:rPr>
      </w:pPr>
    </w:p>
    <w:p w14:paraId="79E62912">
      <w:pPr>
        <w:rPr>
          <w:rFonts w:ascii="宋体" w:hAnsi="宋体"/>
          <w:bCs/>
          <w:color w:val="000000"/>
          <w:sz w:val="44"/>
          <w:highlight w:val="none"/>
        </w:rPr>
        <w:sectPr>
          <w:footerReference r:id="rId7" w:type="first"/>
          <w:headerReference r:id="rId5" w:type="default"/>
          <w:footerReference r:id="rId6" w:type="default"/>
          <w:pgSz w:w="11905" w:h="16838"/>
          <w:pgMar w:top="1440" w:right="1448" w:bottom="1440" w:left="1417" w:header="850" w:footer="850" w:gutter="0"/>
          <w:cols w:space="720" w:num="1"/>
          <w:titlePg/>
          <w:docGrid w:linePitch="312" w:charSpace="0"/>
        </w:sectPr>
      </w:pPr>
    </w:p>
    <w:p w14:paraId="561229D9">
      <w:pPr>
        <w:pStyle w:val="33"/>
        <w:rPr>
          <w:color w:val="000000"/>
          <w:highlight w:val="none"/>
        </w:rPr>
      </w:pPr>
    </w:p>
    <w:p w14:paraId="2D6718E5">
      <w:pPr>
        <w:pStyle w:val="40"/>
        <w:jc w:val="center"/>
        <w:outlineLvl w:val="0"/>
        <w:rPr>
          <w:rFonts w:hAnsi="宋体"/>
          <w:bCs/>
          <w:color w:val="000000"/>
          <w:sz w:val="44"/>
          <w:highlight w:val="none"/>
        </w:rPr>
      </w:pPr>
      <w:bookmarkStart w:id="2" w:name="_Toc29233"/>
      <w:bookmarkStart w:id="3" w:name="_Toc20262"/>
      <w:r>
        <w:rPr>
          <w:rFonts w:hAnsi="宋体"/>
          <w:bCs/>
          <w:color w:val="000000"/>
          <w:sz w:val="44"/>
          <w:highlight w:val="none"/>
        </w:rPr>
        <w:t>第一章   竞争性磋商公告</w:t>
      </w:r>
      <w:bookmarkEnd w:id="2"/>
      <w:bookmarkEnd w:id="3"/>
    </w:p>
    <w:p w14:paraId="1A11F34F">
      <w:pPr>
        <w:snapToGrid w:val="0"/>
        <w:spacing w:before="120" w:line="340" w:lineRule="exact"/>
        <w:ind w:firstLine="594" w:firstLineChars="200"/>
        <w:jc w:val="center"/>
        <w:rPr>
          <w:rFonts w:hint="eastAsia" w:ascii="宋体" w:hAnsi="宋体"/>
          <w:b/>
          <w:color w:val="000000"/>
          <w:spacing w:val="-2"/>
          <w:sz w:val="30"/>
          <w:szCs w:val="30"/>
          <w:highlight w:val="none"/>
          <w:lang w:eastAsia="zh-CN"/>
        </w:rPr>
      </w:pPr>
      <w:r>
        <w:rPr>
          <w:rFonts w:hint="eastAsia" w:ascii="宋体" w:hAnsi="宋体"/>
          <w:b/>
          <w:color w:val="000000"/>
          <w:spacing w:val="-2"/>
          <w:sz w:val="30"/>
          <w:szCs w:val="30"/>
          <w:highlight w:val="none"/>
          <w:lang w:eastAsia="zh-CN"/>
        </w:rPr>
        <w:t>长洲区泗洲村人居环境整治项目</w:t>
      </w:r>
      <w:r>
        <w:rPr>
          <w:rFonts w:hint="eastAsia" w:ascii="宋体" w:hAnsi="宋体"/>
          <w:b/>
          <w:color w:val="000000"/>
          <w:spacing w:val="-2"/>
          <w:sz w:val="30"/>
          <w:szCs w:val="30"/>
          <w:highlight w:val="none"/>
        </w:rPr>
        <w:t>（</w:t>
      </w:r>
      <w:r>
        <w:rPr>
          <w:rFonts w:hint="eastAsia" w:ascii="宋体" w:hAnsi="宋体"/>
          <w:b/>
          <w:color w:val="000000"/>
          <w:spacing w:val="-2"/>
          <w:sz w:val="30"/>
          <w:szCs w:val="30"/>
          <w:highlight w:val="none"/>
          <w:lang w:eastAsia="zh-CN"/>
        </w:rPr>
        <w:t>WZZC2025-C2-050014-DYGS</w:t>
      </w:r>
      <w:r>
        <w:rPr>
          <w:rFonts w:hint="eastAsia" w:ascii="宋体" w:hAnsi="宋体"/>
          <w:b/>
          <w:color w:val="000000"/>
          <w:spacing w:val="-2"/>
          <w:sz w:val="30"/>
          <w:szCs w:val="30"/>
          <w:highlight w:val="none"/>
        </w:rPr>
        <w:t>）</w:t>
      </w:r>
    </w:p>
    <w:p w14:paraId="2281ABFF">
      <w:pPr>
        <w:snapToGrid w:val="0"/>
        <w:spacing w:before="120" w:line="340" w:lineRule="exact"/>
        <w:ind w:firstLine="635" w:firstLineChars="200"/>
        <w:jc w:val="center"/>
        <w:rPr>
          <w:rFonts w:hint="eastAsia" w:ascii="宋体" w:hAnsi="宋体"/>
          <w:b/>
          <w:color w:val="000000"/>
          <w:spacing w:val="-2"/>
          <w:sz w:val="32"/>
          <w:szCs w:val="32"/>
          <w:highlight w:val="none"/>
        </w:rPr>
      </w:pPr>
      <w:r>
        <w:rPr>
          <w:rFonts w:hint="eastAsia" w:ascii="宋体" w:hAnsi="宋体"/>
          <w:b/>
          <w:color w:val="000000"/>
          <w:spacing w:val="-2"/>
          <w:sz w:val="32"/>
          <w:szCs w:val="32"/>
          <w:highlight w:val="none"/>
        </w:rPr>
        <w:t>竞争性磋商公告</w:t>
      </w:r>
    </w:p>
    <w:p w14:paraId="4462A9F8">
      <w:pPr>
        <w:pBdr>
          <w:top w:val="single" w:color="auto" w:sz="4" w:space="1"/>
          <w:left w:val="single" w:color="auto" w:sz="4" w:space="4"/>
          <w:bottom w:val="single" w:color="auto" w:sz="4" w:space="1"/>
          <w:right w:val="single" w:color="auto" w:sz="4" w:space="25"/>
        </w:pBdr>
        <w:spacing w:line="324" w:lineRule="auto"/>
        <w:rPr>
          <w:rFonts w:hint="eastAsia" w:ascii="宋体" w:hAnsi="宋体"/>
          <w:color w:val="000000"/>
          <w:szCs w:val="21"/>
          <w:highlight w:val="none"/>
        </w:rPr>
      </w:pPr>
      <w:r>
        <w:rPr>
          <w:rFonts w:hint="eastAsia" w:ascii="宋体" w:hAnsi="宋体"/>
          <w:color w:val="000000"/>
          <w:szCs w:val="21"/>
          <w:highlight w:val="none"/>
        </w:rPr>
        <w:t>项目概况</w:t>
      </w:r>
    </w:p>
    <w:p w14:paraId="5F3DB8F9">
      <w:pPr>
        <w:pBdr>
          <w:top w:val="single" w:color="auto" w:sz="4" w:space="1"/>
          <w:left w:val="single" w:color="auto" w:sz="4" w:space="4"/>
          <w:bottom w:val="single" w:color="auto" w:sz="4" w:space="1"/>
          <w:right w:val="single" w:color="auto" w:sz="4" w:space="25"/>
        </w:pBdr>
        <w:spacing w:line="324" w:lineRule="auto"/>
        <w:ind w:firstLine="630" w:firstLineChars="300"/>
        <w:rPr>
          <w:rFonts w:hint="eastAsia" w:ascii="宋体" w:hAnsi="宋体"/>
          <w:color w:val="000000"/>
          <w:szCs w:val="21"/>
          <w:highlight w:val="none"/>
          <w:lang w:eastAsia="zh-CN"/>
        </w:rPr>
      </w:pPr>
      <w:r>
        <w:rPr>
          <w:rFonts w:hint="eastAsia" w:ascii="宋体" w:hAnsi="宋体"/>
          <w:color w:val="000000"/>
          <w:szCs w:val="21"/>
          <w:highlight w:val="none"/>
          <w:lang w:eastAsia="zh-CN"/>
        </w:rPr>
        <w:t>长洲区泗洲村人居环境整治项目</w:t>
      </w:r>
      <w:r>
        <w:rPr>
          <w:rFonts w:hint="eastAsia" w:ascii="宋体" w:hAnsi="宋体"/>
          <w:color w:val="000000"/>
          <w:szCs w:val="21"/>
          <w:highlight w:val="none"/>
        </w:rPr>
        <w:t>采购项目的潜在供应商应在“广西政府采购云平台”（https://www.gcy.zfcg.gxzf.gov.cn/）获取采购文件，并于</w:t>
      </w:r>
      <w:r>
        <w:rPr>
          <w:rFonts w:hint="eastAsia" w:ascii="宋体" w:hAnsi="宋体"/>
          <w:color w:val="000000"/>
          <w:szCs w:val="21"/>
          <w:highlight w:val="none"/>
          <w:lang w:eastAsia="zh-CN"/>
        </w:rPr>
        <w:t>2025年05月19 日15：00</w:t>
      </w:r>
      <w:r>
        <w:rPr>
          <w:rFonts w:hint="eastAsia" w:ascii="宋体" w:hAnsi="宋体"/>
          <w:bCs/>
          <w:color w:val="000000"/>
          <w:szCs w:val="21"/>
          <w:highlight w:val="none"/>
        </w:rPr>
        <w:t>（北京时间）前提交响应文件</w:t>
      </w:r>
      <w:r>
        <w:rPr>
          <w:rFonts w:hint="eastAsia" w:ascii="宋体" w:hAnsi="宋体"/>
          <w:color w:val="000000"/>
          <w:szCs w:val="21"/>
          <w:highlight w:val="none"/>
        </w:rPr>
        <w:t>。</w:t>
      </w:r>
    </w:p>
    <w:p w14:paraId="5E43458A">
      <w:pPr>
        <w:spacing w:line="440" w:lineRule="exact"/>
        <w:rPr>
          <w:rFonts w:hint="eastAsia" w:ascii="宋体" w:hAnsi="宋体"/>
          <w:b/>
          <w:color w:val="000000"/>
          <w:szCs w:val="21"/>
          <w:highlight w:val="none"/>
        </w:rPr>
      </w:pPr>
      <w:bookmarkStart w:id="4" w:name="_Toc35393629"/>
      <w:bookmarkStart w:id="5" w:name="_Toc35393798"/>
      <w:bookmarkStart w:id="6" w:name="_Toc28359012"/>
      <w:bookmarkStart w:id="7" w:name="_Toc28359089"/>
      <w:r>
        <w:rPr>
          <w:rFonts w:hint="eastAsia" w:ascii="宋体" w:hAnsi="宋体"/>
          <w:b/>
          <w:color w:val="000000"/>
          <w:szCs w:val="21"/>
          <w:highlight w:val="none"/>
        </w:rPr>
        <w:t>一、项目基本情况</w:t>
      </w:r>
      <w:bookmarkEnd w:id="4"/>
      <w:bookmarkEnd w:id="5"/>
      <w:bookmarkEnd w:id="6"/>
      <w:bookmarkEnd w:id="7"/>
    </w:p>
    <w:p w14:paraId="4D8A07A0">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项目编号：</w:t>
      </w:r>
      <w:r>
        <w:rPr>
          <w:rFonts w:hint="eastAsia" w:ascii="宋体" w:hAnsi="宋体"/>
          <w:color w:val="000000"/>
          <w:szCs w:val="21"/>
          <w:highlight w:val="none"/>
          <w:lang w:eastAsia="zh-CN"/>
        </w:rPr>
        <w:t>WZZC2025-C2-050014-DYGS</w:t>
      </w:r>
    </w:p>
    <w:p w14:paraId="716F958B">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项目名称：</w:t>
      </w:r>
      <w:r>
        <w:rPr>
          <w:rFonts w:hint="eastAsia" w:ascii="宋体" w:hAnsi="宋体"/>
          <w:color w:val="000000"/>
          <w:szCs w:val="21"/>
          <w:highlight w:val="none"/>
          <w:lang w:eastAsia="zh-CN"/>
        </w:rPr>
        <w:t>长洲区泗洲村人居环境整治项目</w:t>
      </w:r>
      <w:bookmarkStart w:id="989" w:name="_GoBack"/>
      <w:bookmarkEnd w:id="989"/>
    </w:p>
    <w:p w14:paraId="1A93644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采购方式：竞争性磋商</w:t>
      </w:r>
    </w:p>
    <w:p w14:paraId="20B2FB0C">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预算总金额（元）：1709839.97</w:t>
      </w:r>
    </w:p>
    <w:p w14:paraId="63738277">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采购需求：</w:t>
      </w:r>
    </w:p>
    <w:p w14:paraId="48A91C0A">
      <w:pPr>
        <w:pStyle w:val="33"/>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标项名称：</w:t>
      </w:r>
      <w:r>
        <w:rPr>
          <w:rFonts w:hint="eastAsia" w:ascii="宋体" w:hAnsi="宋体"/>
          <w:color w:val="000000"/>
          <w:szCs w:val="21"/>
          <w:highlight w:val="none"/>
          <w:lang w:eastAsia="zh-CN"/>
        </w:rPr>
        <w:t>长洲区泗洲村人居环境整治项目</w:t>
      </w:r>
    </w:p>
    <w:p w14:paraId="76FE9CBF">
      <w:pPr>
        <w:pStyle w:val="33"/>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数量：1</w:t>
      </w:r>
    </w:p>
    <w:p w14:paraId="71F24F46">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预算金额（元）：1709839.97</w:t>
      </w:r>
    </w:p>
    <w:p w14:paraId="5CE16293">
      <w:pPr>
        <w:pStyle w:val="33"/>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简要规格描述或项目基本概况介绍、用途：</w:t>
      </w:r>
      <w:r>
        <w:rPr>
          <w:rFonts w:hint="eastAsia" w:ascii="宋体" w:hAnsi="宋体"/>
          <w:color w:val="000000"/>
          <w:szCs w:val="21"/>
          <w:highlight w:val="none"/>
          <w:lang w:eastAsia="zh-CN"/>
        </w:rPr>
        <w:t>（1）农家乐至星空露营基地节点：节点场地铺装1278.92㎡，绿化1101㎡。（2）凉亭维修整治7处；（</w:t>
      </w:r>
      <w:r>
        <w:rPr>
          <w:rFonts w:hint="eastAsia" w:ascii="宋体" w:hAnsi="宋体"/>
          <w:color w:val="000000"/>
          <w:szCs w:val="21"/>
          <w:highlight w:val="none"/>
          <w:lang w:val="en-US" w:eastAsia="zh-CN"/>
        </w:rPr>
        <w:t>3</w:t>
      </w:r>
      <w:r>
        <w:rPr>
          <w:rFonts w:hint="eastAsia" w:ascii="宋体" w:hAnsi="宋体"/>
          <w:color w:val="000000"/>
          <w:szCs w:val="21"/>
          <w:highlight w:val="none"/>
          <w:lang w:eastAsia="zh-CN"/>
        </w:rPr>
        <w:t>）庭院整治50户（其中院墙360m，栅栏500m，污水沟渠98m，巷道硬化约600㎡）；（4）竣工标志牌1个。</w:t>
      </w:r>
      <w:r>
        <w:rPr>
          <w:rFonts w:hint="eastAsia" w:ascii="宋体" w:hAnsi="宋体"/>
          <w:color w:val="000000"/>
          <w:szCs w:val="21"/>
          <w:highlight w:val="none"/>
        </w:rPr>
        <w:t>（具体按施工图纸、工程量清单、采购文件及相关补充通知的全部内容）</w:t>
      </w:r>
    </w:p>
    <w:p w14:paraId="05462970">
      <w:pPr>
        <w:pStyle w:val="33"/>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最高限价（如有）：</w:t>
      </w:r>
      <w:r>
        <w:rPr>
          <w:rFonts w:hint="eastAsia" w:ascii="宋体" w:hAnsi="宋体"/>
          <w:color w:val="000000"/>
          <w:szCs w:val="21"/>
          <w:highlight w:val="none"/>
          <w:lang w:val="en-US" w:eastAsia="zh-CN"/>
        </w:rPr>
        <w:t>/</w:t>
      </w:r>
    </w:p>
    <w:p w14:paraId="34B2CB46">
      <w:pPr>
        <w:pStyle w:val="31"/>
        <w:ind w:firstLine="420" w:firstLineChars="200"/>
        <w:rPr>
          <w:rFonts w:hint="eastAsia" w:ascii="宋体" w:hAnsi="宋体"/>
          <w:color w:val="000000"/>
          <w:szCs w:val="21"/>
          <w:highlight w:val="none"/>
        </w:rPr>
      </w:pPr>
      <w:r>
        <w:rPr>
          <w:rFonts w:hint="eastAsia" w:ascii="宋体" w:hAnsi="宋体"/>
          <w:color w:val="000000"/>
          <w:szCs w:val="21"/>
          <w:highlight w:val="none"/>
        </w:rPr>
        <w:t>合同履行期限：</w:t>
      </w:r>
      <w:r>
        <w:rPr>
          <w:rFonts w:hint="eastAsia"/>
          <w:color w:val="000000"/>
          <w:highlight w:val="none"/>
          <w:lang w:val="en-US" w:eastAsia="zh-CN"/>
        </w:rPr>
        <w:t>120</w:t>
      </w:r>
      <w:r>
        <w:rPr>
          <w:rFonts w:hint="eastAsia" w:ascii="宋体" w:hAnsi="宋体"/>
          <w:color w:val="000000"/>
          <w:szCs w:val="21"/>
          <w:highlight w:val="none"/>
        </w:rPr>
        <w:t>日历天</w:t>
      </w:r>
    </w:p>
    <w:p w14:paraId="23831DF8">
      <w:pPr>
        <w:spacing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本标项（否）接受联合体磋商</w:t>
      </w:r>
    </w:p>
    <w:p w14:paraId="53935C7B">
      <w:pPr>
        <w:pStyle w:val="63"/>
        <w:spacing w:before="0" w:beforeAutospacing="0" w:after="0" w:afterAutospacing="0" w:line="440" w:lineRule="exact"/>
        <w:ind w:firstLine="424" w:firstLineChars="202"/>
        <w:rPr>
          <w:color w:val="000000"/>
          <w:sz w:val="21"/>
          <w:szCs w:val="21"/>
          <w:highlight w:val="none"/>
        </w:rPr>
      </w:pPr>
      <w:r>
        <w:rPr>
          <w:color w:val="000000"/>
          <w:sz w:val="21"/>
          <w:szCs w:val="21"/>
          <w:highlight w:val="none"/>
        </w:rPr>
        <w:t>备注：</w:t>
      </w:r>
      <w:r>
        <w:rPr>
          <w:rStyle w:val="79"/>
          <w:rFonts w:hint="eastAsia"/>
          <w:color w:val="000000"/>
          <w:sz w:val="21"/>
          <w:szCs w:val="21"/>
          <w:highlight w:val="none"/>
        </w:rPr>
        <w:t>本项目为线上电子采购项目，有意向参与本项目的供应商应当做好参与全流程电子招投标交易的充分准备。同时，本项目属于专门面向小微企业采购的项目，监狱企业、残疾人福利单位视同小型、微型企业。</w:t>
      </w:r>
    </w:p>
    <w:p w14:paraId="554AFE5F">
      <w:pPr>
        <w:pStyle w:val="63"/>
        <w:spacing w:before="0" w:beforeAutospacing="0" w:after="0" w:afterAutospacing="0" w:line="440" w:lineRule="exact"/>
        <w:rPr>
          <w:rFonts w:hint="eastAsia"/>
          <w:b/>
          <w:color w:val="000000"/>
          <w:sz w:val="21"/>
          <w:szCs w:val="21"/>
          <w:highlight w:val="none"/>
        </w:rPr>
      </w:pPr>
      <w:r>
        <w:rPr>
          <w:rFonts w:hint="eastAsia"/>
          <w:b/>
          <w:color w:val="000000"/>
          <w:sz w:val="21"/>
          <w:szCs w:val="21"/>
          <w:highlight w:val="none"/>
        </w:rPr>
        <w:t>二、申请人的资格要求</w:t>
      </w:r>
    </w:p>
    <w:p w14:paraId="59143EC5">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1.满足《中华人民共和国政府采购法》第二十二条规定；</w:t>
      </w:r>
    </w:p>
    <w:p w14:paraId="1B60E1DF">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2.落实政府采购政策需满足的资格要求：分标1：供应商为小微企业；</w:t>
      </w:r>
    </w:p>
    <w:p w14:paraId="4AF64894">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3.本项目的特定资格要求：</w:t>
      </w:r>
    </w:p>
    <w:p w14:paraId="17AAEF90">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①具备市政公用工程施工总承包叁级以上（含叁级）资质，并在人员、设备、资金等方面具有相应的施工能力。</w:t>
      </w:r>
    </w:p>
    <w:p w14:paraId="3C410069">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②拟投入本项目的项目经理必须具有市政公用工程专业贰级以上（含贰级）注册建造师执业资格，具备有效的安全生产考核合格证书（B类）。</w:t>
      </w:r>
    </w:p>
    <w:p w14:paraId="4CAF42EA">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 xml:space="preserve">③拟投入施工项目专职安全生产管理人员需具备有效的安全生产考核合格证书（C类），人数符合住房和城乡建设部《建筑施工企业安全生产管理机构设置及专职安全生产管理人员配备办法》（建质〔2008〕91号）的规定不少于1人。 </w:t>
      </w:r>
    </w:p>
    <w:p w14:paraId="00DC2912">
      <w:pPr>
        <w:spacing w:line="440" w:lineRule="exact"/>
        <w:rPr>
          <w:rFonts w:hint="eastAsia" w:ascii="宋体" w:hAnsi="宋体"/>
          <w:b/>
          <w:color w:val="000000"/>
          <w:szCs w:val="21"/>
          <w:highlight w:val="none"/>
        </w:rPr>
      </w:pPr>
      <w:r>
        <w:rPr>
          <w:rFonts w:hint="eastAsia" w:ascii="宋体" w:hAnsi="宋体"/>
          <w:b/>
          <w:color w:val="000000"/>
          <w:szCs w:val="21"/>
          <w:highlight w:val="none"/>
        </w:rPr>
        <w:t>三、获取采购文件</w:t>
      </w:r>
    </w:p>
    <w:p w14:paraId="7B830BF5">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5</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05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06</w:t>
      </w:r>
      <w:r>
        <w:rPr>
          <w:rFonts w:hint="eastAsia" w:ascii="宋体" w:hAnsi="宋体"/>
          <w:color w:val="000000"/>
          <w:szCs w:val="21"/>
          <w:highlight w:val="none"/>
        </w:rPr>
        <w:t>日至202</w:t>
      </w:r>
      <w:r>
        <w:rPr>
          <w:rFonts w:hint="eastAsia" w:ascii="宋体" w:hAnsi="宋体"/>
          <w:color w:val="000000"/>
          <w:szCs w:val="21"/>
          <w:highlight w:val="none"/>
          <w:lang w:val="en-US" w:eastAsia="zh-CN"/>
        </w:rPr>
        <w:t>5</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05 </w:t>
      </w:r>
      <w:r>
        <w:rPr>
          <w:rFonts w:hint="eastAsia" w:ascii="宋体" w:hAnsi="宋体"/>
          <w:color w:val="000000"/>
          <w:szCs w:val="21"/>
          <w:highlight w:val="none"/>
        </w:rPr>
        <w:t>月</w:t>
      </w:r>
      <w:r>
        <w:rPr>
          <w:rFonts w:hint="eastAsia" w:ascii="宋体" w:hAnsi="宋体"/>
          <w:color w:val="000000"/>
          <w:szCs w:val="21"/>
          <w:highlight w:val="none"/>
          <w:lang w:val="en-US" w:eastAsia="zh-CN"/>
        </w:rPr>
        <w:t>13</w:t>
      </w:r>
      <w:r>
        <w:rPr>
          <w:rFonts w:hint="eastAsia" w:ascii="宋体" w:hAnsi="宋体"/>
          <w:color w:val="000000"/>
          <w:szCs w:val="21"/>
          <w:highlight w:val="none"/>
          <w:lang w:eastAsia="zh-CN"/>
        </w:rPr>
        <w:t>日</w:t>
      </w:r>
      <w:r>
        <w:rPr>
          <w:rFonts w:hint="eastAsia" w:ascii="宋体" w:hAnsi="宋体"/>
          <w:color w:val="000000"/>
          <w:szCs w:val="21"/>
          <w:highlight w:val="none"/>
        </w:rPr>
        <w:t>，每天上午</w:t>
      </w:r>
      <w:r>
        <w:rPr>
          <w:rStyle w:val="90"/>
          <w:rFonts w:hint="eastAsia" w:ascii="宋体" w:hAnsi="宋体"/>
          <w:color w:val="000000"/>
          <w:szCs w:val="21"/>
          <w:highlight w:val="none"/>
        </w:rPr>
        <w:t>00:00至12:00</w:t>
      </w:r>
      <w:r>
        <w:rPr>
          <w:rFonts w:hint="eastAsia" w:ascii="宋体" w:hAnsi="宋体"/>
          <w:color w:val="000000"/>
          <w:szCs w:val="21"/>
          <w:highlight w:val="none"/>
        </w:rPr>
        <w:t>，下午</w:t>
      </w:r>
      <w:r>
        <w:rPr>
          <w:rStyle w:val="90"/>
          <w:rFonts w:hint="eastAsia" w:ascii="宋体" w:hAnsi="宋体"/>
          <w:color w:val="000000"/>
          <w:szCs w:val="21"/>
          <w:highlight w:val="none"/>
        </w:rPr>
        <w:t>12:00至23:59</w:t>
      </w:r>
      <w:r>
        <w:rPr>
          <w:rFonts w:hint="eastAsia" w:ascii="宋体" w:hAnsi="宋体"/>
          <w:color w:val="000000"/>
          <w:szCs w:val="21"/>
          <w:highlight w:val="none"/>
        </w:rPr>
        <w:t>（北京时间，法定节假日除外）</w:t>
      </w:r>
    </w:p>
    <w:p w14:paraId="4AD3BE78">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地点（网址）：“广西政府采购云平台”（https://www.gcy.zfcg.gxzf.gov.cn/）</w:t>
      </w:r>
    </w:p>
    <w:p w14:paraId="32E147E9">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方式：供应商在采购文件获取期限内登录“广西政府采购云平台”（https://www.gcy.zfcg.gxzf.gov.cn/）在线申请获取采购文件（进入“项目采购”应用，在获取采购文件菜单中选择项目，申请获取采购文件）。</w:t>
      </w:r>
    </w:p>
    <w:p w14:paraId="1F855680">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售价（元）：0</w:t>
      </w:r>
    </w:p>
    <w:p w14:paraId="2679FB46">
      <w:pPr>
        <w:spacing w:line="440" w:lineRule="exact"/>
        <w:rPr>
          <w:rFonts w:hint="eastAsia" w:ascii="宋体" w:hAnsi="宋体"/>
          <w:b/>
          <w:color w:val="000000"/>
          <w:szCs w:val="21"/>
          <w:highlight w:val="none"/>
        </w:rPr>
      </w:pPr>
      <w:r>
        <w:rPr>
          <w:rFonts w:hint="eastAsia" w:ascii="宋体" w:hAnsi="宋体"/>
          <w:b/>
          <w:color w:val="000000"/>
          <w:szCs w:val="21"/>
          <w:highlight w:val="none"/>
        </w:rPr>
        <w:t>四、响应文件提交</w:t>
      </w:r>
    </w:p>
    <w:p w14:paraId="40D39167">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截止时间：</w:t>
      </w:r>
      <w:r>
        <w:rPr>
          <w:rFonts w:hint="eastAsia" w:ascii="宋体" w:hAnsi="宋体"/>
          <w:color w:val="000000"/>
          <w:szCs w:val="21"/>
          <w:highlight w:val="none"/>
          <w:lang w:eastAsia="zh-CN"/>
        </w:rPr>
        <w:t>2025年05月19 日15：00</w:t>
      </w:r>
      <w:r>
        <w:rPr>
          <w:rFonts w:hint="eastAsia" w:ascii="宋体" w:hAnsi="宋体"/>
          <w:bCs/>
          <w:color w:val="000000"/>
          <w:szCs w:val="21"/>
          <w:highlight w:val="none"/>
        </w:rPr>
        <w:t>（北京时间）</w:t>
      </w:r>
    </w:p>
    <w:p w14:paraId="22295181">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地点（网址）：本项目通过“广西政府采购云平台”（https://www.gcy.zfcg.gxzf.gov.cn/）实行在线磋商响应（电子投标），供应商应当在上传响应文件截止时间前，将生成的“电子加密响应文件”上传提交至“广西政府采购云平台”。</w:t>
      </w:r>
    </w:p>
    <w:p w14:paraId="786ACE2D">
      <w:pPr>
        <w:spacing w:line="440" w:lineRule="exact"/>
        <w:rPr>
          <w:rFonts w:hint="eastAsia" w:ascii="宋体" w:hAnsi="宋体"/>
          <w:b/>
          <w:color w:val="000000"/>
          <w:szCs w:val="21"/>
          <w:highlight w:val="none"/>
        </w:rPr>
      </w:pPr>
      <w:r>
        <w:rPr>
          <w:rFonts w:hint="eastAsia" w:ascii="宋体" w:hAnsi="宋体"/>
          <w:b/>
          <w:color w:val="000000"/>
          <w:szCs w:val="21"/>
          <w:highlight w:val="none"/>
        </w:rPr>
        <w:t>五、响应文件开启</w:t>
      </w:r>
    </w:p>
    <w:p w14:paraId="7BFF7ECB">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开启时间：</w:t>
      </w:r>
      <w:r>
        <w:rPr>
          <w:rFonts w:hint="eastAsia" w:ascii="宋体" w:hAnsi="宋体"/>
          <w:color w:val="000000"/>
          <w:szCs w:val="21"/>
          <w:highlight w:val="none"/>
          <w:lang w:eastAsia="zh-CN"/>
        </w:rPr>
        <w:t>2025年05月19 日15：00</w:t>
      </w:r>
      <w:r>
        <w:rPr>
          <w:rFonts w:hint="eastAsia" w:ascii="宋体" w:hAnsi="宋体"/>
          <w:bCs/>
          <w:color w:val="000000"/>
          <w:szCs w:val="21"/>
          <w:highlight w:val="none"/>
        </w:rPr>
        <w:t>（北京时间）</w:t>
      </w:r>
    </w:p>
    <w:p w14:paraId="57BDD71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地点：通过“广西政府采购云平台”（https://www.gcy.zfcg.gxzf.gov.cn/）实行在线解密开启响应文件。</w:t>
      </w:r>
    </w:p>
    <w:p w14:paraId="30EDA7C5">
      <w:pPr>
        <w:spacing w:line="440" w:lineRule="exact"/>
        <w:rPr>
          <w:rFonts w:hint="eastAsia" w:ascii="宋体" w:hAnsi="宋体"/>
          <w:b/>
          <w:color w:val="000000"/>
          <w:szCs w:val="21"/>
          <w:highlight w:val="none"/>
        </w:rPr>
      </w:pPr>
      <w:r>
        <w:rPr>
          <w:rFonts w:hint="eastAsia" w:ascii="宋体" w:hAnsi="宋体"/>
          <w:b/>
          <w:color w:val="000000"/>
          <w:szCs w:val="21"/>
          <w:highlight w:val="none"/>
        </w:rPr>
        <w:t>六、公告期限</w:t>
      </w:r>
    </w:p>
    <w:p w14:paraId="37F11712">
      <w:pPr>
        <w:spacing w:line="44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自本公告发布之日起5个工作日。</w:t>
      </w:r>
    </w:p>
    <w:p w14:paraId="17B5DEE5">
      <w:pPr>
        <w:spacing w:line="440" w:lineRule="exact"/>
        <w:rPr>
          <w:rFonts w:hint="eastAsia" w:ascii="宋体" w:hAnsi="宋体"/>
          <w:b/>
          <w:color w:val="000000"/>
          <w:szCs w:val="21"/>
          <w:highlight w:val="none"/>
        </w:rPr>
      </w:pPr>
      <w:bookmarkStart w:id="8" w:name="_Toc35393804"/>
      <w:bookmarkStart w:id="9" w:name="_Toc35393635"/>
      <w:r>
        <w:rPr>
          <w:rFonts w:hint="eastAsia" w:ascii="宋体" w:hAnsi="宋体"/>
          <w:b/>
          <w:color w:val="000000"/>
          <w:szCs w:val="21"/>
          <w:highlight w:val="none"/>
        </w:rPr>
        <w:t>七、其他补充事宜</w:t>
      </w:r>
      <w:bookmarkEnd w:id="8"/>
      <w:bookmarkEnd w:id="9"/>
    </w:p>
    <w:p w14:paraId="10A2C19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本项目发布媒体：中国政府采购网、广西壮族自治区政府采购网、梧州市政府采购网</w:t>
      </w:r>
      <w:r>
        <w:rPr>
          <w:rFonts w:hint="eastAsia" w:ascii="宋体" w:hAnsi="宋体"/>
          <w:color w:val="000000"/>
          <w:szCs w:val="21"/>
          <w:highlight w:val="none"/>
          <w:lang w:eastAsia="zh-CN"/>
        </w:rPr>
        <w:t>。</w:t>
      </w:r>
    </w:p>
    <w:p w14:paraId="79686597">
      <w:pPr>
        <w:spacing w:line="440" w:lineRule="exact"/>
        <w:rPr>
          <w:rFonts w:hint="eastAsia" w:ascii="宋体" w:hAnsi="宋体"/>
          <w:b/>
          <w:color w:val="000000"/>
          <w:szCs w:val="21"/>
          <w:highlight w:val="none"/>
        </w:rPr>
      </w:pPr>
      <w:r>
        <w:rPr>
          <w:rFonts w:hint="eastAsia" w:ascii="宋体" w:hAnsi="宋体"/>
          <w:b/>
          <w:color w:val="000000"/>
          <w:szCs w:val="21"/>
          <w:highlight w:val="none"/>
        </w:rPr>
        <w:t>八、凡对本次采购提出询问，请按以下方式联系</w:t>
      </w:r>
    </w:p>
    <w:p w14:paraId="5AF1173B">
      <w:pPr>
        <w:spacing w:line="440" w:lineRule="atLeast"/>
        <w:ind w:firstLine="210" w:firstLineChars="100"/>
        <w:rPr>
          <w:rFonts w:hint="eastAsia" w:ascii="宋体" w:hAnsi="宋体"/>
          <w:color w:val="000000"/>
          <w:szCs w:val="21"/>
          <w:highlight w:val="none"/>
        </w:rPr>
      </w:pPr>
      <w:bookmarkStart w:id="10" w:name="_Toc35393637"/>
      <w:bookmarkStart w:id="11" w:name="_Toc28359096"/>
      <w:bookmarkStart w:id="12" w:name="_Toc35393806"/>
      <w:bookmarkStart w:id="13" w:name="_Toc28359019"/>
      <w:r>
        <w:rPr>
          <w:rFonts w:hint="eastAsia" w:ascii="宋体" w:hAnsi="宋体"/>
          <w:color w:val="000000"/>
          <w:szCs w:val="21"/>
          <w:highlight w:val="none"/>
        </w:rPr>
        <w:t>1.采购人信息</w:t>
      </w:r>
      <w:bookmarkEnd w:id="10"/>
      <w:bookmarkEnd w:id="11"/>
      <w:bookmarkEnd w:id="12"/>
      <w:bookmarkEnd w:id="13"/>
    </w:p>
    <w:p w14:paraId="357788EC">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名  称：</w:t>
      </w:r>
      <w:r>
        <w:rPr>
          <w:rFonts w:hint="eastAsia" w:ascii="宋体" w:hAnsi="宋体"/>
          <w:color w:val="000000"/>
          <w:szCs w:val="21"/>
          <w:highlight w:val="none"/>
          <w:lang w:eastAsia="zh-CN"/>
        </w:rPr>
        <w:t>梧州市长洲区发展和改革局</w:t>
      </w:r>
    </w:p>
    <w:p w14:paraId="3A5F9AFE">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eastAsia="zh-CN"/>
        </w:rPr>
        <w:t>梧州市长洲区新兴二路193号</w:t>
      </w:r>
    </w:p>
    <w:p w14:paraId="0092E1AB">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项目联系人：</w:t>
      </w:r>
      <w:r>
        <w:rPr>
          <w:rFonts w:hint="eastAsia" w:ascii="宋体" w:hAnsi="宋体"/>
          <w:color w:val="000000"/>
          <w:szCs w:val="21"/>
          <w:highlight w:val="none"/>
          <w:lang w:eastAsia="zh-CN"/>
        </w:rPr>
        <w:t>黎工</w:t>
      </w:r>
    </w:p>
    <w:p w14:paraId="1809490E">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项目联系方式：</w:t>
      </w:r>
      <w:r>
        <w:rPr>
          <w:rFonts w:hint="eastAsia" w:ascii="宋体" w:hAnsi="宋体" w:eastAsia="宋体"/>
          <w:color w:val="000000"/>
          <w:szCs w:val="21"/>
          <w:highlight w:val="none"/>
          <w:lang w:val="en-US" w:eastAsia="zh-CN"/>
        </w:rPr>
        <w:t>0774—3868070</w:t>
      </w:r>
    </w:p>
    <w:p w14:paraId="1B769505">
      <w:pPr>
        <w:numPr>
          <w:ilvl w:val="0"/>
          <w:numId w:val="1"/>
        </w:numPr>
        <w:tabs>
          <w:tab w:val="clear" w:pos="312"/>
        </w:tabs>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采购代理机构信息</w:t>
      </w:r>
    </w:p>
    <w:p w14:paraId="70CA52C5">
      <w:pPr>
        <w:spacing w:line="440" w:lineRule="atLeast"/>
        <w:ind w:firstLine="210" w:firstLineChars="100"/>
        <w:rPr>
          <w:rFonts w:hint="eastAsia"/>
          <w:color w:val="000000"/>
          <w:highlight w:val="none"/>
        </w:rPr>
      </w:pPr>
      <w:r>
        <w:rPr>
          <w:rFonts w:hint="eastAsia"/>
          <w:color w:val="000000"/>
          <w:highlight w:val="none"/>
        </w:rPr>
        <w:t>名  称：</w:t>
      </w:r>
      <w:r>
        <w:rPr>
          <w:rFonts w:hint="eastAsia" w:ascii="宋体" w:hAnsi="宋体"/>
          <w:color w:val="000000"/>
          <w:szCs w:val="21"/>
          <w:highlight w:val="none"/>
          <w:lang w:eastAsia="zh-CN"/>
        </w:rPr>
        <w:t>广西东裕工程管理有限公司</w:t>
      </w:r>
    </w:p>
    <w:p w14:paraId="11AC5E2A">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val="en-US" w:eastAsia="zh-CN"/>
        </w:rPr>
        <w:t>梧州市长洲区西堤三路28号灏景尚都A区永顺企业中心 205-1室</w:t>
      </w:r>
    </w:p>
    <w:p w14:paraId="38869CD6">
      <w:pPr>
        <w:spacing w:line="440" w:lineRule="atLeast"/>
        <w:ind w:firstLine="210" w:firstLineChars="100"/>
        <w:rPr>
          <w:rFonts w:hint="eastAsia" w:ascii="Times New Roman" w:hAnsi="Times New Roman" w:eastAsia="宋体"/>
          <w:color w:val="000000"/>
          <w:highlight w:val="none"/>
        </w:rPr>
      </w:pPr>
      <w:r>
        <w:rPr>
          <w:rFonts w:hint="eastAsia" w:ascii="Times New Roman" w:hAnsi="Times New Roman" w:eastAsia="宋体"/>
          <w:color w:val="000000"/>
          <w:highlight w:val="none"/>
        </w:rPr>
        <w:t>项目联系人：</w:t>
      </w:r>
      <w:r>
        <w:rPr>
          <w:rFonts w:hint="eastAsia" w:ascii="Times New Roman" w:hAnsi="Times New Roman" w:eastAsia="宋体"/>
          <w:color w:val="000000"/>
          <w:highlight w:val="none"/>
          <w:lang w:eastAsia="zh-CN"/>
        </w:rPr>
        <w:t>叶工</w:t>
      </w:r>
    </w:p>
    <w:p w14:paraId="2ED8A2E8">
      <w:pPr>
        <w:spacing w:line="440" w:lineRule="atLeast"/>
        <w:ind w:firstLine="210" w:firstLineChars="100"/>
        <w:rPr>
          <w:rFonts w:hint="eastAsia" w:ascii="Times New Roman" w:hAnsi="Times New Roman" w:eastAsia="宋体"/>
          <w:color w:val="000000"/>
          <w:highlight w:val="none"/>
        </w:rPr>
      </w:pPr>
      <w:r>
        <w:rPr>
          <w:rFonts w:hint="eastAsia" w:ascii="Times New Roman" w:hAnsi="Times New Roman" w:eastAsia="宋体"/>
          <w:color w:val="000000"/>
          <w:highlight w:val="none"/>
        </w:rPr>
        <w:t>项目联系方式：</w:t>
      </w:r>
      <w:r>
        <w:rPr>
          <w:rFonts w:hint="eastAsia" w:ascii="宋体" w:hAnsi="宋体"/>
          <w:color w:val="000000"/>
          <w:szCs w:val="21"/>
          <w:highlight w:val="none"/>
          <w:lang w:val="en-US" w:eastAsia="zh-CN"/>
        </w:rPr>
        <w:t>0774-3881916</w:t>
      </w:r>
    </w:p>
    <w:p w14:paraId="1849AA86">
      <w:pPr>
        <w:pStyle w:val="101"/>
        <w:rPr>
          <w:color w:val="000000"/>
          <w:highlight w:val="none"/>
        </w:rPr>
      </w:pPr>
    </w:p>
    <w:p w14:paraId="7B66C3CD">
      <w:pPr>
        <w:pStyle w:val="101"/>
        <w:rPr>
          <w:color w:val="000000"/>
          <w:highlight w:val="none"/>
        </w:rPr>
      </w:pPr>
    </w:p>
    <w:p w14:paraId="69C9E360">
      <w:pPr>
        <w:pStyle w:val="101"/>
        <w:rPr>
          <w:color w:val="000000"/>
          <w:highlight w:val="none"/>
        </w:rPr>
      </w:pPr>
    </w:p>
    <w:p w14:paraId="046CD3CD">
      <w:pPr>
        <w:pStyle w:val="101"/>
        <w:rPr>
          <w:color w:val="000000"/>
          <w:highlight w:val="none"/>
        </w:rPr>
      </w:pPr>
    </w:p>
    <w:p w14:paraId="0C3DCFA3">
      <w:pPr>
        <w:pStyle w:val="6"/>
        <w:spacing w:line="560" w:lineRule="exact"/>
        <w:rPr>
          <w:rFonts w:hint="eastAsia" w:ascii="宋体" w:hAnsi="宋体"/>
          <w:bCs/>
          <w:color w:val="000000"/>
          <w:sz w:val="44"/>
          <w:highlight w:val="none"/>
        </w:rPr>
      </w:pPr>
    </w:p>
    <w:p w14:paraId="00FEC45F">
      <w:pPr>
        <w:pStyle w:val="6"/>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br w:type="page"/>
      </w:r>
    </w:p>
    <w:p w14:paraId="111E86EB">
      <w:pPr>
        <w:pStyle w:val="6"/>
        <w:spacing w:line="560" w:lineRule="exact"/>
        <w:jc w:val="center"/>
        <w:rPr>
          <w:rFonts w:hint="eastAsia" w:ascii="宋体" w:hAnsi="宋体"/>
          <w:bCs/>
          <w:color w:val="000000"/>
          <w:sz w:val="44"/>
          <w:highlight w:val="none"/>
        </w:rPr>
      </w:pPr>
    </w:p>
    <w:p w14:paraId="4067EE82">
      <w:pPr>
        <w:pStyle w:val="6"/>
        <w:spacing w:line="560" w:lineRule="exact"/>
        <w:jc w:val="center"/>
        <w:rPr>
          <w:rFonts w:hint="eastAsia" w:ascii="宋体" w:hAnsi="宋体"/>
          <w:bCs/>
          <w:color w:val="000000"/>
          <w:sz w:val="44"/>
          <w:highlight w:val="none"/>
        </w:rPr>
      </w:pPr>
    </w:p>
    <w:p w14:paraId="004728D0">
      <w:pPr>
        <w:pStyle w:val="6"/>
        <w:spacing w:line="560" w:lineRule="exact"/>
        <w:jc w:val="center"/>
        <w:rPr>
          <w:rFonts w:hint="eastAsia" w:ascii="宋体" w:hAnsi="宋体"/>
          <w:bCs/>
          <w:color w:val="000000"/>
          <w:sz w:val="44"/>
          <w:highlight w:val="none"/>
        </w:rPr>
      </w:pPr>
    </w:p>
    <w:p w14:paraId="67FA9268">
      <w:pPr>
        <w:pStyle w:val="6"/>
        <w:spacing w:line="560" w:lineRule="exact"/>
        <w:jc w:val="center"/>
        <w:rPr>
          <w:rFonts w:hint="eastAsia" w:ascii="宋体" w:hAnsi="宋体"/>
          <w:bCs/>
          <w:color w:val="000000"/>
          <w:sz w:val="44"/>
          <w:highlight w:val="none"/>
        </w:rPr>
      </w:pPr>
    </w:p>
    <w:p w14:paraId="432FD832">
      <w:pPr>
        <w:pStyle w:val="6"/>
        <w:spacing w:line="560" w:lineRule="exact"/>
        <w:jc w:val="center"/>
        <w:rPr>
          <w:rFonts w:hint="eastAsia" w:ascii="宋体" w:hAnsi="宋体"/>
          <w:bCs/>
          <w:color w:val="000000"/>
          <w:sz w:val="44"/>
          <w:highlight w:val="none"/>
        </w:rPr>
      </w:pPr>
    </w:p>
    <w:p w14:paraId="2D156BAD">
      <w:pPr>
        <w:pStyle w:val="6"/>
        <w:spacing w:line="560" w:lineRule="exact"/>
        <w:jc w:val="center"/>
        <w:rPr>
          <w:rFonts w:hint="eastAsia" w:ascii="宋体" w:hAnsi="宋体"/>
          <w:bCs/>
          <w:color w:val="000000"/>
          <w:sz w:val="44"/>
          <w:highlight w:val="none"/>
        </w:rPr>
      </w:pPr>
    </w:p>
    <w:p w14:paraId="6F5C6127">
      <w:pPr>
        <w:pStyle w:val="6"/>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t>第二章   供应商须知及前附表</w:t>
      </w:r>
    </w:p>
    <w:p w14:paraId="2CD1F8E5">
      <w:pPr>
        <w:pStyle w:val="40"/>
        <w:spacing w:line="400" w:lineRule="exact"/>
        <w:rPr>
          <w:rFonts w:hAnsi="宋体"/>
          <w:b/>
          <w:color w:val="000000"/>
          <w:highlight w:val="none"/>
        </w:rPr>
      </w:pPr>
    </w:p>
    <w:p w14:paraId="1EBCFE06">
      <w:pPr>
        <w:pStyle w:val="40"/>
        <w:spacing w:line="400" w:lineRule="exact"/>
        <w:rPr>
          <w:rFonts w:hAnsi="宋体"/>
          <w:b/>
          <w:color w:val="000000"/>
          <w:highlight w:val="none"/>
        </w:rPr>
      </w:pPr>
    </w:p>
    <w:p w14:paraId="7623BD0E">
      <w:pPr>
        <w:pStyle w:val="132"/>
        <w:spacing w:line="140" w:lineRule="exact"/>
        <w:rPr>
          <w:rFonts w:hint="eastAsia" w:hAnsi="宋体"/>
          <w:color w:val="000000"/>
          <w:sz w:val="30"/>
          <w:szCs w:val="30"/>
          <w:highlight w:val="none"/>
        </w:rPr>
      </w:pPr>
      <w:r>
        <w:rPr>
          <w:rFonts w:hint="eastAsia" w:hAnsi="宋体"/>
          <w:color w:val="000000"/>
          <w:sz w:val="30"/>
          <w:szCs w:val="30"/>
          <w:highlight w:val="none"/>
        </w:rPr>
        <w:br w:type="page"/>
      </w:r>
    </w:p>
    <w:p w14:paraId="1F6424AB">
      <w:pPr>
        <w:pStyle w:val="6"/>
        <w:spacing w:line="360" w:lineRule="exact"/>
        <w:jc w:val="center"/>
        <w:rPr>
          <w:rFonts w:hint="eastAsia" w:ascii="宋体" w:hAnsi="宋体"/>
          <w:bCs/>
          <w:color w:val="000000"/>
          <w:sz w:val="32"/>
          <w:highlight w:val="none"/>
        </w:rPr>
      </w:pPr>
      <w:bookmarkStart w:id="14" w:name="_Toc16514"/>
      <w:bookmarkStart w:id="15" w:name="_Toc486922953"/>
      <w:bookmarkStart w:id="16" w:name="_Toc18590"/>
      <w:bookmarkStart w:id="17" w:name="_Toc486196136"/>
      <w:bookmarkStart w:id="18" w:name="_Toc207770833"/>
      <w:bookmarkStart w:id="19" w:name="_Toc185702547"/>
      <w:bookmarkStart w:id="20" w:name="_Toc230578055"/>
      <w:bookmarkStart w:id="21" w:name="_Toc9936"/>
      <w:bookmarkStart w:id="22" w:name="_Toc206525680"/>
      <w:bookmarkStart w:id="23" w:name="_Toc29146"/>
      <w:bookmarkStart w:id="24" w:name="_Toc108539705"/>
      <w:bookmarkStart w:id="25" w:name="_Toc239839861"/>
      <w:r>
        <w:rPr>
          <w:rFonts w:hint="eastAsia" w:ascii="宋体" w:hAnsi="宋体"/>
          <w:bCs/>
          <w:color w:val="000000"/>
          <w:sz w:val="32"/>
          <w:highlight w:val="none"/>
        </w:rPr>
        <w:t>供应商须知前附表</w:t>
      </w:r>
      <w:bookmarkEnd w:id="14"/>
      <w:bookmarkEnd w:id="15"/>
      <w:bookmarkEnd w:id="16"/>
      <w:bookmarkEnd w:id="17"/>
      <w:bookmarkEnd w:id="18"/>
      <w:bookmarkEnd w:id="19"/>
      <w:bookmarkEnd w:id="20"/>
      <w:bookmarkEnd w:id="21"/>
      <w:bookmarkEnd w:id="22"/>
      <w:bookmarkEnd w:id="23"/>
      <w:bookmarkEnd w:id="24"/>
      <w:bookmarkEnd w:id="25"/>
    </w:p>
    <w:p w14:paraId="20E3C3A2">
      <w:pPr>
        <w:pStyle w:val="132"/>
        <w:spacing w:line="140" w:lineRule="exact"/>
        <w:rPr>
          <w:rFonts w:hAnsi="宋体"/>
          <w:color w:val="000000"/>
          <w:sz w:val="32"/>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4"/>
      </w:tblGrid>
      <w:tr w14:paraId="3B2E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vAlign w:val="center"/>
          </w:tcPr>
          <w:p w14:paraId="158444A8">
            <w:pPr>
              <w:pStyle w:val="132"/>
              <w:snapToGrid w:val="0"/>
              <w:spacing w:line="360" w:lineRule="auto"/>
              <w:ind w:left="-105" w:leftChars="-50" w:right="-105" w:rightChars="-50"/>
              <w:jc w:val="center"/>
              <w:rPr>
                <w:rFonts w:hint="eastAsia" w:hAnsi="宋体"/>
                <w:color w:val="000000"/>
                <w:szCs w:val="21"/>
                <w:highlight w:val="none"/>
              </w:rPr>
            </w:pPr>
            <w:r>
              <w:rPr>
                <w:rFonts w:hint="eastAsia" w:hAnsi="宋体"/>
                <w:color w:val="000000"/>
                <w:szCs w:val="21"/>
                <w:highlight w:val="none"/>
              </w:rPr>
              <w:t>序号</w:t>
            </w:r>
          </w:p>
        </w:tc>
        <w:tc>
          <w:tcPr>
            <w:tcW w:w="654" w:type="dxa"/>
            <w:vAlign w:val="center"/>
          </w:tcPr>
          <w:p w14:paraId="1B23249E">
            <w:pPr>
              <w:pStyle w:val="132"/>
              <w:snapToGrid w:val="0"/>
              <w:spacing w:line="360" w:lineRule="auto"/>
              <w:ind w:left="-105" w:leftChars="-50" w:right="-105" w:rightChars="-50"/>
              <w:jc w:val="center"/>
              <w:rPr>
                <w:rFonts w:hint="eastAsia" w:hAnsi="宋体"/>
                <w:color w:val="000000"/>
                <w:szCs w:val="21"/>
                <w:highlight w:val="none"/>
              </w:rPr>
            </w:pPr>
            <w:r>
              <w:rPr>
                <w:rFonts w:hint="eastAsia" w:hAnsi="宋体"/>
                <w:color w:val="000000"/>
                <w:szCs w:val="21"/>
                <w:highlight w:val="none"/>
              </w:rPr>
              <w:t>条款号</w:t>
            </w:r>
          </w:p>
        </w:tc>
        <w:tc>
          <w:tcPr>
            <w:tcW w:w="8194" w:type="dxa"/>
            <w:vAlign w:val="center"/>
          </w:tcPr>
          <w:p w14:paraId="46E39DF4">
            <w:pPr>
              <w:pStyle w:val="132"/>
              <w:snapToGrid w:val="0"/>
              <w:spacing w:line="360" w:lineRule="auto"/>
              <w:jc w:val="center"/>
              <w:rPr>
                <w:rFonts w:hint="eastAsia" w:hAnsi="宋体"/>
                <w:color w:val="000000"/>
                <w:szCs w:val="21"/>
                <w:highlight w:val="none"/>
              </w:rPr>
            </w:pPr>
            <w:r>
              <w:rPr>
                <w:rFonts w:hint="eastAsia" w:hAnsi="宋体"/>
                <w:color w:val="000000"/>
                <w:szCs w:val="21"/>
                <w:highlight w:val="none"/>
              </w:rPr>
              <w:t>内    容</w:t>
            </w:r>
          </w:p>
        </w:tc>
      </w:tr>
      <w:tr w14:paraId="174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2BF568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p>
        </w:tc>
        <w:tc>
          <w:tcPr>
            <w:tcW w:w="654" w:type="dxa"/>
            <w:vAlign w:val="center"/>
          </w:tcPr>
          <w:p w14:paraId="7594F46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8194" w:type="dxa"/>
            <w:vAlign w:val="center"/>
          </w:tcPr>
          <w:p w14:paraId="238067CC">
            <w:pPr>
              <w:pStyle w:val="7"/>
              <w:spacing w:before="0" w:after="0" w:line="360" w:lineRule="auto"/>
              <w:rPr>
                <w:rFonts w:hint="eastAsia" w:ascii="宋体" w:hAnsi="宋体" w:eastAsia="宋体"/>
                <w:b w:val="0"/>
                <w:bCs w:val="0"/>
                <w:color w:val="000000"/>
                <w:sz w:val="21"/>
                <w:szCs w:val="21"/>
                <w:highlight w:val="none"/>
              </w:rPr>
            </w:pPr>
            <w:bookmarkStart w:id="26" w:name="_Toc108539706"/>
            <w:bookmarkStart w:id="27" w:name="_Toc22110"/>
            <w:r>
              <w:rPr>
                <w:rFonts w:hint="eastAsia" w:ascii="宋体" w:hAnsi="宋体" w:eastAsia="宋体"/>
                <w:b w:val="0"/>
                <w:bCs w:val="0"/>
                <w:color w:val="000000"/>
                <w:sz w:val="21"/>
                <w:szCs w:val="21"/>
                <w:highlight w:val="none"/>
              </w:rPr>
              <w:t>项目名称：</w:t>
            </w:r>
            <w:bookmarkEnd w:id="26"/>
            <w:bookmarkStart w:id="28" w:name="_Toc108539707"/>
            <w:r>
              <w:rPr>
                <w:rFonts w:hint="eastAsia" w:ascii="宋体" w:hAnsi="宋体" w:eastAsia="宋体"/>
                <w:b w:val="0"/>
                <w:bCs w:val="0"/>
                <w:color w:val="000000"/>
                <w:sz w:val="21"/>
                <w:szCs w:val="21"/>
                <w:highlight w:val="none"/>
                <w:lang w:eastAsia="zh-CN"/>
              </w:rPr>
              <w:t>长洲区泗洲村人居环境整治项目</w:t>
            </w:r>
          </w:p>
          <w:p w14:paraId="00D73602">
            <w:pPr>
              <w:pStyle w:val="7"/>
              <w:spacing w:before="0" w:after="0" w:line="360" w:lineRule="auto"/>
              <w:rPr>
                <w:rFonts w:hint="eastAsia" w:ascii="宋体" w:hAnsi="宋体" w:eastAsia="宋体"/>
                <w:b w:val="0"/>
                <w:bCs w:val="0"/>
                <w:color w:val="000000"/>
                <w:sz w:val="21"/>
                <w:szCs w:val="21"/>
                <w:highlight w:val="yellow"/>
              </w:rPr>
            </w:pPr>
            <w:r>
              <w:rPr>
                <w:rFonts w:hint="eastAsia" w:ascii="宋体" w:hAnsi="宋体" w:eastAsia="宋体"/>
                <w:b w:val="0"/>
                <w:bCs w:val="0"/>
                <w:color w:val="000000"/>
                <w:sz w:val="21"/>
                <w:szCs w:val="21"/>
                <w:highlight w:val="none"/>
              </w:rPr>
              <w:t>项目编号：</w:t>
            </w:r>
            <w:bookmarkEnd w:id="27"/>
            <w:bookmarkEnd w:id="28"/>
            <w:bookmarkStart w:id="29" w:name="_Toc108539709"/>
            <w:bookmarkStart w:id="30" w:name="_Toc108539708"/>
            <w:r>
              <w:rPr>
                <w:rFonts w:hint="eastAsia" w:ascii="宋体" w:hAnsi="宋体" w:eastAsia="宋体"/>
                <w:b w:val="0"/>
                <w:bCs w:val="0"/>
                <w:color w:val="000000"/>
                <w:sz w:val="21"/>
                <w:szCs w:val="21"/>
                <w:highlight w:val="none"/>
                <w:lang w:eastAsia="zh-CN"/>
              </w:rPr>
              <w:t>WZZC2025-C2-050014-DYGS</w:t>
            </w:r>
          </w:p>
          <w:p w14:paraId="51BECF00">
            <w:pPr>
              <w:pStyle w:val="33"/>
              <w:spacing w:after="0" w:line="440" w:lineRule="exact"/>
              <w:rPr>
                <w:rFonts w:hint="eastAsia" w:ascii="宋体" w:hAnsi="宋体"/>
                <w:color w:val="000000"/>
                <w:szCs w:val="21"/>
                <w:highlight w:val="none"/>
                <w:lang w:eastAsia="zh-CN"/>
              </w:rPr>
            </w:pPr>
            <w:bookmarkStart w:id="31" w:name="_Toc32037"/>
            <w:r>
              <w:rPr>
                <w:rFonts w:hint="eastAsia" w:ascii="宋体" w:hAnsi="宋体" w:eastAsia="宋体"/>
                <w:b/>
                <w:bCs/>
                <w:color w:val="000000"/>
                <w:sz w:val="21"/>
                <w:szCs w:val="21"/>
                <w:highlight w:val="none"/>
              </w:rPr>
              <w:t>项目主要建设内容和规模：</w:t>
            </w:r>
            <w:bookmarkEnd w:id="31"/>
            <w:bookmarkStart w:id="32" w:name="_Toc15206"/>
            <w:r>
              <w:rPr>
                <w:rFonts w:hint="eastAsia" w:ascii="宋体" w:hAnsi="宋体"/>
                <w:color w:val="000000"/>
                <w:szCs w:val="21"/>
                <w:highlight w:val="none"/>
                <w:lang w:eastAsia="zh-CN"/>
              </w:rPr>
              <w:t>（1）农家乐至星空露营基地节点：节点场地铺装1278.92㎡，绿化1101㎡。（2）凉亭维修整治7处；（3）庭院整治50户（其中院墙360m，栅栏500m，污水沟渠98m，巷道硬化约600㎡）；（4）竣工标志牌1个。</w:t>
            </w:r>
            <w:r>
              <w:rPr>
                <w:rFonts w:hint="eastAsia" w:ascii="宋体" w:hAnsi="宋体"/>
                <w:color w:val="000000"/>
                <w:szCs w:val="21"/>
                <w:highlight w:val="none"/>
              </w:rPr>
              <w:t>（具体按施工图纸、工程量清单、采购文件及相关补充通知的全部内容）</w:t>
            </w:r>
          </w:p>
          <w:p w14:paraId="475C2CDE">
            <w:pPr>
              <w:pStyle w:val="7"/>
              <w:spacing w:before="0" w:after="0" w:line="360" w:lineRule="auto"/>
              <w:rPr>
                <w:rFonts w:hint="eastAsia" w:ascii="宋体" w:hAnsi="宋体" w:eastAsia="宋体"/>
                <w:b w:val="0"/>
                <w:bCs w:val="0"/>
                <w:color w:val="000000"/>
                <w:sz w:val="21"/>
                <w:szCs w:val="21"/>
                <w:highlight w:val="none"/>
              </w:rPr>
            </w:pPr>
            <w:r>
              <w:rPr>
                <w:rFonts w:hint="eastAsia" w:ascii="宋体" w:hAnsi="宋体" w:eastAsia="宋体"/>
                <w:b w:val="0"/>
                <w:bCs w:val="0"/>
                <w:color w:val="000000"/>
                <w:sz w:val="21"/>
                <w:szCs w:val="21"/>
                <w:highlight w:val="none"/>
              </w:rPr>
              <w:t>建设</w:t>
            </w:r>
            <w:r>
              <w:rPr>
                <w:rFonts w:ascii="宋体" w:hAnsi="宋体" w:eastAsia="宋体"/>
                <w:b w:val="0"/>
                <w:bCs w:val="0"/>
                <w:color w:val="000000"/>
                <w:sz w:val="21"/>
                <w:szCs w:val="21"/>
                <w:highlight w:val="none"/>
              </w:rPr>
              <w:t>地点：</w:t>
            </w:r>
            <w:bookmarkEnd w:id="29"/>
            <w:bookmarkEnd w:id="30"/>
            <w:bookmarkEnd w:id="32"/>
            <w:bookmarkStart w:id="33" w:name="_Toc108539710"/>
            <w:bookmarkStart w:id="34" w:name="_Toc16596"/>
            <w:r>
              <w:rPr>
                <w:rFonts w:hint="eastAsia" w:ascii="宋体" w:hAnsi="宋体" w:eastAsia="宋体"/>
                <w:b w:val="0"/>
                <w:bCs w:val="0"/>
                <w:color w:val="000000"/>
                <w:sz w:val="21"/>
                <w:szCs w:val="21"/>
                <w:highlight w:val="none"/>
                <w:lang w:eastAsia="zh-CN"/>
              </w:rPr>
              <w:t>梧州市长洲区泗洲村</w:t>
            </w:r>
          </w:p>
          <w:p w14:paraId="4C77BCC1">
            <w:pPr>
              <w:pStyle w:val="7"/>
              <w:spacing w:before="0" w:after="0" w:line="360" w:lineRule="auto"/>
              <w:rPr>
                <w:rFonts w:hint="eastAsia" w:ascii="宋体" w:hAnsi="宋体" w:eastAsia="宋体"/>
                <w:b w:val="0"/>
                <w:bCs w:val="0"/>
                <w:color w:val="000000"/>
                <w:sz w:val="21"/>
                <w:szCs w:val="21"/>
                <w:highlight w:val="none"/>
                <w:lang w:val="en-US" w:eastAsia="zh-CN"/>
              </w:rPr>
            </w:pPr>
            <w:r>
              <w:rPr>
                <w:rFonts w:hint="eastAsia" w:ascii="宋体" w:hAnsi="宋体" w:eastAsia="宋体"/>
                <w:b w:val="0"/>
                <w:bCs w:val="0"/>
                <w:color w:val="000000"/>
                <w:sz w:val="21"/>
                <w:szCs w:val="21"/>
                <w:highlight w:val="none"/>
              </w:rPr>
              <w:t>预算总金额（元）：</w:t>
            </w:r>
            <w:bookmarkEnd w:id="33"/>
            <w:bookmarkEnd w:id="34"/>
            <w:r>
              <w:rPr>
                <w:rFonts w:hint="eastAsia" w:ascii="宋体" w:hAnsi="宋体" w:eastAsia="宋体"/>
                <w:b w:val="0"/>
                <w:bCs w:val="0"/>
                <w:color w:val="000000"/>
                <w:sz w:val="21"/>
                <w:szCs w:val="21"/>
                <w:highlight w:val="none"/>
              </w:rPr>
              <w:t>1709839.9</w:t>
            </w:r>
            <w:r>
              <w:rPr>
                <w:rFonts w:hint="eastAsia" w:ascii="宋体" w:hAnsi="宋体" w:eastAsia="宋体"/>
                <w:b w:val="0"/>
                <w:bCs w:val="0"/>
                <w:color w:val="000000"/>
                <w:sz w:val="21"/>
                <w:szCs w:val="21"/>
                <w:highlight w:val="none"/>
                <w:lang w:val="en-US" w:eastAsia="zh-CN"/>
              </w:rPr>
              <w:t>7</w:t>
            </w:r>
          </w:p>
          <w:p w14:paraId="0BD329EA">
            <w:pPr>
              <w:spacing w:line="360" w:lineRule="auto"/>
              <w:rPr>
                <w:rFonts w:hint="eastAsia" w:ascii="宋体" w:hAnsi="宋体"/>
                <w:color w:val="000000"/>
                <w:szCs w:val="21"/>
                <w:highlight w:val="none"/>
              </w:rPr>
            </w:pPr>
            <w:r>
              <w:rPr>
                <w:rFonts w:hint="eastAsia" w:ascii="宋体" w:hAnsi="宋体"/>
                <w:color w:val="000000"/>
                <w:szCs w:val="21"/>
                <w:highlight w:val="none"/>
              </w:rPr>
              <w:t>最高限价（元）：</w:t>
            </w:r>
            <w:r>
              <w:rPr>
                <w:rFonts w:hint="eastAsia" w:ascii="宋体" w:hAnsi="宋体"/>
                <w:color w:val="000000"/>
                <w:szCs w:val="21"/>
                <w:highlight w:val="none"/>
                <w:lang w:val="en-US" w:eastAsia="zh-CN"/>
              </w:rPr>
              <w:t>/</w:t>
            </w:r>
          </w:p>
          <w:p w14:paraId="28547741">
            <w:pPr>
              <w:pStyle w:val="7"/>
              <w:spacing w:before="0" w:after="0" w:line="360" w:lineRule="auto"/>
              <w:rPr>
                <w:rFonts w:ascii="宋体" w:hAnsi="宋体" w:eastAsia="宋体"/>
                <w:b w:val="0"/>
                <w:bCs w:val="0"/>
                <w:color w:val="000000"/>
                <w:sz w:val="21"/>
                <w:szCs w:val="21"/>
                <w:highlight w:val="none"/>
              </w:rPr>
            </w:pPr>
            <w:bookmarkStart w:id="35" w:name="_Toc108539711"/>
            <w:bookmarkStart w:id="36" w:name="_Toc10282"/>
            <w:r>
              <w:rPr>
                <w:rFonts w:ascii="宋体" w:hAnsi="宋体" w:eastAsia="宋体"/>
                <w:b w:val="0"/>
                <w:bCs w:val="0"/>
                <w:color w:val="000000"/>
                <w:sz w:val="21"/>
                <w:szCs w:val="21"/>
                <w:highlight w:val="none"/>
              </w:rPr>
              <w:t>工期要求：</w:t>
            </w:r>
            <w:bookmarkEnd w:id="35"/>
            <w:r>
              <w:rPr>
                <w:rFonts w:hint="eastAsia" w:ascii="宋体" w:hAnsi="宋体" w:eastAsia="宋体"/>
                <w:b w:val="0"/>
                <w:bCs w:val="0"/>
                <w:color w:val="000000"/>
                <w:sz w:val="21"/>
                <w:szCs w:val="21"/>
                <w:highlight w:val="none"/>
                <w:lang w:val="en-US" w:eastAsia="zh-CN"/>
              </w:rPr>
              <w:t>120</w:t>
            </w:r>
            <w:r>
              <w:rPr>
                <w:rFonts w:hint="eastAsia" w:ascii="宋体" w:hAnsi="宋体" w:eastAsia="宋体"/>
                <w:b w:val="0"/>
                <w:bCs w:val="0"/>
                <w:color w:val="000000"/>
                <w:sz w:val="21"/>
                <w:szCs w:val="21"/>
                <w:highlight w:val="none"/>
              </w:rPr>
              <w:t>日历天</w:t>
            </w:r>
            <w:bookmarkEnd w:id="36"/>
          </w:p>
          <w:p w14:paraId="6687162C">
            <w:pPr>
              <w:pStyle w:val="7"/>
              <w:spacing w:before="0" w:after="0" w:line="360" w:lineRule="auto"/>
              <w:rPr>
                <w:rFonts w:ascii="宋体" w:hAnsi="宋体" w:eastAsia="宋体"/>
                <w:b w:val="0"/>
                <w:bCs w:val="0"/>
                <w:color w:val="000000"/>
                <w:sz w:val="21"/>
                <w:szCs w:val="21"/>
                <w:highlight w:val="none"/>
              </w:rPr>
            </w:pPr>
            <w:bookmarkStart w:id="37" w:name="_Toc108539712"/>
            <w:bookmarkStart w:id="38" w:name="_Toc8891"/>
            <w:r>
              <w:rPr>
                <w:rFonts w:ascii="宋体" w:hAnsi="宋体" w:eastAsia="宋体"/>
                <w:b w:val="0"/>
                <w:bCs w:val="0"/>
                <w:color w:val="000000"/>
                <w:sz w:val="21"/>
                <w:szCs w:val="21"/>
                <w:highlight w:val="none"/>
              </w:rPr>
              <w:t>质量要求：</w:t>
            </w:r>
            <w:bookmarkEnd w:id="37"/>
            <w:bookmarkEnd w:id="38"/>
            <w:r>
              <w:rPr>
                <w:rFonts w:hint="eastAsia" w:ascii="宋体" w:hAnsi="宋体" w:eastAsia="宋体"/>
                <w:b w:val="0"/>
                <w:bCs w:val="0"/>
                <w:color w:val="000000"/>
                <w:sz w:val="21"/>
                <w:szCs w:val="21"/>
                <w:highlight w:val="none"/>
              </w:rPr>
              <w:t>达到国家施工验收规范合格标准</w:t>
            </w:r>
          </w:p>
          <w:p w14:paraId="58FE81E6">
            <w:pPr>
              <w:pStyle w:val="7"/>
              <w:spacing w:before="0" w:after="0" w:line="360" w:lineRule="auto"/>
              <w:rPr>
                <w:rFonts w:hint="eastAsia" w:ascii="宋体" w:hAnsi="宋体" w:eastAsia="宋体"/>
                <w:b w:val="0"/>
                <w:bCs w:val="0"/>
                <w:color w:val="000000"/>
                <w:sz w:val="21"/>
                <w:szCs w:val="21"/>
                <w:highlight w:val="none"/>
              </w:rPr>
            </w:pPr>
            <w:bookmarkStart w:id="39" w:name="_Toc6911"/>
            <w:bookmarkStart w:id="40" w:name="_Toc108539713"/>
            <w:r>
              <w:rPr>
                <w:rFonts w:hint="eastAsia" w:ascii="宋体" w:hAnsi="宋体" w:eastAsia="宋体"/>
                <w:b w:val="0"/>
                <w:bCs w:val="0"/>
                <w:color w:val="000000"/>
                <w:sz w:val="21"/>
                <w:szCs w:val="21"/>
                <w:highlight w:val="none"/>
              </w:rPr>
              <w:t>采购方式：竞争性磋商</w:t>
            </w:r>
            <w:bookmarkEnd w:id="39"/>
            <w:bookmarkEnd w:id="40"/>
          </w:p>
        </w:tc>
      </w:tr>
      <w:tr w14:paraId="5E31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3EFE214B">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p>
        </w:tc>
        <w:tc>
          <w:tcPr>
            <w:tcW w:w="654" w:type="dxa"/>
            <w:vAlign w:val="center"/>
          </w:tcPr>
          <w:p w14:paraId="3C3D38D7">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1.2</w:t>
            </w:r>
          </w:p>
        </w:tc>
        <w:tc>
          <w:tcPr>
            <w:tcW w:w="8194" w:type="dxa"/>
            <w:vAlign w:val="center"/>
          </w:tcPr>
          <w:p w14:paraId="7536C07F">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梧州市长洲区发展和改革局</w:t>
            </w:r>
          </w:p>
          <w:p w14:paraId="0D2377FC">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eastAsia="zh-CN"/>
              </w:rPr>
              <w:t>梧州市长洲区新兴二路193号</w:t>
            </w:r>
          </w:p>
          <w:p w14:paraId="5A456461">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联系人及联系方式：</w:t>
            </w:r>
            <w:r>
              <w:rPr>
                <w:rFonts w:hint="eastAsia"/>
                <w:color w:val="000000"/>
                <w:highlight w:val="none"/>
                <w:lang w:eastAsia="zh-CN"/>
              </w:rPr>
              <w:t>黎生，</w:t>
            </w:r>
            <w:r>
              <w:rPr>
                <w:rFonts w:hint="eastAsia" w:ascii="宋体" w:hAnsi="宋体" w:eastAsia="宋体"/>
                <w:color w:val="000000"/>
                <w:szCs w:val="21"/>
                <w:highlight w:val="none"/>
                <w:lang w:val="en-US" w:eastAsia="zh-CN"/>
              </w:rPr>
              <w:t>0774—3868070</w:t>
            </w:r>
          </w:p>
        </w:tc>
      </w:tr>
      <w:tr w14:paraId="0AA0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2D05FCB">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654" w:type="dxa"/>
            <w:vAlign w:val="center"/>
          </w:tcPr>
          <w:p w14:paraId="39A21E6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1.3</w:t>
            </w:r>
          </w:p>
        </w:tc>
        <w:tc>
          <w:tcPr>
            <w:tcW w:w="8194" w:type="dxa"/>
            <w:vAlign w:val="center"/>
          </w:tcPr>
          <w:p w14:paraId="4D8B8F06">
            <w:pPr>
              <w:spacing w:line="360" w:lineRule="auto"/>
              <w:ind w:firstLine="105" w:firstLineChars="50"/>
              <w:rPr>
                <w:rFonts w:hint="eastAsia" w:ascii="宋体" w:hAnsi="宋体" w:eastAsia="宋体"/>
                <w:color w:val="000000"/>
                <w:szCs w:val="21"/>
                <w:highlight w:val="none"/>
              </w:rPr>
            </w:pPr>
            <w:r>
              <w:rPr>
                <w:rFonts w:hint="eastAsia" w:ascii="宋体" w:hAnsi="宋体" w:eastAsia="宋体"/>
                <w:color w:val="000000"/>
                <w:szCs w:val="21"/>
                <w:highlight w:val="none"/>
              </w:rPr>
              <w:t>采购代理机构：</w:t>
            </w:r>
            <w:r>
              <w:rPr>
                <w:rFonts w:hint="eastAsia" w:ascii="宋体" w:hAnsi="宋体" w:eastAsia="宋体"/>
                <w:color w:val="000000"/>
                <w:szCs w:val="21"/>
                <w:highlight w:val="none"/>
                <w:lang w:eastAsia="zh-CN"/>
              </w:rPr>
              <w:t>广西东裕工程管理有限公司</w:t>
            </w:r>
          </w:p>
          <w:p w14:paraId="359D980E">
            <w:pPr>
              <w:spacing w:line="360" w:lineRule="auto"/>
              <w:ind w:firstLine="105" w:firstLineChars="50"/>
              <w:rPr>
                <w:rFonts w:hint="eastAsia" w:ascii="宋体" w:hAnsi="宋体" w:eastAsia="宋体"/>
                <w:color w:val="000000"/>
                <w:szCs w:val="21"/>
                <w:highlight w:val="none"/>
              </w:rPr>
            </w:pPr>
            <w:r>
              <w:rPr>
                <w:rFonts w:hint="eastAsia" w:ascii="宋体" w:hAnsi="宋体" w:eastAsia="宋体"/>
                <w:color w:val="000000"/>
                <w:szCs w:val="21"/>
                <w:highlight w:val="none"/>
              </w:rPr>
              <w:t>地  址：</w:t>
            </w:r>
            <w:r>
              <w:rPr>
                <w:rFonts w:hint="eastAsia" w:ascii="宋体" w:hAnsi="宋体" w:eastAsia="宋体"/>
                <w:color w:val="000000"/>
                <w:szCs w:val="21"/>
                <w:highlight w:val="none"/>
                <w:lang w:val="en-US" w:eastAsia="zh-CN"/>
              </w:rPr>
              <w:t>梧州市长洲区西堤三路28号灏景尚都A区永顺企业中心 205-1室</w:t>
            </w:r>
          </w:p>
          <w:p w14:paraId="6A3BF2BE">
            <w:pPr>
              <w:spacing w:line="360" w:lineRule="auto"/>
              <w:ind w:firstLine="105" w:firstLineChars="50"/>
              <w:rPr>
                <w:rFonts w:hint="eastAsia" w:ascii="宋体" w:hAnsi="宋体" w:eastAsia="宋体"/>
                <w:color w:val="000000"/>
                <w:szCs w:val="21"/>
                <w:highlight w:val="none"/>
              </w:rPr>
            </w:pPr>
            <w:r>
              <w:rPr>
                <w:rFonts w:hint="eastAsia" w:ascii="宋体" w:hAnsi="宋体" w:eastAsia="宋体"/>
                <w:color w:val="000000"/>
                <w:szCs w:val="21"/>
                <w:highlight w:val="none"/>
              </w:rPr>
              <w:t>联系人及电话：</w:t>
            </w:r>
            <w:r>
              <w:rPr>
                <w:rFonts w:hint="eastAsia" w:ascii="宋体" w:hAnsi="宋体" w:eastAsia="宋体"/>
                <w:color w:val="000000"/>
                <w:szCs w:val="21"/>
                <w:highlight w:val="none"/>
                <w:lang w:val="en-US" w:eastAsia="zh-CN"/>
              </w:rPr>
              <w:t>叶工</w:t>
            </w:r>
            <w:r>
              <w:rPr>
                <w:rFonts w:hint="eastAsia" w:ascii="宋体" w:hAnsi="宋体" w:eastAsia="宋体"/>
                <w:color w:val="000000"/>
                <w:szCs w:val="21"/>
                <w:highlight w:val="none"/>
              </w:rPr>
              <w:t>，</w:t>
            </w:r>
            <w:r>
              <w:rPr>
                <w:rFonts w:hint="eastAsia" w:ascii="宋体" w:hAnsi="宋体"/>
                <w:color w:val="000000"/>
                <w:szCs w:val="21"/>
                <w:highlight w:val="none"/>
                <w:lang w:eastAsia="zh-CN"/>
              </w:rPr>
              <w:t>0774-3881916</w:t>
            </w:r>
          </w:p>
        </w:tc>
      </w:tr>
      <w:tr w14:paraId="65D4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39D981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4</w:t>
            </w:r>
          </w:p>
        </w:tc>
        <w:tc>
          <w:tcPr>
            <w:tcW w:w="654" w:type="dxa"/>
            <w:vAlign w:val="center"/>
          </w:tcPr>
          <w:p w14:paraId="6CB2172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w:t>
            </w:r>
          </w:p>
        </w:tc>
        <w:tc>
          <w:tcPr>
            <w:tcW w:w="8194" w:type="dxa"/>
            <w:vAlign w:val="center"/>
          </w:tcPr>
          <w:p w14:paraId="10C225FC">
            <w:pPr>
              <w:pStyle w:val="132"/>
              <w:snapToGrid w:val="0"/>
              <w:spacing w:line="360" w:lineRule="auto"/>
              <w:rPr>
                <w:rFonts w:hint="eastAsia" w:hAnsi="宋体"/>
                <w:color w:val="000000"/>
                <w:szCs w:val="21"/>
                <w:highlight w:val="none"/>
              </w:rPr>
            </w:pPr>
            <w:r>
              <w:rPr>
                <w:rFonts w:hint="eastAsia" w:hAnsi="宋体"/>
                <w:color w:val="000000"/>
                <w:szCs w:val="21"/>
                <w:highlight w:val="none"/>
              </w:rPr>
              <w:t>监督部门：</w:t>
            </w:r>
            <w:r>
              <w:rPr>
                <w:rFonts w:hint="eastAsia" w:hAnsi="宋体"/>
                <w:color w:val="000000"/>
                <w:szCs w:val="21"/>
                <w:highlight w:val="none"/>
                <w:lang w:eastAsia="zh-CN"/>
              </w:rPr>
              <w:t>梧州市长洲区财政局政采办</w:t>
            </w:r>
            <w:r>
              <w:rPr>
                <w:rFonts w:hint="eastAsia" w:hAnsi="宋体"/>
                <w:color w:val="000000"/>
                <w:szCs w:val="21"/>
                <w:highlight w:val="none"/>
              </w:rPr>
              <w:t>（电话：</w:t>
            </w:r>
            <w:r>
              <w:rPr>
                <w:rFonts w:hint="eastAsia" w:hAnsi="宋体"/>
                <w:color w:val="000000"/>
                <w:szCs w:val="21"/>
                <w:highlight w:val="none"/>
                <w:lang w:eastAsia="zh-CN"/>
              </w:rPr>
              <w:t>0774-3860212</w:t>
            </w:r>
            <w:r>
              <w:rPr>
                <w:rFonts w:hint="eastAsia" w:hAnsi="宋体"/>
                <w:color w:val="000000"/>
                <w:szCs w:val="21"/>
                <w:highlight w:val="none"/>
              </w:rPr>
              <w:t>）</w:t>
            </w:r>
          </w:p>
        </w:tc>
      </w:tr>
      <w:tr w14:paraId="3FEE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36ED11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5</w:t>
            </w:r>
          </w:p>
        </w:tc>
        <w:tc>
          <w:tcPr>
            <w:tcW w:w="654" w:type="dxa"/>
            <w:vAlign w:val="center"/>
          </w:tcPr>
          <w:p w14:paraId="511B8555">
            <w:pPr>
              <w:snapToGrid w:val="0"/>
              <w:spacing w:line="360"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2.1</w:t>
            </w:r>
          </w:p>
        </w:tc>
        <w:tc>
          <w:tcPr>
            <w:tcW w:w="8194" w:type="dxa"/>
            <w:vAlign w:val="top"/>
          </w:tcPr>
          <w:p w14:paraId="568072DE">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合格的磋商供应商资格要求：</w:t>
            </w:r>
          </w:p>
          <w:p w14:paraId="2BCF2438">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1.满足《中华人民共和国政府采购法》第二十二条规定；</w:t>
            </w:r>
          </w:p>
          <w:p w14:paraId="1A89A1CA">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2.落实政府采购政策需满足的资格要求：分标1：供应商为小微企业；</w:t>
            </w:r>
          </w:p>
          <w:p w14:paraId="3E80EE42">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3.本项目的特定资格要求：</w:t>
            </w:r>
          </w:p>
          <w:p w14:paraId="6AF9ABD9">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①具备市政公用工程施工总承包叁级以上（含叁级）资质，并在人员、设备、资金等方面具有相应的施工能力。</w:t>
            </w:r>
          </w:p>
          <w:p w14:paraId="53488475">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②拟投入本项目的项目经理必须具有市政公用工程专业贰级以上（含贰级）注册建造师执业资格，具备有效的安全生产考核合格证书（B类）</w:t>
            </w:r>
            <w:r>
              <w:rPr>
                <w:rFonts w:hint="eastAsia" w:ascii="宋体" w:hAnsi="宋体"/>
                <w:color w:val="000000"/>
                <w:szCs w:val="21"/>
                <w:highlight w:val="none"/>
                <w:lang w:eastAsia="zh-CN"/>
              </w:rPr>
              <w:t>。</w:t>
            </w:r>
          </w:p>
          <w:p w14:paraId="320365BA">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 xml:space="preserve">③拟投入施工项目专职安全生产管理人员需具备有效的安全生产考核合格证书（C类），人数符合住房和城乡建设部《建筑施工企业安全生产管理机构设置及专职安全生产管理人员配备办法》（建质〔2008〕91号）的规定不少于1人。 </w:t>
            </w:r>
          </w:p>
          <w:p w14:paraId="1A108D08">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4.本项目不接受联合体磋商。</w:t>
            </w:r>
          </w:p>
        </w:tc>
      </w:tr>
      <w:tr w14:paraId="5821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99CA75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6</w:t>
            </w:r>
          </w:p>
        </w:tc>
        <w:tc>
          <w:tcPr>
            <w:tcW w:w="654" w:type="dxa"/>
            <w:vAlign w:val="center"/>
          </w:tcPr>
          <w:p w14:paraId="2006D44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8194" w:type="dxa"/>
            <w:vAlign w:val="center"/>
          </w:tcPr>
          <w:p w14:paraId="666B4F72">
            <w:pPr>
              <w:pStyle w:val="40"/>
              <w:snapToGrid w:val="0"/>
              <w:spacing w:line="360" w:lineRule="auto"/>
              <w:rPr>
                <w:rFonts w:hAnsi="宋体"/>
                <w:b/>
                <w:color w:val="000000"/>
                <w:highlight w:val="none"/>
              </w:rPr>
            </w:pPr>
            <w:r>
              <w:rPr>
                <w:rFonts w:hAnsi="宋体"/>
                <w:b/>
                <w:color w:val="000000"/>
                <w:highlight w:val="none"/>
              </w:rPr>
              <w:t>磋商报价:</w:t>
            </w:r>
          </w:p>
          <w:p w14:paraId="536607DA">
            <w:pPr>
              <w:pStyle w:val="40"/>
              <w:snapToGrid w:val="0"/>
              <w:spacing w:line="360" w:lineRule="auto"/>
              <w:rPr>
                <w:rFonts w:hAnsi="宋体"/>
                <w:color w:val="000000"/>
                <w:szCs w:val="20"/>
                <w:highlight w:val="none"/>
              </w:rPr>
            </w:pPr>
            <w:r>
              <w:rPr>
                <w:rFonts w:hAnsi="宋体"/>
                <w:color w:val="000000"/>
                <w:szCs w:val="20"/>
                <w:highlight w:val="none"/>
              </w:rPr>
              <w:t>报价方案是唯一确定的，否则将被视为无效磋商。</w:t>
            </w:r>
          </w:p>
          <w:p w14:paraId="647B9D79">
            <w:pPr>
              <w:rPr>
                <w:rFonts w:hint="eastAsia"/>
                <w:color w:val="000000"/>
                <w:highlight w:val="none"/>
              </w:rPr>
            </w:pPr>
            <w:r>
              <w:rPr>
                <w:rFonts w:hint="eastAsia"/>
                <w:color w:val="000000"/>
                <w:highlight w:val="none"/>
              </w:rPr>
              <w:t>本项目设</w:t>
            </w:r>
            <w:r>
              <w:rPr>
                <w:rFonts w:hint="eastAsia" w:ascii="宋体" w:hAnsi="宋体" w:eastAsia="宋体"/>
                <w:color w:val="000000"/>
                <w:highlight w:val="none"/>
              </w:rPr>
              <w:t>招标控</w:t>
            </w:r>
            <w:r>
              <w:rPr>
                <w:rFonts w:hint="eastAsia" w:ascii="宋体" w:hAnsi="宋体" w:eastAsia="宋体"/>
                <w:color w:val="000000"/>
                <w:highlight w:val="none"/>
                <w:u w:val="none"/>
              </w:rPr>
              <w:t>制价：</w:t>
            </w:r>
            <w:r>
              <w:rPr>
                <w:rFonts w:hint="eastAsia" w:ascii="宋体" w:hAnsi="宋体" w:eastAsia="宋体"/>
                <w:b/>
                <w:color w:val="000000"/>
                <w:highlight w:val="none"/>
                <w:u w:val="none"/>
              </w:rPr>
              <w:t>人民币（大写）</w:t>
            </w:r>
            <w:r>
              <w:rPr>
                <w:rFonts w:hint="eastAsia" w:ascii="宋体" w:hAnsi="宋体" w:eastAsia="宋体"/>
                <w:b/>
                <w:color w:val="000000"/>
                <w:highlight w:val="none"/>
                <w:u w:val="none"/>
                <w:lang w:eastAsia="zh-CN"/>
              </w:rPr>
              <w:t>壹佰柒拾万玖仟捌佰叁拾玖元玖角柒分（</w:t>
            </w:r>
            <w:r>
              <w:rPr>
                <w:rFonts w:hint="eastAsia" w:ascii="宋体" w:hAnsi="宋体" w:eastAsia="宋体"/>
                <w:b/>
                <w:color w:val="000000"/>
                <w:highlight w:val="none"/>
                <w:u w:val="none"/>
              </w:rPr>
              <w:t>￥1709839.97</w:t>
            </w:r>
            <w:r>
              <w:rPr>
                <w:rFonts w:hint="eastAsia" w:ascii="宋体" w:hAnsi="宋体"/>
                <w:b/>
                <w:color w:val="000000"/>
                <w:highlight w:val="none"/>
                <w:u w:val="none"/>
                <w:lang w:eastAsia="zh-CN"/>
              </w:rPr>
              <w:t>）</w:t>
            </w:r>
            <w:r>
              <w:rPr>
                <w:rFonts w:hint="eastAsia" w:ascii="宋体" w:hAnsi="宋体" w:eastAsia="宋体"/>
                <w:color w:val="000000"/>
                <w:highlight w:val="none"/>
                <w:u w:val="none"/>
              </w:rPr>
              <w:t>，如供应商</w:t>
            </w:r>
            <w:r>
              <w:rPr>
                <w:rFonts w:hint="eastAsia" w:ascii="宋体" w:hAnsi="宋体" w:eastAsia="宋体"/>
                <w:color w:val="000000"/>
                <w:highlight w:val="none"/>
              </w:rPr>
              <w:t>磋商报价超</w:t>
            </w:r>
            <w:r>
              <w:rPr>
                <w:rFonts w:hint="eastAsia"/>
                <w:color w:val="000000"/>
                <w:highlight w:val="none"/>
              </w:rPr>
              <w:t>过招标控制价，其响应文件作无效处理。</w:t>
            </w:r>
          </w:p>
        </w:tc>
      </w:tr>
      <w:tr w14:paraId="3BB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33568121">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7</w:t>
            </w:r>
          </w:p>
        </w:tc>
        <w:tc>
          <w:tcPr>
            <w:tcW w:w="654" w:type="dxa"/>
            <w:vAlign w:val="center"/>
          </w:tcPr>
          <w:p w14:paraId="70BDE4C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12.1</w:t>
            </w:r>
          </w:p>
        </w:tc>
        <w:tc>
          <w:tcPr>
            <w:tcW w:w="8194" w:type="dxa"/>
            <w:vAlign w:val="center"/>
          </w:tcPr>
          <w:p w14:paraId="09CF82F9">
            <w:pPr>
              <w:pStyle w:val="40"/>
              <w:snapToGrid w:val="0"/>
              <w:spacing w:line="360" w:lineRule="auto"/>
              <w:ind w:left="1037" w:hanging="1037" w:hangingChars="494"/>
              <w:rPr>
                <w:rFonts w:hAnsi="宋体"/>
                <w:color w:val="000000"/>
                <w:highlight w:val="none"/>
              </w:rPr>
            </w:pPr>
            <w:r>
              <w:rPr>
                <w:rFonts w:hAnsi="宋体"/>
                <w:color w:val="000000"/>
                <w:highlight w:val="none"/>
              </w:rPr>
              <w:t>磋商有效期：磋商截止日起60天</w:t>
            </w:r>
          </w:p>
        </w:tc>
      </w:tr>
      <w:tr w14:paraId="38B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4CD541E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654" w:type="dxa"/>
            <w:vAlign w:val="center"/>
          </w:tcPr>
          <w:p w14:paraId="69E6D9DF">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13.5</w:t>
            </w:r>
          </w:p>
        </w:tc>
        <w:tc>
          <w:tcPr>
            <w:tcW w:w="8194" w:type="dxa"/>
            <w:vAlign w:val="center"/>
          </w:tcPr>
          <w:p w14:paraId="042D3E9D">
            <w:pPr>
              <w:spacing w:line="360" w:lineRule="auto"/>
              <w:rPr>
                <w:rFonts w:ascii="宋体" w:hAnsi="宋体"/>
                <w:color w:val="000000"/>
                <w:highlight w:val="none"/>
              </w:rPr>
            </w:pPr>
            <w:r>
              <w:rPr>
                <w:rFonts w:ascii="宋体" w:hAnsi="宋体"/>
                <w:color w:val="000000"/>
                <w:highlight w:val="none"/>
              </w:rPr>
              <w:t>响应文件份数：电子加密响应文件在线上传提交一份。</w:t>
            </w:r>
          </w:p>
        </w:tc>
      </w:tr>
      <w:tr w14:paraId="6514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36" w:type="dxa"/>
            <w:vAlign w:val="center"/>
          </w:tcPr>
          <w:p w14:paraId="5423DEA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9</w:t>
            </w:r>
          </w:p>
        </w:tc>
        <w:tc>
          <w:tcPr>
            <w:tcW w:w="654" w:type="dxa"/>
            <w:vAlign w:val="center"/>
          </w:tcPr>
          <w:p w14:paraId="7E7F962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14.1</w:t>
            </w:r>
          </w:p>
        </w:tc>
        <w:tc>
          <w:tcPr>
            <w:tcW w:w="8194" w:type="dxa"/>
            <w:vAlign w:val="center"/>
          </w:tcPr>
          <w:p w14:paraId="65FF6A63">
            <w:pPr>
              <w:pStyle w:val="40"/>
              <w:spacing w:line="360" w:lineRule="auto"/>
              <w:rPr>
                <w:rFonts w:hAnsi="宋体"/>
                <w:color w:val="000000"/>
                <w:highlight w:val="none"/>
              </w:rPr>
            </w:pPr>
            <w:r>
              <w:rPr>
                <w:rFonts w:hAnsi="宋体"/>
                <w:color w:val="000000"/>
                <w:highlight w:val="none"/>
              </w:rPr>
              <w:t>1、磋商保证金金额为人民币</w:t>
            </w:r>
            <w:r>
              <w:rPr>
                <w:rFonts w:hint="eastAsia" w:hAnsi="宋体"/>
                <w:color w:val="000000"/>
                <w:highlight w:val="none"/>
                <w:lang w:eastAsia="zh-CN"/>
              </w:rPr>
              <w:t>：无。</w:t>
            </w:r>
          </w:p>
          <w:p w14:paraId="51803E6B">
            <w:pPr>
              <w:pStyle w:val="40"/>
              <w:spacing w:line="360" w:lineRule="auto"/>
              <w:rPr>
                <w:rFonts w:hAnsi="宋体"/>
                <w:color w:val="000000"/>
                <w:highlight w:val="none"/>
              </w:rPr>
            </w:pPr>
            <w:r>
              <w:rPr>
                <w:rFonts w:hAnsi="宋体"/>
                <w:color w:val="000000"/>
                <w:highlight w:val="none"/>
              </w:rPr>
              <w:t>2、提交方式：银行转账、网上支付、支票、汇票、本票或者金融机构、担保机构出具的保函等非转帐金形式。</w:t>
            </w:r>
          </w:p>
          <w:p w14:paraId="36D3FB27">
            <w:pPr>
              <w:pStyle w:val="40"/>
              <w:spacing w:line="360" w:lineRule="auto"/>
              <w:rPr>
                <w:rFonts w:hAnsi="宋体"/>
                <w:color w:val="000000"/>
                <w:highlight w:val="none"/>
              </w:rPr>
            </w:pPr>
            <w:r>
              <w:rPr>
                <w:rFonts w:hAnsi="宋体"/>
                <w:color w:val="000000"/>
                <w:highlight w:val="none"/>
              </w:rPr>
              <w:t>3、以银行转账或网上支付等方式提交磋商保证金的，从对公账户转账，并应于响应文件递交截止时间前交至以下账户，请务必在用途或备注栏注明事由“项目编号+磋商保证金”字样。</w:t>
            </w:r>
          </w:p>
          <w:p w14:paraId="698B38BD">
            <w:pPr>
              <w:pStyle w:val="40"/>
              <w:spacing w:line="360" w:lineRule="auto"/>
              <w:ind w:firstLine="420" w:firstLineChars="200"/>
              <w:rPr>
                <w:rFonts w:hAnsi="宋体"/>
                <w:color w:val="000000"/>
                <w:highlight w:val="none"/>
              </w:rPr>
            </w:pPr>
            <w:r>
              <w:rPr>
                <w:rFonts w:hAnsi="宋体"/>
                <w:color w:val="000000"/>
                <w:highlight w:val="none"/>
              </w:rPr>
              <w:t>开户名称：</w:t>
            </w:r>
          </w:p>
          <w:p w14:paraId="6C0668B6">
            <w:pPr>
              <w:pStyle w:val="40"/>
              <w:spacing w:line="360" w:lineRule="auto"/>
              <w:ind w:firstLine="420" w:firstLineChars="200"/>
              <w:rPr>
                <w:rFonts w:hAnsi="宋体"/>
                <w:color w:val="000000"/>
                <w:highlight w:val="none"/>
              </w:rPr>
            </w:pPr>
            <w:r>
              <w:rPr>
                <w:rFonts w:hAnsi="宋体"/>
                <w:color w:val="000000"/>
                <w:highlight w:val="none"/>
              </w:rPr>
              <w:t>开户银行：</w:t>
            </w:r>
          </w:p>
          <w:p w14:paraId="1CD5ABD3">
            <w:pPr>
              <w:pStyle w:val="40"/>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w:t>
            </w:r>
          </w:p>
          <w:p w14:paraId="66DB8E7A">
            <w:pPr>
              <w:pStyle w:val="40"/>
              <w:spacing w:line="360" w:lineRule="auto"/>
              <w:rPr>
                <w:rFonts w:hAnsi="宋体"/>
                <w:color w:val="000000"/>
                <w:highlight w:val="none"/>
              </w:rPr>
            </w:pPr>
            <w:r>
              <w:rPr>
                <w:rFonts w:hAnsi="宋体"/>
                <w:color w:val="000000"/>
                <w:highlight w:val="none"/>
              </w:rPr>
              <w:t>4、以支票、汇票、本票或保函等方式提交磋商保证金的，应于响应文件提交截止时间前提交票据或保函原件。</w:t>
            </w:r>
          </w:p>
          <w:p w14:paraId="1808744C">
            <w:pPr>
              <w:pStyle w:val="40"/>
              <w:snapToGrid w:val="0"/>
              <w:spacing w:line="360" w:lineRule="auto"/>
              <w:rPr>
                <w:rFonts w:hAnsi="宋体"/>
                <w:color w:val="000000"/>
                <w:highlight w:val="none"/>
              </w:rPr>
            </w:pPr>
            <w:r>
              <w:rPr>
                <w:rFonts w:hAnsi="宋体"/>
                <w:color w:val="000000"/>
                <w:highlight w:val="none"/>
              </w:rPr>
              <w:t>备注：供应商如需开具收据的，请在截标会议结束后自行到</w:t>
            </w:r>
            <w:r>
              <w:rPr>
                <w:rFonts w:hint="eastAsia" w:hAnsi="宋体"/>
                <w:color w:val="000000"/>
                <w:highlight w:val="none"/>
                <w:lang w:val="en-US" w:eastAsia="zh-CN"/>
              </w:rPr>
              <w:t>采购代理机构</w:t>
            </w:r>
            <w:r>
              <w:rPr>
                <w:rFonts w:hAnsi="宋体"/>
                <w:color w:val="000000"/>
                <w:highlight w:val="none"/>
              </w:rPr>
              <w:t>财务部开具磋商保证金收据。</w:t>
            </w:r>
          </w:p>
        </w:tc>
      </w:tr>
      <w:tr w14:paraId="562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D91D30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10</w:t>
            </w:r>
          </w:p>
        </w:tc>
        <w:tc>
          <w:tcPr>
            <w:tcW w:w="654" w:type="dxa"/>
            <w:vAlign w:val="center"/>
          </w:tcPr>
          <w:p w14:paraId="4D97952B">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15</w:t>
            </w:r>
          </w:p>
        </w:tc>
        <w:tc>
          <w:tcPr>
            <w:tcW w:w="8194" w:type="dxa"/>
            <w:vAlign w:val="center"/>
          </w:tcPr>
          <w:p w14:paraId="5F768785">
            <w:pPr>
              <w:pStyle w:val="40"/>
              <w:numPr>
                <w:ilvl w:val="0"/>
                <w:numId w:val="2"/>
              </w:numPr>
              <w:spacing w:line="360" w:lineRule="auto"/>
              <w:rPr>
                <w:rFonts w:hAnsi="宋体"/>
                <w:color w:val="000000"/>
                <w:highlight w:val="none"/>
              </w:rPr>
            </w:pPr>
            <w:r>
              <w:rPr>
                <w:rFonts w:hAnsi="宋体"/>
                <w:color w:val="000000"/>
                <w:highlight w:val="none"/>
              </w:rPr>
              <w:t>响应文件上传和提交：本项目通过“广西政府采购云平台”（https://www.gcy.zfcg.gxzf.gov.cn/）实行在线响应（电子标），供应商应当在响应文件提交截止时间前，将生成的“电子加密响应文件”上传提交至“广西政府采购云平台”。</w:t>
            </w:r>
          </w:p>
          <w:p w14:paraId="7D3AA8D0">
            <w:pPr>
              <w:pStyle w:val="40"/>
              <w:spacing w:line="360" w:lineRule="auto"/>
              <w:rPr>
                <w:rFonts w:hAnsi="宋体"/>
                <w:color w:val="000000"/>
                <w:highlight w:val="none"/>
              </w:rPr>
            </w:pPr>
            <w:r>
              <w:rPr>
                <w:rFonts w:hAnsi="宋体"/>
                <w:color w:val="000000"/>
                <w:highlight w:val="none"/>
              </w:rPr>
              <w:t>2、响应文件提交截止时间：</w:t>
            </w:r>
            <w:r>
              <w:rPr>
                <w:rFonts w:hint="eastAsia" w:hAnsi="宋体"/>
                <w:color w:val="000000"/>
                <w:highlight w:val="none"/>
                <w:lang w:eastAsia="zh-CN"/>
              </w:rPr>
              <w:t>2025年05月19 日15：00</w:t>
            </w:r>
            <w:r>
              <w:rPr>
                <w:rFonts w:hAnsi="宋体"/>
                <w:color w:val="000000"/>
                <w:highlight w:val="none"/>
              </w:rPr>
              <w:t>（北京时间）</w:t>
            </w:r>
          </w:p>
          <w:p w14:paraId="63A40D60">
            <w:pPr>
              <w:pStyle w:val="40"/>
              <w:snapToGrid w:val="0"/>
              <w:spacing w:line="360" w:lineRule="auto"/>
              <w:rPr>
                <w:rFonts w:hAnsi="宋体"/>
                <w:color w:val="000000"/>
                <w:highlight w:val="none"/>
              </w:rPr>
            </w:pPr>
            <w:r>
              <w:rPr>
                <w:rFonts w:hAnsi="宋体"/>
                <w:color w:val="000000"/>
                <w:highlight w:val="none"/>
              </w:rPr>
              <w:t>3、响应文件提交地点（网址）：本项目通过“广西政府采购云平台”（https://www.gcy.zfcg.gxzf.gov.cn/）实行在线磋商响应（电子投标），供应商应当在上传响应文件截止时间前，将生成的“电子加密响应文件”上传提交至“广西政府采购云平台”。</w:t>
            </w:r>
          </w:p>
        </w:tc>
      </w:tr>
      <w:tr w14:paraId="2E04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A453A6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654" w:type="dxa"/>
            <w:vAlign w:val="center"/>
          </w:tcPr>
          <w:p w14:paraId="673110D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9</w:t>
            </w:r>
          </w:p>
        </w:tc>
        <w:tc>
          <w:tcPr>
            <w:tcW w:w="8194" w:type="dxa"/>
            <w:vAlign w:val="center"/>
          </w:tcPr>
          <w:p w14:paraId="20B801C1">
            <w:pPr>
              <w:snapToGrid w:val="0"/>
              <w:spacing w:line="360" w:lineRule="auto"/>
              <w:ind w:right="-107" w:rightChars="-51"/>
              <w:rPr>
                <w:rFonts w:hint="eastAsia" w:ascii="宋体" w:hAnsi="宋体"/>
                <w:color w:val="000000"/>
                <w:szCs w:val="21"/>
                <w:highlight w:val="none"/>
              </w:rPr>
            </w:pPr>
            <w:r>
              <w:rPr>
                <w:rFonts w:hint="eastAsia" w:ascii="宋体" w:hAnsi="宋体"/>
                <w:color w:val="000000"/>
                <w:szCs w:val="21"/>
                <w:highlight w:val="none"/>
              </w:rPr>
              <w:t>磋商时间：</w:t>
            </w:r>
            <w:r>
              <w:rPr>
                <w:rFonts w:hint="eastAsia" w:ascii="宋体" w:hAnsi="宋体"/>
                <w:color w:val="000000"/>
                <w:szCs w:val="21"/>
                <w:highlight w:val="none"/>
                <w:lang w:eastAsia="zh-CN"/>
              </w:rPr>
              <w:t>2025年05月19 日15：00</w:t>
            </w:r>
            <w:r>
              <w:rPr>
                <w:rFonts w:ascii="宋体" w:hAnsi="宋体"/>
                <w:color w:val="000000"/>
                <w:highlight w:val="none"/>
              </w:rPr>
              <w:t>（北京时间）</w:t>
            </w:r>
            <w:r>
              <w:rPr>
                <w:rFonts w:hint="eastAsia" w:ascii="宋体" w:hAnsi="宋体"/>
                <w:color w:val="000000"/>
                <w:kern w:val="0"/>
                <w:szCs w:val="21"/>
                <w:highlight w:val="none"/>
              </w:rPr>
              <w:t>截标</w:t>
            </w:r>
            <w:r>
              <w:rPr>
                <w:rFonts w:hint="eastAsia" w:ascii="宋体" w:hAnsi="宋体"/>
                <w:bCs/>
                <w:color w:val="000000"/>
                <w:szCs w:val="21"/>
                <w:highlight w:val="none"/>
              </w:rPr>
              <w:t>会结束</w:t>
            </w:r>
            <w:r>
              <w:rPr>
                <w:rFonts w:hint="eastAsia" w:ascii="宋体" w:hAnsi="宋体"/>
                <w:color w:val="000000"/>
                <w:kern w:val="0"/>
                <w:szCs w:val="21"/>
                <w:highlight w:val="none"/>
              </w:rPr>
              <w:t>后，具体时间供应商关注广西政府采购云平台在线</w:t>
            </w:r>
            <w:r>
              <w:rPr>
                <w:rFonts w:ascii="宋体" w:hAnsi="宋体"/>
                <w:color w:val="000000"/>
                <w:szCs w:val="21"/>
                <w:highlight w:val="none"/>
              </w:rPr>
              <w:t>电子询标。</w:t>
            </w:r>
          </w:p>
          <w:p w14:paraId="63DC6E75">
            <w:pPr>
              <w:snapToGrid w:val="0"/>
              <w:spacing w:line="360" w:lineRule="auto"/>
              <w:ind w:left="315" w:hanging="315" w:hangingChars="150"/>
              <w:rPr>
                <w:rFonts w:hint="eastAsia" w:ascii="宋体" w:hAnsi="宋体"/>
                <w:color w:val="000000"/>
                <w:szCs w:val="21"/>
                <w:highlight w:val="none"/>
              </w:rPr>
            </w:pPr>
            <w:r>
              <w:rPr>
                <w:rFonts w:hint="eastAsia" w:ascii="宋体" w:hAnsi="宋体"/>
                <w:color w:val="000000"/>
                <w:szCs w:val="21"/>
                <w:highlight w:val="none"/>
              </w:rPr>
              <w:t>磋商地点（网址）：</w:t>
            </w:r>
            <w:r>
              <w:rPr>
                <w:rFonts w:hint="eastAsia" w:ascii="宋体" w:hAnsi="宋体"/>
                <w:color w:val="000000"/>
                <w:highlight w:val="none"/>
              </w:rPr>
              <w:t>“广西政府采购云平台”（https://www.gcy.zfcg.gxzf.gov.cn/）</w:t>
            </w:r>
          </w:p>
          <w:p w14:paraId="1D0A142D">
            <w:pPr>
              <w:pStyle w:val="40"/>
              <w:snapToGrid w:val="0"/>
              <w:spacing w:line="360" w:lineRule="auto"/>
              <w:rPr>
                <w:rFonts w:hAnsi="宋体"/>
                <w:color w:val="000000"/>
                <w:highlight w:val="none"/>
              </w:rPr>
            </w:pPr>
            <w:r>
              <w:rPr>
                <w:rFonts w:hAnsi="宋体"/>
                <w:color w:val="000000"/>
                <w:highlight w:val="none"/>
              </w:rPr>
              <w:t>要求：</w:t>
            </w:r>
            <w:r>
              <w:rPr>
                <w:rFonts w:hAnsi="宋体"/>
                <w:color w:val="000000"/>
                <w:kern w:val="0"/>
                <w:highlight w:val="none"/>
              </w:rPr>
              <w:t>参加磋商的供应商必须派代表在线等候磋商，并关注开评标进度，</w:t>
            </w:r>
            <w:r>
              <w:rPr>
                <w:rFonts w:hAnsi="宋体"/>
                <w:bCs/>
                <w:color w:val="000000"/>
                <w:spacing w:val="-4"/>
                <w:highlight w:val="none"/>
              </w:rPr>
              <w:t>供应商在规定时间内不参加磋商的，视为供应商自动放弃磋商。</w:t>
            </w:r>
          </w:p>
        </w:tc>
      </w:tr>
      <w:tr w14:paraId="770B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2DE5EB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12</w:t>
            </w:r>
          </w:p>
        </w:tc>
        <w:tc>
          <w:tcPr>
            <w:tcW w:w="654" w:type="dxa"/>
            <w:vAlign w:val="center"/>
          </w:tcPr>
          <w:p w14:paraId="184B949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17</w:t>
            </w:r>
          </w:p>
        </w:tc>
        <w:tc>
          <w:tcPr>
            <w:tcW w:w="8194" w:type="dxa"/>
            <w:vAlign w:val="center"/>
          </w:tcPr>
          <w:p w14:paraId="6171A61B">
            <w:pPr>
              <w:pStyle w:val="33"/>
              <w:spacing w:after="0" w:line="360" w:lineRule="auto"/>
              <w:rPr>
                <w:rFonts w:ascii="宋体" w:hAnsi="宋体"/>
                <w:color w:val="000000"/>
                <w:highlight w:val="none"/>
              </w:rPr>
            </w:pPr>
            <w:r>
              <w:rPr>
                <w:rFonts w:ascii="宋体" w:hAnsi="宋体"/>
                <w:color w:val="000000"/>
                <w:highlight w:val="none"/>
              </w:rPr>
              <w:t>磋商供应商公章：</w:t>
            </w:r>
          </w:p>
          <w:p w14:paraId="2C04BAB3">
            <w:pPr>
              <w:pStyle w:val="33"/>
              <w:spacing w:after="0" w:line="360" w:lineRule="auto"/>
              <w:rPr>
                <w:rFonts w:hint="eastAsia" w:ascii="宋体" w:hAnsi="宋体"/>
                <w:color w:val="000000"/>
                <w:highlight w:val="none"/>
              </w:rPr>
            </w:pPr>
            <w:r>
              <w:rPr>
                <w:rFonts w:hint="eastAsia" w:ascii="宋体" w:hAnsi="宋体"/>
                <w:color w:val="000000"/>
                <w:highlight w:val="none"/>
              </w:rPr>
              <w:t>1.电子响应文件中须加盖供应商公章部分均采用CA电子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2D650985">
            <w:pPr>
              <w:pStyle w:val="33"/>
              <w:spacing w:after="0" w:line="360" w:lineRule="auto"/>
              <w:rPr>
                <w:rFonts w:hint="eastAsia" w:ascii="宋体" w:hAnsi="宋体"/>
                <w:color w:val="000000"/>
                <w:highlight w:val="none"/>
              </w:rPr>
            </w:pPr>
            <w:r>
              <w:rPr>
                <w:rFonts w:hint="eastAsia" w:ascii="宋体" w:hAnsi="宋体"/>
                <w:color w:val="000000"/>
                <w:highlight w:val="none"/>
              </w:rPr>
              <w:t>2.CA电子签章上未办理法人代表人（负责人）或授权代表签字信息，供应商在响应文件中涉及到签字的位置线下签好字然后扫描或者拍照做成PDF的格式亦可。响应文件中涉及到签字的位置未按要求签字的，提供的材料视为无效。</w:t>
            </w:r>
          </w:p>
          <w:p w14:paraId="74407468">
            <w:pPr>
              <w:pStyle w:val="33"/>
              <w:spacing w:after="0" w:line="360" w:lineRule="auto"/>
              <w:rPr>
                <w:rFonts w:hint="eastAsia" w:ascii="宋体" w:hAnsi="宋体"/>
                <w:color w:val="000000"/>
                <w:highlight w:val="none"/>
              </w:rPr>
            </w:pPr>
            <w:r>
              <w:rPr>
                <w:rFonts w:hint="eastAsia" w:ascii="宋体" w:hAnsi="宋体"/>
                <w:color w:val="000000"/>
                <w:highlight w:val="none"/>
              </w:rPr>
              <w:t>3.本竞争性磋商文件所称的“以上”“以下”“以内”“届满”，包括本数；所称的“不满”“超过”“以外”，不包括本数。</w:t>
            </w:r>
          </w:p>
        </w:tc>
      </w:tr>
      <w:tr w14:paraId="0E0A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0FAB9F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13</w:t>
            </w:r>
          </w:p>
        </w:tc>
        <w:tc>
          <w:tcPr>
            <w:tcW w:w="654" w:type="dxa"/>
            <w:vAlign w:val="center"/>
          </w:tcPr>
          <w:p w14:paraId="1440DAB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18.3</w:t>
            </w:r>
          </w:p>
        </w:tc>
        <w:tc>
          <w:tcPr>
            <w:tcW w:w="8194" w:type="dxa"/>
            <w:vAlign w:val="center"/>
          </w:tcPr>
          <w:p w14:paraId="0308D5C2">
            <w:pPr>
              <w:spacing w:line="360" w:lineRule="auto"/>
              <w:rPr>
                <w:rFonts w:hint="eastAsia" w:ascii="宋体" w:hAnsi="宋体"/>
                <w:color w:val="000000"/>
                <w:szCs w:val="21"/>
                <w:highlight w:val="none"/>
              </w:rPr>
            </w:pPr>
            <w:r>
              <w:rPr>
                <w:rFonts w:hint="eastAsia" w:ascii="宋体" w:hAnsi="宋体"/>
                <w:color w:val="000000"/>
                <w:szCs w:val="21"/>
                <w:highlight w:val="none"/>
              </w:rPr>
              <w:t>根据《财政部关于在政府采购活动中查询及使用信用记录有关问题的通知》（财库〔2016〕125号）、《关于做好政府采购有关信用主体标记码登记及在政府采购活动中查询使用信用记录有关问题的通知》（桂财采〔2016〕37号）规定</w:t>
            </w:r>
            <w:r>
              <w:rPr>
                <w:rFonts w:hint="eastAsia" w:ascii="宋体" w:hAnsi="宋体"/>
                <w:color w:val="000000"/>
                <w:highlight w:val="none"/>
              </w:rPr>
              <w:t>对供应商相关主体信用进行查询</w:t>
            </w:r>
            <w:r>
              <w:rPr>
                <w:rFonts w:hint="eastAsia" w:ascii="宋体" w:hAnsi="宋体"/>
                <w:color w:val="000000"/>
                <w:szCs w:val="21"/>
                <w:highlight w:val="none"/>
              </w:rPr>
              <w:t>。</w:t>
            </w:r>
          </w:p>
          <w:p w14:paraId="51BBF563">
            <w:pPr>
              <w:spacing w:line="360" w:lineRule="auto"/>
              <w:rPr>
                <w:rFonts w:hint="eastAsia" w:ascii="宋体" w:hAnsi="宋体"/>
                <w:color w:val="000000"/>
                <w:szCs w:val="21"/>
                <w:highlight w:val="none"/>
              </w:rPr>
            </w:pPr>
            <w:r>
              <w:rPr>
                <w:rFonts w:hint="eastAsia" w:ascii="宋体" w:hAnsi="宋体"/>
                <w:color w:val="000000"/>
                <w:szCs w:val="21"/>
                <w:highlight w:val="none"/>
              </w:rPr>
              <w:t>（1）查询渠道：</w:t>
            </w:r>
          </w:p>
          <w:p w14:paraId="22DD34EC">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①中国政府采购网 “</w:t>
            </w:r>
            <w:r>
              <w:rPr>
                <w:rFonts w:hint="eastAsia" w:ascii="宋体" w:hAnsi="宋体"/>
                <w:color w:val="000000"/>
                <w:szCs w:val="21"/>
                <w:highlight w:val="none"/>
              </w:rPr>
              <w:t>政府采购严重违法失信行为记录名单</w:t>
            </w:r>
            <w:r>
              <w:rPr>
                <w:rFonts w:hint="eastAsia" w:ascii="宋体" w:hAnsi="宋体"/>
                <w:color w:val="000000"/>
                <w:szCs w:val="21"/>
                <w:highlight w:val="none"/>
                <w:lang w:val="hr-HR"/>
              </w:rPr>
              <w:t>”</w:t>
            </w:r>
          </w:p>
          <w:p w14:paraId="0D769375">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②“信用中国”网站 “重大税收违法失信主体”、“政府采购严重违法失信行为记录名单”</w:t>
            </w:r>
          </w:p>
          <w:p w14:paraId="772B4B2B">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③中国执行信息公开网 “失信被执行人”</w:t>
            </w:r>
          </w:p>
          <w:p w14:paraId="01B2FC18">
            <w:pPr>
              <w:spacing w:line="360" w:lineRule="auto"/>
              <w:rPr>
                <w:rFonts w:hint="eastAsia" w:ascii="宋体" w:hAnsi="宋体"/>
                <w:color w:val="000000"/>
                <w:szCs w:val="21"/>
                <w:highlight w:val="none"/>
              </w:rPr>
            </w:pPr>
            <w:r>
              <w:rPr>
                <w:rFonts w:hint="eastAsia" w:ascii="宋体" w:hAnsi="宋体"/>
                <w:color w:val="000000"/>
                <w:szCs w:val="21"/>
                <w:highlight w:val="none"/>
              </w:rPr>
              <w:t>（2）查询截止时点：本项目响应文件提交截止时间后</w:t>
            </w:r>
          </w:p>
          <w:p w14:paraId="4FCE227C">
            <w:pPr>
              <w:spacing w:line="360" w:lineRule="auto"/>
              <w:rPr>
                <w:rFonts w:hint="eastAsia" w:ascii="宋体" w:hAnsi="宋体"/>
                <w:color w:val="000000"/>
                <w:szCs w:val="21"/>
                <w:highlight w:val="none"/>
              </w:rPr>
            </w:pPr>
            <w:r>
              <w:rPr>
                <w:rFonts w:hint="eastAsia" w:ascii="宋体" w:hAnsi="宋体"/>
                <w:color w:val="000000"/>
                <w:szCs w:val="21"/>
                <w:highlight w:val="none"/>
              </w:rPr>
              <w:t>（3）查询记录和证据留存方式：由磋商小组成员在广西政府采购云平台系统上自行查询</w:t>
            </w:r>
          </w:p>
          <w:p w14:paraId="0EAF1167">
            <w:pPr>
              <w:snapToGrid w:val="0"/>
              <w:spacing w:line="360" w:lineRule="auto"/>
              <w:ind w:left="-63" w:leftChars="-30" w:firstLine="105" w:firstLineChars="50"/>
              <w:rPr>
                <w:rFonts w:hint="eastAsia" w:ascii="宋体" w:hAnsi="宋体"/>
                <w:color w:val="000000"/>
                <w:szCs w:val="21"/>
                <w:highlight w:val="none"/>
              </w:rPr>
            </w:pPr>
            <w:r>
              <w:rPr>
                <w:rFonts w:hint="eastAsia" w:ascii="宋体" w:hAnsi="宋体"/>
                <w:color w:val="000000"/>
                <w:szCs w:val="21"/>
                <w:highlight w:val="none"/>
              </w:rPr>
              <w:t>（4）信用信息使用规则：供应商被列入以上名单之一的，视为供应商资格审查不通过。</w:t>
            </w:r>
          </w:p>
        </w:tc>
      </w:tr>
      <w:tr w14:paraId="1BC5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D3018F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w:t>
            </w:r>
          </w:p>
        </w:tc>
        <w:tc>
          <w:tcPr>
            <w:tcW w:w="654" w:type="dxa"/>
            <w:vAlign w:val="center"/>
          </w:tcPr>
          <w:p w14:paraId="6C6ED11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19.7</w:t>
            </w:r>
          </w:p>
        </w:tc>
        <w:tc>
          <w:tcPr>
            <w:tcW w:w="8194" w:type="dxa"/>
            <w:vAlign w:val="center"/>
          </w:tcPr>
          <w:p w14:paraId="0241037B">
            <w:pPr>
              <w:pStyle w:val="40"/>
              <w:snapToGrid w:val="0"/>
              <w:spacing w:line="360" w:lineRule="auto"/>
              <w:ind w:left="1037" w:hanging="1037" w:hangingChars="494"/>
              <w:rPr>
                <w:rFonts w:hAnsi="宋体"/>
                <w:color w:val="000000"/>
                <w:highlight w:val="none"/>
              </w:rPr>
            </w:pPr>
            <w:r>
              <w:rPr>
                <w:rFonts w:hAnsi="宋体"/>
                <w:color w:val="000000"/>
                <w:highlight w:val="none"/>
              </w:rPr>
              <w:t>评标办法：综合评分法（详见第五章）</w:t>
            </w:r>
          </w:p>
        </w:tc>
      </w:tr>
      <w:tr w14:paraId="5419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6" w:type="dxa"/>
            <w:vAlign w:val="center"/>
          </w:tcPr>
          <w:p w14:paraId="5235673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15</w:t>
            </w:r>
          </w:p>
        </w:tc>
        <w:tc>
          <w:tcPr>
            <w:tcW w:w="654" w:type="dxa"/>
            <w:vAlign w:val="center"/>
          </w:tcPr>
          <w:p w14:paraId="2EFC73DD">
            <w:pPr>
              <w:pStyle w:val="40"/>
              <w:snapToGrid w:val="0"/>
              <w:spacing w:line="360" w:lineRule="auto"/>
              <w:ind w:left="1037" w:hanging="1037" w:hangingChars="494"/>
              <w:jc w:val="center"/>
              <w:rPr>
                <w:rFonts w:hAnsi="宋体"/>
                <w:color w:val="000000"/>
                <w:highlight w:val="none"/>
              </w:rPr>
            </w:pPr>
            <w:r>
              <w:rPr>
                <w:rFonts w:hAnsi="宋体"/>
                <w:color w:val="000000"/>
                <w:highlight w:val="none"/>
              </w:rPr>
              <w:t>25</w:t>
            </w:r>
          </w:p>
        </w:tc>
        <w:tc>
          <w:tcPr>
            <w:tcW w:w="8194" w:type="dxa"/>
            <w:vAlign w:val="center"/>
          </w:tcPr>
          <w:p w14:paraId="0ACA5FBC">
            <w:pPr>
              <w:spacing w:line="360" w:lineRule="auto"/>
              <w:rPr>
                <w:rFonts w:ascii="宋体" w:hAnsi="宋体"/>
                <w:b/>
                <w:bCs/>
                <w:color w:val="000000"/>
                <w:highlight w:val="none"/>
              </w:rPr>
            </w:pPr>
            <w:r>
              <w:rPr>
                <w:rFonts w:ascii="宋体" w:hAnsi="宋体"/>
                <w:b/>
                <w:bCs/>
                <w:color w:val="000000"/>
                <w:highlight w:val="none"/>
              </w:rPr>
              <w:t>履约保证金：本项目无需提交</w:t>
            </w:r>
          </w:p>
        </w:tc>
      </w:tr>
      <w:tr w14:paraId="788D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777C7C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16</w:t>
            </w:r>
          </w:p>
        </w:tc>
        <w:tc>
          <w:tcPr>
            <w:tcW w:w="654" w:type="dxa"/>
            <w:vAlign w:val="center"/>
          </w:tcPr>
          <w:p w14:paraId="6568D65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26</w:t>
            </w:r>
          </w:p>
        </w:tc>
        <w:tc>
          <w:tcPr>
            <w:tcW w:w="8194" w:type="dxa"/>
            <w:vAlign w:val="center"/>
          </w:tcPr>
          <w:p w14:paraId="7A912B2A">
            <w:pPr>
              <w:pStyle w:val="132"/>
              <w:snapToGrid w:val="0"/>
              <w:spacing w:line="360" w:lineRule="auto"/>
              <w:rPr>
                <w:rFonts w:hint="eastAsia" w:hAnsi="宋体"/>
                <w:color w:val="000000"/>
                <w:szCs w:val="21"/>
                <w:highlight w:val="none"/>
              </w:rPr>
            </w:pPr>
            <w:r>
              <w:rPr>
                <w:rFonts w:hint="eastAsia" w:hAnsi="宋体"/>
                <w:color w:val="000000"/>
                <w:szCs w:val="21"/>
                <w:highlight w:val="none"/>
              </w:rPr>
              <w:t>签订合同：自成交通知书发出之日起15日内凭成交通知书与采购人签订施工承包合同协议书，延期自误（施工承包合同协议书必须与本磋商文件中的合同书格式(包括内容和结构)相一致，不能改变主要条款。</w:t>
            </w:r>
          </w:p>
        </w:tc>
      </w:tr>
      <w:tr w14:paraId="278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6A6519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17</w:t>
            </w:r>
          </w:p>
        </w:tc>
        <w:tc>
          <w:tcPr>
            <w:tcW w:w="654" w:type="dxa"/>
            <w:vAlign w:val="center"/>
          </w:tcPr>
          <w:p w14:paraId="536328E5">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27</w:t>
            </w:r>
          </w:p>
        </w:tc>
        <w:tc>
          <w:tcPr>
            <w:tcW w:w="8194" w:type="dxa"/>
            <w:vAlign w:val="center"/>
          </w:tcPr>
          <w:p w14:paraId="3E643AB9">
            <w:pPr>
              <w:pStyle w:val="40"/>
              <w:snapToGrid w:val="0"/>
              <w:spacing w:line="360" w:lineRule="auto"/>
              <w:rPr>
                <w:rFonts w:hint="eastAsia" w:hAnsi="宋体"/>
                <w:color w:val="000000"/>
                <w:sz w:val="21"/>
                <w:highlight w:val="none"/>
              </w:rPr>
            </w:pPr>
            <w:r>
              <w:rPr>
                <w:rFonts w:hint="eastAsia" w:hAnsi="宋体"/>
                <w:color w:val="000000"/>
                <w:sz w:val="21"/>
                <w:highlight w:val="none"/>
              </w:rPr>
              <w:t>1.采购代理费支付方式：</w:t>
            </w:r>
          </w:p>
          <w:p w14:paraId="0039F04F">
            <w:pPr>
              <w:pStyle w:val="40"/>
              <w:snapToGrid w:val="0"/>
              <w:spacing w:line="360" w:lineRule="auto"/>
              <w:rPr>
                <w:rFonts w:hint="eastAsia" w:hAnsi="宋体"/>
                <w:color w:val="000000"/>
                <w:sz w:val="21"/>
                <w:highlight w:val="none"/>
              </w:rPr>
            </w:pPr>
            <w:r>
              <w:rPr>
                <w:rFonts w:hint="eastAsia" w:hAnsi="宋体"/>
                <w:color w:val="000000"/>
                <w:sz w:val="21"/>
                <w:highlight w:val="none"/>
              </w:rPr>
              <w:sym w:font="Wingdings" w:char="F0FE"/>
            </w:r>
            <w:r>
              <w:rPr>
                <w:rFonts w:hint="eastAsia" w:hAnsi="宋体"/>
                <w:color w:val="000000"/>
                <w:sz w:val="21"/>
                <w:highlight w:val="none"/>
              </w:rPr>
              <w:t>本项目代理服务费按如下规定由</w:t>
            </w:r>
            <w:r>
              <w:rPr>
                <w:rFonts w:hint="eastAsia" w:hAnsi="宋体"/>
                <w:color w:val="000000"/>
                <w:sz w:val="21"/>
                <w:highlight w:val="none"/>
                <w:u w:val="single"/>
                <w:lang w:eastAsia="zh-CN"/>
              </w:rPr>
              <w:t>成交人</w:t>
            </w:r>
            <w:r>
              <w:rPr>
                <w:rFonts w:hint="eastAsia" w:hAnsi="宋体"/>
                <w:color w:val="000000"/>
                <w:sz w:val="21"/>
                <w:highlight w:val="none"/>
              </w:rPr>
              <w:t>在领取成交通知书前，一次性向采购代理机构支付。</w:t>
            </w:r>
          </w:p>
          <w:p w14:paraId="6BC3A634">
            <w:pPr>
              <w:pStyle w:val="40"/>
              <w:snapToGrid w:val="0"/>
              <w:spacing w:line="360" w:lineRule="auto"/>
              <w:rPr>
                <w:rFonts w:hint="eastAsia" w:hAnsi="宋体"/>
                <w:color w:val="000000"/>
                <w:sz w:val="21"/>
                <w:highlight w:val="none"/>
              </w:rPr>
            </w:pPr>
            <w:r>
              <w:rPr>
                <w:rFonts w:hint="eastAsia" w:hAnsi="宋体"/>
                <w:color w:val="000000"/>
                <w:sz w:val="21"/>
                <w:highlight w:val="none"/>
              </w:rPr>
              <w:t>□采购人支付。</w:t>
            </w:r>
          </w:p>
          <w:p w14:paraId="2042BD33">
            <w:pPr>
              <w:pStyle w:val="40"/>
              <w:snapToGrid w:val="0"/>
              <w:spacing w:line="360" w:lineRule="auto"/>
              <w:rPr>
                <w:rFonts w:hint="eastAsia" w:hAnsi="宋体"/>
                <w:color w:val="000000"/>
                <w:sz w:val="21"/>
                <w:highlight w:val="none"/>
              </w:rPr>
            </w:pPr>
            <w:r>
              <w:rPr>
                <w:rFonts w:hint="eastAsia" w:hAnsi="宋体"/>
                <w:color w:val="000000"/>
                <w:sz w:val="21"/>
                <w:highlight w:val="none"/>
              </w:rPr>
              <w:t>2.采购代理费收取标准：</w:t>
            </w:r>
          </w:p>
          <w:p w14:paraId="4106EA25">
            <w:pPr>
              <w:pStyle w:val="40"/>
              <w:snapToGrid w:val="0"/>
              <w:spacing w:line="360" w:lineRule="auto"/>
              <w:rPr>
                <w:rFonts w:hint="eastAsia" w:hAnsi="宋体"/>
                <w:color w:val="000000"/>
                <w:sz w:val="21"/>
                <w:highlight w:val="none"/>
              </w:rPr>
            </w:pPr>
            <w:r>
              <w:rPr>
                <w:rFonts w:hint="eastAsia" w:hAnsi="宋体"/>
                <w:color w:val="000000"/>
                <w:sz w:val="21"/>
                <w:highlight w:val="none"/>
              </w:rPr>
              <w:sym w:font="Wingdings" w:char="F0FE"/>
            </w:r>
            <w:r>
              <w:rPr>
                <w:rFonts w:hint="eastAsia" w:hAnsi="宋体"/>
                <w:color w:val="000000"/>
                <w:sz w:val="21"/>
                <w:highlight w:val="none"/>
              </w:rPr>
              <w:t>以成交折扣率乘以预算金额为计费额，按本须知正文第</w:t>
            </w:r>
            <w:r>
              <w:rPr>
                <w:rFonts w:hint="eastAsia" w:hAnsi="宋体"/>
                <w:color w:val="000000"/>
                <w:sz w:val="21"/>
                <w:highlight w:val="none"/>
                <w:lang w:val="en-US" w:eastAsia="zh-CN"/>
              </w:rPr>
              <w:t>27</w:t>
            </w:r>
            <w:r>
              <w:rPr>
                <w:rFonts w:hAnsi="宋体"/>
                <w:color w:val="000000"/>
                <w:sz w:val="21"/>
                <w:highlight w:val="none"/>
              </w:rPr>
              <w:t>.1</w:t>
            </w:r>
            <w:r>
              <w:rPr>
                <w:rFonts w:hint="eastAsia" w:hAnsi="宋体"/>
                <w:color w:val="000000"/>
                <w:sz w:val="21"/>
                <w:highlight w:val="none"/>
              </w:rPr>
              <w:t>条规定的</w:t>
            </w:r>
            <w:r>
              <w:rPr>
                <w:rFonts w:hint="eastAsia" w:hAnsi="宋体"/>
                <w:color w:val="000000"/>
                <w:sz w:val="21"/>
                <w:highlight w:val="none"/>
                <w:lang w:val="en-US" w:eastAsia="zh-CN"/>
              </w:rPr>
              <w:t>工程</w:t>
            </w:r>
            <w:r>
              <w:rPr>
                <w:rFonts w:hint="eastAsia" w:hAnsi="宋体"/>
                <w:color w:val="000000"/>
                <w:sz w:val="21"/>
                <w:highlight w:val="none"/>
              </w:rPr>
              <w:t>类标准采用差额定率累进法计算出收费基准价格，采购代理收费以收费基准价格收取。</w:t>
            </w:r>
          </w:p>
          <w:p w14:paraId="7EC282BB">
            <w:pPr>
              <w:pStyle w:val="40"/>
              <w:snapToGrid w:val="0"/>
              <w:spacing w:line="360" w:lineRule="auto"/>
              <w:rPr>
                <w:rFonts w:hint="eastAsia" w:hAnsi="宋体"/>
                <w:color w:val="000000"/>
                <w:sz w:val="21"/>
                <w:highlight w:val="none"/>
              </w:rPr>
            </w:pPr>
            <w:r>
              <w:rPr>
                <w:rFonts w:hint="eastAsia" w:hAnsi="宋体"/>
                <w:color w:val="000000"/>
                <w:sz w:val="21"/>
                <w:highlight w:val="none"/>
              </w:rPr>
              <w:sym w:font="Wingdings" w:char="F0A8"/>
            </w:r>
            <w:r>
              <w:rPr>
                <w:rFonts w:hint="eastAsia" w:hAnsi="宋体"/>
                <w:color w:val="000000"/>
                <w:sz w:val="21"/>
                <w:highlight w:val="none"/>
              </w:rPr>
              <w:t>固定采购代理收费</w:t>
            </w:r>
            <w:r>
              <w:rPr>
                <w:rFonts w:hint="eastAsia" w:hAnsi="宋体"/>
                <w:color w:val="000000"/>
                <w:sz w:val="21"/>
                <w:highlight w:val="none"/>
                <w:u w:val="single"/>
              </w:rPr>
              <w:t xml:space="preserve">                   </w:t>
            </w:r>
          </w:p>
          <w:p w14:paraId="0EE2ECC6">
            <w:pPr>
              <w:pStyle w:val="40"/>
              <w:snapToGrid w:val="0"/>
              <w:spacing w:line="360" w:lineRule="auto"/>
              <w:rPr>
                <w:rFonts w:hint="eastAsia" w:hAnsi="宋体"/>
                <w:color w:val="000000"/>
                <w:sz w:val="21"/>
                <w:highlight w:val="none"/>
              </w:rPr>
            </w:pPr>
            <w:r>
              <w:rPr>
                <w:rFonts w:hint="eastAsia" w:hAnsi="宋体"/>
                <w:color w:val="000000"/>
                <w:sz w:val="21"/>
                <w:highlight w:val="none"/>
              </w:rPr>
              <w:t>3.采购代理费收取银行账户</w:t>
            </w:r>
          </w:p>
          <w:p w14:paraId="0FBBB53A">
            <w:pPr>
              <w:pStyle w:val="40"/>
              <w:spacing w:line="360" w:lineRule="auto"/>
              <w:ind w:firstLine="420" w:firstLineChars="200"/>
              <w:rPr>
                <w:rFonts w:hAnsi="宋体"/>
                <w:color w:val="000000"/>
                <w:highlight w:val="none"/>
              </w:rPr>
            </w:pPr>
            <w:r>
              <w:rPr>
                <w:rFonts w:hAnsi="宋体"/>
                <w:color w:val="000000"/>
                <w:highlight w:val="none"/>
              </w:rPr>
              <w:t>开户名称：</w:t>
            </w:r>
            <w:r>
              <w:rPr>
                <w:rFonts w:hint="eastAsia" w:hAnsi="宋体"/>
                <w:color w:val="000000"/>
                <w:highlight w:val="none"/>
                <w:lang w:eastAsia="zh-CN"/>
              </w:rPr>
              <w:t>广西东裕工程管理有限公司</w:t>
            </w:r>
            <w:r>
              <w:rPr>
                <w:rFonts w:hint="eastAsia" w:hAnsi="宋体"/>
                <w:color w:val="000000"/>
                <w:highlight w:val="none"/>
              </w:rPr>
              <w:t>梧州分公司</w:t>
            </w:r>
          </w:p>
          <w:p w14:paraId="3162702C">
            <w:pPr>
              <w:pStyle w:val="40"/>
              <w:spacing w:line="360" w:lineRule="auto"/>
              <w:ind w:firstLine="420" w:firstLineChars="200"/>
              <w:rPr>
                <w:rFonts w:hAnsi="宋体"/>
                <w:color w:val="000000"/>
                <w:highlight w:val="none"/>
              </w:rPr>
            </w:pPr>
            <w:r>
              <w:rPr>
                <w:rFonts w:hAnsi="宋体"/>
                <w:color w:val="000000"/>
                <w:highlight w:val="none"/>
              </w:rPr>
              <w:t>开户银行：</w:t>
            </w:r>
            <w:r>
              <w:rPr>
                <w:rFonts w:hint="eastAsia" w:hAnsi="宋体"/>
                <w:color w:val="000000"/>
                <w:highlight w:val="none"/>
                <w:lang w:eastAsia="zh-CN"/>
              </w:rPr>
              <w:t>桂林银行股份有限公司梧州灏景支行</w:t>
            </w:r>
          </w:p>
          <w:p w14:paraId="31614869">
            <w:pPr>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660000021587800019</w:t>
            </w:r>
          </w:p>
        </w:tc>
      </w:tr>
      <w:tr w14:paraId="1FA0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35F7ECF">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18</w:t>
            </w:r>
          </w:p>
        </w:tc>
        <w:tc>
          <w:tcPr>
            <w:tcW w:w="654" w:type="dxa"/>
            <w:vAlign w:val="center"/>
          </w:tcPr>
          <w:p w14:paraId="7604394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5755165A">
            <w:pPr>
              <w:snapToGrid w:val="0"/>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根据项目的性质相应落实政府采购政策：</w:t>
            </w:r>
          </w:p>
          <w:p w14:paraId="08717558">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1、《财政部、司法部关于政府采购支持监狱企业发展有关问题的通知》（财库〔2014〕68号）</w:t>
            </w:r>
          </w:p>
          <w:p w14:paraId="687AF111">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2、《财政部、民政部、中国残疾人联合会三部门联合发布关于促进残疾人就业政府采购政策的通知》（财库〔2017〕141号）</w:t>
            </w:r>
          </w:p>
          <w:p w14:paraId="1F849027">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3、《节能产品政府采购实施意见》（财库〔2004〕185号）</w:t>
            </w:r>
          </w:p>
          <w:p w14:paraId="1B7D08A5">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4、《环保总局关于环境标志产品政府采购实施的意见》（财库〔2006〕90号）</w:t>
            </w:r>
          </w:p>
          <w:p w14:paraId="22E6CADE">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5、财政部 发展改革委 生态环境部 市场监管总局 关于调整优化节能产品、环境标志产品政府采购执行机制的通知（财库〔2019〕9号）</w:t>
            </w:r>
          </w:p>
          <w:p w14:paraId="1C78D7FE">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6、关于印发环境标志产品政府采购品目清单的通知（财库〔2019〕18号）环境标志产品政府采购品目清单</w:t>
            </w:r>
          </w:p>
          <w:p w14:paraId="63ECE315">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7、关于印发节能产品政府采购品目清单的通知（财库〔2019〕19号）节能产品政府采购品目清单</w:t>
            </w:r>
          </w:p>
          <w:p w14:paraId="539CEEED">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8、市场监管总局关于发布参与实施政府采购节能产品、环境标志产品认证机构名录的公告（2019年第16号）</w:t>
            </w:r>
          </w:p>
          <w:p w14:paraId="6A2F8F9E">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9、</w:t>
            </w:r>
            <w:r>
              <w:rPr>
                <w:rFonts w:ascii="宋体" w:hAnsi="宋体"/>
                <w:color w:val="000000"/>
                <w:szCs w:val="21"/>
                <w:highlight w:val="none"/>
              </w:rPr>
              <w:t>关于中小企业的相关规定依据《中华人民共和国中小企业促进法》、《政府采购促进中小企业发展管理办法》</w:t>
            </w:r>
            <w:r>
              <w:rPr>
                <w:rFonts w:ascii="宋体" w:hAnsi="宋体"/>
                <w:color w:val="000000"/>
                <w:spacing w:val="-6"/>
                <w:szCs w:val="21"/>
                <w:highlight w:val="none"/>
              </w:rPr>
              <w:t>（财库〔2020〕46号）、《关于印发中小企业划型标准规定的通知》（工信部联企业〔2011〕300号）</w:t>
            </w:r>
            <w:r>
              <w:rPr>
                <w:rFonts w:hint="eastAsia" w:ascii="宋体" w:hAnsi="宋体"/>
                <w:color w:val="000000"/>
                <w:spacing w:val="-6"/>
                <w:szCs w:val="21"/>
                <w:highlight w:val="none"/>
              </w:rPr>
              <w:t>等</w:t>
            </w:r>
            <w:r>
              <w:rPr>
                <w:rFonts w:ascii="宋体" w:hAnsi="宋体"/>
                <w:color w:val="000000"/>
                <w:spacing w:val="-6"/>
                <w:szCs w:val="21"/>
                <w:highlight w:val="none"/>
              </w:rPr>
              <w:t>。</w:t>
            </w:r>
          </w:p>
        </w:tc>
      </w:tr>
      <w:tr w14:paraId="683C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7D7EF1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19</w:t>
            </w:r>
          </w:p>
        </w:tc>
        <w:tc>
          <w:tcPr>
            <w:tcW w:w="654" w:type="dxa"/>
            <w:vAlign w:val="center"/>
          </w:tcPr>
          <w:p w14:paraId="7D6E7C96">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1D592414">
            <w:pPr>
              <w:spacing w:line="360" w:lineRule="auto"/>
              <w:rPr>
                <w:rFonts w:hint="eastAsia" w:ascii="宋体" w:hAnsi="宋体"/>
                <w:color w:val="000000"/>
                <w:szCs w:val="21"/>
                <w:highlight w:val="none"/>
              </w:rPr>
            </w:pPr>
            <w:r>
              <w:rPr>
                <w:rFonts w:hint="eastAsia" w:ascii="宋体" w:hAnsi="宋体"/>
                <w:color w:val="000000"/>
                <w:szCs w:val="21"/>
                <w:highlight w:val="none"/>
              </w:rPr>
              <w:t>计税法：</w:t>
            </w:r>
            <w:r>
              <w:rPr>
                <w:rFonts w:ascii="Segoe UI Symbol" w:hAnsi="Segoe UI Symbol"/>
                <w:color w:val="000000"/>
                <w:szCs w:val="21"/>
                <w:highlight w:val="none"/>
              </w:rPr>
              <w:t xml:space="preserve"> ☑</w:t>
            </w:r>
            <w:r>
              <w:rPr>
                <w:rFonts w:hint="eastAsia" w:ascii="宋体" w:hAnsi="宋体"/>
                <w:color w:val="000000"/>
                <w:szCs w:val="21"/>
                <w:highlight w:val="none"/>
              </w:rPr>
              <w:t>一般计税法  □简易计税法</w:t>
            </w:r>
          </w:p>
          <w:p w14:paraId="02A0F2C0">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备注：按照《关于全面推开营业税改征增值税试点的通知》（财税〔2016〕36号）、《关于落实政府补助类建设工程项目增值税相关政策的通知》（桂国税发〔2016〕147号）、《关于建筑服务等营改增试点政策的通知》（财税〔2017〕58号）】</w:t>
            </w:r>
          </w:p>
        </w:tc>
      </w:tr>
      <w:tr w14:paraId="36E0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263750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20</w:t>
            </w:r>
          </w:p>
        </w:tc>
        <w:tc>
          <w:tcPr>
            <w:tcW w:w="654" w:type="dxa"/>
            <w:vAlign w:val="center"/>
          </w:tcPr>
          <w:p w14:paraId="562E8BA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3AEF7E39">
            <w:pPr>
              <w:pStyle w:val="31"/>
              <w:snapToGrid w:val="0"/>
              <w:spacing w:line="360" w:lineRule="auto"/>
              <w:rPr>
                <w:rFonts w:hint="eastAsia" w:ascii="宋体" w:hAnsi="宋体"/>
                <w:b/>
                <w:bCs/>
                <w:color w:val="000000"/>
                <w:szCs w:val="21"/>
                <w:highlight w:val="none"/>
              </w:rPr>
            </w:pPr>
            <w:r>
              <w:rPr>
                <w:rFonts w:hint="eastAsia" w:ascii="宋体" w:hAnsi="宋体"/>
                <w:b/>
                <w:bCs/>
                <w:color w:val="000000"/>
                <w:szCs w:val="21"/>
                <w:highlight w:val="none"/>
              </w:rPr>
              <w:t>施工承包合同协议书审核：</w:t>
            </w:r>
          </w:p>
          <w:p w14:paraId="0E9E7CF6">
            <w:pPr>
              <w:pStyle w:val="132"/>
              <w:snapToGrid w:val="0"/>
              <w:spacing w:line="360" w:lineRule="auto"/>
              <w:rPr>
                <w:rFonts w:hint="eastAsia" w:hAnsi="宋体"/>
                <w:color w:val="000000"/>
                <w:szCs w:val="21"/>
                <w:highlight w:val="none"/>
              </w:rPr>
            </w:pPr>
            <w:r>
              <w:rPr>
                <w:rFonts w:hint="eastAsia" w:hAnsi="宋体"/>
                <w:color w:val="000000"/>
                <w:szCs w:val="21"/>
                <w:highlight w:val="none"/>
              </w:rPr>
              <w:t xml:space="preserve">  施工承包合同协议书自签订之日起2个工作日内，成交供应商必须将施工承包合同协议书送本采购代理机构。</w:t>
            </w:r>
          </w:p>
        </w:tc>
      </w:tr>
      <w:tr w14:paraId="5B7D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30A5D226">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21</w:t>
            </w:r>
          </w:p>
        </w:tc>
        <w:tc>
          <w:tcPr>
            <w:tcW w:w="654" w:type="dxa"/>
            <w:vAlign w:val="center"/>
          </w:tcPr>
          <w:p w14:paraId="34F084B2">
            <w:pPr>
              <w:snapToGrid w:val="0"/>
              <w:spacing w:line="360" w:lineRule="auto"/>
              <w:jc w:val="center"/>
              <w:rPr>
                <w:rFonts w:hint="eastAsia" w:ascii="宋体" w:hAnsi="宋体"/>
                <w:color w:val="000000"/>
                <w:highlight w:val="none"/>
              </w:rPr>
            </w:pPr>
            <w:r>
              <w:rPr>
                <w:rFonts w:hint="eastAsia" w:ascii="宋体" w:hAnsi="宋体"/>
                <w:color w:val="000000"/>
                <w:highlight w:val="none"/>
              </w:rPr>
              <w:t>30.2</w:t>
            </w:r>
          </w:p>
        </w:tc>
        <w:tc>
          <w:tcPr>
            <w:tcW w:w="8194" w:type="dxa"/>
            <w:vAlign w:val="center"/>
          </w:tcPr>
          <w:p w14:paraId="400D5B60">
            <w:pPr>
              <w:autoSpaceDE w:val="0"/>
              <w:autoSpaceDN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踏勘现场：不组织，由供应商自行踏勘。</w:t>
            </w:r>
            <w:r>
              <w:rPr>
                <w:rFonts w:hint="eastAsia" w:ascii="宋体" w:hAnsi="宋体"/>
                <w:color w:val="000000"/>
                <w:kern w:val="0"/>
                <w:szCs w:val="21"/>
                <w:highlight w:val="none"/>
              </w:rPr>
              <w:t>供应商踏勘现场发生的费用自理。</w:t>
            </w:r>
          </w:p>
          <w:p w14:paraId="68749879">
            <w:pPr>
              <w:autoSpaceDE w:val="0"/>
              <w:autoSpaceDN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rPr>
              <w:t>除采购人的原因外，供应商自行负责在踏勘现场中所发生的人员伤亡和财产损失。</w:t>
            </w:r>
          </w:p>
          <w:p w14:paraId="3A5ECAC8">
            <w:pPr>
              <w:autoSpaceDE w:val="0"/>
              <w:autoSpaceDN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rPr>
              <w:t>采购人在踏勘现场中介绍的工程场地和相关的周边环境情况，供供应商在编制响应文件时参考，采购人不对供应商据此作出的判断和决策负责。</w:t>
            </w:r>
          </w:p>
        </w:tc>
      </w:tr>
      <w:tr w14:paraId="5E98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36" w:type="dxa"/>
            <w:vAlign w:val="center"/>
          </w:tcPr>
          <w:p w14:paraId="27FB902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22</w:t>
            </w:r>
          </w:p>
        </w:tc>
        <w:tc>
          <w:tcPr>
            <w:tcW w:w="654" w:type="dxa"/>
            <w:vAlign w:val="center"/>
          </w:tcPr>
          <w:p w14:paraId="7025AF4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09E08306">
            <w:pPr>
              <w:pStyle w:val="101"/>
              <w:ind w:firstLine="0"/>
              <w:rPr>
                <w:rFonts w:hint="eastAsia"/>
                <w:bCs/>
                <w:color w:val="000000"/>
                <w:sz w:val="21"/>
                <w:szCs w:val="21"/>
                <w:highlight w:val="none"/>
              </w:rPr>
            </w:pPr>
            <w:r>
              <w:rPr>
                <w:rFonts w:hint="eastAsia"/>
                <w:bCs/>
                <w:color w:val="000000"/>
                <w:sz w:val="21"/>
                <w:szCs w:val="21"/>
                <w:highlight w:val="none"/>
              </w:rPr>
              <w:t>编制依据：</w:t>
            </w:r>
          </w:p>
          <w:p w14:paraId="3B3E007A">
            <w:pPr>
              <w:pStyle w:val="101"/>
              <w:ind w:firstLine="0"/>
              <w:rPr>
                <w:rFonts w:hint="eastAsia"/>
                <w:bCs/>
                <w:color w:val="000000"/>
                <w:sz w:val="21"/>
                <w:szCs w:val="21"/>
                <w:highlight w:val="none"/>
              </w:rPr>
            </w:pPr>
            <w:r>
              <w:rPr>
                <w:rFonts w:hint="eastAsia"/>
                <w:bCs/>
                <w:color w:val="000000"/>
                <w:sz w:val="21"/>
                <w:szCs w:val="21"/>
                <w:highlight w:val="none"/>
              </w:rPr>
              <w:t>(1)</w:t>
            </w:r>
            <w:r>
              <w:rPr>
                <w:rFonts w:hint="eastAsia"/>
                <w:bCs/>
                <w:color w:val="000000"/>
                <w:sz w:val="21"/>
                <w:szCs w:val="21"/>
                <w:highlight w:val="none"/>
                <w:lang w:eastAsia="zh-CN"/>
              </w:rPr>
              <w:t>长洲区泗洲村人居环境整治项目</w:t>
            </w:r>
            <w:r>
              <w:rPr>
                <w:rFonts w:hint="eastAsia"/>
                <w:bCs/>
                <w:color w:val="000000"/>
                <w:sz w:val="21"/>
                <w:szCs w:val="21"/>
                <w:highlight w:val="none"/>
              </w:rPr>
              <w:t>技施设计图册。</w:t>
            </w:r>
          </w:p>
          <w:p w14:paraId="715EB1B9">
            <w:pPr>
              <w:pStyle w:val="101"/>
              <w:ind w:firstLine="0"/>
              <w:rPr>
                <w:rFonts w:hint="eastAsia"/>
                <w:bCs/>
                <w:color w:val="000000"/>
                <w:sz w:val="21"/>
                <w:szCs w:val="21"/>
                <w:highlight w:val="none"/>
              </w:rPr>
            </w:pPr>
            <w:r>
              <w:rPr>
                <w:rFonts w:hint="eastAsia"/>
                <w:bCs/>
                <w:color w:val="000000"/>
                <w:sz w:val="21"/>
                <w:szCs w:val="21"/>
                <w:highlight w:val="none"/>
              </w:rPr>
              <w:t>(2)《建设工程工程量清单计价规范》(GB50500-2013)、《&lt;建设工程工程量计算规范&gt;(GB50500~2013)广西壮族自治区实施细则》</w:t>
            </w:r>
          </w:p>
          <w:p w14:paraId="24EE09E1">
            <w:pPr>
              <w:pStyle w:val="101"/>
              <w:ind w:firstLine="0"/>
              <w:rPr>
                <w:rFonts w:hint="eastAsia"/>
                <w:bCs/>
                <w:color w:val="000000"/>
                <w:sz w:val="21"/>
                <w:szCs w:val="21"/>
                <w:highlight w:val="none"/>
              </w:rPr>
            </w:pPr>
            <w:r>
              <w:rPr>
                <w:rFonts w:hint="eastAsia"/>
                <w:bCs/>
                <w:color w:val="000000"/>
                <w:sz w:val="21"/>
                <w:szCs w:val="21"/>
                <w:highlight w:val="none"/>
              </w:rPr>
              <w:t>(3)《广西壮族自治区建筑装饰装修工程消耗量定额》(2013 版)、《广西壮族自治区安装工程消耗量定额》(2015 版)及其配套使用的费用定额。</w:t>
            </w:r>
          </w:p>
          <w:p w14:paraId="1630C96F">
            <w:pPr>
              <w:pStyle w:val="101"/>
              <w:ind w:firstLine="0"/>
              <w:rPr>
                <w:rFonts w:hint="eastAsia"/>
                <w:bCs/>
                <w:color w:val="000000"/>
                <w:sz w:val="21"/>
                <w:szCs w:val="21"/>
                <w:highlight w:val="none"/>
              </w:rPr>
            </w:pPr>
            <w:r>
              <w:rPr>
                <w:rFonts w:hint="eastAsia"/>
                <w:bCs/>
                <w:color w:val="000000"/>
                <w:sz w:val="21"/>
                <w:szCs w:val="21"/>
                <w:highlight w:val="none"/>
              </w:rPr>
              <w:t>(4)《广西壮族自治区建筑装饰装修工程费用定额》(2016版)及计价相关规存</w:t>
            </w:r>
          </w:p>
          <w:p w14:paraId="6792AB06">
            <w:pPr>
              <w:pStyle w:val="101"/>
              <w:ind w:firstLine="0"/>
              <w:rPr>
                <w:rFonts w:hint="eastAsia"/>
                <w:bCs/>
                <w:color w:val="000000"/>
                <w:sz w:val="21"/>
                <w:szCs w:val="21"/>
                <w:highlight w:val="none"/>
              </w:rPr>
            </w:pPr>
            <w:r>
              <w:rPr>
                <w:rFonts w:hint="eastAsia"/>
                <w:bCs/>
                <w:color w:val="000000"/>
                <w:sz w:val="21"/>
                <w:szCs w:val="21"/>
                <w:highlight w:val="none"/>
              </w:rPr>
              <w:t>(5)《园林绿化工程计算规范》(GB50858-2013)及《广西壮族自治区园林绿化及仿古建筑工程消耗量定额》</w:t>
            </w:r>
          </w:p>
          <w:p w14:paraId="60CD5D93">
            <w:pPr>
              <w:pStyle w:val="101"/>
              <w:ind w:firstLine="0"/>
              <w:rPr>
                <w:rFonts w:hint="eastAsia"/>
                <w:bCs/>
                <w:color w:val="000000"/>
                <w:sz w:val="21"/>
                <w:szCs w:val="21"/>
                <w:highlight w:val="none"/>
              </w:rPr>
            </w:pPr>
            <w:r>
              <w:rPr>
                <w:rFonts w:hint="eastAsia"/>
                <w:bCs/>
                <w:color w:val="000000"/>
                <w:sz w:val="21"/>
                <w:szCs w:val="21"/>
                <w:highlight w:val="none"/>
              </w:rPr>
              <w:t>(6)《广西壮族自治区市政工程消耗量定额》(2022年版)</w:t>
            </w:r>
          </w:p>
          <w:p w14:paraId="119D830D">
            <w:pPr>
              <w:pStyle w:val="101"/>
              <w:ind w:firstLine="0"/>
              <w:rPr>
                <w:rFonts w:hint="eastAsia"/>
                <w:bCs/>
                <w:color w:val="000000"/>
                <w:sz w:val="21"/>
                <w:szCs w:val="21"/>
                <w:highlight w:val="none"/>
              </w:rPr>
            </w:pPr>
            <w:r>
              <w:rPr>
                <w:rFonts w:hint="eastAsia"/>
                <w:bCs/>
                <w:color w:val="000000"/>
                <w:sz w:val="21"/>
                <w:szCs w:val="21"/>
                <w:highlight w:val="none"/>
              </w:rPr>
              <w:t>(7)桂建标[2016]17号文《自治区住房城乡建设厅关于建筑业实施营业税改征增值税后广西壮族自治区建设工程计价依据调整的通知》</w:t>
            </w:r>
          </w:p>
          <w:p w14:paraId="7C48204C">
            <w:pPr>
              <w:pStyle w:val="101"/>
              <w:ind w:firstLine="0"/>
              <w:rPr>
                <w:rFonts w:hint="eastAsia"/>
                <w:bCs/>
                <w:color w:val="000000"/>
                <w:sz w:val="21"/>
                <w:szCs w:val="21"/>
                <w:highlight w:val="none"/>
              </w:rPr>
            </w:pPr>
            <w:r>
              <w:rPr>
                <w:rFonts w:hint="eastAsia"/>
                <w:bCs/>
                <w:color w:val="000000"/>
                <w:sz w:val="21"/>
                <w:szCs w:val="21"/>
                <w:highlight w:val="none"/>
              </w:rPr>
              <w:t>(8)桂建标(2018)19号《关于调整建设工程定额人工费及有关费率的通知》(9)桂造价(2019)10号《关于调整除税价计算适用增值税税率的通知》，增值税税率调整为 9%。</w:t>
            </w:r>
          </w:p>
          <w:p w14:paraId="1556AD60">
            <w:pPr>
              <w:pStyle w:val="101"/>
              <w:ind w:firstLine="0"/>
              <w:rPr>
                <w:rFonts w:hint="eastAsia"/>
                <w:bCs/>
                <w:color w:val="000000"/>
                <w:sz w:val="21"/>
                <w:szCs w:val="21"/>
                <w:highlight w:val="none"/>
              </w:rPr>
            </w:pPr>
            <w:r>
              <w:rPr>
                <w:rFonts w:hint="eastAsia"/>
                <w:bCs/>
                <w:color w:val="000000"/>
                <w:sz w:val="21"/>
                <w:szCs w:val="21"/>
                <w:highlight w:val="none"/>
              </w:rPr>
              <w:t>(10)本工程施工图及相关的标准、规范、技术资料等。</w:t>
            </w:r>
          </w:p>
          <w:p w14:paraId="1F21C0EF">
            <w:pPr>
              <w:pStyle w:val="101"/>
              <w:ind w:firstLine="0"/>
              <w:rPr>
                <w:rFonts w:hint="eastAsia"/>
                <w:bCs/>
                <w:color w:val="000000"/>
                <w:sz w:val="21"/>
                <w:szCs w:val="21"/>
                <w:highlight w:val="none"/>
              </w:rPr>
            </w:pPr>
            <w:r>
              <w:rPr>
                <w:rFonts w:hint="eastAsia"/>
                <w:bCs/>
                <w:color w:val="000000"/>
                <w:sz w:val="21"/>
                <w:szCs w:val="21"/>
                <w:highlight w:val="none"/>
              </w:rPr>
              <w:t>(11)《梧州市建设工程造价信息》2024年</w:t>
            </w:r>
            <w:r>
              <w:rPr>
                <w:rFonts w:hint="eastAsia"/>
                <w:bCs/>
                <w:color w:val="000000"/>
                <w:sz w:val="21"/>
                <w:szCs w:val="21"/>
                <w:highlight w:val="none"/>
                <w:lang w:val="en-US" w:eastAsia="zh-CN"/>
              </w:rPr>
              <w:t>10</w:t>
            </w:r>
            <w:r>
              <w:rPr>
                <w:rFonts w:hint="eastAsia"/>
                <w:bCs/>
                <w:color w:val="000000"/>
                <w:sz w:val="21"/>
                <w:szCs w:val="21"/>
                <w:highlight w:val="none"/>
              </w:rPr>
              <w:t>月份梧州市价格，没有信息价的按市场询价。</w:t>
            </w:r>
          </w:p>
          <w:p w14:paraId="4A9B8754">
            <w:pPr>
              <w:pStyle w:val="101"/>
              <w:ind w:firstLine="0"/>
              <w:rPr>
                <w:rFonts w:hint="eastAsia"/>
                <w:bCs/>
                <w:color w:val="000000"/>
                <w:sz w:val="21"/>
                <w:szCs w:val="21"/>
                <w:highlight w:val="none"/>
              </w:rPr>
            </w:pPr>
            <w:r>
              <w:rPr>
                <w:rFonts w:hint="eastAsia"/>
                <w:bCs/>
                <w:color w:val="000000"/>
                <w:sz w:val="21"/>
                <w:szCs w:val="21"/>
                <w:highlight w:val="none"/>
              </w:rPr>
              <w:t>(12)其他有关文件。</w:t>
            </w:r>
          </w:p>
        </w:tc>
      </w:tr>
      <w:tr w14:paraId="6866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48350DC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23</w:t>
            </w:r>
          </w:p>
        </w:tc>
        <w:tc>
          <w:tcPr>
            <w:tcW w:w="654" w:type="dxa"/>
            <w:vAlign w:val="center"/>
          </w:tcPr>
          <w:p w14:paraId="0DAC1EDB">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62D881B1">
            <w:pPr>
              <w:pStyle w:val="31"/>
              <w:snapToGrid w:val="0"/>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1、发出成交通知书后15日内，成交供应商必须与采购人签订施工承包合同协议书</w:t>
            </w:r>
            <w:r>
              <w:rPr>
                <w:rFonts w:hint="eastAsia" w:ascii="宋体" w:hAnsi="宋体"/>
                <w:color w:val="000000"/>
                <w:szCs w:val="21"/>
                <w:highlight w:val="none"/>
              </w:rPr>
              <w:t>【施工承</w:t>
            </w:r>
            <w:r>
              <w:rPr>
                <w:rFonts w:hint="eastAsia" w:ascii="宋体" w:hAnsi="宋体"/>
                <w:bCs/>
                <w:color w:val="000000"/>
                <w:szCs w:val="21"/>
                <w:highlight w:val="none"/>
              </w:rPr>
              <w:t>包合同协议书必须与本磋商文件中的合同书格式(包括内容和结构)相一致，不能改变主要条款】如不按时签订合同的，按违约处理；</w:t>
            </w:r>
          </w:p>
          <w:p w14:paraId="54134D30">
            <w:pPr>
              <w:pStyle w:val="31"/>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2、成交供应商应在签订施工承包合同协议书后的5个工作日内完成进场准备，包括主要管理人员、响应文件承诺进场的机械设备、试验检测设备、项目部的办公设备、项目部的选址及上墙图表等，并具备基本的工作条件；承包人完成进场准备后的7天内开展实质性的施工工作。</w:t>
            </w:r>
          </w:p>
        </w:tc>
      </w:tr>
      <w:tr w14:paraId="3AC3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7868B17">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24</w:t>
            </w:r>
          </w:p>
        </w:tc>
        <w:tc>
          <w:tcPr>
            <w:tcW w:w="8848" w:type="dxa"/>
            <w:gridSpan w:val="2"/>
            <w:vAlign w:val="center"/>
          </w:tcPr>
          <w:p w14:paraId="7BD704BD">
            <w:pPr>
              <w:pStyle w:val="31"/>
              <w:snapToGrid w:val="0"/>
              <w:spacing w:line="360" w:lineRule="auto"/>
              <w:rPr>
                <w:rFonts w:hint="eastAsia" w:ascii="宋体" w:hAnsi="宋体"/>
                <w:b/>
                <w:bCs/>
                <w:color w:val="000000"/>
                <w:sz w:val="22"/>
                <w:highlight w:val="none"/>
              </w:rPr>
            </w:pPr>
            <w:r>
              <w:rPr>
                <w:rFonts w:hint="eastAsia" w:ascii="宋体" w:hAnsi="宋体"/>
                <w:b/>
                <w:bCs/>
                <w:color w:val="000000"/>
                <w:sz w:val="22"/>
                <w:highlight w:val="none"/>
              </w:rPr>
              <w:t>响应文件中所涉及的加盖公章均采用CA电子签章。</w:t>
            </w:r>
          </w:p>
        </w:tc>
      </w:tr>
      <w:tr w14:paraId="43BF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36" w:type="dxa"/>
            <w:vAlign w:val="center"/>
          </w:tcPr>
          <w:p w14:paraId="0F50BAD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25</w:t>
            </w:r>
          </w:p>
        </w:tc>
        <w:tc>
          <w:tcPr>
            <w:tcW w:w="8848" w:type="dxa"/>
            <w:gridSpan w:val="2"/>
            <w:vAlign w:val="center"/>
          </w:tcPr>
          <w:p w14:paraId="5EF23F18">
            <w:pPr>
              <w:pStyle w:val="31"/>
              <w:snapToGrid w:val="0"/>
              <w:spacing w:line="360" w:lineRule="auto"/>
              <w:rPr>
                <w:rFonts w:hint="eastAsia" w:ascii="宋体" w:hAnsi="宋体"/>
                <w:b/>
                <w:bCs/>
                <w:color w:val="000000"/>
                <w:highlight w:val="none"/>
              </w:rPr>
            </w:pPr>
            <w:r>
              <w:rPr>
                <w:rFonts w:hint="eastAsia" w:ascii="宋体" w:hAnsi="宋体"/>
                <w:b/>
                <w:bCs/>
                <w:color w:val="000000"/>
                <w:highlight w:val="none"/>
              </w:rPr>
              <w:t>根据《政府采购促进中小企业发展管理办法》（财库〔2020〕46号）的规定，所称中小企业，是指在中华人民共和国境内依法设立，依据国务院批准的中小企业划分标准确定的中型企业、小型企业和微型企业，但与大企业的负责人为同一人，或者与大企业存在直接控股、管理关系的除外。残疾人福利性单位、监狱企业视同小型、微型企业。</w:t>
            </w:r>
          </w:p>
        </w:tc>
      </w:tr>
      <w:tr w14:paraId="7C21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36" w:type="dxa"/>
            <w:vAlign w:val="center"/>
          </w:tcPr>
          <w:p w14:paraId="5A5BFAFD">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26</w:t>
            </w:r>
          </w:p>
        </w:tc>
        <w:tc>
          <w:tcPr>
            <w:tcW w:w="8848" w:type="dxa"/>
            <w:gridSpan w:val="2"/>
            <w:vAlign w:val="center"/>
          </w:tcPr>
          <w:p w14:paraId="5F608DB5">
            <w:pPr>
              <w:pStyle w:val="27"/>
              <w:spacing w:line="360" w:lineRule="auto"/>
              <w:ind w:firstLine="0"/>
              <w:rPr>
                <w:rFonts w:hint="eastAsia" w:ascii="宋体" w:hAnsi="宋体"/>
                <w:b/>
                <w:color w:val="000000"/>
                <w:szCs w:val="21"/>
                <w:highlight w:val="none"/>
              </w:rPr>
            </w:pPr>
            <w:r>
              <w:rPr>
                <w:rFonts w:hint="eastAsia" w:ascii="宋体" w:hAnsi="宋体"/>
                <w:b/>
                <w:color w:val="000000"/>
                <w:szCs w:val="21"/>
                <w:highlight w:val="none"/>
              </w:rPr>
              <w:t>供应商参与电子投标特别说明</w:t>
            </w:r>
          </w:p>
          <w:p w14:paraId="2795C7AE">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1）本项目实行电子投标，供应商应按照本项目磋商文件和广西政府采购云平台的要求编制、加密并提交响应文件。供应商在使用系统参与磋商过程中遇到涉及平台使用的任何问题，可致电广西政府采购云平台技术支持热线咨询，联系方式：</w:t>
            </w:r>
            <w:r>
              <w:rPr>
                <w:rFonts w:ascii="宋体" w:hAnsi="宋体"/>
                <w:color w:val="000000"/>
                <w:szCs w:val="21"/>
                <w:highlight w:val="none"/>
              </w:rPr>
              <w:t>95763</w:t>
            </w:r>
            <w:r>
              <w:rPr>
                <w:rFonts w:hint="eastAsia" w:ascii="宋体" w:hAnsi="宋体"/>
                <w:color w:val="000000"/>
                <w:szCs w:val="21"/>
                <w:highlight w:val="none"/>
              </w:rPr>
              <w:t>。</w:t>
            </w:r>
          </w:p>
          <w:p w14:paraId="60E740E4">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（2）供应商应及时熟悉掌握电子标系统操作指南（见广西政府采购云平台电子卖场首页右上角—服务中心—帮助文档—项目采购）；</w:t>
            </w:r>
          </w:p>
          <w:p w14:paraId="73AAF5BF">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（3）供应商应及时完成CA申领和绑定（见广西壮族自治区政府采购网—办事服务—下载专区-广西政府采购云平台CA证书办理操作指南）</w:t>
            </w:r>
          </w:p>
          <w:p w14:paraId="0D6A9CFB">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4）供应商通过广西政府采购云平台投标客户端软件制作响应文件，广西政府采购云平台投标客户端软件由供应商自行前往下载并安装（见广西壮族自治区政府采购网—办事服务—下载专区-广西壮族自治区全流程电子招投标项目管理系统--供应商客户端）。</w:t>
            </w:r>
          </w:p>
          <w:p w14:paraId="45E61784">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（5）因未注册入库、未办理CA数字证书、CA证书故障、操作不当等原因造成无法参与或磋商失败等后果由供应商自行承担。</w:t>
            </w:r>
          </w:p>
          <w:p w14:paraId="2C746CE7">
            <w:pPr>
              <w:pStyle w:val="31"/>
              <w:snapToGrid w:val="0"/>
              <w:spacing w:line="360" w:lineRule="auto"/>
              <w:rPr>
                <w:rFonts w:hint="eastAsia" w:ascii="宋体" w:hAnsi="宋体"/>
                <w:color w:val="000000"/>
                <w:szCs w:val="21"/>
                <w:highlight w:val="none"/>
              </w:rPr>
            </w:pPr>
            <w:r>
              <w:rPr>
                <w:rFonts w:hint="eastAsia" w:ascii="宋体" w:hAnsi="宋体"/>
                <w:color w:val="000000"/>
                <w:szCs w:val="21"/>
                <w:highlight w:val="none"/>
              </w:rPr>
              <w:t>（6）响应文件递交截止时间后，广西政府采购云平台（电子标系统）自动提取所有响应文件，各供应商须在开启程序开始后30分钟内对上传广西政府采购云平台的响应文件进行解密，所有供应商在规定的解密时限内解密完成或解密时限结束后，本代理机构开启响应文件；供应商超过解密时限的，系统默认供应商自动放弃磋商。</w:t>
            </w:r>
          </w:p>
        </w:tc>
      </w:tr>
      <w:tr w14:paraId="56C8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6" w:type="dxa"/>
            <w:vAlign w:val="center"/>
          </w:tcPr>
          <w:p w14:paraId="24256E7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27</w:t>
            </w:r>
          </w:p>
        </w:tc>
        <w:tc>
          <w:tcPr>
            <w:tcW w:w="8848" w:type="dxa"/>
            <w:gridSpan w:val="2"/>
            <w:vAlign w:val="center"/>
          </w:tcPr>
          <w:p w14:paraId="0BD2B9EC">
            <w:pPr>
              <w:pStyle w:val="27"/>
              <w:spacing w:line="360" w:lineRule="auto"/>
              <w:ind w:firstLine="0"/>
              <w:rPr>
                <w:rFonts w:hint="eastAsia" w:ascii="宋体" w:hAnsi="宋体"/>
                <w:b/>
                <w:color w:val="000000"/>
                <w:szCs w:val="21"/>
                <w:highlight w:val="none"/>
              </w:rPr>
            </w:pPr>
            <w:r>
              <w:rPr>
                <w:rFonts w:hint="eastAsia" w:ascii="宋体" w:hAnsi="宋体"/>
                <w:b/>
                <w:color w:val="000000"/>
                <w:szCs w:val="21"/>
                <w:highlight w:val="none"/>
              </w:rPr>
              <w:t>本项目所属行业：建筑业</w:t>
            </w:r>
          </w:p>
        </w:tc>
      </w:tr>
    </w:tbl>
    <w:p w14:paraId="6B6A8315">
      <w:pPr>
        <w:widowControl/>
        <w:rPr>
          <w:rFonts w:hint="eastAsia" w:ascii="宋体" w:hAnsi="宋体"/>
          <w:b/>
          <w:color w:val="000000"/>
          <w:sz w:val="32"/>
          <w:highlight w:val="none"/>
        </w:rPr>
      </w:pPr>
      <w:r>
        <w:rPr>
          <w:rFonts w:hint="eastAsia" w:ascii="宋体" w:hAnsi="宋体"/>
          <w:b/>
          <w:color w:val="000000"/>
          <w:sz w:val="32"/>
          <w:highlight w:val="none"/>
        </w:rPr>
        <w:br w:type="page"/>
      </w:r>
    </w:p>
    <w:p w14:paraId="5772100A">
      <w:pPr>
        <w:widowControl/>
        <w:jc w:val="center"/>
        <w:rPr>
          <w:rFonts w:hint="eastAsia" w:ascii="宋体" w:hAnsi="宋体"/>
          <w:b/>
          <w:color w:val="000000"/>
          <w:sz w:val="32"/>
          <w:highlight w:val="none"/>
        </w:rPr>
      </w:pPr>
      <w:r>
        <w:rPr>
          <w:rFonts w:hint="eastAsia" w:ascii="宋体" w:hAnsi="宋体"/>
          <w:b/>
          <w:color w:val="000000"/>
          <w:sz w:val="32"/>
          <w:highlight w:val="none"/>
        </w:rPr>
        <w:t>供应商须知</w:t>
      </w:r>
    </w:p>
    <w:p w14:paraId="09F541F5">
      <w:pPr>
        <w:spacing w:line="400" w:lineRule="exact"/>
        <w:ind w:firstLine="420"/>
        <w:rPr>
          <w:rFonts w:ascii="宋体" w:hAnsi="宋体"/>
          <w:color w:val="000000"/>
          <w:szCs w:val="21"/>
          <w:highlight w:val="none"/>
        </w:rPr>
      </w:pPr>
    </w:p>
    <w:p w14:paraId="76137CCD">
      <w:pPr>
        <w:pStyle w:val="6"/>
        <w:spacing w:line="400" w:lineRule="exact"/>
        <w:jc w:val="center"/>
        <w:rPr>
          <w:rFonts w:hint="eastAsia" w:ascii="宋体" w:hAnsi="宋体"/>
          <w:color w:val="000000"/>
          <w:highlight w:val="none"/>
        </w:rPr>
      </w:pPr>
      <w:bookmarkStart w:id="41" w:name="_Toc207770834"/>
      <w:bookmarkStart w:id="42" w:name="_Toc19771"/>
      <w:bookmarkStart w:id="43" w:name="_Toc206525681"/>
      <w:bookmarkStart w:id="44" w:name="_Toc9379"/>
      <w:bookmarkStart w:id="45" w:name="_Toc486196137"/>
      <w:bookmarkStart w:id="46" w:name="_Toc185702548"/>
      <w:bookmarkStart w:id="47" w:name="_Toc108539714"/>
      <w:bookmarkStart w:id="48" w:name="_Toc230578056"/>
      <w:bookmarkStart w:id="49" w:name="_Toc239839862"/>
      <w:bookmarkStart w:id="50" w:name="_Toc5743"/>
      <w:bookmarkStart w:id="51" w:name="_Toc486922954"/>
      <w:bookmarkStart w:id="52" w:name="_Toc24346"/>
      <w:r>
        <w:rPr>
          <w:rFonts w:hint="eastAsia" w:ascii="宋体" w:hAnsi="宋体"/>
          <w:color w:val="000000"/>
          <w:highlight w:val="none"/>
        </w:rPr>
        <w:t>一   总  则</w:t>
      </w:r>
      <w:bookmarkEnd w:id="41"/>
      <w:bookmarkEnd w:id="42"/>
      <w:bookmarkEnd w:id="43"/>
      <w:bookmarkEnd w:id="44"/>
      <w:bookmarkEnd w:id="45"/>
      <w:bookmarkEnd w:id="46"/>
      <w:bookmarkEnd w:id="47"/>
      <w:bookmarkEnd w:id="48"/>
      <w:bookmarkEnd w:id="49"/>
      <w:bookmarkEnd w:id="50"/>
      <w:bookmarkEnd w:id="51"/>
      <w:bookmarkEnd w:id="52"/>
    </w:p>
    <w:p w14:paraId="25D7CF8D">
      <w:pPr>
        <w:pStyle w:val="7"/>
        <w:spacing w:before="0" w:after="0" w:line="360" w:lineRule="auto"/>
        <w:rPr>
          <w:rFonts w:hint="eastAsia" w:ascii="宋体" w:hAnsi="宋体" w:eastAsia="宋体"/>
          <w:color w:val="000000"/>
          <w:sz w:val="21"/>
          <w:szCs w:val="21"/>
          <w:highlight w:val="none"/>
        </w:rPr>
      </w:pPr>
      <w:bookmarkStart w:id="53" w:name="_Toc207770835"/>
      <w:bookmarkStart w:id="54" w:name="_Toc206525682"/>
      <w:bookmarkStart w:id="55" w:name="_Toc239839863"/>
      <w:bookmarkStart w:id="56" w:name="_Toc230578057"/>
      <w:bookmarkStart w:id="57" w:name="_Toc185702549"/>
      <w:bookmarkStart w:id="58" w:name="_Toc486196138"/>
      <w:bookmarkStart w:id="59" w:name="_Toc11424"/>
      <w:bookmarkStart w:id="60" w:name="_Toc108539715"/>
      <w:bookmarkStart w:id="61" w:name="_Toc486922955"/>
      <w:r>
        <w:rPr>
          <w:rFonts w:hint="eastAsia" w:ascii="宋体" w:hAnsi="宋体" w:eastAsia="宋体"/>
          <w:color w:val="000000"/>
          <w:sz w:val="21"/>
          <w:szCs w:val="21"/>
          <w:highlight w:val="none"/>
        </w:rPr>
        <w:t>1</w:t>
      </w:r>
      <w:bookmarkEnd w:id="53"/>
      <w:bookmarkEnd w:id="54"/>
      <w:bookmarkEnd w:id="55"/>
      <w:bookmarkEnd w:id="56"/>
      <w:bookmarkEnd w:id="57"/>
      <w:r>
        <w:rPr>
          <w:rFonts w:hint="eastAsia" w:ascii="宋体" w:hAnsi="宋体" w:eastAsia="宋体"/>
          <w:color w:val="000000"/>
          <w:sz w:val="21"/>
          <w:szCs w:val="21"/>
          <w:highlight w:val="none"/>
        </w:rPr>
        <w:t>．项目基本情况、适用范围及定义</w:t>
      </w:r>
      <w:bookmarkEnd w:id="58"/>
      <w:bookmarkEnd w:id="59"/>
      <w:bookmarkEnd w:id="60"/>
      <w:bookmarkEnd w:id="61"/>
    </w:p>
    <w:p w14:paraId="56FB99DE">
      <w:pPr>
        <w:pStyle w:val="40"/>
        <w:spacing w:line="360" w:lineRule="auto"/>
        <w:ind w:left="420" w:hanging="420" w:hangingChars="200"/>
        <w:rPr>
          <w:rFonts w:hAnsi="宋体"/>
          <w:color w:val="000000"/>
          <w:highlight w:val="none"/>
        </w:rPr>
      </w:pPr>
      <w:r>
        <w:rPr>
          <w:rFonts w:hAnsi="宋体"/>
          <w:color w:val="000000"/>
          <w:highlight w:val="none"/>
        </w:rPr>
        <w:t>1.1项目基本情况：见须知前附表。</w:t>
      </w:r>
    </w:p>
    <w:p w14:paraId="7C0CB54D">
      <w:pPr>
        <w:pStyle w:val="40"/>
        <w:spacing w:line="360" w:lineRule="auto"/>
        <w:ind w:left="420" w:hanging="420" w:hangingChars="200"/>
        <w:rPr>
          <w:rFonts w:hAnsi="宋体"/>
          <w:color w:val="000000"/>
          <w:highlight w:val="none"/>
        </w:rPr>
      </w:pPr>
      <w:r>
        <w:rPr>
          <w:rFonts w:hAnsi="宋体"/>
          <w:color w:val="000000"/>
          <w:highlight w:val="none"/>
        </w:rPr>
        <w:t>1.2采购人：见须知前附表。</w:t>
      </w:r>
    </w:p>
    <w:p w14:paraId="59C6AF46">
      <w:pPr>
        <w:pStyle w:val="40"/>
        <w:spacing w:line="360" w:lineRule="auto"/>
        <w:ind w:left="420" w:hanging="420" w:hangingChars="200"/>
        <w:rPr>
          <w:rFonts w:hAnsi="宋体"/>
          <w:color w:val="000000"/>
          <w:highlight w:val="none"/>
        </w:rPr>
      </w:pPr>
      <w:r>
        <w:rPr>
          <w:rFonts w:hAnsi="宋体"/>
          <w:color w:val="000000"/>
          <w:highlight w:val="none"/>
        </w:rPr>
        <w:t>1.3采购代理机构：见须知前附表。</w:t>
      </w:r>
    </w:p>
    <w:p w14:paraId="0C102401">
      <w:pPr>
        <w:pStyle w:val="40"/>
        <w:spacing w:line="360" w:lineRule="auto"/>
        <w:ind w:left="420" w:hanging="420" w:hangingChars="200"/>
        <w:rPr>
          <w:rFonts w:hAnsi="宋体"/>
          <w:color w:val="000000"/>
          <w:highlight w:val="none"/>
        </w:rPr>
      </w:pPr>
      <w:r>
        <w:rPr>
          <w:rFonts w:hAnsi="宋体"/>
          <w:color w:val="000000"/>
          <w:highlight w:val="none"/>
        </w:rPr>
        <w:t>1.4监督部门：见须知前附表。</w:t>
      </w:r>
    </w:p>
    <w:p w14:paraId="7B646FAB">
      <w:pPr>
        <w:pStyle w:val="40"/>
        <w:spacing w:line="360" w:lineRule="auto"/>
        <w:ind w:left="420" w:hanging="420" w:hangingChars="200"/>
        <w:rPr>
          <w:rFonts w:hAnsi="宋体"/>
          <w:color w:val="000000"/>
          <w:highlight w:val="none"/>
        </w:rPr>
      </w:pPr>
      <w:r>
        <w:rPr>
          <w:rFonts w:hAnsi="宋体"/>
          <w:color w:val="000000"/>
          <w:highlight w:val="none"/>
        </w:rPr>
        <w:t>1.5适用范围：本竞争性磋商文件仅适用于本次磋商中所述项目的工程、货物、服务类政府采购项目。</w:t>
      </w:r>
    </w:p>
    <w:p w14:paraId="5DE2C38E">
      <w:pPr>
        <w:pStyle w:val="40"/>
        <w:spacing w:line="360" w:lineRule="auto"/>
        <w:ind w:left="420" w:hanging="420" w:hangingChars="200"/>
        <w:rPr>
          <w:rFonts w:hAnsi="宋体"/>
          <w:color w:val="000000"/>
          <w:highlight w:val="none"/>
        </w:rPr>
      </w:pPr>
      <w:r>
        <w:rPr>
          <w:rFonts w:hAnsi="宋体"/>
          <w:color w:val="000000"/>
          <w:highlight w:val="none"/>
        </w:rPr>
        <w:t>1.6定义：</w:t>
      </w:r>
    </w:p>
    <w:p w14:paraId="5FFEEC38">
      <w:pPr>
        <w:pStyle w:val="40"/>
        <w:spacing w:line="360" w:lineRule="auto"/>
        <w:ind w:left="420" w:hanging="420" w:hangingChars="200"/>
        <w:rPr>
          <w:rFonts w:hAnsi="宋体"/>
          <w:color w:val="000000"/>
          <w:highlight w:val="none"/>
        </w:rPr>
      </w:pPr>
      <w:r>
        <w:rPr>
          <w:rFonts w:hAnsi="宋体"/>
          <w:color w:val="000000"/>
          <w:highlight w:val="none"/>
        </w:rPr>
        <w:t>1.6.1“采购人”系指依法进行政府采购的国家机关、事业单位、团体组织，见本章须知前附表。</w:t>
      </w:r>
    </w:p>
    <w:p w14:paraId="4AF38E47">
      <w:pPr>
        <w:pStyle w:val="40"/>
        <w:spacing w:line="360" w:lineRule="auto"/>
        <w:ind w:left="420" w:hanging="420" w:hangingChars="200"/>
        <w:rPr>
          <w:rFonts w:hAnsi="宋体"/>
          <w:color w:val="000000"/>
          <w:highlight w:val="none"/>
        </w:rPr>
      </w:pPr>
      <w:r>
        <w:rPr>
          <w:rFonts w:hAnsi="宋体"/>
          <w:color w:val="000000"/>
          <w:highlight w:val="none"/>
        </w:rPr>
        <w:t>1.6.2“采购代理机构”系指采购人委托办理政府采购事宜的组织方，见本章须知前附表。</w:t>
      </w:r>
    </w:p>
    <w:p w14:paraId="4ECE75C1">
      <w:pPr>
        <w:pStyle w:val="40"/>
        <w:spacing w:line="360" w:lineRule="auto"/>
        <w:ind w:left="630" w:hanging="630" w:hangingChars="300"/>
        <w:rPr>
          <w:rFonts w:hAnsi="宋体"/>
          <w:color w:val="000000"/>
          <w:highlight w:val="none"/>
        </w:rPr>
      </w:pPr>
      <w:r>
        <w:rPr>
          <w:rFonts w:hAnsi="宋体"/>
          <w:color w:val="000000"/>
          <w:highlight w:val="none"/>
        </w:rPr>
        <w:t>1.6.3“供应商”是指参与本项目采购活动的法人、其他组织。按竞争性磋商公告的要求获取磋商文件称为“潜在供应商”；提交响应文件并参加磋商称为“磋商供应商”；经法定程序确定成交的供应商称为“成交供应商”。</w:t>
      </w:r>
    </w:p>
    <w:p w14:paraId="1A00C088">
      <w:pPr>
        <w:pStyle w:val="40"/>
        <w:spacing w:line="360" w:lineRule="auto"/>
        <w:ind w:left="630" w:hanging="630" w:hangingChars="300"/>
        <w:rPr>
          <w:rFonts w:hAnsi="宋体"/>
          <w:color w:val="000000"/>
          <w:highlight w:val="none"/>
        </w:rPr>
      </w:pPr>
      <w:r>
        <w:rPr>
          <w:rFonts w:hAnsi="宋体"/>
          <w:color w:val="000000"/>
          <w:highlight w:val="none"/>
        </w:rPr>
        <w:t>1.6.4“产品”系指供应商按竞争性磋商文件规定向采购人提供的一切货物、设备、机械、仪器仪表、备品备件、工具、手册及其它有关技术资料和材料。</w:t>
      </w:r>
    </w:p>
    <w:p w14:paraId="1923E0BC">
      <w:pPr>
        <w:pStyle w:val="101"/>
        <w:ind w:firstLine="0"/>
        <w:rPr>
          <w:color w:val="000000"/>
          <w:sz w:val="21"/>
          <w:szCs w:val="21"/>
          <w:highlight w:val="none"/>
        </w:rPr>
      </w:pPr>
      <w:r>
        <w:rPr>
          <w:color w:val="000000"/>
          <w:sz w:val="21"/>
          <w:szCs w:val="21"/>
          <w:highlight w:val="none"/>
        </w:rPr>
        <w:t>1.6.5</w:t>
      </w:r>
      <w:r>
        <w:rPr>
          <w:rFonts w:hint="eastAsia"/>
          <w:color w:val="000000"/>
          <w:sz w:val="21"/>
          <w:szCs w:val="21"/>
          <w:highlight w:val="none"/>
        </w:rPr>
        <w:t>“</w:t>
      </w:r>
      <w:r>
        <w:rPr>
          <w:color w:val="000000"/>
          <w:sz w:val="21"/>
          <w:szCs w:val="21"/>
          <w:highlight w:val="none"/>
        </w:rPr>
        <w:t>服务”指竞争性磋商文件规定供应商须承担的与本项目有关的服务内容以及其他类似的义务。</w:t>
      </w:r>
    </w:p>
    <w:p w14:paraId="44DBAEA0">
      <w:pPr>
        <w:pStyle w:val="101"/>
        <w:ind w:firstLine="0"/>
        <w:rPr>
          <w:color w:val="000000"/>
          <w:sz w:val="21"/>
          <w:szCs w:val="21"/>
          <w:highlight w:val="none"/>
        </w:rPr>
      </w:pPr>
      <w:r>
        <w:rPr>
          <w:color w:val="000000"/>
          <w:sz w:val="21"/>
          <w:szCs w:val="21"/>
          <w:highlight w:val="none"/>
        </w:rPr>
        <w:t>1.6.6“</w:t>
      </w:r>
      <w:r>
        <w:rPr>
          <w:rFonts w:ascii="Helvetica" w:hAnsi="Helvetica"/>
          <w:color w:val="000000"/>
          <w:sz w:val="21"/>
          <w:szCs w:val="21"/>
          <w:highlight w:val="none"/>
          <w:shd w:val="clear" w:color="auto" w:fill="FFFFFF"/>
        </w:rPr>
        <w:t>工程</w:t>
      </w:r>
      <w:r>
        <w:rPr>
          <w:rFonts w:hint="eastAsia"/>
          <w:color w:val="000000"/>
          <w:sz w:val="21"/>
          <w:szCs w:val="21"/>
          <w:highlight w:val="none"/>
        </w:rPr>
        <w:t>”</w:t>
      </w:r>
      <w:r>
        <w:rPr>
          <w:rFonts w:ascii="Helvetica" w:hAnsi="Helvetica"/>
          <w:color w:val="000000"/>
          <w:sz w:val="21"/>
          <w:szCs w:val="21"/>
          <w:highlight w:val="none"/>
          <w:shd w:val="clear" w:color="auto" w:fill="FFFFFF"/>
        </w:rPr>
        <w:t>是指建设工程，包括建筑物和构筑物的新建、改建、扩建、装修、拆除、修缮等。</w:t>
      </w:r>
    </w:p>
    <w:p w14:paraId="17C692D2">
      <w:pPr>
        <w:pStyle w:val="40"/>
        <w:spacing w:line="360" w:lineRule="auto"/>
        <w:ind w:left="630" w:hanging="630" w:hangingChars="300"/>
        <w:rPr>
          <w:rFonts w:hAnsi="宋体"/>
          <w:color w:val="000000"/>
          <w:highlight w:val="none"/>
        </w:rPr>
      </w:pPr>
      <w:r>
        <w:rPr>
          <w:rFonts w:hAnsi="宋体"/>
          <w:color w:val="000000"/>
          <w:highlight w:val="none"/>
        </w:rPr>
        <w:t>1.6.7“响应文件”是指供应商根据竞争性磋商文件要求，编制包含报价、技术和服务等所有内容的文件。</w:t>
      </w:r>
    </w:p>
    <w:p w14:paraId="2D413BA3">
      <w:pPr>
        <w:pStyle w:val="40"/>
        <w:spacing w:line="360" w:lineRule="auto"/>
        <w:ind w:left="630" w:hanging="630" w:hangingChars="300"/>
        <w:rPr>
          <w:rFonts w:hAnsi="宋体"/>
          <w:color w:val="000000"/>
          <w:highlight w:val="none"/>
        </w:rPr>
      </w:pPr>
      <w:r>
        <w:rPr>
          <w:rFonts w:hAnsi="宋体"/>
          <w:color w:val="000000"/>
          <w:highlight w:val="none"/>
        </w:rPr>
        <w:t>1.6.8“公章”系指供应商用自己法定主体行为名称制作的印章，不包含其他替代章（如业务专用章、合同专用章、报价专用章等）。</w:t>
      </w:r>
      <w:r>
        <w:rPr>
          <w:rFonts w:hAnsi="宋体"/>
          <w:b/>
          <w:color w:val="000000"/>
          <w:highlight w:val="none"/>
        </w:rPr>
        <w:t>本项目为全流程电子标，供应商响应文件加盖公章的均采用CA电子签章。</w:t>
      </w:r>
    </w:p>
    <w:p w14:paraId="78ABA3EF">
      <w:pPr>
        <w:pStyle w:val="40"/>
        <w:spacing w:line="360" w:lineRule="auto"/>
        <w:ind w:left="630" w:hanging="630" w:hangingChars="300"/>
        <w:rPr>
          <w:rFonts w:hAnsi="宋体"/>
          <w:color w:val="000000"/>
          <w:highlight w:val="none"/>
        </w:rPr>
      </w:pPr>
      <w:r>
        <w:rPr>
          <w:rFonts w:hAnsi="宋体"/>
          <w:color w:val="000000"/>
          <w:highlight w:val="none"/>
        </w:rPr>
        <w:t>1.6.9“财政部门指定的政府采购信息发布媒体”系指中国政府采购网、广西壮族自治区政府采购网。本项目相关信息除在财政部指定的政府采购信息发布媒体上发布外，还同时在梧州市政府采购网</w:t>
      </w:r>
      <w:r>
        <w:rPr>
          <w:rFonts w:ascii="Arial" w:hAnsi="Arial"/>
          <w:color w:val="000000"/>
          <w:highlight w:val="none"/>
          <w:shd w:val="clear" w:color="auto" w:fill="FFFFFF"/>
        </w:rPr>
        <w:t>网</w:t>
      </w:r>
      <w:r>
        <w:rPr>
          <w:rFonts w:hAnsi="宋体"/>
          <w:color w:val="000000"/>
          <w:highlight w:val="none"/>
        </w:rPr>
        <w:t>站上发布。</w:t>
      </w:r>
    </w:p>
    <w:p w14:paraId="35E937B4">
      <w:pPr>
        <w:pStyle w:val="7"/>
        <w:spacing w:before="0" w:after="0" w:line="360" w:lineRule="auto"/>
        <w:rPr>
          <w:rFonts w:hint="eastAsia" w:ascii="宋体" w:hAnsi="宋体" w:eastAsia="宋体"/>
          <w:color w:val="000000"/>
          <w:sz w:val="21"/>
          <w:szCs w:val="21"/>
          <w:highlight w:val="none"/>
        </w:rPr>
      </w:pPr>
      <w:bookmarkStart w:id="62" w:name="_Toc5785"/>
      <w:bookmarkStart w:id="63" w:name="_Toc108539716"/>
      <w:r>
        <w:rPr>
          <w:rFonts w:hint="eastAsia" w:ascii="宋体" w:hAnsi="宋体" w:eastAsia="宋体"/>
          <w:color w:val="000000"/>
          <w:sz w:val="21"/>
          <w:szCs w:val="21"/>
          <w:highlight w:val="none"/>
        </w:rPr>
        <w:t>2．合格的供应商</w:t>
      </w:r>
      <w:bookmarkEnd w:id="62"/>
      <w:bookmarkEnd w:id="63"/>
    </w:p>
    <w:p w14:paraId="4F0744C3">
      <w:pPr>
        <w:pStyle w:val="40"/>
        <w:spacing w:line="360" w:lineRule="auto"/>
        <w:ind w:left="420" w:hanging="420" w:hangingChars="200"/>
        <w:rPr>
          <w:rFonts w:hAnsi="宋体"/>
          <w:color w:val="000000"/>
          <w:highlight w:val="none"/>
        </w:rPr>
      </w:pPr>
      <w:r>
        <w:rPr>
          <w:rFonts w:hAnsi="宋体"/>
          <w:color w:val="000000"/>
          <w:highlight w:val="none"/>
        </w:rPr>
        <w:t>2.1磋商供应商资格要求：见本章须知前附表。</w:t>
      </w:r>
    </w:p>
    <w:p w14:paraId="110E6CBA">
      <w:pPr>
        <w:pStyle w:val="40"/>
        <w:spacing w:line="360" w:lineRule="auto"/>
        <w:ind w:left="420" w:hanging="420" w:hangingChars="200"/>
        <w:rPr>
          <w:rFonts w:hAnsi="宋体"/>
          <w:color w:val="000000"/>
          <w:highlight w:val="none"/>
        </w:rPr>
      </w:pPr>
      <w:r>
        <w:rPr>
          <w:rFonts w:hAnsi="宋体"/>
          <w:color w:val="000000"/>
          <w:highlight w:val="none"/>
        </w:rPr>
        <w:t>2.2供应商不得直接或间接地与为本次采购的项目内容进行设计、编制规范和其他文件的咨询公司、采购代理机构或其附属机构有任何关联。</w:t>
      </w:r>
    </w:p>
    <w:p w14:paraId="7CE7139D">
      <w:pPr>
        <w:spacing w:line="440" w:lineRule="exact"/>
        <w:rPr>
          <w:rFonts w:hAnsi="宋体"/>
          <w:color w:val="000000"/>
          <w:highlight w:val="none"/>
        </w:rPr>
      </w:pPr>
      <w:r>
        <w:rPr>
          <w:rFonts w:hAnsi="宋体"/>
          <w:color w:val="000000"/>
          <w:highlight w:val="none"/>
        </w:rPr>
        <w:t>2.3符合供应商资格的供应商应承担磋商及履约中应承担的全部责任与义务。</w:t>
      </w:r>
    </w:p>
    <w:p w14:paraId="07C362AD">
      <w:pPr>
        <w:spacing w:line="440" w:lineRule="exact"/>
        <w:rPr>
          <w:color w:val="000000"/>
          <w:highlight w:val="none"/>
        </w:rPr>
      </w:pPr>
      <w:r>
        <w:rPr>
          <w:color w:val="000000"/>
          <w:highlight w:val="none"/>
        </w:rPr>
        <w:t>2.4凡两家或以上供应商参加同一项目采购，有如下情形的，一经发现，将视为串标处理：</w:t>
      </w:r>
    </w:p>
    <w:p w14:paraId="01CC3057">
      <w:pPr>
        <w:spacing w:line="440" w:lineRule="exact"/>
        <w:rPr>
          <w:color w:val="000000"/>
          <w:highlight w:val="none"/>
        </w:rPr>
      </w:pPr>
      <w:r>
        <w:rPr>
          <w:color w:val="000000"/>
          <w:highlight w:val="none"/>
        </w:rPr>
        <w:t>（1）不同供应商的响应文件由同一单位或者个人编制；或不同供应商报名（或上传响应文件）的 IP 地址一致的；</w:t>
      </w:r>
    </w:p>
    <w:p w14:paraId="7FD47DEF">
      <w:pPr>
        <w:spacing w:line="440" w:lineRule="exact"/>
        <w:rPr>
          <w:color w:val="000000"/>
          <w:highlight w:val="none"/>
        </w:rPr>
      </w:pPr>
      <w:r>
        <w:rPr>
          <w:color w:val="000000"/>
          <w:highlight w:val="none"/>
        </w:rPr>
        <w:t>（2）不同供应商委托同一单位或者个人办磋商事宜；</w:t>
      </w:r>
    </w:p>
    <w:p w14:paraId="761B4554">
      <w:pPr>
        <w:spacing w:line="440" w:lineRule="exact"/>
        <w:rPr>
          <w:color w:val="000000"/>
          <w:highlight w:val="none"/>
        </w:rPr>
      </w:pPr>
      <w:r>
        <w:rPr>
          <w:color w:val="000000"/>
          <w:highlight w:val="none"/>
        </w:rPr>
        <w:t>（3）不同供应商的响应文件载明的项目管理成员（项目经办人）为同一人；</w:t>
      </w:r>
    </w:p>
    <w:p w14:paraId="7DA50966">
      <w:pPr>
        <w:spacing w:line="440" w:lineRule="exact"/>
        <w:rPr>
          <w:color w:val="000000"/>
          <w:highlight w:val="none"/>
        </w:rPr>
      </w:pPr>
      <w:r>
        <w:rPr>
          <w:color w:val="000000"/>
          <w:highlight w:val="none"/>
        </w:rPr>
        <w:t>（4）不同供应商的响应文件异常一致或者磋商报价呈规律性差异；</w:t>
      </w:r>
    </w:p>
    <w:p w14:paraId="537C0844">
      <w:pPr>
        <w:spacing w:line="440" w:lineRule="exact"/>
        <w:rPr>
          <w:color w:val="000000"/>
          <w:highlight w:val="none"/>
        </w:rPr>
      </w:pPr>
      <w:r>
        <w:rPr>
          <w:color w:val="000000"/>
          <w:highlight w:val="none"/>
        </w:rPr>
        <w:t>（5）不同供应商的响应文件相互混装；</w:t>
      </w:r>
    </w:p>
    <w:p w14:paraId="6E722446">
      <w:pPr>
        <w:spacing w:line="440" w:lineRule="exact"/>
        <w:rPr>
          <w:color w:val="000000"/>
          <w:highlight w:val="none"/>
        </w:rPr>
      </w:pPr>
      <w:r>
        <w:rPr>
          <w:color w:val="000000"/>
          <w:highlight w:val="none"/>
        </w:rPr>
        <w:t>（6）不同供应商的磋商保证金从同一单位或者个人的账户转出。</w:t>
      </w:r>
    </w:p>
    <w:p w14:paraId="22C40823">
      <w:pPr>
        <w:pStyle w:val="40"/>
        <w:spacing w:line="360" w:lineRule="auto"/>
        <w:ind w:left="420" w:hanging="420" w:hangingChars="200"/>
        <w:rPr>
          <w:rFonts w:hAnsi="宋体"/>
          <w:color w:val="000000"/>
          <w:highlight w:val="none"/>
        </w:rPr>
      </w:pPr>
    </w:p>
    <w:p w14:paraId="3192CC40">
      <w:pPr>
        <w:pStyle w:val="7"/>
        <w:spacing w:before="0" w:after="0" w:line="360" w:lineRule="auto"/>
        <w:rPr>
          <w:rFonts w:hint="eastAsia" w:ascii="宋体" w:hAnsi="宋体" w:eastAsia="宋体"/>
          <w:color w:val="000000"/>
          <w:sz w:val="21"/>
          <w:szCs w:val="21"/>
          <w:highlight w:val="none"/>
        </w:rPr>
      </w:pPr>
      <w:bookmarkStart w:id="64" w:name="_Toc16613"/>
      <w:bookmarkStart w:id="65" w:name="_Toc108539717"/>
      <w:r>
        <w:rPr>
          <w:rFonts w:hint="eastAsia" w:ascii="宋体" w:hAnsi="宋体" w:eastAsia="宋体"/>
          <w:color w:val="000000"/>
          <w:sz w:val="21"/>
          <w:szCs w:val="21"/>
          <w:highlight w:val="none"/>
        </w:rPr>
        <w:t>3．磋商费用</w:t>
      </w:r>
      <w:bookmarkEnd w:id="64"/>
      <w:bookmarkEnd w:id="65"/>
    </w:p>
    <w:p w14:paraId="77800D83">
      <w:pPr>
        <w:pStyle w:val="40"/>
        <w:spacing w:line="360" w:lineRule="auto"/>
        <w:ind w:left="420" w:hanging="420" w:hangingChars="200"/>
        <w:rPr>
          <w:rFonts w:hAnsi="宋体"/>
          <w:color w:val="000000"/>
          <w:highlight w:val="none"/>
        </w:rPr>
      </w:pPr>
      <w:r>
        <w:rPr>
          <w:rFonts w:hAnsi="宋体"/>
          <w:color w:val="000000"/>
          <w:highlight w:val="none"/>
        </w:rPr>
        <w:t>3.1供应商应承担所有与准备和参加政府采购活动有关的费用。不论磋商的结果如何，采购人和采购代理机构在任何情况下均无义务和责任承担此类费用。</w:t>
      </w:r>
    </w:p>
    <w:p w14:paraId="728DBB38">
      <w:pPr>
        <w:pStyle w:val="7"/>
        <w:spacing w:before="0" w:after="0" w:line="360" w:lineRule="auto"/>
        <w:rPr>
          <w:rFonts w:hint="eastAsia" w:ascii="宋体" w:hAnsi="宋体" w:eastAsia="宋体"/>
          <w:color w:val="000000"/>
          <w:sz w:val="21"/>
          <w:szCs w:val="21"/>
          <w:highlight w:val="none"/>
        </w:rPr>
      </w:pPr>
      <w:bookmarkStart w:id="66" w:name="_Toc486922958"/>
      <w:bookmarkStart w:id="67" w:name="_Toc108539718"/>
      <w:bookmarkStart w:id="68" w:name="_Toc486196141"/>
      <w:bookmarkStart w:id="69" w:name="_Toc18252"/>
      <w:r>
        <w:rPr>
          <w:rFonts w:hint="eastAsia" w:ascii="宋体" w:hAnsi="宋体" w:eastAsia="宋体"/>
          <w:color w:val="000000"/>
          <w:sz w:val="21"/>
          <w:szCs w:val="21"/>
          <w:highlight w:val="none"/>
        </w:rPr>
        <w:t>4．特别说明</w:t>
      </w:r>
      <w:bookmarkEnd w:id="66"/>
      <w:bookmarkEnd w:id="67"/>
      <w:bookmarkEnd w:id="68"/>
      <w:bookmarkEnd w:id="69"/>
    </w:p>
    <w:p w14:paraId="6A2CE029">
      <w:pPr>
        <w:pStyle w:val="40"/>
        <w:spacing w:line="360" w:lineRule="auto"/>
        <w:ind w:left="420" w:hanging="420" w:hangingChars="200"/>
        <w:rPr>
          <w:rFonts w:hAnsi="宋体"/>
          <w:color w:val="000000"/>
          <w:highlight w:val="none"/>
        </w:rPr>
      </w:pPr>
      <w:r>
        <w:rPr>
          <w:rFonts w:hAnsi="宋体"/>
          <w:color w:val="000000"/>
          <w:highlight w:val="none"/>
        </w:rPr>
        <w:t>4.1关联供应商不得参加同一合同项下政府采购活动，否则响应文件将被视为无效。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磋商。除单一来源采购项目外，为采购项目提供整体设计、规范编制或者项目管理、监理、检测等服务的供应商，不得再参加该采购项目的其他采购活动。</w:t>
      </w:r>
    </w:p>
    <w:p w14:paraId="64809D2B">
      <w:pPr>
        <w:pStyle w:val="40"/>
        <w:spacing w:line="360" w:lineRule="auto"/>
        <w:ind w:left="420" w:hanging="420" w:hangingChars="200"/>
        <w:rPr>
          <w:rFonts w:hAnsi="宋体"/>
          <w:color w:val="000000"/>
          <w:highlight w:val="none"/>
        </w:rPr>
      </w:pPr>
      <w:r>
        <w:rPr>
          <w:rFonts w:hAnsi="宋体"/>
          <w:color w:val="000000"/>
          <w:highlight w:val="none"/>
        </w:rPr>
        <w:t>4.2供应商磋商所使用的资格、信誉、荣誉、业绩与企业认证必须为本法人所拥有。供应商投入所使用的采购项目实施人员必须为本法人员工（或必须为本法人或控股公司正式员工）。</w:t>
      </w:r>
    </w:p>
    <w:p w14:paraId="6574461E">
      <w:pPr>
        <w:pStyle w:val="40"/>
        <w:spacing w:line="360" w:lineRule="auto"/>
        <w:ind w:left="420" w:hanging="420" w:hangingChars="200"/>
        <w:rPr>
          <w:rFonts w:hAnsi="宋体"/>
          <w:color w:val="000000"/>
          <w:highlight w:val="none"/>
        </w:rPr>
      </w:pPr>
      <w:r>
        <w:rPr>
          <w:rFonts w:hAnsi="宋体"/>
          <w:color w:val="000000"/>
          <w:highlight w:val="none"/>
        </w:rPr>
        <w:t>4.3供应商应仔细阅读磋商文件的所有内容，按照磋商文件的要求提交响应文件，并对所提供的全部资料的真实性承担法律责任。</w:t>
      </w:r>
    </w:p>
    <w:p w14:paraId="64C28111">
      <w:pPr>
        <w:pStyle w:val="40"/>
        <w:spacing w:line="360" w:lineRule="auto"/>
        <w:ind w:left="420" w:hanging="420" w:hangingChars="200"/>
        <w:rPr>
          <w:rFonts w:hAnsi="宋体"/>
          <w:color w:val="000000"/>
          <w:highlight w:val="none"/>
        </w:rPr>
      </w:pPr>
      <w:r>
        <w:rPr>
          <w:rFonts w:hAnsi="宋体"/>
          <w:color w:val="000000"/>
          <w:highlight w:val="none"/>
        </w:rPr>
        <w:t>4.4供应商在政府采购活动中提供任何虚假材料，其磋商无效，并报政府采购监管部门查处；成交后发现的，供应商须依照《中华人民共和国消费者权益保护法》的规定双倍赔偿采购人，且民事赔偿并不免除违法供应商的行政与刑事责任。</w:t>
      </w:r>
    </w:p>
    <w:p w14:paraId="30CFCC51">
      <w:pPr>
        <w:pStyle w:val="40"/>
        <w:spacing w:line="360" w:lineRule="auto"/>
        <w:rPr>
          <w:rFonts w:hAnsi="宋体"/>
          <w:color w:val="000000"/>
          <w:highlight w:val="none"/>
        </w:rPr>
      </w:pPr>
      <w:r>
        <w:rPr>
          <w:rFonts w:hAnsi="宋体"/>
          <w:color w:val="000000"/>
          <w:highlight w:val="none"/>
        </w:rPr>
        <w:t>4.5本项目不允许转包、分包。如成交供应商出现转包或分包情形，要承担相关法律责任。</w:t>
      </w:r>
    </w:p>
    <w:p w14:paraId="2F6932AE">
      <w:pPr>
        <w:pStyle w:val="7"/>
        <w:spacing w:before="0" w:after="0" w:line="360" w:lineRule="auto"/>
        <w:rPr>
          <w:rFonts w:hint="eastAsia" w:ascii="宋体" w:hAnsi="宋体" w:eastAsia="宋体"/>
          <w:color w:val="000000"/>
          <w:sz w:val="21"/>
          <w:szCs w:val="21"/>
          <w:highlight w:val="none"/>
        </w:rPr>
      </w:pPr>
      <w:bookmarkStart w:id="70" w:name="_Toc108539719"/>
      <w:bookmarkStart w:id="71" w:name="_Toc486922959"/>
      <w:bookmarkStart w:id="72" w:name="_Toc486196142"/>
      <w:bookmarkStart w:id="73" w:name="_Toc10852"/>
      <w:r>
        <w:rPr>
          <w:rFonts w:hint="eastAsia" w:ascii="宋体" w:hAnsi="宋体" w:eastAsia="宋体"/>
          <w:color w:val="000000"/>
          <w:sz w:val="21"/>
          <w:szCs w:val="21"/>
          <w:highlight w:val="none"/>
        </w:rPr>
        <w:t>5．询问、质疑和投诉</w:t>
      </w:r>
      <w:bookmarkEnd w:id="70"/>
      <w:bookmarkEnd w:id="71"/>
      <w:bookmarkEnd w:id="72"/>
      <w:bookmarkEnd w:id="73"/>
    </w:p>
    <w:p w14:paraId="198FA80B">
      <w:pPr>
        <w:pStyle w:val="40"/>
        <w:spacing w:line="360" w:lineRule="auto"/>
        <w:ind w:firstLine="420"/>
        <w:rPr>
          <w:rFonts w:hAnsi="宋体"/>
          <w:color w:val="000000"/>
          <w:highlight w:val="none"/>
        </w:rPr>
      </w:pPr>
      <w:r>
        <w:rPr>
          <w:rFonts w:hAnsi="宋体"/>
          <w:color w:val="000000"/>
          <w:highlight w:val="none"/>
        </w:rPr>
        <w:t>5.1询问。供应商如发现磋商文件内容有误或对政府采购活动事项有疑问的，应在磋商截止日期2个工作日前的正常工作时间以书面形式向采购人或采购代理机构提出询问、澄清。采购人或采购代理机构自收到之日起3个工作日内对供应商依法提出的询问作出答复，但答复的内容不得涉及商业秘密。</w:t>
      </w:r>
    </w:p>
    <w:p w14:paraId="0BB335B4">
      <w:pPr>
        <w:pStyle w:val="40"/>
        <w:spacing w:line="360" w:lineRule="auto"/>
        <w:ind w:firstLine="420"/>
        <w:rPr>
          <w:rFonts w:hAnsi="宋体"/>
          <w:color w:val="000000"/>
          <w:highlight w:val="none"/>
        </w:rPr>
      </w:pPr>
      <w:r>
        <w:rPr>
          <w:rFonts w:hAnsi="宋体"/>
          <w:color w:val="000000"/>
          <w:highlight w:val="none"/>
        </w:rPr>
        <w:t>5.2质疑。</w:t>
      </w:r>
    </w:p>
    <w:p w14:paraId="3113296E">
      <w:pPr>
        <w:pStyle w:val="40"/>
        <w:spacing w:line="360" w:lineRule="auto"/>
        <w:ind w:firstLine="420"/>
        <w:rPr>
          <w:rFonts w:hAnsi="宋体"/>
          <w:color w:val="000000"/>
          <w:highlight w:val="none"/>
        </w:rPr>
      </w:pPr>
      <w:r>
        <w:rPr>
          <w:rFonts w:hAnsi="宋体"/>
          <w:color w:val="000000"/>
          <w:highlight w:val="none"/>
        </w:rPr>
        <w:t>5.2.1供应商认为磋商文件、采购过程、成交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14:paraId="7F39DB9B">
      <w:pPr>
        <w:pStyle w:val="40"/>
        <w:spacing w:line="360" w:lineRule="auto"/>
        <w:ind w:firstLine="420"/>
        <w:rPr>
          <w:rFonts w:hAnsi="宋体"/>
          <w:color w:val="000000"/>
          <w:highlight w:val="none"/>
        </w:rPr>
      </w:pPr>
      <w:r>
        <w:rPr>
          <w:rFonts w:hAnsi="宋体"/>
          <w:color w:val="000000"/>
          <w:highlight w:val="none"/>
        </w:rPr>
        <w:t>5.2.2提出质疑的供应商（以下简称质疑供应商）应当是参与所质疑项目采购活动的供应商。潜在供应商已依法获取其可质疑的磋商文件的，可以对该文件提出质疑。对磋商文件提出质疑的，应当在获取磋商文件或者磋商文件公告期限届满之日起7个工作日内提出。</w:t>
      </w:r>
    </w:p>
    <w:p w14:paraId="4A381BB2">
      <w:pPr>
        <w:pStyle w:val="40"/>
        <w:spacing w:line="360" w:lineRule="auto"/>
        <w:ind w:firstLine="420"/>
        <w:rPr>
          <w:rFonts w:hAnsi="宋体"/>
          <w:color w:val="000000"/>
          <w:highlight w:val="none"/>
        </w:rPr>
      </w:pPr>
      <w:r>
        <w:rPr>
          <w:rFonts w:hAnsi="宋体"/>
          <w:color w:val="000000"/>
          <w:highlight w:val="none"/>
        </w:rPr>
        <w:t>5.2.3供应商提出质疑应当提交质疑函和必要的证明材料。质疑函应按财政部发布的《政府采购供应商质疑函范本》编制。</w:t>
      </w:r>
    </w:p>
    <w:p w14:paraId="65804A76">
      <w:pPr>
        <w:pStyle w:val="40"/>
        <w:spacing w:line="360" w:lineRule="auto"/>
        <w:ind w:firstLine="420"/>
        <w:rPr>
          <w:rFonts w:hAnsi="宋体"/>
          <w:color w:val="000000"/>
          <w:highlight w:val="none"/>
        </w:rPr>
      </w:pPr>
      <w:r>
        <w:rPr>
          <w:rFonts w:hAnsi="宋体"/>
          <w:color w:val="000000"/>
          <w:highlight w:val="none"/>
        </w:rPr>
        <w:t>5.2.4采购人、采购代理机构只接受纸质材料形式的质疑，不接受电子送达的质疑材料，即不接受以传真、电子邮件、移动通信等即时收悉的特定系统作为送达媒介的质疑材料。采购人、采购代理机构接收质疑函的联系部门、联系电话和通讯地址详见竞争性磋商公告。</w:t>
      </w:r>
    </w:p>
    <w:p w14:paraId="568437D8">
      <w:pPr>
        <w:pStyle w:val="40"/>
        <w:spacing w:line="360" w:lineRule="auto"/>
        <w:ind w:firstLine="420"/>
        <w:rPr>
          <w:rFonts w:hAnsi="宋体"/>
          <w:color w:val="000000"/>
          <w:highlight w:val="none"/>
        </w:rPr>
      </w:pPr>
      <w:r>
        <w:rPr>
          <w:rFonts w:hAnsi="宋体"/>
          <w:color w:val="000000"/>
          <w:highlight w:val="none"/>
        </w:rPr>
        <w:t>5.2.5采购人、采购代理机构在收到供应商的质疑函后7个工作日内作出答复，并以书面形式通知质疑供应商和其他有关供应商。但答复的内容不得涉及商业秘密。</w:t>
      </w:r>
    </w:p>
    <w:p w14:paraId="5EAF5B66">
      <w:pPr>
        <w:pStyle w:val="40"/>
        <w:spacing w:line="360" w:lineRule="auto"/>
        <w:ind w:firstLine="420"/>
        <w:rPr>
          <w:rFonts w:hAnsi="宋体"/>
          <w:color w:val="000000"/>
          <w:highlight w:val="none"/>
        </w:rPr>
      </w:pPr>
      <w:r>
        <w:rPr>
          <w:rFonts w:hAnsi="宋体"/>
          <w:color w:val="000000"/>
          <w:highlight w:val="none"/>
        </w:rPr>
        <w:t>5.3投诉。质疑供应商对采购人、采购代理机构的答复不满意，或者采购人、采购代理机构未在规定时间内作出答复的，可以在答复期满后15个工作日内向同级财政部门提起投诉。</w:t>
      </w:r>
    </w:p>
    <w:p w14:paraId="7C9C4779">
      <w:pPr>
        <w:pStyle w:val="40"/>
        <w:spacing w:line="360" w:lineRule="auto"/>
        <w:ind w:firstLine="420"/>
        <w:rPr>
          <w:rFonts w:hAnsi="宋体"/>
          <w:color w:val="000000"/>
          <w:highlight w:val="none"/>
        </w:rPr>
      </w:pPr>
    </w:p>
    <w:p w14:paraId="185EE50A">
      <w:pPr>
        <w:pStyle w:val="6"/>
        <w:spacing w:line="360" w:lineRule="auto"/>
        <w:jc w:val="center"/>
        <w:rPr>
          <w:rFonts w:hint="eastAsia" w:ascii="宋体" w:hAnsi="宋体"/>
          <w:color w:val="000000"/>
          <w:highlight w:val="none"/>
        </w:rPr>
      </w:pPr>
      <w:bookmarkStart w:id="74" w:name="_Toc108539720"/>
      <w:bookmarkStart w:id="75" w:name="_Toc207770838"/>
      <w:bookmarkStart w:id="76" w:name="_Toc25998"/>
      <w:bookmarkStart w:id="77" w:name="_Toc206525685"/>
      <w:bookmarkStart w:id="78" w:name="_Toc486922960"/>
      <w:bookmarkStart w:id="79" w:name="_Toc239839866"/>
      <w:bookmarkStart w:id="80" w:name="_Toc19364"/>
      <w:bookmarkStart w:id="81" w:name="_Toc486196143"/>
      <w:bookmarkStart w:id="82" w:name="_Toc185702552"/>
      <w:bookmarkStart w:id="83" w:name="_Toc230578060"/>
      <w:bookmarkStart w:id="84" w:name="_Toc19314"/>
      <w:bookmarkStart w:id="85" w:name="_Toc28484"/>
      <w:r>
        <w:rPr>
          <w:rFonts w:hint="eastAsia" w:ascii="宋体" w:hAnsi="宋体"/>
          <w:color w:val="000000"/>
          <w:highlight w:val="none"/>
        </w:rPr>
        <w:t>二   竞争性磋商文件（简称磋商文件）</w:t>
      </w:r>
      <w:bookmarkEnd w:id="74"/>
      <w:bookmarkEnd w:id="75"/>
      <w:bookmarkEnd w:id="76"/>
      <w:bookmarkEnd w:id="77"/>
      <w:bookmarkEnd w:id="78"/>
      <w:bookmarkEnd w:id="79"/>
      <w:bookmarkEnd w:id="80"/>
      <w:bookmarkEnd w:id="81"/>
      <w:bookmarkEnd w:id="82"/>
      <w:bookmarkEnd w:id="83"/>
      <w:bookmarkEnd w:id="84"/>
      <w:bookmarkEnd w:id="85"/>
    </w:p>
    <w:p w14:paraId="0BD42260">
      <w:pPr>
        <w:pStyle w:val="7"/>
        <w:spacing w:before="0" w:after="0" w:line="360" w:lineRule="auto"/>
        <w:rPr>
          <w:rFonts w:hint="eastAsia" w:ascii="宋体" w:hAnsi="宋体" w:eastAsia="宋体"/>
          <w:color w:val="000000"/>
          <w:sz w:val="21"/>
          <w:szCs w:val="21"/>
          <w:highlight w:val="none"/>
        </w:rPr>
      </w:pPr>
      <w:bookmarkStart w:id="86" w:name="_Toc486196144"/>
      <w:bookmarkStart w:id="87" w:name="_Toc207770839"/>
      <w:bookmarkStart w:id="88" w:name="_Toc108539721"/>
      <w:bookmarkStart w:id="89" w:name="_Toc16375"/>
      <w:bookmarkStart w:id="90" w:name="_Toc230578061"/>
      <w:bookmarkStart w:id="91" w:name="_Toc486922961"/>
      <w:bookmarkStart w:id="92" w:name="_Toc185702553"/>
      <w:bookmarkStart w:id="93" w:name="_Toc239839867"/>
      <w:bookmarkStart w:id="94" w:name="_Toc206525686"/>
      <w:r>
        <w:rPr>
          <w:rFonts w:hint="eastAsia" w:ascii="宋体" w:hAnsi="宋体" w:eastAsia="宋体"/>
          <w:color w:val="000000"/>
          <w:sz w:val="21"/>
          <w:szCs w:val="21"/>
          <w:highlight w:val="none"/>
        </w:rPr>
        <w:t>6．磋商文件的构成</w:t>
      </w:r>
      <w:bookmarkEnd w:id="86"/>
      <w:bookmarkEnd w:id="87"/>
      <w:bookmarkEnd w:id="88"/>
      <w:bookmarkEnd w:id="89"/>
      <w:bookmarkEnd w:id="90"/>
      <w:bookmarkEnd w:id="91"/>
      <w:bookmarkEnd w:id="92"/>
      <w:bookmarkEnd w:id="93"/>
      <w:bookmarkEnd w:id="94"/>
    </w:p>
    <w:p w14:paraId="70F00ADB">
      <w:pPr>
        <w:pStyle w:val="40"/>
        <w:spacing w:line="360" w:lineRule="auto"/>
        <w:ind w:left="420" w:hanging="420" w:hangingChars="200"/>
        <w:rPr>
          <w:rFonts w:hAnsi="宋体"/>
          <w:color w:val="000000"/>
          <w:highlight w:val="none"/>
        </w:rPr>
      </w:pPr>
      <w:r>
        <w:rPr>
          <w:rFonts w:hAnsi="宋体"/>
          <w:color w:val="000000"/>
          <w:highlight w:val="none"/>
        </w:rPr>
        <w:t>6.1磋商文件由下列文件以及在采购过程中发出的更改、修正和补充文件组成：</w:t>
      </w:r>
    </w:p>
    <w:p w14:paraId="7D0607F7">
      <w:pPr>
        <w:pStyle w:val="40"/>
        <w:spacing w:line="360" w:lineRule="auto"/>
        <w:ind w:firstLine="426"/>
        <w:rPr>
          <w:rFonts w:hAnsi="宋体"/>
          <w:color w:val="000000"/>
          <w:highlight w:val="none"/>
        </w:rPr>
      </w:pPr>
      <w:r>
        <w:rPr>
          <w:rFonts w:hAnsi="宋体"/>
          <w:color w:val="000000"/>
          <w:highlight w:val="none"/>
        </w:rPr>
        <w:t>第一章  竞争性磋商公告</w:t>
      </w:r>
    </w:p>
    <w:p w14:paraId="346107EC">
      <w:pPr>
        <w:pStyle w:val="40"/>
        <w:spacing w:line="360" w:lineRule="auto"/>
        <w:ind w:firstLine="426"/>
        <w:rPr>
          <w:rFonts w:hAnsi="宋体"/>
          <w:color w:val="000000"/>
          <w:highlight w:val="none"/>
        </w:rPr>
      </w:pPr>
      <w:r>
        <w:rPr>
          <w:rFonts w:hAnsi="宋体"/>
          <w:color w:val="000000"/>
          <w:highlight w:val="none"/>
        </w:rPr>
        <w:t>第二章  供应商须知及前附表</w:t>
      </w:r>
    </w:p>
    <w:p w14:paraId="39006E23">
      <w:pPr>
        <w:pStyle w:val="40"/>
        <w:spacing w:line="360" w:lineRule="auto"/>
        <w:ind w:firstLine="420"/>
        <w:rPr>
          <w:rFonts w:hAnsi="宋体"/>
          <w:color w:val="000000"/>
          <w:highlight w:val="none"/>
        </w:rPr>
      </w:pPr>
      <w:r>
        <w:rPr>
          <w:rFonts w:hAnsi="宋体"/>
          <w:color w:val="000000"/>
          <w:highlight w:val="none"/>
        </w:rPr>
        <w:t>第三章  采购内容及要求</w:t>
      </w:r>
    </w:p>
    <w:p w14:paraId="65AF7178">
      <w:pPr>
        <w:pStyle w:val="40"/>
        <w:spacing w:line="360" w:lineRule="auto"/>
        <w:ind w:firstLine="420"/>
        <w:rPr>
          <w:rFonts w:hAnsi="宋体"/>
          <w:color w:val="000000"/>
          <w:highlight w:val="none"/>
        </w:rPr>
      </w:pPr>
      <w:r>
        <w:rPr>
          <w:rFonts w:hAnsi="宋体"/>
          <w:color w:val="000000"/>
          <w:highlight w:val="none"/>
        </w:rPr>
        <w:t>第四章  施工承包合同协议书（格式）</w:t>
      </w:r>
    </w:p>
    <w:p w14:paraId="2AF600DC">
      <w:pPr>
        <w:pStyle w:val="40"/>
        <w:spacing w:line="360" w:lineRule="auto"/>
        <w:ind w:firstLine="420"/>
        <w:rPr>
          <w:rFonts w:hAnsi="宋体"/>
          <w:color w:val="000000"/>
          <w:highlight w:val="none"/>
        </w:rPr>
      </w:pPr>
      <w:r>
        <w:rPr>
          <w:rFonts w:hAnsi="宋体"/>
          <w:color w:val="000000"/>
          <w:highlight w:val="none"/>
        </w:rPr>
        <w:t>第五章  评标办法</w:t>
      </w:r>
    </w:p>
    <w:p w14:paraId="4FADD24F">
      <w:pPr>
        <w:pStyle w:val="40"/>
        <w:spacing w:line="360" w:lineRule="auto"/>
        <w:ind w:firstLine="420"/>
        <w:rPr>
          <w:rFonts w:hAnsi="宋体"/>
          <w:color w:val="000000"/>
          <w:highlight w:val="none"/>
        </w:rPr>
      </w:pPr>
      <w:r>
        <w:rPr>
          <w:rFonts w:hAnsi="宋体"/>
          <w:color w:val="000000"/>
          <w:highlight w:val="none"/>
        </w:rPr>
        <w:t>第六章  响应文件（格式）</w:t>
      </w:r>
    </w:p>
    <w:p w14:paraId="2642C5FC">
      <w:pPr>
        <w:pStyle w:val="40"/>
        <w:spacing w:line="360" w:lineRule="auto"/>
        <w:ind w:firstLine="420"/>
        <w:rPr>
          <w:rFonts w:hAnsi="宋体"/>
          <w:color w:val="000000"/>
          <w:highlight w:val="none"/>
        </w:rPr>
      </w:pPr>
      <w:r>
        <w:rPr>
          <w:rFonts w:hAnsi="宋体"/>
          <w:color w:val="000000"/>
          <w:highlight w:val="none"/>
        </w:rPr>
        <w:t>第七章  附件</w:t>
      </w:r>
    </w:p>
    <w:p w14:paraId="4A424435">
      <w:pPr>
        <w:pStyle w:val="40"/>
        <w:spacing w:line="360" w:lineRule="auto"/>
        <w:ind w:left="420" w:hanging="420" w:hangingChars="200"/>
        <w:rPr>
          <w:rFonts w:hAnsi="宋体"/>
          <w:color w:val="000000"/>
          <w:highlight w:val="none"/>
        </w:rPr>
      </w:pPr>
      <w:r>
        <w:rPr>
          <w:rFonts w:hAnsi="宋体"/>
          <w:color w:val="000000"/>
          <w:highlight w:val="none"/>
        </w:rPr>
        <w:t>6.2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响应文件被拒绝，或被认定为无效响应文件或被确定为响应无效。</w:t>
      </w:r>
    </w:p>
    <w:p w14:paraId="4DEC7161">
      <w:pPr>
        <w:pStyle w:val="7"/>
        <w:spacing w:before="0" w:after="0" w:line="360" w:lineRule="auto"/>
        <w:rPr>
          <w:rFonts w:hint="eastAsia" w:ascii="宋体" w:hAnsi="宋体" w:eastAsia="宋体"/>
          <w:color w:val="000000"/>
          <w:sz w:val="21"/>
          <w:szCs w:val="21"/>
          <w:highlight w:val="none"/>
        </w:rPr>
      </w:pPr>
      <w:bookmarkStart w:id="95" w:name="_Toc486196145"/>
      <w:bookmarkStart w:id="96" w:name="_Toc108539722"/>
      <w:bookmarkStart w:id="97" w:name="_Toc239839868"/>
      <w:bookmarkStart w:id="98" w:name="_Toc206525687"/>
      <w:bookmarkStart w:id="99" w:name="_Toc29626"/>
      <w:bookmarkStart w:id="100" w:name="_Toc207770840"/>
      <w:bookmarkStart w:id="101" w:name="_Toc230578062"/>
      <w:bookmarkStart w:id="102" w:name="_Toc486922962"/>
      <w:bookmarkStart w:id="103" w:name="_Toc185702554"/>
      <w:r>
        <w:rPr>
          <w:rFonts w:hint="eastAsia" w:ascii="宋体" w:hAnsi="宋体" w:eastAsia="宋体"/>
          <w:color w:val="000000"/>
          <w:sz w:val="21"/>
          <w:szCs w:val="21"/>
          <w:highlight w:val="none"/>
        </w:rPr>
        <w:t>7．磋商文件的澄清和修改</w:t>
      </w:r>
      <w:bookmarkEnd w:id="95"/>
      <w:bookmarkEnd w:id="96"/>
      <w:bookmarkEnd w:id="97"/>
      <w:bookmarkEnd w:id="98"/>
      <w:bookmarkEnd w:id="99"/>
      <w:bookmarkEnd w:id="100"/>
      <w:bookmarkEnd w:id="101"/>
      <w:bookmarkEnd w:id="102"/>
      <w:bookmarkEnd w:id="103"/>
    </w:p>
    <w:p w14:paraId="3DABED5B">
      <w:pPr>
        <w:pStyle w:val="40"/>
        <w:spacing w:line="420" w:lineRule="exact"/>
        <w:ind w:left="420" w:hanging="420" w:hangingChars="200"/>
        <w:rPr>
          <w:rFonts w:hAnsi="宋体"/>
          <w:color w:val="000000"/>
          <w:highlight w:val="none"/>
        </w:rPr>
      </w:pPr>
      <w:r>
        <w:rPr>
          <w:rFonts w:hAnsi="宋体"/>
          <w:color w:val="000000"/>
          <w:highlight w:val="none"/>
        </w:rPr>
        <w:t>7.1供应商如发现磋商文件内容有误或对</w:t>
      </w:r>
      <w:r>
        <w:rPr>
          <w:rFonts w:hAnsi="宋体"/>
          <w:color w:val="000000"/>
          <w:kern w:val="0"/>
          <w:highlight w:val="none"/>
        </w:rPr>
        <w:t>政府采购活动事项有疑问</w:t>
      </w:r>
      <w:r>
        <w:rPr>
          <w:rFonts w:hAnsi="宋体"/>
          <w:color w:val="000000"/>
          <w:highlight w:val="none"/>
        </w:rPr>
        <w:t>的，应在提交首次响应文件截止时间5日前以书面形式向采购人或采购代理机构提出澄清或者询问。采购人、采购代理机构将</w:t>
      </w:r>
      <w:r>
        <w:rPr>
          <w:rFonts w:hAnsi="宋体"/>
          <w:color w:val="000000"/>
          <w:kern w:val="0"/>
          <w:highlight w:val="none"/>
        </w:rPr>
        <w:t>在3个工作日内对供应商依法提出的询问作出答复。</w:t>
      </w:r>
    </w:p>
    <w:p w14:paraId="59B5F360">
      <w:pPr>
        <w:pStyle w:val="40"/>
        <w:spacing w:line="420" w:lineRule="exact"/>
        <w:ind w:left="420" w:hanging="420" w:hangingChars="200"/>
        <w:rPr>
          <w:rFonts w:hAnsi="宋体"/>
          <w:color w:val="000000"/>
          <w:highlight w:val="none"/>
        </w:rPr>
      </w:pPr>
      <w:r>
        <w:rPr>
          <w:rFonts w:hAnsi="宋体"/>
          <w:color w:val="000000"/>
          <w:highlight w:val="none"/>
        </w:rPr>
        <w:t>7.2提交首次响应文件截止之日前，采购人、采购代理机构对已发出的磋商文件进行必要的澄清或者修改。如澄清或者修改的内容可能影响响应文件编制的，在提交首次响应文件截止之日3个工作日前，在政府采购信息发布媒体发布更正公告，不足3个工作日的，顺延提交首次响应文件截止时间。</w:t>
      </w:r>
    </w:p>
    <w:p w14:paraId="7129D198">
      <w:pPr>
        <w:pStyle w:val="40"/>
        <w:spacing w:line="420" w:lineRule="exact"/>
        <w:ind w:left="420" w:hanging="420" w:hangingChars="200"/>
        <w:rPr>
          <w:rFonts w:hAnsi="宋体"/>
          <w:color w:val="000000"/>
          <w:highlight w:val="none"/>
        </w:rPr>
      </w:pPr>
      <w:r>
        <w:rPr>
          <w:rFonts w:hAnsi="宋体"/>
          <w:color w:val="000000"/>
          <w:highlight w:val="none"/>
        </w:rPr>
        <w:t>7.3采购人、采购代理机构可视具体情况，延长磋商截止时间和开标时间的，在提交首次响应文件截止时间2日前，在政府采购信息发布媒体上发布变更公告。</w:t>
      </w:r>
    </w:p>
    <w:p w14:paraId="11EEE552">
      <w:pPr>
        <w:pStyle w:val="40"/>
        <w:spacing w:line="360" w:lineRule="auto"/>
        <w:ind w:left="420" w:hanging="420" w:hangingChars="200"/>
        <w:rPr>
          <w:rFonts w:hAnsi="宋体"/>
          <w:color w:val="000000"/>
          <w:highlight w:val="none"/>
        </w:rPr>
      </w:pPr>
      <w:r>
        <w:rPr>
          <w:rFonts w:hAnsi="宋体"/>
          <w:color w:val="000000"/>
          <w:highlight w:val="none"/>
        </w:rPr>
        <w:t>7.4所有与本项目相关的澄清、修改、补遗的内容作为磋商文件的组成部分。该所有通知文件在政府采购信息媒体发布之日起，视为供应商已收到该通知。供应商未及时关注网站上发布的通知文件造成的损失，由供应商负责。</w:t>
      </w:r>
    </w:p>
    <w:p w14:paraId="205FD08F">
      <w:pPr>
        <w:pStyle w:val="40"/>
        <w:spacing w:line="360" w:lineRule="auto"/>
        <w:ind w:firstLine="420"/>
        <w:rPr>
          <w:rFonts w:hAnsi="宋体"/>
          <w:color w:val="000000"/>
          <w:highlight w:val="none"/>
        </w:rPr>
      </w:pPr>
    </w:p>
    <w:p w14:paraId="5C502F20">
      <w:pPr>
        <w:pStyle w:val="6"/>
        <w:spacing w:line="360" w:lineRule="auto"/>
        <w:jc w:val="center"/>
        <w:rPr>
          <w:rFonts w:hint="eastAsia" w:ascii="宋体" w:hAnsi="宋体"/>
          <w:color w:val="000000"/>
          <w:highlight w:val="none"/>
        </w:rPr>
      </w:pPr>
      <w:bookmarkStart w:id="104" w:name="_Toc7023"/>
      <w:bookmarkStart w:id="105" w:name="_Toc230578063"/>
      <w:bookmarkStart w:id="106" w:name="_Toc486922963"/>
      <w:bookmarkStart w:id="107" w:name="_Toc20992"/>
      <w:bookmarkStart w:id="108" w:name="_Toc108539723"/>
      <w:bookmarkStart w:id="109" w:name="_Toc206525688"/>
      <w:bookmarkStart w:id="110" w:name="_Toc486196146"/>
      <w:bookmarkStart w:id="111" w:name="_Toc185702555"/>
      <w:bookmarkStart w:id="112" w:name="_Toc8087"/>
      <w:bookmarkStart w:id="113" w:name="_Toc207770841"/>
      <w:bookmarkStart w:id="114" w:name="_Toc239839869"/>
      <w:bookmarkStart w:id="115" w:name="_Toc29868"/>
      <w:r>
        <w:rPr>
          <w:rFonts w:hint="eastAsia" w:ascii="宋体" w:hAnsi="宋体"/>
          <w:color w:val="000000"/>
          <w:highlight w:val="none"/>
        </w:rPr>
        <w:t>三   响应文件的编制</w:t>
      </w:r>
      <w:bookmarkEnd w:id="104"/>
      <w:bookmarkEnd w:id="105"/>
      <w:bookmarkEnd w:id="106"/>
      <w:bookmarkEnd w:id="107"/>
      <w:bookmarkEnd w:id="108"/>
      <w:bookmarkEnd w:id="109"/>
      <w:bookmarkEnd w:id="110"/>
      <w:bookmarkEnd w:id="111"/>
      <w:bookmarkEnd w:id="112"/>
      <w:bookmarkEnd w:id="113"/>
      <w:bookmarkEnd w:id="114"/>
      <w:bookmarkEnd w:id="115"/>
    </w:p>
    <w:p w14:paraId="3786128A">
      <w:pPr>
        <w:pStyle w:val="7"/>
        <w:spacing w:before="0" w:after="0" w:line="360" w:lineRule="auto"/>
        <w:rPr>
          <w:rFonts w:hint="eastAsia" w:ascii="宋体" w:hAnsi="宋体" w:eastAsia="宋体"/>
          <w:color w:val="000000"/>
          <w:sz w:val="21"/>
          <w:szCs w:val="21"/>
          <w:highlight w:val="none"/>
        </w:rPr>
      </w:pPr>
      <w:bookmarkStart w:id="116" w:name="_Toc230578064"/>
      <w:bookmarkStart w:id="117" w:name="_Toc239839870"/>
      <w:bookmarkStart w:id="118" w:name="_Toc185702556"/>
      <w:bookmarkStart w:id="119" w:name="_Toc207770842"/>
      <w:bookmarkStart w:id="120" w:name="_Toc206525689"/>
      <w:bookmarkStart w:id="121" w:name="_Toc486922964"/>
      <w:bookmarkStart w:id="122" w:name="_Toc486196147"/>
      <w:bookmarkStart w:id="123" w:name="_Toc15302"/>
      <w:bookmarkStart w:id="124" w:name="_Toc108539724"/>
      <w:r>
        <w:rPr>
          <w:rFonts w:hint="eastAsia" w:ascii="宋体" w:hAnsi="宋体" w:eastAsia="宋体"/>
          <w:color w:val="000000"/>
          <w:sz w:val="21"/>
          <w:szCs w:val="21"/>
          <w:highlight w:val="none"/>
        </w:rPr>
        <w:t>8．响应文件编</w:t>
      </w:r>
      <w:bookmarkEnd w:id="116"/>
      <w:bookmarkEnd w:id="117"/>
      <w:bookmarkEnd w:id="118"/>
      <w:bookmarkEnd w:id="119"/>
      <w:bookmarkEnd w:id="120"/>
      <w:r>
        <w:rPr>
          <w:rFonts w:hint="eastAsia" w:ascii="宋体" w:hAnsi="宋体" w:eastAsia="宋体"/>
          <w:color w:val="000000"/>
          <w:sz w:val="21"/>
          <w:szCs w:val="21"/>
          <w:highlight w:val="none"/>
        </w:rPr>
        <w:t>制</w:t>
      </w:r>
      <w:bookmarkEnd w:id="121"/>
      <w:bookmarkEnd w:id="122"/>
      <w:bookmarkEnd w:id="123"/>
      <w:bookmarkEnd w:id="124"/>
    </w:p>
    <w:p w14:paraId="485B3DFA">
      <w:pPr>
        <w:pStyle w:val="40"/>
        <w:spacing w:line="360" w:lineRule="auto"/>
        <w:ind w:left="420" w:hanging="420" w:hangingChars="200"/>
        <w:rPr>
          <w:rFonts w:hAnsi="宋体"/>
          <w:color w:val="000000"/>
          <w:highlight w:val="none"/>
        </w:rPr>
      </w:pPr>
      <w:r>
        <w:rPr>
          <w:rFonts w:hAnsi="宋体"/>
          <w:color w:val="000000"/>
          <w:highlight w:val="none"/>
        </w:rPr>
        <w:t>8.1供应商应当按照磋商文件的要求编制响应文件，并对其提交的响应文件的真实性、合法性承担法律责任。供应商须无条件接受采购人及政府采购监督管理部门等对其中任何资料进行核实的要求。</w:t>
      </w:r>
    </w:p>
    <w:p w14:paraId="14B7E88A">
      <w:pPr>
        <w:pStyle w:val="40"/>
        <w:spacing w:line="360" w:lineRule="auto"/>
        <w:ind w:left="420" w:hanging="420" w:hangingChars="200"/>
        <w:rPr>
          <w:rFonts w:hAnsi="宋体"/>
          <w:color w:val="000000"/>
          <w:highlight w:val="none"/>
        </w:rPr>
      </w:pPr>
      <w:r>
        <w:rPr>
          <w:rFonts w:hAnsi="宋体"/>
          <w:color w:val="000000"/>
          <w:highlight w:val="none"/>
        </w:rPr>
        <w:t>8.2供应商应认真阅读、并充分理解磋商文件的全部内容（包括所有的澄清、修改内容、重要事项、格式、条款和技术规范、参数及要求等），承诺并履行磋商文件中各项条款规定及要求。供应商未按照磋商文件要求提交响应文件，或者没有对磋商文件提出的实质性要求和条件作出响应，是供应商的风险，有可能导致其磋商被拒绝或被视为无效响应文件。</w:t>
      </w:r>
    </w:p>
    <w:p w14:paraId="441A37FC">
      <w:pPr>
        <w:pStyle w:val="40"/>
        <w:spacing w:line="360" w:lineRule="auto"/>
        <w:ind w:left="420" w:hanging="420" w:hangingChars="200"/>
        <w:rPr>
          <w:rFonts w:hAnsi="宋体"/>
          <w:color w:val="000000"/>
          <w:highlight w:val="none"/>
        </w:rPr>
      </w:pPr>
      <w:r>
        <w:rPr>
          <w:rFonts w:hAnsi="宋体"/>
          <w:color w:val="000000"/>
          <w:highlight w:val="none"/>
        </w:rPr>
        <w:t>8.3供应商对磋商文件提出的实质性要求和条件作出响应是指供应商必须对磋商文件中涉及磋商项目的价格、技术要求、数量、售后服务及其它要求、合同主要条款等内容作出满足或者优于原要求和条件的承诺。</w:t>
      </w:r>
    </w:p>
    <w:p w14:paraId="4B8A3816">
      <w:pPr>
        <w:pStyle w:val="40"/>
        <w:spacing w:line="360" w:lineRule="auto"/>
        <w:ind w:left="420" w:hanging="420" w:hangingChars="200"/>
        <w:rPr>
          <w:rFonts w:hAnsi="宋体"/>
          <w:color w:val="000000"/>
          <w:highlight w:val="none"/>
        </w:rPr>
      </w:pPr>
      <w:r>
        <w:rPr>
          <w:rFonts w:hAnsi="宋体"/>
          <w:color w:val="000000"/>
          <w:highlight w:val="none"/>
        </w:rPr>
        <w:t>8.4如因供应商只填写和提供了磋商文件要求的部分内容和附件，而给评审造成困难，其可能导致的结果责任由磋商供应商自行承担。</w:t>
      </w:r>
    </w:p>
    <w:p w14:paraId="4C4DAA56">
      <w:pPr>
        <w:pStyle w:val="40"/>
        <w:spacing w:line="360" w:lineRule="auto"/>
        <w:ind w:left="420" w:hanging="420" w:hangingChars="200"/>
        <w:rPr>
          <w:rFonts w:hAnsi="宋体"/>
          <w:color w:val="000000"/>
          <w:highlight w:val="none"/>
        </w:rPr>
      </w:pPr>
      <w:r>
        <w:rPr>
          <w:rFonts w:hAnsi="宋体"/>
          <w:color w:val="000000"/>
          <w:highlight w:val="none"/>
        </w:rPr>
        <w:t>8.5供应商自编目录及页码。</w:t>
      </w:r>
    </w:p>
    <w:p w14:paraId="4F9A7F6C">
      <w:pPr>
        <w:pStyle w:val="7"/>
        <w:spacing w:before="0" w:after="0" w:line="360" w:lineRule="auto"/>
        <w:rPr>
          <w:rFonts w:hint="eastAsia" w:ascii="宋体" w:hAnsi="宋体" w:eastAsia="宋体"/>
          <w:color w:val="000000"/>
          <w:sz w:val="21"/>
          <w:szCs w:val="21"/>
          <w:highlight w:val="none"/>
        </w:rPr>
      </w:pPr>
      <w:bookmarkStart w:id="125" w:name="_Toc108539725"/>
      <w:bookmarkStart w:id="126" w:name="_Toc13066"/>
      <w:r>
        <w:rPr>
          <w:rFonts w:hint="eastAsia" w:ascii="宋体" w:hAnsi="宋体" w:eastAsia="宋体"/>
          <w:color w:val="000000"/>
          <w:sz w:val="21"/>
          <w:szCs w:val="21"/>
          <w:highlight w:val="none"/>
        </w:rPr>
        <w:t>9．响应文件的文字及计量单位</w:t>
      </w:r>
      <w:bookmarkEnd w:id="125"/>
      <w:bookmarkEnd w:id="126"/>
    </w:p>
    <w:p w14:paraId="241B7429">
      <w:pPr>
        <w:pStyle w:val="40"/>
        <w:spacing w:line="360" w:lineRule="auto"/>
        <w:ind w:left="404" w:hanging="404" w:hangingChars="200"/>
        <w:rPr>
          <w:rFonts w:hAnsi="宋体"/>
          <w:color w:val="000000"/>
          <w:spacing w:val="-4"/>
          <w:highlight w:val="none"/>
        </w:rPr>
      </w:pPr>
      <w:r>
        <w:rPr>
          <w:rFonts w:hAnsi="宋体"/>
          <w:color w:val="000000"/>
          <w:spacing w:val="-4"/>
          <w:highlight w:val="none"/>
        </w:rPr>
        <w:t>9.1供应商提交的响应文件以及供应商与采购人、采购代理机构就有关磋商的所有来往函电均应使用中文（另有规定的除外）。</w:t>
      </w:r>
    </w:p>
    <w:p w14:paraId="3569CB1E">
      <w:pPr>
        <w:pStyle w:val="40"/>
        <w:spacing w:line="360" w:lineRule="auto"/>
        <w:ind w:left="420" w:hanging="420" w:hangingChars="200"/>
        <w:rPr>
          <w:rFonts w:hAnsi="宋体"/>
          <w:color w:val="000000"/>
          <w:highlight w:val="none"/>
        </w:rPr>
      </w:pPr>
      <w:r>
        <w:rPr>
          <w:rFonts w:hAnsi="宋体"/>
          <w:color w:val="000000"/>
          <w:highlight w:val="none"/>
        </w:rPr>
        <w:t>9.2响应文件使用的计量单位除磋商文件中有特殊规定外，一律使用法定计量单位。</w:t>
      </w:r>
    </w:p>
    <w:p w14:paraId="54E6E795">
      <w:pPr>
        <w:pStyle w:val="7"/>
        <w:spacing w:before="0" w:after="0" w:line="360" w:lineRule="auto"/>
        <w:rPr>
          <w:rFonts w:hint="eastAsia" w:ascii="宋体" w:hAnsi="宋体" w:eastAsia="宋体"/>
          <w:color w:val="000000"/>
          <w:sz w:val="21"/>
          <w:szCs w:val="21"/>
          <w:highlight w:val="none"/>
        </w:rPr>
      </w:pPr>
      <w:bookmarkStart w:id="127" w:name="_Toc185702558"/>
      <w:bookmarkStart w:id="128" w:name="_Toc10324"/>
      <w:bookmarkStart w:id="129" w:name="_Toc108539726"/>
      <w:bookmarkStart w:id="130" w:name="_Toc239839872"/>
      <w:bookmarkStart w:id="131" w:name="_Toc486922966"/>
      <w:bookmarkStart w:id="132" w:name="_Toc230578066"/>
      <w:bookmarkStart w:id="133" w:name="_Toc207770844"/>
      <w:bookmarkStart w:id="134" w:name="_Toc486196149"/>
      <w:bookmarkStart w:id="135" w:name="_Toc206525691"/>
      <w:r>
        <w:rPr>
          <w:rFonts w:hint="eastAsia" w:ascii="宋体" w:hAnsi="宋体" w:eastAsia="宋体"/>
          <w:color w:val="000000"/>
          <w:sz w:val="21"/>
          <w:szCs w:val="21"/>
          <w:highlight w:val="none"/>
        </w:rPr>
        <w:t>10．响应文件的构成</w:t>
      </w:r>
      <w:bookmarkEnd w:id="127"/>
      <w:bookmarkEnd w:id="128"/>
      <w:bookmarkEnd w:id="129"/>
      <w:bookmarkEnd w:id="130"/>
      <w:bookmarkEnd w:id="131"/>
      <w:bookmarkEnd w:id="132"/>
      <w:bookmarkEnd w:id="133"/>
      <w:bookmarkEnd w:id="134"/>
      <w:bookmarkEnd w:id="135"/>
    </w:p>
    <w:p w14:paraId="7556D29E">
      <w:pPr>
        <w:pStyle w:val="40"/>
        <w:spacing w:line="360" w:lineRule="auto"/>
        <w:ind w:left="420" w:hanging="420" w:hangingChars="200"/>
        <w:rPr>
          <w:rFonts w:hAnsi="宋体"/>
          <w:color w:val="000000"/>
          <w:highlight w:val="none"/>
        </w:rPr>
      </w:pPr>
      <w:r>
        <w:rPr>
          <w:rFonts w:hAnsi="宋体"/>
          <w:color w:val="000000"/>
          <w:highlight w:val="none"/>
        </w:rPr>
        <w:t>▲</w:t>
      </w:r>
      <w:r>
        <w:rPr>
          <w:rFonts w:hAnsi="宋体"/>
          <w:color w:val="000000"/>
          <w:spacing w:val="-2"/>
          <w:highlight w:val="none"/>
        </w:rPr>
        <w:t>10.1</w:t>
      </w:r>
      <w:r>
        <w:rPr>
          <w:rFonts w:hAnsi="宋体"/>
          <w:color w:val="000000"/>
          <w:highlight w:val="none"/>
        </w:rPr>
        <w:t>响应文件由以下文件组成，部分文件格式见第六章要求。磋商供应商应按下列要求编写和提供，以下文件均必须加盖CA电子签章。</w:t>
      </w:r>
    </w:p>
    <w:p w14:paraId="2CD4A57B">
      <w:pPr>
        <w:pStyle w:val="40"/>
        <w:spacing w:line="360" w:lineRule="auto"/>
        <w:ind w:left="420" w:leftChars="150" w:hanging="105" w:hangingChars="50"/>
        <w:rPr>
          <w:rFonts w:hAnsi="宋体"/>
          <w:b/>
          <w:color w:val="000000"/>
          <w:highlight w:val="none"/>
        </w:rPr>
      </w:pPr>
      <w:r>
        <w:rPr>
          <w:rFonts w:hAnsi="宋体"/>
          <w:b/>
          <w:color w:val="000000"/>
          <w:highlight w:val="none"/>
        </w:rPr>
        <w:t>一、报价文件（1-4项必须提供）</w:t>
      </w:r>
    </w:p>
    <w:p w14:paraId="2A8E5417">
      <w:pPr>
        <w:pStyle w:val="40"/>
        <w:spacing w:line="360" w:lineRule="auto"/>
        <w:ind w:firstLine="420"/>
        <w:rPr>
          <w:rFonts w:hAnsi="宋体"/>
          <w:bCs/>
          <w:color w:val="000000"/>
          <w:highlight w:val="none"/>
        </w:rPr>
      </w:pPr>
      <w:r>
        <w:rPr>
          <w:rFonts w:hAnsi="宋体"/>
          <w:bCs/>
          <w:color w:val="000000"/>
          <w:highlight w:val="none"/>
        </w:rPr>
        <w:t>1.磋商函；（按第六章格式）</w:t>
      </w:r>
    </w:p>
    <w:p w14:paraId="0F682B16">
      <w:pPr>
        <w:pStyle w:val="40"/>
        <w:spacing w:line="360" w:lineRule="auto"/>
        <w:ind w:firstLine="420"/>
        <w:rPr>
          <w:rFonts w:hAnsi="宋体"/>
          <w:bCs/>
          <w:color w:val="000000"/>
          <w:highlight w:val="none"/>
        </w:rPr>
      </w:pPr>
      <w:r>
        <w:rPr>
          <w:rFonts w:hAnsi="宋体"/>
          <w:bCs/>
          <w:color w:val="000000"/>
          <w:highlight w:val="none"/>
        </w:rPr>
        <w:t>2.磋商函附录；（按第六章格式）</w:t>
      </w:r>
    </w:p>
    <w:p w14:paraId="29BFA51D">
      <w:pPr>
        <w:pStyle w:val="40"/>
        <w:spacing w:line="360" w:lineRule="auto"/>
        <w:ind w:firstLine="420"/>
        <w:rPr>
          <w:rFonts w:hAnsi="宋体"/>
          <w:bCs/>
          <w:color w:val="000000"/>
          <w:highlight w:val="none"/>
        </w:rPr>
      </w:pPr>
      <w:r>
        <w:rPr>
          <w:rFonts w:hAnsi="宋体"/>
          <w:bCs/>
          <w:color w:val="000000"/>
          <w:highlight w:val="none"/>
        </w:rPr>
        <w:t>3.已标价工程量清单；（按第六章要求）</w:t>
      </w:r>
    </w:p>
    <w:p w14:paraId="7BA4C638">
      <w:pPr>
        <w:spacing w:line="360" w:lineRule="auto"/>
        <w:ind w:firstLine="420" w:firstLineChars="200"/>
        <w:rPr>
          <w:rFonts w:hint="eastAsia" w:ascii="宋体" w:hAnsi="宋体"/>
          <w:color w:val="000000"/>
          <w:highlight w:val="none"/>
        </w:rPr>
      </w:pPr>
      <w:r>
        <w:rPr>
          <w:rFonts w:hint="eastAsia" w:ascii="宋体" w:hAnsi="宋体"/>
          <w:color w:val="000000"/>
          <w:highlight w:val="none"/>
        </w:rPr>
        <w:t>4.</w:t>
      </w:r>
      <w:r>
        <w:rPr>
          <w:rFonts w:ascii="宋体" w:hAnsi="宋体"/>
          <w:color w:val="000000"/>
          <w:szCs w:val="21"/>
          <w:highlight w:val="none"/>
        </w:rPr>
        <w:t>建筑材料和设备节能环保要求承诺书</w:t>
      </w:r>
      <w:r>
        <w:rPr>
          <w:rFonts w:ascii="宋体" w:hAnsi="宋体"/>
          <w:bCs/>
          <w:color w:val="000000"/>
          <w:highlight w:val="none"/>
        </w:rPr>
        <w:t>（按第六章要求）</w:t>
      </w:r>
    </w:p>
    <w:p w14:paraId="1D0E746D">
      <w:pPr>
        <w:pStyle w:val="40"/>
        <w:spacing w:line="440" w:lineRule="atLeast"/>
        <w:rPr>
          <w:rFonts w:hAnsi="宋体"/>
          <w:b/>
          <w:bCs/>
          <w:color w:val="000000"/>
          <w:highlight w:val="none"/>
        </w:rPr>
      </w:pPr>
      <w:r>
        <w:rPr>
          <w:rFonts w:hAnsi="宋体"/>
          <w:b/>
          <w:bCs/>
          <w:color w:val="000000"/>
          <w:highlight w:val="none"/>
        </w:rPr>
        <w:t>二、资格证明文件（1-15项必须提供）</w:t>
      </w:r>
    </w:p>
    <w:p w14:paraId="002051EB">
      <w:pPr>
        <w:pStyle w:val="40"/>
        <w:spacing w:line="440" w:lineRule="atLeast"/>
        <w:ind w:firstLine="420" w:firstLineChars="200"/>
        <w:rPr>
          <w:rFonts w:hAnsi="宋体"/>
          <w:bCs/>
          <w:color w:val="000000"/>
          <w:highlight w:val="none"/>
        </w:rPr>
      </w:pPr>
      <w:r>
        <w:rPr>
          <w:rFonts w:hAnsi="宋体"/>
          <w:bCs/>
          <w:color w:val="000000"/>
          <w:highlight w:val="none"/>
        </w:rPr>
        <w:t>1.①法定代表人（负责人）身份证明书并附法定代表人（负责人）身份证正、反面扫描件或其他电子文件；</w:t>
      </w:r>
    </w:p>
    <w:p w14:paraId="62607F9C">
      <w:pPr>
        <w:pStyle w:val="40"/>
        <w:spacing w:line="440" w:lineRule="atLeast"/>
        <w:ind w:firstLine="420" w:firstLineChars="200"/>
        <w:rPr>
          <w:rFonts w:hAnsi="宋体"/>
          <w:bCs/>
          <w:color w:val="000000"/>
          <w:highlight w:val="none"/>
        </w:rPr>
      </w:pPr>
      <w:r>
        <w:rPr>
          <w:rFonts w:hAnsi="宋体"/>
          <w:bCs/>
          <w:color w:val="000000"/>
          <w:highlight w:val="none"/>
        </w:rPr>
        <w:t>②法定代表人（负责人）授权委托书（附委托代理人身份证正背面扫描件或其他电子文件，如授权委托代理人参加投标时则必须提供）</w:t>
      </w:r>
    </w:p>
    <w:p w14:paraId="104DC3A0">
      <w:pPr>
        <w:pStyle w:val="40"/>
        <w:spacing w:line="440" w:lineRule="atLeast"/>
        <w:ind w:firstLine="420" w:firstLineChars="200"/>
        <w:rPr>
          <w:rFonts w:hAnsi="宋体"/>
          <w:bCs/>
          <w:color w:val="000000"/>
          <w:highlight w:val="none"/>
        </w:rPr>
      </w:pPr>
      <w:r>
        <w:rPr>
          <w:rFonts w:hAnsi="宋体"/>
          <w:bCs/>
          <w:color w:val="000000"/>
          <w:highlight w:val="none"/>
        </w:rPr>
        <w:t>2.磋商保证金声明（按第六章格式要求提供）扫描件；</w:t>
      </w:r>
    </w:p>
    <w:p w14:paraId="074D5628">
      <w:pPr>
        <w:pStyle w:val="40"/>
        <w:spacing w:line="440" w:lineRule="atLeast"/>
        <w:ind w:firstLine="420" w:firstLineChars="200"/>
        <w:rPr>
          <w:rFonts w:hAnsi="宋体"/>
          <w:bCs/>
          <w:color w:val="000000"/>
          <w:highlight w:val="none"/>
        </w:rPr>
      </w:pPr>
      <w:r>
        <w:rPr>
          <w:rFonts w:hAnsi="宋体"/>
          <w:bCs/>
          <w:color w:val="000000"/>
          <w:highlight w:val="none"/>
        </w:rPr>
        <w:t>3.获取磋商文件记录（广西政府采购云平台成功获取磋商文件截图</w:t>
      </w:r>
      <w:r>
        <w:rPr>
          <w:rFonts w:hAnsi="宋体"/>
          <w:color w:val="000000"/>
          <w:highlight w:val="none"/>
        </w:rPr>
        <w:t>）；</w:t>
      </w:r>
    </w:p>
    <w:p w14:paraId="0C316D7E">
      <w:pPr>
        <w:pStyle w:val="40"/>
        <w:spacing w:line="440" w:lineRule="atLeast"/>
        <w:ind w:firstLine="420" w:firstLineChars="200"/>
        <w:rPr>
          <w:rFonts w:hAnsi="宋体"/>
          <w:bCs/>
          <w:color w:val="000000"/>
          <w:highlight w:val="none"/>
        </w:rPr>
      </w:pPr>
      <w:r>
        <w:rPr>
          <w:rFonts w:hAnsi="宋体"/>
          <w:bCs/>
          <w:color w:val="000000"/>
          <w:highlight w:val="none"/>
        </w:rPr>
        <w:t>4.供应商主体资格证明文件（有效的营业执照等证明文件扫描件或其他电子文件）</w:t>
      </w:r>
      <w:r>
        <w:rPr>
          <w:rFonts w:hAnsi="宋体"/>
          <w:color w:val="000000"/>
          <w:highlight w:val="none"/>
        </w:rPr>
        <w:t>；</w:t>
      </w:r>
    </w:p>
    <w:p w14:paraId="73164F85">
      <w:pPr>
        <w:pStyle w:val="40"/>
        <w:spacing w:line="440" w:lineRule="atLeast"/>
        <w:ind w:firstLine="420" w:firstLineChars="200"/>
        <w:rPr>
          <w:rFonts w:hAnsi="宋体"/>
          <w:bCs/>
          <w:color w:val="000000"/>
          <w:highlight w:val="none"/>
        </w:rPr>
      </w:pPr>
      <w:r>
        <w:rPr>
          <w:rFonts w:hAnsi="宋体"/>
          <w:bCs/>
          <w:color w:val="000000"/>
          <w:highlight w:val="none"/>
        </w:rPr>
        <w:t>5.供应商有效资质证书证明文件（符合</w:t>
      </w:r>
      <w:r>
        <w:rPr>
          <w:rFonts w:hAnsi="宋体"/>
          <w:color w:val="000000"/>
          <w:highlight w:val="none"/>
        </w:rPr>
        <w:t>本项目特定资格要求的资质证书等证明文件扫描件</w:t>
      </w:r>
      <w:r>
        <w:rPr>
          <w:rFonts w:hAnsi="宋体"/>
          <w:bCs/>
          <w:color w:val="000000"/>
          <w:highlight w:val="none"/>
        </w:rPr>
        <w:t>）；</w:t>
      </w:r>
    </w:p>
    <w:p w14:paraId="54D90260">
      <w:pPr>
        <w:pStyle w:val="40"/>
        <w:spacing w:line="440" w:lineRule="atLeast"/>
        <w:ind w:firstLine="420" w:firstLineChars="200"/>
        <w:rPr>
          <w:rFonts w:hAnsi="宋体"/>
          <w:bCs/>
          <w:color w:val="000000"/>
          <w:highlight w:val="none"/>
        </w:rPr>
      </w:pPr>
      <w:r>
        <w:rPr>
          <w:rFonts w:hAnsi="宋体"/>
          <w:bCs/>
          <w:color w:val="000000"/>
          <w:highlight w:val="none"/>
        </w:rPr>
        <w:t>6.供应商有效的安全生产许可证副本扫描件或其他电子文件；</w:t>
      </w:r>
    </w:p>
    <w:p w14:paraId="72C04080">
      <w:pPr>
        <w:pStyle w:val="40"/>
        <w:spacing w:line="440" w:lineRule="atLeast"/>
        <w:ind w:firstLine="420" w:firstLineChars="200"/>
        <w:rPr>
          <w:rFonts w:hAnsi="宋体"/>
          <w:color w:val="000000"/>
          <w:highlight w:val="none"/>
        </w:rPr>
      </w:pPr>
      <w:r>
        <w:rPr>
          <w:rFonts w:hAnsi="宋体"/>
          <w:color w:val="000000"/>
          <w:highlight w:val="none"/>
        </w:rPr>
        <w:t>7.供应商缴纳税收证明材料（提供供应商在</w:t>
      </w:r>
      <w:r>
        <w:rPr>
          <w:rFonts w:hAnsi="宋体"/>
          <w:bCs/>
          <w:color w:val="000000"/>
          <w:highlight w:val="none"/>
        </w:rPr>
        <w:t>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税务部门出具的缴纳税费的凭据或无欠税证明；无纳税记录的提供税务部门相应文件证明依法纳税或依法免税；新成立不足一个纳税周期的提供承诺书说明无欠税情况；以上须提供扫描件或其他电子文件。）；</w:t>
      </w:r>
    </w:p>
    <w:p w14:paraId="6E0172F8">
      <w:pPr>
        <w:pStyle w:val="40"/>
        <w:spacing w:line="440" w:lineRule="atLeast"/>
        <w:ind w:firstLine="420" w:firstLineChars="200"/>
        <w:rPr>
          <w:rFonts w:hAnsi="宋体"/>
          <w:color w:val="000000"/>
          <w:highlight w:val="none"/>
        </w:rPr>
      </w:pPr>
      <w:r>
        <w:rPr>
          <w:rFonts w:hAnsi="宋体"/>
          <w:color w:val="000000"/>
          <w:highlight w:val="none"/>
        </w:rPr>
        <w:t>8.</w:t>
      </w:r>
      <w:r>
        <w:rPr>
          <w:rFonts w:hAnsi="宋体"/>
          <w:bCs/>
          <w:color w:val="000000"/>
          <w:highlight w:val="none"/>
        </w:rPr>
        <w:t>供应商缴纳社会保障资金证明材料（提供供应商在响应文件提交截止时间前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社保部门出具的收据或社会保险缴纳清单</w:t>
      </w:r>
      <w:r>
        <w:rPr>
          <w:rFonts w:hAnsi="宋体"/>
          <w:bCs/>
          <w:color w:val="000000"/>
          <w:highlight w:val="none"/>
        </w:rPr>
        <w:t>；</w:t>
      </w:r>
      <w:r>
        <w:rPr>
          <w:rFonts w:hAnsi="宋体"/>
          <w:color w:val="000000"/>
          <w:highlight w:val="none"/>
        </w:rPr>
        <w:t>或在</w:t>
      </w:r>
      <w:r>
        <w:rPr>
          <w:rFonts w:hAnsi="宋体"/>
          <w:bCs/>
          <w:color w:val="000000"/>
          <w:highlight w:val="none"/>
        </w:rPr>
        <w:t>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税务部门出具的社保完税凭证或缴费证明；不需要缴纳社会保障资金或成立不足一个月的，提供相应文件证明不需要缴纳社会保障资金；</w:t>
      </w:r>
      <w:r>
        <w:rPr>
          <w:rFonts w:hAnsi="宋体"/>
          <w:bCs/>
          <w:color w:val="000000"/>
          <w:highlight w:val="none"/>
        </w:rPr>
        <w:t>以上须提供扫描件或其他电子文件。</w:t>
      </w:r>
      <w:r>
        <w:rPr>
          <w:rFonts w:hAnsi="宋体"/>
          <w:color w:val="000000"/>
          <w:highlight w:val="none"/>
        </w:rPr>
        <w:t>）；</w:t>
      </w:r>
    </w:p>
    <w:p w14:paraId="62867938">
      <w:pPr>
        <w:pStyle w:val="40"/>
        <w:spacing w:line="440" w:lineRule="atLeast"/>
        <w:ind w:firstLine="420" w:firstLineChars="200"/>
        <w:rPr>
          <w:rFonts w:hAnsi="宋体"/>
          <w:bCs/>
          <w:color w:val="000000"/>
          <w:highlight w:val="none"/>
        </w:rPr>
      </w:pPr>
      <w:r>
        <w:rPr>
          <w:rFonts w:hAnsi="宋体"/>
          <w:bCs/>
          <w:color w:val="000000"/>
          <w:highlight w:val="none"/>
        </w:rPr>
        <w:t>9.</w:t>
      </w:r>
      <w:r>
        <w:rPr>
          <w:rFonts w:hAnsi="宋体"/>
          <w:color w:val="000000"/>
          <w:highlight w:val="none"/>
        </w:rPr>
        <w:t>供应商财务状况证明材料（</w:t>
      </w:r>
      <w:r>
        <w:rPr>
          <w:rFonts w:hAnsi="宋体"/>
          <w:bCs/>
          <w:color w:val="000000"/>
          <w:highlight w:val="none"/>
        </w:rPr>
        <w:t>提供经审计的2023年度财务报表；或响应文件提交截止时间前</w:t>
      </w:r>
      <w:r>
        <w:rPr>
          <w:rFonts w:hAnsi="宋体"/>
          <w:color w:val="000000"/>
          <w:highlight w:val="none"/>
        </w:rPr>
        <w:t>半年内银行出具的资信证明</w:t>
      </w:r>
      <w:r>
        <w:rPr>
          <w:rFonts w:hAnsi="宋体"/>
          <w:bCs/>
          <w:color w:val="000000"/>
          <w:highlight w:val="none"/>
        </w:rPr>
        <w:t>；</w:t>
      </w:r>
      <w:r>
        <w:rPr>
          <w:rFonts w:hint="eastAsia" w:hAnsi="宋体"/>
          <w:color w:val="000000"/>
          <w:highlight w:val="none"/>
        </w:rPr>
        <w:t>或提供财政部门认可的政府采购专业担保机构针对本项目出具的投标担保函</w:t>
      </w:r>
      <w:r>
        <w:rPr>
          <w:rFonts w:hint="eastAsia" w:hAnsi="宋体"/>
          <w:color w:val="000000"/>
          <w:highlight w:val="none"/>
          <w:lang w:val="en-US" w:eastAsia="zh-CN"/>
        </w:rPr>
        <w:t>；</w:t>
      </w:r>
      <w:r>
        <w:rPr>
          <w:rFonts w:hAnsi="宋体"/>
          <w:bCs/>
          <w:color w:val="000000"/>
          <w:highlight w:val="none"/>
        </w:rPr>
        <w:t>以上须提供扫描件或其他电子文件。）（2024年新成立的公司提供自成立以来月度财务报表复印件或银行资信证明）；</w:t>
      </w:r>
    </w:p>
    <w:p w14:paraId="2DCF6C26">
      <w:pPr>
        <w:pStyle w:val="40"/>
        <w:spacing w:line="440" w:lineRule="atLeast"/>
        <w:ind w:firstLine="420" w:firstLineChars="200"/>
        <w:rPr>
          <w:rFonts w:hAnsi="宋体"/>
          <w:bCs/>
          <w:color w:val="000000"/>
          <w:highlight w:val="none"/>
        </w:rPr>
      </w:pPr>
      <w:r>
        <w:rPr>
          <w:rFonts w:hAnsi="宋体"/>
          <w:bCs/>
          <w:color w:val="000000"/>
          <w:highlight w:val="none"/>
        </w:rPr>
        <w:t>10.</w:t>
      </w:r>
      <w:r>
        <w:rPr>
          <w:rFonts w:hAnsi="宋体"/>
          <w:color w:val="000000"/>
          <w:highlight w:val="none"/>
        </w:rPr>
        <w:t xml:space="preserve"> 提供供应商拟投入本项目经理、项目专职安全生产管理人员</w:t>
      </w:r>
      <w:r>
        <w:rPr>
          <w:rFonts w:hAnsi="宋体"/>
          <w:bCs/>
          <w:color w:val="000000"/>
          <w:highlight w:val="none"/>
        </w:rPr>
        <w:t>自响应文件提交截止时间前</w:t>
      </w:r>
      <w:r>
        <w:rPr>
          <w:rFonts w:hAnsi="宋体"/>
          <w:color w:val="000000"/>
          <w:highlight w:val="none"/>
        </w:rPr>
        <w:t>半年内任</w:t>
      </w:r>
      <w:r>
        <w:rPr>
          <w:rFonts w:hAnsi="宋体"/>
          <w:bCs/>
          <w:color w:val="000000"/>
          <w:highlight w:val="none"/>
        </w:rPr>
        <w:t>意一个月（或以上）的社会保险缴纳证明（如为新入职员工，社会保障资金凭证据实提供，已退休未满65岁的不用提供社保，但应附退休证明文件的扫描件，且相关证明文件的任职单位与供应商一致</w:t>
      </w:r>
      <w:r>
        <w:rPr>
          <w:rFonts w:hAnsi="宋体"/>
          <w:color w:val="000000"/>
          <w:highlight w:val="none"/>
        </w:rPr>
        <w:t>，以上须提供扫描件或其他电子文件；</w:t>
      </w:r>
    </w:p>
    <w:p w14:paraId="7B1F01A6">
      <w:pPr>
        <w:pStyle w:val="40"/>
        <w:spacing w:line="440" w:lineRule="atLeast"/>
        <w:ind w:firstLine="420" w:firstLineChars="200"/>
        <w:rPr>
          <w:rFonts w:hAnsi="宋体"/>
          <w:color w:val="000000"/>
          <w:highlight w:val="none"/>
        </w:rPr>
      </w:pPr>
      <w:r>
        <w:rPr>
          <w:rFonts w:hAnsi="宋体"/>
          <w:color w:val="000000"/>
          <w:highlight w:val="none"/>
        </w:rPr>
        <w:t>11.项目经理注册建造师执业资格证明及有效的安全生产考核合格证书（B类）扫描件或其他电子文件和项目专职安全生产管理人员有效的安全生产考核合格证书（C类）扫描件或其他电子文件。</w:t>
      </w:r>
    </w:p>
    <w:p w14:paraId="45BC546A">
      <w:pPr>
        <w:pStyle w:val="40"/>
        <w:spacing w:line="440" w:lineRule="atLeast"/>
        <w:ind w:firstLine="420" w:firstLineChars="200"/>
        <w:rPr>
          <w:rFonts w:hAnsi="宋体"/>
          <w:color w:val="000000"/>
          <w:highlight w:val="none"/>
        </w:rPr>
      </w:pPr>
      <w:r>
        <w:rPr>
          <w:rFonts w:hAnsi="宋体"/>
          <w:color w:val="000000"/>
          <w:highlight w:val="none"/>
        </w:rPr>
        <w:t>12. 拟投入本项目项目经理未有在建、已成交未开工或已列为其他项目成交候选人第一名的项目经理的承诺函（格式自拟）；</w:t>
      </w:r>
    </w:p>
    <w:p w14:paraId="37E79E2F">
      <w:pPr>
        <w:pStyle w:val="40"/>
        <w:spacing w:line="440" w:lineRule="atLeast"/>
        <w:ind w:firstLine="420" w:firstLineChars="200"/>
        <w:rPr>
          <w:rFonts w:hAnsi="宋体"/>
          <w:color w:val="000000"/>
          <w:highlight w:val="none"/>
        </w:rPr>
      </w:pPr>
      <w:r>
        <w:rPr>
          <w:rFonts w:hAnsi="宋体"/>
          <w:color w:val="000000"/>
          <w:highlight w:val="none"/>
        </w:rPr>
        <w:t>13.《中小企业声明函》或者《残疾人福利性单位声明函》或者省级以上监狱管理局、戒毒管理局（含新疆生产建设兵团）出具的属于监狱企业的证明文件扫描件</w:t>
      </w:r>
      <w:r>
        <w:rPr>
          <w:rFonts w:hAnsi="宋体"/>
          <w:bCs/>
          <w:color w:val="000000"/>
          <w:highlight w:val="none"/>
        </w:rPr>
        <w:t>（供应商为小微企业，</w:t>
      </w:r>
      <w:r>
        <w:rPr>
          <w:rFonts w:hAnsi="宋体"/>
          <w:color w:val="000000"/>
          <w:highlight w:val="none"/>
        </w:rPr>
        <w:t>残疾人福利性单位、监狱企业</w:t>
      </w:r>
      <w:r>
        <w:rPr>
          <w:rFonts w:hAnsi="宋体"/>
          <w:bCs/>
          <w:color w:val="000000"/>
          <w:highlight w:val="none"/>
        </w:rPr>
        <w:t>按第六章格式）；</w:t>
      </w:r>
    </w:p>
    <w:p w14:paraId="0B4DC9DC">
      <w:pPr>
        <w:spacing w:line="440" w:lineRule="exact"/>
        <w:ind w:firstLine="420" w:firstLineChars="200"/>
        <w:rPr>
          <w:rFonts w:hint="eastAsia"/>
          <w:color w:val="000000"/>
          <w:highlight w:val="none"/>
        </w:rPr>
      </w:pPr>
      <w:r>
        <w:rPr>
          <w:rFonts w:hint="eastAsia"/>
          <w:color w:val="000000"/>
          <w:highlight w:val="none"/>
        </w:rPr>
        <w:t>1</w:t>
      </w:r>
      <w:r>
        <w:rPr>
          <w:color w:val="000000"/>
          <w:highlight w:val="none"/>
        </w:rPr>
        <w:t>4</w:t>
      </w:r>
      <w:r>
        <w:rPr>
          <w:rFonts w:ascii="宋体" w:hAnsi="宋体"/>
          <w:color w:val="000000"/>
          <w:highlight w:val="none"/>
        </w:rPr>
        <w:t>.</w:t>
      </w:r>
      <w:r>
        <w:rPr>
          <w:rFonts w:hint="eastAsia"/>
          <w:color w:val="000000"/>
          <w:highlight w:val="none"/>
        </w:rPr>
        <w:t xml:space="preserve"> </w:t>
      </w:r>
      <w:r>
        <w:rPr>
          <w:rFonts w:hint="eastAsia" w:ascii="宋体" w:hAnsi="宋体"/>
          <w:color w:val="000000"/>
          <w:highlight w:val="none"/>
        </w:rPr>
        <w:t>供应商直接控股、管理关系信息表</w:t>
      </w:r>
      <w:r>
        <w:rPr>
          <w:rFonts w:ascii="宋体" w:hAnsi="宋体"/>
          <w:bCs/>
          <w:color w:val="000000"/>
          <w:highlight w:val="none"/>
        </w:rPr>
        <w:t>（按第六章格式）</w:t>
      </w:r>
      <w:r>
        <w:rPr>
          <w:rFonts w:hint="eastAsia" w:ascii="宋体" w:hAnsi="宋体"/>
          <w:bCs/>
          <w:color w:val="000000"/>
          <w:highlight w:val="none"/>
        </w:rPr>
        <w:t>。</w:t>
      </w:r>
    </w:p>
    <w:p w14:paraId="79A0AF73">
      <w:pPr>
        <w:spacing w:line="440" w:lineRule="exact"/>
        <w:ind w:firstLine="420" w:firstLineChars="200"/>
        <w:rPr>
          <w:rFonts w:hint="eastAsia" w:ascii="Times New Roman" w:hAnsi="Times New Roman" w:eastAsia="宋体"/>
          <w:color w:val="000000"/>
          <w:highlight w:val="none"/>
        </w:rPr>
      </w:pPr>
      <w:r>
        <w:rPr>
          <w:rFonts w:hint="eastAsia" w:ascii="Times New Roman" w:hAnsi="Times New Roman" w:eastAsia="宋体"/>
          <w:color w:val="000000"/>
          <w:highlight w:val="none"/>
        </w:rPr>
        <w:t>15.供应商参加本项目无围标串标行为的承诺函（按第六章格式）；</w:t>
      </w:r>
    </w:p>
    <w:p w14:paraId="6B1C581F">
      <w:pPr>
        <w:pStyle w:val="40"/>
        <w:spacing w:line="360" w:lineRule="auto"/>
        <w:rPr>
          <w:rFonts w:hAnsi="宋体"/>
          <w:b/>
          <w:color w:val="000000"/>
          <w:highlight w:val="none"/>
        </w:rPr>
      </w:pPr>
      <w:r>
        <w:rPr>
          <w:rFonts w:hAnsi="宋体"/>
          <w:b/>
          <w:color w:val="000000"/>
          <w:highlight w:val="none"/>
        </w:rPr>
        <w:t>三、技术方案文件（1-2项必须提供）</w:t>
      </w:r>
    </w:p>
    <w:p w14:paraId="133BD4B9">
      <w:pPr>
        <w:pStyle w:val="40"/>
        <w:spacing w:line="360" w:lineRule="auto"/>
        <w:ind w:left="19" w:leftChars="9" w:firstLine="399" w:firstLineChars="190"/>
        <w:rPr>
          <w:rFonts w:hAnsi="宋体"/>
          <w:color w:val="000000"/>
          <w:highlight w:val="none"/>
        </w:rPr>
      </w:pPr>
      <w:r>
        <w:rPr>
          <w:rFonts w:hAnsi="宋体"/>
          <w:color w:val="000000"/>
          <w:highlight w:val="none"/>
        </w:rPr>
        <w:t>1.施工组织设计；</w:t>
      </w:r>
      <w:r>
        <w:rPr>
          <w:rFonts w:hAnsi="宋体"/>
          <w:bCs/>
          <w:color w:val="000000"/>
          <w:highlight w:val="none"/>
        </w:rPr>
        <w:t>（按第六章要求）</w:t>
      </w:r>
    </w:p>
    <w:p w14:paraId="330B1E2E">
      <w:pPr>
        <w:spacing w:before="72" w:line="360" w:lineRule="auto"/>
        <w:ind w:firstLine="420" w:firstLineChars="200"/>
        <w:rPr>
          <w:rFonts w:hint="eastAsia" w:ascii="宋体" w:hAnsi="宋体"/>
          <w:color w:val="000000"/>
          <w:highlight w:val="none"/>
        </w:rPr>
      </w:pPr>
      <w:r>
        <w:rPr>
          <w:rFonts w:hint="eastAsia" w:ascii="宋体" w:hAnsi="宋体"/>
          <w:color w:val="000000"/>
          <w:highlight w:val="none"/>
        </w:rPr>
        <w:t>2.项目管理机构配备情况表。</w:t>
      </w:r>
      <w:r>
        <w:rPr>
          <w:rFonts w:ascii="宋体" w:hAnsi="宋体"/>
          <w:bCs/>
          <w:color w:val="000000"/>
          <w:highlight w:val="none"/>
        </w:rPr>
        <w:t>（</w:t>
      </w:r>
      <w:r>
        <w:rPr>
          <w:rFonts w:hint="eastAsia" w:ascii="宋体" w:hAnsi="宋体"/>
          <w:bCs/>
          <w:color w:val="000000"/>
          <w:highlight w:val="none"/>
        </w:rPr>
        <w:t>按第六章</w:t>
      </w:r>
      <w:r>
        <w:rPr>
          <w:rFonts w:ascii="宋体" w:hAnsi="宋体"/>
          <w:bCs/>
          <w:color w:val="000000"/>
          <w:highlight w:val="none"/>
        </w:rPr>
        <w:t>要求）</w:t>
      </w:r>
    </w:p>
    <w:p w14:paraId="6EE8CAC1">
      <w:pPr>
        <w:pStyle w:val="40"/>
        <w:spacing w:line="360" w:lineRule="auto"/>
        <w:ind w:left="19" w:leftChars="9" w:firstLine="399" w:firstLineChars="190"/>
        <w:rPr>
          <w:rFonts w:hAnsi="宋体"/>
          <w:color w:val="000000"/>
          <w:highlight w:val="none"/>
        </w:rPr>
      </w:pPr>
      <w:r>
        <w:rPr>
          <w:rFonts w:hAnsi="宋体"/>
          <w:color w:val="000000"/>
          <w:highlight w:val="none"/>
        </w:rPr>
        <w:t>10.2供应商应按本磋商文件规定的格式和顺序编制响应文件，自编目录并标注页码，响应文件内容不完整、编排混乱导致响应文件被误读、漏读或者查找不到相关内容的，由此引发的后果由供应商承担</w:t>
      </w:r>
      <w:r>
        <w:rPr>
          <w:rFonts w:hAnsi="宋体"/>
          <w:bCs/>
          <w:color w:val="000000"/>
          <w:highlight w:val="none"/>
        </w:rPr>
        <w:t>。</w:t>
      </w:r>
    </w:p>
    <w:p w14:paraId="03C53DE1">
      <w:pPr>
        <w:pStyle w:val="40"/>
        <w:spacing w:line="360" w:lineRule="auto"/>
        <w:ind w:left="19" w:leftChars="9" w:firstLine="399" w:firstLineChars="190"/>
        <w:rPr>
          <w:rFonts w:hAnsi="宋体"/>
          <w:color w:val="000000"/>
          <w:highlight w:val="none"/>
        </w:rPr>
      </w:pPr>
      <w:r>
        <w:rPr>
          <w:rFonts w:hAnsi="宋体"/>
          <w:color w:val="000000"/>
          <w:highlight w:val="none"/>
        </w:rPr>
        <w:t>10.3供应商应完整、真实、准确的填写磋商文件中规定的所有内容。</w:t>
      </w:r>
    </w:p>
    <w:p w14:paraId="08A09230">
      <w:pPr>
        <w:pStyle w:val="40"/>
        <w:spacing w:line="360" w:lineRule="auto"/>
        <w:ind w:left="525" w:leftChars="200" w:hanging="105" w:hangingChars="50"/>
        <w:rPr>
          <w:rFonts w:hAnsi="宋体"/>
          <w:color w:val="000000"/>
          <w:highlight w:val="none"/>
        </w:rPr>
      </w:pPr>
      <w:r>
        <w:rPr>
          <w:rFonts w:hAnsi="宋体"/>
          <w:color w:val="000000"/>
          <w:highlight w:val="none"/>
        </w:rPr>
        <w:t>10.4供应商必须对响应文件所提供的全部资料的真实性承担法律责任，并无条件接受采购单位及政府采购监督管理部门等对其中任何资料进行核实的要求。</w:t>
      </w:r>
    </w:p>
    <w:p w14:paraId="30D55CEB">
      <w:pPr>
        <w:pStyle w:val="40"/>
        <w:spacing w:line="360" w:lineRule="auto"/>
        <w:ind w:left="525" w:leftChars="200" w:hanging="105" w:hangingChars="50"/>
        <w:rPr>
          <w:rFonts w:hAnsi="宋体"/>
          <w:color w:val="000000"/>
          <w:highlight w:val="none"/>
        </w:rPr>
      </w:pPr>
      <w:r>
        <w:rPr>
          <w:rFonts w:hAnsi="宋体"/>
          <w:color w:val="000000"/>
          <w:highlight w:val="none"/>
        </w:rPr>
        <w:t>10.5如果因为供应商响应文件填报的内容不详，或没有提供磋商文件中所要求的全部资料及数据，由此造成的后果，其责任由供应商承担。</w:t>
      </w:r>
    </w:p>
    <w:p w14:paraId="61552D72">
      <w:pPr>
        <w:pStyle w:val="7"/>
        <w:spacing w:before="0" w:after="0" w:line="360" w:lineRule="auto"/>
        <w:rPr>
          <w:rFonts w:hint="eastAsia" w:ascii="宋体" w:hAnsi="宋体" w:eastAsia="宋体"/>
          <w:color w:val="000000"/>
          <w:sz w:val="21"/>
          <w:szCs w:val="21"/>
          <w:highlight w:val="none"/>
        </w:rPr>
      </w:pPr>
      <w:bookmarkStart w:id="136" w:name="_Toc19296"/>
      <w:bookmarkStart w:id="137" w:name="_Toc486196150"/>
      <w:bookmarkStart w:id="138" w:name="_Toc206525693"/>
      <w:bookmarkStart w:id="139" w:name="_Toc108539727"/>
      <w:bookmarkStart w:id="140" w:name="_Toc185702560"/>
      <w:bookmarkStart w:id="141" w:name="_Toc230578068"/>
      <w:bookmarkStart w:id="142" w:name="_Toc207770846"/>
      <w:bookmarkStart w:id="143" w:name="_Toc486922967"/>
      <w:bookmarkStart w:id="144" w:name="_Toc239839874"/>
      <w:r>
        <w:rPr>
          <w:rFonts w:hint="eastAsia" w:ascii="宋体" w:hAnsi="宋体" w:eastAsia="宋体"/>
          <w:color w:val="000000"/>
          <w:sz w:val="21"/>
          <w:szCs w:val="21"/>
          <w:highlight w:val="none"/>
        </w:rPr>
        <w:t>11．磋商报价</w:t>
      </w:r>
      <w:bookmarkEnd w:id="136"/>
      <w:bookmarkEnd w:id="137"/>
      <w:bookmarkEnd w:id="138"/>
      <w:bookmarkEnd w:id="139"/>
      <w:bookmarkEnd w:id="140"/>
      <w:bookmarkEnd w:id="141"/>
      <w:bookmarkEnd w:id="142"/>
      <w:bookmarkEnd w:id="143"/>
      <w:bookmarkEnd w:id="144"/>
    </w:p>
    <w:p w14:paraId="4ACDF359">
      <w:pPr>
        <w:pStyle w:val="40"/>
        <w:spacing w:line="360" w:lineRule="auto"/>
        <w:ind w:left="525" w:hanging="525" w:hangingChars="250"/>
        <w:rPr>
          <w:rFonts w:hAnsi="宋体"/>
          <w:color w:val="000000"/>
          <w:highlight w:val="none"/>
        </w:rPr>
      </w:pPr>
      <w:r>
        <w:rPr>
          <w:rFonts w:hAnsi="宋体"/>
          <w:color w:val="000000"/>
          <w:highlight w:val="none"/>
        </w:rPr>
        <w:t>11.1供应商所提供的货物和服务均应以人民币报价，若同时以人民币及外币报价的，以人民币报价为准。</w:t>
      </w:r>
    </w:p>
    <w:p w14:paraId="165A0A56">
      <w:pPr>
        <w:pStyle w:val="40"/>
        <w:spacing w:line="360" w:lineRule="auto"/>
        <w:ind w:left="525" w:hanging="525" w:hangingChars="250"/>
        <w:rPr>
          <w:rFonts w:hAnsi="宋体"/>
          <w:color w:val="000000"/>
          <w:highlight w:val="none"/>
        </w:rPr>
      </w:pPr>
      <w:r>
        <w:rPr>
          <w:rFonts w:hAnsi="宋体"/>
          <w:color w:val="000000"/>
          <w:highlight w:val="none"/>
        </w:rPr>
        <w:t>11.2供应商应按照“第三章《采购内容及要求》”规定的内容、责任范围、工程量清单、施工图纸以及合同条款进行报价。磋商总价中不得包含磋商文件要求以外的内容，否则，在评标时不予核减。磋商总价中不得缺漏磋商文件所要求的内容，否则，其磋商将可能被视为无效响应或确定为响应无效。</w:t>
      </w:r>
    </w:p>
    <w:p w14:paraId="7ED9A370">
      <w:pPr>
        <w:pStyle w:val="40"/>
        <w:spacing w:line="360" w:lineRule="auto"/>
        <w:ind w:left="525" w:hanging="525" w:hangingChars="250"/>
        <w:rPr>
          <w:rFonts w:hAnsi="宋体"/>
          <w:bCs/>
          <w:color w:val="000000"/>
          <w:highlight w:val="none"/>
        </w:rPr>
      </w:pPr>
      <w:r>
        <w:rPr>
          <w:rFonts w:hAnsi="宋体"/>
          <w:bCs/>
          <w:color w:val="000000"/>
          <w:highlight w:val="none"/>
        </w:rPr>
        <w:t>11.3 编制依据：详见本章须知前附表第22项所述，供应商参照以上有关规定并结合梧州市市场实际情况和企业的承受能力由供应商自主报价。</w:t>
      </w:r>
    </w:p>
    <w:p w14:paraId="766F2278">
      <w:pPr>
        <w:pStyle w:val="40"/>
        <w:spacing w:line="360" w:lineRule="auto"/>
        <w:ind w:left="525" w:hanging="525" w:hangingChars="250"/>
        <w:rPr>
          <w:rFonts w:hAnsi="宋体"/>
          <w:bCs/>
          <w:color w:val="000000"/>
          <w:highlight w:val="none"/>
        </w:rPr>
      </w:pPr>
      <w:r>
        <w:rPr>
          <w:rFonts w:hAnsi="宋体"/>
          <w:bCs/>
          <w:color w:val="000000"/>
          <w:highlight w:val="none"/>
        </w:rPr>
        <w:t>11.4供应商的磋商报价，应是完成本项目磋商范围及工期的全部，不得以任何理由予以重复，作为供应商计算单价或总价的依据。</w:t>
      </w:r>
    </w:p>
    <w:p w14:paraId="1A0C4ACA">
      <w:pPr>
        <w:pStyle w:val="40"/>
        <w:spacing w:line="360" w:lineRule="auto"/>
        <w:rPr>
          <w:rFonts w:hAnsi="宋体"/>
          <w:bCs/>
          <w:color w:val="000000"/>
          <w:highlight w:val="none"/>
        </w:rPr>
      </w:pPr>
      <w:r>
        <w:rPr>
          <w:rFonts w:hAnsi="宋体"/>
          <w:bCs/>
          <w:color w:val="000000"/>
          <w:highlight w:val="none"/>
        </w:rPr>
        <w:t>11.5 本磋商项目除非合同中另有规定，供应商在报价中所报的单价和合价，以及磋商报价汇总表中的价格均</w:t>
      </w:r>
      <w:r>
        <w:rPr>
          <w:rFonts w:hAnsi="宋体"/>
          <w:color w:val="000000"/>
          <w:highlight w:val="none"/>
        </w:rPr>
        <w:t>包含但不限于完成该项目的劳务、材料、机械、质检（自检）、拆除、安装、缺陷修复、管理、保险、税费、利润等费用，以及合同明示或暗示的所有责任、义务和一般风险。因成交供应商自身原因造成漏报、少报皆由其自行承担责任，采购人不再补偿。</w:t>
      </w:r>
    </w:p>
    <w:p w14:paraId="4E03A369">
      <w:pPr>
        <w:pStyle w:val="101"/>
        <w:ind w:firstLine="0"/>
        <w:rPr>
          <w:bCs/>
          <w:color w:val="000000"/>
          <w:sz w:val="21"/>
          <w:szCs w:val="21"/>
          <w:highlight w:val="none"/>
        </w:rPr>
      </w:pPr>
      <w:r>
        <w:rPr>
          <w:bCs/>
          <w:color w:val="000000"/>
          <w:sz w:val="21"/>
          <w:szCs w:val="21"/>
          <w:highlight w:val="none"/>
        </w:rPr>
        <w:t>11.6</w:t>
      </w:r>
      <w:r>
        <w:rPr>
          <w:rFonts w:hint="eastAsia"/>
          <w:bCs/>
          <w:color w:val="000000"/>
          <w:sz w:val="21"/>
          <w:szCs w:val="21"/>
          <w:highlight w:val="none"/>
        </w:rPr>
        <w:t>本工程的磋商报价不准使用报价调整函，磋商函中的报价必须与工程量清单汇总表一致，否则作无效磋商处理。</w:t>
      </w:r>
      <w:r>
        <w:rPr>
          <w:rFonts w:hint="eastAsia"/>
          <w:color w:val="000000"/>
          <w:sz w:val="21"/>
          <w:szCs w:val="21"/>
          <w:highlight w:val="none"/>
        </w:rPr>
        <w:t>二次报价或最终报价必须按工程量清单格式进行报价，其依据及计算规则与首次报价的相同。否则，该磋商报价将被视为无效。请各服务商根据工程量清单格式提前做好再次报价的准备。</w:t>
      </w:r>
    </w:p>
    <w:p w14:paraId="0A5A94C1">
      <w:pPr>
        <w:pStyle w:val="40"/>
        <w:spacing w:line="360" w:lineRule="auto"/>
        <w:ind w:left="525" w:hanging="525" w:hangingChars="250"/>
        <w:rPr>
          <w:rFonts w:hAnsi="宋体"/>
          <w:color w:val="000000"/>
          <w:highlight w:val="none"/>
        </w:rPr>
      </w:pPr>
      <w:r>
        <w:rPr>
          <w:rFonts w:hAnsi="宋体"/>
          <w:color w:val="000000"/>
          <w:highlight w:val="none"/>
        </w:rPr>
        <w:t>11.7本项目磋商报价采用的币种为人民币。</w:t>
      </w:r>
    </w:p>
    <w:p w14:paraId="5B8EF692">
      <w:pPr>
        <w:spacing w:line="360" w:lineRule="auto"/>
        <w:rPr>
          <w:rFonts w:hint="eastAsia" w:ascii="宋体" w:hAnsi="宋体"/>
          <w:b/>
          <w:color w:val="000000"/>
          <w:highlight w:val="none"/>
        </w:rPr>
      </w:pPr>
      <w:r>
        <w:rPr>
          <w:rFonts w:hint="eastAsia" w:ascii="宋体" w:hAnsi="宋体"/>
          <w:b/>
          <w:color w:val="000000"/>
          <w:highlight w:val="none"/>
        </w:rPr>
        <w:t>12.磋商有效期</w:t>
      </w:r>
    </w:p>
    <w:p w14:paraId="19073AE1">
      <w:pPr>
        <w:spacing w:line="360" w:lineRule="auto"/>
        <w:rPr>
          <w:rFonts w:ascii="宋体" w:hAnsi="宋体"/>
          <w:color w:val="000000"/>
          <w:highlight w:val="none"/>
        </w:rPr>
      </w:pPr>
      <w:r>
        <w:rPr>
          <w:rFonts w:ascii="宋体" w:hAnsi="宋体"/>
          <w:color w:val="000000"/>
          <w:highlight w:val="none"/>
        </w:rPr>
        <w:t>12.1磋商有效期：响应文件从磋商截止日起60天内有效。</w:t>
      </w:r>
    </w:p>
    <w:p w14:paraId="718B997C">
      <w:pPr>
        <w:pStyle w:val="40"/>
        <w:spacing w:line="360" w:lineRule="auto"/>
        <w:ind w:left="525" w:hanging="525" w:hangingChars="250"/>
        <w:rPr>
          <w:rFonts w:hAnsi="宋体"/>
          <w:color w:val="000000"/>
          <w:highlight w:val="none"/>
        </w:rPr>
      </w:pPr>
      <w:r>
        <w:rPr>
          <w:rFonts w:hAnsi="宋体"/>
          <w:color w:val="000000"/>
          <w:highlight w:val="none"/>
        </w:rPr>
        <w:t>12.2在特殊情况下，采购人、采购代理机构可于磋商有效期满之前要求供应商同意延长有效期，要求与答复均应以书面形式。供应商可以拒绝上述要求而其磋商保证金不被没收，不同意延期的供应商的磋商保证金将在原磋商有效期满后5个工作日内无息退还（如要求提交保证金）。同意延期的供应商根据原截止期应赋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6FEED996">
      <w:pPr>
        <w:pStyle w:val="7"/>
        <w:spacing w:before="0" w:after="0" w:line="360" w:lineRule="auto"/>
        <w:rPr>
          <w:rFonts w:hint="eastAsia" w:ascii="宋体" w:hAnsi="宋体" w:eastAsia="宋体"/>
          <w:color w:val="000000"/>
          <w:sz w:val="21"/>
          <w:szCs w:val="21"/>
          <w:highlight w:val="none"/>
        </w:rPr>
      </w:pPr>
      <w:bookmarkStart w:id="145" w:name="_Toc185702565"/>
      <w:bookmarkStart w:id="146" w:name="_Toc230578073"/>
      <w:bookmarkStart w:id="147" w:name="_Toc486922969"/>
      <w:bookmarkStart w:id="148" w:name="_Toc486196152"/>
      <w:bookmarkStart w:id="149" w:name="_Toc239839879"/>
      <w:bookmarkStart w:id="150" w:name="_Toc207770851"/>
      <w:bookmarkStart w:id="151" w:name="_Toc206525698"/>
      <w:bookmarkStart w:id="152" w:name="_Toc23791"/>
      <w:bookmarkStart w:id="153" w:name="_Toc108539728"/>
      <w:r>
        <w:rPr>
          <w:rFonts w:hint="eastAsia" w:ascii="宋体" w:hAnsi="宋体" w:eastAsia="宋体"/>
          <w:color w:val="000000"/>
          <w:sz w:val="21"/>
          <w:szCs w:val="21"/>
          <w:highlight w:val="none"/>
        </w:rPr>
        <w:t>13．</w:t>
      </w:r>
      <w:bookmarkEnd w:id="145"/>
      <w:bookmarkEnd w:id="146"/>
      <w:bookmarkEnd w:id="147"/>
      <w:bookmarkEnd w:id="148"/>
      <w:bookmarkEnd w:id="149"/>
      <w:bookmarkEnd w:id="150"/>
      <w:bookmarkEnd w:id="151"/>
      <w:r>
        <w:rPr>
          <w:rFonts w:hint="eastAsia" w:ascii="宋体" w:hAnsi="宋体" w:eastAsia="宋体"/>
          <w:color w:val="000000"/>
          <w:sz w:val="21"/>
          <w:szCs w:val="21"/>
          <w:highlight w:val="none"/>
        </w:rPr>
        <w:t>响应文件编制的要求</w:t>
      </w:r>
      <w:bookmarkEnd w:id="152"/>
      <w:bookmarkEnd w:id="153"/>
    </w:p>
    <w:p w14:paraId="476B9506">
      <w:pPr>
        <w:pStyle w:val="40"/>
        <w:spacing w:line="360" w:lineRule="auto"/>
        <w:ind w:firstLine="420"/>
        <w:rPr>
          <w:rFonts w:hAnsi="宋体"/>
          <w:color w:val="000000"/>
          <w:highlight w:val="none"/>
        </w:rPr>
      </w:pPr>
      <w:r>
        <w:rPr>
          <w:rFonts w:hAnsi="宋体"/>
          <w:color w:val="000000"/>
          <w:highlight w:val="none"/>
        </w:rPr>
        <w:t>13.1响应文件份数：</w:t>
      </w:r>
      <w:r>
        <w:rPr>
          <w:rFonts w:hAnsi="宋体"/>
          <w:bCs/>
          <w:color w:val="000000"/>
          <w:highlight w:val="none"/>
        </w:rPr>
        <w:t>电子加密响应文件在线上传提交一份。</w:t>
      </w:r>
    </w:p>
    <w:p w14:paraId="0199C6E5">
      <w:pPr>
        <w:pStyle w:val="40"/>
        <w:spacing w:line="360" w:lineRule="auto"/>
        <w:ind w:firstLine="420"/>
        <w:rPr>
          <w:rFonts w:hAnsi="宋体"/>
          <w:color w:val="000000"/>
          <w:spacing w:val="-4"/>
          <w:highlight w:val="none"/>
        </w:rPr>
      </w:pPr>
      <w:r>
        <w:rPr>
          <w:rFonts w:hAnsi="宋体"/>
          <w:color w:val="000000"/>
          <w:spacing w:val="-4"/>
          <w:highlight w:val="none"/>
        </w:rPr>
        <w:t>13.2响应文件应由法定代表人</w:t>
      </w:r>
      <w:r>
        <w:rPr>
          <w:rFonts w:hAnsi="宋体"/>
          <w:color w:val="000000"/>
          <w:highlight w:val="none"/>
        </w:rPr>
        <w:t>（负责人）</w:t>
      </w:r>
      <w:r>
        <w:rPr>
          <w:rFonts w:hAnsi="宋体"/>
          <w:color w:val="000000"/>
          <w:spacing w:val="-4"/>
          <w:highlight w:val="none"/>
        </w:rPr>
        <w:t>或委托代理人在规定签名、签章处逐一签名和CA电子公章，否则其磋商无效。</w:t>
      </w:r>
    </w:p>
    <w:p w14:paraId="3124EDD8">
      <w:pPr>
        <w:pStyle w:val="40"/>
        <w:spacing w:line="360" w:lineRule="auto"/>
        <w:ind w:firstLine="420"/>
        <w:rPr>
          <w:rFonts w:hAnsi="宋体"/>
          <w:color w:val="000000"/>
          <w:spacing w:val="-4"/>
          <w:highlight w:val="none"/>
        </w:rPr>
      </w:pPr>
      <w:r>
        <w:rPr>
          <w:rFonts w:hAnsi="宋体"/>
          <w:color w:val="000000"/>
          <w:spacing w:val="-4"/>
          <w:highlight w:val="none"/>
        </w:rPr>
        <w:t>13.3竞争性磋商文件所涉及的法定代表人或其授权代表签字或盖章的内容，如果供应商没有法定代表人</w:t>
      </w:r>
      <w:r>
        <w:rPr>
          <w:rFonts w:hAnsi="宋体"/>
          <w:color w:val="000000"/>
          <w:highlight w:val="none"/>
        </w:rPr>
        <w:t>（负责人）</w:t>
      </w:r>
      <w:r>
        <w:rPr>
          <w:rFonts w:hAnsi="宋体"/>
          <w:color w:val="000000"/>
          <w:spacing w:val="-4"/>
          <w:highlight w:val="none"/>
        </w:rPr>
        <w:t>电子签章，涉及到法定代表人（负责人）或其授权代表签字或盖章的内容，可以线下签字或盖章后扫描上传。</w:t>
      </w:r>
    </w:p>
    <w:p w14:paraId="78F52280">
      <w:pPr>
        <w:pStyle w:val="7"/>
        <w:spacing w:before="0" w:after="0" w:line="360" w:lineRule="auto"/>
        <w:rPr>
          <w:rFonts w:hint="eastAsia" w:ascii="宋体" w:hAnsi="宋体" w:eastAsia="宋体"/>
          <w:color w:val="000000"/>
          <w:sz w:val="21"/>
          <w:szCs w:val="21"/>
          <w:highlight w:val="none"/>
        </w:rPr>
      </w:pPr>
      <w:bookmarkStart w:id="154" w:name="_Toc108539729"/>
      <w:bookmarkStart w:id="155" w:name="_Toc28127"/>
      <w:r>
        <w:rPr>
          <w:rFonts w:hint="eastAsia" w:ascii="宋体" w:hAnsi="宋体" w:eastAsia="宋体"/>
          <w:color w:val="000000"/>
          <w:sz w:val="21"/>
          <w:szCs w:val="21"/>
          <w:highlight w:val="none"/>
        </w:rPr>
        <w:t>14．磋商保证金</w:t>
      </w:r>
      <w:bookmarkEnd w:id="154"/>
      <w:r>
        <w:rPr>
          <w:rFonts w:hint="eastAsia" w:ascii="宋体" w:hAnsi="宋体" w:eastAsia="宋体"/>
          <w:color w:val="000000"/>
          <w:sz w:val="21"/>
          <w:szCs w:val="21"/>
          <w:highlight w:val="none"/>
        </w:rPr>
        <w:t>（如有）</w:t>
      </w:r>
      <w:bookmarkEnd w:id="155"/>
      <w:r>
        <w:rPr>
          <w:rFonts w:hint="eastAsia" w:ascii="宋体" w:hAnsi="宋体" w:eastAsia="宋体"/>
          <w:color w:val="000000"/>
          <w:sz w:val="21"/>
          <w:szCs w:val="21"/>
          <w:highlight w:val="none"/>
        </w:rPr>
        <w:t xml:space="preserve"> </w:t>
      </w:r>
    </w:p>
    <w:p w14:paraId="1C8C5AC0">
      <w:pPr>
        <w:pStyle w:val="40"/>
        <w:spacing w:line="360" w:lineRule="auto"/>
        <w:ind w:firstLine="420"/>
        <w:rPr>
          <w:rFonts w:hAnsi="宋体"/>
          <w:color w:val="000000"/>
          <w:spacing w:val="-4"/>
          <w:highlight w:val="none"/>
        </w:rPr>
      </w:pPr>
      <w:r>
        <w:rPr>
          <w:rFonts w:hAnsi="宋体"/>
          <w:color w:val="000000"/>
          <w:spacing w:val="-4"/>
          <w:highlight w:val="none"/>
        </w:rPr>
        <w:t xml:space="preserve">14.1 </w:t>
      </w:r>
      <w:r>
        <w:rPr>
          <w:rFonts w:hAnsi="宋体"/>
          <w:color w:val="000000"/>
          <w:highlight w:val="none"/>
        </w:rPr>
        <w:t>磋商保证金的递交：供应商</w:t>
      </w:r>
      <w:r>
        <w:rPr>
          <w:rFonts w:hAnsi="宋体"/>
          <w:color w:val="000000"/>
          <w:spacing w:val="-4"/>
          <w:highlight w:val="none"/>
        </w:rPr>
        <w:t>必须按</w:t>
      </w:r>
      <w:r>
        <w:rPr>
          <w:rFonts w:hAnsi="宋体"/>
          <w:color w:val="000000"/>
          <w:highlight w:val="none"/>
        </w:rPr>
        <w:t>供应商</w:t>
      </w:r>
      <w:r>
        <w:rPr>
          <w:rFonts w:hAnsi="宋体"/>
          <w:color w:val="000000"/>
          <w:spacing w:val="-4"/>
          <w:highlight w:val="none"/>
        </w:rPr>
        <w:t>须知前附表第9项的要求递交</w:t>
      </w:r>
      <w:r>
        <w:rPr>
          <w:rFonts w:hAnsi="宋体"/>
          <w:color w:val="000000"/>
          <w:highlight w:val="none"/>
        </w:rPr>
        <w:t>磋商保证金。</w:t>
      </w:r>
    </w:p>
    <w:p w14:paraId="05B941AD">
      <w:pPr>
        <w:pStyle w:val="40"/>
        <w:spacing w:line="360" w:lineRule="auto"/>
        <w:ind w:firstLine="420"/>
        <w:rPr>
          <w:rFonts w:hAnsi="宋体"/>
          <w:color w:val="000000"/>
          <w:highlight w:val="none"/>
        </w:rPr>
      </w:pPr>
      <w:r>
        <w:rPr>
          <w:rFonts w:hAnsi="宋体"/>
          <w:color w:val="000000"/>
          <w:highlight w:val="none"/>
        </w:rPr>
        <w:t>14.2磋商保证金的退还：</w:t>
      </w:r>
    </w:p>
    <w:p w14:paraId="6451085F">
      <w:pPr>
        <w:pStyle w:val="40"/>
        <w:spacing w:line="360" w:lineRule="auto"/>
        <w:ind w:firstLine="420"/>
        <w:rPr>
          <w:rFonts w:hAnsi="宋体"/>
          <w:color w:val="000000"/>
          <w:highlight w:val="none"/>
        </w:rPr>
      </w:pPr>
      <w:r>
        <w:rPr>
          <w:rFonts w:hAnsi="宋体"/>
          <w:color w:val="000000"/>
          <w:highlight w:val="none"/>
        </w:rPr>
        <w:t>14.2.1自成交通知书发出之日起5个工作日内退还未成交供应商的磋商保证金，自采购合同签订之日起5个工作日内退还成交供应商的磋商保证金或者转为成交供应商的履约保证金（如有）。</w:t>
      </w:r>
    </w:p>
    <w:p w14:paraId="15E84510">
      <w:pPr>
        <w:pStyle w:val="40"/>
        <w:spacing w:line="360" w:lineRule="auto"/>
        <w:ind w:firstLine="420"/>
        <w:rPr>
          <w:rFonts w:hAnsi="宋体"/>
          <w:color w:val="000000"/>
          <w:highlight w:val="none"/>
        </w:rPr>
      </w:pPr>
      <w:r>
        <w:rPr>
          <w:rFonts w:hAnsi="宋体"/>
          <w:color w:val="000000"/>
          <w:highlight w:val="none"/>
        </w:rPr>
        <w:t>14.2.2 涉及质疑和投诉的供应商，在质疑和投诉调查处理结束前其磋商保证金暂不退还。</w:t>
      </w:r>
    </w:p>
    <w:p w14:paraId="6AA8DF53">
      <w:pPr>
        <w:pStyle w:val="40"/>
        <w:spacing w:line="360" w:lineRule="auto"/>
        <w:ind w:firstLine="420"/>
        <w:rPr>
          <w:rFonts w:hAnsi="宋体"/>
          <w:color w:val="000000"/>
          <w:highlight w:val="none"/>
        </w:rPr>
      </w:pPr>
      <w:r>
        <w:rPr>
          <w:rFonts w:hAnsi="宋体"/>
          <w:color w:val="000000"/>
          <w:highlight w:val="none"/>
        </w:rPr>
        <w:t>14.2.3供应商有下列情形之一时，磋商保证金证金将不予退还：</w:t>
      </w:r>
    </w:p>
    <w:p w14:paraId="59E022CA">
      <w:pPr>
        <w:pStyle w:val="40"/>
        <w:spacing w:line="360" w:lineRule="auto"/>
        <w:ind w:firstLine="735" w:firstLineChars="350"/>
        <w:rPr>
          <w:rFonts w:hAnsi="宋体"/>
          <w:bCs/>
          <w:color w:val="000000"/>
          <w:highlight w:val="none"/>
        </w:rPr>
      </w:pPr>
      <w:r>
        <w:rPr>
          <w:rFonts w:hAnsi="宋体"/>
          <w:bCs/>
          <w:color w:val="000000"/>
          <w:highlight w:val="none"/>
        </w:rPr>
        <w:t>（1）供应商在提交响应文件截止时间后撤回响应文件的；</w:t>
      </w:r>
    </w:p>
    <w:p w14:paraId="5ECD9382">
      <w:pPr>
        <w:pStyle w:val="40"/>
        <w:spacing w:line="360" w:lineRule="auto"/>
        <w:ind w:firstLine="735" w:firstLineChars="350"/>
        <w:rPr>
          <w:rFonts w:hAnsi="宋体"/>
          <w:bCs/>
          <w:color w:val="000000"/>
          <w:highlight w:val="none"/>
        </w:rPr>
      </w:pPr>
      <w:r>
        <w:rPr>
          <w:rFonts w:hAnsi="宋体"/>
          <w:bCs/>
          <w:color w:val="000000"/>
          <w:highlight w:val="none"/>
        </w:rPr>
        <w:t>（2）供应商在响应文件中提供虚假材料的；</w:t>
      </w:r>
    </w:p>
    <w:p w14:paraId="02E901B3">
      <w:pPr>
        <w:pStyle w:val="40"/>
        <w:spacing w:line="360" w:lineRule="auto"/>
        <w:ind w:firstLine="735" w:firstLineChars="350"/>
        <w:rPr>
          <w:rFonts w:hAnsi="宋体"/>
          <w:bCs/>
          <w:color w:val="000000"/>
          <w:highlight w:val="none"/>
        </w:rPr>
      </w:pPr>
      <w:r>
        <w:rPr>
          <w:rFonts w:hAnsi="宋体"/>
          <w:bCs/>
          <w:color w:val="000000"/>
          <w:highlight w:val="none"/>
        </w:rPr>
        <w:t>（3）除因不可抗力或磋商文件认可的情形以外，成交供应商不与采购人签订合同的；</w:t>
      </w:r>
    </w:p>
    <w:p w14:paraId="22276787">
      <w:pPr>
        <w:pStyle w:val="40"/>
        <w:spacing w:line="360" w:lineRule="auto"/>
        <w:ind w:firstLine="735" w:firstLineChars="350"/>
        <w:rPr>
          <w:rFonts w:hAnsi="宋体"/>
          <w:bCs/>
          <w:color w:val="000000"/>
          <w:highlight w:val="none"/>
        </w:rPr>
      </w:pPr>
      <w:r>
        <w:rPr>
          <w:rFonts w:hAnsi="宋体"/>
          <w:bCs/>
          <w:color w:val="000000"/>
          <w:highlight w:val="none"/>
        </w:rPr>
        <w:t>（4）供应商与采购人、其他供应商或者采购代理机构恶意串通的；</w:t>
      </w:r>
    </w:p>
    <w:p w14:paraId="4DCFB643">
      <w:pPr>
        <w:pStyle w:val="40"/>
        <w:spacing w:line="360" w:lineRule="auto"/>
        <w:ind w:firstLine="735" w:firstLineChars="350"/>
        <w:rPr>
          <w:rFonts w:hAnsi="宋体"/>
          <w:bCs/>
          <w:color w:val="000000"/>
          <w:highlight w:val="none"/>
        </w:rPr>
      </w:pPr>
      <w:r>
        <w:rPr>
          <w:rFonts w:hAnsi="宋体"/>
          <w:bCs/>
          <w:color w:val="000000"/>
          <w:highlight w:val="none"/>
        </w:rPr>
        <w:t>（5）磋商文件规定的其他情形。</w:t>
      </w:r>
    </w:p>
    <w:p w14:paraId="78A76B82">
      <w:pPr>
        <w:spacing w:line="360" w:lineRule="auto"/>
        <w:rPr>
          <w:color w:val="000000"/>
          <w:highlight w:val="none"/>
        </w:rPr>
      </w:pPr>
    </w:p>
    <w:p w14:paraId="63FACB72">
      <w:pPr>
        <w:pStyle w:val="6"/>
        <w:spacing w:line="360" w:lineRule="auto"/>
        <w:jc w:val="center"/>
        <w:rPr>
          <w:rFonts w:hint="eastAsia" w:ascii="宋体" w:hAnsi="宋体"/>
          <w:color w:val="000000"/>
          <w:highlight w:val="none"/>
        </w:rPr>
      </w:pPr>
      <w:bookmarkStart w:id="156" w:name="_Toc2350"/>
      <w:bookmarkStart w:id="157" w:name="_Toc108539730"/>
      <w:r>
        <w:rPr>
          <w:rFonts w:hint="eastAsia" w:ascii="宋体" w:hAnsi="宋体"/>
          <w:color w:val="000000"/>
          <w:highlight w:val="none"/>
        </w:rPr>
        <w:t xml:space="preserve">四   </w:t>
      </w:r>
      <w:r>
        <w:rPr>
          <w:rFonts w:hint="eastAsia" w:ascii="宋体" w:hAnsi="宋体"/>
          <w:bCs/>
          <w:color w:val="000000"/>
          <w:highlight w:val="none"/>
        </w:rPr>
        <w:t>响应文件的上传、提交、修改、撤回和解密</w:t>
      </w:r>
      <w:bookmarkEnd w:id="156"/>
      <w:bookmarkEnd w:id="157"/>
    </w:p>
    <w:p w14:paraId="09D432FF">
      <w:pPr>
        <w:pStyle w:val="7"/>
        <w:spacing w:before="0" w:after="0" w:line="360" w:lineRule="auto"/>
        <w:rPr>
          <w:rFonts w:hint="eastAsia" w:ascii="宋体" w:hAnsi="宋体" w:eastAsia="宋体"/>
          <w:color w:val="000000"/>
          <w:sz w:val="21"/>
          <w:szCs w:val="21"/>
          <w:highlight w:val="none"/>
        </w:rPr>
      </w:pPr>
      <w:bookmarkStart w:id="158" w:name="_Toc239839882"/>
      <w:bookmarkStart w:id="159" w:name="_Toc206525701"/>
      <w:bookmarkStart w:id="160" w:name="_Toc486196155"/>
      <w:bookmarkStart w:id="161" w:name="_Toc207770854"/>
      <w:bookmarkStart w:id="162" w:name="_Toc185702568"/>
      <w:bookmarkStart w:id="163" w:name="_Toc486922972"/>
      <w:bookmarkStart w:id="164" w:name="_Toc230578076"/>
      <w:bookmarkStart w:id="165" w:name="_Toc12307"/>
      <w:bookmarkStart w:id="166" w:name="_Toc108539731"/>
      <w:r>
        <w:rPr>
          <w:rFonts w:hint="eastAsia" w:ascii="宋体" w:hAnsi="宋体" w:eastAsia="宋体"/>
          <w:color w:val="000000"/>
          <w:sz w:val="21"/>
          <w:szCs w:val="21"/>
          <w:highlight w:val="none"/>
        </w:rPr>
        <w:t>15．</w:t>
      </w:r>
      <w:bookmarkEnd w:id="158"/>
      <w:bookmarkEnd w:id="159"/>
      <w:bookmarkEnd w:id="160"/>
      <w:bookmarkEnd w:id="161"/>
      <w:bookmarkEnd w:id="162"/>
      <w:bookmarkEnd w:id="163"/>
      <w:bookmarkEnd w:id="164"/>
      <w:bookmarkStart w:id="167" w:name="_Toc517938809"/>
      <w:r>
        <w:rPr>
          <w:rFonts w:hint="eastAsia" w:ascii="宋体" w:hAnsi="宋体" w:eastAsia="宋体"/>
          <w:color w:val="000000"/>
          <w:sz w:val="21"/>
          <w:szCs w:val="21"/>
          <w:highlight w:val="none"/>
        </w:rPr>
        <w:t>响应文件的上传、提交、解密</w:t>
      </w:r>
      <w:bookmarkEnd w:id="165"/>
      <w:bookmarkEnd w:id="166"/>
      <w:bookmarkEnd w:id="167"/>
    </w:p>
    <w:p w14:paraId="3DC97675">
      <w:pPr>
        <w:spacing w:line="360" w:lineRule="auto"/>
        <w:ind w:firstLine="435"/>
        <w:rPr>
          <w:rFonts w:hint="eastAsia" w:ascii="宋体" w:hAnsi="宋体"/>
          <w:color w:val="000000"/>
          <w:szCs w:val="21"/>
          <w:highlight w:val="none"/>
        </w:rPr>
      </w:pPr>
      <w:r>
        <w:rPr>
          <w:rFonts w:hint="eastAsia" w:ascii="宋体" w:hAnsi="宋体"/>
          <w:color w:val="000000"/>
          <w:szCs w:val="21"/>
          <w:highlight w:val="none"/>
        </w:rPr>
        <w:t>15.1响应文件的上传和提交：见本章须知前附表第10项</w:t>
      </w:r>
    </w:p>
    <w:p w14:paraId="1ABD0F0D">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15.2响应文件提交时间和地点：见本章须知前附表第10项</w:t>
      </w:r>
    </w:p>
    <w:p w14:paraId="01978AAE">
      <w:pPr>
        <w:pStyle w:val="40"/>
        <w:spacing w:line="360" w:lineRule="auto"/>
        <w:ind w:firstLine="420"/>
        <w:rPr>
          <w:rFonts w:hAnsi="宋体"/>
          <w:color w:val="000000"/>
          <w:highlight w:val="none"/>
        </w:rPr>
      </w:pPr>
      <w:r>
        <w:rPr>
          <w:rFonts w:hAnsi="宋体"/>
          <w:color w:val="000000"/>
          <w:highlight w:val="none"/>
        </w:rPr>
        <w:t>15.3 电子加密响应文件的解密：截标后，采购代理机构将向各供应商发出“电子加密响应文件”的解密通知，各供应商代表应当在接到解密通知后30分钟内自行完成“电子加密响应文件”的在线解密。若供应商在规定时间内无法完成解密或解密失败，系统默认供应商自动放弃参与采购活动。若供应商在规定时间内因系统问题导致解密失败的，应尽快致电广西政府采购云平台解决（广西政府采购云平台咨询电话：95763）</w:t>
      </w:r>
    </w:p>
    <w:p w14:paraId="5AEAD1E2">
      <w:pPr>
        <w:pStyle w:val="7"/>
        <w:spacing w:before="0" w:after="0" w:line="360" w:lineRule="auto"/>
        <w:rPr>
          <w:rFonts w:hint="eastAsia" w:ascii="宋体" w:hAnsi="宋体" w:eastAsia="宋体"/>
          <w:color w:val="000000"/>
          <w:sz w:val="21"/>
          <w:szCs w:val="21"/>
          <w:highlight w:val="none"/>
        </w:rPr>
      </w:pPr>
      <w:bookmarkStart w:id="168" w:name="_Toc486196157"/>
      <w:bookmarkStart w:id="169" w:name="_Toc207770856"/>
      <w:bookmarkStart w:id="170" w:name="_Toc230578078"/>
      <w:bookmarkStart w:id="171" w:name="_Toc147250332"/>
      <w:bookmarkStart w:id="172" w:name="_Toc206525703"/>
      <w:bookmarkStart w:id="173" w:name="_Toc147250534"/>
      <w:bookmarkStart w:id="174" w:name="_Toc239839884"/>
      <w:bookmarkStart w:id="175" w:name="_Toc26457"/>
      <w:bookmarkStart w:id="176" w:name="_Toc185702570"/>
      <w:bookmarkStart w:id="177" w:name="_Toc147250378"/>
      <w:bookmarkStart w:id="178" w:name="_Toc486922974"/>
      <w:bookmarkStart w:id="179" w:name="_Toc108539732"/>
      <w:r>
        <w:rPr>
          <w:rFonts w:hint="eastAsia" w:ascii="宋体" w:hAnsi="宋体" w:eastAsia="宋体"/>
          <w:color w:val="000000"/>
          <w:sz w:val="21"/>
          <w:szCs w:val="21"/>
          <w:highlight w:val="none"/>
        </w:rPr>
        <w:t>16．响应文件的修改和撤回</w:t>
      </w:r>
      <w:bookmarkEnd w:id="168"/>
      <w:bookmarkEnd w:id="169"/>
      <w:bookmarkEnd w:id="170"/>
      <w:bookmarkEnd w:id="171"/>
      <w:bookmarkEnd w:id="172"/>
      <w:bookmarkEnd w:id="173"/>
      <w:bookmarkEnd w:id="174"/>
      <w:bookmarkEnd w:id="175"/>
      <w:bookmarkEnd w:id="176"/>
      <w:bookmarkEnd w:id="177"/>
      <w:bookmarkEnd w:id="178"/>
      <w:bookmarkEnd w:id="179"/>
    </w:p>
    <w:p w14:paraId="11ED81E0">
      <w:pPr>
        <w:pStyle w:val="6"/>
        <w:spacing w:line="360" w:lineRule="auto"/>
        <w:jc w:val="left"/>
        <w:rPr>
          <w:rFonts w:hint="eastAsia" w:ascii="宋体" w:hAnsi="宋体"/>
          <w:b w:val="0"/>
          <w:color w:val="000000"/>
          <w:szCs w:val="21"/>
          <w:highlight w:val="none"/>
        </w:rPr>
      </w:pPr>
      <w:bookmarkStart w:id="180" w:name="_Toc12105"/>
      <w:bookmarkStart w:id="181" w:name="_Toc108539733"/>
      <w:bookmarkStart w:id="182" w:name="_Toc14930"/>
      <w:r>
        <w:rPr>
          <w:rFonts w:hint="eastAsia" w:ascii="宋体" w:hAnsi="宋体"/>
          <w:b w:val="0"/>
          <w:color w:val="000000"/>
          <w:szCs w:val="21"/>
          <w:highlight w:val="none"/>
        </w:rPr>
        <w:t>供应商应当在提交响应文件截止时间前完成响应文件的上传、提交，并可以补充、修改或者撤回响应文件。补充或者修改响应文件的，应当先行撤回原文件，补充、修改后重新上传、提交。磋商截止时间前未完成上传、提交的，视为撤回响应文件。磋商截止时间后提交的响应文件，“广西政府采购云平台”将予以拒收。磋商截止时间后，供应商不得撤回、修改响应文件。</w:t>
      </w:r>
      <w:bookmarkEnd w:id="180"/>
      <w:bookmarkEnd w:id="181"/>
      <w:bookmarkEnd w:id="182"/>
    </w:p>
    <w:p w14:paraId="7D64E01B">
      <w:pPr>
        <w:pStyle w:val="101"/>
        <w:rPr>
          <w:color w:val="000000"/>
          <w:highlight w:val="none"/>
        </w:rPr>
      </w:pPr>
    </w:p>
    <w:p w14:paraId="4F13BBCA">
      <w:pPr>
        <w:pStyle w:val="6"/>
        <w:spacing w:line="360" w:lineRule="auto"/>
        <w:jc w:val="center"/>
        <w:rPr>
          <w:rFonts w:hint="eastAsia" w:ascii="宋体" w:hAnsi="宋体"/>
          <w:color w:val="000000"/>
          <w:highlight w:val="none"/>
        </w:rPr>
      </w:pPr>
      <w:bookmarkStart w:id="183" w:name="_Toc108539734"/>
      <w:bookmarkStart w:id="184" w:name="_Toc8443"/>
      <w:r>
        <w:rPr>
          <w:rFonts w:hint="eastAsia" w:ascii="宋体" w:hAnsi="宋体"/>
          <w:color w:val="000000"/>
          <w:highlight w:val="none"/>
        </w:rPr>
        <w:t>五   竞争性磋商（简称磋商）与评审</w:t>
      </w:r>
      <w:bookmarkEnd w:id="183"/>
      <w:bookmarkEnd w:id="184"/>
    </w:p>
    <w:p w14:paraId="5416DA4C">
      <w:pPr>
        <w:pStyle w:val="7"/>
        <w:spacing w:before="0" w:after="0" w:line="360" w:lineRule="auto"/>
        <w:rPr>
          <w:rFonts w:hint="eastAsia" w:ascii="宋体" w:hAnsi="宋体" w:eastAsia="宋体"/>
          <w:color w:val="000000"/>
          <w:sz w:val="21"/>
          <w:szCs w:val="21"/>
          <w:highlight w:val="none"/>
        </w:rPr>
      </w:pPr>
      <w:bookmarkStart w:id="185" w:name="_Toc239839886"/>
      <w:bookmarkStart w:id="186" w:name="_Toc185702572"/>
      <w:bookmarkStart w:id="187" w:name="_Toc230578080"/>
      <w:bookmarkStart w:id="188" w:name="_Toc206525705"/>
      <w:bookmarkStart w:id="189" w:name="_Toc207770858"/>
      <w:bookmarkStart w:id="190" w:name="_Toc12405"/>
      <w:bookmarkStart w:id="191" w:name="_Toc486196159"/>
      <w:bookmarkStart w:id="192" w:name="_Toc108539735"/>
      <w:bookmarkStart w:id="193" w:name="_Toc486922976"/>
      <w:r>
        <w:rPr>
          <w:rFonts w:hint="eastAsia" w:ascii="宋体" w:hAnsi="宋体" w:eastAsia="宋体"/>
          <w:color w:val="000000"/>
          <w:sz w:val="21"/>
          <w:szCs w:val="21"/>
          <w:highlight w:val="none"/>
        </w:rPr>
        <w:t>1</w:t>
      </w:r>
      <w:bookmarkEnd w:id="185"/>
      <w:bookmarkEnd w:id="186"/>
      <w:bookmarkEnd w:id="187"/>
      <w:bookmarkEnd w:id="188"/>
      <w:bookmarkEnd w:id="189"/>
      <w:r>
        <w:rPr>
          <w:rFonts w:hint="eastAsia" w:ascii="宋体" w:hAnsi="宋体" w:eastAsia="宋体"/>
          <w:color w:val="000000"/>
          <w:sz w:val="21"/>
          <w:szCs w:val="21"/>
          <w:highlight w:val="none"/>
        </w:rPr>
        <w:t>7．组建磋商小组</w:t>
      </w:r>
      <w:bookmarkEnd w:id="190"/>
      <w:bookmarkEnd w:id="191"/>
      <w:bookmarkEnd w:id="192"/>
      <w:bookmarkEnd w:id="193"/>
    </w:p>
    <w:p w14:paraId="7DA41008">
      <w:pPr>
        <w:pStyle w:val="40"/>
        <w:spacing w:line="360" w:lineRule="auto"/>
        <w:ind w:left="525" w:hanging="525" w:hangingChars="250"/>
        <w:rPr>
          <w:rFonts w:hAnsi="宋体"/>
          <w:color w:val="000000"/>
          <w:highlight w:val="none"/>
        </w:rPr>
      </w:pPr>
      <w:r>
        <w:rPr>
          <w:rFonts w:hAnsi="宋体"/>
          <w:color w:val="000000"/>
          <w:highlight w:val="none"/>
        </w:rPr>
        <w:t>17.1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4775AADD">
      <w:pPr>
        <w:pStyle w:val="40"/>
        <w:spacing w:line="360" w:lineRule="auto"/>
        <w:ind w:left="525" w:hanging="525" w:hangingChars="250"/>
        <w:rPr>
          <w:rFonts w:hAnsi="宋体"/>
          <w:color w:val="000000"/>
          <w:highlight w:val="none"/>
        </w:rPr>
      </w:pPr>
      <w:r>
        <w:rPr>
          <w:rFonts w:hAnsi="宋体"/>
          <w:color w:val="000000"/>
          <w:highlight w:val="none"/>
        </w:rPr>
        <w:t>17.2评审专家应当遵守评审工作纪律，不得泄露评审情况和评审中获悉的商业秘密。</w:t>
      </w:r>
    </w:p>
    <w:p w14:paraId="6BCB0940">
      <w:pPr>
        <w:pStyle w:val="7"/>
        <w:spacing w:before="0" w:after="0" w:line="360" w:lineRule="auto"/>
        <w:rPr>
          <w:rFonts w:hint="eastAsia" w:ascii="宋体" w:hAnsi="宋体" w:eastAsia="宋体"/>
          <w:color w:val="000000"/>
          <w:sz w:val="21"/>
          <w:szCs w:val="21"/>
          <w:highlight w:val="none"/>
        </w:rPr>
      </w:pPr>
      <w:bookmarkStart w:id="194" w:name="_Toc206525706"/>
      <w:bookmarkStart w:id="195" w:name="_Toc207770859"/>
      <w:bookmarkStart w:id="196" w:name="_Toc239839887"/>
      <w:bookmarkStart w:id="197" w:name="_Toc230578081"/>
      <w:bookmarkStart w:id="198" w:name="_Toc185702573"/>
      <w:bookmarkStart w:id="199" w:name="_Toc108539736"/>
      <w:bookmarkStart w:id="200" w:name="_Toc486922977"/>
      <w:bookmarkStart w:id="201" w:name="_Toc20753"/>
      <w:bookmarkStart w:id="202" w:name="_Toc486196160"/>
      <w:r>
        <w:rPr>
          <w:rFonts w:hint="eastAsia" w:ascii="宋体" w:hAnsi="宋体" w:eastAsia="宋体"/>
          <w:color w:val="000000"/>
          <w:sz w:val="21"/>
          <w:szCs w:val="21"/>
          <w:highlight w:val="none"/>
        </w:rPr>
        <w:t>18．评</w:t>
      </w:r>
      <w:bookmarkEnd w:id="194"/>
      <w:bookmarkEnd w:id="195"/>
      <w:bookmarkEnd w:id="196"/>
      <w:bookmarkEnd w:id="197"/>
      <w:bookmarkEnd w:id="198"/>
      <w:r>
        <w:rPr>
          <w:rFonts w:hint="eastAsia" w:ascii="宋体" w:hAnsi="宋体" w:eastAsia="宋体"/>
          <w:color w:val="000000"/>
          <w:sz w:val="21"/>
          <w:szCs w:val="21"/>
          <w:highlight w:val="none"/>
        </w:rPr>
        <w:t>审</w:t>
      </w:r>
      <w:bookmarkEnd w:id="199"/>
      <w:bookmarkEnd w:id="200"/>
      <w:bookmarkEnd w:id="201"/>
      <w:bookmarkEnd w:id="202"/>
    </w:p>
    <w:p w14:paraId="67CA222F">
      <w:pPr>
        <w:pStyle w:val="40"/>
        <w:spacing w:line="360" w:lineRule="auto"/>
        <w:ind w:left="525" w:hanging="525" w:hangingChars="250"/>
        <w:rPr>
          <w:rFonts w:hAnsi="宋体"/>
          <w:color w:val="000000"/>
          <w:highlight w:val="none"/>
        </w:rPr>
      </w:pPr>
      <w:r>
        <w:rPr>
          <w:rFonts w:hAnsi="宋体"/>
          <w:color w:val="000000"/>
          <w:highlight w:val="none"/>
        </w:rPr>
        <w:t>18.1本采购项目采用不公开方式评标，评标的依据为磋商文件和响应文件及磋商应答文件等。磋商小组决定响应文件的响应性只根据响应文件本身的内容，而不寻找其他的外部证据。</w:t>
      </w:r>
      <w:r>
        <w:rPr>
          <w:rFonts w:hAnsi="宋体"/>
          <w:color w:val="000000"/>
          <w:kern w:val="0"/>
          <w:highlight w:val="none"/>
        </w:rPr>
        <w:t>但响应文件有不真实、不正确内容的除外。</w:t>
      </w:r>
    </w:p>
    <w:p w14:paraId="55F6701C">
      <w:pPr>
        <w:pStyle w:val="40"/>
        <w:spacing w:line="360" w:lineRule="auto"/>
        <w:ind w:left="525" w:hanging="525" w:hangingChars="250"/>
        <w:rPr>
          <w:rFonts w:hAnsi="宋体"/>
          <w:bCs/>
          <w:color w:val="000000"/>
          <w:highlight w:val="none"/>
        </w:rPr>
      </w:pPr>
      <w:r>
        <w:rPr>
          <w:rFonts w:hAnsi="宋体"/>
          <w:bCs/>
          <w:color w:val="000000"/>
          <w:highlight w:val="none"/>
        </w:rPr>
        <w:t>18.2磋商小组按照客观、公正、审慎的原则，根据磋商文件规定的评审程序、评审方法和评审标准进行独立评审。未实质性响应磋商文件的响应文件按无效响应处理，磋商小组应当告知提交响应文件的供应商。</w:t>
      </w:r>
    </w:p>
    <w:p w14:paraId="4724F4AF">
      <w:pPr>
        <w:pStyle w:val="40"/>
        <w:spacing w:line="360" w:lineRule="auto"/>
        <w:ind w:left="527" w:hanging="527" w:hangingChars="250"/>
        <w:rPr>
          <w:rFonts w:hAnsi="宋体"/>
          <w:b/>
          <w:color w:val="000000"/>
          <w:highlight w:val="none"/>
        </w:rPr>
      </w:pPr>
      <w:r>
        <w:rPr>
          <w:rFonts w:hAnsi="宋体"/>
          <w:b/>
          <w:color w:val="000000"/>
          <w:highlight w:val="none"/>
        </w:rPr>
        <w:t>18.3响应文件审查</w:t>
      </w:r>
    </w:p>
    <w:p w14:paraId="434939E3">
      <w:pPr>
        <w:pStyle w:val="40"/>
        <w:spacing w:line="360" w:lineRule="auto"/>
        <w:ind w:left="632" w:leftChars="1" w:hanging="630" w:hangingChars="300"/>
        <w:rPr>
          <w:rFonts w:hAnsi="宋体"/>
          <w:color w:val="000000"/>
          <w:highlight w:val="none"/>
        </w:rPr>
      </w:pPr>
      <w:r>
        <w:rPr>
          <w:rFonts w:hAnsi="宋体"/>
          <w:color w:val="000000"/>
          <w:highlight w:val="none"/>
        </w:rPr>
        <w:t>18.3.1响应文件资格性审查和符合性审查。</w:t>
      </w:r>
    </w:p>
    <w:p w14:paraId="693FD14D">
      <w:pPr>
        <w:pStyle w:val="40"/>
        <w:spacing w:line="360" w:lineRule="auto"/>
        <w:ind w:firstLine="420"/>
        <w:rPr>
          <w:rFonts w:hAnsi="宋体"/>
          <w:color w:val="000000"/>
          <w:highlight w:val="none"/>
        </w:rPr>
      </w:pPr>
      <w:r>
        <w:rPr>
          <w:rFonts w:hAnsi="宋体"/>
          <w:color w:val="000000"/>
          <w:highlight w:val="none"/>
        </w:rPr>
        <w:t>（1）资格性检查。依据法律法规和竞争性磋商文件的规定对供应商提供的响应文件的资质证明等进行审查及按规定进行原件核查，以确定供应商是否具备资格条件。它所涉及到的主要文件和内容为磋商文件所述的资格证明文件内容和签章的合格性、合法性等。如果供应商不具备磋商资格，不满足磋商文件所规定的资格标准或提供资格证明文件不全的，其响应文件无效。</w:t>
      </w:r>
    </w:p>
    <w:p w14:paraId="3CED124C">
      <w:pPr>
        <w:pStyle w:val="40"/>
        <w:spacing w:line="360" w:lineRule="auto"/>
        <w:ind w:firstLine="420"/>
        <w:rPr>
          <w:rFonts w:hAnsi="宋体"/>
          <w:color w:val="000000"/>
          <w:highlight w:val="none"/>
        </w:rPr>
      </w:pPr>
      <w:r>
        <w:rPr>
          <w:rFonts w:hAnsi="宋体"/>
          <w:color w:val="000000"/>
          <w:highlight w:val="none"/>
        </w:rPr>
        <w:t>（2）符合性检查。依据磋商文件的规定，从响应文件的有效性、完整性和对磋商文件的响应程度进行审查，以确定是否对磋商文件的实质性要求作出响应（采购人可根据具体项目的情况对实质性要求作特别的规定）。实质性偏离是指：①实质性影响合同的范围、质量和履行；②实质性违背磋商文件，限制了采购人的权利和成交供应商合同项下的义务；③不公正地影响了其它作出实质性响应的供应商的竞争地位。</w:t>
      </w:r>
    </w:p>
    <w:p w14:paraId="6B261F6B">
      <w:pPr>
        <w:pStyle w:val="40"/>
        <w:spacing w:line="360" w:lineRule="auto"/>
        <w:ind w:left="527" w:hanging="527" w:hangingChars="250"/>
        <w:rPr>
          <w:rFonts w:hAnsi="宋体"/>
          <w:b/>
          <w:color w:val="000000"/>
          <w:highlight w:val="none"/>
        </w:rPr>
      </w:pPr>
      <w:r>
        <w:rPr>
          <w:rFonts w:hAnsi="宋体"/>
          <w:b/>
          <w:color w:val="000000"/>
          <w:highlight w:val="none"/>
        </w:rPr>
        <w:t>18.4澄清有关问题、算术性修正</w:t>
      </w:r>
    </w:p>
    <w:p w14:paraId="6F7810C5">
      <w:pPr>
        <w:pStyle w:val="40"/>
        <w:spacing w:line="360" w:lineRule="auto"/>
        <w:ind w:left="632" w:leftChars="1" w:hanging="630" w:hangingChars="300"/>
        <w:rPr>
          <w:rFonts w:hAnsi="宋体"/>
          <w:color w:val="000000"/>
          <w:highlight w:val="none"/>
        </w:rPr>
      </w:pPr>
      <w:r>
        <w:rPr>
          <w:rFonts w:hAnsi="宋体"/>
          <w:color w:val="000000"/>
          <w:highlight w:val="none"/>
        </w:rPr>
        <w:t>18.4.1磋商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B2EF4D">
      <w:pPr>
        <w:pStyle w:val="40"/>
        <w:spacing w:line="360" w:lineRule="auto"/>
        <w:ind w:left="632" w:leftChars="1" w:hanging="630" w:hangingChars="300"/>
        <w:rPr>
          <w:rFonts w:hAnsi="宋体"/>
          <w:color w:val="000000"/>
          <w:highlight w:val="none"/>
        </w:rPr>
      </w:pPr>
      <w:r>
        <w:rPr>
          <w:rFonts w:hAnsi="宋体"/>
          <w:color w:val="000000"/>
          <w:highlight w:val="none"/>
        </w:rPr>
        <w:t>18.4.2由磋商小组组长或采购代理机构发起询标函，供应商必须在规定时间内回复询标函，否则视为放弃澄清。供应商的澄清、说明或者更正应由供应商加盖电子签章后提交。供应商的澄清文件是响应文件的组成部分。</w:t>
      </w:r>
    </w:p>
    <w:p w14:paraId="61A31872">
      <w:pPr>
        <w:pStyle w:val="40"/>
        <w:spacing w:line="360" w:lineRule="auto"/>
        <w:ind w:left="632" w:leftChars="1" w:hanging="630" w:hangingChars="300"/>
        <w:rPr>
          <w:rFonts w:hAnsi="宋体"/>
          <w:color w:val="000000"/>
          <w:highlight w:val="none"/>
        </w:rPr>
      </w:pPr>
      <w:r>
        <w:rPr>
          <w:rFonts w:hAnsi="宋体"/>
          <w:color w:val="000000"/>
          <w:highlight w:val="none"/>
        </w:rPr>
        <w:t>18.4.3响应文件如果出现计算或表达上的错误，修正错误的原则如下：</w:t>
      </w:r>
    </w:p>
    <w:p w14:paraId="0CB9B964">
      <w:pPr>
        <w:pStyle w:val="40"/>
        <w:spacing w:line="360" w:lineRule="auto"/>
        <w:ind w:firstLine="420"/>
        <w:rPr>
          <w:rFonts w:hAnsi="宋体"/>
          <w:color w:val="000000"/>
          <w:highlight w:val="none"/>
        </w:rPr>
      </w:pPr>
      <w:r>
        <w:rPr>
          <w:rFonts w:hAnsi="宋体"/>
          <w:color w:val="000000"/>
          <w:highlight w:val="none"/>
        </w:rPr>
        <w:t>① 响应文件中《磋商函》与响应文件其他内容不一致的，以《磋商函》为准；</w:t>
      </w:r>
    </w:p>
    <w:p w14:paraId="1E93CDC4">
      <w:pPr>
        <w:pStyle w:val="40"/>
        <w:spacing w:line="360" w:lineRule="auto"/>
        <w:ind w:firstLine="420"/>
        <w:rPr>
          <w:rFonts w:hAnsi="宋体"/>
          <w:color w:val="000000"/>
          <w:highlight w:val="none"/>
        </w:rPr>
      </w:pPr>
      <w:r>
        <w:rPr>
          <w:rFonts w:hAnsi="宋体"/>
          <w:color w:val="000000"/>
          <w:highlight w:val="none"/>
        </w:rPr>
        <w:t>② 响应文件的大写金额和小写金额不一致时，以大写金额为准；</w:t>
      </w:r>
    </w:p>
    <w:p w14:paraId="4907E0DF">
      <w:pPr>
        <w:pStyle w:val="40"/>
        <w:spacing w:line="360" w:lineRule="auto"/>
        <w:ind w:firstLine="420"/>
        <w:rPr>
          <w:rFonts w:hAnsi="宋体"/>
          <w:color w:val="000000"/>
          <w:highlight w:val="none"/>
        </w:rPr>
      </w:pPr>
      <w:r>
        <w:rPr>
          <w:rFonts w:hAnsi="宋体"/>
          <w:color w:val="000000"/>
          <w:highlight w:val="none"/>
        </w:rPr>
        <w:t>③ 总价金额与按单价汇总金额不一致的，以单价金额计算结果为准；</w:t>
      </w:r>
    </w:p>
    <w:p w14:paraId="14895B04">
      <w:pPr>
        <w:pStyle w:val="40"/>
        <w:spacing w:line="360" w:lineRule="auto"/>
        <w:ind w:firstLine="420"/>
        <w:rPr>
          <w:rFonts w:hAnsi="宋体"/>
          <w:color w:val="000000"/>
          <w:highlight w:val="none"/>
        </w:rPr>
      </w:pPr>
      <w:r>
        <w:rPr>
          <w:rFonts w:hAnsi="宋体"/>
          <w:color w:val="000000"/>
          <w:highlight w:val="none"/>
        </w:rPr>
        <w:t>④ 单价金额小数点有明显错位的，应以总价为准，并修改单价；</w:t>
      </w:r>
    </w:p>
    <w:p w14:paraId="2D1A24FE">
      <w:pPr>
        <w:pStyle w:val="40"/>
        <w:spacing w:line="360" w:lineRule="auto"/>
        <w:ind w:firstLine="420"/>
        <w:rPr>
          <w:rFonts w:hAnsi="宋体"/>
          <w:color w:val="000000"/>
          <w:highlight w:val="none"/>
        </w:rPr>
      </w:pPr>
      <w:r>
        <w:rPr>
          <w:rFonts w:hAnsi="宋体"/>
          <w:color w:val="000000"/>
          <w:highlight w:val="none"/>
        </w:rPr>
        <w:t>⑤ 对不同文字文本响应文件的解释发生异议的，以中文文本为准。</w:t>
      </w:r>
    </w:p>
    <w:p w14:paraId="7159022C">
      <w:pPr>
        <w:pStyle w:val="40"/>
        <w:spacing w:line="360" w:lineRule="auto"/>
        <w:ind w:left="522" w:leftChars="202" w:hanging="98" w:hangingChars="47"/>
        <w:rPr>
          <w:rFonts w:hAnsi="宋体"/>
          <w:color w:val="000000"/>
          <w:highlight w:val="none"/>
        </w:rPr>
      </w:pPr>
      <w:r>
        <w:rPr>
          <w:rFonts w:hAnsi="宋体"/>
          <w:color w:val="000000"/>
          <w:highlight w:val="none"/>
        </w:rPr>
        <w:t>⑥ 按上述修正错误的原则及方法调整或修正响应文件的磋商报价，在供应商确认后，调整后的磋商报价对供应商起约束作用。如果供应商不接受修正后的价格或内容的，其响应文件视为无效的响应文件。</w:t>
      </w:r>
    </w:p>
    <w:p w14:paraId="2C231867">
      <w:pPr>
        <w:pStyle w:val="40"/>
        <w:spacing w:line="360" w:lineRule="auto"/>
        <w:ind w:left="527" w:hanging="527" w:hangingChars="250"/>
        <w:rPr>
          <w:rFonts w:hAnsi="宋体"/>
          <w:b/>
          <w:color w:val="000000"/>
          <w:highlight w:val="none"/>
        </w:rPr>
      </w:pPr>
      <w:r>
        <w:rPr>
          <w:rFonts w:hAnsi="宋体"/>
          <w:b/>
          <w:color w:val="000000"/>
          <w:highlight w:val="none"/>
        </w:rPr>
        <w:t>19.磋商</w:t>
      </w:r>
    </w:p>
    <w:p w14:paraId="3C1AD2FE">
      <w:pPr>
        <w:pStyle w:val="40"/>
        <w:spacing w:line="360" w:lineRule="auto"/>
        <w:ind w:left="632" w:leftChars="1" w:hanging="630" w:hangingChars="300"/>
        <w:rPr>
          <w:rFonts w:hAnsi="宋体"/>
          <w:color w:val="000000"/>
          <w:highlight w:val="none"/>
        </w:rPr>
      </w:pPr>
      <w:r>
        <w:rPr>
          <w:rFonts w:hAnsi="宋体"/>
          <w:color w:val="000000"/>
          <w:highlight w:val="none"/>
        </w:rPr>
        <w:t>19.1磋商时间及地点：</w:t>
      </w:r>
      <w:r>
        <w:rPr>
          <w:rFonts w:hAnsi="宋体"/>
          <w:color w:val="000000"/>
          <w:spacing w:val="-4"/>
          <w:highlight w:val="none"/>
        </w:rPr>
        <w:t>本章须知前附表第11项规定的时间和地点。</w:t>
      </w:r>
    </w:p>
    <w:p w14:paraId="0F5C9A25">
      <w:pPr>
        <w:pStyle w:val="40"/>
        <w:spacing w:line="360" w:lineRule="auto"/>
        <w:rPr>
          <w:rFonts w:hAnsi="宋体"/>
          <w:color w:val="000000"/>
          <w:highlight w:val="none"/>
        </w:rPr>
      </w:pPr>
      <w:r>
        <w:rPr>
          <w:rFonts w:hAnsi="宋体"/>
          <w:color w:val="000000"/>
          <w:highlight w:val="none"/>
        </w:rPr>
        <w:t>19.2磋商</w:t>
      </w:r>
      <w:r>
        <w:rPr>
          <w:rFonts w:hAnsi="宋体"/>
          <w:bCs/>
          <w:color w:val="000000"/>
          <w:highlight w:val="none"/>
        </w:rPr>
        <w:t>小组对响应文件进行评审，并根据磋商文件规定的程序、评定成交的标准等事项与实质性响应磋商文件要求的供应商进行磋商。</w:t>
      </w:r>
      <w:r>
        <w:rPr>
          <w:rFonts w:hAnsi="宋体"/>
          <w:color w:val="000000"/>
          <w:kern w:val="0"/>
          <w:highlight w:val="none"/>
        </w:rPr>
        <w:t>供应商须在规定的时间和地点进行电子磋商，供应商应做好磋商准备，准时在线参加电子磋商，随时关注磋商进度。</w:t>
      </w:r>
      <w:r>
        <w:rPr>
          <w:rFonts w:hAnsi="宋体"/>
          <w:bCs/>
          <w:color w:val="000000"/>
          <w:highlight w:val="none"/>
        </w:rPr>
        <w:t>未实质性响应磋商文件的响应文件按无效处理，磋商小组应当告知有关供应商。</w:t>
      </w:r>
    </w:p>
    <w:p w14:paraId="650BF182">
      <w:pPr>
        <w:pStyle w:val="40"/>
        <w:spacing w:line="360" w:lineRule="auto"/>
        <w:ind w:left="632" w:leftChars="1" w:hanging="630" w:hangingChars="300"/>
        <w:rPr>
          <w:rFonts w:hAnsi="宋体"/>
          <w:color w:val="000000"/>
          <w:highlight w:val="none"/>
        </w:rPr>
      </w:pPr>
      <w:r>
        <w:rPr>
          <w:rFonts w:hAnsi="宋体"/>
          <w:color w:val="000000"/>
          <w:highlight w:val="none"/>
        </w:rPr>
        <w:t>19.3磋商小组向供应商发起磋商（最多三轮），磋商的内容包括技术条件、商务性条件及磋商小组认为需要磋商的内容。</w:t>
      </w:r>
    </w:p>
    <w:p w14:paraId="6B824771">
      <w:pPr>
        <w:pStyle w:val="40"/>
        <w:spacing w:line="360" w:lineRule="auto"/>
        <w:ind w:left="632" w:leftChars="1" w:hanging="630" w:hangingChars="300"/>
        <w:rPr>
          <w:rFonts w:hAnsi="宋体"/>
          <w:color w:val="000000"/>
          <w:highlight w:val="none"/>
        </w:rPr>
      </w:pPr>
      <w:r>
        <w:rPr>
          <w:rFonts w:hAnsi="宋体"/>
          <w:color w:val="000000"/>
          <w:highlight w:val="none"/>
        </w:rPr>
        <w:t>19.4在磋商过程中，磋商小组可以根据磋商文件和磋商情况实质性变动项目需求中的技术、服务要求以及合同草案条款，但不得变动磋商文件中的其他内容。实质性变动的内容，须经采购人代表确认。</w:t>
      </w:r>
    </w:p>
    <w:p w14:paraId="40D2A688">
      <w:pPr>
        <w:pStyle w:val="40"/>
        <w:spacing w:line="360" w:lineRule="auto"/>
        <w:ind w:firstLine="420"/>
        <w:rPr>
          <w:rFonts w:hAnsi="宋体"/>
          <w:color w:val="000000"/>
          <w:highlight w:val="none"/>
        </w:rPr>
      </w:pPr>
      <w:r>
        <w:rPr>
          <w:rFonts w:hAnsi="宋体"/>
          <w:color w:val="000000"/>
          <w:highlight w:val="none"/>
        </w:rPr>
        <w:t>(1)对磋商文件作出的实质性变动是磋商文件的有效组成部分，由磋商小组及时以电子澄清函形式同时通知所有参加磋商的供应商。</w:t>
      </w:r>
    </w:p>
    <w:p w14:paraId="68166C87">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(2)供应商必须按照磋商文件的变动情况和磋商小组的要求以回函的形式重新提交应答文件，并CA电子签章</w:t>
      </w:r>
      <w:r>
        <w:rPr>
          <w:rFonts w:hint="eastAsia" w:ascii="宋体" w:hAnsi="宋体"/>
          <w:color w:val="000000"/>
          <w:highlight w:val="none"/>
        </w:rPr>
        <w:t>。</w:t>
      </w:r>
    </w:p>
    <w:p w14:paraId="52E98C84">
      <w:pPr>
        <w:pStyle w:val="40"/>
        <w:spacing w:line="360" w:lineRule="auto"/>
        <w:ind w:left="527" w:hanging="527" w:hangingChars="250"/>
        <w:rPr>
          <w:rFonts w:hAnsi="宋体"/>
          <w:b/>
          <w:color w:val="000000"/>
          <w:highlight w:val="none"/>
        </w:rPr>
      </w:pPr>
      <w:r>
        <w:rPr>
          <w:rFonts w:hAnsi="宋体"/>
          <w:b/>
          <w:color w:val="000000"/>
          <w:highlight w:val="none"/>
        </w:rPr>
        <w:t>19.5最终报价</w:t>
      </w:r>
    </w:p>
    <w:p w14:paraId="45101E7B">
      <w:pPr>
        <w:pStyle w:val="40"/>
        <w:spacing w:line="360" w:lineRule="auto"/>
        <w:ind w:left="632" w:leftChars="1" w:hanging="630" w:hangingChars="300"/>
        <w:rPr>
          <w:rFonts w:hAnsi="宋体"/>
          <w:color w:val="000000"/>
          <w:highlight w:val="none"/>
        </w:rPr>
      </w:pPr>
      <w:r>
        <w:rPr>
          <w:rFonts w:hAnsi="宋体"/>
          <w:color w:val="000000"/>
          <w:highlight w:val="none"/>
        </w:rPr>
        <w:t>19.5.1磋商文件能够详细列明采购标的的技术、服务要求的，磋商结束后，磋商小组要求所有实质性响应的供应商在规定时间内在线提交最终报价，提交最终报价的供应商不得少于3家。</w:t>
      </w:r>
    </w:p>
    <w:p w14:paraId="7A471DF8">
      <w:pPr>
        <w:pStyle w:val="40"/>
        <w:spacing w:line="360" w:lineRule="auto"/>
        <w:ind w:left="632" w:leftChars="1" w:hanging="630" w:hangingChars="300"/>
        <w:rPr>
          <w:rFonts w:hAnsi="宋体"/>
          <w:color w:val="000000"/>
          <w:highlight w:val="none"/>
        </w:rPr>
      </w:pPr>
      <w:r>
        <w:rPr>
          <w:rFonts w:hAnsi="宋体"/>
          <w:color w:val="000000"/>
          <w:highlight w:val="none"/>
        </w:rPr>
        <w:t>19.5.2磋商文件不能详细列明采购标的的技术、服务要求，需经磋商由供应商提供最终设计方案或解决方案的，磋商结束后，磋商小组按照少数服从多数的原则投票推荐3家以上（含3家）供应商的设计方案或者解决方案，并要求其在规定时间内在线提交最终报价。</w:t>
      </w:r>
    </w:p>
    <w:p w14:paraId="2BCFFF13">
      <w:pPr>
        <w:pStyle w:val="40"/>
        <w:spacing w:line="360" w:lineRule="auto"/>
        <w:ind w:left="632" w:leftChars="1" w:hanging="630" w:hangingChars="300"/>
        <w:rPr>
          <w:rFonts w:hAnsi="宋体"/>
          <w:color w:val="000000"/>
          <w:highlight w:val="none"/>
        </w:rPr>
      </w:pPr>
      <w:r>
        <w:rPr>
          <w:rFonts w:hAnsi="宋体"/>
          <w:color w:val="000000"/>
          <w:highlight w:val="none"/>
        </w:rPr>
        <w:t>19.5.3最终报价是供应商响应文件的有效组成部分。</w:t>
      </w:r>
    </w:p>
    <w:p w14:paraId="75511F54">
      <w:pPr>
        <w:pStyle w:val="40"/>
        <w:spacing w:line="360" w:lineRule="auto"/>
        <w:ind w:left="632" w:leftChars="1" w:hanging="630" w:hangingChars="300"/>
        <w:rPr>
          <w:rFonts w:hAnsi="宋体"/>
          <w:color w:val="000000"/>
          <w:highlight w:val="none"/>
        </w:rPr>
      </w:pPr>
      <w:r>
        <w:rPr>
          <w:rFonts w:hAnsi="宋体"/>
          <w:color w:val="000000"/>
          <w:highlight w:val="none"/>
        </w:rPr>
        <w:t>19.5.4</w:t>
      </w:r>
      <w:r>
        <w:rPr>
          <w:rFonts w:hAnsi="宋体"/>
          <w:color w:val="000000"/>
          <w:highlight w:val="none"/>
          <w:shd w:val="clear" w:color="auto" w:fill="FFFFFF"/>
        </w:rPr>
        <w:t>请各供应商根据工程量清单格式提前做好再次报价的准备，并在规定时间内递交最终报价文件。</w:t>
      </w:r>
    </w:p>
    <w:p w14:paraId="72048476">
      <w:pPr>
        <w:pStyle w:val="40"/>
        <w:spacing w:line="360" w:lineRule="auto"/>
        <w:ind w:left="632" w:leftChars="1" w:hanging="630" w:hangingChars="300"/>
        <w:rPr>
          <w:rFonts w:hAnsi="宋体"/>
          <w:color w:val="000000"/>
          <w:highlight w:val="none"/>
        </w:rPr>
      </w:pPr>
      <w:r>
        <w:rPr>
          <w:rFonts w:hAnsi="宋体"/>
          <w:color w:val="000000"/>
          <w:highlight w:val="none"/>
        </w:rPr>
        <w:t>19.5.5磋商小组要求所有继续参加磋商的供应商在规定时间内在线提交最终报价。继续参加磋商的供应商作最终报价，供应商的最终报价应加盖CA电子签章后提交。</w:t>
      </w:r>
    </w:p>
    <w:p w14:paraId="377F5016">
      <w:pPr>
        <w:pStyle w:val="40"/>
        <w:spacing w:line="360" w:lineRule="auto"/>
        <w:ind w:left="527" w:hanging="527" w:hangingChars="250"/>
        <w:rPr>
          <w:rFonts w:hAnsi="宋体"/>
          <w:b/>
          <w:color w:val="000000"/>
          <w:highlight w:val="none"/>
        </w:rPr>
      </w:pPr>
      <w:r>
        <w:rPr>
          <w:rFonts w:hAnsi="宋体"/>
          <w:b/>
          <w:color w:val="000000"/>
          <w:highlight w:val="none"/>
        </w:rPr>
        <w:t>19.6</w:t>
      </w:r>
      <w:r>
        <w:rPr>
          <w:rFonts w:hAnsi="宋体"/>
          <w:color w:val="000000"/>
          <w:highlight w:val="none"/>
        </w:rPr>
        <w:t>已提交响应文件的供应商，在提交最终报价之前，可以根据磋商情况退出磋商。</w:t>
      </w:r>
    </w:p>
    <w:p w14:paraId="271BBCCD">
      <w:pPr>
        <w:pStyle w:val="40"/>
        <w:spacing w:line="360" w:lineRule="auto"/>
        <w:ind w:left="527" w:hanging="527" w:hangingChars="250"/>
        <w:rPr>
          <w:rFonts w:hAnsi="宋体"/>
          <w:b/>
          <w:color w:val="000000"/>
          <w:highlight w:val="none"/>
        </w:rPr>
      </w:pPr>
      <w:r>
        <w:rPr>
          <w:rFonts w:hAnsi="宋体"/>
          <w:b/>
          <w:color w:val="000000"/>
          <w:highlight w:val="none"/>
        </w:rPr>
        <w:t>19.7比较与评价。</w:t>
      </w:r>
      <w:r>
        <w:rPr>
          <w:rFonts w:hAnsi="宋体"/>
          <w:color w:val="000000"/>
          <w:highlight w:val="none"/>
        </w:rPr>
        <w:t>经磋商确定最终采购需求和提交最终报价的供应商后，由磋商小组采用</w:t>
      </w:r>
      <w:r>
        <w:rPr>
          <w:rFonts w:hAnsi="宋体"/>
          <w:b/>
          <w:color w:val="000000"/>
          <w:highlight w:val="none"/>
          <w:u w:val="single"/>
        </w:rPr>
        <w:t>综合评分法</w:t>
      </w:r>
      <w:r>
        <w:rPr>
          <w:rFonts w:hAnsi="宋体"/>
          <w:color w:val="000000"/>
          <w:highlight w:val="none"/>
        </w:rPr>
        <w:t>对提交最终报价的供应商的响应文件和最终报价进行综合评分。</w:t>
      </w:r>
    </w:p>
    <w:p w14:paraId="3D40A455">
      <w:pPr>
        <w:pStyle w:val="40"/>
        <w:spacing w:line="360" w:lineRule="auto"/>
        <w:ind w:left="527" w:hanging="527" w:hangingChars="250"/>
        <w:rPr>
          <w:rFonts w:hAnsi="宋体"/>
          <w:b/>
          <w:color w:val="000000"/>
          <w:highlight w:val="none"/>
        </w:rPr>
      </w:pPr>
      <w:r>
        <w:rPr>
          <w:rFonts w:hAnsi="宋体"/>
          <w:b/>
          <w:color w:val="000000"/>
          <w:highlight w:val="none"/>
        </w:rPr>
        <w:t>19.8推荐成交候选人名单并编写评审报告。</w:t>
      </w:r>
      <w:r>
        <w:rPr>
          <w:rFonts w:hAnsi="宋体"/>
          <w:color w:val="000000"/>
          <w:highlight w:val="none"/>
        </w:rPr>
        <w:t>磋商小组根据综合评分情况，按照评审得分由高到低顺序推荐3名成交候选人，并编写评审报告。总得分相同的，依次按最终报价低优先、技术分高优先、资信业绩分高优先的顺序排列。成交候选人并列的，由采购人采取随机抽取的方式确定成交供应商。</w:t>
      </w:r>
    </w:p>
    <w:p w14:paraId="012C2D5D">
      <w:pPr>
        <w:pStyle w:val="40"/>
        <w:spacing w:line="360" w:lineRule="auto"/>
        <w:ind w:left="525" w:hanging="525" w:hangingChars="250"/>
        <w:rPr>
          <w:rFonts w:hAnsi="宋体"/>
          <w:color w:val="000000"/>
          <w:highlight w:val="none"/>
        </w:rPr>
      </w:pPr>
      <w:r>
        <w:rPr>
          <w:rFonts w:hAnsi="宋体"/>
          <w:color w:val="000000"/>
          <w:highlight w:val="none"/>
        </w:rPr>
        <w:t>19.</w:t>
      </w:r>
      <w:r>
        <w:rPr>
          <w:rFonts w:hAnsi="宋体"/>
          <w:color w:val="000000"/>
          <w:kern w:val="0"/>
          <w:highlight w:val="none"/>
        </w:rPr>
        <w:t>9在评审过程中出现法律法规和磋商文件均没有明确规定的情形时，由磋商小组现场协商解决，协商不一致的，由全体磋商小组投票表决，以得票率二分之一以上磋商小组成员的意见为准。</w:t>
      </w:r>
    </w:p>
    <w:p w14:paraId="7177E61D">
      <w:pPr>
        <w:pStyle w:val="40"/>
        <w:spacing w:line="360" w:lineRule="auto"/>
        <w:ind w:left="515" w:hanging="515" w:hangingChars="250"/>
        <w:rPr>
          <w:rFonts w:hAnsi="宋体"/>
          <w:color w:val="000000"/>
          <w:spacing w:val="-2"/>
          <w:highlight w:val="none"/>
        </w:rPr>
      </w:pPr>
      <w:r>
        <w:rPr>
          <w:rFonts w:hAnsi="宋体"/>
          <w:color w:val="000000"/>
          <w:spacing w:val="-2"/>
          <w:highlight w:val="none"/>
        </w:rPr>
        <w:t>19.10</w:t>
      </w:r>
      <w:r>
        <w:rPr>
          <w:rFonts w:hAnsi="宋体"/>
          <w:color w:val="000000"/>
          <w:highlight w:val="none"/>
        </w:rPr>
        <w:t>评标</w:t>
      </w:r>
      <w:r>
        <w:rPr>
          <w:rFonts w:hAnsi="宋体"/>
          <w:color w:val="000000"/>
          <w:spacing w:val="-2"/>
          <w:highlight w:val="none"/>
        </w:rPr>
        <w:t>会纪律</w:t>
      </w:r>
    </w:p>
    <w:p w14:paraId="6305C81F">
      <w:pPr>
        <w:pStyle w:val="40"/>
        <w:spacing w:line="360" w:lineRule="auto"/>
        <w:ind w:firstLine="420"/>
        <w:rPr>
          <w:rFonts w:hAnsi="宋体"/>
          <w:color w:val="000000"/>
          <w:highlight w:val="none"/>
        </w:rPr>
      </w:pPr>
      <w:r>
        <w:rPr>
          <w:rFonts w:hAnsi="宋体"/>
          <w:color w:val="000000"/>
          <w:highlight w:val="none"/>
        </w:rPr>
        <w:t>(1) 评标过程的保密性。磋商小组成员、有关工作人员及其他知情人不得透露对响应文件评审、比较、成交候选人的推荐情况以及与评标有关的其他情况。</w:t>
      </w:r>
    </w:p>
    <w:p w14:paraId="659A00FC">
      <w:pPr>
        <w:pStyle w:val="40"/>
        <w:spacing w:line="360" w:lineRule="auto"/>
        <w:ind w:right="-187" w:rightChars="-89" w:firstLine="420"/>
        <w:rPr>
          <w:rFonts w:hAnsi="宋体"/>
          <w:color w:val="000000"/>
          <w:highlight w:val="none"/>
        </w:rPr>
      </w:pPr>
      <w:r>
        <w:rPr>
          <w:rFonts w:hAnsi="宋体"/>
          <w:color w:val="000000"/>
          <w:highlight w:val="none"/>
        </w:rPr>
        <w:t>(2) 供应商在评标过程中，所进行的力图影响评标结果公正性的活动，将可能导致其成交资格被取消。</w:t>
      </w:r>
    </w:p>
    <w:p w14:paraId="34DA9FE4">
      <w:pPr>
        <w:pStyle w:val="7"/>
        <w:spacing w:before="0" w:after="0" w:line="360" w:lineRule="auto"/>
        <w:rPr>
          <w:rFonts w:hint="eastAsia" w:ascii="宋体" w:hAnsi="宋体" w:eastAsia="宋体"/>
          <w:color w:val="000000"/>
          <w:sz w:val="21"/>
          <w:szCs w:val="21"/>
          <w:highlight w:val="none"/>
        </w:rPr>
      </w:pPr>
      <w:bookmarkStart w:id="203" w:name="_Toc108539737"/>
      <w:bookmarkStart w:id="204" w:name="_Toc30163"/>
      <w:r>
        <w:rPr>
          <w:rFonts w:hint="eastAsia" w:ascii="宋体" w:hAnsi="宋体" w:eastAsia="宋体"/>
          <w:color w:val="000000"/>
          <w:sz w:val="21"/>
          <w:szCs w:val="21"/>
          <w:highlight w:val="none"/>
        </w:rPr>
        <w:t>20．无效的响应文件</w:t>
      </w:r>
      <w:bookmarkEnd w:id="203"/>
      <w:bookmarkEnd w:id="204"/>
    </w:p>
    <w:p w14:paraId="6F1EF16A">
      <w:pPr>
        <w:pStyle w:val="40"/>
        <w:spacing w:line="360" w:lineRule="auto"/>
        <w:ind w:left="525" w:hanging="525" w:hangingChars="250"/>
        <w:rPr>
          <w:rFonts w:hAnsi="宋体"/>
          <w:color w:val="000000"/>
          <w:highlight w:val="none"/>
        </w:rPr>
      </w:pPr>
      <w:r>
        <w:rPr>
          <w:rFonts w:hAnsi="宋体"/>
          <w:color w:val="000000"/>
          <w:highlight w:val="none"/>
        </w:rPr>
        <w:t>20.1</w:t>
      </w:r>
      <w:r>
        <w:rPr>
          <w:rFonts w:hAnsi="宋体"/>
          <w:color w:val="000000"/>
          <w:kern w:val="0"/>
          <w:highlight w:val="none"/>
        </w:rPr>
        <w:t>供应商有下列情形之一的，其将被视为无效磋商：</w:t>
      </w:r>
    </w:p>
    <w:p w14:paraId="7CAE848B">
      <w:pPr>
        <w:pStyle w:val="40"/>
        <w:spacing w:line="360" w:lineRule="auto"/>
        <w:ind w:firstLine="420"/>
        <w:rPr>
          <w:rFonts w:hAnsi="宋体"/>
          <w:color w:val="000000"/>
          <w:kern w:val="0"/>
          <w:highlight w:val="none"/>
        </w:rPr>
      </w:pPr>
      <w:r>
        <w:rPr>
          <w:rFonts w:hAnsi="宋体"/>
          <w:color w:val="000000"/>
          <w:kern w:val="0"/>
          <w:highlight w:val="none"/>
        </w:rPr>
        <w:t>实质上没有响应磋商文件要求的磋商将被视为无效磋商。供应商不得通过修正或撤销不合要求的偏离从而使其响应文件成为实质上响应的磋商。</w:t>
      </w:r>
    </w:p>
    <w:p w14:paraId="73D8A738">
      <w:pPr>
        <w:pStyle w:val="40"/>
        <w:spacing w:line="360" w:lineRule="auto"/>
        <w:ind w:left="525" w:hanging="525" w:hangingChars="250"/>
        <w:rPr>
          <w:rFonts w:hAnsi="宋体"/>
          <w:color w:val="000000"/>
          <w:highlight w:val="none"/>
        </w:rPr>
      </w:pPr>
      <w:r>
        <w:rPr>
          <w:rFonts w:hAnsi="宋体"/>
          <w:color w:val="000000"/>
          <w:highlight w:val="none"/>
        </w:rPr>
        <w:t>20.1.1供应商出现下列情形之一的，视为</w:t>
      </w:r>
      <w:r>
        <w:rPr>
          <w:rFonts w:hAnsi="宋体"/>
          <w:bCs/>
          <w:color w:val="000000"/>
          <w:highlight w:val="none"/>
        </w:rPr>
        <w:t>未实质性响应磋商文件要求，其</w:t>
      </w:r>
      <w:r>
        <w:rPr>
          <w:rFonts w:hAnsi="宋体"/>
          <w:color w:val="000000"/>
          <w:highlight w:val="none"/>
        </w:rPr>
        <w:t>响应文件作无效响应文件处理</w:t>
      </w:r>
      <w:r>
        <w:rPr>
          <w:rFonts w:hAnsi="宋体"/>
          <w:color w:val="000000"/>
          <w:kern w:val="0"/>
          <w:highlight w:val="none"/>
        </w:rPr>
        <w:t>：</w:t>
      </w:r>
    </w:p>
    <w:p w14:paraId="5371430F">
      <w:pPr>
        <w:numPr>
          <w:ilvl w:val="0"/>
          <w:numId w:val="3"/>
        </w:numPr>
        <w:snapToGrid w:val="0"/>
        <w:spacing w:line="360" w:lineRule="auto"/>
        <w:ind w:firstLine="411" w:firstLineChars="196"/>
        <w:outlineLvl w:val="4"/>
        <w:rPr>
          <w:rFonts w:hint="eastAsia" w:ascii="宋体" w:hAnsi="宋体"/>
          <w:color w:val="000000"/>
          <w:kern w:val="0"/>
          <w:highlight w:val="none"/>
        </w:rPr>
      </w:pPr>
      <w:r>
        <w:rPr>
          <w:rFonts w:hint="eastAsia" w:ascii="宋体" w:hAnsi="宋体"/>
          <w:color w:val="000000"/>
          <w:kern w:val="0"/>
          <w:highlight w:val="none"/>
        </w:rPr>
        <w:t>供应商未递交磋商保证金或金额不足、磋商保证金递交形式不符合磋商文件要求的</w:t>
      </w:r>
      <w:r>
        <w:rPr>
          <w:rFonts w:hint="eastAsia" w:ascii="宋体" w:hAnsi="宋体"/>
          <w:color w:val="000000"/>
          <w:highlight w:val="none"/>
        </w:rPr>
        <w:t>（如要求提交保证金）</w:t>
      </w:r>
      <w:r>
        <w:rPr>
          <w:rFonts w:hint="eastAsia" w:ascii="宋体" w:hAnsi="宋体"/>
          <w:color w:val="000000"/>
          <w:kern w:val="0"/>
          <w:highlight w:val="none"/>
        </w:rPr>
        <w:t>；</w:t>
      </w:r>
    </w:p>
    <w:p w14:paraId="481A5E2C">
      <w:pPr>
        <w:numPr>
          <w:ilvl w:val="0"/>
          <w:numId w:val="3"/>
        </w:numPr>
        <w:snapToGrid w:val="0"/>
        <w:spacing w:line="360" w:lineRule="auto"/>
        <w:ind w:firstLine="411" w:firstLineChars="196"/>
        <w:outlineLvl w:val="4"/>
        <w:rPr>
          <w:rFonts w:hint="eastAsia" w:ascii="宋体" w:hAnsi="宋体"/>
          <w:color w:val="000000"/>
          <w:kern w:val="0"/>
          <w:highlight w:val="none"/>
        </w:rPr>
      </w:pPr>
      <w:r>
        <w:rPr>
          <w:rFonts w:hint="eastAsia" w:ascii="宋体" w:hAnsi="宋体"/>
          <w:color w:val="000000"/>
          <w:kern w:val="0"/>
          <w:highlight w:val="none"/>
        </w:rPr>
        <w:t>供应商未按磋商文件的规定获取磋商文件；</w:t>
      </w:r>
    </w:p>
    <w:p w14:paraId="3B3D496D">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(3) 未按磋商文件</w:t>
      </w:r>
      <w:r>
        <w:rPr>
          <w:rFonts w:hint="eastAsia" w:ascii="宋体" w:hAnsi="宋体"/>
          <w:bCs/>
          <w:color w:val="000000"/>
          <w:kern w:val="0"/>
          <w:highlight w:val="none"/>
        </w:rPr>
        <w:t>要求签署或CA电子签章的</w:t>
      </w:r>
      <w:r>
        <w:rPr>
          <w:rFonts w:hint="eastAsia" w:ascii="宋体" w:hAnsi="宋体"/>
          <w:color w:val="000000"/>
          <w:szCs w:val="21"/>
          <w:highlight w:val="none"/>
        </w:rPr>
        <w:t>；</w:t>
      </w:r>
    </w:p>
    <w:p w14:paraId="498C8A46">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(4) 不具备磋商文件规定的资格要求的</w:t>
      </w:r>
      <w:r>
        <w:rPr>
          <w:rFonts w:hint="eastAsia" w:ascii="宋体" w:hAnsi="宋体"/>
          <w:color w:val="000000"/>
          <w:highlight w:val="none"/>
        </w:rPr>
        <w:t>；</w:t>
      </w:r>
    </w:p>
    <w:p w14:paraId="68D52083">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(5) 响应文件未按磋商文件的内容和要求编制，或提供虚假材料的；</w:t>
      </w:r>
    </w:p>
    <w:p w14:paraId="60D5C40F">
      <w:pPr>
        <w:snapToGrid w:val="0"/>
        <w:spacing w:line="360" w:lineRule="auto"/>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(6) 属于“必须提供”的响应文件未能按时提供或补正、更正的；</w:t>
      </w:r>
    </w:p>
    <w:p w14:paraId="2C5DD997">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(7) 响应文件有效期、保证金有效期、工期、质量保修期不能满足磋商文件要求的；</w:t>
      </w:r>
    </w:p>
    <w:p w14:paraId="0F430B7D">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(8) 磋商内容与采购内容及要求存在重大偏离或保留的（如严重背离采购需求、合同协议要求等）；</w:t>
      </w:r>
    </w:p>
    <w:p w14:paraId="715C64C2">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(9) 响应文件商务条款和技术参数没有按要求表述的或与项目要求表述不一致却没有提供相关依据说明的；</w:t>
      </w:r>
    </w:p>
    <w:p w14:paraId="3430454E">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highlight w:val="none"/>
        </w:rPr>
        <w:t>10)供应商报价方案不是唯一确定的，或报价超出采购预算总金额或招标控制价的；</w:t>
      </w:r>
    </w:p>
    <w:p w14:paraId="1961962F">
      <w:pPr>
        <w:pStyle w:val="40"/>
        <w:spacing w:line="360" w:lineRule="auto"/>
        <w:ind w:firstLine="420" w:firstLineChars="200"/>
        <w:rPr>
          <w:rFonts w:hAnsi="宋体"/>
          <w:color w:val="000000"/>
          <w:szCs w:val="24"/>
          <w:highlight w:val="none"/>
        </w:rPr>
      </w:pPr>
      <w:r>
        <w:rPr>
          <w:rFonts w:hAnsi="宋体"/>
          <w:color w:val="000000"/>
          <w:szCs w:val="24"/>
          <w:highlight w:val="none"/>
        </w:rPr>
        <w:t>(11)未满足磋商文件全部实质性要求的或者响应文件有采购人不能接受的附加条件的；</w:t>
      </w:r>
    </w:p>
    <w:p w14:paraId="77206E0E">
      <w:pPr>
        <w:pStyle w:val="40"/>
        <w:spacing w:line="360" w:lineRule="auto"/>
        <w:ind w:firstLine="420" w:firstLineChars="200"/>
        <w:rPr>
          <w:rFonts w:hAnsi="宋体"/>
          <w:color w:val="000000"/>
          <w:highlight w:val="none"/>
        </w:rPr>
      </w:pPr>
      <w:r>
        <w:rPr>
          <w:rFonts w:hAnsi="宋体"/>
          <w:color w:val="000000"/>
          <w:highlight w:val="none"/>
        </w:rPr>
        <w:t>(12)参加本次政府采购活动前三年内，在经营活动中有重大违法记录或被列入不良信用记录的；</w:t>
      </w:r>
    </w:p>
    <w:p w14:paraId="027DD387">
      <w:pPr>
        <w:pStyle w:val="40"/>
        <w:spacing w:line="360" w:lineRule="auto"/>
        <w:ind w:firstLine="420" w:firstLineChars="200"/>
        <w:rPr>
          <w:rFonts w:hAnsi="宋体"/>
          <w:color w:val="000000"/>
          <w:highlight w:val="none"/>
        </w:rPr>
      </w:pPr>
      <w:r>
        <w:rPr>
          <w:rFonts w:hAnsi="宋体"/>
          <w:color w:val="000000"/>
          <w:highlight w:val="none"/>
        </w:rPr>
        <w:t>(13)符合磋商文件中规定的被视为无效磋商的其它条款的；</w:t>
      </w:r>
    </w:p>
    <w:p w14:paraId="4A9FA382">
      <w:pPr>
        <w:pStyle w:val="40"/>
        <w:spacing w:line="360" w:lineRule="auto"/>
        <w:ind w:firstLine="420" w:firstLineChars="200"/>
        <w:rPr>
          <w:rFonts w:hAnsi="宋体"/>
          <w:color w:val="000000"/>
          <w:highlight w:val="none"/>
        </w:rPr>
      </w:pPr>
      <w:r>
        <w:rPr>
          <w:rFonts w:hAnsi="宋体"/>
          <w:color w:val="000000"/>
          <w:highlight w:val="none"/>
        </w:rPr>
        <w:t>(14)不符合法律、法规和磋商文件规定的其他实质性要求和条件的。</w:t>
      </w:r>
    </w:p>
    <w:p w14:paraId="1E478349">
      <w:pPr>
        <w:pStyle w:val="40"/>
        <w:spacing w:line="360" w:lineRule="auto"/>
        <w:ind w:firstLine="420" w:firstLineChars="200"/>
        <w:rPr>
          <w:rFonts w:hAnsi="宋体"/>
          <w:color w:val="000000"/>
          <w:highlight w:val="none"/>
        </w:rPr>
      </w:pPr>
      <w:r>
        <w:rPr>
          <w:rFonts w:hAnsi="宋体"/>
          <w:color w:val="000000"/>
          <w:highlight w:val="none"/>
        </w:rPr>
        <w:t>(15)安全文明施工费和规费、增值税不按广西壮族自治区费用定额及造价管理相关文件规定报价的；</w:t>
      </w:r>
    </w:p>
    <w:p w14:paraId="14B9DA4B">
      <w:pPr>
        <w:pStyle w:val="40"/>
        <w:spacing w:line="360" w:lineRule="auto"/>
        <w:ind w:firstLine="420" w:firstLineChars="200"/>
        <w:rPr>
          <w:rFonts w:hAnsi="宋体"/>
          <w:color w:val="000000"/>
          <w:highlight w:val="none"/>
        </w:rPr>
      </w:pPr>
      <w:r>
        <w:rPr>
          <w:rFonts w:hAnsi="宋体"/>
          <w:color w:val="000000"/>
          <w:highlight w:val="none"/>
        </w:rPr>
        <w:t>(16)供应商已标价工程量清单的子目号、计量单位、工程量任何一处与招标工程量清单不一致的；</w:t>
      </w:r>
    </w:p>
    <w:p w14:paraId="49B6DA8C">
      <w:pPr>
        <w:pStyle w:val="40"/>
        <w:spacing w:line="360" w:lineRule="auto"/>
        <w:ind w:firstLine="315" w:firstLineChars="150"/>
        <w:rPr>
          <w:rFonts w:hAnsi="宋体"/>
          <w:color w:val="000000"/>
          <w:highlight w:val="none"/>
        </w:rPr>
      </w:pPr>
      <w:r>
        <w:rPr>
          <w:rFonts w:hAnsi="宋体"/>
          <w:color w:val="000000"/>
          <w:highlight w:val="none"/>
        </w:rPr>
        <w:t>（17）供应商已标价工程量清单的项目（子目）名称或项目特征与招标工程量清单不一致，评标委员会要求澄清、说明或补正，但供应商拒绝澄清、说明或补正的；</w:t>
      </w:r>
    </w:p>
    <w:p w14:paraId="78F1652A">
      <w:pPr>
        <w:pStyle w:val="40"/>
        <w:spacing w:line="360" w:lineRule="auto"/>
        <w:ind w:firstLine="315" w:firstLineChars="150"/>
        <w:rPr>
          <w:rFonts w:hAnsi="宋体"/>
          <w:color w:val="000000"/>
          <w:highlight w:val="none"/>
        </w:rPr>
      </w:pPr>
      <w:r>
        <w:rPr>
          <w:rFonts w:hAnsi="宋体"/>
          <w:color w:val="000000"/>
          <w:highlight w:val="none"/>
        </w:rPr>
        <w:t>（18）设有暂估价、暂列金额的，磋商时未按采购人工程量清单给出的暂估价总价、暂列金额总价计入磋商总报价中的；</w:t>
      </w:r>
    </w:p>
    <w:p w14:paraId="21F7788B">
      <w:pPr>
        <w:pStyle w:val="40"/>
        <w:spacing w:line="360" w:lineRule="auto"/>
        <w:ind w:firstLine="315" w:firstLineChars="150"/>
        <w:rPr>
          <w:rFonts w:hAnsi="宋体"/>
          <w:color w:val="000000"/>
          <w:highlight w:val="none"/>
        </w:rPr>
      </w:pPr>
      <w:r>
        <w:rPr>
          <w:rFonts w:hAnsi="宋体"/>
          <w:color w:val="000000"/>
          <w:highlight w:val="none"/>
        </w:rPr>
        <w:t>（19）供应商对招标工程量清单内容进行增减或对磋商范围进行调整的。</w:t>
      </w:r>
    </w:p>
    <w:p w14:paraId="3F488BD2">
      <w:pPr>
        <w:pStyle w:val="40"/>
        <w:spacing w:line="360" w:lineRule="auto"/>
        <w:rPr>
          <w:rFonts w:hAnsi="宋体"/>
          <w:color w:val="000000"/>
          <w:szCs w:val="24"/>
          <w:highlight w:val="none"/>
        </w:rPr>
      </w:pPr>
      <w:r>
        <w:rPr>
          <w:rFonts w:hAnsi="宋体"/>
          <w:color w:val="000000"/>
          <w:szCs w:val="24"/>
          <w:highlight w:val="none"/>
        </w:rPr>
        <w:t>20.2凡两家或以上供应商参加同一项目采购，有如下情形的，一经发现，将视为串标处理，响应文件作无效响应文件处理：</w:t>
      </w:r>
    </w:p>
    <w:p w14:paraId="54F480FB">
      <w:pPr>
        <w:pStyle w:val="40"/>
        <w:spacing w:line="360" w:lineRule="auto"/>
        <w:ind w:firstLine="420" w:firstLineChars="200"/>
        <w:rPr>
          <w:rFonts w:hAnsi="宋体"/>
          <w:color w:val="000000"/>
          <w:szCs w:val="24"/>
          <w:highlight w:val="none"/>
        </w:rPr>
      </w:pPr>
      <w:r>
        <w:rPr>
          <w:rFonts w:hAnsi="宋体"/>
          <w:color w:val="000000"/>
          <w:szCs w:val="24"/>
          <w:highlight w:val="none"/>
        </w:rPr>
        <w:t>（1）不同供应商的响应文件由同一单位或者个人编制；或不同供应商</w:t>
      </w:r>
      <w:r>
        <w:rPr>
          <w:color w:val="000000"/>
          <w:highlight w:val="none"/>
        </w:rPr>
        <w:t>获取采购文件</w:t>
      </w:r>
      <w:r>
        <w:rPr>
          <w:rFonts w:hAnsi="宋体"/>
          <w:color w:val="000000"/>
          <w:szCs w:val="24"/>
          <w:highlight w:val="none"/>
        </w:rPr>
        <w:t>（或上传响应文件）的IP地址一致的；</w:t>
      </w:r>
    </w:p>
    <w:p w14:paraId="690A357B">
      <w:pPr>
        <w:pStyle w:val="40"/>
        <w:spacing w:line="360" w:lineRule="auto"/>
        <w:ind w:firstLine="420" w:firstLineChars="200"/>
        <w:rPr>
          <w:rFonts w:hAnsi="宋体"/>
          <w:color w:val="000000"/>
          <w:szCs w:val="24"/>
          <w:highlight w:val="none"/>
        </w:rPr>
      </w:pPr>
      <w:r>
        <w:rPr>
          <w:rFonts w:hAnsi="宋体"/>
          <w:color w:val="000000"/>
          <w:szCs w:val="24"/>
          <w:highlight w:val="none"/>
        </w:rPr>
        <w:t>（2）不同供应商委托同一单位或者个人办磋商事宜；</w:t>
      </w:r>
    </w:p>
    <w:p w14:paraId="12DE8697">
      <w:pPr>
        <w:pStyle w:val="40"/>
        <w:spacing w:line="360" w:lineRule="auto"/>
        <w:ind w:firstLine="420" w:firstLineChars="200"/>
        <w:rPr>
          <w:rFonts w:hAnsi="宋体"/>
          <w:color w:val="000000"/>
          <w:szCs w:val="24"/>
          <w:highlight w:val="none"/>
        </w:rPr>
      </w:pPr>
      <w:r>
        <w:rPr>
          <w:rFonts w:hAnsi="宋体"/>
          <w:color w:val="000000"/>
          <w:szCs w:val="24"/>
          <w:highlight w:val="none"/>
        </w:rPr>
        <w:t>（3）不同供应商的响应文件载明的项目管理成员（项目经办人）为同一人；</w:t>
      </w:r>
    </w:p>
    <w:p w14:paraId="69B26DDC">
      <w:pPr>
        <w:pStyle w:val="40"/>
        <w:spacing w:line="360" w:lineRule="auto"/>
        <w:ind w:firstLine="420" w:firstLineChars="200"/>
        <w:rPr>
          <w:rFonts w:hAnsi="宋体"/>
          <w:color w:val="000000"/>
          <w:szCs w:val="24"/>
          <w:highlight w:val="none"/>
        </w:rPr>
      </w:pPr>
      <w:r>
        <w:rPr>
          <w:rFonts w:hAnsi="宋体"/>
          <w:color w:val="000000"/>
          <w:szCs w:val="24"/>
          <w:highlight w:val="none"/>
        </w:rPr>
        <w:t>（4）不同供应商的响应文件异常一致或者磋商报价呈规律性差异；</w:t>
      </w:r>
    </w:p>
    <w:p w14:paraId="0FB03717">
      <w:pPr>
        <w:pStyle w:val="40"/>
        <w:spacing w:line="360" w:lineRule="auto"/>
        <w:ind w:firstLine="420" w:firstLineChars="200"/>
        <w:rPr>
          <w:rFonts w:hAnsi="宋体"/>
          <w:color w:val="000000"/>
          <w:szCs w:val="24"/>
          <w:highlight w:val="none"/>
        </w:rPr>
      </w:pPr>
      <w:r>
        <w:rPr>
          <w:rFonts w:hAnsi="宋体"/>
          <w:color w:val="000000"/>
          <w:szCs w:val="24"/>
          <w:highlight w:val="none"/>
        </w:rPr>
        <w:t>（5）不同供应商的磋商保证金从同一单位或者个人的账户转出。</w:t>
      </w:r>
    </w:p>
    <w:p w14:paraId="7789C905">
      <w:pPr>
        <w:pStyle w:val="7"/>
        <w:spacing w:before="0" w:after="0" w:line="360" w:lineRule="auto"/>
        <w:rPr>
          <w:rFonts w:hint="eastAsia" w:ascii="宋体" w:hAnsi="宋体" w:eastAsia="宋体"/>
          <w:color w:val="000000"/>
          <w:sz w:val="21"/>
          <w:szCs w:val="21"/>
          <w:highlight w:val="none"/>
        </w:rPr>
      </w:pPr>
      <w:bookmarkStart w:id="205" w:name="_Toc108539738"/>
      <w:bookmarkStart w:id="206" w:name="_Toc22718"/>
      <w:r>
        <w:rPr>
          <w:rFonts w:hint="eastAsia" w:ascii="宋体" w:hAnsi="宋体" w:eastAsia="宋体"/>
          <w:color w:val="000000"/>
          <w:sz w:val="21"/>
          <w:szCs w:val="21"/>
          <w:highlight w:val="none"/>
        </w:rPr>
        <w:t>21．废标</w:t>
      </w:r>
      <w:bookmarkEnd w:id="205"/>
      <w:bookmarkEnd w:id="206"/>
    </w:p>
    <w:p w14:paraId="23077778">
      <w:pPr>
        <w:pStyle w:val="40"/>
        <w:spacing w:line="360" w:lineRule="auto"/>
        <w:ind w:left="525" w:hanging="525" w:hangingChars="250"/>
        <w:rPr>
          <w:rFonts w:hAnsi="宋体"/>
          <w:color w:val="000000"/>
          <w:highlight w:val="none"/>
        </w:rPr>
      </w:pPr>
      <w:r>
        <w:rPr>
          <w:rFonts w:hAnsi="宋体"/>
          <w:color w:val="000000"/>
          <w:highlight w:val="none"/>
        </w:rPr>
        <w:t>21</w:t>
      </w:r>
      <w:r>
        <w:rPr>
          <w:rFonts w:hAnsi="宋体"/>
          <w:bCs/>
          <w:color w:val="000000"/>
          <w:highlight w:val="none"/>
        </w:rPr>
        <w:t>.1出现下列情形之一的，采购人或者采购代理机构应当终止竞争性磋商采购活动，发布项目终止公告并说明原因，重新开展采购活动：</w:t>
      </w:r>
    </w:p>
    <w:p w14:paraId="438D7AAC">
      <w:pPr>
        <w:pStyle w:val="40"/>
        <w:spacing w:line="360" w:lineRule="auto"/>
        <w:ind w:left="420"/>
        <w:rPr>
          <w:rFonts w:hAnsi="宋体"/>
          <w:bCs/>
          <w:color w:val="000000"/>
          <w:highlight w:val="none"/>
        </w:rPr>
      </w:pPr>
      <w:r>
        <w:rPr>
          <w:rFonts w:hAnsi="宋体"/>
          <w:bCs/>
          <w:color w:val="000000"/>
          <w:highlight w:val="none"/>
        </w:rPr>
        <w:t>（1）因情况变化，不再符合规定的竞争性磋商采购方式适用情形的；</w:t>
      </w:r>
    </w:p>
    <w:p w14:paraId="0CF0777E">
      <w:pPr>
        <w:pStyle w:val="40"/>
        <w:spacing w:line="360" w:lineRule="auto"/>
        <w:ind w:left="420"/>
        <w:rPr>
          <w:rFonts w:hAnsi="宋体"/>
          <w:bCs/>
          <w:color w:val="000000"/>
          <w:highlight w:val="none"/>
        </w:rPr>
      </w:pPr>
      <w:r>
        <w:rPr>
          <w:rFonts w:hAnsi="宋体"/>
          <w:bCs/>
          <w:color w:val="000000"/>
          <w:highlight w:val="none"/>
        </w:rPr>
        <w:t xml:space="preserve">（2）出现影响采购公正的违法、违规行为的； </w:t>
      </w:r>
    </w:p>
    <w:p w14:paraId="4CBD31FC">
      <w:pPr>
        <w:snapToGrid w:val="0"/>
        <w:spacing w:line="360" w:lineRule="auto"/>
        <w:ind w:firstLine="411" w:firstLineChars="196"/>
        <w:outlineLvl w:val="4"/>
        <w:rPr>
          <w:rFonts w:hint="eastAsia" w:ascii="宋体" w:hAnsi="宋体"/>
          <w:bCs/>
          <w:color w:val="000000"/>
          <w:highlight w:val="none"/>
        </w:rPr>
      </w:pPr>
      <w:r>
        <w:rPr>
          <w:rFonts w:hint="eastAsia" w:ascii="宋体" w:hAnsi="宋体"/>
          <w:bCs/>
          <w:color w:val="000000"/>
          <w:highlight w:val="none"/>
        </w:rPr>
        <w:t>（3）除《政府采购竞争性磋商采购方式管理暂行办法》第二十一条第三款规定的情形外，在采购过程中符合要求的供应商或者报价未超过采购预算的供应商不足3家的。</w:t>
      </w:r>
    </w:p>
    <w:p w14:paraId="1D48DF86">
      <w:pPr>
        <w:pStyle w:val="40"/>
        <w:spacing w:line="360" w:lineRule="auto"/>
        <w:ind w:left="420"/>
        <w:rPr>
          <w:rFonts w:hAnsi="宋体"/>
          <w:bCs/>
          <w:color w:val="000000"/>
          <w:highlight w:val="none"/>
        </w:rPr>
      </w:pPr>
      <w:r>
        <w:rPr>
          <w:rFonts w:hAnsi="宋体"/>
          <w:bCs/>
          <w:color w:val="000000"/>
          <w:highlight w:val="none"/>
        </w:rPr>
        <w:t>（4）因重大变故，采购任务取消的。</w:t>
      </w:r>
    </w:p>
    <w:p w14:paraId="5B5AE145">
      <w:pPr>
        <w:pStyle w:val="40"/>
        <w:spacing w:line="360" w:lineRule="auto"/>
        <w:ind w:left="525" w:hanging="525" w:hangingChars="250"/>
        <w:rPr>
          <w:rFonts w:hAnsi="宋体"/>
          <w:bCs/>
          <w:color w:val="000000"/>
          <w:highlight w:val="none"/>
        </w:rPr>
      </w:pPr>
      <w:r>
        <w:rPr>
          <w:rFonts w:hAnsi="宋体"/>
          <w:bCs/>
          <w:color w:val="000000"/>
          <w:highlight w:val="none"/>
        </w:rPr>
        <w:t>21.2废标后，</w:t>
      </w:r>
      <w:r>
        <w:rPr>
          <w:rFonts w:hAnsi="宋体"/>
          <w:color w:val="000000"/>
          <w:highlight w:val="none"/>
        </w:rPr>
        <w:t>采购代理机构</w:t>
      </w:r>
      <w:r>
        <w:rPr>
          <w:rFonts w:hAnsi="宋体"/>
          <w:bCs/>
          <w:color w:val="000000"/>
          <w:highlight w:val="none"/>
        </w:rPr>
        <w:t>将把废标理由通知所有供应商。</w:t>
      </w:r>
    </w:p>
    <w:p w14:paraId="57AAAC76">
      <w:pPr>
        <w:pStyle w:val="7"/>
        <w:spacing w:before="0" w:after="0" w:line="360" w:lineRule="auto"/>
        <w:rPr>
          <w:rFonts w:hint="eastAsia" w:ascii="宋体" w:hAnsi="宋体" w:eastAsia="宋体"/>
          <w:color w:val="000000"/>
          <w:sz w:val="21"/>
          <w:szCs w:val="21"/>
          <w:highlight w:val="none"/>
        </w:rPr>
      </w:pPr>
      <w:bookmarkStart w:id="207" w:name="_Toc108539739"/>
      <w:bookmarkStart w:id="208" w:name="_Toc19863"/>
      <w:r>
        <w:rPr>
          <w:rFonts w:hint="eastAsia" w:ascii="宋体" w:hAnsi="宋体" w:eastAsia="宋体"/>
          <w:color w:val="000000"/>
          <w:sz w:val="21"/>
          <w:szCs w:val="21"/>
          <w:highlight w:val="none"/>
        </w:rPr>
        <w:t>22．响应文件及应标样品的退回</w:t>
      </w:r>
      <w:bookmarkEnd w:id="207"/>
      <w:bookmarkEnd w:id="208"/>
    </w:p>
    <w:p w14:paraId="314F393E">
      <w:pPr>
        <w:pStyle w:val="40"/>
        <w:spacing w:line="360" w:lineRule="auto"/>
        <w:ind w:left="525" w:hanging="525" w:hangingChars="250"/>
        <w:rPr>
          <w:rFonts w:hAnsi="宋体"/>
          <w:color w:val="000000"/>
          <w:highlight w:val="none"/>
        </w:rPr>
      </w:pPr>
      <w:r>
        <w:rPr>
          <w:rFonts w:hAnsi="宋体"/>
          <w:color w:val="000000"/>
          <w:highlight w:val="none"/>
        </w:rPr>
        <w:t>22.1采购人及采购代理机构无义务向落标的供应商退还响应文件。</w:t>
      </w:r>
    </w:p>
    <w:p w14:paraId="11CE15FA">
      <w:pPr>
        <w:spacing w:line="360" w:lineRule="auto"/>
        <w:rPr>
          <w:color w:val="000000"/>
          <w:highlight w:val="none"/>
        </w:rPr>
      </w:pPr>
    </w:p>
    <w:p w14:paraId="7DBE3B9B">
      <w:pPr>
        <w:pStyle w:val="6"/>
        <w:spacing w:line="360" w:lineRule="auto"/>
        <w:jc w:val="center"/>
        <w:rPr>
          <w:rFonts w:hint="eastAsia" w:ascii="宋体" w:hAnsi="宋体"/>
          <w:color w:val="000000"/>
          <w:highlight w:val="none"/>
        </w:rPr>
      </w:pPr>
      <w:bookmarkStart w:id="209" w:name="_Toc108539740"/>
      <w:bookmarkStart w:id="210" w:name="_Toc8883"/>
      <w:r>
        <w:rPr>
          <w:rFonts w:hint="eastAsia" w:ascii="宋体" w:hAnsi="宋体"/>
          <w:color w:val="000000"/>
          <w:highlight w:val="none"/>
        </w:rPr>
        <w:t>六   确定成交供应商</w:t>
      </w:r>
      <w:bookmarkEnd w:id="209"/>
      <w:bookmarkEnd w:id="210"/>
    </w:p>
    <w:p w14:paraId="7CD376E9">
      <w:pPr>
        <w:pStyle w:val="7"/>
        <w:spacing w:before="0" w:after="0" w:line="360" w:lineRule="auto"/>
        <w:rPr>
          <w:rFonts w:hint="eastAsia" w:ascii="宋体" w:hAnsi="宋体" w:eastAsia="宋体"/>
          <w:color w:val="000000"/>
          <w:sz w:val="21"/>
          <w:szCs w:val="21"/>
          <w:highlight w:val="none"/>
        </w:rPr>
      </w:pPr>
      <w:bookmarkStart w:id="211" w:name="_Toc96701123"/>
      <w:bookmarkStart w:id="212" w:name="_Toc16068295"/>
      <w:bookmarkStart w:id="213" w:name="_Toc92987993"/>
      <w:bookmarkStart w:id="214" w:name="_Toc108539741"/>
      <w:bookmarkStart w:id="215" w:name="_Toc8986"/>
      <w:r>
        <w:rPr>
          <w:rFonts w:hint="eastAsia" w:ascii="宋体" w:hAnsi="宋体" w:eastAsia="宋体"/>
          <w:color w:val="000000"/>
          <w:sz w:val="21"/>
          <w:szCs w:val="21"/>
          <w:highlight w:val="none"/>
        </w:rPr>
        <w:t>23．确定成交供应商</w:t>
      </w:r>
      <w:bookmarkEnd w:id="211"/>
      <w:bookmarkEnd w:id="212"/>
      <w:bookmarkEnd w:id="213"/>
      <w:bookmarkEnd w:id="214"/>
      <w:bookmarkEnd w:id="215"/>
    </w:p>
    <w:p w14:paraId="5BB7AA3B">
      <w:pPr>
        <w:pStyle w:val="40"/>
        <w:spacing w:line="360" w:lineRule="auto"/>
        <w:ind w:left="475" w:hanging="474" w:hangingChars="226"/>
        <w:rPr>
          <w:rFonts w:hAnsi="宋体"/>
          <w:color w:val="000000"/>
          <w:highlight w:val="none"/>
        </w:rPr>
      </w:pPr>
      <w:r>
        <w:rPr>
          <w:rFonts w:hAnsi="宋体"/>
          <w:color w:val="000000"/>
          <w:highlight w:val="none"/>
        </w:rPr>
        <w:t>23.1采购代理机构应当在评审结束后2个工作日内将评审报告送采购人确认。</w:t>
      </w:r>
    </w:p>
    <w:p w14:paraId="687BD434">
      <w:pPr>
        <w:pStyle w:val="40"/>
        <w:spacing w:line="360" w:lineRule="auto"/>
        <w:ind w:left="475" w:hanging="474" w:hangingChars="226"/>
        <w:rPr>
          <w:rFonts w:hAnsi="宋体"/>
          <w:color w:val="000000"/>
          <w:highlight w:val="none"/>
        </w:rPr>
      </w:pPr>
      <w:r>
        <w:rPr>
          <w:rFonts w:hAnsi="宋体"/>
          <w:color w:val="000000"/>
          <w:highlight w:val="none"/>
        </w:rPr>
        <w:t>23.2采购人应当在收到评审报告5个工作日内，从评审报告提出的成交候选供应商中，按照排序由高到低的原则确定成交供应商。采购人逾期未确定成交供应商且不提出异议的，视为确定评审报告提出的排序第一的供应商为成交供应商。</w:t>
      </w:r>
    </w:p>
    <w:p w14:paraId="660320AC">
      <w:pPr>
        <w:pStyle w:val="7"/>
        <w:spacing w:before="0" w:after="0" w:line="360" w:lineRule="auto"/>
        <w:rPr>
          <w:rFonts w:hint="eastAsia" w:ascii="宋体" w:hAnsi="宋体" w:eastAsia="宋体"/>
          <w:color w:val="000000"/>
          <w:sz w:val="21"/>
          <w:szCs w:val="21"/>
          <w:highlight w:val="none"/>
        </w:rPr>
      </w:pPr>
      <w:bookmarkStart w:id="216" w:name="_Toc92987994"/>
      <w:bookmarkStart w:id="217" w:name="_Toc16068296"/>
      <w:bookmarkStart w:id="218" w:name="_Toc96701124"/>
      <w:bookmarkStart w:id="219" w:name="_Toc4770"/>
      <w:bookmarkStart w:id="220" w:name="_Toc108539742"/>
      <w:r>
        <w:rPr>
          <w:rFonts w:hint="eastAsia" w:ascii="宋体" w:hAnsi="宋体" w:eastAsia="宋体"/>
          <w:color w:val="000000"/>
          <w:sz w:val="21"/>
          <w:szCs w:val="21"/>
          <w:highlight w:val="none"/>
        </w:rPr>
        <w:t>24.结果公告及成交通知</w:t>
      </w:r>
      <w:bookmarkEnd w:id="216"/>
      <w:bookmarkEnd w:id="217"/>
      <w:bookmarkEnd w:id="218"/>
      <w:bookmarkEnd w:id="219"/>
      <w:bookmarkEnd w:id="220"/>
    </w:p>
    <w:p w14:paraId="679ADFBF">
      <w:pPr>
        <w:pStyle w:val="40"/>
        <w:spacing w:line="360" w:lineRule="auto"/>
        <w:ind w:left="475" w:hanging="474" w:hangingChars="226"/>
        <w:rPr>
          <w:rFonts w:hAnsi="宋体"/>
          <w:color w:val="000000"/>
          <w:highlight w:val="none"/>
        </w:rPr>
      </w:pPr>
      <w:r>
        <w:rPr>
          <w:rFonts w:hAnsi="宋体"/>
          <w:color w:val="000000"/>
          <w:highlight w:val="none"/>
        </w:rPr>
        <w:t>24.1采购人或采购代理机构应当在成交供应商确定后2个工作日内，在财政部门指定的政府采购信息发布媒体上公告成交结果，</w:t>
      </w:r>
      <w:r>
        <w:rPr>
          <w:rFonts w:hAnsi="宋体"/>
          <w:color w:val="000000"/>
          <w:kern w:val="0"/>
          <w:highlight w:val="none"/>
        </w:rPr>
        <w:t>成交公告期限为1个工作日，</w:t>
      </w:r>
      <w:r>
        <w:rPr>
          <w:rFonts w:hAnsi="宋体"/>
          <w:color w:val="000000"/>
          <w:highlight w:val="none"/>
        </w:rPr>
        <w:t>同时向成交供应商发出成交通知书。</w:t>
      </w:r>
    </w:p>
    <w:p w14:paraId="52101298">
      <w:pPr>
        <w:pStyle w:val="40"/>
        <w:spacing w:line="360" w:lineRule="auto"/>
        <w:ind w:left="475" w:hanging="474" w:hangingChars="226"/>
        <w:rPr>
          <w:rFonts w:hAnsi="宋体"/>
          <w:color w:val="000000"/>
          <w:highlight w:val="none"/>
        </w:rPr>
      </w:pPr>
      <w:r>
        <w:rPr>
          <w:rFonts w:hAnsi="宋体"/>
          <w:color w:val="000000"/>
          <w:highlight w:val="none"/>
        </w:rPr>
        <w:t>24.2成交供应商应及时至采购代理机构处办理成交手续并缴纳相关费用。成交通知书对采购人和成交供应商具有法律效力。成交通知书发出后，成交供应商放弃成交资格的，应当承担相应的责任。</w:t>
      </w:r>
    </w:p>
    <w:p w14:paraId="514D6249">
      <w:pPr>
        <w:pStyle w:val="40"/>
        <w:spacing w:line="360" w:lineRule="auto"/>
        <w:rPr>
          <w:rFonts w:hAnsi="宋体"/>
          <w:color w:val="000000"/>
          <w:highlight w:val="none"/>
        </w:rPr>
      </w:pPr>
    </w:p>
    <w:p w14:paraId="30019AA0">
      <w:pPr>
        <w:pStyle w:val="6"/>
        <w:spacing w:line="360" w:lineRule="auto"/>
        <w:jc w:val="center"/>
        <w:rPr>
          <w:rFonts w:hint="eastAsia" w:ascii="宋体" w:hAnsi="宋体"/>
          <w:color w:val="000000"/>
          <w:highlight w:val="none"/>
        </w:rPr>
      </w:pPr>
      <w:bookmarkStart w:id="221" w:name="_Toc108539743"/>
      <w:bookmarkStart w:id="222" w:name="_Toc10336"/>
      <w:bookmarkStart w:id="223" w:name="_Toc25089"/>
      <w:r>
        <w:rPr>
          <w:rFonts w:hint="eastAsia" w:ascii="宋体" w:hAnsi="宋体"/>
          <w:color w:val="000000"/>
          <w:highlight w:val="none"/>
        </w:rPr>
        <w:t>七   签订合同</w:t>
      </w:r>
      <w:bookmarkEnd w:id="221"/>
      <w:bookmarkEnd w:id="222"/>
      <w:bookmarkEnd w:id="223"/>
    </w:p>
    <w:p w14:paraId="7145FA31">
      <w:pPr>
        <w:pStyle w:val="7"/>
        <w:spacing w:before="0" w:after="0" w:line="360" w:lineRule="auto"/>
        <w:rPr>
          <w:rFonts w:hint="eastAsia" w:ascii="宋体" w:hAnsi="宋体" w:eastAsia="宋体"/>
          <w:color w:val="000000"/>
          <w:sz w:val="21"/>
          <w:szCs w:val="21"/>
          <w:highlight w:val="none"/>
        </w:rPr>
      </w:pPr>
      <w:bookmarkStart w:id="224" w:name="_Toc108539744"/>
      <w:bookmarkStart w:id="225" w:name="_Toc2420"/>
      <w:r>
        <w:rPr>
          <w:rFonts w:hint="eastAsia" w:ascii="宋体" w:hAnsi="宋体" w:eastAsia="宋体"/>
          <w:color w:val="000000"/>
          <w:sz w:val="21"/>
          <w:szCs w:val="21"/>
          <w:highlight w:val="none"/>
        </w:rPr>
        <w:t>25．履约保证金</w:t>
      </w:r>
      <w:bookmarkEnd w:id="224"/>
      <w:bookmarkEnd w:id="225"/>
    </w:p>
    <w:p w14:paraId="6A15A834">
      <w:pPr>
        <w:pStyle w:val="40"/>
        <w:spacing w:line="360" w:lineRule="auto"/>
        <w:ind w:left="525" w:hanging="525" w:hangingChars="250"/>
        <w:rPr>
          <w:rFonts w:hAnsi="宋体"/>
          <w:color w:val="000000"/>
          <w:highlight w:val="none"/>
        </w:rPr>
      </w:pPr>
      <w:r>
        <w:rPr>
          <w:rFonts w:hAnsi="宋体"/>
          <w:color w:val="000000"/>
          <w:highlight w:val="none"/>
        </w:rPr>
        <w:t xml:space="preserve">    详见“本章须知前附表” 序号15。</w:t>
      </w:r>
    </w:p>
    <w:p w14:paraId="632CDA29">
      <w:pPr>
        <w:pStyle w:val="7"/>
        <w:spacing w:before="0" w:after="0" w:line="360" w:lineRule="auto"/>
        <w:rPr>
          <w:rFonts w:hint="eastAsia" w:ascii="宋体" w:hAnsi="宋体" w:eastAsia="宋体"/>
          <w:color w:val="000000"/>
          <w:sz w:val="21"/>
          <w:szCs w:val="21"/>
          <w:highlight w:val="none"/>
        </w:rPr>
      </w:pPr>
      <w:bookmarkStart w:id="226" w:name="_Toc17431"/>
      <w:bookmarkStart w:id="227" w:name="_Toc108539745"/>
      <w:r>
        <w:rPr>
          <w:rFonts w:hint="eastAsia" w:ascii="宋体" w:hAnsi="宋体" w:eastAsia="宋体"/>
          <w:color w:val="000000"/>
          <w:sz w:val="21"/>
          <w:szCs w:val="21"/>
          <w:highlight w:val="none"/>
        </w:rPr>
        <w:t>26．签订合同</w:t>
      </w:r>
      <w:bookmarkEnd w:id="226"/>
      <w:bookmarkEnd w:id="227"/>
    </w:p>
    <w:p w14:paraId="0C4A64E4">
      <w:pPr>
        <w:pStyle w:val="40"/>
        <w:spacing w:line="360" w:lineRule="auto"/>
        <w:ind w:left="525" w:hanging="525" w:hangingChars="250"/>
        <w:rPr>
          <w:rFonts w:hAnsi="宋体"/>
          <w:color w:val="000000"/>
          <w:highlight w:val="none"/>
        </w:rPr>
      </w:pPr>
      <w:r>
        <w:rPr>
          <w:rFonts w:hAnsi="宋体"/>
          <w:color w:val="000000"/>
          <w:highlight w:val="none"/>
        </w:rPr>
        <w:t>26.1成交供应商须凭成交通知书按照磋商文件规定的时间内与采购单位签订合同。不得再与采购人签署订立背离磋商文件确定的合同文本以及采购标的、规格型号、采购金额、采购数量、技术和服务要求等实质性内容的协议。</w:t>
      </w:r>
    </w:p>
    <w:p w14:paraId="21CC85E7">
      <w:pPr>
        <w:pStyle w:val="40"/>
        <w:spacing w:line="360" w:lineRule="auto"/>
        <w:ind w:left="525" w:hanging="525" w:hangingChars="250"/>
        <w:rPr>
          <w:rFonts w:hAnsi="宋体"/>
          <w:bCs/>
          <w:color w:val="000000"/>
          <w:highlight w:val="none"/>
        </w:rPr>
      </w:pPr>
      <w:r>
        <w:rPr>
          <w:rFonts w:hAnsi="宋体"/>
          <w:bCs/>
          <w:color w:val="000000"/>
          <w:highlight w:val="none"/>
        </w:rPr>
        <w:t>26.2</w:t>
      </w:r>
      <w:r>
        <w:rPr>
          <w:rFonts w:hAnsi="宋体"/>
          <w:color w:val="000000"/>
          <w:spacing w:val="-4"/>
          <w:highlight w:val="none"/>
        </w:rPr>
        <w:t>除不可抗力等因素外，成交通知书发出后，</w:t>
      </w:r>
      <w:r>
        <w:rPr>
          <w:rFonts w:hAnsi="宋体"/>
          <w:color w:val="000000"/>
          <w:highlight w:val="none"/>
        </w:rPr>
        <w:t>成交供应商拒绝签订施工承包合同协议书的，应当承担相应的法律责任。成交供应商拒绝签订施工承包合同协议书的，采购人可以按照评审报告推荐的候选供应商名单排序，确定下一候选供应商为成交供应商并签订施工承包合同协议书，也可以重新开展采购活动。拒绝签订施工承包合同协议书的成交供应商不得参加对该项目重新开展的采购活动。采购人将违约供应商的不良行为报政府采购监管部门。</w:t>
      </w:r>
    </w:p>
    <w:p w14:paraId="091C0000">
      <w:pPr>
        <w:pStyle w:val="40"/>
        <w:spacing w:line="360" w:lineRule="auto"/>
        <w:ind w:left="525" w:hanging="525" w:hangingChars="250"/>
        <w:rPr>
          <w:rFonts w:hAnsi="宋体"/>
          <w:color w:val="000000"/>
          <w:highlight w:val="none"/>
        </w:rPr>
      </w:pPr>
      <w:r>
        <w:rPr>
          <w:rFonts w:hAnsi="宋体"/>
          <w:color w:val="000000"/>
          <w:highlight w:val="none"/>
        </w:rPr>
        <w:t>26.3由于成交供应商放弃成交或未按规定签订合同，造成本项目的合同成交价提高（指采购人选择第二成交候选供应商导致成交金额高于违约人的成交价），所超出违约人的成交价部分由违约人承担赔偿责任。</w:t>
      </w:r>
    </w:p>
    <w:p w14:paraId="3B6A377A">
      <w:pPr>
        <w:pStyle w:val="40"/>
        <w:spacing w:line="360" w:lineRule="auto"/>
        <w:ind w:left="525" w:hanging="525" w:hangingChars="250"/>
        <w:rPr>
          <w:rFonts w:hAnsi="宋体"/>
          <w:color w:val="000000"/>
          <w:highlight w:val="none"/>
        </w:rPr>
      </w:pPr>
      <w:r>
        <w:rPr>
          <w:rFonts w:hAnsi="宋体"/>
          <w:color w:val="000000"/>
          <w:highlight w:val="none"/>
        </w:rPr>
        <w:t>26.4施工承包合同协议书必须与磋商文件第四章格式(包括内容和结构)相一致，不能改变主要条款。</w:t>
      </w:r>
    </w:p>
    <w:p w14:paraId="451C5C1E">
      <w:pPr>
        <w:pStyle w:val="40"/>
        <w:spacing w:line="360" w:lineRule="auto"/>
        <w:ind w:firstLine="420"/>
        <w:rPr>
          <w:rFonts w:hAnsi="宋体"/>
          <w:color w:val="000000"/>
          <w:highlight w:val="none"/>
        </w:rPr>
      </w:pPr>
    </w:p>
    <w:p w14:paraId="4CF4B78F">
      <w:pPr>
        <w:pStyle w:val="6"/>
        <w:spacing w:line="360" w:lineRule="auto"/>
        <w:jc w:val="center"/>
        <w:rPr>
          <w:rFonts w:hint="eastAsia" w:ascii="宋体" w:hAnsi="宋体"/>
          <w:color w:val="000000"/>
          <w:highlight w:val="none"/>
        </w:rPr>
      </w:pPr>
      <w:bookmarkStart w:id="228" w:name="_Toc486196172"/>
      <w:bookmarkStart w:id="229" w:name="_Toc230578090"/>
      <w:bookmarkStart w:id="230" w:name="_Toc27685"/>
      <w:bookmarkStart w:id="231" w:name="_Toc32448"/>
      <w:bookmarkStart w:id="232" w:name="_Toc486922989"/>
      <w:bookmarkStart w:id="233" w:name="_Toc108539746"/>
      <w:bookmarkStart w:id="234" w:name="_Toc207770868"/>
      <w:bookmarkStart w:id="235" w:name="_Toc14072"/>
      <w:bookmarkStart w:id="236" w:name="_Toc206525715"/>
      <w:bookmarkStart w:id="237" w:name="_Toc12589"/>
      <w:bookmarkStart w:id="238" w:name="_Toc3910"/>
      <w:bookmarkStart w:id="239" w:name="_Toc185702582"/>
      <w:bookmarkStart w:id="240" w:name="_Toc239839896"/>
      <w:r>
        <w:rPr>
          <w:rFonts w:hint="eastAsia" w:ascii="宋体" w:hAnsi="宋体"/>
          <w:color w:val="000000"/>
          <w:highlight w:val="none"/>
        </w:rPr>
        <w:t>八   其他事项</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7D90B834">
      <w:pPr>
        <w:pStyle w:val="132"/>
        <w:snapToGrid w:val="0"/>
        <w:spacing w:line="288" w:lineRule="auto"/>
        <w:ind w:left="1436" w:hanging="1436" w:hangingChars="684"/>
        <w:rPr>
          <w:rFonts w:hAnsi="宋体"/>
          <w:color w:val="000000"/>
          <w:highlight w:val="none"/>
        </w:rPr>
      </w:pPr>
      <w:r>
        <w:rPr>
          <w:rFonts w:hAnsi="宋体"/>
          <w:color w:val="000000"/>
          <w:highlight w:val="none"/>
        </w:rPr>
        <w:t>27.1</w:t>
      </w:r>
      <w:r>
        <w:rPr>
          <w:rFonts w:hint="eastAsia" w:hAnsi="宋体"/>
          <w:color w:val="000000"/>
          <w:highlight w:val="none"/>
        </w:rPr>
        <w:t>代理服务收费标准详见“供应商须知前附表”。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672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1F1B9DB">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费率</w:t>
            </w:r>
          </w:p>
          <w:p w14:paraId="5035DC51">
            <w:pPr>
              <w:spacing w:line="360" w:lineRule="auto"/>
              <w:rPr>
                <w:rFonts w:hint="eastAsia" w:ascii="宋体" w:hAnsi="宋体"/>
                <w:color w:val="000000"/>
                <w:szCs w:val="21"/>
                <w:highlight w:val="none"/>
              </w:rPr>
            </w:pPr>
            <w:r>
              <w:rPr>
                <w:rFonts w:hint="eastAsia" w:ascii="宋体" w:hAnsi="宋体"/>
                <w:color w:val="000000"/>
                <w:szCs w:val="21"/>
                <w:highlight w:val="none"/>
              </w:rPr>
              <w:t>金额</w:t>
            </w:r>
          </w:p>
        </w:tc>
        <w:tc>
          <w:tcPr>
            <w:tcW w:w="1659" w:type="dxa"/>
            <w:vAlign w:val="center"/>
          </w:tcPr>
          <w:p w14:paraId="7E80A392">
            <w:pPr>
              <w:spacing w:line="360" w:lineRule="auto"/>
              <w:ind w:firstLine="105" w:firstLineChars="50"/>
              <w:jc w:val="center"/>
              <w:rPr>
                <w:rFonts w:hint="eastAsia" w:ascii="宋体" w:hAnsi="宋体"/>
                <w:color w:val="000000"/>
                <w:szCs w:val="21"/>
                <w:highlight w:val="none"/>
              </w:rPr>
            </w:pPr>
            <w:r>
              <w:rPr>
                <w:rFonts w:hint="eastAsia" w:ascii="宋体" w:hAnsi="宋体"/>
                <w:color w:val="000000"/>
                <w:szCs w:val="21"/>
                <w:highlight w:val="none"/>
              </w:rPr>
              <w:t>货物类</w:t>
            </w:r>
          </w:p>
        </w:tc>
        <w:tc>
          <w:tcPr>
            <w:tcW w:w="1532" w:type="dxa"/>
            <w:vAlign w:val="center"/>
          </w:tcPr>
          <w:p w14:paraId="7A7230D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服务类</w:t>
            </w:r>
          </w:p>
        </w:tc>
        <w:tc>
          <w:tcPr>
            <w:tcW w:w="1546" w:type="dxa"/>
            <w:vAlign w:val="center"/>
          </w:tcPr>
          <w:p w14:paraId="5CA7ECE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工程类</w:t>
            </w:r>
          </w:p>
        </w:tc>
      </w:tr>
      <w:tr w14:paraId="51C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EFAE9AE">
            <w:pPr>
              <w:spacing w:line="360" w:lineRule="auto"/>
              <w:rPr>
                <w:rFonts w:hint="eastAsia" w:ascii="宋体" w:hAnsi="宋体"/>
                <w:color w:val="000000"/>
                <w:szCs w:val="21"/>
                <w:highlight w:val="none"/>
              </w:rPr>
            </w:pPr>
            <w:r>
              <w:rPr>
                <w:rFonts w:hint="eastAsia" w:ascii="宋体" w:hAnsi="宋体"/>
                <w:color w:val="000000"/>
                <w:szCs w:val="21"/>
                <w:highlight w:val="none"/>
              </w:rPr>
              <w:t>100万元以下</w:t>
            </w:r>
          </w:p>
        </w:tc>
        <w:tc>
          <w:tcPr>
            <w:tcW w:w="1659" w:type="dxa"/>
            <w:vAlign w:val="top"/>
          </w:tcPr>
          <w:p w14:paraId="7EA582AC">
            <w:pPr>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 xml:space="preserve">  1.5%                </w:t>
            </w:r>
          </w:p>
        </w:tc>
        <w:tc>
          <w:tcPr>
            <w:tcW w:w="1532" w:type="dxa"/>
            <w:vAlign w:val="top"/>
          </w:tcPr>
          <w:p w14:paraId="68642222">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1.5%</w:t>
            </w:r>
          </w:p>
        </w:tc>
        <w:tc>
          <w:tcPr>
            <w:tcW w:w="1546" w:type="dxa"/>
            <w:vAlign w:val="top"/>
          </w:tcPr>
          <w:p w14:paraId="0CD7DC82">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1.0% </w:t>
            </w:r>
          </w:p>
        </w:tc>
      </w:tr>
      <w:tr w14:paraId="6F55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74F9E25">
            <w:pPr>
              <w:spacing w:line="360" w:lineRule="auto"/>
              <w:rPr>
                <w:rFonts w:hint="eastAsia" w:ascii="宋体" w:hAnsi="宋体"/>
                <w:color w:val="000000"/>
                <w:szCs w:val="21"/>
                <w:highlight w:val="none"/>
              </w:rPr>
            </w:pPr>
            <w:r>
              <w:rPr>
                <w:rFonts w:hint="eastAsia" w:ascii="宋体" w:hAnsi="宋体"/>
                <w:color w:val="000000"/>
                <w:szCs w:val="21"/>
                <w:highlight w:val="none"/>
              </w:rPr>
              <w:t>100～500万元</w:t>
            </w:r>
          </w:p>
        </w:tc>
        <w:tc>
          <w:tcPr>
            <w:tcW w:w="1659" w:type="dxa"/>
            <w:vAlign w:val="top"/>
          </w:tcPr>
          <w:p w14:paraId="20982319">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1.1%                 </w:t>
            </w:r>
          </w:p>
        </w:tc>
        <w:tc>
          <w:tcPr>
            <w:tcW w:w="1532" w:type="dxa"/>
            <w:vAlign w:val="top"/>
          </w:tcPr>
          <w:p w14:paraId="6918B06F">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0.8%</w:t>
            </w:r>
          </w:p>
        </w:tc>
        <w:tc>
          <w:tcPr>
            <w:tcW w:w="1546" w:type="dxa"/>
            <w:vAlign w:val="top"/>
          </w:tcPr>
          <w:p w14:paraId="0F45512F">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0.7% </w:t>
            </w:r>
          </w:p>
        </w:tc>
      </w:tr>
      <w:tr w14:paraId="207D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714F210">
            <w:pPr>
              <w:spacing w:line="360" w:lineRule="auto"/>
              <w:rPr>
                <w:rFonts w:hint="eastAsia" w:ascii="宋体" w:hAnsi="宋体"/>
                <w:color w:val="000000"/>
                <w:szCs w:val="21"/>
                <w:highlight w:val="none"/>
              </w:rPr>
            </w:pPr>
            <w:r>
              <w:rPr>
                <w:rFonts w:hint="eastAsia" w:ascii="宋体" w:hAnsi="宋体"/>
                <w:color w:val="000000"/>
                <w:szCs w:val="21"/>
                <w:highlight w:val="none"/>
              </w:rPr>
              <w:t>500～1000万元</w:t>
            </w:r>
          </w:p>
        </w:tc>
        <w:tc>
          <w:tcPr>
            <w:tcW w:w="1659" w:type="dxa"/>
            <w:vAlign w:val="top"/>
          </w:tcPr>
          <w:p w14:paraId="5D18B8DA">
            <w:pPr>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 xml:space="preserve">  0.8%                </w:t>
            </w:r>
          </w:p>
        </w:tc>
        <w:tc>
          <w:tcPr>
            <w:tcW w:w="1532" w:type="dxa"/>
            <w:vAlign w:val="top"/>
          </w:tcPr>
          <w:p w14:paraId="105CAEAF">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0.45%</w:t>
            </w:r>
          </w:p>
        </w:tc>
        <w:tc>
          <w:tcPr>
            <w:tcW w:w="1546" w:type="dxa"/>
            <w:vAlign w:val="top"/>
          </w:tcPr>
          <w:p w14:paraId="17DB703E">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0.55%</w:t>
            </w:r>
          </w:p>
        </w:tc>
      </w:tr>
      <w:tr w14:paraId="56CA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E6662C1">
            <w:pPr>
              <w:spacing w:line="360" w:lineRule="auto"/>
              <w:rPr>
                <w:rFonts w:hint="eastAsia" w:ascii="宋体" w:hAnsi="宋体"/>
                <w:color w:val="000000"/>
                <w:szCs w:val="21"/>
                <w:highlight w:val="none"/>
              </w:rPr>
            </w:pPr>
            <w:r>
              <w:rPr>
                <w:rFonts w:hint="eastAsia" w:ascii="宋体" w:hAnsi="宋体"/>
                <w:color w:val="000000"/>
                <w:szCs w:val="21"/>
                <w:highlight w:val="none"/>
              </w:rPr>
              <w:t>1000～5000万元</w:t>
            </w:r>
          </w:p>
        </w:tc>
        <w:tc>
          <w:tcPr>
            <w:tcW w:w="1659" w:type="dxa"/>
            <w:vAlign w:val="top"/>
          </w:tcPr>
          <w:p w14:paraId="26B5466C">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0.5%                </w:t>
            </w:r>
          </w:p>
        </w:tc>
        <w:tc>
          <w:tcPr>
            <w:tcW w:w="1532" w:type="dxa"/>
            <w:vAlign w:val="top"/>
          </w:tcPr>
          <w:p w14:paraId="54F3A8F1">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0.25%</w:t>
            </w:r>
          </w:p>
        </w:tc>
        <w:tc>
          <w:tcPr>
            <w:tcW w:w="1546" w:type="dxa"/>
            <w:vAlign w:val="top"/>
          </w:tcPr>
          <w:p w14:paraId="2D0CBA1F">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0.35% </w:t>
            </w:r>
          </w:p>
        </w:tc>
      </w:tr>
      <w:tr w14:paraId="620D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6BB35E7">
            <w:pPr>
              <w:spacing w:line="360" w:lineRule="auto"/>
              <w:rPr>
                <w:rFonts w:hint="eastAsia" w:ascii="宋体" w:hAnsi="宋体"/>
                <w:color w:val="000000"/>
                <w:szCs w:val="21"/>
                <w:highlight w:val="none"/>
              </w:rPr>
            </w:pPr>
            <w:r>
              <w:rPr>
                <w:rFonts w:hint="eastAsia" w:ascii="宋体" w:hAnsi="宋体"/>
                <w:color w:val="000000"/>
                <w:szCs w:val="21"/>
                <w:highlight w:val="none"/>
              </w:rPr>
              <w:t>5000万元～1亿元</w:t>
            </w:r>
          </w:p>
        </w:tc>
        <w:tc>
          <w:tcPr>
            <w:tcW w:w="1659" w:type="dxa"/>
            <w:vAlign w:val="top"/>
          </w:tcPr>
          <w:p w14:paraId="2657D7E4">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0.25%                 </w:t>
            </w:r>
          </w:p>
        </w:tc>
        <w:tc>
          <w:tcPr>
            <w:tcW w:w="1532" w:type="dxa"/>
            <w:vAlign w:val="top"/>
          </w:tcPr>
          <w:p w14:paraId="460271E3">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0.1%</w:t>
            </w:r>
          </w:p>
        </w:tc>
        <w:tc>
          <w:tcPr>
            <w:tcW w:w="1546" w:type="dxa"/>
            <w:vAlign w:val="top"/>
          </w:tcPr>
          <w:p w14:paraId="019B4B42">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0.2%</w:t>
            </w:r>
          </w:p>
        </w:tc>
      </w:tr>
      <w:tr w14:paraId="571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DB249F">
            <w:pPr>
              <w:spacing w:line="360" w:lineRule="auto"/>
              <w:rPr>
                <w:rFonts w:hint="eastAsia" w:ascii="宋体" w:hAnsi="宋体"/>
                <w:color w:val="000000"/>
                <w:szCs w:val="21"/>
                <w:highlight w:val="none"/>
              </w:rPr>
            </w:pPr>
            <w:r>
              <w:rPr>
                <w:rFonts w:hint="eastAsia" w:ascii="宋体" w:hAnsi="宋体"/>
                <w:color w:val="000000"/>
                <w:szCs w:val="21"/>
                <w:highlight w:val="none"/>
              </w:rPr>
              <w:t>1～5亿元</w:t>
            </w:r>
          </w:p>
        </w:tc>
        <w:tc>
          <w:tcPr>
            <w:tcW w:w="1659" w:type="dxa"/>
            <w:vAlign w:val="top"/>
          </w:tcPr>
          <w:p w14:paraId="6DB5BFC1">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0.05%</w:t>
            </w:r>
          </w:p>
        </w:tc>
        <w:tc>
          <w:tcPr>
            <w:tcW w:w="1532" w:type="dxa"/>
            <w:vAlign w:val="top"/>
          </w:tcPr>
          <w:p w14:paraId="50D6FF09">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0.05%</w:t>
            </w:r>
          </w:p>
        </w:tc>
        <w:tc>
          <w:tcPr>
            <w:tcW w:w="1546" w:type="dxa"/>
            <w:vAlign w:val="top"/>
          </w:tcPr>
          <w:p w14:paraId="774E9097">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0.05%</w:t>
            </w:r>
          </w:p>
        </w:tc>
      </w:tr>
      <w:tr w14:paraId="3BA7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E762FA7">
            <w:pPr>
              <w:spacing w:line="360" w:lineRule="auto"/>
              <w:rPr>
                <w:rFonts w:hint="eastAsia" w:ascii="宋体" w:hAnsi="宋体"/>
                <w:color w:val="000000"/>
                <w:szCs w:val="21"/>
                <w:highlight w:val="none"/>
              </w:rPr>
            </w:pPr>
            <w:r>
              <w:rPr>
                <w:rFonts w:hint="eastAsia" w:ascii="宋体" w:hAnsi="宋体"/>
                <w:color w:val="000000"/>
                <w:szCs w:val="21"/>
                <w:highlight w:val="none"/>
              </w:rPr>
              <w:t>5～10亿元</w:t>
            </w:r>
          </w:p>
        </w:tc>
        <w:tc>
          <w:tcPr>
            <w:tcW w:w="1659" w:type="dxa"/>
            <w:vAlign w:val="top"/>
          </w:tcPr>
          <w:p w14:paraId="56D65B7C">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0.035%</w:t>
            </w:r>
          </w:p>
        </w:tc>
        <w:tc>
          <w:tcPr>
            <w:tcW w:w="1532" w:type="dxa"/>
            <w:vAlign w:val="top"/>
          </w:tcPr>
          <w:p w14:paraId="25B83B54">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0.035%</w:t>
            </w:r>
          </w:p>
        </w:tc>
        <w:tc>
          <w:tcPr>
            <w:tcW w:w="1546" w:type="dxa"/>
            <w:vAlign w:val="top"/>
          </w:tcPr>
          <w:p w14:paraId="25C2A314">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0.035%</w:t>
            </w:r>
          </w:p>
        </w:tc>
      </w:tr>
      <w:tr w14:paraId="542B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3F1C35D">
            <w:pPr>
              <w:spacing w:line="360" w:lineRule="auto"/>
              <w:rPr>
                <w:rFonts w:hint="eastAsia" w:ascii="宋体" w:hAnsi="宋体"/>
                <w:color w:val="000000"/>
                <w:szCs w:val="21"/>
                <w:highlight w:val="none"/>
              </w:rPr>
            </w:pPr>
            <w:r>
              <w:rPr>
                <w:rFonts w:hint="eastAsia" w:ascii="宋体" w:hAnsi="宋体"/>
                <w:color w:val="000000"/>
                <w:szCs w:val="21"/>
                <w:highlight w:val="none"/>
              </w:rPr>
              <w:t>10～50亿元</w:t>
            </w:r>
          </w:p>
        </w:tc>
        <w:tc>
          <w:tcPr>
            <w:tcW w:w="1659" w:type="dxa"/>
            <w:vAlign w:val="top"/>
          </w:tcPr>
          <w:p w14:paraId="597A6359">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0.008%</w:t>
            </w:r>
          </w:p>
        </w:tc>
        <w:tc>
          <w:tcPr>
            <w:tcW w:w="1532" w:type="dxa"/>
            <w:vAlign w:val="top"/>
          </w:tcPr>
          <w:p w14:paraId="7DAB1B75">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0.008%</w:t>
            </w:r>
          </w:p>
        </w:tc>
        <w:tc>
          <w:tcPr>
            <w:tcW w:w="1546" w:type="dxa"/>
            <w:vAlign w:val="top"/>
          </w:tcPr>
          <w:p w14:paraId="25EAA25D">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0.008%</w:t>
            </w:r>
          </w:p>
        </w:tc>
      </w:tr>
      <w:tr w14:paraId="33CE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9B899E8">
            <w:pPr>
              <w:spacing w:line="360" w:lineRule="auto"/>
              <w:rPr>
                <w:rFonts w:hint="eastAsia" w:ascii="宋体" w:hAnsi="宋体"/>
                <w:color w:val="000000"/>
                <w:szCs w:val="21"/>
                <w:highlight w:val="none"/>
              </w:rPr>
            </w:pPr>
            <w:r>
              <w:rPr>
                <w:rFonts w:hint="eastAsia" w:ascii="宋体" w:hAnsi="宋体"/>
                <w:color w:val="000000"/>
                <w:szCs w:val="21"/>
                <w:highlight w:val="none"/>
              </w:rPr>
              <w:t>50～100亿元</w:t>
            </w:r>
          </w:p>
        </w:tc>
        <w:tc>
          <w:tcPr>
            <w:tcW w:w="1659" w:type="dxa"/>
            <w:vAlign w:val="top"/>
          </w:tcPr>
          <w:p w14:paraId="38E64761">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0.006%</w:t>
            </w:r>
          </w:p>
        </w:tc>
        <w:tc>
          <w:tcPr>
            <w:tcW w:w="1532" w:type="dxa"/>
            <w:vAlign w:val="top"/>
          </w:tcPr>
          <w:p w14:paraId="6D691954">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0.006%</w:t>
            </w:r>
          </w:p>
        </w:tc>
        <w:tc>
          <w:tcPr>
            <w:tcW w:w="1546" w:type="dxa"/>
            <w:vAlign w:val="top"/>
          </w:tcPr>
          <w:p w14:paraId="226ABA65">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0.006%</w:t>
            </w:r>
          </w:p>
        </w:tc>
      </w:tr>
      <w:tr w14:paraId="6EFB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0718A73">
            <w:pPr>
              <w:spacing w:line="360" w:lineRule="auto"/>
              <w:rPr>
                <w:rFonts w:hint="eastAsia" w:ascii="宋体" w:hAnsi="宋体"/>
                <w:color w:val="000000"/>
                <w:szCs w:val="21"/>
                <w:highlight w:val="none"/>
              </w:rPr>
            </w:pPr>
            <w:r>
              <w:rPr>
                <w:rFonts w:hint="eastAsia" w:ascii="宋体" w:hAnsi="宋体"/>
                <w:color w:val="000000"/>
                <w:szCs w:val="21"/>
                <w:highlight w:val="none"/>
              </w:rPr>
              <w:t>100亿以上</w:t>
            </w:r>
          </w:p>
        </w:tc>
        <w:tc>
          <w:tcPr>
            <w:tcW w:w="1659" w:type="dxa"/>
            <w:vAlign w:val="top"/>
          </w:tcPr>
          <w:p w14:paraId="29043920">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0.004%</w:t>
            </w:r>
          </w:p>
        </w:tc>
        <w:tc>
          <w:tcPr>
            <w:tcW w:w="1532" w:type="dxa"/>
            <w:vAlign w:val="top"/>
          </w:tcPr>
          <w:p w14:paraId="192EB4E5">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0.004%</w:t>
            </w:r>
          </w:p>
        </w:tc>
        <w:tc>
          <w:tcPr>
            <w:tcW w:w="1546" w:type="dxa"/>
            <w:vAlign w:val="top"/>
          </w:tcPr>
          <w:p w14:paraId="5D2CCBC1">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0.004%</w:t>
            </w:r>
          </w:p>
        </w:tc>
      </w:tr>
    </w:tbl>
    <w:p w14:paraId="0A8B123C">
      <w:pPr>
        <w:spacing w:line="360" w:lineRule="auto"/>
        <w:ind w:firstLine="420" w:firstLineChars="200"/>
        <w:contextualSpacing/>
        <w:rPr>
          <w:rFonts w:ascii="宋体" w:hAnsi="宋体"/>
          <w:color w:val="000000"/>
          <w:highlight w:val="none"/>
        </w:rPr>
      </w:pPr>
      <w:r>
        <w:rPr>
          <w:rFonts w:ascii="宋体" w:hAnsi="宋体"/>
          <w:color w:val="000000"/>
          <w:highlight w:val="none"/>
        </w:rPr>
        <w:t xml:space="preserve">注： </w:t>
      </w:r>
    </w:p>
    <w:p w14:paraId="6222DDF0">
      <w:pPr>
        <w:spacing w:line="360" w:lineRule="auto"/>
        <w:ind w:firstLine="420" w:firstLineChars="200"/>
        <w:contextualSpacing/>
        <w:rPr>
          <w:rFonts w:hint="eastAsia" w:ascii="宋体" w:hAnsi="宋体"/>
          <w:color w:val="000000"/>
          <w:highlight w:val="none"/>
        </w:rPr>
      </w:pPr>
      <w:r>
        <w:rPr>
          <w:rFonts w:hint="eastAsia" w:ascii="宋体" w:hAnsi="宋体"/>
          <w:color w:val="000000"/>
          <w:highlight w:val="none"/>
        </w:rPr>
        <w:t>（1）</w:t>
      </w:r>
      <w:r>
        <w:rPr>
          <w:rFonts w:ascii="宋体" w:hAnsi="宋体"/>
          <w:color w:val="000000"/>
          <w:highlight w:val="none"/>
        </w:rPr>
        <w:t>按本表费率计算的收费为</w:t>
      </w:r>
      <w:r>
        <w:rPr>
          <w:rFonts w:hint="eastAsia" w:ascii="宋体" w:hAnsi="宋体"/>
          <w:color w:val="000000"/>
          <w:highlight w:val="none"/>
        </w:rPr>
        <w:t>采购</w:t>
      </w:r>
      <w:r>
        <w:rPr>
          <w:rFonts w:ascii="宋体" w:hAnsi="宋体"/>
          <w:color w:val="000000"/>
          <w:highlight w:val="none"/>
        </w:rPr>
        <w:t>代理的收费基准价格</w:t>
      </w:r>
      <w:r>
        <w:rPr>
          <w:rFonts w:hint="eastAsia" w:ascii="宋体" w:hAnsi="宋体"/>
          <w:color w:val="000000"/>
          <w:highlight w:val="none"/>
        </w:rPr>
        <w:t>；</w:t>
      </w:r>
    </w:p>
    <w:p w14:paraId="3BBDC677">
      <w:pPr>
        <w:spacing w:line="360" w:lineRule="auto"/>
        <w:ind w:firstLine="420" w:firstLineChars="200"/>
        <w:contextualSpacing/>
        <w:rPr>
          <w:rFonts w:hint="eastAsia" w:ascii="宋体" w:hAnsi="宋体"/>
          <w:color w:val="000000"/>
          <w:highlight w:val="none"/>
        </w:rPr>
      </w:pPr>
      <w:r>
        <w:rPr>
          <w:rFonts w:hint="eastAsia" w:ascii="宋体" w:hAnsi="宋体"/>
          <w:color w:val="000000"/>
          <w:highlight w:val="none"/>
        </w:rPr>
        <w:t>（2）采购</w:t>
      </w:r>
      <w:r>
        <w:rPr>
          <w:rFonts w:ascii="宋体" w:hAnsi="宋体"/>
          <w:color w:val="000000"/>
          <w:highlight w:val="none"/>
        </w:rPr>
        <w:t>代理收费按差额定率累进法计算。</w:t>
      </w:r>
    </w:p>
    <w:p w14:paraId="094BD782">
      <w:pPr>
        <w:spacing w:line="360" w:lineRule="auto"/>
        <w:ind w:firstLine="420" w:firstLineChars="200"/>
        <w:contextualSpacing/>
        <w:rPr>
          <w:rFonts w:ascii="宋体" w:hAnsi="宋体"/>
          <w:color w:val="000000"/>
          <w:highlight w:val="none"/>
        </w:rPr>
      </w:pPr>
      <w:r>
        <w:rPr>
          <w:rFonts w:ascii="宋体" w:hAnsi="宋体"/>
          <w:color w:val="000000"/>
          <w:highlight w:val="none"/>
        </w:rPr>
        <w:t>例如：某</w:t>
      </w:r>
      <w:r>
        <w:rPr>
          <w:rFonts w:hint="eastAsia" w:ascii="宋体" w:hAnsi="宋体"/>
          <w:color w:val="000000"/>
          <w:highlight w:val="none"/>
          <w:lang w:val="en-US" w:eastAsia="zh-CN"/>
        </w:rPr>
        <w:t>工程</w:t>
      </w:r>
      <w:r>
        <w:rPr>
          <w:rFonts w:hint="eastAsia" w:ascii="宋体" w:hAnsi="宋体"/>
          <w:color w:val="000000"/>
          <w:highlight w:val="none"/>
        </w:rPr>
        <w:t>采购</w:t>
      </w:r>
      <w:r>
        <w:rPr>
          <w:rFonts w:ascii="宋体" w:hAnsi="宋体"/>
          <w:color w:val="000000"/>
          <w:highlight w:val="none"/>
        </w:rPr>
        <w:t>代理业务</w:t>
      </w:r>
      <w:r>
        <w:rPr>
          <w:rFonts w:hint="eastAsia" w:ascii="宋体" w:hAnsi="宋体"/>
          <w:color w:val="000000"/>
          <w:highlight w:val="none"/>
        </w:rPr>
        <w:t>成交</w:t>
      </w:r>
      <w:r>
        <w:rPr>
          <w:rFonts w:ascii="宋体" w:hAnsi="宋体"/>
          <w:color w:val="000000"/>
          <w:highlight w:val="none"/>
        </w:rPr>
        <w:t>金额</w:t>
      </w:r>
      <w:r>
        <w:rPr>
          <w:rFonts w:hint="eastAsia" w:ascii="宋体" w:hAnsi="宋体"/>
          <w:color w:val="000000"/>
          <w:highlight w:val="none"/>
        </w:rPr>
        <w:t>或者暂定价</w:t>
      </w:r>
      <w:r>
        <w:rPr>
          <w:rFonts w:ascii="宋体" w:hAnsi="宋体"/>
          <w:color w:val="000000"/>
          <w:highlight w:val="none"/>
        </w:rPr>
        <w:t>为</w:t>
      </w:r>
      <w:r>
        <w:rPr>
          <w:rFonts w:hint="eastAsia" w:ascii="宋体" w:hAnsi="宋体"/>
          <w:color w:val="000000"/>
          <w:highlight w:val="none"/>
          <w:lang w:val="en-US" w:eastAsia="zh-CN"/>
        </w:rPr>
        <w:t>300</w:t>
      </w:r>
      <w:r>
        <w:rPr>
          <w:rFonts w:ascii="宋体" w:hAnsi="宋体"/>
          <w:color w:val="000000"/>
          <w:highlight w:val="none"/>
        </w:rPr>
        <w:t>万元，计算</w:t>
      </w:r>
      <w:r>
        <w:rPr>
          <w:rFonts w:hint="eastAsia" w:ascii="宋体" w:hAnsi="宋体"/>
          <w:color w:val="000000"/>
          <w:highlight w:val="none"/>
        </w:rPr>
        <w:t>采购</w:t>
      </w:r>
      <w:r>
        <w:rPr>
          <w:rFonts w:ascii="宋体" w:hAnsi="宋体"/>
          <w:color w:val="000000"/>
          <w:highlight w:val="none"/>
        </w:rPr>
        <w:t>代理收费额如下：</w:t>
      </w:r>
    </w:p>
    <w:p w14:paraId="1C6FC427">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100×1.0％=10000.00元</w:t>
      </w:r>
    </w:p>
    <w:p w14:paraId="32A9A6F0">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200×0.7％=14000.00元</w:t>
      </w:r>
    </w:p>
    <w:p w14:paraId="52A420DB">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合计：10000.00+14000.00=24000.00元</w:t>
      </w:r>
    </w:p>
    <w:p w14:paraId="2D80B32E">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27</w:t>
      </w:r>
      <w:r>
        <w:rPr>
          <w:rFonts w:hint="eastAsia" w:ascii="宋体" w:hAnsi="宋体"/>
          <w:color w:val="000000"/>
          <w:highlight w:val="none"/>
        </w:rPr>
        <w:t>.2采购代理机构的银行账户：</w:t>
      </w:r>
    </w:p>
    <w:p w14:paraId="33782FBE">
      <w:pPr>
        <w:pStyle w:val="40"/>
        <w:spacing w:line="360" w:lineRule="auto"/>
        <w:ind w:firstLine="420" w:firstLineChars="200"/>
        <w:rPr>
          <w:rFonts w:hAnsi="宋体"/>
          <w:color w:val="000000"/>
          <w:highlight w:val="none"/>
        </w:rPr>
      </w:pPr>
      <w:r>
        <w:rPr>
          <w:rFonts w:hAnsi="宋体"/>
          <w:color w:val="000000"/>
          <w:highlight w:val="none"/>
        </w:rPr>
        <w:t>开户名称：</w:t>
      </w:r>
      <w:r>
        <w:rPr>
          <w:rFonts w:hint="eastAsia" w:hAnsi="宋体"/>
          <w:color w:val="000000"/>
          <w:highlight w:val="none"/>
          <w:lang w:eastAsia="zh-CN"/>
        </w:rPr>
        <w:t>广西东裕工程管理有限公司</w:t>
      </w:r>
      <w:r>
        <w:rPr>
          <w:rFonts w:hint="eastAsia" w:hAnsi="宋体"/>
          <w:color w:val="000000"/>
          <w:highlight w:val="none"/>
        </w:rPr>
        <w:t>梧州分公司</w:t>
      </w:r>
    </w:p>
    <w:p w14:paraId="40F3044A">
      <w:pPr>
        <w:pStyle w:val="40"/>
        <w:spacing w:line="360" w:lineRule="auto"/>
        <w:ind w:firstLine="420" w:firstLineChars="200"/>
        <w:rPr>
          <w:rFonts w:hAnsi="宋体"/>
          <w:color w:val="000000"/>
          <w:highlight w:val="none"/>
        </w:rPr>
      </w:pPr>
      <w:r>
        <w:rPr>
          <w:rFonts w:hAnsi="宋体"/>
          <w:color w:val="000000"/>
          <w:highlight w:val="none"/>
        </w:rPr>
        <w:t>开户银行：</w:t>
      </w:r>
      <w:r>
        <w:rPr>
          <w:rFonts w:hint="eastAsia" w:hAnsi="宋体"/>
          <w:color w:val="000000"/>
          <w:highlight w:val="none"/>
          <w:lang w:eastAsia="zh-CN"/>
        </w:rPr>
        <w:t>桂林银行股份有限公司梧州灏景支行</w:t>
      </w:r>
    </w:p>
    <w:p w14:paraId="268C96BD">
      <w:pPr>
        <w:pStyle w:val="40"/>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660000021587800019</w:t>
      </w:r>
    </w:p>
    <w:p w14:paraId="01D54CF1">
      <w:pPr>
        <w:pStyle w:val="7"/>
        <w:spacing w:before="0" w:after="0" w:line="360" w:lineRule="auto"/>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28．解释权</w:t>
      </w:r>
    </w:p>
    <w:p w14:paraId="1CE578E4">
      <w:pPr>
        <w:pStyle w:val="40"/>
        <w:spacing w:line="360" w:lineRule="auto"/>
        <w:ind w:left="525" w:hanging="525" w:hangingChars="250"/>
        <w:rPr>
          <w:rFonts w:hAnsi="宋体"/>
          <w:color w:val="000000"/>
          <w:highlight w:val="none"/>
        </w:rPr>
      </w:pPr>
      <w:r>
        <w:rPr>
          <w:rFonts w:hAnsi="宋体"/>
          <w:color w:val="000000"/>
          <w:highlight w:val="none"/>
        </w:rPr>
        <w:t>28.1本磋商文件是根据国家有关法律、法规以及政府采购管理有关规定和参照国际惯例编制，解释权属本采购代理机构。</w:t>
      </w:r>
    </w:p>
    <w:p w14:paraId="036F8545">
      <w:pPr>
        <w:pStyle w:val="7"/>
        <w:spacing w:before="0" w:after="0" w:line="360" w:lineRule="auto"/>
        <w:rPr>
          <w:rFonts w:hint="eastAsia" w:ascii="宋体" w:hAnsi="宋体" w:eastAsia="宋体"/>
          <w:color w:val="000000"/>
          <w:sz w:val="21"/>
          <w:szCs w:val="21"/>
          <w:highlight w:val="none"/>
        </w:rPr>
      </w:pPr>
      <w:bookmarkStart w:id="241" w:name="_Toc108539749"/>
      <w:bookmarkStart w:id="242" w:name="_Toc486196175"/>
      <w:bookmarkStart w:id="243" w:name="_Toc486922992"/>
      <w:bookmarkStart w:id="244" w:name="_Toc4136"/>
      <w:r>
        <w:rPr>
          <w:rFonts w:hint="eastAsia" w:ascii="宋体" w:hAnsi="宋体" w:eastAsia="宋体"/>
          <w:color w:val="000000"/>
          <w:sz w:val="21"/>
          <w:szCs w:val="21"/>
          <w:highlight w:val="none"/>
        </w:rPr>
        <w:t>29．知识产权</w:t>
      </w:r>
      <w:bookmarkEnd w:id="241"/>
      <w:bookmarkEnd w:id="242"/>
      <w:bookmarkEnd w:id="243"/>
      <w:bookmarkEnd w:id="244"/>
    </w:p>
    <w:p w14:paraId="584FC293">
      <w:pPr>
        <w:pStyle w:val="40"/>
        <w:spacing w:line="360" w:lineRule="auto"/>
        <w:ind w:left="525" w:hanging="525" w:hangingChars="250"/>
        <w:rPr>
          <w:rFonts w:hAnsi="宋体"/>
          <w:color w:val="000000"/>
          <w:highlight w:val="none"/>
        </w:rPr>
      </w:pPr>
      <w:r>
        <w:rPr>
          <w:rFonts w:hAnsi="宋体"/>
          <w:color w:val="000000"/>
          <w:highlight w:val="none"/>
        </w:rPr>
        <w:t>29.1所有供应商的响应文件以及在本项目的知识成果（包括知识产权在内的任何权利）均归采购人所有，不予退还。供应商并保证所交付的知识成果不侵犯第三人的任何合法权益。</w:t>
      </w:r>
    </w:p>
    <w:p w14:paraId="1FB2415F">
      <w:pPr>
        <w:pStyle w:val="7"/>
        <w:spacing w:before="0" w:after="0" w:line="360" w:lineRule="auto"/>
        <w:rPr>
          <w:rFonts w:hint="eastAsia" w:ascii="宋体" w:hAnsi="宋体" w:eastAsia="宋体"/>
          <w:color w:val="000000"/>
          <w:sz w:val="21"/>
          <w:szCs w:val="21"/>
          <w:highlight w:val="none"/>
        </w:rPr>
      </w:pPr>
      <w:bookmarkStart w:id="245" w:name="_Toc27516"/>
      <w:bookmarkStart w:id="246" w:name="_Toc486922993"/>
      <w:bookmarkStart w:id="247" w:name="_Toc486196176"/>
      <w:bookmarkStart w:id="248" w:name="_Toc108539750"/>
      <w:r>
        <w:rPr>
          <w:rFonts w:hint="eastAsia" w:ascii="宋体" w:hAnsi="宋体" w:eastAsia="宋体"/>
          <w:color w:val="000000"/>
          <w:sz w:val="21"/>
          <w:szCs w:val="21"/>
          <w:highlight w:val="none"/>
        </w:rPr>
        <w:t>30．需要补充的其他内容</w:t>
      </w:r>
      <w:bookmarkEnd w:id="245"/>
      <w:bookmarkEnd w:id="246"/>
      <w:bookmarkEnd w:id="247"/>
      <w:bookmarkEnd w:id="248"/>
    </w:p>
    <w:p w14:paraId="39239FF3">
      <w:pPr>
        <w:widowControl/>
        <w:spacing w:line="360" w:lineRule="auto"/>
        <w:jc w:val="left"/>
        <w:rPr>
          <w:rFonts w:hint="eastAsia" w:ascii="宋体" w:hAnsi="宋体"/>
          <w:color w:val="000000"/>
          <w:szCs w:val="21"/>
          <w:highlight w:val="none"/>
        </w:rPr>
      </w:pPr>
      <w:r>
        <w:rPr>
          <w:rFonts w:hint="eastAsia" w:ascii="宋体" w:hAnsi="宋体"/>
          <w:color w:val="000000"/>
          <w:szCs w:val="21"/>
          <w:highlight w:val="none"/>
        </w:rPr>
        <w:t>30</w:t>
      </w:r>
      <w:r>
        <w:rPr>
          <w:rFonts w:ascii="宋体" w:hAnsi="宋体"/>
          <w:color w:val="000000"/>
          <w:szCs w:val="21"/>
          <w:highlight w:val="none"/>
        </w:rPr>
        <w:t>.1</w:t>
      </w:r>
      <w:r>
        <w:rPr>
          <w:rFonts w:hint="eastAsia" w:ascii="宋体" w:hAnsi="宋体"/>
          <w:color w:val="000000"/>
          <w:szCs w:val="21"/>
          <w:highlight w:val="none"/>
        </w:rPr>
        <w:t>可中止电子交易活动的情形</w:t>
      </w:r>
    </w:p>
    <w:p w14:paraId="791C4F17">
      <w:pPr>
        <w:widowControl/>
        <w:spacing w:line="360" w:lineRule="auto"/>
        <w:ind w:left="420" w:leftChars="200" w:firstLine="420" w:firstLineChars="200"/>
        <w:jc w:val="left"/>
        <w:rPr>
          <w:rFonts w:hint="eastAsia" w:ascii="宋体" w:hAnsi="宋体"/>
          <w:color w:val="000000"/>
          <w:kern w:val="0"/>
          <w:highlight w:val="none"/>
        </w:rPr>
      </w:pPr>
      <w:r>
        <w:rPr>
          <w:rFonts w:hint="eastAsia" w:ascii="宋体" w:hAnsi="宋体"/>
          <w:color w:val="000000"/>
          <w:kern w:val="0"/>
          <w:highlight w:val="none"/>
        </w:rPr>
        <w:t>采购过程中出现以下情形，导致电子交易平台无法正常运行，或者无法保证电子交易的公平、公正和安全时，本采购代理机构可中止电子交易活动：</w:t>
      </w:r>
    </w:p>
    <w:p w14:paraId="0A1E2424">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（1）电子交易平台发生故障而无法登录访问的；</w:t>
      </w:r>
    </w:p>
    <w:p w14:paraId="565138BB">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（2）电子交易平台应用或数据库出现错误，不能进行正常操作的；</w:t>
      </w:r>
    </w:p>
    <w:p w14:paraId="326C42A1">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（3）电子交易平台发现严重安全漏洞，有潜在泄密危险的；</w:t>
      </w:r>
    </w:p>
    <w:p w14:paraId="46F84C80">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（4）病毒发作导致不能进行正常操作的；</w:t>
      </w:r>
    </w:p>
    <w:p w14:paraId="0F1B23CA">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（5）其他无法保证电子交易的公平、公正和安全的情况。</w:t>
      </w:r>
    </w:p>
    <w:p w14:paraId="080292B1">
      <w:pPr>
        <w:pStyle w:val="40"/>
        <w:spacing w:line="360" w:lineRule="auto"/>
        <w:ind w:left="630" w:leftChars="300" w:firstLine="315" w:firstLineChars="150"/>
        <w:rPr>
          <w:rFonts w:hAnsi="宋体"/>
          <w:color w:val="000000"/>
          <w:highlight w:val="none"/>
        </w:rPr>
      </w:pPr>
      <w:r>
        <w:rPr>
          <w:rFonts w:hAnsi="宋体"/>
          <w:color w:val="000000"/>
          <w:highlight w:val="none"/>
        </w:rPr>
        <w:t>出现前款规定情形，不影响采购公平、公正性的，本采购代理机构待上述情形消除后继续组织电子交易活动；影响或可能影响采购公平、公正性的，重新组织采购活动。</w:t>
      </w:r>
    </w:p>
    <w:p w14:paraId="451EC394">
      <w:pPr>
        <w:pStyle w:val="40"/>
        <w:spacing w:line="360" w:lineRule="auto"/>
        <w:ind w:left="525" w:hanging="525" w:hangingChars="250"/>
        <w:rPr>
          <w:rFonts w:hAnsi="宋体"/>
          <w:color w:val="000000"/>
          <w:highlight w:val="none"/>
        </w:rPr>
      </w:pPr>
      <w:r>
        <w:rPr>
          <w:rFonts w:hAnsi="宋体"/>
          <w:color w:val="000000"/>
          <w:highlight w:val="none"/>
        </w:rPr>
        <w:t>30.2需要补充的其他内容：见本章须知前附表。</w:t>
      </w:r>
    </w:p>
    <w:p w14:paraId="12D5B285">
      <w:pPr>
        <w:pStyle w:val="40"/>
        <w:spacing w:line="400" w:lineRule="exact"/>
        <w:rPr>
          <w:rFonts w:hAnsi="宋体"/>
          <w:color w:val="000000"/>
          <w:highlight w:val="none"/>
        </w:rPr>
      </w:pPr>
      <w:r>
        <w:rPr>
          <w:rFonts w:hAnsi="宋体"/>
          <w:color w:val="000000"/>
          <w:highlight w:val="none"/>
        </w:rPr>
        <w:br w:type="page"/>
      </w:r>
    </w:p>
    <w:p w14:paraId="75972CD2">
      <w:pPr>
        <w:pStyle w:val="40"/>
        <w:spacing w:line="400" w:lineRule="exact"/>
        <w:rPr>
          <w:rFonts w:hAnsi="宋体"/>
          <w:color w:val="000000"/>
          <w:highlight w:val="none"/>
        </w:rPr>
      </w:pPr>
    </w:p>
    <w:p w14:paraId="150DC20C">
      <w:pPr>
        <w:pStyle w:val="40"/>
        <w:spacing w:line="400" w:lineRule="exact"/>
        <w:rPr>
          <w:rFonts w:hAnsi="宋体"/>
          <w:color w:val="000000"/>
          <w:highlight w:val="none"/>
        </w:rPr>
      </w:pPr>
    </w:p>
    <w:p w14:paraId="126EF10F">
      <w:pPr>
        <w:pStyle w:val="40"/>
        <w:spacing w:line="400" w:lineRule="exact"/>
        <w:rPr>
          <w:rFonts w:hAnsi="宋体"/>
          <w:color w:val="000000"/>
          <w:highlight w:val="none"/>
        </w:rPr>
      </w:pPr>
    </w:p>
    <w:p w14:paraId="273D0A26">
      <w:pPr>
        <w:pStyle w:val="40"/>
        <w:spacing w:line="400" w:lineRule="exact"/>
        <w:rPr>
          <w:rFonts w:hAnsi="宋体"/>
          <w:color w:val="000000"/>
          <w:highlight w:val="none"/>
        </w:rPr>
      </w:pPr>
    </w:p>
    <w:p w14:paraId="290A618A">
      <w:pPr>
        <w:pStyle w:val="40"/>
        <w:spacing w:line="400" w:lineRule="exact"/>
        <w:rPr>
          <w:rFonts w:hAnsi="宋体"/>
          <w:color w:val="000000"/>
          <w:highlight w:val="none"/>
        </w:rPr>
      </w:pPr>
    </w:p>
    <w:p w14:paraId="6AA5947D">
      <w:pPr>
        <w:pStyle w:val="40"/>
        <w:spacing w:line="400" w:lineRule="exact"/>
        <w:rPr>
          <w:rFonts w:hAnsi="宋体"/>
          <w:color w:val="000000"/>
          <w:highlight w:val="none"/>
        </w:rPr>
      </w:pPr>
    </w:p>
    <w:p w14:paraId="400FBCFE">
      <w:pPr>
        <w:pStyle w:val="6"/>
        <w:spacing w:line="560" w:lineRule="exact"/>
        <w:jc w:val="center"/>
        <w:rPr>
          <w:rFonts w:hint="eastAsia" w:ascii="宋体" w:hAnsi="宋体"/>
          <w:bCs/>
          <w:color w:val="000000"/>
          <w:sz w:val="44"/>
          <w:highlight w:val="none"/>
        </w:rPr>
      </w:pPr>
      <w:bookmarkStart w:id="249" w:name="_Toc185703008"/>
      <w:bookmarkStart w:id="250" w:name="_Toc185702586"/>
      <w:bookmarkStart w:id="251" w:name="_Toc22634"/>
      <w:bookmarkStart w:id="252" w:name="_Toc239839900"/>
      <w:bookmarkStart w:id="253" w:name="_Toc486922994"/>
      <w:bookmarkStart w:id="254" w:name="_Toc156106969"/>
      <w:bookmarkStart w:id="255" w:name="_Toc147248434"/>
      <w:bookmarkStart w:id="256" w:name="_Toc4579"/>
      <w:r>
        <w:rPr>
          <w:rFonts w:hint="eastAsia" w:ascii="宋体" w:hAnsi="宋体"/>
          <w:bCs/>
          <w:color w:val="000000"/>
          <w:sz w:val="44"/>
          <w:highlight w:val="none"/>
        </w:rPr>
        <w:t xml:space="preserve">第三章   </w:t>
      </w:r>
      <w:bookmarkEnd w:id="249"/>
      <w:bookmarkEnd w:id="250"/>
      <w:bookmarkEnd w:id="251"/>
      <w:bookmarkEnd w:id="252"/>
      <w:bookmarkEnd w:id="253"/>
      <w:bookmarkEnd w:id="254"/>
      <w:bookmarkEnd w:id="255"/>
      <w:r>
        <w:rPr>
          <w:rFonts w:hint="eastAsia" w:ascii="宋体" w:hAnsi="宋体"/>
          <w:bCs/>
          <w:color w:val="000000"/>
          <w:sz w:val="44"/>
          <w:highlight w:val="none"/>
        </w:rPr>
        <w:t>采购内容及要求</w:t>
      </w:r>
      <w:bookmarkEnd w:id="256"/>
    </w:p>
    <w:p w14:paraId="1AD92787">
      <w:pPr>
        <w:pStyle w:val="40"/>
        <w:spacing w:line="400" w:lineRule="exact"/>
        <w:rPr>
          <w:rFonts w:hAnsi="宋体"/>
          <w:color w:val="000000"/>
          <w:highlight w:val="none"/>
        </w:rPr>
      </w:pPr>
    </w:p>
    <w:p w14:paraId="3BA719DA">
      <w:pPr>
        <w:spacing w:line="300" w:lineRule="exact"/>
        <w:ind w:left="629" w:hanging="629"/>
        <w:rPr>
          <w:rFonts w:ascii="宋体" w:hAnsi="宋体"/>
          <w:color w:val="000000"/>
          <w:highlight w:val="none"/>
        </w:rPr>
      </w:pPr>
    </w:p>
    <w:p w14:paraId="211A460A">
      <w:pPr>
        <w:spacing w:line="300" w:lineRule="exact"/>
        <w:ind w:left="629" w:hanging="629"/>
        <w:rPr>
          <w:rFonts w:hint="eastAsia" w:ascii="宋体" w:hAnsi="宋体"/>
          <w:bCs/>
          <w:color w:val="000000"/>
          <w:highlight w:val="none"/>
        </w:rPr>
      </w:pPr>
      <w:r>
        <w:rPr>
          <w:rFonts w:hint="eastAsia" w:ascii="宋体" w:hAnsi="宋体"/>
          <w:bCs/>
          <w:color w:val="000000"/>
          <w:highlight w:val="none"/>
        </w:rPr>
        <w:br w:type="page"/>
      </w:r>
    </w:p>
    <w:p w14:paraId="54628E76">
      <w:pPr>
        <w:spacing w:line="360" w:lineRule="auto"/>
        <w:jc w:val="center"/>
        <w:rPr>
          <w:rFonts w:ascii="宋体" w:hAnsi="宋体"/>
          <w:b/>
          <w:bCs/>
          <w:color w:val="000000"/>
          <w:sz w:val="32"/>
          <w:szCs w:val="32"/>
          <w:highlight w:val="none"/>
        </w:rPr>
      </w:pPr>
    </w:p>
    <w:p w14:paraId="2D052E83">
      <w:pPr>
        <w:pStyle w:val="33"/>
        <w:jc w:val="center"/>
        <w:rPr>
          <w:rFonts w:hint="eastAsia" w:ascii="宋体" w:hAnsi="宋体"/>
          <w:b/>
          <w:bCs/>
          <w:color w:val="000000"/>
          <w:sz w:val="32"/>
          <w:szCs w:val="32"/>
          <w:highlight w:val="none"/>
          <w:lang w:eastAsia="zh-CN"/>
        </w:rPr>
      </w:pPr>
      <w:r>
        <w:rPr>
          <w:rFonts w:hint="eastAsia" w:ascii="宋体" w:hAnsi="宋体"/>
          <w:b/>
          <w:bCs/>
          <w:color w:val="000000"/>
          <w:sz w:val="32"/>
          <w:szCs w:val="32"/>
          <w:highlight w:val="none"/>
          <w:lang w:eastAsia="zh-CN"/>
        </w:rPr>
        <w:t>长洲区泗洲村人居环境整治项目</w:t>
      </w:r>
      <w:r>
        <w:rPr>
          <w:rFonts w:hint="eastAsia" w:ascii="宋体" w:hAnsi="宋体"/>
          <w:b/>
          <w:bCs/>
          <w:color w:val="000000"/>
          <w:sz w:val="32"/>
          <w:szCs w:val="32"/>
          <w:highlight w:val="none"/>
        </w:rPr>
        <w:t>采购内容及要求（采购需求）</w:t>
      </w:r>
    </w:p>
    <w:p w14:paraId="14E1305D">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 xml:space="preserve">一、项目概况 </w:t>
      </w:r>
    </w:p>
    <w:p w14:paraId="197D6E6B">
      <w:pPr>
        <w:pStyle w:val="33"/>
        <w:spacing w:after="0"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主要建设内容包括</w:t>
      </w:r>
      <w:r>
        <w:rPr>
          <w:rFonts w:hint="eastAsia" w:ascii="宋体" w:hAnsi="宋体"/>
          <w:color w:val="000000"/>
          <w:szCs w:val="21"/>
          <w:highlight w:val="none"/>
          <w:lang w:eastAsia="zh-CN"/>
        </w:rPr>
        <w:t>（1）农家乐至星空露营基地节点：节点场地铺装1278.92㎡，绿化1101㎡。 （2）凉亭维修整治7处；（3）庭院整治50户（其中院墙360m，栅栏500m，污水沟渠98m，巷道硬化约600㎡）；（4）竣工标志牌1个。</w:t>
      </w:r>
      <w:r>
        <w:rPr>
          <w:rFonts w:hint="eastAsia" w:ascii="宋体" w:hAnsi="宋体"/>
          <w:color w:val="000000"/>
          <w:szCs w:val="21"/>
          <w:highlight w:val="none"/>
        </w:rPr>
        <w:t>（具体按施工图纸、工程量清单、采购文件及相关补充通知的全部内容）</w:t>
      </w:r>
    </w:p>
    <w:p w14:paraId="76F69E1C">
      <w:pPr>
        <w:spacing w:line="440" w:lineRule="exact"/>
        <w:ind w:firstLine="420" w:firstLineChars="200"/>
        <w:rPr>
          <w:rFonts w:hint="eastAsia"/>
          <w:color w:val="000000"/>
          <w:highlight w:val="none"/>
        </w:rPr>
      </w:pPr>
      <w:r>
        <w:rPr>
          <w:rFonts w:hint="eastAsia"/>
          <w:color w:val="000000"/>
          <w:highlight w:val="none"/>
        </w:rPr>
        <w:t>建设地点：</w:t>
      </w:r>
      <w:r>
        <w:rPr>
          <w:rFonts w:hint="eastAsia"/>
          <w:color w:val="000000"/>
          <w:highlight w:val="none"/>
          <w:lang w:eastAsia="zh-CN"/>
        </w:rPr>
        <w:t>梧州市长洲区泗洲村</w:t>
      </w:r>
    </w:p>
    <w:p w14:paraId="3633710A">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二、工期要求：</w:t>
      </w:r>
      <w:r>
        <w:rPr>
          <w:rFonts w:hint="eastAsia" w:ascii="宋体" w:hAnsi="宋体"/>
          <w:bCs/>
          <w:color w:val="000000"/>
          <w:szCs w:val="21"/>
          <w:highlight w:val="none"/>
          <w:lang w:val="en-US" w:eastAsia="zh-CN"/>
        </w:rPr>
        <w:t>120</w:t>
      </w:r>
      <w:r>
        <w:rPr>
          <w:rFonts w:hint="eastAsia" w:ascii="宋体" w:hAnsi="宋体"/>
          <w:bCs/>
          <w:color w:val="000000"/>
          <w:szCs w:val="21"/>
          <w:highlight w:val="none"/>
        </w:rPr>
        <w:t>日历天</w:t>
      </w:r>
    </w:p>
    <w:p w14:paraId="7D8AD22F">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三、付款方式：</w:t>
      </w:r>
    </w:p>
    <w:p w14:paraId="6F0CAF61">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1.预付款：签订合同并项目开工后采购人在10个工作日内按照签约合同价（扣除暂列金额、安全文明施工费）的</w:t>
      </w:r>
      <w:r>
        <w:rPr>
          <w:rFonts w:hint="eastAsia" w:ascii="宋体" w:hAnsi="宋体"/>
          <w:color w:val="000000"/>
          <w:szCs w:val="21"/>
          <w:highlight w:val="none"/>
          <w:lang w:val="en-US" w:eastAsia="zh-CN"/>
        </w:rPr>
        <w:t>1</w:t>
      </w:r>
      <w:r>
        <w:rPr>
          <w:rFonts w:hint="eastAsia" w:ascii="宋体" w:hAnsi="宋体"/>
          <w:color w:val="000000"/>
          <w:szCs w:val="21"/>
          <w:highlight w:val="none"/>
        </w:rPr>
        <w:t>0 %作为项目预付款，支付前须收到承包人递交的等额预付款保函（保函格式自拟）；</w:t>
      </w:r>
    </w:p>
    <w:p w14:paraId="2BECDB1C">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支付方式：进度款原则上按月支付，按工程进度造价的80%支付工程进度款，工程完工并通过各方验收合格由建设单位按相关要求委托第三方造价单位评审审定结算价后30天内支付至结算总价的97%，余下3%的工程款待缺陷责任期满项目不存在质量问题、承包人不存在任何违约情形之日起30日内不计息付清。缺陷责任期内，如工程出现质量问题，致使发包人受损的，发包人有权从余下工程款中扣除并要求承包人承担赔偿责任。</w:t>
      </w:r>
    </w:p>
    <w:p w14:paraId="7A19762A">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在支付预付款前，承包人应（1.缴纳工程款的2％作为农民工工资保障金到人社局劳动监察大队； 2.购买项目意外险，要有对应发票。）</w:t>
      </w:r>
    </w:p>
    <w:p w14:paraId="58A432E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在申请支付工程款时，承包人必须提供增值税发票，如本市以外的承包人，还须提供加盖有项目所在地税务机关业务专用章并注明增值税发票和交款书号码的《增值税预缴税款表》。</w:t>
      </w:r>
    </w:p>
    <w:p w14:paraId="777EBC4B">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四、质量要求：</w:t>
      </w:r>
    </w:p>
    <w:p w14:paraId="661F7780">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达到国家施工验收规范合格标准</w:t>
      </w:r>
    </w:p>
    <w:p w14:paraId="3A32799D">
      <w:pPr>
        <w:pStyle w:val="65"/>
        <w:spacing w:after="0"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五、技术标准和要求</w:t>
      </w:r>
    </w:p>
    <w:p w14:paraId="74A3B4A5">
      <w:pPr>
        <w:spacing w:line="4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施工要求：</w:t>
      </w:r>
    </w:p>
    <w:p w14:paraId="3AC3D13C">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本工程应该认真按照设计施工图纸的要求进行施工，同时也要严格执行我国各专业相关的现行质量标准和技术规范、规程要求。具体技术参数按工程工程量清单说明。我国现行相关工程质量检验评定标准及验收规范标准。</w:t>
      </w:r>
    </w:p>
    <w:p w14:paraId="4F7AF4B2">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2.按照相关规定及规范做好安全生产工作。</w:t>
      </w:r>
    </w:p>
    <w:p w14:paraId="4AD7DE0C">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六、承包方式：</w:t>
      </w:r>
      <w:r>
        <w:rPr>
          <w:rFonts w:hint="eastAsia" w:ascii="宋体" w:hAnsi="宋体"/>
          <w:color w:val="000000"/>
          <w:highlight w:val="none"/>
        </w:rPr>
        <w:t>本工程采用</w:t>
      </w:r>
      <w:r>
        <w:rPr>
          <w:rFonts w:hint="eastAsia" w:ascii="宋体" w:hAnsi="宋体"/>
          <w:color w:val="000000"/>
          <w:highlight w:val="none"/>
          <w:lang w:eastAsia="zh-CN"/>
        </w:rPr>
        <w:t>总价合同</w:t>
      </w:r>
      <w:r>
        <w:rPr>
          <w:rFonts w:hint="eastAsia" w:ascii="宋体" w:hAnsi="宋体"/>
          <w:color w:val="000000"/>
          <w:highlight w:val="none"/>
        </w:rPr>
        <w:t>。</w:t>
      </w:r>
    </w:p>
    <w:p w14:paraId="3C573D20">
      <w:pPr>
        <w:pStyle w:val="40"/>
        <w:spacing w:line="440" w:lineRule="exact"/>
        <w:ind w:firstLine="422" w:firstLineChars="200"/>
        <w:rPr>
          <w:rFonts w:hAnsi="宋体"/>
          <w:b/>
          <w:bCs/>
          <w:color w:val="000000"/>
          <w:highlight w:val="none"/>
        </w:rPr>
      </w:pPr>
      <w:r>
        <w:rPr>
          <w:rFonts w:hAnsi="宋体"/>
          <w:b/>
          <w:bCs/>
          <w:color w:val="000000"/>
          <w:highlight w:val="none"/>
        </w:rPr>
        <w:t>七、标准、规范：</w:t>
      </w:r>
      <w:r>
        <w:rPr>
          <w:rFonts w:hAnsi="宋体"/>
          <w:bCs/>
          <w:color w:val="000000"/>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p w14:paraId="36CED33C">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八</w:t>
      </w:r>
      <w:r>
        <w:rPr>
          <w:rFonts w:ascii="宋体" w:hAnsi="宋体"/>
          <w:b/>
          <w:bCs/>
          <w:color w:val="000000"/>
          <w:szCs w:val="21"/>
          <w:highlight w:val="none"/>
        </w:rPr>
        <w:t>、报价要求：</w:t>
      </w:r>
    </w:p>
    <w:p w14:paraId="2B909E3C">
      <w:pPr>
        <w:spacing w:line="4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根据</w:t>
      </w:r>
      <w:r>
        <w:rPr>
          <w:rFonts w:ascii="宋体" w:hAnsi="宋体"/>
          <w:color w:val="000000"/>
          <w:szCs w:val="21"/>
          <w:highlight w:val="none"/>
        </w:rPr>
        <w:t>本项目《采购内容及要求》规定的内容、责任范围、工程量清单、施工图纸以及合同条款进行报价</w:t>
      </w:r>
      <w:r>
        <w:rPr>
          <w:rFonts w:hint="eastAsia" w:ascii="宋体" w:hAnsi="宋体"/>
          <w:color w:val="000000"/>
          <w:szCs w:val="21"/>
          <w:highlight w:val="none"/>
        </w:rPr>
        <w:t>，其组成部分包括实施和完成本项目所需的所有费用，包含但不限于完成该项目的劳务、材料、机械、质检（自检）、拆除、安装、缺陷修复、管理、保险、税费、利润等费用，以及合同明示或暗示的所有责任、义务和一般风险。因成交供应商自身原因造成漏报、少报皆由其自行承担责任，采购人不再补偿。</w:t>
      </w:r>
    </w:p>
    <w:p w14:paraId="2A605B0E">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九</w:t>
      </w:r>
      <w:r>
        <w:rPr>
          <w:rFonts w:ascii="宋体" w:hAnsi="宋体"/>
          <w:b/>
          <w:bCs/>
          <w:color w:val="000000"/>
          <w:szCs w:val="21"/>
          <w:highlight w:val="none"/>
        </w:rPr>
        <w:t>、合同签订：</w:t>
      </w:r>
    </w:p>
    <w:p w14:paraId="293170A8">
      <w:pPr>
        <w:pStyle w:val="40"/>
        <w:spacing w:line="440" w:lineRule="exact"/>
        <w:ind w:firstLine="420" w:firstLineChars="200"/>
        <w:rPr>
          <w:rFonts w:hAnsi="宋体"/>
          <w:bCs/>
          <w:color w:val="000000"/>
          <w:highlight w:val="none"/>
        </w:rPr>
      </w:pPr>
      <w:r>
        <w:rPr>
          <w:rFonts w:hAnsi="宋体"/>
          <w:bCs/>
          <w:color w:val="000000"/>
          <w:highlight w:val="none"/>
        </w:rPr>
        <w:t>自成交通知书发出之日起15日内凭成交通知书与采购人签订合同，逾期签订合同且无正当理由不签订合同，则由采购人上报政府采购监督部门。</w:t>
      </w:r>
    </w:p>
    <w:p w14:paraId="61F3E5CE">
      <w:pPr>
        <w:widowControl/>
        <w:jc w:val="left"/>
        <w:rPr>
          <w:rFonts w:ascii="宋体" w:hAnsi="宋体"/>
          <w:bCs/>
          <w:color w:val="000000"/>
          <w:sz w:val="24"/>
          <w:highlight w:val="none"/>
        </w:rPr>
      </w:pPr>
      <w:r>
        <w:rPr>
          <w:rFonts w:ascii="宋体" w:hAnsi="宋体"/>
          <w:bCs/>
          <w:color w:val="000000"/>
          <w:sz w:val="24"/>
          <w:highlight w:val="none"/>
        </w:rPr>
        <w:br w:type="page"/>
      </w:r>
    </w:p>
    <w:p w14:paraId="7EFF6B15">
      <w:pPr>
        <w:pStyle w:val="40"/>
        <w:spacing w:line="440" w:lineRule="exact"/>
        <w:ind w:firstLine="480" w:firstLineChars="200"/>
        <w:rPr>
          <w:rFonts w:hAnsi="宋体"/>
          <w:bCs/>
          <w:color w:val="000000"/>
          <w:sz w:val="24"/>
          <w:szCs w:val="24"/>
          <w:highlight w:val="none"/>
        </w:rPr>
      </w:pPr>
    </w:p>
    <w:p w14:paraId="2A15D2FB">
      <w:pPr>
        <w:pStyle w:val="101"/>
        <w:rPr>
          <w:color w:val="000000"/>
          <w:highlight w:val="none"/>
        </w:rPr>
      </w:pPr>
    </w:p>
    <w:p w14:paraId="305C0158">
      <w:pPr>
        <w:pStyle w:val="101"/>
        <w:rPr>
          <w:color w:val="000000"/>
          <w:highlight w:val="none"/>
        </w:rPr>
      </w:pPr>
    </w:p>
    <w:p w14:paraId="622BE34A">
      <w:pPr>
        <w:pStyle w:val="101"/>
        <w:rPr>
          <w:color w:val="000000"/>
          <w:highlight w:val="none"/>
        </w:rPr>
      </w:pPr>
    </w:p>
    <w:p w14:paraId="2A147E81">
      <w:pPr>
        <w:pStyle w:val="101"/>
        <w:rPr>
          <w:color w:val="000000"/>
          <w:highlight w:val="none"/>
        </w:rPr>
      </w:pPr>
    </w:p>
    <w:p w14:paraId="7B553D48">
      <w:pPr>
        <w:pStyle w:val="101"/>
        <w:rPr>
          <w:color w:val="000000"/>
          <w:highlight w:val="none"/>
        </w:rPr>
      </w:pPr>
    </w:p>
    <w:p w14:paraId="6A13E725">
      <w:pPr>
        <w:pStyle w:val="101"/>
        <w:rPr>
          <w:color w:val="000000"/>
          <w:highlight w:val="none"/>
        </w:rPr>
      </w:pPr>
    </w:p>
    <w:p w14:paraId="6709B057">
      <w:pPr>
        <w:pStyle w:val="6"/>
        <w:spacing w:line="560" w:lineRule="exact"/>
        <w:jc w:val="center"/>
        <w:rPr>
          <w:rFonts w:hint="eastAsia" w:ascii="宋体" w:hAnsi="宋体"/>
          <w:bCs/>
          <w:color w:val="000000"/>
          <w:sz w:val="44"/>
          <w:highlight w:val="none"/>
        </w:rPr>
      </w:pPr>
      <w:bookmarkStart w:id="257" w:name="_Toc31352"/>
      <w:bookmarkStart w:id="258" w:name="_Toc31480"/>
      <w:r>
        <w:rPr>
          <w:rFonts w:hint="eastAsia" w:ascii="宋体" w:hAnsi="宋体"/>
          <w:bCs/>
          <w:color w:val="000000"/>
          <w:sz w:val="44"/>
          <w:highlight w:val="none"/>
        </w:rPr>
        <w:t xml:space="preserve">第四章   </w:t>
      </w:r>
      <w:bookmarkEnd w:id="257"/>
      <w:r>
        <w:rPr>
          <w:rFonts w:hint="eastAsia" w:ascii="宋体" w:hAnsi="宋体"/>
          <w:bCs/>
          <w:color w:val="000000"/>
          <w:sz w:val="44"/>
          <w:highlight w:val="none"/>
        </w:rPr>
        <w:t>施工承包合同协议书（格式）</w:t>
      </w:r>
      <w:bookmarkEnd w:id="258"/>
    </w:p>
    <w:p w14:paraId="772070AD">
      <w:pPr>
        <w:pStyle w:val="40"/>
        <w:spacing w:line="400" w:lineRule="exact"/>
        <w:ind w:firstLine="4" w:firstLineChars="2"/>
        <w:rPr>
          <w:rFonts w:hAnsi="宋体"/>
          <w:b/>
          <w:bCs/>
          <w:color w:val="000000"/>
          <w:highlight w:val="none"/>
        </w:rPr>
      </w:pPr>
    </w:p>
    <w:p w14:paraId="319FE3B7">
      <w:pPr>
        <w:pStyle w:val="40"/>
        <w:spacing w:line="400" w:lineRule="exact"/>
        <w:ind w:firstLine="4" w:firstLineChars="2"/>
        <w:rPr>
          <w:rFonts w:hAnsi="宋体"/>
          <w:b/>
          <w:bCs/>
          <w:color w:val="000000"/>
          <w:highlight w:val="none"/>
        </w:rPr>
      </w:pPr>
    </w:p>
    <w:p w14:paraId="603E3DCB">
      <w:pPr>
        <w:pStyle w:val="40"/>
        <w:spacing w:line="400" w:lineRule="exact"/>
        <w:ind w:firstLine="4" w:firstLineChars="2"/>
        <w:rPr>
          <w:rFonts w:hAnsi="宋体"/>
          <w:b/>
          <w:bCs/>
          <w:color w:val="000000"/>
          <w:highlight w:val="none"/>
        </w:rPr>
      </w:pPr>
    </w:p>
    <w:p w14:paraId="5541918C">
      <w:pPr>
        <w:pStyle w:val="40"/>
        <w:spacing w:line="400" w:lineRule="exact"/>
        <w:ind w:firstLine="4" w:firstLineChars="2"/>
        <w:rPr>
          <w:rFonts w:hAnsi="宋体"/>
          <w:b/>
          <w:bCs/>
          <w:color w:val="000000"/>
          <w:highlight w:val="none"/>
        </w:rPr>
      </w:pPr>
    </w:p>
    <w:p w14:paraId="1288D74E">
      <w:pPr>
        <w:pStyle w:val="40"/>
        <w:spacing w:line="400" w:lineRule="exact"/>
        <w:ind w:firstLine="4" w:firstLineChars="2"/>
        <w:rPr>
          <w:rFonts w:hAnsi="宋体"/>
          <w:b/>
          <w:bCs/>
          <w:color w:val="000000"/>
          <w:highlight w:val="none"/>
        </w:rPr>
      </w:pPr>
      <w:r>
        <w:rPr>
          <w:rFonts w:hAnsi="宋体"/>
          <w:b/>
          <w:bCs/>
          <w:color w:val="000000"/>
          <w:highlight w:val="none"/>
        </w:rPr>
        <w:t>（注：本合同样本仅供参考，具体内容由采购人和成交供应商协商确定，但补充和修改不得造成与本章格式内容有实质性的违背。）</w:t>
      </w:r>
    </w:p>
    <w:p w14:paraId="2F3A76AC">
      <w:pPr>
        <w:pStyle w:val="101"/>
        <w:rPr>
          <w:color w:val="000000"/>
          <w:highlight w:val="none"/>
        </w:rPr>
      </w:pPr>
    </w:p>
    <w:p w14:paraId="42D79452">
      <w:pPr>
        <w:pStyle w:val="101"/>
        <w:rPr>
          <w:color w:val="000000"/>
          <w:highlight w:val="none"/>
        </w:rPr>
      </w:pPr>
    </w:p>
    <w:p w14:paraId="3E5305AE">
      <w:pPr>
        <w:pStyle w:val="101"/>
        <w:rPr>
          <w:color w:val="000000"/>
          <w:highlight w:val="none"/>
        </w:rPr>
      </w:pPr>
    </w:p>
    <w:p w14:paraId="48BCB110">
      <w:pPr>
        <w:pStyle w:val="101"/>
        <w:rPr>
          <w:color w:val="000000"/>
          <w:sz w:val="32"/>
          <w:highlight w:val="none"/>
        </w:rPr>
      </w:pPr>
      <w:r>
        <w:rPr>
          <w:color w:val="000000"/>
          <w:sz w:val="32"/>
          <w:highlight w:val="none"/>
        </w:rPr>
        <w:br w:type="page"/>
      </w:r>
    </w:p>
    <w:p w14:paraId="4ADD6970">
      <w:pPr>
        <w:jc w:val="center"/>
        <w:rPr>
          <w:rFonts w:ascii="宋体" w:hAnsi="宋体"/>
          <w:b/>
          <w:bCs/>
          <w:color w:val="000000"/>
          <w:sz w:val="36"/>
          <w:szCs w:val="36"/>
          <w:highlight w:val="none"/>
        </w:rPr>
      </w:pPr>
    </w:p>
    <w:p w14:paraId="1E0927A3">
      <w:pPr>
        <w:jc w:val="center"/>
        <w:rPr>
          <w:rFonts w:ascii="宋体" w:hAnsi="宋体"/>
          <w:b/>
          <w:bCs/>
          <w:color w:val="000000"/>
          <w:sz w:val="36"/>
          <w:szCs w:val="36"/>
          <w:highlight w:val="none"/>
        </w:rPr>
      </w:pPr>
    </w:p>
    <w:p w14:paraId="35C21AFB">
      <w:pPr>
        <w:jc w:val="center"/>
        <w:rPr>
          <w:rFonts w:ascii="宋体" w:hAnsi="宋体"/>
          <w:b/>
          <w:bCs/>
          <w:color w:val="000000"/>
          <w:sz w:val="36"/>
          <w:szCs w:val="36"/>
          <w:highlight w:val="none"/>
        </w:rPr>
      </w:pPr>
    </w:p>
    <w:p w14:paraId="1988B118">
      <w:pPr>
        <w:jc w:val="center"/>
        <w:rPr>
          <w:rFonts w:ascii="宋体" w:hAnsi="宋体"/>
          <w:b/>
          <w:bCs/>
          <w:color w:val="000000"/>
          <w:sz w:val="36"/>
          <w:szCs w:val="36"/>
          <w:highlight w:val="none"/>
        </w:rPr>
      </w:pPr>
    </w:p>
    <w:p w14:paraId="1848262F">
      <w:pPr>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施工承包合同协议书</w:t>
      </w:r>
    </w:p>
    <w:p w14:paraId="598F764C">
      <w:pPr>
        <w:rPr>
          <w:rFonts w:ascii="宋体" w:hAnsi="宋体"/>
          <w:bCs/>
          <w:color w:val="000000"/>
          <w:sz w:val="30"/>
          <w:szCs w:val="30"/>
          <w:highlight w:val="none"/>
        </w:rPr>
      </w:pPr>
    </w:p>
    <w:p w14:paraId="57C5089C">
      <w:pPr>
        <w:ind w:firstLine="1798" w:firstLineChars="562"/>
        <w:rPr>
          <w:rFonts w:ascii="宋体" w:hAnsi="宋体"/>
          <w:bCs/>
          <w:color w:val="000000"/>
          <w:sz w:val="32"/>
          <w:szCs w:val="32"/>
          <w:highlight w:val="none"/>
        </w:rPr>
      </w:pPr>
    </w:p>
    <w:p w14:paraId="7AEC4CF7">
      <w:pPr>
        <w:pStyle w:val="33"/>
        <w:rPr>
          <w:color w:val="000000"/>
          <w:highlight w:val="none"/>
        </w:rPr>
      </w:pPr>
    </w:p>
    <w:p w14:paraId="34BF50D4">
      <w:pPr>
        <w:pStyle w:val="33"/>
        <w:rPr>
          <w:color w:val="000000"/>
          <w:highlight w:val="none"/>
        </w:rPr>
      </w:pPr>
    </w:p>
    <w:p w14:paraId="53EA582F">
      <w:pPr>
        <w:ind w:firstLine="1798" w:firstLineChars="562"/>
        <w:rPr>
          <w:rFonts w:ascii="宋体" w:hAnsi="宋体"/>
          <w:bCs/>
          <w:color w:val="000000"/>
          <w:sz w:val="32"/>
          <w:szCs w:val="32"/>
          <w:highlight w:val="none"/>
        </w:rPr>
      </w:pPr>
    </w:p>
    <w:p w14:paraId="3978E40F">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p w14:paraId="47D433D5">
      <w:pPr>
        <w:ind w:firstLine="1798" w:firstLineChars="562"/>
        <w:rPr>
          <w:rFonts w:ascii="宋体" w:hAnsi="宋体"/>
          <w:color w:val="000000"/>
          <w:sz w:val="32"/>
          <w:szCs w:val="32"/>
          <w:highlight w:val="none"/>
        </w:rPr>
      </w:pPr>
    </w:p>
    <w:p w14:paraId="2D181E33">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p w14:paraId="6D7ED2E3">
      <w:pPr>
        <w:ind w:firstLine="600"/>
        <w:rPr>
          <w:rFonts w:ascii="宋体" w:hAnsi="宋体"/>
          <w:bCs/>
          <w:color w:val="000000"/>
          <w:sz w:val="30"/>
          <w:szCs w:val="30"/>
          <w:highlight w:val="none"/>
        </w:rPr>
      </w:pPr>
    </w:p>
    <w:p w14:paraId="16E312C9">
      <w:pPr>
        <w:ind w:firstLine="600"/>
        <w:rPr>
          <w:rFonts w:ascii="宋体" w:hAnsi="宋体"/>
          <w:bCs/>
          <w:color w:val="000000"/>
          <w:sz w:val="30"/>
          <w:szCs w:val="30"/>
          <w:highlight w:val="none"/>
        </w:rPr>
      </w:pPr>
    </w:p>
    <w:p w14:paraId="38178941">
      <w:pPr>
        <w:ind w:firstLine="600"/>
        <w:rPr>
          <w:rFonts w:ascii="宋体" w:hAnsi="宋体"/>
          <w:bCs/>
          <w:color w:val="000000"/>
          <w:sz w:val="30"/>
          <w:szCs w:val="30"/>
          <w:highlight w:val="none"/>
        </w:rPr>
      </w:pPr>
    </w:p>
    <w:p w14:paraId="0514DF2D">
      <w:pPr>
        <w:ind w:firstLine="600"/>
        <w:rPr>
          <w:rFonts w:ascii="宋体" w:hAnsi="宋体"/>
          <w:bCs/>
          <w:color w:val="000000"/>
          <w:sz w:val="30"/>
          <w:szCs w:val="30"/>
          <w:highlight w:val="none"/>
        </w:rPr>
      </w:pPr>
    </w:p>
    <w:p w14:paraId="74813A1F">
      <w:pPr>
        <w:ind w:firstLine="600"/>
        <w:rPr>
          <w:rFonts w:ascii="宋体" w:hAnsi="宋体"/>
          <w:bCs/>
          <w:color w:val="000000"/>
          <w:sz w:val="30"/>
          <w:szCs w:val="30"/>
          <w:highlight w:val="none"/>
        </w:rPr>
      </w:pPr>
    </w:p>
    <w:p w14:paraId="5B7DD1FE">
      <w:pPr>
        <w:ind w:firstLine="600"/>
        <w:rPr>
          <w:rFonts w:ascii="宋体" w:hAnsi="宋体"/>
          <w:bCs/>
          <w:color w:val="000000"/>
          <w:sz w:val="30"/>
          <w:szCs w:val="30"/>
          <w:highlight w:val="none"/>
        </w:rPr>
      </w:pPr>
    </w:p>
    <w:p w14:paraId="22264393">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p w14:paraId="1FA1CCAB">
      <w:pPr>
        <w:ind w:firstLine="640"/>
        <w:rPr>
          <w:rFonts w:ascii="宋体" w:hAnsi="宋体"/>
          <w:bCs/>
          <w:color w:val="000000"/>
          <w:sz w:val="32"/>
          <w:szCs w:val="32"/>
          <w:highlight w:val="none"/>
        </w:rPr>
      </w:pPr>
    </w:p>
    <w:p w14:paraId="03ECD461">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供  应  商：</w:t>
      </w:r>
    </w:p>
    <w:p w14:paraId="7D5D8FCA">
      <w:pPr>
        <w:tabs>
          <w:tab w:val="left" w:pos="7380"/>
        </w:tabs>
        <w:spacing w:line="400" w:lineRule="exact"/>
        <w:ind w:firstLine="835" w:firstLineChars="398"/>
        <w:rPr>
          <w:rFonts w:ascii="宋体" w:hAnsi="宋体"/>
          <w:bCs/>
          <w:color w:val="000000"/>
          <w:szCs w:val="21"/>
          <w:highlight w:val="none"/>
        </w:rPr>
      </w:pPr>
    </w:p>
    <w:p w14:paraId="42A52C36">
      <w:pPr>
        <w:tabs>
          <w:tab w:val="left" w:pos="7380"/>
        </w:tabs>
        <w:spacing w:line="400" w:lineRule="exact"/>
        <w:ind w:firstLine="835" w:firstLineChars="398"/>
        <w:rPr>
          <w:rFonts w:ascii="宋体" w:hAnsi="宋体"/>
          <w:bCs/>
          <w:color w:val="000000"/>
          <w:szCs w:val="21"/>
          <w:highlight w:val="none"/>
        </w:rPr>
      </w:pPr>
      <w:r>
        <w:rPr>
          <w:rFonts w:ascii="宋体" w:hAnsi="宋体"/>
          <w:bCs/>
          <w:color w:val="000000"/>
          <w:szCs w:val="21"/>
          <w:highlight w:val="none"/>
        </w:rPr>
        <w:br w:type="page"/>
      </w:r>
    </w:p>
    <w:p w14:paraId="5E1C7425">
      <w:pPr>
        <w:pStyle w:val="33"/>
        <w:jc w:val="center"/>
        <w:rPr>
          <w:rFonts w:hint="eastAsia" w:ascii="宋体" w:hAnsi="宋体"/>
          <w:b/>
          <w:color w:val="000000"/>
          <w:sz w:val="24"/>
          <w:highlight w:val="none"/>
        </w:rPr>
      </w:pPr>
      <w:r>
        <w:rPr>
          <w:rFonts w:hint="eastAsia" w:ascii="宋体" w:hAnsi="宋体"/>
          <w:b/>
          <w:color w:val="000000"/>
          <w:sz w:val="24"/>
          <w:highlight w:val="none"/>
        </w:rPr>
        <w:t>施工承包合同协议书</w:t>
      </w:r>
    </w:p>
    <w:p w14:paraId="328B9FE8">
      <w:pPr>
        <w:snapToGrid w:val="0"/>
        <w:spacing w:line="400" w:lineRule="exact"/>
        <w:ind w:right="480"/>
        <w:jc w:val="left"/>
        <w:rPr>
          <w:rFonts w:hint="eastAsia" w:ascii="宋体" w:hAnsi="宋体"/>
          <w:bCs/>
          <w:color w:val="000000"/>
          <w:szCs w:val="21"/>
          <w:highlight w:val="none"/>
        </w:rPr>
      </w:pPr>
      <w:r>
        <w:rPr>
          <w:rFonts w:hint="eastAsia" w:ascii="宋体" w:hAnsi="宋体"/>
          <w:bCs/>
          <w:color w:val="000000"/>
          <w:szCs w:val="21"/>
          <w:highlight w:val="none"/>
        </w:rPr>
        <w:t>合同编号：</w:t>
      </w:r>
    </w:p>
    <w:p w14:paraId="19A65BA4">
      <w:pPr>
        <w:snapToGrid w:val="0"/>
        <w:spacing w:line="400" w:lineRule="exact"/>
        <w:rPr>
          <w:rFonts w:ascii="宋体" w:hAnsi="宋体"/>
          <w:color w:val="000000"/>
          <w:szCs w:val="21"/>
          <w:highlight w:val="none"/>
        </w:rPr>
      </w:pPr>
    </w:p>
    <w:p w14:paraId="6F6AF091">
      <w:pPr>
        <w:spacing w:line="360" w:lineRule="auto"/>
        <w:rPr>
          <w:rFonts w:hint="eastAsia" w:ascii="宋体" w:hAnsi="宋体"/>
          <w:color w:val="000000"/>
          <w:highlight w:val="none"/>
        </w:rPr>
      </w:pPr>
      <w:r>
        <w:rPr>
          <w:rFonts w:hint="eastAsia" w:ascii="宋体" w:hAnsi="宋体"/>
          <w:color w:val="000000"/>
          <w:highlight w:val="none"/>
        </w:rPr>
        <w:t>发包人（全称）：</w:t>
      </w:r>
    </w:p>
    <w:p w14:paraId="5B15F8C5">
      <w:pPr>
        <w:spacing w:line="360" w:lineRule="auto"/>
        <w:rPr>
          <w:rFonts w:hint="eastAsia" w:ascii="宋体" w:hAnsi="宋体"/>
          <w:color w:val="000000"/>
          <w:highlight w:val="none"/>
        </w:rPr>
      </w:pPr>
      <w:r>
        <w:rPr>
          <w:rFonts w:hint="eastAsia" w:ascii="宋体" w:hAnsi="宋体"/>
          <w:color w:val="000000"/>
          <w:highlight w:val="none"/>
        </w:rPr>
        <w:t>承包人（全称）：</w:t>
      </w:r>
    </w:p>
    <w:p w14:paraId="280C147F">
      <w:pPr>
        <w:spacing w:line="360" w:lineRule="auto"/>
        <w:ind w:firstLine="420" w:firstLineChars="200"/>
        <w:rPr>
          <w:rFonts w:hint="eastAsia" w:ascii="宋体" w:hAnsi="宋体"/>
          <w:color w:val="000000"/>
          <w:highlight w:val="none"/>
        </w:rPr>
      </w:pPr>
      <w:r>
        <w:rPr>
          <w:rFonts w:hint="eastAsia" w:ascii="宋体" w:hAnsi="宋体"/>
          <w:color w:val="000000"/>
          <w:highlight w:val="none"/>
        </w:rPr>
        <w:t>根据《中华人民共和国民法典》、《中华人民共和国建筑法》及有关法律规定，遵循平等、自愿、公平和诚实信用的原则，双方就</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lang w:eastAsia="zh-CN"/>
        </w:rPr>
        <w:t>长洲区泗洲村人居环境整治项目</w:t>
      </w:r>
      <w:r>
        <w:rPr>
          <w:rFonts w:hint="eastAsia" w:ascii="宋体" w:hAnsi="宋体"/>
          <w:color w:val="000000"/>
          <w:highlight w:val="none"/>
          <w:u w:val="single"/>
          <w:lang w:val="en-US" w:eastAsia="zh-CN"/>
        </w:rPr>
        <w:t xml:space="preserve"> </w:t>
      </w:r>
      <w:r>
        <w:rPr>
          <w:rFonts w:hint="eastAsia" w:ascii="宋体" w:hAnsi="宋体"/>
          <w:color w:val="000000"/>
          <w:highlight w:val="none"/>
        </w:rPr>
        <w:t>施工及有关事项协商一致，共同达成如下协议：</w:t>
      </w:r>
    </w:p>
    <w:p w14:paraId="61F70FC8">
      <w:pPr>
        <w:spacing w:line="360" w:lineRule="auto"/>
        <w:ind w:firstLine="422" w:firstLineChars="200"/>
        <w:outlineLvl w:val="0"/>
        <w:rPr>
          <w:rFonts w:hint="eastAsia" w:ascii="宋体" w:hAnsi="宋体"/>
          <w:b/>
          <w:bCs/>
          <w:color w:val="000000"/>
          <w:highlight w:val="none"/>
        </w:rPr>
      </w:pPr>
      <w:bookmarkStart w:id="259" w:name="_Toc23183"/>
      <w:bookmarkStart w:id="260" w:name="_Toc108539753"/>
      <w:r>
        <w:rPr>
          <w:rFonts w:hint="eastAsia" w:ascii="宋体" w:hAnsi="宋体"/>
          <w:b/>
          <w:bCs/>
          <w:color w:val="000000"/>
          <w:highlight w:val="none"/>
        </w:rPr>
        <w:t>一、工程概况</w:t>
      </w:r>
      <w:bookmarkEnd w:id="259"/>
      <w:bookmarkEnd w:id="260"/>
    </w:p>
    <w:p w14:paraId="0E964D99">
      <w:pPr>
        <w:spacing w:line="360" w:lineRule="auto"/>
        <w:ind w:firstLine="411" w:firstLineChars="196"/>
        <w:rPr>
          <w:rFonts w:hint="eastAsia" w:ascii="宋体" w:hAnsi="宋体"/>
          <w:color w:val="000000"/>
          <w:highlight w:val="none"/>
        </w:rPr>
      </w:pPr>
      <w:r>
        <w:rPr>
          <w:rFonts w:hint="eastAsia" w:ascii="宋体" w:hAnsi="宋体"/>
          <w:color w:val="000000"/>
          <w:highlight w:val="none"/>
        </w:rPr>
        <w:t>1. 工程名称：</w:t>
      </w:r>
      <w:r>
        <w:rPr>
          <w:rFonts w:hint="eastAsia" w:ascii="宋体" w:hAnsi="宋体"/>
          <w:color w:val="000000"/>
          <w:highlight w:val="none"/>
          <w:u w:val="single"/>
        </w:rPr>
        <w:t xml:space="preserve">                        </w:t>
      </w:r>
    </w:p>
    <w:p w14:paraId="7CE5C289">
      <w:pPr>
        <w:spacing w:line="360" w:lineRule="auto"/>
        <w:ind w:firstLine="411" w:firstLineChars="196"/>
        <w:rPr>
          <w:rFonts w:hint="eastAsia" w:ascii="宋体" w:hAnsi="宋体"/>
          <w:color w:val="000000"/>
          <w:highlight w:val="none"/>
        </w:rPr>
      </w:pPr>
      <w:r>
        <w:rPr>
          <w:rFonts w:hint="eastAsia" w:ascii="宋体" w:hAnsi="宋体"/>
          <w:color w:val="000000"/>
          <w:highlight w:val="none"/>
        </w:rPr>
        <w:t>2. 工程地点：</w:t>
      </w:r>
      <w:r>
        <w:rPr>
          <w:rFonts w:hint="eastAsia" w:ascii="宋体" w:hAnsi="宋体"/>
          <w:color w:val="000000"/>
          <w:highlight w:val="none"/>
          <w:u w:val="single"/>
        </w:rPr>
        <w:t xml:space="preserve">                        </w:t>
      </w:r>
    </w:p>
    <w:p w14:paraId="49D26A34">
      <w:pPr>
        <w:spacing w:line="360" w:lineRule="auto"/>
        <w:ind w:firstLine="411" w:firstLineChars="196"/>
        <w:rPr>
          <w:rFonts w:hint="eastAsia" w:ascii="宋体" w:hAnsi="宋体"/>
          <w:color w:val="000000"/>
          <w:highlight w:val="none"/>
        </w:rPr>
      </w:pPr>
      <w:r>
        <w:rPr>
          <w:rFonts w:hint="eastAsia" w:ascii="宋体" w:hAnsi="宋体"/>
          <w:color w:val="000000"/>
          <w:highlight w:val="none"/>
        </w:rPr>
        <w:t>3. 工程立项批准文号：</w:t>
      </w:r>
      <w:r>
        <w:rPr>
          <w:rFonts w:hint="eastAsia" w:ascii="宋体" w:hAnsi="宋体"/>
          <w:color w:val="000000"/>
          <w:highlight w:val="none"/>
          <w:u w:val="single"/>
        </w:rPr>
        <w:t xml:space="preserve">   /   </w:t>
      </w:r>
    </w:p>
    <w:p w14:paraId="77D6ED6C">
      <w:pPr>
        <w:spacing w:line="360" w:lineRule="auto"/>
        <w:ind w:firstLine="411" w:firstLineChars="196"/>
        <w:rPr>
          <w:rFonts w:hint="eastAsia" w:ascii="宋体" w:hAnsi="宋体"/>
          <w:color w:val="000000"/>
          <w:highlight w:val="none"/>
        </w:rPr>
      </w:pPr>
      <w:r>
        <w:rPr>
          <w:rFonts w:hint="eastAsia" w:ascii="宋体" w:hAnsi="宋体"/>
          <w:color w:val="000000"/>
          <w:highlight w:val="none"/>
        </w:rPr>
        <w:t>4. 资金来源：</w:t>
      </w:r>
      <w:r>
        <w:rPr>
          <w:rFonts w:hint="eastAsia" w:ascii="宋体" w:hAnsi="宋体"/>
          <w:color w:val="000000"/>
          <w:highlight w:val="none"/>
          <w:u w:val="single"/>
        </w:rPr>
        <w:t xml:space="preserve">                    </w:t>
      </w:r>
    </w:p>
    <w:p w14:paraId="56A4BA9F">
      <w:pPr>
        <w:spacing w:line="360" w:lineRule="auto"/>
        <w:ind w:firstLine="411" w:firstLineChars="196"/>
        <w:rPr>
          <w:rFonts w:hint="eastAsia" w:ascii="宋体" w:hAnsi="宋体"/>
          <w:color w:val="000000"/>
          <w:highlight w:val="none"/>
        </w:rPr>
      </w:pPr>
      <w:r>
        <w:rPr>
          <w:rFonts w:hint="eastAsia" w:ascii="宋体" w:hAnsi="宋体"/>
          <w:color w:val="000000"/>
          <w:highlight w:val="none"/>
        </w:rPr>
        <w:t>5. 工程内容：</w:t>
      </w:r>
      <w:r>
        <w:rPr>
          <w:rFonts w:hint="eastAsia" w:ascii="宋体" w:hAnsi="宋体"/>
          <w:color w:val="000000"/>
          <w:highlight w:val="none"/>
          <w:u w:val="single"/>
        </w:rPr>
        <w:t xml:space="preserve">                                      。</w:t>
      </w:r>
      <w:r>
        <w:rPr>
          <w:rFonts w:hint="eastAsia" w:ascii="宋体" w:hAnsi="宋体"/>
          <w:color w:val="000000"/>
          <w:highlight w:val="none"/>
        </w:rPr>
        <w:t>（具体按施工图纸、工程量清单、采购文件及相关补充通知的全部内容）</w:t>
      </w:r>
    </w:p>
    <w:p w14:paraId="328E8236">
      <w:pPr>
        <w:spacing w:line="360" w:lineRule="auto"/>
        <w:ind w:firstLine="411" w:firstLineChars="196"/>
        <w:rPr>
          <w:rFonts w:hint="eastAsia" w:ascii="宋体" w:hAnsi="宋体"/>
          <w:color w:val="000000"/>
          <w:highlight w:val="none"/>
        </w:rPr>
      </w:pPr>
      <w:r>
        <w:rPr>
          <w:rFonts w:hint="eastAsia" w:ascii="宋体" w:hAnsi="宋体"/>
          <w:color w:val="000000"/>
          <w:highlight w:val="none"/>
        </w:rPr>
        <w:t>6. 工程承包范围：工程发包图纸以及工程量清单中全部工程内容。</w:t>
      </w:r>
    </w:p>
    <w:p w14:paraId="6545DF5F">
      <w:pPr>
        <w:spacing w:line="360" w:lineRule="auto"/>
        <w:ind w:firstLine="407" w:firstLineChars="193"/>
        <w:outlineLvl w:val="0"/>
        <w:rPr>
          <w:rFonts w:hint="eastAsia" w:ascii="宋体" w:hAnsi="宋体"/>
          <w:b/>
          <w:bCs/>
          <w:color w:val="000000"/>
          <w:highlight w:val="none"/>
        </w:rPr>
      </w:pPr>
      <w:bookmarkStart w:id="261" w:name="_Toc7219"/>
      <w:bookmarkStart w:id="262" w:name="_Toc108539754"/>
      <w:r>
        <w:rPr>
          <w:rFonts w:hint="eastAsia" w:ascii="宋体" w:hAnsi="宋体"/>
          <w:b/>
          <w:bCs/>
          <w:color w:val="000000"/>
          <w:highlight w:val="none"/>
        </w:rPr>
        <w:t>二、合同工期</w:t>
      </w:r>
      <w:bookmarkEnd w:id="261"/>
      <w:bookmarkEnd w:id="262"/>
    </w:p>
    <w:p w14:paraId="501766BC">
      <w:pPr>
        <w:spacing w:line="360" w:lineRule="auto"/>
        <w:ind w:firstLine="459"/>
        <w:rPr>
          <w:rFonts w:hint="eastAsia" w:ascii="宋体" w:hAnsi="宋体"/>
          <w:color w:val="000000"/>
          <w:highlight w:val="none"/>
        </w:rPr>
      </w:pPr>
      <w:r>
        <w:rPr>
          <w:rFonts w:hint="eastAsia" w:ascii="宋体" w:hAnsi="宋体"/>
          <w:color w:val="000000"/>
          <w:highlight w:val="none"/>
        </w:rPr>
        <w:t>计划开工日期：</w:t>
      </w:r>
      <w:r>
        <w:rPr>
          <w:rFonts w:hint="eastAsia" w:ascii="宋体" w:hAnsi="宋体"/>
          <w:color w:val="000000"/>
          <w:highlight w:val="none"/>
          <w:u w:val="single"/>
        </w:rPr>
        <w:t></w:t>
      </w:r>
      <w:r>
        <w:rPr>
          <w:rFonts w:hint="eastAsia" w:ascii="宋体" w:hAnsi="宋体"/>
          <w:color w:val="000000"/>
          <w:highlight w:val="none"/>
        </w:rPr>
        <w:t>年</w:t>
      </w:r>
      <w:r>
        <w:rPr>
          <w:rFonts w:hint="eastAsia" w:ascii="宋体" w:hAnsi="宋体"/>
          <w:color w:val="000000"/>
          <w:highlight w:val="none"/>
          <w:u w:val="single"/>
        </w:rPr>
        <w:t></w:t>
      </w:r>
      <w:r>
        <w:rPr>
          <w:rFonts w:hint="eastAsia" w:ascii="宋体" w:hAnsi="宋体"/>
          <w:color w:val="000000"/>
          <w:highlight w:val="none"/>
        </w:rPr>
        <w:t>月</w:t>
      </w:r>
      <w:r>
        <w:rPr>
          <w:rFonts w:hint="eastAsia" w:ascii="宋体" w:hAnsi="宋体"/>
          <w:color w:val="000000"/>
          <w:highlight w:val="none"/>
          <w:u w:val="single"/>
        </w:rPr>
        <w:t></w:t>
      </w:r>
      <w:r>
        <w:rPr>
          <w:rFonts w:hint="eastAsia" w:ascii="宋体" w:hAnsi="宋体"/>
          <w:color w:val="000000"/>
          <w:highlight w:val="none"/>
        </w:rPr>
        <w:t>日。（具体以发包人书面通知为准）</w:t>
      </w:r>
    </w:p>
    <w:p w14:paraId="1F6743EC">
      <w:pPr>
        <w:spacing w:line="360" w:lineRule="auto"/>
        <w:ind w:firstLine="459"/>
        <w:rPr>
          <w:rFonts w:hint="eastAsia" w:ascii="宋体" w:hAnsi="宋体"/>
          <w:color w:val="000000"/>
          <w:highlight w:val="none"/>
        </w:rPr>
      </w:pPr>
      <w:r>
        <w:rPr>
          <w:rFonts w:hint="eastAsia" w:ascii="宋体" w:hAnsi="宋体"/>
          <w:color w:val="000000"/>
          <w:highlight w:val="none"/>
        </w:rPr>
        <w:t>计划竣工日期：</w:t>
      </w:r>
      <w:r>
        <w:rPr>
          <w:rFonts w:hint="eastAsia" w:ascii="宋体" w:hAnsi="宋体"/>
          <w:color w:val="000000"/>
          <w:highlight w:val="none"/>
          <w:u w:val="single"/>
        </w:rPr>
        <w:t></w:t>
      </w:r>
      <w:r>
        <w:rPr>
          <w:rFonts w:hint="eastAsia" w:ascii="宋体" w:hAnsi="宋体"/>
          <w:color w:val="000000"/>
          <w:highlight w:val="none"/>
        </w:rPr>
        <w:t>年</w:t>
      </w:r>
      <w:r>
        <w:rPr>
          <w:rFonts w:hint="eastAsia" w:ascii="宋体" w:hAnsi="宋体"/>
          <w:color w:val="000000"/>
          <w:highlight w:val="none"/>
          <w:u w:val="single"/>
        </w:rPr>
        <w:t></w:t>
      </w:r>
      <w:r>
        <w:rPr>
          <w:rFonts w:hint="eastAsia" w:ascii="宋体" w:hAnsi="宋体"/>
          <w:color w:val="000000"/>
          <w:highlight w:val="none"/>
        </w:rPr>
        <w:t>月</w:t>
      </w:r>
      <w:r>
        <w:rPr>
          <w:rFonts w:hint="eastAsia" w:ascii="宋体" w:hAnsi="宋体"/>
          <w:color w:val="000000"/>
          <w:highlight w:val="none"/>
          <w:u w:val="single"/>
        </w:rPr>
        <w:t></w:t>
      </w:r>
      <w:r>
        <w:rPr>
          <w:rFonts w:hint="eastAsia" w:ascii="宋体" w:hAnsi="宋体"/>
          <w:color w:val="000000"/>
          <w:highlight w:val="none"/>
        </w:rPr>
        <w:t>日。</w:t>
      </w:r>
    </w:p>
    <w:p w14:paraId="48E9FCA8">
      <w:pPr>
        <w:spacing w:line="360" w:lineRule="auto"/>
        <w:ind w:firstLine="459"/>
        <w:rPr>
          <w:rFonts w:hint="eastAsia" w:ascii="宋体" w:hAnsi="宋体"/>
          <w:color w:val="000000"/>
          <w:highlight w:val="none"/>
        </w:rPr>
      </w:pPr>
      <w:r>
        <w:rPr>
          <w:rFonts w:hint="eastAsia" w:ascii="宋体" w:hAnsi="宋体"/>
          <w:color w:val="000000"/>
          <w:highlight w:val="none"/>
        </w:rPr>
        <w:t>工期要求：</w:t>
      </w:r>
      <w:r>
        <w:rPr>
          <w:rFonts w:hint="eastAsia" w:ascii="宋体" w:hAnsi="宋体"/>
          <w:color w:val="000000"/>
          <w:highlight w:val="none"/>
          <w:u w:val="single"/>
        </w:rPr>
        <w:t xml:space="preserve">       。</w:t>
      </w:r>
      <w:r>
        <w:rPr>
          <w:rFonts w:hint="eastAsia" w:ascii="宋体" w:hAnsi="宋体"/>
          <w:color w:val="000000"/>
          <w:highlight w:val="none"/>
        </w:rPr>
        <w:t xml:space="preserve"> 工期总日历天数与根据前述计划开竣工日期计算的工期天数不一致的，以工期总日历天数为准。</w:t>
      </w:r>
    </w:p>
    <w:p w14:paraId="77A71248">
      <w:pPr>
        <w:spacing w:line="360" w:lineRule="auto"/>
        <w:ind w:firstLine="459"/>
        <w:outlineLvl w:val="0"/>
        <w:rPr>
          <w:rFonts w:hint="eastAsia" w:ascii="宋体" w:hAnsi="宋体"/>
          <w:b/>
          <w:bCs/>
          <w:color w:val="000000"/>
          <w:highlight w:val="none"/>
        </w:rPr>
      </w:pPr>
      <w:bookmarkStart w:id="263" w:name="_Toc108539755"/>
      <w:bookmarkStart w:id="264" w:name="_Toc25402"/>
      <w:r>
        <w:rPr>
          <w:rFonts w:hint="eastAsia" w:ascii="宋体" w:hAnsi="宋体"/>
          <w:b/>
          <w:bCs/>
          <w:color w:val="000000"/>
          <w:highlight w:val="none"/>
        </w:rPr>
        <w:t>三、质量标准</w:t>
      </w:r>
      <w:bookmarkEnd w:id="263"/>
      <w:bookmarkEnd w:id="264"/>
    </w:p>
    <w:p w14:paraId="7CECC1B8">
      <w:pPr>
        <w:spacing w:line="360" w:lineRule="auto"/>
        <w:ind w:firstLine="459"/>
        <w:outlineLvl w:val="0"/>
        <w:rPr>
          <w:rFonts w:hint="eastAsia" w:ascii="宋体" w:hAnsi="宋体"/>
          <w:color w:val="000000"/>
          <w:highlight w:val="none"/>
        </w:rPr>
      </w:pPr>
      <w:bookmarkStart w:id="265" w:name="_Toc108539756"/>
      <w:bookmarkStart w:id="266" w:name="_Toc8892"/>
      <w:r>
        <w:rPr>
          <w:rFonts w:hint="eastAsia" w:ascii="宋体" w:hAnsi="宋体"/>
          <w:color w:val="000000"/>
          <w:highlight w:val="none"/>
        </w:rPr>
        <w:t>工程质量符合标准。</w:t>
      </w:r>
      <w:bookmarkEnd w:id="265"/>
      <w:bookmarkEnd w:id="266"/>
    </w:p>
    <w:p w14:paraId="3FB8FE98">
      <w:pPr>
        <w:spacing w:line="360" w:lineRule="auto"/>
        <w:ind w:firstLine="459"/>
        <w:outlineLvl w:val="0"/>
        <w:rPr>
          <w:rFonts w:hint="eastAsia" w:ascii="宋体" w:hAnsi="宋体"/>
          <w:b/>
          <w:bCs/>
          <w:color w:val="000000"/>
          <w:highlight w:val="none"/>
        </w:rPr>
      </w:pPr>
      <w:bookmarkStart w:id="267" w:name="_Toc108539757"/>
      <w:bookmarkStart w:id="268" w:name="_Toc15651"/>
      <w:r>
        <w:rPr>
          <w:rFonts w:hint="eastAsia" w:ascii="宋体" w:hAnsi="宋体"/>
          <w:b/>
          <w:bCs/>
          <w:color w:val="000000"/>
          <w:highlight w:val="none"/>
        </w:rPr>
        <w:t>四、签约合同价与合同价格形式</w:t>
      </w:r>
      <w:bookmarkEnd w:id="267"/>
      <w:bookmarkEnd w:id="268"/>
    </w:p>
    <w:p w14:paraId="4243CA55">
      <w:pPr>
        <w:spacing w:line="360" w:lineRule="auto"/>
        <w:ind w:firstLine="459"/>
        <w:rPr>
          <w:rFonts w:hint="eastAsia" w:ascii="宋体" w:hAnsi="宋体"/>
          <w:color w:val="000000"/>
          <w:highlight w:val="none"/>
        </w:rPr>
      </w:pPr>
      <w:r>
        <w:rPr>
          <w:rFonts w:hint="eastAsia" w:ascii="宋体" w:hAnsi="宋体"/>
          <w:color w:val="000000"/>
          <w:highlight w:val="none"/>
        </w:rPr>
        <w:t>1. 暂定合同价为：</w:t>
      </w:r>
    </w:p>
    <w:p w14:paraId="7E66A08D">
      <w:pPr>
        <w:spacing w:line="360" w:lineRule="auto"/>
        <w:ind w:firstLine="630" w:firstLineChars="3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19BBB854">
      <w:pPr>
        <w:spacing w:line="360" w:lineRule="auto"/>
        <w:ind w:firstLine="525" w:firstLineChars="250"/>
        <w:rPr>
          <w:rFonts w:hint="eastAsia" w:ascii="宋体" w:hAnsi="宋体"/>
          <w:color w:val="000000"/>
          <w:highlight w:val="none"/>
        </w:rPr>
      </w:pPr>
      <w:r>
        <w:rPr>
          <w:rFonts w:hint="eastAsia" w:ascii="宋体" w:hAnsi="宋体"/>
          <w:color w:val="000000"/>
          <w:highlight w:val="none"/>
        </w:rPr>
        <w:t>其中：</w:t>
      </w:r>
    </w:p>
    <w:p w14:paraId="3571DC9F">
      <w:pPr>
        <w:spacing w:line="360" w:lineRule="auto"/>
        <w:ind w:firstLine="420" w:firstLineChars="200"/>
        <w:rPr>
          <w:rFonts w:hint="eastAsia" w:ascii="宋体" w:hAnsi="宋体"/>
          <w:color w:val="000000"/>
          <w:highlight w:val="none"/>
        </w:rPr>
      </w:pPr>
      <w:r>
        <w:rPr>
          <w:rFonts w:hint="eastAsia" w:ascii="宋体" w:hAnsi="宋体"/>
          <w:color w:val="000000"/>
          <w:highlight w:val="none"/>
        </w:rPr>
        <w:t>（1）安全文明施工费：</w:t>
      </w:r>
    </w:p>
    <w:p w14:paraId="6FD996C5">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770BF55E">
      <w:pPr>
        <w:spacing w:line="360" w:lineRule="auto"/>
        <w:ind w:firstLine="420" w:firstLineChars="200"/>
        <w:rPr>
          <w:rFonts w:hint="eastAsia" w:ascii="宋体" w:hAnsi="宋体"/>
          <w:color w:val="000000"/>
          <w:highlight w:val="none"/>
        </w:rPr>
      </w:pPr>
      <w:r>
        <w:rPr>
          <w:rFonts w:hint="eastAsia" w:ascii="宋体" w:hAnsi="宋体"/>
          <w:color w:val="000000"/>
          <w:highlight w:val="none"/>
        </w:rPr>
        <w:t>（2）建安劳保费：</w:t>
      </w:r>
    </w:p>
    <w:p w14:paraId="6513C70F">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1EF8044A">
      <w:pPr>
        <w:spacing w:line="360" w:lineRule="auto"/>
        <w:ind w:firstLine="420" w:firstLineChars="200"/>
        <w:rPr>
          <w:rFonts w:hint="eastAsia" w:ascii="宋体" w:hAnsi="宋体"/>
          <w:color w:val="000000"/>
          <w:highlight w:val="none"/>
        </w:rPr>
      </w:pPr>
      <w:r>
        <w:rPr>
          <w:rFonts w:hint="eastAsia" w:ascii="宋体" w:hAnsi="宋体"/>
          <w:color w:val="000000"/>
          <w:highlight w:val="none"/>
        </w:rPr>
        <w:t>（3）材料和工程设备暂估价金额：</w:t>
      </w:r>
    </w:p>
    <w:p w14:paraId="0014C7CB">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4BB91A8C">
      <w:pPr>
        <w:spacing w:line="360" w:lineRule="auto"/>
        <w:ind w:firstLine="420" w:firstLineChars="200"/>
        <w:rPr>
          <w:rFonts w:hint="eastAsia" w:ascii="宋体" w:hAnsi="宋体"/>
          <w:color w:val="000000"/>
          <w:highlight w:val="none"/>
        </w:rPr>
      </w:pPr>
      <w:r>
        <w:rPr>
          <w:rFonts w:hint="eastAsia" w:ascii="宋体" w:hAnsi="宋体"/>
          <w:color w:val="000000"/>
          <w:highlight w:val="none"/>
        </w:rPr>
        <w:t>（4）专业工程暂估价金额：</w:t>
      </w:r>
    </w:p>
    <w:p w14:paraId="08DC9D3D">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691DD74B">
      <w:pPr>
        <w:spacing w:line="360" w:lineRule="auto"/>
        <w:ind w:firstLine="420" w:firstLineChars="200"/>
        <w:rPr>
          <w:rFonts w:hint="eastAsia" w:ascii="宋体" w:hAnsi="宋体"/>
          <w:color w:val="000000"/>
          <w:highlight w:val="none"/>
        </w:rPr>
      </w:pPr>
      <w:r>
        <w:rPr>
          <w:rFonts w:hint="eastAsia" w:ascii="宋体" w:hAnsi="宋体"/>
          <w:color w:val="000000"/>
          <w:highlight w:val="none"/>
        </w:rPr>
        <w:t>（5）暂列金额：</w:t>
      </w:r>
    </w:p>
    <w:p w14:paraId="6D48451B">
      <w:pPr>
        <w:spacing w:line="360" w:lineRule="auto"/>
        <w:ind w:firstLine="777" w:firstLineChars="37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71287E59">
      <w:pPr>
        <w:spacing w:line="360" w:lineRule="auto"/>
        <w:ind w:firstLine="359" w:firstLineChars="171"/>
        <w:rPr>
          <w:rFonts w:hint="eastAsia" w:ascii="宋体" w:hAnsi="宋体"/>
          <w:color w:val="000000"/>
          <w:highlight w:val="none"/>
        </w:rPr>
      </w:pPr>
      <w:r>
        <w:rPr>
          <w:rFonts w:hint="eastAsia" w:ascii="宋体" w:hAnsi="宋体"/>
          <w:color w:val="000000"/>
          <w:highlight w:val="none"/>
        </w:rPr>
        <w:t>（6）增值税额：</w:t>
      </w:r>
    </w:p>
    <w:p w14:paraId="694759E7">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4E6DF64D">
      <w:pPr>
        <w:spacing w:line="360" w:lineRule="auto"/>
        <w:ind w:firstLine="840" w:firstLineChars="400"/>
        <w:rPr>
          <w:rFonts w:hint="eastAsia" w:ascii="宋体" w:hAnsi="宋体"/>
          <w:color w:val="000000"/>
          <w:highlight w:val="none"/>
        </w:rPr>
      </w:pPr>
      <w:r>
        <w:rPr>
          <w:rFonts w:hint="eastAsia" w:ascii="宋体" w:hAnsi="宋体"/>
          <w:color w:val="000000"/>
          <w:highlight w:val="none"/>
        </w:rPr>
        <w:t>增值税率：</w:t>
      </w:r>
      <w:r>
        <w:rPr>
          <w:rFonts w:hint="eastAsia" w:ascii="宋体" w:hAnsi="宋体"/>
          <w:color w:val="000000"/>
          <w:highlight w:val="none"/>
          <w:u w:val="single"/>
        </w:rPr>
        <w:t xml:space="preserve">  　　　　　　  </w:t>
      </w:r>
    </w:p>
    <w:p w14:paraId="095E0B1E">
      <w:pPr>
        <w:numPr>
          <w:ilvl w:val="0"/>
          <w:numId w:val="4"/>
        </w:numPr>
        <w:spacing w:line="360" w:lineRule="auto"/>
        <w:ind w:firstLine="420" w:firstLineChars="200"/>
        <w:rPr>
          <w:rFonts w:hint="eastAsia" w:ascii="宋体" w:hAnsi="宋体"/>
          <w:color w:val="000000"/>
          <w:highlight w:val="none"/>
        </w:rPr>
      </w:pPr>
      <w:r>
        <w:rPr>
          <w:rFonts w:hint="eastAsia" w:ascii="宋体" w:hAnsi="宋体"/>
          <w:color w:val="000000"/>
          <w:highlight w:val="none"/>
        </w:rPr>
        <w:t xml:space="preserve">合同价格形式：  </w:t>
      </w:r>
    </w:p>
    <w:p w14:paraId="7E177F06">
      <w:pPr>
        <w:spacing w:line="360" w:lineRule="auto"/>
        <w:ind w:firstLine="630" w:firstLineChars="300"/>
        <w:rPr>
          <w:rFonts w:hint="eastAsia" w:ascii="宋体" w:hAnsi="宋体" w:eastAsia="宋体"/>
          <w:color w:val="000000"/>
          <w:highlight w:val="none"/>
          <w:lang w:val="en-US" w:eastAsia="zh-CN"/>
        </w:rPr>
      </w:pPr>
      <w:r>
        <w:rPr>
          <w:rFonts w:hint="eastAsia" w:ascii="宋体" w:hAnsi="宋体"/>
          <w:color w:val="000000"/>
          <w:highlight w:val="none"/>
        </w:rPr>
        <w:t>合同价格形式：</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本工程采用</w:t>
      </w:r>
      <w:r>
        <w:rPr>
          <w:rFonts w:hint="eastAsia" w:ascii="宋体" w:hAnsi="宋体"/>
          <w:color w:val="000000"/>
          <w:highlight w:val="none"/>
          <w:u w:val="single"/>
          <w:lang w:eastAsia="zh-CN"/>
        </w:rPr>
        <w:t>总价合同</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p>
    <w:p w14:paraId="37449E6B">
      <w:pPr>
        <w:spacing w:line="360" w:lineRule="auto"/>
        <w:ind w:firstLine="422" w:firstLineChars="200"/>
        <w:outlineLvl w:val="0"/>
        <w:rPr>
          <w:rFonts w:hint="eastAsia" w:ascii="宋体" w:hAnsi="宋体"/>
          <w:b/>
          <w:bCs/>
          <w:color w:val="000000"/>
          <w:highlight w:val="none"/>
        </w:rPr>
      </w:pPr>
      <w:bookmarkStart w:id="269" w:name="_Toc351203485"/>
      <w:bookmarkStart w:id="270" w:name="_Toc108539758"/>
      <w:bookmarkStart w:id="271" w:name="_Toc24341"/>
      <w:r>
        <w:rPr>
          <w:rFonts w:hint="eastAsia" w:ascii="宋体" w:hAnsi="宋体"/>
          <w:b/>
          <w:bCs/>
          <w:color w:val="000000"/>
          <w:highlight w:val="none"/>
        </w:rPr>
        <w:t>五、</w:t>
      </w:r>
      <w:bookmarkEnd w:id="269"/>
      <w:r>
        <w:rPr>
          <w:rFonts w:hint="eastAsia" w:ascii="宋体" w:hAnsi="宋体"/>
          <w:b/>
          <w:bCs/>
          <w:color w:val="000000"/>
          <w:highlight w:val="none"/>
        </w:rPr>
        <w:t>项目经理</w:t>
      </w:r>
      <w:bookmarkEnd w:id="270"/>
      <w:bookmarkEnd w:id="271"/>
    </w:p>
    <w:p w14:paraId="743B1073">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承包人项目经理：</w:t>
      </w:r>
      <w:r>
        <w:rPr>
          <w:rFonts w:hint="eastAsia" w:ascii="宋体" w:hAnsi="宋体"/>
          <w:color w:val="000000"/>
          <w:highlight w:val="none"/>
          <w:u w:val="single"/>
        </w:rPr>
        <w:t xml:space="preserve">  　　　　　　  </w:t>
      </w:r>
      <w:r>
        <w:rPr>
          <w:rFonts w:hint="eastAsia" w:ascii="宋体" w:hAnsi="宋体"/>
          <w:color w:val="000000"/>
          <w:highlight w:val="none"/>
        </w:rPr>
        <w:t>。</w:t>
      </w:r>
    </w:p>
    <w:p w14:paraId="23FD35D3">
      <w:pPr>
        <w:spacing w:line="360" w:lineRule="auto"/>
        <w:ind w:firstLine="422" w:firstLineChars="200"/>
        <w:outlineLvl w:val="0"/>
        <w:rPr>
          <w:rFonts w:hint="eastAsia" w:ascii="宋体" w:hAnsi="宋体"/>
          <w:b/>
          <w:bCs/>
          <w:color w:val="000000"/>
          <w:highlight w:val="none"/>
        </w:rPr>
      </w:pPr>
      <w:bookmarkStart w:id="272" w:name="_Toc108539759"/>
      <w:bookmarkStart w:id="273" w:name="_Toc29184"/>
      <w:r>
        <w:rPr>
          <w:rFonts w:hint="eastAsia" w:ascii="宋体" w:hAnsi="宋体"/>
          <w:b/>
          <w:bCs/>
          <w:color w:val="000000"/>
          <w:highlight w:val="none"/>
        </w:rPr>
        <w:t>六、合同文件构成</w:t>
      </w:r>
      <w:bookmarkEnd w:id="272"/>
      <w:bookmarkEnd w:id="273"/>
    </w:p>
    <w:p w14:paraId="6281855C">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本协议书与下列文件一起构成合同文件：</w:t>
      </w:r>
    </w:p>
    <w:p w14:paraId="0469AB57">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（1）成交通知书（如有）；</w:t>
      </w:r>
    </w:p>
    <w:p w14:paraId="1A7AC0B2">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（2）磋商函及其附录（如有）； </w:t>
      </w:r>
    </w:p>
    <w:p w14:paraId="314476CF">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（3）专用合同条款及其附件；</w:t>
      </w:r>
    </w:p>
    <w:p w14:paraId="666800C1">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（4）通用合同条款；</w:t>
      </w:r>
    </w:p>
    <w:p w14:paraId="0C51CA7C">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（5）技术标准和要求；</w:t>
      </w:r>
    </w:p>
    <w:p w14:paraId="0B48A7BE">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（6）图纸；</w:t>
      </w:r>
    </w:p>
    <w:p w14:paraId="6B3C4306">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（7）已标价工程量清单； </w:t>
      </w:r>
    </w:p>
    <w:p w14:paraId="46A2390E">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（8）其他合同文件：</w:t>
      </w:r>
    </w:p>
    <w:p w14:paraId="7E71B60E">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磋商文件及附件（含所有补充通知）；</w:t>
      </w:r>
    </w:p>
    <w:p w14:paraId="1D86C558">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在合同订立及履行过程中形成的与合同有关的文件均构成合同文件组成部分。</w:t>
      </w:r>
    </w:p>
    <w:p w14:paraId="65362558">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上述各项合同文件包括合同当事人就该项合同文件所作出的补充和修改，属于同一类内容的文件，应以最新签署的为准。专用合同条款及其附件须经合同当事人签字或盖章。</w:t>
      </w:r>
    </w:p>
    <w:p w14:paraId="750AD8CA">
      <w:pPr>
        <w:autoSpaceDE w:val="0"/>
        <w:autoSpaceDN w:val="0"/>
        <w:spacing w:line="360" w:lineRule="auto"/>
        <w:ind w:firstLine="422" w:firstLineChars="200"/>
        <w:jc w:val="left"/>
        <w:outlineLvl w:val="0"/>
        <w:rPr>
          <w:rFonts w:hint="eastAsia" w:ascii="宋体" w:hAnsi="宋体"/>
          <w:b/>
          <w:bCs/>
          <w:color w:val="000000"/>
          <w:highlight w:val="none"/>
        </w:rPr>
      </w:pPr>
      <w:bookmarkStart w:id="274" w:name="_Toc108539760"/>
      <w:bookmarkStart w:id="275" w:name="_Toc10862"/>
      <w:r>
        <w:rPr>
          <w:rFonts w:hint="eastAsia" w:ascii="宋体" w:hAnsi="宋体"/>
          <w:b/>
          <w:bCs/>
          <w:color w:val="000000"/>
          <w:highlight w:val="none"/>
        </w:rPr>
        <w:t>七、承诺</w:t>
      </w:r>
      <w:bookmarkEnd w:id="274"/>
      <w:bookmarkEnd w:id="275"/>
    </w:p>
    <w:p w14:paraId="0801B251">
      <w:pPr>
        <w:spacing w:line="360" w:lineRule="auto"/>
        <w:ind w:firstLine="420" w:firstLineChars="200"/>
        <w:rPr>
          <w:rFonts w:hint="eastAsia" w:ascii="宋体" w:hAnsi="宋体"/>
          <w:color w:val="000000"/>
          <w:highlight w:val="none"/>
        </w:rPr>
      </w:pPr>
      <w:r>
        <w:rPr>
          <w:rFonts w:hint="eastAsia" w:ascii="宋体" w:hAnsi="宋体"/>
          <w:color w:val="000000"/>
          <w:highlight w:val="none"/>
        </w:rPr>
        <w:t>1. 发包人承诺按照法律规定履行项目审批手续、筹集工程建设资金并按照合同约定的期限和方式支付合同价款。</w:t>
      </w:r>
    </w:p>
    <w:p w14:paraId="5333BA0B">
      <w:pPr>
        <w:spacing w:line="360" w:lineRule="auto"/>
        <w:ind w:firstLine="420" w:firstLineChars="200"/>
        <w:rPr>
          <w:rFonts w:hint="eastAsia" w:ascii="宋体" w:hAnsi="宋体"/>
          <w:color w:val="000000"/>
          <w:highlight w:val="none"/>
        </w:rPr>
      </w:pPr>
      <w:r>
        <w:rPr>
          <w:rFonts w:hint="eastAsia" w:ascii="宋体" w:hAnsi="宋体"/>
          <w:color w:val="000000"/>
          <w:highlight w:val="none"/>
        </w:rPr>
        <w:t>2. 承包人承诺按照法律规定及合同约定组织完成工程施工，确保工程质量和安全，不进行转包及违法分包，并在缺陷责任期及保修期内承担相应的工程维修责任。</w:t>
      </w:r>
    </w:p>
    <w:p w14:paraId="542F0E59">
      <w:pPr>
        <w:spacing w:line="360" w:lineRule="auto"/>
        <w:ind w:firstLine="420" w:firstLineChars="200"/>
        <w:rPr>
          <w:rFonts w:hint="eastAsia" w:ascii="宋体" w:hAnsi="宋体"/>
          <w:color w:val="000000"/>
          <w:highlight w:val="none"/>
        </w:rPr>
      </w:pPr>
      <w:r>
        <w:rPr>
          <w:rFonts w:hint="eastAsia" w:ascii="宋体" w:hAnsi="宋体"/>
          <w:color w:val="000000"/>
          <w:highlight w:val="none"/>
        </w:rPr>
        <w:t>3. 发包人和承包人通过招投标形式签订合同的，双方理解并承诺不再就同一工程另行签订与合同实质性内容相背离的协议。</w:t>
      </w:r>
    </w:p>
    <w:p w14:paraId="006AFEA1">
      <w:pPr>
        <w:spacing w:line="360" w:lineRule="auto"/>
        <w:ind w:firstLine="422" w:firstLineChars="200"/>
        <w:outlineLvl w:val="0"/>
        <w:rPr>
          <w:rFonts w:hint="eastAsia" w:ascii="宋体" w:hAnsi="宋体"/>
          <w:b/>
          <w:bCs/>
          <w:color w:val="000000"/>
          <w:highlight w:val="none"/>
        </w:rPr>
      </w:pPr>
      <w:bookmarkStart w:id="276" w:name="_Toc108539761"/>
      <w:bookmarkStart w:id="277" w:name="_Toc23365"/>
      <w:r>
        <w:rPr>
          <w:rFonts w:hint="eastAsia" w:ascii="宋体" w:hAnsi="宋体"/>
          <w:b/>
          <w:bCs/>
          <w:color w:val="000000"/>
          <w:highlight w:val="none"/>
        </w:rPr>
        <w:t>八、词语含义</w:t>
      </w:r>
      <w:bookmarkEnd w:id="276"/>
      <w:bookmarkEnd w:id="277"/>
    </w:p>
    <w:p w14:paraId="3D51EA22">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本协议书中词语含义与第二部分通用合同条款中赋予的含义相同。</w:t>
      </w:r>
    </w:p>
    <w:p w14:paraId="6FAFD4A9">
      <w:pPr>
        <w:spacing w:line="360" w:lineRule="auto"/>
        <w:ind w:firstLine="422" w:firstLineChars="200"/>
        <w:outlineLvl w:val="0"/>
        <w:rPr>
          <w:rFonts w:hint="eastAsia" w:ascii="宋体" w:hAnsi="宋体"/>
          <w:b/>
          <w:bCs/>
          <w:color w:val="000000"/>
          <w:highlight w:val="none"/>
        </w:rPr>
      </w:pPr>
      <w:bookmarkStart w:id="278" w:name="_Toc29003"/>
      <w:bookmarkStart w:id="279" w:name="_Toc108539762"/>
      <w:r>
        <w:rPr>
          <w:rFonts w:hint="eastAsia" w:ascii="宋体" w:hAnsi="宋体"/>
          <w:b/>
          <w:bCs/>
          <w:color w:val="000000"/>
          <w:highlight w:val="none"/>
        </w:rPr>
        <w:t>九、签订时间</w:t>
      </w:r>
      <w:bookmarkEnd w:id="278"/>
      <w:bookmarkEnd w:id="279"/>
    </w:p>
    <w:p w14:paraId="4920266C">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本合同于</w:t>
      </w:r>
      <w:r>
        <w:rPr>
          <w:rFonts w:hint="eastAsia" w:ascii="宋体" w:hAnsi="宋体"/>
          <w:bCs/>
          <w:color w:val="000000"/>
          <w:szCs w:val="21"/>
          <w:highlight w:val="none"/>
          <w:u w:val="single"/>
        </w:rPr>
        <w:t xml:space="preserve">       年   月    日</w:t>
      </w:r>
      <w:r>
        <w:rPr>
          <w:rFonts w:hint="eastAsia" w:ascii="宋体" w:hAnsi="宋体"/>
          <w:bCs/>
          <w:color w:val="000000"/>
          <w:szCs w:val="21"/>
          <w:highlight w:val="none"/>
        </w:rPr>
        <w:t>签订</w:t>
      </w:r>
      <w:r>
        <w:rPr>
          <w:rFonts w:hint="eastAsia" w:ascii="宋体" w:hAnsi="宋体"/>
          <w:color w:val="000000"/>
          <w:highlight w:val="none"/>
        </w:rPr>
        <w:t>。</w:t>
      </w:r>
    </w:p>
    <w:p w14:paraId="1C5D8D50">
      <w:pPr>
        <w:spacing w:line="360" w:lineRule="auto"/>
        <w:ind w:firstLine="422" w:firstLineChars="200"/>
        <w:outlineLvl w:val="0"/>
        <w:rPr>
          <w:rFonts w:hint="eastAsia" w:ascii="宋体" w:hAnsi="宋体"/>
          <w:b/>
          <w:bCs/>
          <w:color w:val="000000"/>
          <w:highlight w:val="none"/>
        </w:rPr>
      </w:pPr>
      <w:bookmarkStart w:id="280" w:name="_Toc108539763"/>
      <w:bookmarkStart w:id="281" w:name="_Toc20675"/>
      <w:r>
        <w:rPr>
          <w:rFonts w:hint="eastAsia" w:ascii="宋体" w:hAnsi="宋体"/>
          <w:b/>
          <w:bCs/>
          <w:color w:val="000000"/>
          <w:highlight w:val="none"/>
        </w:rPr>
        <w:t>十、签订地点</w:t>
      </w:r>
      <w:bookmarkEnd w:id="280"/>
      <w:bookmarkEnd w:id="281"/>
    </w:p>
    <w:p w14:paraId="469D51FE">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本合同在</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签订。</w:t>
      </w:r>
    </w:p>
    <w:p w14:paraId="0E3F5649">
      <w:pPr>
        <w:spacing w:line="360" w:lineRule="auto"/>
        <w:ind w:firstLine="422" w:firstLineChars="200"/>
        <w:outlineLvl w:val="0"/>
        <w:rPr>
          <w:rFonts w:hint="eastAsia" w:ascii="宋体" w:hAnsi="宋体"/>
          <w:b/>
          <w:bCs/>
          <w:color w:val="000000"/>
          <w:highlight w:val="none"/>
        </w:rPr>
      </w:pPr>
      <w:bookmarkStart w:id="282" w:name="_Toc15409"/>
      <w:bookmarkStart w:id="283" w:name="_Toc108539764"/>
      <w:r>
        <w:rPr>
          <w:rFonts w:hint="eastAsia" w:ascii="宋体" w:hAnsi="宋体"/>
          <w:b/>
          <w:bCs/>
          <w:color w:val="000000"/>
          <w:highlight w:val="none"/>
        </w:rPr>
        <w:t>十一、补充协议</w:t>
      </w:r>
      <w:bookmarkEnd w:id="282"/>
      <w:bookmarkEnd w:id="283"/>
    </w:p>
    <w:p w14:paraId="245C2ABE">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合同未尽事宜，合同当事人另行签订补充协议，补充协议是合同的组成部分。</w:t>
      </w:r>
    </w:p>
    <w:p w14:paraId="4E22FED7">
      <w:pPr>
        <w:spacing w:line="360" w:lineRule="auto"/>
        <w:ind w:firstLine="422" w:firstLineChars="200"/>
        <w:outlineLvl w:val="0"/>
        <w:rPr>
          <w:rFonts w:hint="eastAsia" w:ascii="宋体" w:hAnsi="宋体"/>
          <w:b/>
          <w:bCs/>
          <w:color w:val="000000"/>
          <w:highlight w:val="none"/>
        </w:rPr>
      </w:pPr>
      <w:bookmarkStart w:id="284" w:name="_Toc108539765"/>
      <w:bookmarkStart w:id="285" w:name="_Toc20758"/>
      <w:r>
        <w:rPr>
          <w:rFonts w:hint="eastAsia" w:ascii="宋体" w:hAnsi="宋体"/>
          <w:b/>
          <w:bCs/>
          <w:color w:val="000000"/>
          <w:highlight w:val="none"/>
        </w:rPr>
        <w:t>十二、合同生效</w:t>
      </w:r>
      <w:bookmarkEnd w:id="284"/>
      <w:bookmarkEnd w:id="285"/>
    </w:p>
    <w:p w14:paraId="69386AEC">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本合同自</w:t>
      </w:r>
      <w:r>
        <w:rPr>
          <w:rFonts w:hint="eastAsia" w:ascii="宋体" w:hAnsi="宋体"/>
          <w:color w:val="000000"/>
          <w:highlight w:val="none"/>
          <w:u w:val="single"/>
        </w:rPr>
        <w:t xml:space="preserve">  双方法定代表人（负责人）或其委托代理人签字并盖公章之日起</w:t>
      </w:r>
      <w:r>
        <w:rPr>
          <w:rFonts w:hint="eastAsia" w:ascii="宋体" w:hAnsi="宋体"/>
          <w:color w:val="000000"/>
          <w:highlight w:val="none"/>
        </w:rPr>
        <w:t>生效。</w:t>
      </w:r>
    </w:p>
    <w:p w14:paraId="0390CFCB">
      <w:pPr>
        <w:spacing w:line="360" w:lineRule="auto"/>
        <w:ind w:firstLine="422" w:firstLineChars="200"/>
        <w:outlineLvl w:val="0"/>
        <w:rPr>
          <w:rFonts w:hint="eastAsia" w:ascii="宋体" w:hAnsi="宋体"/>
          <w:b/>
          <w:bCs/>
          <w:color w:val="000000"/>
          <w:highlight w:val="none"/>
        </w:rPr>
      </w:pPr>
      <w:bookmarkStart w:id="286" w:name="_Toc28360"/>
      <w:bookmarkStart w:id="287" w:name="_Toc108539766"/>
      <w:r>
        <w:rPr>
          <w:rFonts w:hint="eastAsia" w:ascii="宋体" w:hAnsi="宋体"/>
          <w:b/>
          <w:bCs/>
          <w:color w:val="000000"/>
          <w:highlight w:val="none"/>
        </w:rPr>
        <w:t>十三、合同份数</w:t>
      </w:r>
      <w:bookmarkEnd w:id="286"/>
      <w:bookmarkEnd w:id="287"/>
    </w:p>
    <w:p w14:paraId="3B26D948">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本合同一式</w:t>
      </w:r>
      <w:r>
        <w:rPr>
          <w:rFonts w:hint="eastAsia" w:ascii="宋体" w:hAnsi="宋体"/>
          <w:color w:val="000000"/>
          <w:highlight w:val="none"/>
          <w:u w:val="single"/>
        </w:rPr>
        <w:t xml:space="preserve">  玖  </w:t>
      </w:r>
      <w:r>
        <w:rPr>
          <w:rFonts w:hint="eastAsia" w:ascii="宋体" w:hAnsi="宋体"/>
          <w:color w:val="000000"/>
          <w:highlight w:val="none"/>
        </w:rPr>
        <w:t>份，均具有同等法律效力，发包人执</w:t>
      </w:r>
      <w:r>
        <w:rPr>
          <w:rFonts w:hint="eastAsia" w:ascii="宋体" w:hAnsi="宋体"/>
          <w:color w:val="000000"/>
          <w:highlight w:val="none"/>
          <w:u w:val="single"/>
        </w:rPr>
        <w:t xml:space="preserve">  肆  </w:t>
      </w:r>
      <w:r>
        <w:rPr>
          <w:rFonts w:hint="eastAsia" w:ascii="宋体" w:hAnsi="宋体"/>
          <w:color w:val="000000"/>
          <w:highlight w:val="none"/>
        </w:rPr>
        <w:t>份，承包人执</w:t>
      </w:r>
      <w:r>
        <w:rPr>
          <w:rFonts w:hint="eastAsia" w:ascii="宋体" w:hAnsi="宋体"/>
          <w:color w:val="000000"/>
          <w:highlight w:val="none"/>
          <w:u w:val="single"/>
        </w:rPr>
        <w:t xml:space="preserve">  肆  </w:t>
      </w:r>
      <w:r>
        <w:rPr>
          <w:rFonts w:hint="eastAsia" w:ascii="宋体" w:hAnsi="宋体"/>
          <w:color w:val="000000"/>
          <w:highlight w:val="none"/>
        </w:rPr>
        <w:t xml:space="preserve">份，采购代理机构 </w:t>
      </w:r>
      <w:r>
        <w:rPr>
          <w:rFonts w:hint="eastAsia" w:ascii="宋体" w:hAnsi="宋体"/>
          <w:color w:val="000000"/>
          <w:highlight w:val="none"/>
          <w:u w:val="single"/>
        </w:rPr>
        <w:t xml:space="preserve"> 壹  </w:t>
      </w:r>
      <w:r>
        <w:rPr>
          <w:rFonts w:hint="eastAsia" w:ascii="宋体" w:hAnsi="宋体"/>
          <w:color w:val="000000"/>
          <w:highlight w:val="none"/>
        </w:rPr>
        <w:t>份（用于广西政府采购云平台备案）。</w:t>
      </w:r>
    </w:p>
    <w:p w14:paraId="1A75690B">
      <w:pPr>
        <w:spacing w:line="360" w:lineRule="auto"/>
        <w:rPr>
          <w:rFonts w:ascii="宋体" w:hAnsi="宋体"/>
          <w:color w:val="000000"/>
          <w:highlight w:val="none"/>
        </w:rPr>
      </w:pPr>
    </w:p>
    <w:p w14:paraId="5DB7C0D7">
      <w:pPr>
        <w:spacing w:line="360" w:lineRule="auto"/>
        <w:rPr>
          <w:rFonts w:hint="eastAsia" w:ascii="宋体" w:hAnsi="宋体"/>
          <w:color w:val="000000"/>
          <w:highlight w:val="none"/>
        </w:rPr>
      </w:pPr>
      <w:r>
        <w:rPr>
          <w:rFonts w:hint="eastAsia" w:ascii="宋体" w:hAnsi="宋体"/>
          <w:color w:val="000000"/>
          <w:highlight w:val="none"/>
        </w:rPr>
        <w:t>发包人：  （公章）                              承包人：  （公章）</w:t>
      </w:r>
    </w:p>
    <w:p w14:paraId="1737263D">
      <w:pPr>
        <w:spacing w:line="360" w:lineRule="auto"/>
        <w:rPr>
          <w:rFonts w:ascii="宋体" w:hAnsi="宋体"/>
          <w:color w:val="000000"/>
          <w:highlight w:val="none"/>
          <w:u w:val="single"/>
        </w:rPr>
      </w:pPr>
    </w:p>
    <w:p w14:paraId="188DA0E1">
      <w:pPr>
        <w:spacing w:line="360" w:lineRule="auto"/>
        <w:rPr>
          <w:rFonts w:hint="eastAsia" w:ascii="宋体" w:hAnsi="宋体"/>
          <w:color w:val="000000"/>
          <w:highlight w:val="none"/>
        </w:rPr>
      </w:pPr>
      <w:r>
        <w:rPr>
          <w:rFonts w:hint="eastAsia" w:ascii="宋体" w:hAnsi="宋体"/>
          <w:color w:val="000000"/>
          <w:highlight w:val="none"/>
        </w:rPr>
        <w:t>法定代表人（负责人）或其委托代理人：          法定代表人（负责人）或其委托代理人：</w:t>
      </w:r>
    </w:p>
    <w:p w14:paraId="7113152F">
      <w:pPr>
        <w:spacing w:line="360" w:lineRule="auto"/>
        <w:rPr>
          <w:rFonts w:hint="eastAsia" w:ascii="宋体" w:hAnsi="宋体"/>
          <w:color w:val="000000"/>
          <w:highlight w:val="none"/>
        </w:rPr>
      </w:pPr>
      <w:r>
        <w:rPr>
          <w:rFonts w:hint="eastAsia" w:ascii="宋体" w:hAnsi="宋体"/>
          <w:color w:val="000000"/>
          <w:highlight w:val="none"/>
        </w:rPr>
        <w:t>（签字</w:t>
      </w:r>
      <w:r>
        <w:rPr>
          <w:rFonts w:hint="eastAsia" w:ascii="宋体" w:hAnsi="宋体"/>
          <w:color w:val="000000"/>
          <w:highlight w:val="none"/>
          <w:lang w:eastAsia="zh-CN"/>
        </w:rPr>
        <w:t>或盖章</w:t>
      </w:r>
      <w:r>
        <w:rPr>
          <w:rFonts w:hint="eastAsia" w:ascii="宋体" w:hAnsi="宋体"/>
          <w:color w:val="000000"/>
          <w:highlight w:val="none"/>
        </w:rPr>
        <w:t>）                                     （签字</w:t>
      </w:r>
      <w:r>
        <w:rPr>
          <w:rFonts w:hint="eastAsia" w:ascii="宋体" w:hAnsi="宋体"/>
          <w:color w:val="000000"/>
          <w:highlight w:val="none"/>
          <w:lang w:eastAsia="zh-CN"/>
        </w:rPr>
        <w:t>或盖章</w:t>
      </w:r>
      <w:r>
        <w:rPr>
          <w:rFonts w:hint="eastAsia" w:ascii="宋体" w:hAnsi="宋体"/>
          <w:color w:val="000000"/>
          <w:highlight w:val="none"/>
        </w:rPr>
        <w:t>）</w:t>
      </w:r>
    </w:p>
    <w:p w14:paraId="630B9DFE">
      <w:pPr>
        <w:spacing w:line="360" w:lineRule="auto"/>
        <w:rPr>
          <w:rFonts w:ascii="宋体" w:hAnsi="宋体"/>
          <w:color w:val="000000"/>
          <w:highlight w:val="none"/>
          <w:u w:val="single"/>
        </w:rPr>
      </w:pPr>
    </w:p>
    <w:p w14:paraId="38BBA4D5">
      <w:pPr>
        <w:tabs>
          <w:tab w:val="left" w:pos="4410"/>
        </w:tabs>
        <w:spacing w:line="360" w:lineRule="auto"/>
        <w:rPr>
          <w:rFonts w:hint="eastAsia" w:ascii="宋体" w:hAnsi="宋体"/>
          <w:color w:val="000000"/>
          <w:highlight w:val="none"/>
        </w:rPr>
      </w:pPr>
      <w:r>
        <w:rPr>
          <w:rFonts w:hint="eastAsia" w:ascii="宋体" w:hAnsi="宋体"/>
          <w:color w:val="000000"/>
          <w:highlight w:val="none"/>
        </w:rPr>
        <w:t>统一社会信用代码：                           统一社会信用代码：</w:t>
      </w:r>
    </w:p>
    <w:p w14:paraId="08B10880">
      <w:pPr>
        <w:spacing w:line="360" w:lineRule="auto"/>
        <w:rPr>
          <w:rFonts w:hint="eastAsia" w:ascii="宋体" w:hAnsi="宋体"/>
          <w:color w:val="000000"/>
          <w:highlight w:val="none"/>
        </w:rPr>
      </w:pPr>
      <w:r>
        <w:rPr>
          <w:rFonts w:hint="eastAsia" w:ascii="宋体" w:hAnsi="宋体"/>
          <w:color w:val="000000"/>
          <w:highlight w:val="none"/>
        </w:rPr>
        <w:t xml:space="preserve">地  址：                                    </w:t>
      </w:r>
      <w:r>
        <w:rPr>
          <w:rFonts w:ascii="宋体" w:hAnsi="宋体"/>
          <w:color w:val="000000"/>
          <w:highlight w:val="none"/>
        </w:rPr>
        <w:t xml:space="preserve"> </w:t>
      </w:r>
      <w:r>
        <w:rPr>
          <w:rFonts w:hint="eastAsia" w:ascii="宋体" w:hAnsi="宋体"/>
          <w:color w:val="000000"/>
          <w:highlight w:val="none"/>
        </w:rPr>
        <w:t>地      址：</w:t>
      </w:r>
    </w:p>
    <w:p w14:paraId="5CA17D3F">
      <w:pPr>
        <w:spacing w:line="360" w:lineRule="auto"/>
        <w:rPr>
          <w:rFonts w:hint="eastAsia" w:ascii="宋体" w:hAnsi="宋体"/>
          <w:color w:val="000000"/>
          <w:highlight w:val="none"/>
        </w:rPr>
      </w:pPr>
      <w:r>
        <w:rPr>
          <w:rFonts w:hint="eastAsia" w:ascii="宋体" w:hAnsi="宋体"/>
          <w:color w:val="000000"/>
          <w:highlight w:val="none"/>
        </w:rPr>
        <w:t>邮政编码：                                   邮政编码：</w:t>
      </w:r>
    </w:p>
    <w:p w14:paraId="3B2031BC">
      <w:pPr>
        <w:spacing w:line="360" w:lineRule="auto"/>
        <w:rPr>
          <w:rFonts w:hint="eastAsia" w:ascii="宋体" w:hAnsi="宋体"/>
          <w:color w:val="000000"/>
          <w:highlight w:val="none"/>
        </w:rPr>
      </w:pPr>
      <w:r>
        <w:rPr>
          <w:rFonts w:hint="eastAsia" w:ascii="宋体" w:hAnsi="宋体"/>
          <w:color w:val="000000"/>
          <w:highlight w:val="none"/>
        </w:rPr>
        <w:t>法定代表人：                                 法定代表人：</w:t>
      </w:r>
    </w:p>
    <w:p w14:paraId="1A33F679">
      <w:pPr>
        <w:spacing w:line="360" w:lineRule="auto"/>
        <w:rPr>
          <w:rFonts w:hint="eastAsia" w:ascii="宋体" w:hAnsi="宋体"/>
          <w:color w:val="000000"/>
          <w:highlight w:val="none"/>
        </w:rPr>
      </w:pPr>
      <w:r>
        <w:rPr>
          <w:rFonts w:hint="eastAsia" w:ascii="宋体" w:hAnsi="宋体"/>
          <w:color w:val="000000"/>
          <w:highlight w:val="none"/>
        </w:rPr>
        <w:t>委托代理人：                                 委托代理人：</w:t>
      </w:r>
    </w:p>
    <w:p w14:paraId="457869B8">
      <w:pPr>
        <w:spacing w:line="360" w:lineRule="auto"/>
        <w:rPr>
          <w:rFonts w:hint="eastAsia" w:ascii="宋体" w:hAnsi="宋体"/>
          <w:color w:val="000000"/>
          <w:highlight w:val="none"/>
        </w:rPr>
      </w:pPr>
      <w:r>
        <w:rPr>
          <w:rFonts w:hint="eastAsia" w:ascii="宋体" w:hAnsi="宋体"/>
          <w:color w:val="000000"/>
          <w:highlight w:val="none"/>
        </w:rPr>
        <w:t>电  话：                                     电  话：</w:t>
      </w:r>
    </w:p>
    <w:p w14:paraId="0F6CB0E8">
      <w:pPr>
        <w:spacing w:line="360" w:lineRule="auto"/>
        <w:rPr>
          <w:rFonts w:hint="eastAsia" w:ascii="宋体" w:hAnsi="宋体"/>
          <w:color w:val="000000"/>
          <w:highlight w:val="none"/>
        </w:rPr>
      </w:pPr>
      <w:r>
        <w:rPr>
          <w:rFonts w:hint="eastAsia" w:ascii="宋体" w:hAnsi="宋体"/>
          <w:color w:val="000000"/>
          <w:highlight w:val="none"/>
        </w:rPr>
        <w:t>传  真：                                     传  真：</w:t>
      </w:r>
    </w:p>
    <w:p w14:paraId="23704F3E">
      <w:pPr>
        <w:spacing w:line="360" w:lineRule="auto"/>
        <w:rPr>
          <w:rFonts w:hint="eastAsia" w:ascii="宋体" w:hAnsi="宋体"/>
          <w:color w:val="000000"/>
          <w:highlight w:val="none"/>
        </w:rPr>
      </w:pPr>
      <w:r>
        <w:rPr>
          <w:rFonts w:hint="eastAsia" w:ascii="宋体" w:hAnsi="宋体"/>
          <w:color w:val="000000"/>
          <w:highlight w:val="none"/>
        </w:rPr>
        <w:t>电子信箱：                                   电子信箱：</w:t>
      </w:r>
    </w:p>
    <w:p w14:paraId="2CDC972A">
      <w:pPr>
        <w:spacing w:line="360" w:lineRule="auto"/>
        <w:rPr>
          <w:rFonts w:hint="eastAsia" w:ascii="宋体" w:hAnsi="宋体"/>
          <w:color w:val="000000"/>
          <w:highlight w:val="none"/>
        </w:rPr>
      </w:pPr>
      <w:r>
        <w:rPr>
          <w:rFonts w:hint="eastAsia" w:ascii="宋体" w:hAnsi="宋体"/>
          <w:color w:val="000000"/>
          <w:highlight w:val="none"/>
        </w:rPr>
        <w:t>开户银行：                                   开户银行：</w:t>
      </w:r>
    </w:p>
    <w:p w14:paraId="043398C2">
      <w:pPr>
        <w:rPr>
          <w:rFonts w:hint="eastAsia" w:ascii="宋体" w:hAnsi="宋体"/>
          <w:color w:val="000000"/>
          <w:highlight w:val="none"/>
        </w:rPr>
      </w:pPr>
      <w:r>
        <w:rPr>
          <w:rFonts w:hint="eastAsia" w:ascii="宋体" w:hAnsi="宋体"/>
          <w:color w:val="000000"/>
          <w:highlight w:val="none"/>
        </w:rPr>
        <w:t>账  号：                                     账  号：</w:t>
      </w:r>
    </w:p>
    <w:p w14:paraId="670C5775">
      <w:pPr>
        <w:widowControl/>
        <w:jc w:val="left"/>
        <w:rPr>
          <w:rFonts w:hint="eastAsia" w:ascii="宋体" w:hAnsi="宋体"/>
          <w:color w:val="000000"/>
          <w:highlight w:val="none"/>
        </w:rPr>
      </w:pPr>
      <w:r>
        <w:rPr>
          <w:rFonts w:hint="eastAsia" w:ascii="宋体" w:hAnsi="宋体"/>
          <w:color w:val="000000"/>
          <w:highlight w:val="none"/>
        </w:rPr>
        <w:br w:type="page"/>
      </w:r>
    </w:p>
    <w:p w14:paraId="34053C96">
      <w:pPr>
        <w:numPr>
          <w:ilvl w:val="0"/>
          <w:numId w:val="5"/>
        </w:numPr>
        <w:spacing w:line="500" w:lineRule="exact"/>
        <w:ind w:firstLine="602" w:firstLineChars="200"/>
        <w:jc w:val="center"/>
        <w:rPr>
          <w:rFonts w:hint="eastAsia" w:ascii="宋体" w:hAnsi="宋体"/>
          <w:b/>
          <w:color w:val="000000"/>
          <w:sz w:val="30"/>
          <w:szCs w:val="30"/>
          <w:highlight w:val="none"/>
        </w:rPr>
      </w:pPr>
      <w:r>
        <w:rPr>
          <w:rFonts w:hint="eastAsia" w:ascii="宋体" w:hAnsi="宋体"/>
          <w:b/>
          <w:color w:val="000000"/>
          <w:sz w:val="30"/>
          <w:szCs w:val="30"/>
          <w:highlight w:val="none"/>
        </w:rPr>
        <w:t>合同通用条款</w:t>
      </w:r>
    </w:p>
    <w:p w14:paraId="0BD64544">
      <w:pPr>
        <w:spacing w:line="500" w:lineRule="exact"/>
        <w:rPr>
          <w:rFonts w:hint="eastAsia" w:ascii="宋体" w:hAnsi="宋体"/>
          <w:color w:val="000000"/>
          <w:sz w:val="24"/>
          <w:highlight w:val="none"/>
        </w:rPr>
      </w:pPr>
      <w:r>
        <w:rPr>
          <w:rFonts w:hint="eastAsia" w:ascii="宋体" w:hAnsi="宋体"/>
          <w:color w:val="000000"/>
          <w:sz w:val="24"/>
          <w:highlight w:val="none"/>
        </w:rPr>
        <w:t>本建设工程施工合同条件采用国家工商行政管理局和建设部颁发的《建设工程施工合同》（</w:t>
      </w:r>
      <w:r>
        <w:rPr>
          <w:rFonts w:hint="eastAsia" w:ascii="宋体" w:hAnsi="宋体"/>
          <w:b/>
          <w:bCs/>
          <w:color w:val="000000"/>
          <w:sz w:val="24"/>
          <w:highlight w:val="none"/>
        </w:rPr>
        <w:t>GF—2017—0201</w:t>
      </w:r>
      <w:r>
        <w:rPr>
          <w:rFonts w:hint="eastAsia" w:ascii="宋体" w:hAnsi="宋体"/>
          <w:color w:val="000000"/>
          <w:sz w:val="24"/>
          <w:highlight w:val="none"/>
        </w:rPr>
        <w:t>）的通用条款</w:t>
      </w:r>
    </w:p>
    <w:p w14:paraId="4027E75B">
      <w:pPr>
        <w:spacing w:line="360" w:lineRule="auto"/>
        <w:ind w:firstLine="420" w:firstLineChars="200"/>
        <w:rPr>
          <w:rFonts w:ascii="宋体" w:hAnsi="宋体"/>
          <w:color w:val="000000"/>
          <w:szCs w:val="21"/>
          <w:highlight w:val="none"/>
        </w:rPr>
      </w:pPr>
    </w:p>
    <w:p w14:paraId="081C3000">
      <w:pPr>
        <w:pStyle w:val="6"/>
        <w:keepNext w:val="0"/>
        <w:jc w:val="center"/>
        <w:rPr>
          <w:rFonts w:hint="eastAsia" w:ascii="宋体" w:hAnsi="宋体"/>
          <w:color w:val="000000"/>
          <w:sz w:val="30"/>
          <w:szCs w:val="30"/>
          <w:highlight w:val="none"/>
        </w:rPr>
      </w:pPr>
      <w:bookmarkStart w:id="288" w:name="_Toc407135193"/>
      <w:bookmarkStart w:id="289" w:name="_Toc108539767"/>
      <w:bookmarkStart w:id="290" w:name="_Toc6849"/>
      <w:bookmarkStart w:id="291" w:name="_Toc10182"/>
      <w:bookmarkStart w:id="292" w:name="_Toc389065257"/>
      <w:bookmarkStart w:id="293" w:name="_Toc487632690"/>
      <w:r>
        <w:rPr>
          <w:rFonts w:hint="eastAsia" w:ascii="宋体" w:hAnsi="宋体"/>
          <w:color w:val="000000"/>
          <w:sz w:val="30"/>
          <w:szCs w:val="30"/>
          <w:highlight w:val="none"/>
        </w:rPr>
        <w:t>第三部分专用合同条款</w:t>
      </w:r>
      <w:bookmarkEnd w:id="288"/>
      <w:bookmarkEnd w:id="289"/>
      <w:bookmarkEnd w:id="290"/>
      <w:bookmarkEnd w:id="291"/>
      <w:bookmarkEnd w:id="292"/>
      <w:bookmarkEnd w:id="293"/>
    </w:p>
    <w:p w14:paraId="554CA3BC">
      <w:pPr>
        <w:pStyle w:val="7"/>
        <w:rPr>
          <w:rFonts w:ascii="宋体" w:hAnsi="宋体" w:eastAsia="宋体"/>
          <w:color w:val="000000"/>
          <w:highlight w:val="none"/>
        </w:rPr>
      </w:pPr>
      <w:bookmarkStart w:id="294" w:name="_Toc31003"/>
      <w:bookmarkStart w:id="295" w:name="_Toc351203633"/>
      <w:bookmarkStart w:id="296" w:name="_Toc373478339"/>
      <w:bookmarkStart w:id="297" w:name="_Toc373227692"/>
      <w:bookmarkStart w:id="298" w:name="_Toc407135194"/>
      <w:bookmarkStart w:id="299" w:name="_Toc487632691"/>
      <w:bookmarkStart w:id="300" w:name="_Toc389065258"/>
      <w:bookmarkStart w:id="301" w:name="_Toc108539768"/>
      <w:r>
        <w:rPr>
          <w:rFonts w:ascii="宋体" w:hAnsi="宋体" w:eastAsia="宋体"/>
          <w:color w:val="000000"/>
          <w:highlight w:val="none"/>
        </w:rPr>
        <w:t xml:space="preserve">1. </w:t>
      </w:r>
      <w:r>
        <w:rPr>
          <w:rFonts w:hint="eastAsia" w:ascii="宋体" w:hAnsi="宋体" w:eastAsia="宋体"/>
          <w:color w:val="000000"/>
          <w:highlight w:val="none"/>
        </w:rPr>
        <w:t>一般约定</w:t>
      </w:r>
      <w:bookmarkEnd w:id="294"/>
      <w:bookmarkEnd w:id="295"/>
      <w:bookmarkEnd w:id="296"/>
      <w:bookmarkEnd w:id="297"/>
      <w:bookmarkEnd w:id="298"/>
      <w:bookmarkEnd w:id="299"/>
      <w:bookmarkEnd w:id="300"/>
      <w:bookmarkEnd w:id="301"/>
    </w:p>
    <w:p w14:paraId="6B8E2DDC">
      <w:pPr>
        <w:pStyle w:val="8"/>
        <w:spacing w:before="0" w:after="60"/>
        <w:rPr>
          <w:rFonts w:ascii="宋体" w:hAnsi="宋体"/>
          <w:color w:val="000000"/>
          <w:highlight w:val="none"/>
        </w:rPr>
      </w:pPr>
      <w:bookmarkStart w:id="302" w:name="_Toc8936"/>
      <w:bookmarkStart w:id="303" w:name="_Toc487632692"/>
      <w:bookmarkStart w:id="304" w:name="_Toc389065259"/>
      <w:bookmarkStart w:id="305" w:name="_Toc373227693"/>
      <w:bookmarkStart w:id="306" w:name="_Toc373478340"/>
      <w:bookmarkStart w:id="307" w:name="_Toc407135195"/>
      <w:bookmarkStart w:id="308" w:name="_Toc108539769"/>
      <w:r>
        <w:rPr>
          <w:rFonts w:ascii="宋体" w:hAnsi="宋体"/>
          <w:color w:val="000000"/>
          <w:highlight w:val="none"/>
        </w:rPr>
        <w:t xml:space="preserve">1.1 </w:t>
      </w:r>
      <w:r>
        <w:rPr>
          <w:rFonts w:hint="eastAsia" w:ascii="宋体" w:hAnsi="宋体"/>
          <w:color w:val="000000"/>
          <w:highlight w:val="none"/>
        </w:rPr>
        <w:t>词语定义</w:t>
      </w:r>
      <w:bookmarkEnd w:id="302"/>
      <w:bookmarkEnd w:id="303"/>
      <w:bookmarkEnd w:id="304"/>
      <w:bookmarkEnd w:id="305"/>
      <w:bookmarkEnd w:id="306"/>
      <w:bookmarkEnd w:id="307"/>
      <w:bookmarkEnd w:id="308"/>
    </w:p>
    <w:p w14:paraId="613B2D41">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1.1.1 </w:t>
      </w:r>
      <w:r>
        <w:rPr>
          <w:rFonts w:hint="eastAsia" w:ascii="宋体" w:hAnsi="宋体"/>
          <w:color w:val="000000"/>
          <w:kern w:val="0"/>
          <w:highlight w:val="none"/>
        </w:rPr>
        <w:t>合同</w:t>
      </w:r>
    </w:p>
    <w:p w14:paraId="72F8F75A">
      <w:pPr>
        <w:spacing w:line="360" w:lineRule="auto"/>
        <w:rPr>
          <w:rFonts w:ascii="宋体" w:hAnsi="宋体"/>
          <w:color w:val="000000"/>
          <w:kern w:val="0"/>
          <w:highlight w:val="none"/>
        </w:rPr>
      </w:pPr>
      <w:r>
        <w:rPr>
          <w:rFonts w:ascii="宋体" w:hAnsi="宋体"/>
          <w:color w:val="000000"/>
          <w:kern w:val="0"/>
          <w:highlight w:val="none"/>
        </w:rPr>
        <w:t xml:space="preserve">1.1.1.10 </w:t>
      </w:r>
      <w:r>
        <w:rPr>
          <w:rFonts w:hint="eastAsia" w:ascii="宋体" w:hAnsi="宋体"/>
          <w:color w:val="000000"/>
          <w:kern w:val="0"/>
          <w:highlight w:val="none"/>
        </w:rPr>
        <w:t>其他合同文件包括：</w:t>
      </w:r>
      <w:r>
        <w:rPr>
          <w:rFonts w:hint="eastAsia" w:ascii="宋体" w:hAnsi="宋体"/>
          <w:color w:val="000000"/>
          <w:szCs w:val="21"/>
          <w:highlight w:val="none"/>
          <w:u w:val="single"/>
        </w:rPr>
        <w:t>合同协议书；成交通知书；</w:t>
      </w:r>
      <w:r>
        <w:rPr>
          <w:rFonts w:hint="eastAsia" w:ascii="宋体" w:hAnsi="宋体"/>
          <w:color w:val="000000"/>
          <w:kern w:val="0"/>
          <w:szCs w:val="21"/>
          <w:highlight w:val="none"/>
          <w:u w:val="single"/>
        </w:rPr>
        <w:t>磋商函及其附录；</w:t>
      </w:r>
      <w:r>
        <w:rPr>
          <w:rFonts w:hint="eastAsia" w:ascii="宋体" w:hAnsi="宋体"/>
          <w:color w:val="000000"/>
          <w:szCs w:val="21"/>
          <w:highlight w:val="none"/>
          <w:u w:val="single"/>
        </w:rPr>
        <w:t xml:space="preserve">专用合同条款及其附件；通用合同条款；技术标准和要求；招标工程量清单和图纸；磋商文件；响应文件；其他合同文件；补充协议；工程洽商；经发包人同意监理人发布的变更指示和工程签证；工程会议纪要；备忘录 </w:t>
      </w:r>
      <w:r>
        <w:rPr>
          <w:rFonts w:hint="eastAsia" w:ascii="宋体" w:hAnsi="宋体"/>
          <w:color w:val="000000"/>
          <w:highlight w:val="none"/>
        </w:rPr>
        <w:t>。</w:t>
      </w:r>
    </w:p>
    <w:p w14:paraId="11018E6C">
      <w:pPr>
        <w:spacing w:line="360" w:lineRule="auto"/>
        <w:ind w:firstLine="420" w:firstLineChars="200"/>
        <w:rPr>
          <w:rFonts w:ascii="宋体" w:hAnsi="宋体"/>
          <w:color w:val="000000"/>
          <w:highlight w:val="none"/>
        </w:rPr>
      </w:pPr>
      <w:r>
        <w:rPr>
          <w:rFonts w:ascii="宋体" w:hAnsi="宋体"/>
          <w:color w:val="000000"/>
          <w:highlight w:val="none"/>
        </w:rPr>
        <w:t xml:space="preserve">1.1.2 </w:t>
      </w:r>
      <w:r>
        <w:rPr>
          <w:rFonts w:hint="eastAsia" w:ascii="宋体" w:hAnsi="宋体"/>
          <w:color w:val="000000"/>
          <w:highlight w:val="none"/>
        </w:rPr>
        <w:t>合同当事人及其他相关方</w:t>
      </w:r>
    </w:p>
    <w:p w14:paraId="5180840C">
      <w:pPr>
        <w:spacing w:line="360" w:lineRule="auto"/>
        <w:ind w:firstLine="420" w:firstLineChars="200"/>
        <w:outlineLvl w:val="0"/>
        <w:rPr>
          <w:rFonts w:ascii="宋体" w:hAnsi="宋体"/>
          <w:color w:val="000000"/>
          <w:highlight w:val="none"/>
        </w:rPr>
      </w:pPr>
      <w:bookmarkStart w:id="309" w:name="_Toc21476"/>
      <w:bookmarkStart w:id="310" w:name="_Toc108539770"/>
      <w:bookmarkStart w:id="311" w:name="_Toc24799"/>
      <w:r>
        <w:rPr>
          <w:rFonts w:ascii="宋体" w:hAnsi="宋体"/>
          <w:color w:val="000000"/>
          <w:highlight w:val="none"/>
        </w:rPr>
        <w:t xml:space="preserve">1.1.2.4 </w:t>
      </w:r>
      <w:r>
        <w:rPr>
          <w:rFonts w:hint="eastAsia" w:ascii="宋体" w:hAnsi="宋体"/>
          <w:color w:val="000000"/>
          <w:highlight w:val="none"/>
        </w:rPr>
        <w:t>监理人：</w:t>
      </w:r>
      <w:bookmarkEnd w:id="309"/>
      <w:bookmarkEnd w:id="310"/>
      <w:bookmarkEnd w:id="311"/>
    </w:p>
    <w:p w14:paraId="6C82D53F">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名称：</w:t>
      </w:r>
      <w:r>
        <w:rPr>
          <w:rFonts w:hint="eastAsia" w:ascii="宋体" w:hAnsi="宋体"/>
          <w:color w:val="000000"/>
          <w:highlight w:val="none"/>
          <w:u w:val="single"/>
        </w:rPr>
        <w:t xml:space="preserve">  　　　　　　  </w:t>
      </w:r>
      <w:r>
        <w:rPr>
          <w:rFonts w:hint="eastAsia" w:ascii="宋体" w:hAnsi="宋体"/>
          <w:color w:val="000000"/>
          <w:highlight w:val="none"/>
        </w:rPr>
        <w:t>；</w:t>
      </w:r>
    </w:p>
    <w:p w14:paraId="75B5A903">
      <w:pPr>
        <w:spacing w:line="360" w:lineRule="auto"/>
        <w:ind w:firstLine="420" w:firstLineChars="200"/>
        <w:rPr>
          <w:rFonts w:hint="eastAsia" w:ascii="宋体" w:hAnsi="宋体"/>
          <w:color w:val="000000"/>
          <w:highlight w:val="none"/>
        </w:rPr>
      </w:pPr>
      <w:r>
        <w:rPr>
          <w:rFonts w:hint="eastAsia" w:ascii="宋体" w:hAnsi="宋体"/>
          <w:color w:val="000000"/>
          <w:highlight w:val="none"/>
        </w:rPr>
        <w:t>资质类别和等级：</w:t>
      </w:r>
      <w:r>
        <w:rPr>
          <w:rFonts w:hint="eastAsia" w:ascii="宋体" w:hAnsi="宋体"/>
          <w:color w:val="000000"/>
          <w:highlight w:val="none"/>
          <w:u w:val="single"/>
        </w:rPr>
        <w:t xml:space="preserve">  　　　　　　  </w:t>
      </w:r>
      <w:r>
        <w:rPr>
          <w:rFonts w:hint="eastAsia" w:ascii="宋体" w:hAnsi="宋体"/>
          <w:color w:val="000000"/>
          <w:highlight w:val="none"/>
        </w:rPr>
        <w:t>；</w:t>
      </w:r>
    </w:p>
    <w:p w14:paraId="68E629AB">
      <w:pPr>
        <w:spacing w:line="360" w:lineRule="auto"/>
        <w:ind w:firstLine="420" w:firstLineChars="200"/>
        <w:rPr>
          <w:rFonts w:hint="eastAsia" w:ascii="宋体" w:hAnsi="宋体"/>
          <w:color w:val="000000"/>
          <w:highlight w:val="none"/>
        </w:rPr>
      </w:pPr>
      <w:r>
        <w:rPr>
          <w:rFonts w:hint="eastAsia" w:ascii="宋体" w:hAnsi="宋体"/>
          <w:color w:val="000000"/>
          <w:highlight w:val="none"/>
        </w:rPr>
        <w:t>联系电话：</w:t>
      </w:r>
      <w:r>
        <w:rPr>
          <w:rFonts w:hint="eastAsia" w:ascii="宋体" w:hAnsi="宋体"/>
          <w:color w:val="000000"/>
          <w:highlight w:val="none"/>
          <w:u w:val="single"/>
        </w:rPr>
        <w:t xml:space="preserve">  　　　　　　  </w:t>
      </w:r>
      <w:r>
        <w:rPr>
          <w:rFonts w:hint="eastAsia" w:ascii="宋体" w:hAnsi="宋体"/>
          <w:color w:val="000000"/>
          <w:highlight w:val="none"/>
        </w:rPr>
        <w:t>；</w:t>
      </w:r>
    </w:p>
    <w:p w14:paraId="3610781A">
      <w:pPr>
        <w:spacing w:line="360" w:lineRule="auto"/>
        <w:ind w:firstLine="420" w:firstLineChars="200"/>
        <w:rPr>
          <w:rFonts w:hint="eastAsia" w:ascii="宋体" w:hAnsi="宋体"/>
          <w:color w:val="000000"/>
          <w:highlight w:val="none"/>
        </w:rPr>
      </w:pPr>
      <w:r>
        <w:rPr>
          <w:rFonts w:hint="eastAsia" w:ascii="宋体" w:hAnsi="宋体"/>
          <w:color w:val="000000"/>
          <w:highlight w:val="none"/>
        </w:rPr>
        <w:t>电子信箱：</w:t>
      </w:r>
      <w:r>
        <w:rPr>
          <w:rFonts w:hint="eastAsia" w:ascii="宋体" w:hAnsi="宋体"/>
          <w:color w:val="000000"/>
          <w:highlight w:val="none"/>
          <w:u w:val="single"/>
        </w:rPr>
        <w:t xml:space="preserve">  　　　　　　  </w:t>
      </w:r>
      <w:r>
        <w:rPr>
          <w:rFonts w:hint="eastAsia" w:ascii="宋体" w:hAnsi="宋体"/>
          <w:color w:val="000000"/>
          <w:highlight w:val="none"/>
        </w:rPr>
        <w:t>；</w:t>
      </w:r>
    </w:p>
    <w:p w14:paraId="4ECDE0C9">
      <w:pPr>
        <w:spacing w:line="360" w:lineRule="auto"/>
        <w:ind w:firstLine="420" w:firstLineChars="200"/>
        <w:rPr>
          <w:rFonts w:hint="eastAsia" w:ascii="宋体" w:hAnsi="宋体"/>
          <w:color w:val="000000"/>
          <w:highlight w:val="none"/>
        </w:rPr>
      </w:pPr>
      <w:r>
        <w:rPr>
          <w:rFonts w:hint="eastAsia" w:ascii="宋体" w:hAnsi="宋体"/>
          <w:color w:val="000000"/>
          <w:highlight w:val="none"/>
        </w:rPr>
        <w:t>通信地址：</w:t>
      </w:r>
      <w:r>
        <w:rPr>
          <w:rFonts w:hint="eastAsia" w:ascii="宋体" w:hAnsi="宋体"/>
          <w:color w:val="000000"/>
          <w:highlight w:val="none"/>
          <w:u w:val="single"/>
        </w:rPr>
        <w:t xml:space="preserve">  　　　　　　  </w:t>
      </w:r>
      <w:r>
        <w:rPr>
          <w:rFonts w:hint="eastAsia" w:ascii="宋体" w:hAnsi="宋体"/>
          <w:color w:val="000000"/>
          <w:highlight w:val="none"/>
        </w:rPr>
        <w:t>。</w:t>
      </w:r>
    </w:p>
    <w:p w14:paraId="0AE5215A">
      <w:pPr>
        <w:spacing w:line="360" w:lineRule="auto"/>
        <w:ind w:firstLine="420" w:firstLineChars="200"/>
        <w:outlineLvl w:val="0"/>
        <w:rPr>
          <w:rFonts w:ascii="宋体" w:hAnsi="宋体"/>
          <w:color w:val="000000"/>
          <w:highlight w:val="none"/>
        </w:rPr>
      </w:pPr>
      <w:bookmarkStart w:id="312" w:name="_Toc32510"/>
      <w:bookmarkStart w:id="313" w:name="_Toc5831"/>
      <w:bookmarkStart w:id="314" w:name="_Toc108539771"/>
      <w:r>
        <w:rPr>
          <w:rFonts w:ascii="宋体" w:hAnsi="宋体"/>
          <w:color w:val="000000"/>
          <w:highlight w:val="none"/>
        </w:rPr>
        <w:t xml:space="preserve">1.1.2.5 </w:t>
      </w:r>
      <w:r>
        <w:rPr>
          <w:rFonts w:hint="eastAsia" w:ascii="宋体" w:hAnsi="宋体"/>
          <w:color w:val="000000"/>
          <w:highlight w:val="none"/>
        </w:rPr>
        <w:t>设计人：</w:t>
      </w:r>
      <w:bookmarkEnd w:id="312"/>
      <w:bookmarkEnd w:id="313"/>
      <w:bookmarkEnd w:id="314"/>
    </w:p>
    <w:p w14:paraId="0E54565B">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名称：</w:t>
      </w:r>
      <w:r>
        <w:rPr>
          <w:rFonts w:hint="eastAsia" w:ascii="宋体" w:hAnsi="宋体"/>
          <w:color w:val="000000"/>
          <w:highlight w:val="none"/>
          <w:u w:val="single"/>
        </w:rPr>
        <w:t xml:space="preserve">  　　　　　　  </w:t>
      </w:r>
      <w:r>
        <w:rPr>
          <w:rFonts w:hint="eastAsia" w:ascii="宋体" w:hAnsi="宋体"/>
          <w:color w:val="000000"/>
          <w:highlight w:val="none"/>
        </w:rPr>
        <w:t>；</w:t>
      </w:r>
    </w:p>
    <w:p w14:paraId="37533D67">
      <w:pPr>
        <w:spacing w:line="360" w:lineRule="auto"/>
        <w:ind w:firstLine="420" w:firstLineChars="200"/>
        <w:rPr>
          <w:rFonts w:hint="eastAsia" w:ascii="宋体" w:hAnsi="宋体"/>
          <w:color w:val="000000"/>
          <w:highlight w:val="none"/>
        </w:rPr>
      </w:pPr>
      <w:r>
        <w:rPr>
          <w:rFonts w:hint="eastAsia" w:ascii="宋体" w:hAnsi="宋体"/>
          <w:color w:val="000000"/>
          <w:highlight w:val="none"/>
        </w:rPr>
        <w:t>资质类别和等级：</w:t>
      </w:r>
      <w:r>
        <w:rPr>
          <w:rFonts w:hint="eastAsia" w:ascii="宋体" w:hAnsi="宋体"/>
          <w:color w:val="000000"/>
          <w:highlight w:val="none"/>
          <w:u w:val="single"/>
        </w:rPr>
        <w:t xml:space="preserve">  　　　　　　  </w:t>
      </w:r>
      <w:r>
        <w:rPr>
          <w:rFonts w:hint="eastAsia" w:ascii="宋体" w:hAnsi="宋体"/>
          <w:color w:val="000000"/>
          <w:highlight w:val="none"/>
        </w:rPr>
        <w:t>；</w:t>
      </w:r>
    </w:p>
    <w:p w14:paraId="0BBBAB40">
      <w:pPr>
        <w:spacing w:line="360" w:lineRule="auto"/>
        <w:ind w:firstLine="420" w:firstLineChars="200"/>
        <w:rPr>
          <w:rFonts w:hint="eastAsia" w:ascii="宋体" w:hAnsi="宋体"/>
          <w:color w:val="000000"/>
          <w:highlight w:val="none"/>
        </w:rPr>
      </w:pPr>
      <w:r>
        <w:rPr>
          <w:rFonts w:hint="eastAsia" w:ascii="宋体" w:hAnsi="宋体"/>
          <w:color w:val="000000"/>
          <w:highlight w:val="none"/>
        </w:rPr>
        <w:t>联系电话：</w:t>
      </w:r>
      <w:r>
        <w:rPr>
          <w:rFonts w:hint="eastAsia" w:ascii="宋体" w:hAnsi="宋体"/>
          <w:color w:val="000000"/>
          <w:highlight w:val="none"/>
          <w:u w:val="single"/>
        </w:rPr>
        <w:t xml:space="preserve">  　　　　　　  </w:t>
      </w:r>
      <w:r>
        <w:rPr>
          <w:rFonts w:hint="eastAsia" w:ascii="宋体" w:hAnsi="宋体"/>
          <w:color w:val="000000"/>
          <w:highlight w:val="none"/>
        </w:rPr>
        <w:t>；</w:t>
      </w:r>
    </w:p>
    <w:p w14:paraId="4DC4152C">
      <w:pPr>
        <w:spacing w:line="360" w:lineRule="auto"/>
        <w:ind w:firstLine="420" w:firstLineChars="200"/>
        <w:rPr>
          <w:rFonts w:hint="eastAsia" w:ascii="宋体" w:hAnsi="宋体"/>
          <w:color w:val="000000"/>
          <w:highlight w:val="none"/>
        </w:rPr>
      </w:pPr>
      <w:r>
        <w:rPr>
          <w:rFonts w:hint="eastAsia" w:ascii="宋体" w:hAnsi="宋体"/>
          <w:color w:val="000000"/>
          <w:highlight w:val="none"/>
        </w:rPr>
        <w:t>电子信箱：</w:t>
      </w:r>
      <w:r>
        <w:rPr>
          <w:rFonts w:hint="eastAsia" w:ascii="宋体" w:hAnsi="宋体"/>
          <w:color w:val="000000"/>
          <w:highlight w:val="none"/>
          <w:u w:val="single"/>
        </w:rPr>
        <w:t xml:space="preserve">  　　　　　　  </w:t>
      </w:r>
      <w:r>
        <w:rPr>
          <w:rFonts w:hint="eastAsia" w:ascii="宋体" w:hAnsi="宋体"/>
          <w:color w:val="000000"/>
          <w:highlight w:val="none"/>
        </w:rPr>
        <w:t>；</w:t>
      </w:r>
    </w:p>
    <w:p w14:paraId="4D375F21">
      <w:pPr>
        <w:spacing w:line="360" w:lineRule="auto"/>
        <w:ind w:firstLine="420" w:firstLineChars="200"/>
        <w:rPr>
          <w:rFonts w:hint="eastAsia" w:ascii="宋体" w:hAnsi="宋体"/>
          <w:color w:val="000000"/>
          <w:highlight w:val="none"/>
        </w:rPr>
      </w:pPr>
      <w:r>
        <w:rPr>
          <w:rFonts w:hint="eastAsia" w:ascii="宋体" w:hAnsi="宋体"/>
          <w:color w:val="000000"/>
          <w:highlight w:val="none"/>
        </w:rPr>
        <w:t>通信地址：</w:t>
      </w:r>
      <w:r>
        <w:rPr>
          <w:rFonts w:hint="eastAsia" w:ascii="宋体" w:hAnsi="宋体"/>
          <w:color w:val="000000"/>
          <w:highlight w:val="none"/>
          <w:u w:val="single"/>
        </w:rPr>
        <w:t xml:space="preserve">  　　　　　　  </w:t>
      </w:r>
      <w:r>
        <w:rPr>
          <w:rFonts w:hint="eastAsia" w:ascii="宋体" w:hAnsi="宋体"/>
          <w:color w:val="000000"/>
          <w:highlight w:val="none"/>
        </w:rPr>
        <w:t>。</w:t>
      </w:r>
    </w:p>
    <w:p w14:paraId="59B2814D">
      <w:pPr>
        <w:spacing w:line="360" w:lineRule="auto"/>
        <w:ind w:firstLine="420" w:firstLineChars="200"/>
        <w:rPr>
          <w:rFonts w:ascii="宋体" w:hAnsi="宋体"/>
          <w:color w:val="000000"/>
          <w:highlight w:val="none"/>
        </w:rPr>
      </w:pPr>
      <w:r>
        <w:rPr>
          <w:rFonts w:ascii="宋体" w:hAnsi="宋体"/>
          <w:color w:val="000000"/>
          <w:highlight w:val="none"/>
        </w:rPr>
        <w:t xml:space="preserve">1.1.3 </w:t>
      </w:r>
      <w:r>
        <w:rPr>
          <w:rFonts w:hint="eastAsia" w:ascii="宋体" w:hAnsi="宋体"/>
          <w:color w:val="000000"/>
          <w:highlight w:val="none"/>
        </w:rPr>
        <w:t>工程和设备</w:t>
      </w:r>
    </w:p>
    <w:p w14:paraId="1E0AA0C3">
      <w:pPr>
        <w:spacing w:line="360" w:lineRule="auto"/>
        <w:ind w:firstLine="420" w:firstLineChars="200"/>
        <w:outlineLvl w:val="0"/>
        <w:rPr>
          <w:rFonts w:ascii="宋体" w:hAnsi="宋体"/>
          <w:color w:val="000000"/>
          <w:highlight w:val="none"/>
        </w:rPr>
      </w:pPr>
      <w:bookmarkStart w:id="315" w:name="_Toc10228"/>
      <w:bookmarkStart w:id="316" w:name="_Toc108539772"/>
      <w:bookmarkStart w:id="317" w:name="_Toc28641"/>
      <w:r>
        <w:rPr>
          <w:rFonts w:ascii="宋体" w:hAnsi="宋体"/>
          <w:color w:val="000000"/>
          <w:highlight w:val="none"/>
        </w:rPr>
        <w:t xml:space="preserve">1.1.3.7 </w:t>
      </w:r>
      <w:r>
        <w:rPr>
          <w:rFonts w:hint="eastAsia" w:ascii="宋体" w:hAnsi="宋体"/>
          <w:color w:val="000000"/>
          <w:highlight w:val="none"/>
        </w:rPr>
        <w:t>作为施工现场组成部分的其他场所包括：</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包括永久占地、临时占地</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bookmarkEnd w:id="315"/>
      <w:bookmarkEnd w:id="316"/>
      <w:bookmarkEnd w:id="317"/>
    </w:p>
    <w:p w14:paraId="1F16EDB0">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1.1.3.9 </w:t>
      </w:r>
      <w:r>
        <w:rPr>
          <w:rFonts w:hint="eastAsia" w:ascii="宋体" w:hAnsi="宋体"/>
          <w:color w:val="000000"/>
          <w:kern w:val="0"/>
          <w:highlight w:val="none"/>
        </w:rPr>
        <w:t>永久占地包括：</w:t>
      </w:r>
      <w:r>
        <w:rPr>
          <w:rFonts w:hint="eastAsia" w:ascii="宋体" w:hAnsi="宋体"/>
          <w:color w:val="000000"/>
          <w:kern w:val="0"/>
          <w:highlight w:val="none"/>
          <w:u w:val="single"/>
          <w:lang w:val="en-US" w:eastAsia="zh-CN"/>
        </w:rPr>
        <w:t xml:space="preserve">  </w:t>
      </w:r>
      <w:r>
        <w:rPr>
          <w:rFonts w:hint="eastAsia" w:ascii="宋体" w:hAnsi="宋体"/>
          <w:color w:val="000000"/>
          <w:highlight w:val="none"/>
          <w:u w:val="single"/>
        </w:rPr>
        <w:t>为实施合同工程需永久占用的土地</w:t>
      </w:r>
      <w:r>
        <w:rPr>
          <w:rFonts w:hint="eastAsia" w:ascii="宋体" w:hAnsi="宋体"/>
          <w:color w:val="000000"/>
          <w:highlight w:val="none"/>
          <w:u w:val="single"/>
          <w:lang w:val="en-US" w:eastAsia="zh-CN"/>
        </w:rPr>
        <w:t xml:space="preserve"> </w:t>
      </w:r>
      <w:r>
        <w:rPr>
          <w:rFonts w:hint="eastAsia" w:ascii="宋体" w:hAnsi="宋体"/>
          <w:color w:val="000000"/>
          <w:kern w:val="0"/>
          <w:highlight w:val="none"/>
        </w:rPr>
        <w:t>。</w:t>
      </w:r>
    </w:p>
    <w:p w14:paraId="2C8417D9">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1.1.3.10 </w:t>
      </w:r>
      <w:r>
        <w:rPr>
          <w:rFonts w:hint="eastAsia" w:ascii="宋体" w:hAnsi="宋体"/>
          <w:color w:val="000000"/>
          <w:kern w:val="0"/>
          <w:highlight w:val="none"/>
        </w:rPr>
        <w:t>临时占地包括：</w:t>
      </w:r>
      <w:r>
        <w:rPr>
          <w:rFonts w:hint="eastAsia" w:ascii="宋体" w:hAnsi="宋体"/>
          <w:color w:val="000000"/>
          <w:highlight w:val="none"/>
          <w:u w:val="single"/>
        </w:rPr>
        <w:t>需要临时占地的，由承包人办理相关申报手续，发包人予以协助，发生的费用由承包人承担</w:t>
      </w:r>
      <w:r>
        <w:rPr>
          <w:rFonts w:hint="eastAsia" w:ascii="宋体" w:hAnsi="宋体"/>
          <w:color w:val="000000"/>
          <w:kern w:val="0"/>
          <w:highlight w:val="none"/>
        </w:rPr>
        <w:t>。</w:t>
      </w:r>
    </w:p>
    <w:p w14:paraId="4B65EC0E">
      <w:pPr>
        <w:pStyle w:val="8"/>
        <w:spacing w:before="0" w:after="60"/>
        <w:rPr>
          <w:rFonts w:ascii="宋体" w:hAnsi="宋体"/>
          <w:color w:val="000000"/>
          <w:highlight w:val="none"/>
        </w:rPr>
      </w:pPr>
      <w:bookmarkStart w:id="318" w:name="_Toc389065260"/>
      <w:bookmarkStart w:id="319" w:name="_Toc16626"/>
      <w:bookmarkStart w:id="320" w:name="_Toc487632693"/>
      <w:bookmarkStart w:id="321" w:name="_Toc373227694"/>
      <w:bookmarkStart w:id="322" w:name="_Toc407135196"/>
      <w:bookmarkStart w:id="323" w:name="_Toc373478341"/>
      <w:bookmarkStart w:id="324" w:name="_Toc108539773"/>
      <w:r>
        <w:rPr>
          <w:rFonts w:ascii="宋体" w:hAnsi="宋体"/>
          <w:color w:val="000000"/>
          <w:highlight w:val="none"/>
        </w:rPr>
        <w:t xml:space="preserve">1.3 </w:t>
      </w:r>
      <w:r>
        <w:rPr>
          <w:rFonts w:hint="eastAsia" w:ascii="宋体" w:hAnsi="宋体"/>
          <w:color w:val="000000"/>
          <w:highlight w:val="none"/>
        </w:rPr>
        <w:t>法律</w:t>
      </w:r>
      <w:bookmarkEnd w:id="318"/>
      <w:bookmarkEnd w:id="319"/>
      <w:bookmarkEnd w:id="320"/>
      <w:bookmarkEnd w:id="321"/>
      <w:bookmarkEnd w:id="322"/>
      <w:bookmarkEnd w:id="323"/>
      <w:bookmarkEnd w:id="324"/>
    </w:p>
    <w:p w14:paraId="17A992C5">
      <w:pPr>
        <w:autoSpaceDE w:val="0"/>
        <w:autoSpaceDN w:val="0"/>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适用于合同的其他规范性文件：</w:t>
      </w:r>
      <w:r>
        <w:rPr>
          <w:rFonts w:hint="eastAsia" w:ascii="宋体" w:hAnsi="宋体"/>
          <w:color w:val="000000"/>
          <w:highlight w:val="none"/>
          <w:u w:val="single"/>
        </w:rPr>
        <w:t>《中华人民共和国民法典》、《中华人民共和国建筑法》及国家、广西有关主管部门的现行法规，梧政办发[2014]2号《梧州市人民政府办公室转发市住建委关于我市建设工程安全防护文明施工措施费管理规定的通知》、梧政发【2018】28号《梧州市人民政府关于加强财政性投资项目资金管理有关事项的通知》</w:t>
      </w:r>
      <w:r>
        <w:rPr>
          <w:rFonts w:hint="eastAsia" w:ascii="宋体" w:hAnsi="宋体"/>
          <w:color w:val="000000"/>
          <w:highlight w:val="none"/>
        </w:rPr>
        <w:t>。</w:t>
      </w:r>
    </w:p>
    <w:p w14:paraId="66834CA6">
      <w:pPr>
        <w:pStyle w:val="8"/>
        <w:spacing w:before="0" w:after="60"/>
        <w:rPr>
          <w:rFonts w:ascii="宋体" w:hAnsi="宋体"/>
          <w:color w:val="000000"/>
          <w:highlight w:val="none"/>
        </w:rPr>
      </w:pPr>
      <w:bookmarkStart w:id="325" w:name="_Toc373478342"/>
      <w:bookmarkStart w:id="326" w:name="_Toc373227695"/>
      <w:bookmarkStart w:id="327" w:name="_Toc108539774"/>
      <w:bookmarkStart w:id="328" w:name="_Toc16966"/>
      <w:bookmarkStart w:id="329" w:name="_Toc487632694"/>
      <w:bookmarkStart w:id="330" w:name="_Toc407135197"/>
      <w:bookmarkStart w:id="331" w:name="_Toc389065261"/>
      <w:r>
        <w:rPr>
          <w:rFonts w:ascii="宋体" w:hAnsi="宋体"/>
          <w:color w:val="000000"/>
          <w:highlight w:val="none"/>
        </w:rPr>
        <w:t xml:space="preserve">1.4 </w:t>
      </w:r>
      <w:r>
        <w:rPr>
          <w:rFonts w:hint="eastAsia" w:ascii="宋体" w:hAnsi="宋体"/>
          <w:color w:val="000000"/>
          <w:highlight w:val="none"/>
        </w:rPr>
        <w:t>标准和规范</w:t>
      </w:r>
      <w:bookmarkEnd w:id="325"/>
      <w:bookmarkEnd w:id="326"/>
      <w:bookmarkEnd w:id="327"/>
      <w:bookmarkEnd w:id="328"/>
      <w:bookmarkEnd w:id="329"/>
      <w:bookmarkEnd w:id="330"/>
      <w:bookmarkEnd w:id="331"/>
    </w:p>
    <w:p w14:paraId="7BF84989">
      <w:pPr>
        <w:spacing w:line="360" w:lineRule="auto"/>
        <w:rPr>
          <w:rFonts w:ascii="宋体" w:hAnsi="宋体"/>
          <w:color w:val="000000"/>
          <w:highlight w:val="none"/>
        </w:rPr>
      </w:pPr>
      <w:r>
        <w:rPr>
          <w:rFonts w:ascii="宋体" w:hAnsi="宋体"/>
          <w:color w:val="000000"/>
          <w:highlight w:val="none"/>
        </w:rPr>
        <w:t xml:space="preserve">1.4.1 </w:t>
      </w:r>
      <w:r>
        <w:rPr>
          <w:rFonts w:hint="eastAsia" w:ascii="宋体" w:hAnsi="宋体"/>
          <w:color w:val="000000"/>
          <w:highlight w:val="none"/>
        </w:rPr>
        <w:t>适用于工程的标准规范包括：</w:t>
      </w:r>
      <w:r>
        <w:rPr>
          <w:rFonts w:hint="eastAsia" w:ascii="宋体" w:hAnsi="宋体"/>
          <w:color w:val="000000"/>
          <w:highlight w:val="none"/>
          <w:u w:val="single"/>
        </w:rPr>
        <w:t>现行的国家标准、行业标准、地方规范性文件</w:t>
      </w:r>
      <w:r>
        <w:rPr>
          <w:rFonts w:hint="eastAsia" w:ascii="宋体" w:hAnsi="宋体"/>
          <w:color w:val="000000"/>
          <w:highlight w:val="none"/>
        </w:rPr>
        <w:t>。</w:t>
      </w:r>
    </w:p>
    <w:p w14:paraId="3C2E2291">
      <w:pPr>
        <w:spacing w:line="360" w:lineRule="auto"/>
        <w:rPr>
          <w:rFonts w:ascii="宋体" w:hAnsi="宋体"/>
          <w:color w:val="000000"/>
          <w:kern w:val="0"/>
          <w:highlight w:val="none"/>
        </w:rPr>
      </w:pPr>
      <w:r>
        <w:rPr>
          <w:rFonts w:ascii="宋体" w:hAnsi="宋体"/>
          <w:color w:val="000000"/>
          <w:kern w:val="0"/>
          <w:highlight w:val="none"/>
        </w:rPr>
        <w:t xml:space="preserve">1.4.2 </w:t>
      </w:r>
      <w:r>
        <w:rPr>
          <w:rFonts w:hint="eastAsia" w:ascii="宋体" w:hAnsi="宋体"/>
          <w:color w:val="000000"/>
          <w:kern w:val="0"/>
          <w:highlight w:val="none"/>
        </w:rPr>
        <w:t>发包人提供国外标准、规范的名称：</w:t>
      </w:r>
      <w:r>
        <w:rPr>
          <w:rFonts w:hint="eastAsia" w:ascii="宋体" w:hAnsi="宋体"/>
          <w:color w:val="000000"/>
          <w:highlight w:val="none"/>
          <w:u w:val="single"/>
        </w:rPr>
        <w:t>无</w:t>
      </w:r>
      <w:r>
        <w:rPr>
          <w:rFonts w:hint="eastAsia" w:ascii="宋体" w:hAnsi="宋体"/>
          <w:color w:val="000000"/>
          <w:highlight w:val="none"/>
        </w:rPr>
        <w:t>；</w:t>
      </w:r>
    </w:p>
    <w:p w14:paraId="23B7AC91">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发包人提供国外标准、规范的份数：</w:t>
      </w:r>
      <w:r>
        <w:rPr>
          <w:rFonts w:hint="eastAsia" w:ascii="宋体" w:hAnsi="宋体"/>
          <w:color w:val="000000"/>
          <w:highlight w:val="none"/>
          <w:u w:val="single"/>
        </w:rPr>
        <w:t>无</w:t>
      </w:r>
      <w:r>
        <w:rPr>
          <w:rFonts w:hint="eastAsia" w:ascii="宋体" w:hAnsi="宋体"/>
          <w:color w:val="000000"/>
          <w:kern w:val="0"/>
          <w:highlight w:val="none"/>
        </w:rPr>
        <w:t>；</w:t>
      </w:r>
    </w:p>
    <w:p w14:paraId="1E82FEF6">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发包人提供国外标准、规范的名称：</w:t>
      </w:r>
      <w:r>
        <w:rPr>
          <w:rFonts w:hint="eastAsia" w:ascii="宋体" w:hAnsi="宋体"/>
          <w:color w:val="000000"/>
          <w:highlight w:val="none"/>
          <w:u w:val="single"/>
        </w:rPr>
        <w:t>无</w:t>
      </w:r>
      <w:r>
        <w:rPr>
          <w:rFonts w:hint="eastAsia" w:ascii="宋体" w:hAnsi="宋体"/>
          <w:color w:val="000000"/>
          <w:kern w:val="0"/>
          <w:highlight w:val="none"/>
        </w:rPr>
        <w:t>。</w:t>
      </w:r>
    </w:p>
    <w:p w14:paraId="7A23FC23">
      <w:pPr>
        <w:spacing w:line="360" w:lineRule="auto"/>
        <w:rPr>
          <w:rFonts w:ascii="宋体" w:hAnsi="宋体"/>
          <w:color w:val="000000"/>
          <w:highlight w:val="none"/>
        </w:rPr>
      </w:pPr>
      <w:r>
        <w:rPr>
          <w:rFonts w:ascii="宋体" w:hAnsi="宋体"/>
          <w:color w:val="000000"/>
          <w:highlight w:val="none"/>
        </w:rPr>
        <w:t xml:space="preserve">1.4.3 </w:t>
      </w:r>
      <w:r>
        <w:rPr>
          <w:rFonts w:hint="eastAsia" w:ascii="宋体" w:hAnsi="宋体"/>
          <w:color w:val="000000"/>
          <w:highlight w:val="none"/>
        </w:rPr>
        <w:t>发包人对工程的技术标准和功能要求的特殊要求：</w:t>
      </w:r>
      <w:r>
        <w:rPr>
          <w:rFonts w:hint="eastAsia" w:ascii="宋体" w:hAnsi="宋体"/>
          <w:color w:val="000000"/>
          <w:highlight w:val="none"/>
          <w:u w:val="single"/>
        </w:rPr>
        <w:t>无</w:t>
      </w:r>
      <w:r>
        <w:rPr>
          <w:rFonts w:hint="eastAsia" w:ascii="宋体" w:hAnsi="宋体"/>
          <w:color w:val="000000"/>
          <w:highlight w:val="none"/>
        </w:rPr>
        <w:t>。</w:t>
      </w:r>
    </w:p>
    <w:p w14:paraId="2CB84EB1">
      <w:pPr>
        <w:pStyle w:val="8"/>
        <w:spacing w:before="0" w:after="60"/>
        <w:rPr>
          <w:rFonts w:ascii="宋体" w:hAnsi="宋体"/>
          <w:color w:val="000000"/>
          <w:highlight w:val="none"/>
        </w:rPr>
      </w:pPr>
      <w:bookmarkStart w:id="332" w:name="_Toc373478343"/>
      <w:bookmarkStart w:id="333" w:name="_Toc389065262"/>
      <w:bookmarkStart w:id="334" w:name="_Toc403"/>
      <w:bookmarkStart w:id="335" w:name="_Toc407135198"/>
      <w:bookmarkStart w:id="336" w:name="_Toc487632695"/>
      <w:bookmarkStart w:id="337" w:name="_Toc373227696"/>
      <w:bookmarkStart w:id="338" w:name="_Toc108539775"/>
      <w:r>
        <w:rPr>
          <w:rFonts w:ascii="宋体" w:hAnsi="宋体"/>
          <w:color w:val="000000"/>
          <w:highlight w:val="none"/>
        </w:rPr>
        <w:t xml:space="preserve">1.5 </w:t>
      </w:r>
      <w:r>
        <w:rPr>
          <w:rFonts w:hint="eastAsia" w:ascii="宋体" w:hAnsi="宋体"/>
          <w:color w:val="000000"/>
          <w:highlight w:val="none"/>
        </w:rPr>
        <w:t>合同文件的优先顺序</w:t>
      </w:r>
      <w:bookmarkEnd w:id="332"/>
      <w:bookmarkEnd w:id="333"/>
      <w:bookmarkEnd w:id="334"/>
      <w:bookmarkEnd w:id="335"/>
      <w:bookmarkEnd w:id="336"/>
      <w:bookmarkEnd w:id="337"/>
      <w:bookmarkEnd w:id="338"/>
    </w:p>
    <w:p w14:paraId="454F19FF">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合同文件组成及优先顺序为：</w:t>
      </w:r>
    </w:p>
    <w:p w14:paraId="57C90B09">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）合同协议书；</w:t>
      </w:r>
    </w:p>
    <w:p w14:paraId="3B3BD347">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）成交通知书；</w:t>
      </w:r>
    </w:p>
    <w:p w14:paraId="0CD79719">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）磋商函及其附录；</w:t>
      </w:r>
    </w:p>
    <w:p w14:paraId="0CC220B6">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4</w:t>
      </w:r>
      <w:r>
        <w:rPr>
          <w:rFonts w:hint="eastAsia" w:ascii="宋体" w:hAnsi="宋体"/>
          <w:color w:val="000000"/>
          <w:kern w:val="0"/>
          <w:highlight w:val="none"/>
        </w:rPr>
        <w:t>）专用合同条款及其附件；</w:t>
      </w:r>
    </w:p>
    <w:p w14:paraId="781E8FA8">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5</w:t>
      </w:r>
      <w:r>
        <w:rPr>
          <w:rFonts w:hint="eastAsia" w:ascii="宋体" w:hAnsi="宋体"/>
          <w:color w:val="000000"/>
          <w:kern w:val="0"/>
          <w:highlight w:val="none"/>
        </w:rPr>
        <w:t>）通用合同条款；</w:t>
      </w:r>
    </w:p>
    <w:p w14:paraId="51A7E226">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w:t>
      </w:r>
      <w:r>
        <w:rPr>
          <w:rFonts w:hint="eastAsia" w:ascii="宋体" w:hAnsi="宋体"/>
          <w:color w:val="000000"/>
          <w:kern w:val="0"/>
          <w:highlight w:val="none"/>
          <w:u w:val="single"/>
        </w:rPr>
        <w:t>技术标准和要求</w:t>
      </w:r>
      <w:r>
        <w:rPr>
          <w:rFonts w:hint="eastAsia" w:ascii="宋体" w:hAnsi="宋体"/>
          <w:color w:val="000000"/>
          <w:kern w:val="0"/>
          <w:highlight w:val="none"/>
        </w:rPr>
        <w:t>；</w:t>
      </w:r>
    </w:p>
    <w:p w14:paraId="4BE51BB0">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7</w:t>
      </w:r>
      <w:r>
        <w:rPr>
          <w:rFonts w:hint="eastAsia" w:ascii="宋体" w:hAnsi="宋体"/>
          <w:color w:val="000000"/>
          <w:kern w:val="0"/>
          <w:highlight w:val="none"/>
        </w:rPr>
        <w:t>）</w:t>
      </w:r>
      <w:r>
        <w:rPr>
          <w:rFonts w:hint="eastAsia" w:ascii="宋体" w:hAnsi="宋体"/>
          <w:color w:val="000000"/>
          <w:kern w:val="0"/>
          <w:highlight w:val="none"/>
          <w:u w:val="single"/>
        </w:rPr>
        <w:t>图纸</w:t>
      </w:r>
      <w:r>
        <w:rPr>
          <w:rFonts w:hint="eastAsia" w:ascii="宋体" w:hAnsi="宋体"/>
          <w:color w:val="000000"/>
          <w:kern w:val="0"/>
          <w:highlight w:val="none"/>
        </w:rPr>
        <w:t>；</w:t>
      </w:r>
    </w:p>
    <w:p w14:paraId="45751851">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8</w:t>
      </w:r>
      <w:r>
        <w:rPr>
          <w:rFonts w:hint="eastAsia" w:ascii="宋体" w:hAnsi="宋体"/>
          <w:color w:val="000000"/>
          <w:kern w:val="0"/>
          <w:highlight w:val="none"/>
        </w:rPr>
        <w:t>）</w:t>
      </w:r>
      <w:r>
        <w:rPr>
          <w:rFonts w:hint="eastAsia" w:ascii="宋体" w:hAnsi="宋体"/>
          <w:color w:val="000000"/>
          <w:kern w:val="0"/>
          <w:highlight w:val="none"/>
          <w:u w:val="single"/>
        </w:rPr>
        <w:t>已标价工程量清单</w:t>
      </w:r>
      <w:r>
        <w:rPr>
          <w:rFonts w:hint="eastAsia" w:ascii="宋体" w:hAnsi="宋体"/>
          <w:color w:val="000000"/>
          <w:kern w:val="0"/>
          <w:highlight w:val="none"/>
        </w:rPr>
        <w:t>；</w:t>
      </w:r>
    </w:p>
    <w:p w14:paraId="6825CB67">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9</w:t>
      </w:r>
      <w:r>
        <w:rPr>
          <w:rFonts w:hint="eastAsia" w:ascii="宋体" w:hAnsi="宋体"/>
          <w:color w:val="000000"/>
          <w:kern w:val="0"/>
          <w:highlight w:val="none"/>
        </w:rPr>
        <w:t>）</w:t>
      </w:r>
      <w:r>
        <w:rPr>
          <w:rFonts w:hint="eastAsia" w:ascii="宋体" w:hAnsi="宋体"/>
          <w:color w:val="000000"/>
          <w:kern w:val="0"/>
          <w:highlight w:val="none"/>
          <w:u w:val="single"/>
        </w:rPr>
        <w:t>其他合同文件</w:t>
      </w:r>
      <w:r>
        <w:rPr>
          <w:rFonts w:hint="eastAsia" w:ascii="宋体" w:hAnsi="宋体"/>
          <w:color w:val="000000"/>
          <w:kern w:val="0"/>
          <w:highlight w:val="none"/>
        </w:rPr>
        <w:t>。</w:t>
      </w:r>
    </w:p>
    <w:p w14:paraId="0FA64818">
      <w:pPr>
        <w:spacing w:line="360" w:lineRule="auto"/>
        <w:ind w:firstLine="420" w:firstLineChars="200"/>
        <w:rPr>
          <w:rFonts w:hint="eastAsia" w:hAnsi="宋体"/>
          <w:color w:val="000000"/>
          <w:kern w:val="0"/>
          <w:szCs w:val="21"/>
          <w:highlight w:val="none"/>
        </w:rPr>
      </w:pPr>
      <w:r>
        <w:rPr>
          <w:rFonts w:hint="eastAsia" w:hAnsi="宋体"/>
          <w:color w:val="000000"/>
          <w:kern w:val="0"/>
          <w:szCs w:val="21"/>
          <w:highlight w:val="none"/>
        </w:rPr>
        <w:t>上述各项合同文件包括合同当事人就该项合同文件所作出的补充和修改，属于同一类内容的文件，应以最新签署的为准（违反磋商文件</w:t>
      </w:r>
      <w:r>
        <w:rPr>
          <w:rFonts w:hAnsi="宋体"/>
          <w:color w:val="000000"/>
          <w:kern w:val="0"/>
          <w:szCs w:val="21"/>
          <w:highlight w:val="none"/>
        </w:rPr>
        <w:t>实质性内容的约定除外</w:t>
      </w:r>
      <w:r>
        <w:rPr>
          <w:rFonts w:hint="eastAsia" w:hAnsi="宋体"/>
          <w:color w:val="000000"/>
          <w:kern w:val="0"/>
          <w:szCs w:val="21"/>
          <w:highlight w:val="none"/>
        </w:rPr>
        <w:t>）。专用合同条款及其附件须经合同当事人签字或盖章。</w:t>
      </w:r>
    </w:p>
    <w:p w14:paraId="1AFADEDB">
      <w:pPr>
        <w:pStyle w:val="8"/>
        <w:spacing w:before="0" w:after="60"/>
        <w:rPr>
          <w:rFonts w:ascii="宋体" w:hAnsi="宋体"/>
          <w:color w:val="000000"/>
          <w:highlight w:val="none"/>
        </w:rPr>
      </w:pPr>
      <w:bookmarkStart w:id="339" w:name="_Toc373478344"/>
      <w:bookmarkStart w:id="340" w:name="_Toc407135199"/>
      <w:bookmarkStart w:id="341" w:name="_Toc389065263"/>
      <w:bookmarkStart w:id="342" w:name="_Toc373227697"/>
      <w:bookmarkStart w:id="343" w:name="_Toc108539776"/>
      <w:bookmarkStart w:id="344" w:name="_Toc487632696"/>
      <w:bookmarkStart w:id="345" w:name="_Toc16699"/>
      <w:r>
        <w:rPr>
          <w:rFonts w:ascii="宋体" w:hAnsi="宋体"/>
          <w:color w:val="000000"/>
          <w:highlight w:val="none"/>
        </w:rPr>
        <w:t xml:space="preserve">1.6 </w:t>
      </w:r>
      <w:r>
        <w:rPr>
          <w:rFonts w:hint="eastAsia" w:ascii="宋体" w:hAnsi="宋体"/>
          <w:color w:val="000000"/>
          <w:highlight w:val="none"/>
        </w:rPr>
        <w:t>图纸和承包人文件</w:t>
      </w:r>
      <w:bookmarkEnd w:id="339"/>
      <w:bookmarkEnd w:id="340"/>
      <w:bookmarkEnd w:id="341"/>
      <w:bookmarkEnd w:id="342"/>
      <w:bookmarkEnd w:id="343"/>
      <w:bookmarkEnd w:id="344"/>
      <w:bookmarkEnd w:id="345"/>
      <w:r>
        <w:rPr>
          <w:rFonts w:ascii="宋体" w:hAnsi="宋体"/>
          <w:color w:val="000000"/>
          <w:highlight w:val="none"/>
        </w:rPr>
        <w:tab/>
      </w:r>
    </w:p>
    <w:p w14:paraId="49812BEC">
      <w:pPr>
        <w:spacing w:line="360" w:lineRule="auto"/>
        <w:ind w:firstLine="420" w:firstLineChars="200"/>
        <w:rPr>
          <w:rFonts w:ascii="宋体" w:hAnsi="宋体"/>
          <w:color w:val="000000"/>
          <w:highlight w:val="none"/>
        </w:rPr>
      </w:pPr>
      <w:r>
        <w:rPr>
          <w:rFonts w:ascii="宋体" w:hAnsi="宋体"/>
          <w:color w:val="000000"/>
          <w:highlight w:val="none"/>
        </w:rPr>
        <w:t xml:space="preserve">1.6.1 </w:t>
      </w:r>
      <w:r>
        <w:rPr>
          <w:rFonts w:hint="eastAsia" w:ascii="宋体" w:hAnsi="宋体"/>
          <w:color w:val="000000"/>
          <w:highlight w:val="none"/>
        </w:rPr>
        <w:t>图纸的提供</w:t>
      </w:r>
    </w:p>
    <w:p w14:paraId="2ED13E3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发包人向承包人提供图纸的期限：</w:t>
      </w:r>
      <w:r>
        <w:rPr>
          <w:rFonts w:hint="eastAsia" w:ascii="宋体" w:hAnsi="宋体"/>
          <w:color w:val="000000"/>
          <w:highlight w:val="none"/>
          <w:u w:val="single"/>
        </w:rPr>
        <w:t>签订合同后5天内</w:t>
      </w:r>
      <w:r>
        <w:rPr>
          <w:rFonts w:hint="eastAsia" w:ascii="宋体" w:hAnsi="宋体"/>
          <w:color w:val="000000"/>
          <w:highlight w:val="none"/>
        </w:rPr>
        <w:t>；</w:t>
      </w:r>
    </w:p>
    <w:p w14:paraId="3AA59A4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发包人向承包人提供图纸的数量：</w:t>
      </w:r>
      <w:r>
        <w:rPr>
          <w:rFonts w:hint="eastAsia" w:ascii="宋体" w:hAnsi="宋体"/>
          <w:color w:val="000000"/>
          <w:highlight w:val="none"/>
          <w:u w:val="single"/>
        </w:rPr>
        <w:t>叁套（承包人需要增加图纸套数的，发包人应代为复制，复制费用由承包人承担）</w:t>
      </w:r>
      <w:r>
        <w:rPr>
          <w:rFonts w:hint="eastAsia" w:ascii="宋体" w:hAnsi="宋体"/>
          <w:color w:val="000000"/>
          <w:highlight w:val="none"/>
        </w:rPr>
        <w:t>；</w:t>
      </w:r>
    </w:p>
    <w:p w14:paraId="30CE4406">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发包人向承包人提供图纸的内容：</w:t>
      </w:r>
      <w:r>
        <w:rPr>
          <w:rFonts w:hint="eastAsia" w:ascii="宋体" w:hAnsi="宋体"/>
          <w:color w:val="000000"/>
          <w:highlight w:val="none"/>
          <w:u w:val="single"/>
        </w:rPr>
        <w:t>经政府部门相关机构审核合格后的施工图和设计单位提供的图纸。详见图纸目录</w:t>
      </w:r>
      <w:r>
        <w:rPr>
          <w:rFonts w:hint="eastAsia" w:ascii="宋体" w:hAnsi="宋体"/>
          <w:color w:val="000000"/>
          <w:highlight w:val="none"/>
        </w:rPr>
        <w:t>。</w:t>
      </w:r>
    </w:p>
    <w:p w14:paraId="0C201A7F">
      <w:pPr>
        <w:spacing w:line="360" w:lineRule="auto"/>
        <w:ind w:firstLine="420" w:firstLineChars="200"/>
        <w:rPr>
          <w:rFonts w:ascii="宋体" w:hAnsi="宋体"/>
          <w:color w:val="000000"/>
          <w:highlight w:val="none"/>
        </w:rPr>
      </w:pPr>
      <w:r>
        <w:rPr>
          <w:rFonts w:ascii="宋体" w:hAnsi="宋体"/>
          <w:color w:val="000000"/>
          <w:highlight w:val="none"/>
        </w:rPr>
        <w:t xml:space="preserve">1.6.4 </w:t>
      </w:r>
      <w:r>
        <w:rPr>
          <w:rFonts w:hint="eastAsia" w:ascii="宋体" w:hAnsi="宋体"/>
          <w:color w:val="000000"/>
          <w:highlight w:val="none"/>
        </w:rPr>
        <w:t>承包人文件</w:t>
      </w:r>
    </w:p>
    <w:p w14:paraId="0D03B07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需要由承包人提供的文件，包括</w:t>
      </w:r>
      <w:r>
        <w:rPr>
          <w:rFonts w:hint="eastAsia" w:ascii="宋体" w:hAnsi="宋体"/>
          <w:color w:val="000000"/>
          <w:highlight w:val="none"/>
          <w:u w:val="single"/>
        </w:rPr>
        <w:t>：开工报告、专项施工方案、进度计划、其他应交的管理、技术文件及办理施工许可必备的资料，施工组织设计、人材机计划等</w:t>
      </w:r>
      <w:r>
        <w:rPr>
          <w:rFonts w:hint="eastAsia" w:ascii="宋体" w:hAnsi="宋体"/>
          <w:color w:val="000000"/>
          <w:highlight w:val="none"/>
        </w:rPr>
        <w:t>；</w:t>
      </w:r>
    </w:p>
    <w:p w14:paraId="1DC0D140">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承包人提供的文件的期限为：</w:t>
      </w:r>
      <w:r>
        <w:rPr>
          <w:rFonts w:hint="eastAsia" w:ascii="宋体" w:hAnsi="宋体"/>
          <w:color w:val="000000"/>
          <w:highlight w:val="none"/>
          <w:u w:val="single"/>
        </w:rPr>
        <w:t>文件实施前3天</w:t>
      </w:r>
      <w:r>
        <w:rPr>
          <w:rFonts w:hint="eastAsia" w:ascii="宋体" w:hAnsi="宋体"/>
          <w:color w:val="000000"/>
          <w:highlight w:val="none"/>
        </w:rPr>
        <w:t>；</w:t>
      </w:r>
    </w:p>
    <w:p w14:paraId="55DD2F50">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承包人提供的文件的数量为：</w:t>
      </w:r>
      <w:r>
        <w:rPr>
          <w:rFonts w:hint="eastAsia" w:ascii="宋体" w:hAnsi="宋体"/>
          <w:color w:val="000000"/>
          <w:highlight w:val="none"/>
          <w:u w:val="single"/>
        </w:rPr>
        <w:t>按发包人要求提供</w:t>
      </w:r>
      <w:r>
        <w:rPr>
          <w:rFonts w:hint="eastAsia" w:ascii="宋体" w:hAnsi="宋体"/>
          <w:color w:val="000000"/>
          <w:highlight w:val="none"/>
        </w:rPr>
        <w:t>；</w:t>
      </w:r>
    </w:p>
    <w:p w14:paraId="39BE8285">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承包人提供的文件的形式为：</w:t>
      </w:r>
      <w:r>
        <w:rPr>
          <w:rFonts w:hint="eastAsia" w:ascii="宋体" w:hAnsi="宋体"/>
          <w:color w:val="000000"/>
          <w:highlight w:val="none"/>
          <w:u w:val="single"/>
        </w:rPr>
        <w:t>加盖单位公章的纸质文件</w:t>
      </w:r>
      <w:r>
        <w:rPr>
          <w:rFonts w:hint="eastAsia" w:ascii="宋体" w:hAnsi="宋体"/>
          <w:color w:val="000000"/>
          <w:highlight w:val="none"/>
        </w:rPr>
        <w:t>；</w:t>
      </w:r>
    </w:p>
    <w:p w14:paraId="63017353">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发包人审批承包人文件的期限：</w:t>
      </w:r>
      <w:r>
        <w:rPr>
          <w:rFonts w:hint="eastAsia" w:ascii="宋体" w:hAnsi="宋体"/>
          <w:color w:val="000000"/>
          <w:highlight w:val="none"/>
          <w:u w:val="single"/>
        </w:rPr>
        <w:t>收到文件后7天内</w:t>
      </w:r>
      <w:r>
        <w:rPr>
          <w:rFonts w:hint="eastAsia" w:ascii="宋体" w:hAnsi="宋体"/>
          <w:color w:val="000000"/>
          <w:highlight w:val="none"/>
        </w:rPr>
        <w:t>。</w:t>
      </w:r>
    </w:p>
    <w:p w14:paraId="53857B76">
      <w:pPr>
        <w:spacing w:line="360" w:lineRule="auto"/>
        <w:ind w:firstLine="420" w:firstLineChars="200"/>
        <w:rPr>
          <w:rFonts w:ascii="宋体" w:hAnsi="宋体"/>
          <w:color w:val="000000"/>
          <w:highlight w:val="none"/>
        </w:rPr>
      </w:pPr>
      <w:r>
        <w:rPr>
          <w:rFonts w:ascii="宋体" w:hAnsi="宋体"/>
          <w:color w:val="000000"/>
          <w:highlight w:val="none"/>
        </w:rPr>
        <w:t xml:space="preserve">1.6.5 </w:t>
      </w:r>
      <w:r>
        <w:rPr>
          <w:rFonts w:hint="eastAsia" w:ascii="宋体" w:hAnsi="宋体"/>
          <w:color w:val="000000"/>
          <w:highlight w:val="none"/>
        </w:rPr>
        <w:t>现场图纸准备</w:t>
      </w:r>
    </w:p>
    <w:p w14:paraId="2A8161C1">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关于现场图纸准备的约定：</w:t>
      </w:r>
      <w:r>
        <w:rPr>
          <w:rFonts w:hint="eastAsia" w:ascii="宋体" w:hAnsi="宋体"/>
          <w:color w:val="000000"/>
          <w:highlight w:val="none"/>
          <w:u w:val="single"/>
        </w:rPr>
        <w:t>按通用合同条款执行</w:t>
      </w:r>
      <w:r>
        <w:rPr>
          <w:rFonts w:hint="eastAsia" w:ascii="宋体" w:hAnsi="宋体"/>
          <w:color w:val="000000"/>
          <w:highlight w:val="none"/>
        </w:rPr>
        <w:t>。</w:t>
      </w:r>
    </w:p>
    <w:p w14:paraId="57DBD1AD">
      <w:pPr>
        <w:pStyle w:val="8"/>
        <w:spacing w:before="0" w:after="60"/>
        <w:rPr>
          <w:rFonts w:ascii="宋体" w:hAnsi="宋体"/>
          <w:color w:val="000000"/>
          <w:highlight w:val="none"/>
        </w:rPr>
      </w:pPr>
      <w:bookmarkStart w:id="346" w:name="_Toc29511"/>
      <w:bookmarkStart w:id="347" w:name="_Toc108539777"/>
      <w:r>
        <w:rPr>
          <w:rFonts w:ascii="宋体" w:hAnsi="宋体"/>
          <w:color w:val="000000"/>
          <w:highlight w:val="none"/>
        </w:rPr>
        <w:t xml:space="preserve">1.7 </w:t>
      </w:r>
      <w:r>
        <w:rPr>
          <w:rFonts w:hint="eastAsia" w:ascii="宋体" w:hAnsi="宋体"/>
          <w:color w:val="000000"/>
          <w:highlight w:val="none"/>
        </w:rPr>
        <w:t>联络</w:t>
      </w:r>
      <w:bookmarkEnd w:id="346"/>
      <w:bookmarkEnd w:id="347"/>
    </w:p>
    <w:p w14:paraId="6EE91506">
      <w:pPr>
        <w:spacing w:line="360" w:lineRule="auto"/>
        <w:ind w:firstLine="420" w:firstLineChars="200"/>
        <w:rPr>
          <w:rFonts w:ascii="宋体" w:hAnsi="宋体"/>
          <w:color w:val="000000"/>
          <w:kern w:val="0"/>
          <w:highlight w:val="none"/>
        </w:rPr>
      </w:pPr>
      <w:r>
        <w:rPr>
          <w:rFonts w:ascii="宋体" w:hAnsi="宋体"/>
          <w:color w:val="000000"/>
          <w:kern w:val="0"/>
          <w:highlight w:val="none"/>
        </w:rPr>
        <w:t>1.7.1</w:t>
      </w:r>
      <w:r>
        <w:rPr>
          <w:rFonts w:hint="eastAsia" w:ascii="宋体" w:hAnsi="宋体"/>
          <w:color w:val="000000"/>
          <w:kern w:val="0"/>
          <w:highlight w:val="none"/>
        </w:rPr>
        <w:t>发包人和承包人应当在</w:t>
      </w:r>
      <w:r>
        <w:rPr>
          <w:rFonts w:hint="eastAsia" w:ascii="宋体" w:hAnsi="宋体"/>
          <w:color w:val="000000"/>
          <w:highlight w:val="none"/>
          <w:u w:val="single"/>
        </w:rPr>
        <w:t>3</w:t>
      </w:r>
      <w:r>
        <w:rPr>
          <w:rFonts w:hint="eastAsia" w:ascii="宋体" w:hAnsi="宋体"/>
          <w:color w:val="000000"/>
          <w:kern w:val="0"/>
          <w:highlight w:val="none"/>
        </w:rPr>
        <w:t>天内将与合同有关的通知、批准、证明、证书、指示、指令、要求、请求、同意、意见、确定和决定等书面函件送达对方当事人。</w:t>
      </w:r>
    </w:p>
    <w:p w14:paraId="6EA9DE85">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1.7.2 </w:t>
      </w:r>
      <w:r>
        <w:rPr>
          <w:rFonts w:hint="eastAsia" w:ascii="宋体" w:hAnsi="宋体"/>
          <w:color w:val="000000"/>
          <w:kern w:val="0"/>
          <w:highlight w:val="none"/>
        </w:rPr>
        <w:t>发包人接收文件的地点：</w:t>
      </w:r>
      <w:r>
        <w:rPr>
          <w:rFonts w:hint="eastAsia" w:ascii="宋体" w:hAnsi="宋体"/>
          <w:color w:val="000000"/>
          <w:highlight w:val="none"/>
          <w:u w:val="single"/>
        </w:rPr>
        <w:t>发包人办公室</w:t>
      </w:r>
      <w:r>
        <w:rPr>
          <w:rFonts w:hint="eastAsia" w:ascii="宋体" w:hAnsi="宋体"/>
          <w:color w:val="000000"/>
          <w:kern w:val="0"/>
          <w:highlight w:val="none"/>
        </w:rPr>
        <w:t>；</w:t>
      </w:r>
    </w:p>
    <w:p w14:paraId="69B8B38A">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发包人指定的接收人为：</w:t>
      </w:r>
      <w:r>
        <w:rPr>
          <w:rFonts w:hint="eastAsia" w:ascii="宋体" w:hAnsi="宋体"/>
          <w:color w:val="000000"/>
          <w:highlight w:val="none"/>
          <w:u w:val="single"/>
        </w:rPr>
        <w:t>工地代表（可委托）</w:t>
      </w:r>
      <w:r>
        <w:rPr>
          <w:rFonts w:hint="eastAsia" w:ascii="宋体" w:hAnsi="宋体"/>
          <w:color w:val="000000"/>
          <w:kern w:val="0"/>
          <w:highlight w:val="none"/>
        </w:rPr>
        <w:t>。</w:t>
      </w:r>
    </w:p>
    <w:p w14:paraId="330CCD35">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承包人接收文件的地点：</w:t>
      </w:r>
      <w:r>
        <w:rPr>
          <w:rFonts w:hint="eastAsia" w:ascii="宋体" w:hAnsi="宋体"/>
          <w:color w:val="000000"/>
          <w:highlight w:val="none"/>
          <w:u w:val="single"/>
        </w:rPr>
        <w:t>承包人项目部办公室</w:t>
      </w:r>
      <w:r>
        <w:rPr>
          <w:rFonts w:hint="eastAsia" w:ascii="宋体" w:hAnsi="宋体"/>
          <w:color w:val="000000"/>
          <w:kern w:val="0"/>
          <w:highlight w:val="none"/>
        </w:rPr>
        <w:t>；</w:t>
      </w:r>
    </w:p>
    <w:p w14:paraId="55E18DB0">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承包人指定的接收人为：</w:t>
      </w:r>
      <w:r>
        <w:rPr>
          <w:rFonts w:hint="eastAsia" w:ascii="宋体" w:hAnsi="宋体"/>
          <w:color w:val="000000"/>
          <w:highlight w:val="none"/>
          <w:u w:val="single"/>
        </w:rPr>
        <w:t>项目经理</w:t>
      </w:r>
      <w:r>
        <w:rPr>
          <w:rFonts w:hint="eastAsia" w:ascii="宋体" w:hAnsi="宋体"/>
          <w:color w:val="000000"/>
          <w:kern w:val="0"/>
          <w:highlight w:val="none"/>
        </w:rPr>
        <w:t>。</w:t>
      </w:r>
    </w:p>
    <w:p w14:paraId="3689EA5B">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监理人接收文件的地点：</w:t>
      </w:r>
      <w:r>
        <w:rPr>
          <w:rFonts w:hint="eastAsia" w:ascii="宋体" w:hAnsi="宋体"/>
          <w:color w:val="000000"/>
          <w:highlight w:val="none"/>
          <w:u w:val="single"/>
        </w:rPr>
        <w:t>项目监理部</w:t>
      </w:r>
      <w:r>
        <w:rPr>
          <w:rFonts w:hint="eastAsia" w:ascii="宋体" w:hAnsi="宋体"/>
          <w:color w:val="000000"/>
          <w:kern w:val="0"/>
          <w:highlight w:val="none"/>
        </w:rPr>
        <w:t>；</w:t>
      </w:r>
    </w:p>
    <w:p w14:paraId="401F142D">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监理人指定的接收人为：</w:t>
      </w:r>
      <w:r>
        <w:rPr>
          <w:rFonts w:hint="eastAsia" w:ascii="宋体" w:hAnsi="宋体"/>
          <w:color w:val="000000"/>
          <w:highlight w:val="none"/>
          <w:u w:val="single"/>
        </w:rPr>
        <w:t>总监理工程师（可委托）</w:t>
      </w:r>
      <w:r>
        <w:rPr>
          <w:rFonts w:hint="eastAsia" w:ascii="宋体" w:hAnsi="宋体"/>
          <w:color w:val="000000"/>
          <w:kern w:val="0"/>
          <w:highlight w:val="none"/>
        </w:rPr>
        <w:t>。</w:t>
      </w:r>
    </w:p>
    <w:p w14:paraId="1912139D">
      <w:pPr>
        <w:pStyle w:val="8"/>
        <w:spacing w:before="0" w:after="60"/>
        <w:rPr>
          <w:rFonts w:ascii="宋体" w:hAnsi="宋体"/>
          <w:color w:val="000000"/>
          <w:highlight w:val="none"/>
        </w:rPr>
      </w:pPr>
      <w:bookmarkStart w:id="348" w:name="_Toc3336"/>
      <w:bookmarkStart w:id="349" w:name="_Toc108539778"/>
      <w:r>
        <w:rPr>
          <w:rFonts w:ascii="宋体" w:hAnsi="宋体"/>
          <w:color w:val="000000"/>
          <w:highlight w:val="none"/>
        </w:rPr>
        <w:t xml:space="preserve">1.10 </w:t>
      </w:r>
      <w:r>
        <w:rPr>
          <w:rFonts w:hint="eastAsia" w:ascii="宋体" w:hAnsi="宋体"/>
          <w:color w:val="000000"/>
          <w:highlight w:val="none"/>
        </w:rPr>
        <w:t>交通运输</w:t>
      </w:r>
      <w:bookmarkEnd w:id="348"/>
      <w:bookmarkEnd w:id="349"/>
    </w:p>
    <w:p w14:paraId="6678B3DC">
      <w:pPr>
        <w:spacing w:line="360" w:lineRule="auto"/>
        <w:ind w:firstLine="420" w:firstLineChars="200"/>
        <w:rPr>
          <w:rFonts w:ascii="宋体" w:hAnsi="宋体"/>
          <w:color w:val="000000"/>
          <w:highlight w:val="none"/>
        </w:rPr>
      </w:pPr>
      <w:r>
        <w:rPr>
          <w:rFonts w:ascii="宋体" w:hAnsi="宋体"/>
          <w:color w:val="000000"/>
          <w:highlight w:val="none"/>
        </w:rPr>
        <w:t xml:space="preserve">1.10.1 </w:t>
      </w:r>
      <w:r>
        <w:rPr>
          <w:rFonts w:hint="eastAsia" w:ascii="宋体" w:hAnsi="宋体"/>
          <w:color w:val="000000"/>
          <w:highlight w:val="none"/>
        </w:rPr>
        <w:t>出入现场的权利</w:t>
      </w:r>
    </w:p>
    <w:p w14:paraId="3321E4AA">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关于出入现场的权利的约定：</w:t>
      </w:r>
      <w:r>
        <w:rPr>
          <w:rFonts w:hint="eastAsia" w:ascii="宋体" w:hAnsi="宋体"/>
          <w:color w:val="000000"/>
          <w:highlight w:val="none"/>
          <w:u w:val="single"/>
        </w:rPr>
        <w:t>按现有出入现场的道路现状交付承包人，由承包人自行解决取得出入现场的道路通行的权利，发包人应协助办理有关手续</w:t>
      </w:r>
      <w:r>
        <w:rPr>
          <w:rFonts w:hint="eastAsia" w:ascii="宋体" w:hAnsi="宋体"/>
          <w:color w:val="000000"/>
          <w:highlight w:val="none"/>
        </w:rPr>
        <w:t>。</w:t>
      </w:r>
    </w:p>
    <w:p w14:paraId="5595D84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1.10.3 </w:t>
      </w:r>
      <w:r>
        <w:rPr>
          <w:rFonts w:hint="eastAsia" w:ascii="宋体" w:hAnsi="宋体"/>
          <w:color w:val="000000"/>
          <w:highlight w:val="none"/>
        </w:rPr>
        <w:t>场内交通</w:t>
      </w:r>
    </w:p>
    <w:p w14:paraId="0CBA10A2">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关于场外交通和场内交通的边界的约定：</w:t>
      </w:r>
      <w:r>
        <w:rPr>
          <w:rFonts w:hint="eastAsia" w:ascii="宋体" w:hAnsi="宋体"/>
          <w:color w:val="000000"/>
          <w:highlight w:val="none"/>
          <w:u w:val="single"/>
        </w:rPr>
        <w:t>由承包方按照规划红线进行封闭围挡，施工现场封闭围挡范围以内为场内交通；范围以外为场外交通</w:t>
      </w:r>
      <w:r>
        <w:rPr>
          <w:rFonts w:hint="eastAsia" w:ascii="宋体" w:hAnsi="宋体"/>
          <w:color w:val="000000"/>
          <w:highlight w:val="none"/>
        </w:rPr>
        <w:t>。</w:t>
      </w:r>
    </w:p>
    <w:p w14:paraId="18CF0D68">
      <w:pPr>
        <w:spacing w:line="360" w:lineRule="auto"/>
        <w:ind w:firstLine="420" w:firstLineChars="200"/>
        <w:jc w:val="left"/>
        <w:rPr>
          <w:rFonts w:ascii="宋体" w:hAnsi="宋体"/>
          <w:color w:val="000000"/>
          <w:highlight w:val="none"/>
        </w:rPr>
      </w:pPr>
      <w:r>
        <w:rPr>
          <w:rFonts w:ascii="宋体" w:hAnsi="宋体"/>
          <w:color w:val="000000"/>
          <w:highlight w:val="none"/>
        </w:rPr>
        <w:t>关于发包人向承包人免费提供满足工程施工需要的场内道路和交通设施的约定：</w:t>
      </w:r>
      <w:r>
        <w:rPr>
          <w:rFonts w:hint="eastAsia" w:ascii="宋体" w:hAnsi="宋体"/>
          <w:color w:val="000000"/>
          <w:highlight w:val="none"/>
          <w:u w:val="single"/>
        </w:rPr>
        <w:t>发包人按照施工现场现状提供施工需要的场内道路和交通设施，承包人负责修建、维修、养护和管理施工所需的其他场内临时道路和交通设施，并承担相应的费用</w:t>
      </w:r>
      <w:r>
        <w:rPr>
          <w:rFonts w:ascii="宋体" w:hAnsi="宋体"/>
          <w:color w:val="000000"/>
          <w:highlight w:val="none"/>
        </w:rPr>
        <w:t>。</w:t>
      </w:r>
    </w:p>
    <w:p w14:paraId="29D3314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1.10.4 </w:t>
      </w:r>
      <w:r>
        <w:rPr>
          <w:rFonts w:hint="eastAsia" w:ascii="宋体" w:hAnsi="宋体"/>
          <w:color w:val="000000"/>
          <w:highlight w:val="none"/>
        </w:rPr>
        <w:t>超大件和超重件的运输</w:t>
      </w:r>
    </w:p>
    <w:p w14:paraId="0CE4584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运输超大件或超重件所需的道路和桥梁临时加固改造费用和其他有关费用由</w:t>
      </w:r>
      <w:r>
        <w:rPr>
          <w:rFonts w:hint="eastAsia" w:ascii="宋体" w:hAnsi="宋体"/>
          <w:color w:val="000000"/>
          <w:highlight w:val="none"/>
          <w:u w:val="single"/>
        </w:rPr>
        <w:t>承包方</w:t>
      </w:r>
      <w:r>
        <w:rPr>
          <w:rFonts w:hint="eastAsia" w:ascii="宋体" w:hAnsi="宋体"/>
          <w:color w:val="000000"/>
          <w:highlight w:val="none"/>
        </w:rPr>
        <w:t>承担。</w:t>
      </w:r>
    </w:p>
    <w:p w14:paraId="22CCDFD0">
      <w:pPr>
        <w:pStyle w:val="8"/>
        <w:spacing w:before="0" w:after="60"/>
        <w:rPr>
          <w:rFonts w:ascii="宋体" w:hAnsi="宋体"/>
          <w:color w:val="000000"/>
          <w:highlight w:val="none"/>
        </w:rPr>
      </w:pPr>
      <w:bookmarkStart w:id="350" w:name="_Toc407135202"/>
      <w:bookmarkStart w:id="351" w:name="_Toc373478347"/>
      <w:bookmarkStart w:id="352" w:name="_Toc373227700"/>
      <w:bookmarkStart w:id="353" w:name="_Toc108539779"/>
      <w:bookmarkStart w:id="354" w:name="_Toc389065266"/>
      <w:bookmarkStart w:id="355" w:name="_Toc487632699"/>
      <w:bookmarkStart w:id="356" w:name="_Toc26441"/>
      <w:r>
        <w:rPr>
          <w:rFonts w:ascii="宋体" w:hAnsi="宋体"/>
          <w:color w:val="000000"/>
          <w:highlight w:val="none"/>
        </w:rPr>
        <w:t xml:space="preserve">1.11 </w:t>
      </w:r>
      <w:r>
        <w:rPr>
          <w:rFonts w:hint="eastAsia" w:ascii="宋体" w:hAnsi="宋体"/>
          <w:color w:val="000000"/>
          <w:highlight w:val="none"/>
        </w:rPr>
        <w:t>知识产权</w:t>
      </w:r>
      <w:bookmarkEnd w:id="350"/>
      <w:bookmarkEnd w:id="351"/>
      <w:bookmarkEnd w:id="352"/>
      <w:bookmarkEnd w:id="353"/>
      <w:bookmarkEnd w:id="354"/>
      <w:bookmarkEnd w:id="355"/>
      <w:bookmarkEnd w:id="356"/>
    </w:p>
    <w:p w14:paraId="06899F28">
      <w:pPr>
        <w:spacing w:line="360" w:lineRule="auto"/>
        <w:ind w:firstLine="420" w:firstLineChars="200"/>
        <w:rPr>
          <w:rFonts w:ascii="宋体" w:hAnsi="宋体"/>
          <w:color w:val="000000"/>
          <w:highlight w:val="none"/>
        </w:rPr>
      </w:pPr>
      <w:r>
        <w:rPr>
          <w:rFonts w:ascii="宋体" w:hAnsi="宋体"/>
          <w:color w:val="000000"/>
          <w:highlight w:val="none"/>
        </w:rPr>
        <w:t xml:space="preserve">1.11.1 </w:t>
      </w:r>
      <w:r>
        <w:rPr>
          <w:rFonts w:hint="eastAsia" w:ascii="宋体" w:hAnsi="宋体"/>
          <w:color w:val="000000"/>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000000"/>
          <w:highlight w:val="none"/>
          <w:u w:val="single"/>
        </w:rPr>
        <w:t>归发包人</w:t>
      </w:r>
      <w:r>
        <w:rPr>
          <w:rFonts w:hint="eastAsia" w:ascii="宋体" w:hAnsi="宋体"/>
          <w:color w:val="000000"/>
          <w:highlight w:val="none"/>
        </w:rPr>
        <w:t>。</w:t>
      </w:r>
    </w:p>
    <w:p w14:paraId="1AF3999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关于发包人提供的上述文件的使用限制的要求：</w:t>
      </w:r>
      <w:r>
        <w:rPr>
          <w:rFonts w:hint="eastAsia" w:ascii="宋体" w:hAnsi="宋体"/>
          <w:color w:val="000000"/>
          <w:highlight w:val="none"/>
          <w:u w:val="single"/>
        </w:rPr>
        <w:t>未经发包人书面同意，承包人不得为了合同以外的目的而复制、使用上述文件或将之提供给任何第三方</w:t>
      </w:r>
      <w:r>
        <w:rPr>
          <w:rFonts w:hint="eastAsia" w:ascii="宋体" w:hAnsi="宋体"/>
          <w:color w:val="000000"/>
          <w:highlight w:val="none"/>
        </w:rPr>
        <w:t>。</w:t>
      </w:r>
    </w:p>
    <w:p w14:paraId="5D215B3E">
      <w:pPr>
        <w:spacing w:line="360" w:lineRule="auto"/>
        <w:ind w:firstLine="420" w:firstLineChars="200"/>
        <w:rPr>
          <w:rFonts w:ascii="宋体" w:hAnsi="宋体"/>
          <w:color w:val="000000"/>
          <w:highlight w:val="none"/>
        </w:rPr>
      </w:pPr>
      <w:r>
        <w:rPr>
          <w:rFonts w:ascii="宋体" w:hAnsi="宋体"/>
          <w:color w:val="000000"/>
          <w:highlight w:val="none"/>
        </w:rPr>
        <w:t xml:space="preserve">1.11.2 </w:t>
      </w:r>
      <w:r>
        <w:rPr>
          <w:rFonts w:hint="eastAsia" w:ascii="宋体" w:hAnsi="宋体"/>
          <w:color w:val="000000"/>
          <w:highlight w:val="none"/>
        </w:rPr>
        <w:t>关于承包人为实施工程所编制文件的著作权的归属：</w:t>
      </w:r>
      <w:r>
        <w:rPr>
          <w:rFonts w:hint="eastAsia" w:ascii="宋体" w:hAnsi="宋体"/>
          <w:color w:val="000000"/>
          <w:highlight w:val="none"/>
          <w:u w:val="single"/>
        </w:rPr>
        <w:t>按通用合同条款执行</w:t>
      </w:r>
      <w:r>
        <w:rPr>
          <w:rFonts w:hint="eastAsia" w:ascii="宋体" w:hAnsi="宋体"/>
          <w:color w:val="000000"/>
          <w:highlight w:val="none"/>
        </w:rPr>
        <w:t>。</w:t>
      </w:r>
    </w:p>
    <w:p w14:paraId="1AF545FB">
      <w:pPr>
        <w:spacing w:line="360" w:lineRule="auto"/>
        <w:ind w:firstLine="420" w:firstLineChars="200"/>
        <w:rPr>
          <w:rFonts w:ascii="宋体" w:hAnsi="宋体"/>
          <w:color w:val="000000"/>
          <w:highlight w:val="none"/>
        </w:rPr>
      </w:pPr>
      <w:r>
        <w:rPr>
          <w:rFonts w:ascii="宋体" w:hAnsi="宋体"/>
          <w:color w:val="000000"/>
          <w:highlight w:val="none"/>
        </w:rPr>
        <w:t>1.11.</w:t>
      </w:r>
      <w:r>
        <w:rPr>
          <w:rFonts w:hint="eastAsia" w:ascii="宋体" w:hAnsi="宋体"/>
          <w:color w:val="000000"/>
          <w:highlight w:val="none"/>
        </w:rPr>
        <w:t>3关于承包人提供的上述文件的使用限制的要求：</w:t>
      </w:r>
      <w:r>
        <w:rPr>
          <w:rFonts w:hint="eastAsia" w:ascii="宋体" w:hAnsi="宋体"/>
          <w:color w:val="000000"/>
          <w:highlight w:val="none"/>
          <w:u w:val="single"/>
        </w:rPr>
        <w:t>未经发包人书面同意，承包人不得为了合同以外的目的而复制、使用上述文件或将之提供给任何第三方</w:t>
      </w:r>
      <w:r>
        <w:rPr>
          <w:rFonts w:hint="eastAsia" w:ascii="宋体" w:hAnsi="宋体"/>
          <w:color w:val="000000"/>
          <w:highlight w:val="none"/>
        </w:rPr>
        <w:t>。</w:t>
      </w:r>
    </w:p>
    <w:p w14:paraId="0F04E62B">
      <w:pPr>
        <w:spacing w:line="360" w:lineRule="auto"/>
        <w:ind w:firstLine="420" w:firstLineChars="200"/>
        <w:rPr>
          <w:rFonts w:ascii="宋体" w:hAnsi="宋体"/>
          <w:color w:val="000000"/>
          <w:highlight w:val="none"/>
        </w:rPr>
      </w:pPr>
      <w:r>
        <w:rPr>
          <w:rFonts w:ascii="宋体" w:hAnsi="宋体"/>
          <w:color w:val="000000"/>
          <w:highlight w:val="none"/>
        </w:rPr>
        <w:t xml:space="preserve">1.11.4 </w:t>
      </w:r>
      <w:r>
        <w:rPr>
          <w:rFonts w:hint="eastAsia" w:ascii="宋体" w:hAnsi="宋体"/>
          <w:color w:val="000000"/>
          <w:highlight w:val="none"/>
        </w:rPr>
        <w:t>承包人在施工过程中所采用的专利、专有技术、技术秘密的使用费的承担方式：</w:t>
      </w:r>
    </w:p>
    <w:p w14:paraId="37FFB1F0">
      <w:pPr>
        <w:spacing w:line="360" w:lineRule="auto"/>
        <w:rPr>
          <w:rFonts w:hint="eastAsia" w:ascii="宋体" w:hAnsi="宋体"/>
          <w:color w:val="000000"/>
          <w:highlight w:val="none"/>
          <w:u w:val="single"/>
        </w:rPr>
      </w:pPr>
      <w:r>
        <w:rPr>
          <w:rFonts w:hint="eastAsia" w:ascii="宋体" w:hAnsi="宋体"/>
          <w:color w:val="000000"/>
          <w:highlight w:val="none"/>
          <w:u w:val="single"/>
        </w:rPr>
        <w:t>按通用合同条款执行</w:t>
      </w:r>
      <w:r>
        <w:rPr>
          <w:rFonts w:hint="eastAsia" w:ascii="宋体" w:hAnsi="宋体"/>
          <w:color w:val="000000"/>
          <w:kern w:val="0"/>
          <w:highlight w:val="none"/>
        </w:rPr>
        <w:t>。</w:t>
      </w:r>
    </w:p>
    <w:p w14:paraId="7902D85E">
      <w:pPr>
        <w:pStyle w:val="8"/>
        <w:spacing w:before="0" w:after="60"/>
        <w:rPr>
          <w:rFonts w:ascii="宋体" w:hAnsi="宋体"/>
          <w:color w:val="000000"/>
          <w:highlight w:val="none"/>
        </w:rPr>
      </w:pPr>
      <w:bookmarkStart w:id="357" w:name="_Toc487632700"/>
      <w:bookmarkStart w:id="358" w:name="_Toc407135203"/>
      <w:bookmarkStart w:id="359" w:name="_Toc373227701"/>
      <w:bookmarkStart w:id="360" w:name="_Toc108539780"/>
      <w:bookmarkStart w:id="361" w:name="_Toc31850"/>
      <w:bookmarkStart w:id="362" w:name="_Toc389065267"/>
      <w:bookmarkStart w:id="363" w:name="_Toc373478348"/>
      <w:r>
        <w:rPr>
          <w:rFonts w:ascii="宋体" w:hAnsi="宋体"/>
          <w:color w:val="000000"/>
          <w:highlight w:val="none"/>
        </w:rPr>
        <w:t>1.13</w:t>
      </w:r>
      <w:r>
        <w:rPr>
          <w:rFonts w:hint="eastAsia" w:ascii="宋体" w:hAnsi="宋体"/>
          <w:color w:val="000000"/>
          <w:highlight w:val="none"/>
        </w:rPr>
        <w:t>工程量清单错误的修正</w:t>
      </w:r>
      <w:bookmarkEnd w:id="357"/>
      <w:bookmarkEnd w:id="358"/>
      <w:bookmarkEnd w:id="359"/>
      <w:bookmarkEnd w:id="360"/>
      <w:bookmarkEnd w:id="361"/>
      <w:bookmarkEnd w:id="362"/>
      <w:bookmarkEnd w:id="363"/>
    </w:p>
    <w:p w14:paraId="60EF50F7">
      <w:pPr>
        <w:spacing w:line="360" w:lineRule="auto"/>
        <w:ind w:firstLine="420" w:firstLineChars="200"/>
        <w:rPr>
          <w:rFonts w:hint="eastAsia" w:ascii="宋体" w:hAnsi="宋体"/>
          <w:color w:val="000000"/>
          <w:highlight w:val="none"/>
        </w:rPr>
      </w:pPr>
      <w:r>
        <w:rPr>
          <w:rFonts w:hint="eastAsia" w:ascii="宋体" w:hAnsi="宋体"/>
          <w:color w:val="000000"/>
          <w:highlight w:val="none"/>
        </w:rPr>
        <w:t>出现工程量清单工程量偏差时，是否调整合同价格：</w:t>
      </w:r>
      <w:r>
        <w:rPr>
          <w:rFonts w:hint="eastAsia" w:ascii="宋体" w:hAnsi="宋体"/>
          <w:color w:val="000000"/>
          <w:highlight w:val="none"/>
          <w:u w:val="single"/>
        </w:rPr>
        <w:t>是</w:t>
      </w:r>
      <w:r>
        <w:rPr>
          <w:rFonts w:hint="eastAsia" w:ascii="宋体" w:hAnsi="宋体"/>
          <w:color w:val="000000"/>
          <w:kern w:val="0"/>
          <w:highlight w:val="none"/>
        </w:rPr>
        <w:t>。</w:t>
      </w:r>
    </w:p>
    <w:p w14:paraId="1FCB819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允许调整合同价格的工程量偏差范围及其调整办法：</w:t>
      </w:r>
      <w:r>
        <w:rPr>
          <w:rFonts w:hint="eastAsia" w:ascii="宋体" w:hAnsi="宋体"/>
          <w:color w:val="000000"/>
          <w:highlight w:val="none"/>
          <w:u w:val="single"/>
        </w:rPr>
        <w:t>按10.4.1 变更估价原则</w:t>
      </w:r>
      <w:r>
        <w:rPr>
          <w:rFonts w:hint="eastAsia" w:ascii="宋体" w:hAnsi="宋体"/>
          <w:color w:val="000000"/>
          <w:kern w:val="0"/>
          <w:highlight w:val="none"/>
        </w:rPr>
        <w:t>。</w:t>
      </w:r>
    </w:p>
    <w:p w14:paraId="5B974664">
      <w:pPr>
        <w:pStyle w:val="7"/>
        <w:rPr>
          <w:rFonts w:ascii="宋体" w:hAnsi="宋体" w:eastAsia="宋体"/>
          <w:color w:val="000000"/>
          <w:highlight w:val="none"/>
        </w:rPr>
      </w:pPr>
      <w:bookmarkStart w:id="364" w:name="_Toc487632701"/>
      <w:bookmarkStart w:id="365" w:name="_Toc351203634"/>
      <w:bookmarkStart w:id="366" w:name="_Toc16905"/>
      <w:bookmarkStart w:id="367" w:name="_Toc407135204"/>
      <w:bookmarkStart w:id="368" w:name="_Toc389065268"/>
      <w:bookmarkStart w:id="369" w:name="_Toc108539781"/>
      <w:bookmarkStart w:id="370" w:name="_Toc373478349"/>
      <w:bookmarkStart w:id="371" w:name="_Toc373227702"/>
      <w:r>
        <w:rPr>
          <w:rFonts w:ascii="宋体" w:hAnsi="宋体" w:eastAsia="宋体"/>
          <w:color w:val="000000"/>
          <w:highlight w:val="none"/>
        </w:rPr>
        <w:t xml:space="preserve">2. </w:t>
      </w:r>
      <w:r>
        <w:rPr>
          <w:rFonts w:hint="eastAsia" w:ascii="宋体" w:hAnsi="宋体" w:eastAsia="宋体"/>
          <w:color w:val="000000"/>
          <w:highlight w:val="none"/>
        </w:rPr>
        <w:t>发包人</w:t>
      </w:r>
      <w:bookmarkEnd w:id="364"/>
      <w:bookmarkEnd w:id="365"/>
      <w:bookmarkEnd w:id="366"/>
      <w:bookmarkEnd w:id="367"/>
      <w:bookmarkEnd w:id="368"/>
      <w:bookmarkEnd w:id="369"/>
      <w:bookmarkEnd w:id="370"/>
      <w:bookmarkEnd w:id="371"/>
    </w:p>
    <w:p w14:paraId="6BB49DC7">
      <w:pPr>
        <w:pStyle w:val="8"/>
        <w:spacing w:before="0" w:after="60"/>
        <w:rPr>
          <w:rFonts w:ascii="宋体" w:hAnsi="宋体"/>
          <w:color w:val="000000"/>
          <w:highlight w:val="none"/>
        </w:rPr>
      </w:pPr>
      <w:bookmarkStart w:id="372" w:name="_Toc108539782"/>
      <w:bookmarkStart w:id="373" w:name="_Toc20502"/>
      <w:bookmarkStart w:id="374" w:name="_Toc373478350"/>
      <w:bookmarkStart w:id="375" w:name="_Toc487632702"/>
      <w:bookmarkStart w:id="376" w:name="_Toc373227703"/>
      <w:bookmarkStart w:id="377" w:name="_Toc407135205"/>
      <w:bookmarkStart w:id="378" w:name="_Toc389065269"/>
      <w:r>
        <w:rPr>
          <w:rFonts w:ascii="宋体" w:hAnsi="宋体"/>
          <w:color w:val="000000"/>
          <w:highlight w:val="none"/>
        </w:rPr>
        <w:t xml:space="preserve">2.2 </w:t>
      </w:r>
      <w:r>
        <w:rPr>
          <w:rFonts w:hint="eastAsia" w:ascii="宋体" w:hAnsi="宋体"/>
          <w:color w:val="000000"/>
          <w:highlight w:val="none"/>
        </w:rPr>
        <w:t>发包人代表</w:t>
      </w:r>
      <w:bookmarkEnd w:id="372"/>
      <w:bookmarkEnd w:id="373"/>
      <w:bookmarkEnd w:id="374"/>
      <w:bookmarkEnd w:id="375"/>
      <w:bookmarkEnd w:id="376"/>
      <w:bookmarkEnd w:id="377"/>
      <w:bookmarkEnd w:id="378"/>
    </w:p>
    <w:p w14:paraId="171FF6ED">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发包人代表：</w:t>
      </w:r>
    </w:p>
    <w:p w14:paraId="243B5AEF">
      <w:pPr>
        <w:spacing w:line="360" w:lineRule="auto"/>
        <w:ind w:firstLine="420" w:firstLineChars="200"/>
        <w:rPr>
          <w:rFonts w:ascii="宋体" w:hAnsi="宋体"/>
          <w:color w:val="000000"/>
          <w:highlight w:val="none"/>
        </w:rPr>
      </w:pPr>
      <w:r>
        <w:rPr>
          <w:rFonts w:ascii="宋体" w:hAnsi="宋体"/>
          <w:color w:val="000000"/>
          <w:highlight w:val="none"/>
        </w:rPr>
        <w:t>姓</w:t>
      </w:r>
      <w:r>
        <w:rPr>
          <w:rFonts w:hint="eastAsia" w:ascii="宋体" w:hAnsi="宋体"/>
          <w:color w:val="000000"/>
          <w:highlight w:val="none"/>
          <w:lang w:val="en-US" w:eastAsia="zh-CN"/>
        </w:rPr>
        <w:t xml:space="preserve">    </w:t>
      </w:r>
      <w:r>
        <w:rPr>
          <w:rFonts w:ascii="宋体" w:hAnsi="宋体"/>
          <w:color w:val="000000"/>
          <w:highlight w:val="none"/>
        </w:rPr>
        <w:t>名：</w:t>
      </w:r>
      <w:r>
        <w:rPr>
          <w:rFonts w:hint="eastAsia" w:ascii="宋体" w:hAnsi="宋体"/>
          <w:color w:val="000000"/>
          <w:highlight w:val="none"/>
          <w:u w:val="single"/>
        </w:rPr>
        <w:t></w:t>
      </w:r>
      <w:r>
        <w:rPr>
          <w:rFonts w:ascii="宋体" w:hAnsi="宋体"/>
          <w:color w:val="000000"/>
          <w:highlight w:val="none"/>
        </w:rPr>
        <w:t>；</w:t>
      </w:r>
    </w:p>
    <w:p w14:paraId="63BFD800">
      <w:pPr>
        <w:spacing w:line="360" w:lineRule="auto"/>
        <w:ind w:firstLine="420" w:firstLineChars="200"/>
        <w:rPr>
          <w:rFonts w:ascii="宋体" w:hAnsi="宋体"/>
          <w:color w:val="000000"/>
          <w:highlight w:val="none"/>
        </w:rPr>
      </w:pPr>
      <w:r>
        <w:rPr>
          <w:rFonts w:ascii="宋体" w:hAnsi="宋体"/>
          <w:color w:val="000000"/>
          <w:highlight w:val="none"/>
        </w:rPr>
        <w:t>身份证号：</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276F40FB">
      <w:pPr>
        <w:spacing w:line="360" w:lineRule="auto"/>
        <w:ind w:firstLine="420" w:firstLineChars="200"/>
        <w:rPr>
          <w:rFonts w:ascii="宋体" w:hAnsi="宋体"/>
          <w:color w:val="000000"/>
          <w:highlight w:val="none"/>
        </w:rPr>
      </w:pPr>
      <w:r>
        <w:rPr>
          <w:rFonts w:ascii="宋体" w:hAnsi="宋体"/>
          <w:color w:val="000000"/>
          <w:highlight w:val="none"/>
        </w:rPr>
        <w:t>职</w:t>
      </w:r>
      <w:r>
        <w:rPr>
          <w:rFonts w:hint="eastAsia" w:ascii="宋体" w:hAnsi="宋体"/>
          <w:color w:val="000000"/>
          <w:highlight w:val="none"/>
          <w:lang w:val="en-US" w:eastAsia="zh-CN"/>
        </w:rPr>
        <w:t xml:space="preserve">    </w:t>
      </w:r>
      <w:r>
        <w:rPr>
          <w:rFonts w:ascii="宋体" w:hAnsi="宋体"/>
          <w:color w:val="000000"/>
          <w:highlight w:val="none"/>
        </w:rPr>
        <w:t>务：</w:t>
      </w:r>
      <w:r>
        <w:rPr>
          <w:rFonts w:hint="eastAsia" w:ascii="宋体" w:hAnsi="宋体"/>
          <w:color w:val="000000"/>
          <w:highlight w:val="none"/>
          <w:u w:val="single"/>
        </w:rPr>
        <w:t></w:t>
      </w:r>
      <w:r>
        <w:rPr>
          <w:rFonts w:ascii="宋体" w:hAnsi="宋体"/>
          <w:color w:val="000000"/>
          <w:highlight w:val="none"/>
        </w:rPr>
        <w:t>；</w:t>
      </w:r>
    </w:p>
    <w:p w14:paraId="4F851618">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ascii="宋体" w:hAnsi="宋体"/>
          <w:color w:val="000000"/>
          <w:highlight w:val="none"/>
        </w:rPr>
        <w:t>；</w:t>
      </w:r>
    </w:p>
    <w:p w14:paraId="7C633808">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ascii="宋体" w:hAnsi="宋体"/>
          <w:color w:val="000000"/>
          <w:highlight w:val="none"/>
        </w:rPr>
        <w:t>；</w:t>
      </w:r>
    </w:p>
    <w:p w14:paraId="294B5655">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ascii="宋体" w:hAnsi="宋体"/>
          <w:color w:val="000000"/>
          <w:highlight w:val="none"/>
        </w:rPr>
        <w:t>。</w:t>
      </w:r>
    </w:p>
    <w:p w14:paraId="79A33E50">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发包人对发包人代表的授权范围如下：</w:t>
      </w:r>
      <w:r>
        <w:rPr>
          <w:rFonts w:hint="eastAsia" w:ascii="宋体" w:hAnsi="宋体"/>
          <w:color w:val="000000"/>
          <w:highlight w:val="none"/>
          <w:u w:val="single"/>
        </w:rPr>
        <w:t>除以下事项以外，发包人代表有权处理合同履行过程中与发包人有关的事宜：</w:t>
      </w:r>
    </w:p>
    <w:p w14:paraId="62E8543C">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（1）发布暂停施工命令</w:t>
      </w:r>
    </w:p>
    <w:p w14:paraId="466B7D86">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（2）同意组织竣工验收</w:t>
      </w:r>
    </w:p>
    <w:p w14:paraId="336E2F07">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（3）签认竣工付款证书</w:t>
      </w:r>
    </w:p>
    <w:p w14:paraId="31EA3B64">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（4）签发工程接收证书</w:t>
      </w:r>
    </w:p>
    <w:p w14:paraId="5B883A68">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（5）签发缺陷责任终止证书</w:t>
      </w:r>
    </w:p>
    <w:p w14:paraId="1FFB0F2A">
      <w:pPr>
        <w:pStyle w:val="108"/>
        <w:spacing w:line="360" w:lineRule="auto"/>
        <w:ind w:firstLine="420" w:firstLineChars="200"/>
        <w:rPr>
          <w:rFonts w:hint="eastAsia" w:ascii="宋体" w:hAnsi="宋体"/>
          <w:color w:val="000000"/>
          <w:highlight w:val="none"/>
        </w:rPr>
      </w:pPr>
      <w:r>
        <w:rPr>
          <w:rFonts w:hint="eastAsia" w:ascii="宋体" w:hAnsi="宋体"/>
          <w:color w:val="000000"/>
          <w:highlight w:val="none"/>
        </w:rPr>
        <w:t>（6）签发最终结清证书。</w:t>
      </w:r>
    </w:p>
    <w:p w14:paraId="73AAB386">
      <w:pPr>
        <w:pStyle w:val="8"/>
        <w:spacing w:before="0" w:after="60"/>
        <w:rPr>
          <w:rFonts w:ascii="宋体" w:hAnsi="宋体"/>
          <w:color w:val="000000"/>
          <w:highlight w:val="none"/>
        </w:rPr>
      </w:pPr>
      <w:bookmarkStart w:id="379" w:name="_Toc108539783"/>
      <w:bookmarkStart w:id="380" w:name="_Toc32614"/>
      <w:r>
        <w:rPr>
          <w:rFonts w:ascii="宋体" w:hAnsi="宋体"/>
          <w:color w:val="000000"/>
          <w:highlight w:val="none"/>
        </w:rPr>
        <w:t xml:space="preserve">2.4 </w:t>
      </w:r>
      <w:r>
        <w:rPr>
          <w:rFonts w:hint="eastAsia" w:ascii="宋体" w:hAnsi="宋体"/>
          <w:color w:val="000000"/>
          <w:highlight w:val="none"/>
        </w:rPr>
        <w:t>施工现场、施工条件和基础资料的提供</w:t>
      </w:r>
      <w:bookmarkEnd w:id="379"/>
      <w:bookmarkEnd w:id="380"/>
    </w:p>
    <w:p w14:paraId="65A589A0">
      <w:pPr>
        <w:spacing w:line="360" w:lineRule="auto"/>
        <w:ind w:firstLine="420" w:firstLineChars="200"/>
        <w:rPr>
          <w:rFonts w:ascii="宋体" w:hAnsi="宋体"/>
          <w:color w:val="000000"/>
          <w:highlight w:val="none"/>
        </w:rPr>
      </w:pPr>
      <w:r>
        <w:rPr>
          <w:rFonts w:ascii="宋体" w:hAnsi="宋体"/>
          <w:color w:val="000000"/>
          <w:highlight w:val="none"/>
        </w:rPr>
        <w:t xml:space="preserve">2.4.1 </w:t>
      </w:r>
      <w:r>
        <w:rPr>
          <w:rFonts w:hint="eastAsia" w:ascii="宋体" w:hAnsi="宋体"/>
          <w:color w:val="000000"/>
          <w:highlight w:val="none"/>
        </w:rPr>
        <w:t>提供施工现场</w:t>
      </w:r>
    </w:p>
    <w:p w14:paraId="262EAAC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关于发包人移交施工现场的期限要求：</w:t>
      </w:r>
      <w:r>
        <w:rPr>
          <w:rFonts w:hint="eastAsia" w:ascii="宋体" w:hAnsi="宋体"/>
          <w:color w:val="000000"/>
          <w:highlight w:val="none"/>
          <w:u w:val="single"/>
        </w:rPr>
        <w:t>开工日期7天前</w:t>
      </w:r>
      <w:r>
        <w:rPr>
          <w:rFonts w:hint="eastAsia" w:ascii="宋体" w:hAnsi="宋体"/>
          <w:color w:val="000000"/>
          <w:highlight w:val="none"/>
        </w:rPr>
        <w:t>。</w:t>
      </w:r>
    </w:p>
    <w:p w14:paraId="72D69B95">
      <w:pPr>
        <w:spacing w:line="360" w:lineRule="auto"/>
        <w:ind w:firstLine="420" w:firstLineChars="200"/>
        <w:rPr>
          <w:rFonts w:ascii="宋体" w:hAnsi="宋体"/>
          <w:color w:val="000000"/>
          <w:highlight w:val="none"/>
        </w:rPr>
      </w:pPr>
      <w:r>
        <w:rPr>
          <w:rFonts w:ascii="宋体" w:hAnsi="宋体"/>
          <w:color w:val="000000"/>
          <w:highlight w:val="none"/>
        </w:rPr>
        <w:t xml:space="preserve">2.4.2 </w:t>
      </w:r>
      <w:r>
        <w:rPr>
          <w:rFonts w:hint="eastAsia" w:ascii="宋体" w:hAnsi="宋体"/>
          <w:color w:val="000000"/>
          <w:highlight w:val="none"/>
        </w:rPr>
        <w:t>提供施工条件</w:t>
      </w:r>
    </w:p>
    <w:p w14:paraId="33F81556">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关于发包人应负责提供施工所需要的条件，包括：</w:t>
      </w:r>
      <w:r>
        <w:rPr>
          <w:rFonts w:hint="eastAsia" w:ascii="宋体" w:hAnsi="宋体"/>
          <w:color w:val="000000"/>
          <w:highlight w:val="none"/>
          <w:u w:val="single"/>
        </w:rPr>
        <w:t>发包人在开工前协调施工所需的水、电等。承包人负责其所需的水、电等施工管线的铺设，费用由承包人承担，施工用水、电费由承包人按规定向供水、电部门交纳。发包人提供的临时施工用的总水表及总电表箱在交给承包人正常使用后，由承包人负责对总水表及总电表箱进行维护及保管，如由于总水表及总电表箱属正常损耗或施工不当造成需要更换或维修的由承包人负责；如由于临时施工用水总水管及临时施工用电变压器的容量不能满足施工要求的，承包人应及时通知发包人提出进行增容安装，发包人负责增容安装；但临时施工用水供到各幢楼后的水压力不能满足施工要求的，经供水部门确认需要二次加压后才能使用的，由承包人自行负责解决</w:t>
      </w:r>
      <w:r>
        <w:rPr>
          <w:rFonts w:hint="eastAsia" w:ascii="宋体" w:hAnsi="宋体"/>
          <w:color w:val="000000"/>
          <w:highlight w:val="none"/>
        </w:rPr>
        <w:t>。</w:t>
      </w:r>
    </w:p>
    <w:p w14:paraId="67B666C8">
      <w:pPr>
        <w:pStyle w:val="8"/>
        <w:spacing w:before="0" w:after="60"/>
        <w:rPr>
          <w:rFonts w:ascii="宋体" w:hAnsi="宋体"/>
          <w:color w:val="000000"/>
          <w:highlight w:val="none"/>
        </w:rPr>
      </w:pPr>
      <w:bookmarkStart w:id="381" w:name="_Toc389065271"/>
      <w:bookmarkStart w:id="382" w:name="_Toc17020"/>
      <w:bookmarkStart w:id="383" w:name="_Toc108539784"/>
      <w:bookmarkStart w:id="384" w:name="_Toc407135207"/>
      <w:bookmarkStart w:id="385" w:name="_Toc373478352"/>
      <w:bookmarkStart w:id="386" w:name="_Toc373227705"/>
      <w:bookmarkStart w:id="387" w:name="_Toc487632704"/>
      <w:r>
        <w:rPr>
          <w:rFonts w:ascii="宋体" w:hAnsi="宋体"/>
          <w:color w:val="000000"/>
          <w:highlight w:val="none"/>
        </w:rPr>
        <w:t xml:space="preserve">2.5 </w:t>
      </w:r>
      <w:r>
        <w:rPr>
          <w:rFonts w:hint="eastAsia" w:ascii="宋体" w:hAnsi="宋体"/>
          <w:color w:val="000000"/>
          <w:highlight w:val="none"/>
        </w:rPr>
        <w:t>资金来源证明及支付担保</w:t>
      </w:r>
      <w:bookmarkEnd w:id="381"/>
      <w:bookmarkEnd w:id="382"/>
      <w:bookmarkEnd w:id="383"/>
      <w:bookmarkEnd w:id="384"/>
      <w:bookmarkEnd w:id="385"/>
      <w:bookmarkEnd w:id="386"/>
      <w:bookmarkEnd w:id="387"/>
    </w:p>
    <w:p w14:paraId="7A6D4BB7">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发包人提供资金来源证明的期限要求：</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2B3DF92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发包人是否提供支付担保：</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否</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51C1A946">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发包人提供支付担保的形式：</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11F9B035">
      <w:pPr>
        <w:pStyle w:val="7"/>
        <w:rPr>
          <w:rFonts w:ascii="宋体" w:hAnsi="宋体" w:eastAsia="宋体"/>
          <w:color w:val="000000"/>
          <w:highlight w:val="none"/>
        </w:rPr>
      </w:pPr>
      <w:bookmarkStart w:id="388" w:name="_Toc389065272"/>
      <w:bookmarkStart w:id="389" w:name="_Toc11737"/>
      <w:bookmarkStart w:id="390" w:name="_Toc351203635"/>
      <w:bookmarkStart w:id="391" w:name="_Toc108539785"/>
      <w:bookmarkStart w:id="392" w:name="_Toc373227706"/>
      <w:bookmarkStart w:id="393" w:name="_Toc487632705"/>
      <w:bookmarkStart w:id="394" w:name="_Toc373478353"/>
      <w:bookmarkStart w:id="395" w:name="_Toc407135208"/>
      <w:r>
        <w:rPr>
          <w:rFonts w:ascii="宋体" w:hAnsi="宋体" w:eastAsia="宋体"/>
          <w:color w:val="000000"/>
          <w:highlight w:val="none"/>
        </w:rPr>
        <w:t xml:space="preserve">3. </w:t>
      </w:r>
      <w:r>
        <w:rPr>
          <w:rFonts w:hint="eastAsia" w:ascii="宋体" w:hAnsi="宋体" w:eastAsia="宋体"/>
          <w:color w:val="000000"/>
          <w:highlight w:val="none"/>
        </w:rPr>
        <w:t>承包人</w:t>
      </w:r>
      <w:bookmarkEnd w:id="388"/>
      <w:bookmarkEnd w:id="389"/>
      <w:bookmarkEnd w:id="390"/>
      <w:bookmarkEnd w:id="391"/>
      <w:bookmarkEnd w:id="392"/>
      <w:bookmarkEnd w:id="393"/>
      <w:bookmarkEnd w:id="394"/>
      <w:bookmarkEnd w:id="395"/>
    </w:p>
    <w:p w14:paraId="54F9104E">
      <w:pPr>
        <w:pStyle w:val="8"/>
        <w:spacing w:before="0" w:after="60"/>
        <w:rPr>
          <w:rFonts w:ascii="宋体" w:hAnsi="宋体"/>
          <w:color w:val="000000"/>
          <w:highlight w:val="none"/>
        </w:rPr>
      </w:pPr>
      <w:bookmarkStart w:id="396" w:name="_Toc373227707"/>
      <w:bookmarkStart w:id="397" w:name="_Toc373478354"/>
      <w:bookmarkStart w:id="398" w:name="_Toc407135209"/>
      <w:bookmarkStart w:id="399" w:name="_Toc5847"/>
      <w:bookmarkStart w:id="400" w:name="_Toc389065273"/>
      <w:bookmarkStart w:id="401" w:name="_Toc487632706"/>
      <w:bookmarkStart w:id="402" w:name="_Toc108539786"/>
      <w:r>
        <w:rPr>
          <w:rFonts w:ascii="宋体" w:hAnsi="宋体"/>
          <w:color w:val="000000"/>
          <w:highlight w:val="none"/>
        </w:rPr>
        <w:t xml:space="preserve">3.1 </w:t>
      </w:r>
      <w:r>
        <w:rPr>
          <w:rFonts w:hint="eastAsia" w:ascii="宋体" w:hAnsi="宋体"/>
          <w:color w:val="000000"/>
          <w:highlight w:val="none"/>
        </w:rPr>
        <w:t>承包人的一般义务</w:t>
      </w:r>
      <w:bookmarkEnd w:id="396"/>
      <w:bookmarkEnd w:id="397"/>
      <w:bookmarkEnd w:id="398"/>
      <w:bookmarkEnd w:id="399"/>
      <w:bookmarkEnd w:id="400"/>
      <w:bookmarkEnd w:id="401"/>
      <w:bookmarkEnd w:id="402"/>
    </w:p>
    <w:p w14:paraId="2E70F48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.1.1</w:t>
      </w:r>
      <w:r>
        <w:rPr>
          <w:rFonts w:hint="eastAsia" w:ascii="宋体" w:hAnsi="宋体"/>
          <w:color w:val="000000"/>
          <w:highlight w:val="none"/>
        </w:rPr>
        <w:t>承包人提交的竣工资料的内容：</w:t>
      </w:r>
      <w:r>
        <w:rPr>
          <w:rFonts w:hint="eastAsia" w:ascii="宋体" w:hAnsi="宋体"/>
          <w:color w:val="000000"/>
          <w:szCs w:val="21"/>
          <w:highlight w:val="none"/>
          <w:u w:val="single"/>
        </w:rPr>
        <w:t>按照现行规范和合同约定编制竣工资料，符合工程所在地建设行政主管部门和（或）城市建设档案管理机构有关施工资料的要求，并立卷及归档。完整的工程竣工资料、竣工图纸（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rFonts w:hint="eastAsia" w:ascii="宋体" w:hAnsi="宋体"/>
          <w:color w:val="000000"/>
          <w:highlight w:val="none"/>
        </w:rPr>
        <w:t>。</w:t>
      </w:r>
    </w:p>
    <w:p w14:paraId="1C532D2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.1.2</w:t>
      </w:r>
      <w:r>
        <w:rPr>
          <w:rFonts w:hint="eastAsia" w:ascii="宋体" w:hAnsi="宋体"/>
          <w:color w:val="000000"/>
          <w:highlight w:val="none"/>
        </w:rPr>
        <w:t>承包人需要提交的竣工资料套数：</w:t>
      </w:r>
      <w:r>
        <w:rPr>
          <w:rFonts w:hint="eastAsia" w:ascii="宋体" w:hAnsi="宋体"/>
          <w:color w:val="000000"/>
          <w:highlight w:val="none"/>
          <w:u w:val="single"/>
        </w:rPr>
        <w:t>纸质文件4套，竣工图电子文件1套（电子格式为：文字文档部分采用微软Office; 施工图等）</w:t>
      </w:r>
      <w:r>
        <w:rPr>
          <w:rFonts w:hint="eastAsia" w:ascii="宋体" w:hAnsi="宋体"/>
          <w:color w:val="000000"/>
          <w:highlight w:val="none"/>
        </w:rPr>
        <w:t>。</w:t>
      </w:r>
    </w:p>
    <w:p w14:paraId="129C9496">
      <w:pPr>
        <w:spacing w:line="360" w:lineRule="auto"/>
        <w:ind w:left="424" w:leftChars="202"/>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.1.3</w:t>
      </w:r>
      <w:r>
        <w:rPr>
          <w:rFonts w:hint="eastAsia" w:ascii="宋体" w:hAnsi="宋体"/>
          <w:color w:val="000000"/>
          <w:highlight w:val="none"/>
        </w:rPr>
        <w:t>承包人提交的竣工资料的费用承担：</w:t>
      </w:r>
      <w:r>
        <w:rPr>
          <w:rFonts w:hint="eastAsia" w:ascii="宋体" w:hAnsi="宋体"/>
          <w:color w:val="000000"/>
          <w:highlight w:val="none"/>
          <w:u w:val="single"/>
        </w:rPr>
        <w:t>承包人承担</w:t>
      </w:r>
      <w:r>
        <w:rPr>
          <w:rFonts w:hint="eastAsia" w:ascii="宋体" w:hAnsi="宋体"/>
          <w:color w:val="000000"/>
          <w:highlight w:val="none"/>
        </w:rPr>
        <w:t>。</w:t>
      </w:r>
    </w:p>
    <w:p w14:paraId="5831A441">
      <w:pPr>
        <w:spacing w:line="360" w:lineRule="auto"/>
        <w:ind w:left="424" w:leftChars="202"/>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.1.4</w:t>
      </w:r>
      <w:r>
        <w:rPr>
          <w:rFonts w:hint="eastAsia" w:ascii="宋体" w:hAnsi="宋体"/>
          <w:color w:val="000000"/>
          <w:highlight w:val="none"/>
        </w:rPr>
        <w:t>承包人提交的竣工资料移交时间：</w:t>
      </w:r>
      <w:r>
        <w:rPr>
          <w:rFonts w:hint="eastAsia" w:ascii="宋体" w:hAnsi="宋体"/>
          <w:color w:val="000000"/>
          <w:highlight w:val="none"/>
          <w:u w:val="single"/>
        </w:rPr>
        <w:t>工程竣工验收合格后7日内</w:t>
      </w:r>
      <w:r>
        <w:rPr>
          <w:rFonts w:hint="eastAsia" w:ascii="宋体" w:hAnsi="宋体"/>
          <w:color w:val="000000"/>
          <w:highlight w:val="none"/>
        </w:rPr>
        <w:t>。</w:t>
      </w:r>
    </w:p>
    <w:p w14:paraId="2740B2F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.1.5</w:t>
      </w:r>
      <w:r>
        <w:rPr>
          <w:rFonts w:hint="eastAsia" w:ascii="宋体" w:hAnsi="宋体"/>
          <w:color w:val="000000"/>
          <w:highlight w:val="none"/>
        </w:rPr>
        <w:t>承包人提交的竣工资料形式要求：</w:t>
      </w:r>
      <w:r>
        <w:rPr>
          <w:rFonts w:hint="eastAsia" w:ascii="宋体" w:hAnsi="宋体"/>
          <w:color w:val="000000"/>
          <w:highlight w:val="none"/>
          <w:u w:val="single"/>
        </w:rPr>
        <w:t>纸质4套，电子扫描件文档1套</w:t>
      </w:r>
      <w:r>
        <w:rPr>
          <w:rFonts w:hint="eastAsia" w:ascii="宋体" w:hAnsi="宋体"/>
          <w:color w:val="000000"/>
          <w:highlight w:val="none"/>
        </w:rPr>
        <w:t>。</w:t>
      </w:r>
    </w:p>
    <w:p w14:paraId="674753B8">
      <w:pPr>
        <w:spacing w:line="360" w:lineRule="auto"/>
        <w:ind w:firstLine="420" w:firstLineChars="200"/>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.1.6</w:t>
      </w:r>
      <w:r>
        <w:rPr>
          <w:rFonts w:hint="eastAsia" w:ascii="宋体" w:hAnsi="宋体"/>
          <w:color w:val="000000"/>
          <w:kern w:val="0"/>
          <w:highlight w:val="none"/>
        </w:rPr>
        <w:t>承包人应履行的其他义务：</w:t>
      </w:r>
    </w:p>
    <w:p w14:paraId="6330C560">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①按规定做好进出口洗车平台硬化和流水排放措施，接受交警、城管、运输等管理部门的监督管理，进出车辆不得污染市政道路并按《广西壮族自治区建筑工程文明施工导则》(桂建管[2012]108号)有关规定执行。由于施工车造成的道路环境等污染，其责任和费用均由承包人承担，并包含在磋商报价中。</w:t>
      </w:r>
    </w:p>
    <w:p w14:paraId="6BCAC5AB">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②为确保工程施工进度、质量和安全，履行承包人磋商时的承诺，承包人保证按照经甲方批准的工程施工进度计划，及时派出磋商时承诺拟派出的现场施工主要管理人员，做好工程各项施工工作。</w:t>
      </w:r>
    </w:p>
    <w:p w14:paraId="57CD6584">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③承包人生活设施及施工场地应做好防雷电、防火等的安全防护工作，并自费配备消防设备；承担施工现场和施工人员的治安、环境卫生、计生、外来人员暂住手续等管理工作和相关费用；若发生任何安全等事故，均由承包人承担全部责任。</w:t>
      </w:r>
    </w:p>
    <w:p w14:paraId="74D29493">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④配合发包人做好施工现场安全文明宣传、领导检查宣传等工作，相关费用由承包人承担。</w:t>
      </w:r>
    </w:p>
    <w:p w14:paraId="634DF160">
      <w:pPr>
        <w:pStyle w:val="40"/>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⑤承包人承担因自身原因违反相关规定（包括但不限于安全生产、环卫、噪音等行政管理规定）造成的损失和罚款。</w:t>
      </w:r>
    </w:p>
    <w:p w14:paraId="6AAB3400">
      <w:pPr>
        <w:pStyle w:val="40"/>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⑥</w:t>
      </w:r>
      <w:r>
        <w:rPr>
          <w:rFonts w:hAnsi="宋体"/>
          <w:color w:val="000000"/>
          <w:kern w:val="0"/>
          <w:highlight w:val="none"/>
          <w:u w:val="single"/>
        </w:rPr>
        <w:t>合同履行期间，乙方不按核批的进度计划组织施工，经甲方书面通知3日内仍未能有效整改的，甲方有权对无进度履约能力的部位或部分进行强制分割，组织其他满足行政法规规定的其它单位或组织负责赶工作业，但不免除乙方的合同责任</w:t>
      </w:r>
    </w:p>
    <w:p w14:paraId="36F3284D">
      <w:pPr>
        <w:pStyle w:val="40"/>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⑦甲方对乙方无进度履约能力的部位和部分进行强制分割而形成的相关费用，须及时完善手续，列入乙方成本。甲方需及时组织监理，实施分割作业的队组负责人、乙方代表等对现场形成的费用等共同确认，但乙方人为或故意对此现场费用的缺席确认，并不能免除乙方责任；</w:t>
      </w:r>
    </w:p>
    <w:p w14:paraId="60AD0B83">
      <w:pPr>
        <w:pStyle w:val="104"/>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⑧需承包人办理的有关施工场地环卫和施工噪音管理等手续：因施工需要，经发包人批准，由承包人办理和负责费用。</w:t>
      </w:r>
    </w:p>
    <w:p w14:paraId="18C7B597">
      <w:pPr>
        <w:pStyle w:val="104"/>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⑨施工场地清洁卫生的要求：由于施工造成的环境污染，其责任和费用均由承包人承担。</w:t>
      </w:r>
    </w:p>
    <w:p w14:paraId="67BE4F4B">
      <w:pPr>
        <w:pStyle w:val="104"/>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⑩协助发包人做好施工所需的条件，成交候选人公示期满次日起</w:t>
      </w:r>
      <w:r>
        <w:rPr>
          <w:rFonts w:ascii="宋体" w:hAnsi="宋体"/>
          <w:color w:val="000000"/>
          <w:kern w:val="0"/>
          <w:highlight w:val="none"/>
          <w:u w:val="single"/>
        </w:rPr>
        <w:t>20</w:t>
      </w:r>
      <w:r>
        <w:rPr>
          <w:rFonts w:hint="eastAsia" w:ascii="宋体" w:hAnsi="宋体"/>
          <w:color w:val="000000"/>
          <w:kern w:val="0"/>
          <w:highlight w:val="none"/>
          <w:u w:val="single"/>
        </w:rPr>
        <w:t>日历天内将办理施工许可证所需要承包人的资料全部递交发包人，协助办理报监、报建手续及政府其他行政部门需要的报批手续。</w:t>
      </w:r>
    </w:p>
    <w:p w14:paraId="30EE6070">
      <w:pPr>
        <w:pStyle w:val="8"/>
        <w:spacing w:before="0" w:after="60"/>
        <w:rPr>
          <w:rFonts w:ascii="宋体" w:hAnsi="宋体"/>
          <w:color w:val="000000"/>
          <w:highlight w:val="none"/>
        </w:rPr>
      </w:pPr>
      <w:bookmarkStart w:id="403" w:name="_Toc108539787"/>
      <w:bookmarkStart w:id="404" w:name="_Toc16327"/>
      <w:r>
        <w:rPr>
          <w:rFonts w:ascii="宋体" w:hAnsi="宋体"/>
          <w:color w:val="000000"/>
          <w:highlight w:val="none"/>
        </w:rPr>
        <w:t xml:space="preserve">3.2 </w:t>
      </w:r>
      <w:r>
        <w:rPr>
          <w:rFonts w:hint="eastAsia" w:ascii="宋体" w:hAnsi="宋体"/>
          <w:color w:val="000000"/>
          <w:highlight w:val="none"/>
        </w:rPr>
        <w:t>项目经理</w:t>
      </w:r>
      <w:bookmarkEnd w:id="403"/>
      <w:bookmarkEnd w:id="404"/>
    </w:p>
    <w:p w14:paraId="6B9A94D7">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3.2.1 </w:t>
      </w:r>
      <w:r>
        <w:rPr>
          <w:rFonts w:hint="eastAsia" w:ascii="宋体" w:hAnsi="宋体"/>
          <w:color w:val="000000"/>
          <w:highlight w:val="none"/>
        </w:rPr>
        <w:t>项目经理：</w:t>
      </w:r>
    </w:p>
    <w:p w14:paraId="42FFDC29">
      <w:pPr>
        <w:spacing w:line="360" w:lineRule="auto"/>
        <w:ind w:firstLine="420" w:firstLineChars="200"/>
        <w:rPr>
          <w:rFonts w:ascii="宋体" w:hAnsi="宋体"/>
          <w:color w:val="000000"/>
          <w:highlight w:val="none"/>
        </w:rPr>
      </w:pPr>
      <w:r>
        <w:rPr>
          <w:rFonts w:ascii="宋体" w:hAnsi="宋体"/>
          <w:color w:val="000000"/>
          <w:highlight w:val="none"/>
        </w:rPr>
        <w:t>姓名：</w:t>
      </w:r>
      <w:r>
        <w:rPr>
          <w:rFonts w:hint="eastAsia" w:ascii="宋体" w:hAnsi="宋体"/>
          <w:color w:val="000000"/>
          <w:highlight w:val="none"/>
          <w:u w:val="single"/>
        </w:rPr>
        <w:t></w:t>
      </w:r>
      <w:r>
        <w:rPr>
          <w:rFonts w:ascii="宋体" w:hAnsi="宋体"/>
          <w:color w:val="000000"/>
          <w:highlight w:val="none"/>
        </w:rPr>
        <w:t>；</w:t>
      </w:r>
    </w:p>
    <w:p w14:paraId="75641AFA">
      <w:pPr>
        <w:spacing w:line="360" w:lineRule="auto"/>
        <w:ind w:firstLine="420" w:firstLineChars="200"/>
        <w:rPr>
          <w:rFonts w:ascii="宋体" w:hAnsi="宋体"/>
          <w:color w:val="000000"/>
          <w:highlight w:val="none"/>
        </w:rPr>
      </w:pPr>
      <w:r>
        <w:rPr>
          <w:rFonts w:ascii="宋体" w:hAnsi="宋体"/>
          <w:color w:val="000000"/>
          <w:highlight w:val="none"/>
        </w:rPr>
        <w:t>身份证号：</w:t>
      </w:r>
      <w:r>
        <w:rPr>
          <w:rFonts w:hint="eastAsia" w:ascii="宋体" w:hAnsi="宋体"/>
          <w:color w:val="000000"/>
          <w:highlight w:val="none"/>
          <w:u w:val="single"/>
        </w:rPr>
        <w:t></w:t>
      </w:r>
      <w:r>
        <w:rPr>
          <w:rFonts w:ascii="宋体" w:hAnsi="宋体"/>
          <w:color w:val="000000"/>
          <w:highlight w:val="none"/>
        </w:rPr>
        <w:t>；</w:t>
      </w:r>
    </w:p>
    <w:p w14:paraId="34C9BB44">
      <w:pPr>
        <w:spacing w:line="360" w:lineRule="auto"/>
        <w:ind w:firstLine="420" w:firstLineChars="200"/>
        <w:rPr>
          <w:rFonts w:ascii="宋体" w:hAnsi="宋体"/>
          <w:color w:val="000000"/>
          <w:highlight w:val="none"/>
        </w:rPr>
      </w:pPr>
      <w:r>
        <w:rPr>
          <w:rFonts w:ascii="宋体" w:hAnsi="宋体"/>
          <w:color w:val="000000"/>
          <w:highlight w:val="none"/>
        </w:rPr>
        <w:t>建造师执业资格等级：</w:t>
      </w:r>
      <w:r>
        <w:rPr>
          <w:rFonts w:hint="eastAsia" w:ascii="宋体" w:hAnsi="宋体"/>
          <w:color w:val="000000"/>
          <w:highlight w:val="none"/>
          <w:u w:val="single"/>
        </w:rPr>
        <w:t></w:t>
      </w:r>
      <w:r>
        <w:rPr>
          <w:rFonts w:ascii="宋体" w:hAnsi="宋体"/>
          <w:color w:val="000000"/>
          <w:highlight w:val="none"/>
        </w:rPr>
        <w:t>；</w:t>
      </w:r>
    </w:p>
    <w:p w14:paraId="4831A189">
      <w:pPr>
        <w:spacing w:line="360" w:lineRule="auto"/>
        <w:ind w:firstLine="420" w:firstLineChars="200"/>
        <w:rPr>
          <w:rFonts w:ascii="宋体" w:hAnsi="宋体"/>
          <w:color w:val="000000"/>
          <w:highlight w:val="none"/>
        </w:rPr>
      </w:pPr>
      <w:r>
        <w:rPr>
          <w:rFonts w:ascii="宋体" w:hAnsi="宋体"/>
          <w:color w:val="000000"/>
          <w:highlight w:val="none"/>
        </w:rPr>
        <w:t>建造师注册证书号：</w:t>
      </w:r>
      <w:r>
        <w:rPr>
          <w:rFonts w:hint="eastAsia" w:ascii="宋体" w:hAnsi="宋体"/>
          <w:color w:val="000000"/>
          <w:highlight w:val="none"/>
          <w:u w:val="single"/>
        </w:rPr>
        <w:t></w:t>
      </w:r>
      <w:r>
        <w:rPr>
          <w:rFonts w:ascii="宋体" w:hAnsi="宋体"/>
          <w:color w:val="000000"/>
          <w:highlight w:val="none"/>
        </w:rPr>
        <w:t>；</w:t>
      </w:r>
    </w:p>
    <w:p w14:paraId="65B133EE">
      <w:pPr>
        <w:spacing w:line="360" w:lineRule="auto"/>
        <w:ind w:firstLine="420" w:firstLineChars="200"/>
        <w:rPr>
          <w:rFonts w:ascii="宋体" w:hAnsi="宋体"/>
          <w:color w:val="000000"/>
          <w:highlight w:val="none"/>
        </w:rPr>
      </w:pPr>
      <w:r>
        <w:rPr>
          <w:rFonts w:ascii="宋体" w:hAnsi="宋体"/>
          <w:color w:val="000000"/>
          <w:highlight w:val="none"/>
        </w:rPr>
        <w:t>建造师执业印章号：</w:t>
      </w:r>
      <w:r>
        <w:rPr>
          <w:rFonts w:hint="eastAsia" w:ascii="宋体" w:hAnsi="宋体"/>
          <w:color w:val="000000"/>
          <w:highlight w:val="none"/>
          <w:u w:val="single"/>
        </w:rPr>
        <w:t></w:t>
      </w:r>
      <w:r>
        <w:rPr>
          <w:rFonts w:ascii="宋体" w:hAnsi="宋体"/>
          <w:color w:val="000000"/>
          <w:highlight w:val="none"/>
        </w:rPr>
        <w:t>；</w:t>
      </w:r>
    </w:p>
    <w:p w14:paraId="222FAE45">
      <w:pPr>
        <w:spacing w:line="360" w:lineRule="auto"/>
        <w:ind w:firstLine="420" w:firstLineChars="200"/>
        <w:rPr>
          <w:rFonts w:ascii="宋体" w:hAnsi="宋体"/>
          <w:color w:val="000000"/>
          <w:highlight w:val="none"/>
        </w:rPr>
      </w:pPr>
      <w:r>
        <w:rPr>
          <w:rFonts w:ascii="宋体" w:hAnsi="宋体"/>
          <w:color w:val="000000"/>
          <w:highlight w:val="none"/>
        </w:rPr>
        <w:t>安全生产考核合格证书号：</w:t>
      </w:r>
      <w:r>
        <w:rPr>
          <w:rFonts w:hint="eastAsia" w:ascii="宋体" w:hAnsi="宋体"/>
          <w:color w:val="000000"/>
          <w:highlight w:val="none"/>
          <w:u w:val="single"/>
        </w:rPr>
        <w:t></w:t>
      </w:r>
      <w:r>
        <w:rPr>
          <w:rFonts w:ascii="宋体" w:hAnsi="宋体"/>
          <w:color w:val="000000"/>
          <w:highlight w:val="none"/>
        </w:rPr>
        <w:t>；</w:t>
      </w:r>
    </w:p>
    <w:p w14:paraId="4D543CBB">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ascii="宋体" w:hAnsi="宋体"/>
          <w:color w:val="000000"/>
          <w:highlight w:val="none"/>
        </w:rPr>
        <w:t>；</w:t>
      </w:r>
    </w:p>
    <w:p w14:paraId="2EA79317">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ascii="宋体" w:hAnsi="宋体"/>
          <w:color w:val="000000"/>
          <w:highlight w:val="none"/>
        </w:rPr>
        <w:t>；</w:t>
      </w:r>
    </w:p>
    <w:p w14:paraId="1AC044F0">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ascii="宋体" w:hAnsi="宋体"/>
          <w:color w:val="000000"/>
          <w:highlight w:val="none"/>
        </w:rPr>
        <w:t>；</w:t>
      </w:r>
    </w:p>
    <w:p w14:paraId="096B4632">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承包人对项目经理的授权范围如下：</w:t>
      </w:r>
      <w:r>
        <w:rPr>
          <w:rFonts w:hint="eastAsia" w:ascii="宋体" w:hAnsi="宋体"/>
          <w:color w:val="000000"/>
          <w:highlight w:val="none"/>
          <w:u w:val="single"/>
        </w:rPr>
        <w:t>项目经理经承包人授权后代表承包人负责履行合同，但是下列事项必须经承包人同意，并加盖承包人单位公章方为有效：</w:t>
      </w:r>
    </w:p>
    <w:p w14:paraId="27EF8DD1">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1）与本工程相关的任何补充协议的签订；</w:t>
      </w:r>
    </w:p>
    <w:p w14:paraId="7B92CFAB">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2）与本工程相关的任何分包合同、施工承包合同协议书、聘任合同的签订：</w:t>
      </w:r>
    </w:p>
    <w:p w14:paraId="3F85BB13">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3）同意涉及合同价款变化超过1万元或合同工期变化超过3天的变更指示；</w:t>
      </w:r>
    </w:p>
    <w:p w14:paraId="365064F4">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4）进度款支付申请；</w:t>
      </w:r>
    </w:p>
    <w:p w14:paraId="05E1C9AD">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5）竣工验收申请；</w:t>
      </w:r>
    </w:p>
    <w:p w14:paraId="62CD78CB">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6）最终结清申请单</w:t>
      </w:r>
      <w:r>
        <w:rPr>
          <w:rFonts w:hint="eastAsia" w:ascii="宋体" w:hAnsi="宋体"/>
          <w:color w:val="000000"/>
          <w:highlight w:val="none"/>
        </w:rPr>
        <w:t>。</w:t>
      </w:r>
    </w:p>
    <w:p w14:paraId="60C7D6C0">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关于项目经理在施工现场的时间要求：</w:t>
      </w:r>
      <w:r>
        <w:rPr>
          <w:rFonts w:hint="eastAsia" w:ascii="宋体"/>
          <w:color w:val="000000"/>
          <w:kern w:val="0"/>
          <w:highlight w:val="none"/>
          <w:u w:val="single"/>
          <w:lang w:val="zh-CN"/>
        </w:rPr>
        <w:t>项目经理在岗带班时间不得少于当月施工时间的</w:t>
      </w:r>
      <w:r>
        <w:rPr>
          <w:rFonts w:ascii="宋体"/>
          <w:color w:val="000000"/>
          <w:kern w:val="0"/>
          <w:highlight w:val="none"/>
          <w:u w:val="single"/>
          <w:lang w:val="zh-CN"/>
        </w:rPr>
        <w:t>80%</w:t>
      </w:r>
      <w:r>
        <w:rPr>
          <w:rFonts w:hint="eastAsia" w:ascii="宋体"/>
          <w:color w:val="000000"/>
          <w:kern w:val="0"/>
          <w:highlight w:val="none"/>
          <w:u w:val="single"/>
          <w:lang w:val="zh-CN"/>
        </w:rPr>
        <w:t>，且关键部位施工必须在现场以及分部分项验收、隐蔽工程验收必须在现场</w:t>
      </w:r>
      <w:r>
        <w:rPr>
          <w:rFonts w:hint="eastAsia" w:ascii="宋体" w:hAnsi="宋体"/>
          <w:color w:val="000000"/>
          <w:highlight w:val="none"/>
        </w:rPr>
        <w:t>。</w:t>
      </w:r>
    </w:p>
    <w:p w14:paraId="39B0F4D4">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承包人未提交劳动合同，以及没有为项目经理缴纳社会保险证明的违约责任：</w:t>
      </w:r>
      <w:r>
        <w:rPr>
          <w:rFonts w:hint="eastAsia" w:ascii="宋体" w:hAnsi="宋体"/>
          <w:color w:val="000000"/>
          <w:highlight w:val="none"/>
          <w:u w:val="single"/>
        </w:rPr>
        <w:t>监理人限期承包人在收到提交要求后3日内补交，并承担违约金1000元；3日内不能补交的，发包人有权要求承包人更换项目经理，并承担违约金10000元。由此增加的费用和（或）延误的工期由承包人承担</w:t>
      </w:r>
      <w:r>
        <w:rPr>
          <w:rFonts w:hint="eastAsia" w:ascii="宋体" w:hAnsi="宋体"/>
          <w:color w:val="000000"/>
          <w:highlight w:val="none"/>
        </w:rPr>
        <w:t>。同时，</w:t>
      </w:r>
      <w:r>
        <w:rPr>
          <w:rFonts w:hint="eastAsia" w:ascii="宋体" w:hAnsi="宋体"/>
          <w:color w:val="000000"/>
          <w:highlight w:val="none"/>
          <w:u w:val="single"/>
        </w:rPr>
        <w:t>由此而影响到项目报建报监手续办理、被主管部门处罚停工、民工上访等造成的经济损失，由承包人赔偿。</w:t>
      </w:r>
    </w:p>
    <w:p w14:paraId="3BA4187E">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项目经理未经批准，擅自离开施工现场的违约责任：</w:t>
      </w:r>
      <w:r>
        <w:rPr>
          <w:rFonts w:hint="eastAsia" w:ascii="宋体" w:hAnsi="宋体"/>
          <w:color w:val="000000"/>
          <w:highlight w:val="none"/>
          <w:u w:val="single"/>
        </w:rPr>
        <w:t>项目经理每月在岗带班时间不得少于当月施工时间的</w:t>
      </w:r>
      <w:r>
        <w:rPr>
          <w:rFonts w:ascii="宋体" w:hAnsi="宋体"/>
          <w:color w:val="000000"/>
          <w:highlight w:val="none"/>
          <w:u w:val="single"/>
        </w:rPr>
        <w:t>80%</w:t>
      </w:r>
      <w:r>
        <w:rPr>
          <w:rFonts w:hint="eastAsia" w:ascii="宋体" w:hAnsi="宋体"/>
          <w:color w:val="000000"/>
          <w:highlight w:val="none"/>
          <w:u w:val="single"/>
        </w:rPr>
        <w:t>。未经发包人同意或正当理由，项目经理每月在岗带班时间少于当月施工时间</w:t>
      </w:r>
      <w:r>
        <w:rPr>
          <w:rFonts w:ascii="宋体" w:hAnsi="宋体"/>
          <w:color w:val="000000"/>
          <w:highlight w:val="none"/>
          <w:u w:val="single"/>
        </w:rPr>
        <w:t>80%</w:t>
      </w:r>
      <w:r>
        <w:rPr>
          <w:rFonts w:hint="eastAsia" w:ascii="宋体" w:hAnsi="宋体"/>
          <w:color w:val="000000"/>
          <w:highlight w:val="none"/>
          <w:u w:val="single"/>
        </w:rPr>
        <w:t>的，少在岗带班一天，发包人有权处违约金1000元</w:t>
      </w:r>
      <w:r>
        <w:rPr>
          <w:rFonts w:ascii="宋体" w:hAnsi="宋体"/>
          <w:color w:val="000000"/>
          <w:highlight w:val="none"/>
          <w:u w:val="single"/>
        </w:rPr>
        <w:t>/</w:t>
      </w:r>
      <w:r>
        <w:rPr>
          <w:rFonts w:hint="eastAsia" w:ascii="宋体" w:hAnsi="宋体"/>
          <w:color w:val="000000"/>
          <w:highlight w:val="none"/>
          <w:u w:val="single"/>
        </w:rPr>
        <w:t>日（人民币）</w:t>
      </w:r>
      <w:r>
        <w:rPr>
          <w:rFonts w:hint="eastAsia" w:ascii="宋体" w:hAnsi="宋体"/>
          <w:color w:val="000000"/>
          <w:highlight w:val="none"/>
        </w:rPr>
        <w:t>。</w:t>
      </w:r>
    </w:p>
    <w:p w14:paraId="140E5770">
      <w:pPr>
        <w:spacing w:line="360" w:lineRule="auto"/>
        <w:ind w:firstLine="420" w:firstLineChars="200"/>
        <w:rPr>
          <w:rFonts w:ascii="宋体" w:hAnsi="宋体"/>
          <w:color w:val="000000"/>
          <w:highlight w:val="none"/>
        </w:rPr>
      </w:pPr>
      <w:r>
        <w:rPr>
          <w:rFonts w:ascii="宋体" w:hAnsi="宋体"/>
          <w:color w:val="000000"/>
          <w:highlight w:val="none"/>
        </w:rPr>
        <w:t xml:space="preserve">3.2.3 </w:t>
      </w:r>
      <w:r>
        <w:rPr>
          <w:rFonts w:hint="eastAsia" w:ascii="宋体" w:hAnsi="宋体"/>
          <w:color w:val="000000"/>
          <w:highlight w:val="none"/>
        </w:rPr>
        <w:t>承包人擅自更换项目经理的违约责任：</w:t>
      </w:r>
      <w:r>
        <w:rPr>
          <w:rFonts w:hint="eastAsia" w:ascii="宋体" w:hAnsi="宋体"/>
          <w:color w:val="000000"/>
          <w:highlight w:val="none"/>
          <w:u w:val="single"/>
        </w:rPr>
        <w:t>承包人项目经理必须与承包人磋商时所承诺的人员一致，并在（开工日期）前到任。在监理人向承包人颁发（竣工证明材料名称）前，项目经理不得同时兼任其他任何项目的项目经理</w:t>
      </w:r>
      <w:r>
        <w:rPr>
          <w:rFonts w:ascii="宋体" w:hAnsi="宋体"/>
          <w:color w:val="000000"/>
          <w:highlight w:val="none"/>
          <w:u w:val="single"/>
        </w:rPr>
        <w:t>（符合《广西壮族自治区建筑市场诚信卡管理暂行办法》第十六条第一款及桂建管﹝2016﹞70号、</w:t>
      </w:r>
      <w:r>
        <w:rPr>
          <w:rFonts w:ascii="宋体" w:hAnsi="宋体"/>
          <w:color w:val="000000"/>
          <w:szCs w:val="21"/>
          <w:highlight w:val="none"/>
          <w:u w:val="single"/>
        </w:rPr>
        <w:t>桂建管〔2020〕11号</w:t>
      </w:r>
      <w:r>
        <w:rPr>
          <w:rFonts w:ascii="宋体" w:hAnsi="宋体"/>
          <w:color w:val="000000"/>
          <w:highlight w:val="none"/>
          <w:u w:val="single"/>
        </w:rPr>
        <w:t>文除外）</w:t>
      </w:r>
      <w:r>
        <w:rPr>
          <w:rFonts w:hint="eastAsia" w:ascii="宋体" w:hAnsi="宋体"/>
          <w:color w:val="000000"/>
          <w:highlight w:val="none"/>
          <w:u w:val="single"/>
        </w:rPr>
        <w:t>。未经发包人书面同意，承包人擅自更换项目经理的视为违约，违约金处3000元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22381BFF">
      <w:pPr>
        <w:spacing w:line="360" w:lineRule="auto"/>
        <w:ind w:firstLine="420" w:firstLineChars="200"/>
        <w:rPr>
          <w:rFonts w:ascii="宋体" w:hAnsi="宋体"/>
          <w:color w:val="000000"/>
          <w:highlight w:val="none"/>
        </w:rPr>
      </w:pPr>
      <w:r>
        <w:rPr>
          <w:rFonts w:ascii="宋体" w:hAnsi="宋体"/>
          <w:color w:val="000000"/>
          <w:highlight w:val="none"/>
        </w:rPr>
        <w:t xml:space="preserve">3.2.4 </w:t>
      </w:r>
      <w:r>
        <w:rPr>
          <w:rFonts w:hint="eastAsia" w:ascii="宋体" w:hAnsi="宋体"/>
          <w:color w:val="000000"/>
          <w:highlight w:val="none"/>
        </w:rPr>
        <w:t>承包人无正当理由拒绝更换项目经理的违约责任：</w:t>
      </w:r>
      <w:r>
        <w:rPr>
          <w:rFonts w:hint="eastAsia" w:ascii="宋体" w:hAnsi="宋体"/>
          <w:color w:val="000000"/>
          <w:highlight w:val="none"/>
          <w:u w:val="single"/>
        </w:rPr>
        <w:t>因承包人项目经理不称职，发包人要求调换而未及时调换的，视为承包人违约，必须向发包人交纳处罚金3000元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766E647C">
      <w:pPr>
        <w:pStyle w:val="8"/>
        <w:spacing w:before="0" w:after="60"/>
        <w:rPr>
          <w:rFonts w:ascii="宋体" w:hAnsi="宋体"/>
          <w:color w:val="000000"/>
          <w:highlight w:val="none"/>
        </w:rPr>
      </w:pPr>
      <w:bookmarkStart w:id="405" w:name="_Toc373478356"/>
      <w:bookmarkStart w:id="406" w:name="_Toc108539788"/>
      <w:bookmarkStart w:id="407" w:name="_Toc407135211"/>
      <w:bookmarkStart w:id="408" w:name="_Toc10667"/>
      <w:bookmarkStart w:id="409" w:name="_Toc373227709"/>
      <w:bookmarkStart w:id="410" w:name="_Toc389065275"/>
      <w:bookmarkStart w:id="411" w:name="_Toc487632708"/>
      <w:r>
        <w:rPr>
          <w:rFonts w:ascii="宋体" w:hAnsi="宋体"/>
          <w:color w:val="000000"/>
          <w:highlight w:val="none"/>
        </w:rPr>
        <w:t xml:space="preserve">3.3 </w:t>
      </w:r>
      <w:r>
        <w:rPr>
          <w:rFonts w:hint="eastAsia" w:ascii="宋体" w:hAnsi="宋体"/>
          <w:color w:val="000000"/>
          <w:highlight w:val="none"/>
        </w:rPr>
        <w:t>承包人人员</w:t>
      </w:r>
      <w:bookmarkEnd w:id="405"/>
      <w:bookmarkEnd w:id="406"/>
      <w:bookmarkEnd w:id="407"/>
      <w:bookmarkEnd w:id="408"/>
      <w:bookmarkEnd w:id="409"/>
      <w:bookmarkEnd w:id="410"/>
      <w:bookmarkEnd w:id="411"/>
    </w:p>
    <w:p w14:paraId="0E6C573B">
      <w:pPr>
        <w:spacing w:line="360" w:lineRule="auto"/>
        <w:ind w:firstLine="420" w:firstLineChars="200"/>
        <w:rPr>
          <w:rFonts w:ascii="宋体" w:hAnsi="宋体"/>
          <w:color w:val="000000"/>
          <w:highlight w:val="none"/>
        </w:rPr>
      </w:pPr>
      <w:r>
        <w:rPr>
          <w:rFonts w:ascii="宋体" w:hAnsi="宋体"/>
          <w:color w:val="000000"/>
          <w:highlight w:val="none"/>
        </w:rPr>
        <w:t xml:space="preserve">3.3.1 </w:t>
      </w:r>
      <w:r>
        <w:rPr>
          <w:rFonts w:hint="eastAsia" w:ascii="宋体" w:hAnsi="宋体"/>
          <w:color w:val="000000"/>
          <w:highlight w:val="none"/>
        </w:rPr>
        <w:t>承包人提交项目管理机构及施工现场管理人员安排报告的期限：</w:t>
      </w:r>
      <w:r>
        <w:rPr>
          <w:rFonts w:hint="eastAsia" w:ascii="宋体" w:hAnsi="宋体"/>
          <w:color w:val="000000"/>
          <w:highlight w:val="none"/>
          <w:u w:val="single"/>
        </w:rPr>
        <w:t>接到开工通知后7天内</w:t>
      </w:r>
      <w:r>
        <w:rPr>
          <w:rFonts w:hint="eastAsia" w:ascii="宋体" w:hAnsi="宋体"/>
          <w:color w:val="000000"/>
          <w:highlight w:val="none"/>
        </w:rPr>
        <w:t>。</w:t>
      </w:r>
    </w:p>
    <w:p w14:paraId="3FBA38A7">
      <w:pPr>
        <w:spacing w:line="360" w:lineRule="auto"/>
        <w:ind w:firstLine="420" w:firstLineChars="200"/>
        <w:rPr>
          <w:rFonts w:ascii="宋体" w:hAnsi="宋体"/>
          <w:color w:val="000000"/>
          <w:highlight w:val="none"/>
        </w:rPr>
      </w:pPr>
      <w:r>
        <w:rPr>
          <w:rFonts w:ascii="宋体" w:hAnsi="宋体"/>
          <w:color w:val="000000"/>
          <w:highlight w:val="none"/>
        </w:rPr>
        <w:t xml:space="preserve">3.3.3 </w:t>
      </w:r>
      <w:r>
        <w:rPr>
          <w:rFonts w:hint="eastAsia" w:ascii="宋体" w:hAnsi="宋体"/>
          <w:color w:val="000000"/>
          <w:highlight w:val="none"/>
        </w:rPr>
        <w:t>承包人无正当理由拒绝撤换主要施工管理人员的违约责任：</w:t>
      </w:r>
      <w:r>
        <w:rPr>
          <w:rFonts w:hint="eastAsia" w:ascii="宋体" w:hAnsi="宋体"/>
          <w:color w:val="000000"/>
          <w:highlight w:val="none"/>
          <w:u w:val="single"/>
        </w:rPr>
        <w:t>因承包人主要施工管理人员不称职，发包人要求调换而无正当理由拒绝撤换或未及时调换的，视为承包人违约，必须向发包人交纳处罚金，处罚标准：技术负责人1000元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次（人民币）；专业工程师500元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459349E8">
      <w:pPr>
        <w:spacing w:line="360" w:lineRule="auto"/>
        <w:ind w:firstLine="420" w:firstLineChars="200"/>
        <w:rPr>
          <w:rFonts w:ascii="宋体" w:hAnsi="宋体"/>
          <w:color w:val="000000"/>
          <w:highlight w:val="none"/>
        </w:rPr>
      </w:pPr>
      <w:r>
        <w:rPr>
          <w:rFonts w:ascii="宋体" w:hAnsi="宋体"/>
          <w:color w:val="000000"/>
          <w:highlight w:val="none"/>
        </w:rPr>
        <w:t xml:space="preserve">3.3.4 </w:t>
      </w:r>
      <w:r>
        <w:rPr>
          <w:rFonts w:hint="eastAsia" w:ascii="宋体" w:hAnsi="宋体"/>
          <w:color w:val="000000"/>
          <w:highlight w:val="none"/>
        </w:rPr>
        <w:t>承包人主要施工管理人员离开施工现场的批准要求：</w:t>
      </w:r>
      <w:r>
        <w:rPr>
          <w:rFonts w:hint="eastAsia" w:ascii="宋体" w:hAnsi="宋体"/>
          <w:color w:val="000000"/>
          <w:highlight w:val="none"/>
          <w:u w:val="single"/>
        </w:rPr>
        <w:t>按通用合同条款执行</w:t>
      </w:r>
      <w:r>
        <w:rPr>
          <w:rFonts w:hint="eastAsia" w:ascii="宋体" w:hAnsi="宋体"/>
          <w:color w:val="000000"/>
          <w:highlight w:val="none"/>
        </w:rPr>
        <w:t>。</w:t>
      </w:r>
    </w:p>
    <w:p w14:paraId="5012C9EE">
      <w:pPr>
        <w:spacing w:line="360" w:lineRule="auto"/>
        <w:ind w:firstLine="420" w:firstLineChars="200"/>
        <w:rPr>
          <w:rFonts w:ascii="宋体" w:hAnsi="宋体"/>
          <w:color w:val="000000"/>
          <w:highlight w:val="none"/>
        </w:rPr>
      </w:pPr>
      <w:r>
        <w:rPr>
          <w:rFonts w:ascii="宋体" w:hAnsi="宋体"/>
          <w:color w:val="000000"/>
          <w:highlight w:val="none"/>
        </w:rPr>
        <w:t xml:space="preserve">3.3.5 </w:t>
      </w:r>
      <w:r>
        <w:rPr>
          <w:rFonts w:hint="eastAsia" w:ascii="宋体" w:hAnsi="宋体"/>
          <w:color w:val="000000"/>
          <w:highlight w:val="none"/>
        </w:rPr>
        <w:t>承包人擅自更换主要施工管理人员的违约责任：</w:t>
      </w:r>
      <w:r>
        <w:rPr>
          <w:rFonts w:hint="eastAsia" w:ascii="宋体" w:hAnsi="宋体"/>
          <w:color w:val="000000"/>
          <w:highlight w:val="none"/>
          <w:u w:val="single"/>
        </w:rPr>
        <w:t>项目技术负责人、专职安全生产管理人员及其承诺的其它在场管理人员未经发包人书面同意不准擅自更换，擅自更换项目技术负责人处1000元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次（人民币）违约金；擅自更换专职安全生产管理人员处500元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次（人民币）违约金；擅自更换其它在场管理人员处500元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w:t>
      </w:r>
      <w:r>
        <w:rPr>
          <w:rFonts w:hint="eastAsia" w:ascii="宋体" w:hAnsi="宋体"/>
          <w:color w:val="000000"/>
          <w:highlight w:val="none"/>
        </w:rPr>
        <w:t>。</w:t>
      </w:r>
    </w:p>
    <w:p w14:paraId="44911A47">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承包人主要施工管理人员擅自离开施工现场的违约责任：</w:t>
      </w:r>
      <w:r>
        <w:rPr>
          <w:rFonts w:hint="eastAsia" w:ascii="宋体" w:hAnsi="宋体"/>
          <w:color w:val="000000"/>
          <w:highlight w:val="none"/>
          <w:u w:val="single"/>
        </w:rPr>
        <w:t>未经发包人同意，项目技术负责人擅自离岗的，视为承包人违约，发包人有权处违约金3000元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次（人民币）；未经发包人同意，专职安全生产管理人员擅自离岗的，视为承包人违约，发包人有权处违约金1000元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次（人民币）；其它在场管理人员擅自离岗的，视为承包人违约，发包人有权处违约金1000元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05172FA1">
      <w:pPr>
        <w:spacing w:line="360" w:lineRule="auto"/>
        <w:ind w:firstLine="420" w:firstLineChars="200"/>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 xml:space="preserve">.3.6 </w:t>
      </w:r>
      <w:r>
        <w:rPr>
          <w:rFonts w:hint="eastAsia" w:ascii="宋体" w:hAnsi="宋体"/>
          <w:color w:val="000000"/>
          <w:highlight w:val="none"/>
        </w:rPr>
        <w:t>承包人未及时足额发放工人工资（含农民工）的违约责任：</w:t>
      </w:r>
      <w:r>
        <w:rPr>
          <w:rFonts w:hint="eastAsia" w:ascii="宋体" w:hAnsi="宋体"/>
          <w:color w:val="000000"/>
          <w:highlight w:val="none"/>
          <w:u w:val="single"/>
        </w:rPr>
        <w:t>因承包人未及时足额发放而拖欠工人（含农民工）工资造成集体上访、投诉、停工、罢工的，发包人除有权暂停支付工程进度款（如有）外，还有权处违约金1000元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p>
    <w:p w14:paraId="5FCF6D9C">
      <w:pPr>
        <w:spacing w:line="360" w:lineRule="auto"/>
        <w:ind w:firstLine="420" w:firstLineChars="200"/>
        <w:rPr>
          <w:rFonts w:ascii="宋体" w:hAnsi="宋体"/>
          <w:color w:val="000000"/>
          <w:highlight w:val="none"/>
        </w:rPr>
      </w:pPr>
    </w:p>
    <w:p w14:paraId="6F0390CC">
      <w:pPr>
        <w:pStyle w:val="8"/>
        <w:spacing w:before="0" w:after="60"/>
        <w:rPr>
          <w:rFonts w:ascii="宋体" w:hAnsi="宋体"/>
          <w:color w:val="000000"/>
          <w:highlight w:val="none"/>
        </w:rPr>
      </w:pPr>
      <w:bookmarkStart w:id="412" w:name="_Toc389065276"/>
      <w:bookmarkStart w:id="413" w:name="_Toc108539789"/>
      <w:bookmarkStart w:id="414" w:name="_Toc407135212"/>
      <w:bookmarkStart w:id="415" w:name="_Toc373478357"/>
      <w:bookmarkStart w:id="416" w:name="_Toc487632709"/>
      <w:bookmarkStart w:id="417" w:name="_Toc373227710"/>
      <w:bookmarkStart w:id="418" w:name="_Toc19603"/>
      <w:r>
        <w:rPr>
          <w:rFonts w:ascii="宋体" w:hAnsi="宋体"/>
          <w:color w:val="000000"/>
          <w:highlight w:val="none"/>
        </w:rPr>
        <w:t xml:space="preserve">3.5 </w:t>
      </w:r>
      <w:r>
        <w:rPr>
          <w:rFonts w:hint="eastAsia" w:ascii="宋体" w:hAnsi="宋体"/>
          <w:color w:val="000000"/>
          <w:highlight w:val="none"/>
        </w:rPr>
        <w:t>分包</w:t>
      </w:r>
      <w:bookmarkEnd w:id="412"/>
      <w:bookmarkEnd w:id="413"/>
      <w:bookmarkEnd w:id="414"/>
      <w:bookmarkEnd w:id="415"/>
      <w:bookmarkEnd w:id="416"/>
      <w:bookmarkEnd w:id="417"/>
      <w:bookmarkEnd w:id="418"/>
    </w:p>
    <w:p w14:paraId="0647E9F5">
      <w:pPr>
        <w:spacing w:line="360" w:lineRule="auto"/>
        <w:ind w:firstLine="420" w:firstLineChars="200"/>
        <w:rPr>
          <w:rFonts w:ascii="宋体" w:hAnsi="宋体"/>
          <w:color w:val="000000"/>
          <w:highlight w:val="none"/>
        </w:rPr>
      </w:pPr>
      <w:r>
        <w:rPr>
          <w:rFonts w:ascii="宋体" w:hAnsi="宋体"/>
          <w:color w:val="000000"/>
          <w:highlight w:val="none"/>
        </w:rPr>
        <w:t xml:space="preserve">3.5.1 </w:t>
      </w:r>
      <w:r>
        <w:rPr>
          <w:rFonts w:hint="eastAsia" w:ascii="宋体" w:hAnsi="宋体"/>
          <w:color w:val="000000"/>
          <w:highlight w:val="none"/>
        </w:rPr>
        <w:t>分包的一般约定</w:t>
      </w:r>
    </w:p>
    <w:p w14:paraId="4D00579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禁止分包的工程包括：</w:t>
      </w:r>
      <w:r>
        <w:rPr>
          <w:rFonts w:hint="eastAsia" w:ascii="宋体" w:hAnsi="宋体"/>
          <w:color w:val="000000"/>
          <w:highlight w:val="none"/>
          <w:u w:val="single"/>
        </w:rPr>
        <w:t>本工程不允许分包、转包</w:t>
      </w:r>
      <w:r>
        <w:rPr>
          <w:rFonts w:hint="eastAsia" w:ascii="宋体" w:hAnsi="宋体"/>
          <w:color w:val="000000"/>
          <w:highlight w:val="none"/>
        </w:rPr>
        <w:t>。</w:t>
      </w:r>
    </w:p>
    <w:p w14:paraId="57E2890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主体结构、关键性工作的范围：</w:t>
      </w:r>
      <w:r>
        <w:rPr>
          <w:rFonts w:hint="eastAsia" w:ascii="宋体" w:hAnsi="宋体"/>
          <w:color w:val="000000"/>
          <w:highlight w:val="none"/>
          <w:u w:val="single"/>
        </w:rPr>
        <w:t xml:space="preserve">      /         </w:t>
      </w:r>
      <w:r>
        <w:rPr>
          <w:rFonts w:hint="eastAsia" w:ascii="宋体" w:hAnsi="宋体"/>
          <w:color w:val="000000"/>
          <w:highlight w:val="none"/>
        </w:rPr>
        <w:t>。</w:t>
      </w:r>
    </w:p>
    <w:p w14:paraId="48DC1668">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3.5.2 </w:t>
      </w:r>
      <w:r>
        <w:rPr>
          <w:rFonts w:hint="eastAsia" w:ascii="宋体" w:hAnsi="宋体"/>
          <w:color w:val="000000"/>
          <w:highlight w:val="none"/>
        </w:rPr>
        <w:t>分包的确定</w:t>
      </w:r>
    </w:p>
    <w:p w14:paraId="1B81B3DF">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允许分包的专业工程包括：</w:t>
      </w:r>
      <w:r>
        <w:rPr>
          <w:rFonts w:hint="eastAsia" w:ascii="宋体" w:hAnsi="宋体"/>
          <w:color w:val="000000"/>
          <w:highlight w:val="none"/>
          <w:u w:val="single"/>
        </w:rPr>
        <w:t>无</w:t>
      </w:r>
      <w:r>
        <w:rPr>
          <w:rFonts w:hint="eastAsia" w:ascii="宋体" w:hAnsi="宋体"/>
          <w:color w:val="000000"/>
          <w:highlight w:val="none"/>
        </w:rPr>
        <w:t>。</w:t>
      </w:r>
    </w:p>
    <w:p w14:paraId="468FBF17">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其他关于分包的约定：</w:t>
      </w:r>
      <w:r>
        <w:rPr>
          <w:rFonts w:hint="eastAsia" w:ascii="宋体" w:hAnsi="宋体"/>
          <w:color w:val="000000"/>
          <w:highlight w:val="none"/>
          <w:u w:val="single"/>
        </w:rPr>
        <w:t xml:space="preserve">   /     </w:t>
      </w:r>
    </w:p>
    <w:p w14:paraId="3D709C42">
      <w:pPr>
        <w:spacing w:line="360" w:lineRule="auto"/>
        <w:ind w:firstLine="420" w:firstLineChars="200"/>
        <w:rPr>
          <w:rFonts w:ascii="宋体" w:hAnsi="宋体"/>
          <w:color w:val="000000"/>
          <w:highlight w:val="none"/>
        </w:rPr>
      </w:pPr>
      <w:r>
        <w:rPr>
          <w:rFonts w:ascii="宋体" w:hAnsi="宋体"/>
          <w:color w:val="000000"/>
          <w:highlight w:val="none"/>
        </w:rPr>
        <w:t xml:space="preserve">3.5.4 </w:t>
      </w:r>
      <w:r>
        <w:rPr>
          <w:rFonts w:hint="eastAsia" w:ascii="宋体" w:hAnsi="宋体"/>
          <w:color w:val="000000"/>
          <w:highlight w:val="none"/>
        </w:rPr>
        <w:t>分包合同价款</w:t>
      </w:r>
    </w:p>
    <w:p w14:paraId="66E5A33F">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关于分包合同价款支付的约定：</w:t>
      </w:r>
      <w:r>
        <w:rPr>
          <w:rFonts w:hint="eastAsia" w:ascii="宋体" w:hAnsi="宋体"/>
          <w:color w:val="000000"/>
          <w:highlight w:val="none"/>
          <w:u w:val="single"/>
        </w:rPr>
        <w:t>无。</w:t>
      </w:r>
    </w:p>
    <w:p w14:paraId="6751AD4A">
      <w:pPr>
        <w:pStyle w:val="8"/>
        <w:spacing w:before="0" w:after="60"/>
        <w:rPr>
          <w:rFonts w:ascii="宋体" w:hAnsi="宋体"/>
          <w:color w:val="000000"/>
          <w:highlight w:val="none"/>
        </w:rPr>
      </w:pPr>
      <w:bookmarkStart w:id="419" w:name="_Toc108539790"/>
      <w:bookmarkStart w:id="420" w:name="_Toc22032"/>
      <w:bookmarkStart w:id="421" w:name="_Toc487632710"/>
      <w:bookmarkStart w:id="422" w:name="_Toc407135213"/>
      <w:r>
        <w:rPr>
          <w:rFonts w:ascii="宋体" w:hAnsi="宋体"/>
          <w:color w:val="000000"/>
          <w:highlight w:val="none"/>
        </w:rPr>
        <w:t xml:space="preserve">3.6 </w:t>
      </w:r>
      <w:r>
        <w:rPr>
          <w:rFonts w:hint="eastAsia" w:ascii="宋体" w:hAnsi="宋体"/>
          <w:color w:val="000000"/>
          <w:highlight w:val="none"/>
        </w:rPr>
        <w:t>工程照管与成品、半成品保护</w:t>
      </w:r>
      <w:bookmarkEnd w:id="419"/>
      <w:bookmarkEnd w:id="420"/>
      <w:bookmarkEnd w:id="421"/>
      <w:bookmarkEnd w:id="422"/>
    </w:p>
    <w:p w14:paraId="63A9FF5F">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承包人负责照管工程及工程相关的材料、工程设备的起始时间：</w:t>
      </w:r>
      <w:r>
        <w:rPr>
          <w:rFonts w:hint="eastAsia" w:ascii="宋体" w:hAnsi="宋体"/>
          <w:color w:val="000000"/>
          <w:kern w:val="0"/>
          <w:highlight w:val="none"/>
          <w:u w:val="single"/>
        </w:rPr>
        <w:t>从合同签订之日起至竣工验收合格并移交使用方接管之日止，期间所发生的半成品、成品损坏一切责任由承包人负责修复至设计要求</w:t>
      </w:r>
      <w:r>
        <w:rPr>
          <w:rFonts w:hint="eastAsia" w:ascii="宋体" w:hAnsi="宋体"/>
          <w:color w:val="000000"/>
          <w:kern w:val="0"/>
          <w:highlight w:val="none"/>
        </w:rPr>
        <w:t>。</w:t>
      </w:r>
    </w:p>
    <w:p w14:paraId="289DD31D">
      <w:pPr>
        <w:pStyle w:val="8"/>
        <w:spacing w:before="0" w:after="60"/>
        <w:rPr>
          <w:rFonts w:ascii="宋体" w:hAnsi="宋体"/>
          <w:color w:val="000000"/>
          <w:highlight w:val="none"/>
        </w:rPr>
      </w:pPr>
      <w:bookmarkStart w:id="423" w:name="_Toc373227712"/>
      <w:bookmarkStart w:id="424" w:name="_Toc389065278"/>
      <w:bookmarkStart w:id="425" w:name="_Toc373478359"/>
      <w:bookmarkStart w:id="426" w:name="_Toc108539791"/>
      <w:bookmarkStart w:id="427" w:name="_Toc487632711"/>
      <w:bookmarkStart w:id="428" w:name="_Toc407135214"/>
      <w:bookmarkStart w:id="429" w:name="_Toc26415"/>
      <w:r>
        <w:rPr>
          <w:rFonts w:ascii="宋体" w:hAnsi="宋体"/>
          <w:color w:val="000000"/>
          <w:highlight w:val="none"/>
        </w:rPr>
        <w:t xml:space="preserve">3.7 </w:t>
      </w:r>
      <w:r>
        <w:rPr>
          <w:rFonts w:hint="eastAsia" w:ascii="宋体" w:hAnsi="宋体"/>
          <w:color w:val="000000"/>
          <w:highlight w:val="none"/>
        </w:rPr>
        <w:t>履约</w:t>
      </w:r>
      <w:bookmarkEnd w:id="423"/>
      <w:bookmarkEnd w:id="424"/>
      <w:bookmarkEnd w:id="425"/>
      <w:r>
        <w:rPr>
          <w:rFonts w:hint="eastAsia" w:ascii="宋体" w:hAnsi="宋体"/>
          <w:color w:val="000000"/>
          <w:highlight w:val="none"/>
        </w:rPr>
        <w:t>保证金</w:t>
      </w:r>
      <w:bookmarkEnd w:id="426"/>
      <w:bookmarkEnd w:id="427"/>
      <w:bookmarkEnd w:id="428"/>
      <w:bookmarkEnd w:id="429"/>
    </w:p>
    <w:p w14:paraId="2DD4C4B5">
      <w:pPr>
        <w:spacing w:line="360" w:lineRule="auto"/>
        <w:ind w:firstLine="420" w:firstLineChars="200"/>
        <w:jc w:val="left"/>
        <w:rPr>
          <w:rFonts w:hint="eastAsia" w:hAnsi="宋体"/>
          <w:color w:val="000000"/>
          <w:highlight w:val="none"/>
        </w:rPr>
      </w:pPr>
      <w:r>
        <w:rPr>
          <w:rFonts w:hint="eastAsia" w:hAnsi="宋体"/>
          <w:color w:val="000000"/>
          <w:highlight w:val="none"/>
        </w:rPr>
        <w:t>承包人提供履约担保的形式、金额及期限的：</w:t>
      </w:r>
      <w:r>
        <w:rPr>
          <w:rFonts w:hint="eastAsia" w:hAnsi="宋体"/>
          <w:color w:val="000000"/>
          <w:highlight w:val="none"/>
          <w:u w:val="single"/>
        </w:rPr>
        <w:t>承包人在收到中标通知书后，须在</w:t>
      </w:r>
      <w:r>
        <w:rPr>
          <w:rFonts w:hint="eastAsia"/>
          <w:color w:val="000000"/>
          <w:highlight w:val="none"/>
          <w:u w:val="single"/>
        </w:rPr>
        <w:t>10</w:t>
      </w:r>
      <w:r>
        <w:rPr>
          <w:rFonts w:hint="eastAsia" w:hAnsi="宋体"/>
          <w:color w:val="000000"/>
          <w:highlight w:val="none"/>
          <w:u w:val="single"/>
        </w:rPr>
        <w:t>日内向发包人提交合同价款扣除发包人材料设备价款、暂估专业工程、暂列金额后的2</w:t>
      </w:r>
      <w:r>
        <w:rPr>
          <w:color w:val="000000"/>
          <w:highlight w:val="none"/>
          <w:u w:val="single"/>
        </w:rPr>
        <w:t>%</w:t>
      </w:r>
      <w:r>
        <w:rPr>
          <w:rFonts w:hint="eastAsia" w:hAnsi="宋体"/>
          <w:color w:val="000000"/>
          <w:highlight w:val="none"/>
          <w:u w:val="single"/>
        </w:rPr>
        <w:t>的履约担保（格式见合同附件7）。履约担保的有效期应当自本合同生效之日起至发包人签认并由监理人向承包人出具</w:t>
      </w:r>
      <w:r>
        <w:rPr>
          <w:rFonts w:hint="eastAsia"/>
          <w:color w:val="000000"/>
          <w:highlight w:val="none"/>
          <w:u w:val="single"/>
        </w:rPr>
        <w:t>竣工报告</w:t>
      </w:r>
      <w:r>
        <w:rPr>
          <w:rFonts w:hint="eastAsia" w:hAnsi="宋体"/>
          <w:color w:val="000000"/>
          <w:highlight w:val="none"/>
          <w:u w:val="single"/>
        </w:rPr>
        <w:t>（竣工证明材料名称）之日止。如果承包人无法获得一份不带具体截止日期的担保，履约担保中应当有</w:t>
      </w:r>
      <w:r>
        <w:rPr>
          <w:color w:val="000000"/>
          <w:highlight w:val="none"/>
          <w:u w:val="single"/>
        </w:rPr>
        <w:t>“</w:t>
      </w:r>
      <w:r>
        <w:rPr>
          <w:rFonts w:hint="eastAsia" w:hAnsi="宋体"/>
          <w:color w:val="000000"/>
          <w:highlight w:val="none"/>
          <w:u w:val="single"/>
        </w:rPr>
        <w:t>变更工程竣工日期的，保证期间按照变更后的竣工日期做相应调整</w:t>
      </w:r>
      <w:r>
        <w:rPr>
          <w:color w:val="000000"/>
          <w:highlight w:val="none"/>
          <w:u w:val="single"/>
        </w:rPr>
        <w:t>”</w:t>
      </w:r>
      <w:r>
        <w:rPr>
          <w:rFonts w:hint="eastAsia" w:hAnsi="宋体"/>
          <w:color w:val="000000"/>
          <w:highlight w:val="none"/>
          <w:u w:val="single"/>
        </w:rPr>
        <w:t>或类似约定的条款。</w:t>
      </w:r>
    </w:p>
    <w:p w14:paraId="0204D06D">
      <w:pPr>
        <w:spacing w:line="360" w:lineRule="auto"/>
        <w:ind w:firstLine="420" w:firstLineChars="200"/>
        <w:jc w:val="left"/>
        <w:rPr>
          <w:rFonts w:hint="eastAsia" w:hAnsi="宋体"/>
          <w:color w:val="000000"/>
          <w:highlight w:val="none"/>
          <w:lang w:eastAsia="zh-CN"/>
        </w:rPr>
      </w:pPr>
      <w:r>
        <w:rPr>
          <w:rFonts w:hint="eastAsia" w:hAnsi="宋体"/>
          <w:color w:val="000000"/>
          <w:highlight w:val="none"/>
          <w:lang w:eastAsia="zh-CN"/>
        </w:rPr>
        <w:t>承包人</w:t>
      </w:r>
      <w:r>
        <w:rPr>
          <w:rFonts w:hint="eastAsia" w:hAnsi="宋体"/>
          <w:color w:val="000000"/>
          <w:highlight w:val="none"/>
        </w:rPr>
        <w:t>提供</w:t>
      </w:r>
      <w:r>
        <w:rPr>
          <w:rFonts w:hint="eastAsia" w:hAnsi="宋体"/>
          <w:color w:val="000000"/>
          <w:highlight w:val="none"/>
          <w:lang w:eastAsia="zh-CN"/>
        </w:rPr>
        <w:t>履约</w:t>
      </w:r>
      <w:r>
        <w:rPr>
          <w:rFonts w:hint="eastAsia" w:hAnsi="宋体"/>
          <w:color w:val="000000"/>
          <w:highlight w:val="none"/>
        </w:rPr>
        <w:t>担保的形式：</w:t>
      </w:r>
      <w:r>
        <w:rPr>
          <w:rFonts w:hint="eastAsia"/>
          <w:color w:val="000000"/>
          <w:highlight w:val="none"/>
          <w:u w:val="single"/>
          <w:lang w:eastAsia="zh-CN"/>
        </w:rPr>
        <w:t>可以是</w:t>
      </w:r>
      <w:r>
        <w:rPr>
          <w:rFonts w:hint="eastAsia" w:hAnsi="宋体"/>
          <w:color w:val="000000"/>
          <w:highlight w:val="none"/>
        </w:rPr>
        <w:t>银行转账、电汇或网上支付、保函（银行保函、电子</w:t>
      </w:r>
      <w:r>
        <w:rPr>
          <w:rFonts w:hAnsi="宋体"/>
          <w:color w:val="000000"/>
          <w:highlight w:val="none"/>
        </w:rPr>
        <w:t>保函</w:t>
      </w:r>
      <w:r>
        <w:rPr>
          <w:rFonts w:hint="eastAsia" w:hAnsi="宋体"/>
          <w:color w:val="000000"/>
          <w:highlight w:val="none"/>
        </w:rPr>
        <w:t>、保证保险保函、工程担保保函）等形式</w:t>
      </w:r>
      <w:r>
        <w:rPr>
          <w:rFonts w:hint="eastAsia" w:hAnsi="宋体"/>
          <w:color w:val="000000"/>
          <w:highlight w:val="none"/>
          <w:lang w:eastAsia="zh-CN"/>
        </w:rPr>
        <w:t>，具体担保形式以双方商定为准</w:t>
      </w:r>
      <w:r>
        <w:rPr>
          <w:rFonts w:hint="eastAsia" w:hAnsi="宋体"/>
          <w:color w:val="000000"/>
          <w:highlight w:val="none"/>
        </w:rPr>
        <w:t>。</w:t>
      </w:r>
      <w:r>
        <w:rPr>
          <w:rFonts w:hint="eastAsia" w:hAnsi="宋体"/>
          <w:color w:val="000000"/>
          <w:highlight w:val="none"/>
          <w:u w:val="single"/>
        </w:rPr>
        <w:t>工程担保保证人应将出具的保函相关信息录入“广西建筑市场监管云”平台（http://gxjzsc.caihcloud.com），以实现保函查询及验真功能</w:t>
      </w:r>
      <w:r>
        <w:rPr>
          <w:rFonts w:hint="eastAsia" w:hAnsi="宋体"/>
          <w:color w:val="000000"/>
          <w:highlight w:val="none"/>
          <w:u w:val="single"/>
          <w:lang w:eastAsia="zh-CN"/>
        </w:rPr>
        <w:t>。</w:t>
      </w:r>
    </w:p>
    <w:p w14:paraId="5BB90E57">
      <w:pPr>
        <w:pStyle w:val="31"/>
        <w:ind w:firstLine="420" w:firstLineChars="200"/>
        <w:rPr>
          <w:rFonts w:hint="eastAsia" w:hAnsi="宋体"/>
          <w:color w:val="000000"/>
          <w:highlight w:val="none"/>
          <w:u w:val="single"/>
        </w:rPr>
      </w:pPr>
      <w:r>
        <w:rPr>
          <w:rFonts w:hint="eastAsia" w:hAnsi="宋体"/>
          <w:color w:val="000000"/>
          <w:highlight w:val="none"/>
          <w:u w:val="single"/>
        </w:rPr>
        <w:t>工程竣工验收合格并对验收发现的问题完成整改后的</w:t>
      </w:r>
      <w:r>
        <w:rPr>
          <w:color w:val="000000"/>
          <w:highlight w:val="none"/>
          <w:u w:val="single"/>
        </w:rPr>
        <w:t>7</w:t>
      </w:r>
      <w:r>
        <w:rPr>
          <w:rFonts w:hint="eastAsia" w:hAnsi="宋体"/>
          <w:color w:val="000000"/>
          <w:highlight w:val="none"/>
          <w:u w:val="single"/>
        </w:rPr>
        <w:t>个日历天内，发包人支付履约保证金的</w:t>
      </w:r>
      <w:r>
        <w:rPr>
          <w:color w:val="000000"/>
          <w:highlight w:val="none"/>
          <w:u w:val="single"/>
        </w:rPr>
        <w:t>50%</w:t>
      </w:r>
      <w:r>
        <w:rPr>
          <w:rFonts w:hint="eastAsia" w:hAnsi="宋体"/>
          <w:color w:val="000000"/>
          <w:highlight w:val="none"/>
          <w:u w:val="single"/>
        </w:rPr>
        <w:t>；承包人向发包人完成（施工）竣工资料移交手续后，可向发包人申请退还剩余履约保证金，发包人应在收到申请之日起</w:t>
      </w:r>
      <w:r>
        <w:rPr>
          <w:color w:val="000000"/>
          <w:highlight w:val="none"/>
          <w:u w:val="single"/>
        </w:rPr>
        <w:t>28</w:t>
      </w:r>
      <w:r>
        <w:rPr>
          <w:rFonts w:hint="eastAsia" w:hAnsi="宋体"/>
          <w:color w:val="000000"/>
          <w:highlight w:val="none"/>
          <w:u w:val="single"/>
        </w:rPr>
        <w:t>个日历天内扣减承包人赔偿金和其他应从承包人扣回的款项后，将履约保证金的余额退还给承包人。</w:t>
      </w:r>
    </w:p>
    <w:p w14:paraId="66F7E30A">
      <w:pPr>
        <w:pStyle w:val="7"/>
        <w:rPr>
          <w:rFonts w:ascii="宋体" w:hAnsi="宋体" w:eastAsia="宋体"/>
          <w:color w:val="000000"/>
          <w:highlight w:val="none"/>
        </w:rPr>
      </w:pPr>
      <w:r>
        <w:rPr>
          <w:rFonts w:ascii="宋体" w:hAnsi="宋体" w:eastAsia="宋体"/>
          <w:color w:val="000000"/>
          <w:highlight w:val="none"/>
        </w:rPr>
        <w:t>4</w:t>
      </w:r>
      <w:bookmarkStart w:id="430" w:name="_Toc296944501"/>
      <w:bookmarkStart w:id="431" w:name="_Toc297048348"/>
      <w:bookmarkStart w:id="432" w:name="_Toc296347161"/>
      <w:bookmarkStart w:id="433" w:name="_Toc296503162"/>
      <w:bookmarkStart w:id="434" w:name="_Toc292559871"/>
      <w:bookmarkStart w:id="435" w:name="_Toc267251413"/>
      <w:bookmarkStart w:id="436" w:name="_Toc296346663"/>
      <w:bookmarkStart w:id="437" w:name="_Toc297120462"/>
      <w:bookmarkStart w:id="438" w:name="_Toc296890990"/>
      <w:bookmarkStart w:id="439" w:name="_Toc296891202"/>
      <w:bookmarkStart w:id="440" w:name="_Toc292559366"/>
      <w:r>
        <w:rPr>
          <w:rFonts w:ascii="宋体" w:hAnsi="宋体" w:eastAsia="宋体"/>
          <w:color w:val="000000"/>
          <w:highlight w:val="none"/>
        </w:rPr>
        <w:t xml:space="preserve">. </w:t>
      </w:r>
      <w:r>
        <w:rPr>
          <w:rFonts w:hint="eastAsia" w:ascii="宋体" w:hAnsi="宋体" w:eastAsia="宋体"/>
          <w:color w:val="000000"/>
          <w:highlight w:val="none"/>
        </w:rPr>
        <w:t>监</w:t>
      </w:r>
      <w:bookmarkEnd w:id="430"/>
      <w:bookmarkEnd w:id="431"/>
      <w:bookmarkEnd w:id="432"/>
      <w:bookmarkEnd w:id="433"/>
      <w:bookmarkEnd w:id="434"/>
      <w:bookmarkEnd w:id="435"/>
      <w:bookmarkEnd w:id="436"/>
      <w:bookmarkEnd w:id="437"/>
      <w:bookmarkEnd w:id="438"/>
      <w:bookmarkEnd w:id="439"/>
      <w:bookmarkEnd w:id="440"/>
      <w:r>
        <w:rPr>
          <w:rFonts w:hint="eastAsia" w:ascii="宋体" w:hAnsi="宋体" w:eastAsia="宋体"/>
          <w:color w:val="000000"/>
          <w:highlight w:val="none"/>
        </w:rPr>
        <w:t>理人</w:t>
      </w:r>
    </w:p>
    <w:p w14:paraId="407F68F2">
      <w:pPr>
        <w:pStyle w:val="8"/>
        <w:spacing w:before="0" w:after="60"/>
        <w:rPr>
          <w:rFonts w:ascii="宋体" w:hAnsi="宋体"/>
          <w:color w:val="000000"/>
          <w:highlight w:val="none"/>
        </w:rPr>
      </w:pPr>
      <w:bookmarkStart w:id="441" w:name="_Toc108539793"/>
      <w:bookmarkStart w:id="442" w:name="_Toc407135216"/>
      <w:bookmarkStart w:id="443" w:name="_Toc487632713"/>
      <w:bookmarkStart w:id="444" w:name="_Toc373478361"/>
      <w:bookmarkStart w:id="445" w:name="_Toc7736"/>
      <w:bookmarkStart w:id="446" w:name="_Toc389065280"/>
      <w:bookmarkStart w:id="447" w:name="_Toc373227714"/>
      <w:r>
        <w:rPr>
          <w:rFonts w:ascii="宋体" w:hAnsi="宋体"/>
          <w:color w:val="000000"/>
          <w:highlight w:val="none"/>
        </w:rPr>
        <w:t xml:space="preserve">4.1 </w:t>
      </w:r>
      <w:r>
        <w:rPr>
          <w:rFonts w:hint="eastAsia" w:ascii="宋体" w:hAnsi="宋体"/>
          <w:color w:val="000000"/>
          <w:highlight w:val="none"/>
        </w:rPr>
        <w:t>监理人的一般规定</w:t>
      </w:r>
      <w:bookmarkEnd w:id="441"/>
      <w:bookmarkEnd w:id="442"/>
      <w:bookmarkEnd w:id="443"/>
      <w:bookmarkEnd w:id="444"/>
      <w:bookmarkEnd w:id="445"/>
      <w:bookmarkEnd w:id="446"/>
      <w:bookmarkEnd w:id="447"/>
    </w:p>
    <w:p w14:paraId="1735BF8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关于监理人的监理内容：</w:t>
      </w:r>
      <w:r>
        <w:rPr>
          <w:rFonts w:hint="eastAsia" w:ascii="宋体" w:hAnsi="宋体"/>
          <w:color w:val="000000"/>
          <w:highlight w:val="none"/>
          <w:u w:val="single"/>
        </w:rPr>
        <w:t>图纸或工程量清单范围内的全部内容（包括设计变更）</w:t>
      </w:r>
      <w:r>
        <w:rPr>
          <w:rFonts w:hint="eastAsia" w:ascii="宋体" w:hAnsi="宋体"/>
          <w:color w:val="000000"/>
          <w:highlight w:val="none"/>
        </w:rPr>
        <w:t>。</w:t>
      </w:r>
    </w:p>
    <w:p w14:paraId="14DDCE5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关于监理人的监理权限：</w:t>
      </w:r>
      <w:r>
        <w:rPr>
          <w:rFonts w:hint="eastAsia" w:ascii="宋体" w:hAnsi="宋体"/>
          <w:color w:val="000000"/>
          <w:highlight w:val="none"/>
          <w:u w:val="single"/>
        </w:rPr>
        <w:t>按监理合同约定</w:t>
      </w:r>
      <w:r>
        <w:rPr>
          <w:rFonts w:hint="eastAsia" w:ascii="宋体" w:hAnsi="宋体"/>
          <w:color w:val="000000"/>
          <w:highlight w:val="none"/>
        </w:rPr>
        <w:t>。</w:t>
      </w:r>
    </w:p>
    <w:p w14:paraId="0B047C9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关于监理人在施工现场的办公场所、生活场所的提供和费用承担的约定：</w:t>
      </w:r>
      <w:r>
        <w:rPr>
          <w:rFonts w:hint="eastAsia" w:ascii="宋体" w:hAnsi="宋体"/>
          <w:color w:val="000000"/>
          <w:highlight w:val="none"/>
          <w:u w:val="single"/>
        </w:rPr>
        <w:t>由承包人承担，承包人磋商报价时综合考虑此项费用</w:t>
      </w:r>
      <w:r>
        <w:rPr>
          <w:rFonts w:hint="eastAsia" w:ascii="宋体" w:hAnsi="宋体"/>
          <w:color w:val="000000"/>
          <w:highlight w:val="none"/>
        </w:rPr>
        <w:t>。</w:t>
      </w:r>
    </w:p>
    <w:p w14:paraId="5E4ECD08">
      <w:pPr>
        <w:pStyle w:val="8"/>
        <w:spacing w:before="0" w:after="60"/>
        <w:rPr>
          <w:rFonts w:ascii="宋体" w:hAnsi="宋体"/>
          <w:color w:val="000000"/>
          <w:highlight w:val="none"/>
        </w:rPr>
      </w:pPr>
      <w:bookmarkStart w:id="448" w:name="_Toc15621"/>
      <w:bookmarkStart w:id="449" w:name="_Toc108539794"/>
      <w:r>
        <w:rPr>
          <w:rFonts w:ascii="宋体" w:hAnsi="宋体"/>
          <w:color w:val="000000"/>
          <w:highlight w:val="none"/>
        </w:rPr>
        <w:t xml:space="preserve">4.2 </w:t>
      </w:r>
      <w:r>
        <w:rPr>
          <w:rFonts w:hint="eastAsia" w:ascii="宋体" w:hAnsi="宋体"/>
          <w:color w:val="000000"/>
          <w:highlight w:val="none"/>
        </w:rPr>
        <w:t>监理人员</w:t>
      </w:r>
      <w:bookmarkEnd w:id="448"/>
      <w:bookmarkEnd w:id="449"/>
    </w:p>
    <w:p w14:paraId="7050D3FA">
      <w:pPr>
        <w:spacing w:line="360" w:lineRule="auto"/>
        <w:ind w:firstLine="420" w:firstLineChars="200"/>
        <w:rPr>
          <w:rFonts w:hint="eastAsia" w:ascii="宋体" w:hAnsi="宋体"/>
          <w:color w:val="000000"/>
          <w:highlight w:val="none"/>
        </w:rPr>
      </w:pPr>
      <w:r>
        <w:rPr>
          <w:rFonts w:hint="eastAsia" w:ascii="宋体" w:hAnsi="宋体"/>
          <w:color w:val="000000"/>
          <w:highlight w:val="none"/>
        </w:rPr>
        <w:t>总监理工程师：</w:t>
      </w:r>
    </w:p>
    <w:p w14:paraId="74D838A0">
      <w:pPr>
        <w:spacing w:line="360" w:lineRule="auto"/>
        <w:ind w:firstLine="420" w:firstLineChars="200"/>
        <w:rPr>
          <w:rFonts w:ascii="宋体" w:hAnsi="宋体"/>
          <w:color w:val="000000"/>
          <w:highlight w:val="none"/>
        </w:rPr>
      </w:pPr>
      <w:r>
        <w:rPr>
          <w:rFonts w:ascii="宋体" w:hAnsi="宋体"/>
          <w:color w:val="000000"/>
          <w:highlight w:val="none"/>
        </w:rPr>
        <w:t>姓</w:t>
      </w:r>
      <w:r>
        <w:rPr>
          <w:rFonts w:hint="eastAsia" w:ascii="宋体" w:hAnsi="宋体"/>
          <w:color w:val="000000"/>
          <w:highlight w:val="none"/>
          <w:lang w:val="en-US" w:eastAsia="zh-CN"/>
        </w:rPr>
        <w:t xml:space="preserve">    </w:t>
      </w:r>
      <w:r>
        <w:rPr>
          <w:rFonts w:ascii="宋体" w:hAnsi="宋体"/>
          <w:color w:val="000000"/>
          <w:highlight w:val="none"/>
        </w:rPr>
        <w:t>名：</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759CFCC7">
      <w:pPr>
        <w:spacing w:line="360" w:lineRule="auto"/>
        <w:ind w:firstLine="420" w:firstLineChars="200"/>
        <w:rPr>
          <w:rFonts w:ascii="宋体" w:hAnsi="宋体"/>
          <w:color w:val="000000"/>
          <w:highlight w:val="none"/>
        </w:rPr>
      </w:pPr>
      <w:r>
        <w:rPr>
          <w:rFonts w:ascii="宋体" w:hAnsi="宋体"/>
          <w:color w:val="000000"/>
          <w:highlight w:val="none"/>
        </w:rPr>
        <w:t>职</w:t>
      </w:r>
      <w:r>
        <w:rPr>
          <w:rFonts w:hint="eastAsia" w:ascii="宋体" w:hAnsi="宋体"/>
          <w:color w:val="000000"/>
          <w:highlight w:val="none"/>
          <w:lang w:val="en-US" w:eastAsia="zh-CN"/>
        </w:rPr>
        <w:t xml:space="preserve">    </w:t>
      </w:r>
      <w:r>
        <w:rPr>
          <w:rFonts w:ascii="宋体" w:hAnsi="宋体"/>
          <w:color w:val="000000"/>
          <w:highlight w:val="none"/>
        </w:rPr>
        <w:t>务：</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36D69A5C">
      <w:pPr>
        <w:spacing w:line="360" w:lineRule="auto"/>
        <w:ind w:firstLine="420" w:firstLineChars="200"/>
        <w:rPr>
          <w:rFonts w:ascii="宋体" w:hAnsi="宋体"/>
          <w:color w:val="000000"/>
          <w:highlight w:val="none"/>
        </w:rPr>
      </w:pPr>
      <w:r>
        <w:rPr>
          <w:rFonts w:ascii="宋体" w:hAnsi="宋体"/>
          <w:color w:val="000000"/>
          <w:highlight w:val="none"/>
        </w:rPr>
        <w:t>监理工程师执业资格证书号：</w:t>
      </w:r>
      <w:r>
        <w:rPr>
          <w:rFonts w:hint="eastAsia" w:ascii="宋体" w:hAnsi="宋体"/>
          <w:color w:val="000000"/>
          <w:highlight w:val="none"/>
          <w:u w:val="single"/>
        </w:rPr>
        <w:t></w:t>
      </w:r>
      <w:r>
        <w:rPr>
          <w:rFonts w:ascii="宋体" w:hAnsi="宋体"/>
          <w:color w:val="000000"/>
          <w:highlight w:val="none"/>
        </w:rPr>
        <w:t>；</w:t>
      </w:r>
    </w:p>
    <w:p w14:paraId="220574F6">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66ACB95E">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7C293451">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58235407">
      <w:pPr>
        <w:spacing w:line="360" w:lineRule="auto"/>
        <w:ind w:firstLine="420" w:firstLineChars="200"/>
        <w:rPr>
          <w:rFonts w:ascii="宋体" w:hAnsi="宋体"/>
          <w:color w:val="000000"/>
          <w:highlight w:val="none"/>
        </w:rPr>
      </w:pPr>
      <w:r>
        <w:rPr>
          <w:rFonts w:ascii="宋体" w:hAnsi="宋体"/>
          <w:color w:val="000000"/>
          <w:highlight w:val="none"/>
        </w:rPr>
        <w:t>关于监理人的其他约定：</w:t>
      </w:r>
      <w:r>
        <w:rPr>
          <w:rFonts w:hint="eastAsia" w:ascii="宋体" w:hAnsi="宋体"/>
          <w:color w:val="000000"/>
          <w:highlight w:val="none"/>
          <w:u w:val="single"/>
        </w:rPr>
        <w:t>协助发包人做好施工现场的协调工作</w:t>
      </w:r>
      <w:r>
        <w:rPr>
          <w:rFonts w:ascii="宋体" w:hAnsi="宋体"/>
          <w:color w:val="000000"/>
          <w:highlight w:val="none"/>
        </w:rPr>
        <w:t>。</w:t>
      </w:r>
    </w:p>
    <w:p w14:paraId="6E242649">
      <w:pPr>
        <w:pStyle w:val="8"/>
        <w:spacing w:before="0" w:after="60"/>
        <w:rPr>
          <w:rFonts w:ascii="宋体" w:hAnsi="宋体"/>
          <w:color w:val="000000"/>
          <w:highlight w:val="none"/>
        </w:rPr>
      </w:pPr>
      <w:bookmarkStart w:id="450" w:name="_Toc389065282"/>
      <w:bookmarkStart w:id="451" w:name="_Toc108539795"/>
      <w:bookmarkStart w:id="452" w:name="_Toc407135218"/>
      <w:bookmarkStart w:id="453" w:name="_Toc6623"/>
      <w:bookmarkStart w:id="454" w:name="_Toc373478363"/>
      <w:bookmarkStart w:id="455" w:name="_Toc487632715"/>
      <w:bookmarkStart w:id="456" w:name="_Toc373227716"/>
      <w:r>
        <w:rPr>
          <w:rFonts w:ascii="宋体" w:hAnsi="宋体"/>
          <w:color w:val="000000"/>
          <w:highlight w:val="none"/>
        </w:rPr>
        <w:t xml:space="preserve">4.4 </w:t>
      </w:r>
      <w:r>
        <w:rPr>
          <w:rFonts w:hint="eastAsia" w:ascii="宋体" w:hAnsi="宋体"/>
          <w:color w:val="000000"/>
          <w:highlight w:val="none"/>
        </w:rPr>
        <w:t>商定或确定</w:t>
      </w:r>
      <w:bookmarkEnd w:id="450"/>
      <w:bookmarkEnd w:id="451"/>
      <w:bookmarkEnd w:id="452"/>
      <w:bookmarkEnd w:id="453"/>
      <w:bookmarkEnd w:id="454"/>
      <w:bookmarkEnd w:id="455"/>
      <w:bookmarkEnd w:id="456"/>
    </w:p>
    <w:p w14:paraId="30B2CE43">
      <w:pPr>
        <w:spacing w:line="360" w:lineRule="auto"/>
        <w:ind w:firstLine="420" w:firstLineChars="200"/>
        <w:rPr>
          <w:rFonts w:hint="eastAsia" w:ascii="宋体" w:hAnsi="宋体"/>
          <w:color w:val="000000"/>
          <w:highlight w:val="none"/>
        </w:rPr>
      </w:pPr>
      <w:r>
        <w:rPr>
          <w:rFonts w:hint="eastAsia" w:ascii="宋体" w:hAnsi="宋体"/>
          <w:color w:val="000000"/>
          <w:highlight w:val="none"/>
        </w:rPr>
        <w:t>在发包人和承包人不能通过协商达成一致意见时，发包人授权监理人对以下事项进行确定：</w:t>
      </w:r>
    </w:p>
    <w:p w14:paraId="125F6EA9">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（1）</w:t>
      </w:r>
      <w:r>
        <w:rPr>
          <w:rFonts w:hint="eastAsia" w:ascii="宋体" w:hAnsi="宋体"/>
          <w:color w:val="000000"/>
          <w:highlight w:val="none"/>
          <w:u w:val="single"/>
        </w:rPr>
        <w:t></w:t>
      </w:r>
      <w:r>
        <w:rPr>
          <w:rFonts w:hint="eastAsia" w:ascii="宋体" w:hAnsi="宋体"/>
          <w:color w:val="000000"/>
          <w:highlight w:val="none"/>
        </w:rPr>
        <w:t>；</w:t>
      </w:r>
    </w:p>
    <w:p w14:paraId="23667465">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（2）</w:t>
      </w:r>
      <w:r>
        <w:rPr>
          <w:rFonts w:hint="eastAsia" w:ascii="宋体" w:hAnsi="宋体"/>
          <w:color w:val="000000"/>
          <w:highlight w:val="none"/>
          <w:u w:val="single"/>
        </w:rPr>
        <w:t></w:t>
      </w:r>
      <w:r>
        <w:rPr>
          <w:rFonts w:hint="eastAsia" w:ascii="宋体" w:hAnsi="宋体"/>
          <w:color w:val="000000"/>
          <w:highlight w:val="none"/>
        </w:rPr>
        <w:t>；</w:t>
      </w:r>
    </w:p>
    <w:p w14:paraId="5E4E9C5E">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（3）</w:t>
      </w:r>
      <w:r>
        <w:rPr>
          <w:rFonts w:hint="eastAsia" w:ascii="宋体" w:hAnsi="宋体"/>
          <w:color w:val="000000"/>
          <w:highlight w:val="none"/>
          <w:u w:val="single"/>
        </w:rPr>
        <w:t></w:t>
      </w:r>
      <w:r>
        <w:rPr>
          <w:rFonts w:hint="eastAsia" w:ascii="宋体" w:hAnsi="宋体"/>
          <w:color w:val="000000"/>
          <w:highlight w:val="none"/>
        </w:rPr>
        <w:t>。</w:t>
      </w:r>
    </w:p>
    <w:p w14:paraId="3C81709E">
      <w:pPr>
        <w:pStyle w:val="7"/>
        <w:rPr>
          <w:rFonts w:ascii="宋体" w:hAnsi="宋体" w:eastAsia="宋体"/>
          <w:color w:val="000000"/>
          <w:highlight w:val="none"/>
        </w:rPr>
      </w:pPr>
      <w:bookmarkStart w:id="457" w:name="_Toc7683"/>
      <w:bookmarkStart w:id="458" w:name="_Toc108539796"/>
      <w:r>
        <w:rPr>
          <w:rFonts w:ascii="宋体" w:hAnsi="宋体" w:eastAsia="宋体"/>
          <w:color w:val="000000"/>
          <w:highlight w:val="none"/>
        </w:rPr>
        <w:t xml:space="preserve">5. </w:t>
      </w:r>
      <w:r>
        <w:rPr>
          <w:rFonts w:hint="eastAsia" w:ascii="宋体" w:hAnsi="宋体" w:eastAsia="宋体"/>
          <w:color w:val="000000"/>
          <w:highlight w:val="none"/>
        </w:rPr>
        <w:t>工程质量</w:t>
      </w:r>
      <w:bookmarkEnd w:id="457"/>
      <w:bookmarkEnd w:id="458"/>
    </w:p>
    <w:p w14:paraId="7E2B1ECB">
      <w:pPr>
        <w:pStyle w:val="8"/>
        <w:spacing w:before="0" w:after="60"/>
        <w:rPr>
          <w:rFonts w:ascii="宋体" w:hAnsi="宋体"/>
          <w:color w:val="000000"/>
          <w:highlight w:val="none"/>
        </w:rPr>
      </w:pPr>
      <w:bookmarkStart w:id="459" w:name="_Toc487632717"/>
      <w:bookmarkStart w:id="460" w:name="_Toc407135220"/>
      <w:bookmarkStart w:id="461" w:name="_Toc108539797"/>
      <w:bookmarkStart w:id="462" w:name="_Toc373227718"/>
      <w:bookmarkStart w:id="463" w:name="_Toc373478365"/>
      <w:bookmarkStart w:id="464" w:name="_Toc389065284"/>
      <w:bookmarkStart w:id="465" w:name="_Toc11820"/>
      <w:r>
        <w:rPr>
          <w:rFonts w:ascii="宋体" w:hAnsi="宋体"/>
          <w:color w:val="000000"/>
          <w:highlight w:val="none"/>
        </w:rPr>
        <w:t xml:space="preserve">5.1 </w:t>
      </w:r>
      <w:r>
        <w:rPr>
          <w:rFonts w:hint="eastAsia" w:ascii="宋体" w:hAnsi="宋体"/>
          <w:color w:val="000000"/>
          <w:highlight w:val="none"/>
        </w:rPr>
        <w:t>质量要求</w:t>
      </w:r>
      <w:bookmarkEnd w:id="459"/>
      <w:bookmarkEnd w:id="460"/>
      <w:bookmarkEnd w:id="461"/>
      <w:bookmarkEnd w:id="462"/>
      <w:bookmarkEnd w:id="463"/>
      <w:bookmarkEnd w:id="464"/>
      <w:bookmarkEnd w:id="465"/>
    </w:p>
    <w:p w14:paraId="60343041">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5.1.1 </w:t>
      </w:r>
      <w:r>
        <w:rPr>
          <w:rFonts w:hint="eastAsia" w:ascii="宋体" w:hAnsi="宋体"/>
          <w:color w:val="000000"/>
          <w:highlight w:val="none"/>
        </w:rPr>
        <w:t>特殊质量标准和要求</w:t>
      </w:r>
      <w:r>
        <w:rPr>
          <w:rFonts w:hint="eastAsia" w:ascii="宋体" w:hAnsi="宋体"/>
          <w:color w:val="000000"/>
          <w:highlight w:val="none"/>
          <w:u w:val="single"/>
        </w:rPr>
        <w:t>：规范达标、绿色可靠、文档齐全、零缺陷作为质量总体目标。满足国家、行业、质量标准、控制标准和验收规范，在质量管理过程中达到或超过质量标准，杜绝重大设备一般及以上质量事故，确保工程无永久性缺陷。通过各级验收合格并完成启动。工程实体量化评价达到合格等级。</w:t>
      </w:r>
    </w:p>
    <w:p w14:paraId="187207D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关于工程奖项的约定：</w:t>
      </w:r>
      <w:r>
        <w:rPr>
          <w:rFonts w:hint="eastAsia" w:ascii="宋体" w:hAnsi="宋体"/>
          <w:color w:val="000000"/>
          <w:highlight w:val="none"/>
          <w:u w:val="single"/>
        </w:rPr>
        <w:t>无。</w:t>
      </w:r>
    </w:p>
    <w:p w14:paraId="374A385C">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5.3 </w:t>
      </w:r>
      <w:r>
        <w:rPr>
          <w:rFonts w:hint="eastAsia" w:ascii="宋体" w:hAnsi="宋体"/>
          <w:color w:val="000000"/>
          <w:highlight w:val="none"/>
        </w:rPr>
        <w:t>隐蔽工程检查</w:t>
      </w:r>
    </w:p>
    <w:p w14:paraId="66B8A2D4">
      <w:pPr>
        <w:spacing w:line="360" w:lineRule="auto"/>
        <w:ind w:firstLine="420" w:firstLineChars="200"/>
        <w:jc w:val="left"/>
        <w:rPr>
          <w:rFonts w:ascii="宋体" w:hAnsi="宋体"/>
          <w:color w:val="000000"/>
          <w:highlight w:val="none"/>
        </w:rPr>
      </w:pPr>
      <w:r>
        <w:rPr>
          <w:rFonts w:ascii="宋体" w:hAnsi="宋体"/>
          <w:color w:val="000000"/>
          <w:highlight w:val="none"/>
        </w:rPr>
        <w:t>5.3.2</w:t>
      </w:r>
      <w:r>
        <w:rPr>
          <w:rFonts w:hint="eastAsia" w:ascii="宋体" w:hAnsi="宋体"/>
          <w:color w:val="000000"/>
          <w:highlight w:val="none"/>
        </w:rPr>
        <w:t>承包人提前通知监理人隐蔽工程检查的期限的约定：</w:t>
      </w:r>
      <w:r>
        <w:rPr>
          <w:rFonts w:hint="eastAsia" w:ascii="宋体" w:hAnsi="宋体"/>
          <w:color w:val="000000"/>
          <w:highlight w:val="none"/>
          <w:u w:val="single"/>
        </w:rPr>
        <w:t>工程隐蔽或中间验收前</w:t>
      </w:r>
      <w:r>
        <w:rPr>
          <w:rFonts w:ascii="宋体" w:hAnsi="宋体"/>
          <w:color w:val="000000"/>
          <w:highlight w:val="none"/>
          <w:u w:val="single"/>
        </w:rPr>
        <w:t>12</w:t>
      </w:r>
      <w:r>
        <w:rPr>
          <w:rFonts w:hint="eastAsia" w:ascii="宋体" w:hAnsi="宋体"/>
          <w:color w:val="000000"/>
          <w:highlight w:val="none"/>
          <w:u w:val="singl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47251A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监理人不能按时进行检查时，应提前</w:t>
      </w:r>
      <w:r>
        <w:rPr>
          <w:rFonts w:hint="eastAsia" w:ascii="宋体" w:hAnsi="宋体"/>
          <w:color w:val="000000"/>
          <w:highlight w:val="none"/>
          <w:u w:val="single"/>
        </w:rPr>
        <w:t>24</w:t>
      </w:r>
      <w:r>
        <w:rPr>
          <w:rFonts w:hint="eastAsia" w:ascii="宋体" w:hAnsi="宋体"/>
          <w:color w:val="000000"/>
          <w:highlight w:val="none"/>
        </w:rPr>
        <w:t>小时提交书面延期要求。</w:t>
      </w:r>
    </w:p>
    <w:p w14:paraId="148F5FB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关于延期最长不得超过：</w:t>
      </w:r>
      <w:r>
        <w:rPr>
          <w:rFonts w:hint="eastAsia" w:ascii="宋体" w:hAnsi="宋体"/>
          <w:color w:val="000000"/>
          <w:highlight w:val="none"/>
          <w:u w:val="single"/>
        </w:rPr>
        <w:t>48</w:t>
      </w:r>
      <w:r>
        <w:rPr>
          <w:rFonts w:hint="eastAsia" w:ascii="宋体" w:hAnsi="宋体"/>
          <w:color w:val="000000"/>
          <w:highlight w:val="none"/>
        </w:rPr>
        <w:t>小时。</w:t>
      </w:r>
    </w:p>
    <w:p w14:paraId="1623F817">
      <w:pPr>
        <w:pStyle w:val="7"/>
        <w:rPr>
          <w:rFonts w:ascii="宋体" w:hAnsi="宋体" w:eastAsia="宋体"/>
          <w:color w:val="000000"/>
          <w:highlight w:val="none"/>
        </w:rPr>
      </w:pPr>
      <w:bookmarkStart w:id="466" w:name="_Toc389065285"/>
      <w:bookmarkStart w:id="467" w:name="_Toc487632718"/>
      <w:bookmarkStart w:id="468" w:name="_Toc8673"/>
      <w:bookmarkStart w:id="469" w:name="_Toc407135221"/>
      <w:bookmarkStart w:id="470" w:name="_Toc108539798"/>
      <w:bookmarkStart w:id="471" w:name="_Toc351203638"/>
      <w:bookmarkStart w:id="472" w:name="_Toc373227719"/>
      <w:bookmarkStart w:id="473" w:name="_Toc373478366"/>
      <w:r>
        <w:rPr>
          <w:rFonts w:ascii="宋体" w:hAnsi="宋体" w:eastAsia="宋体"/>
          <w:color w:val="000000"/>
          <w:highlight w:val="none"/>
        </w:rPr>
        <w:t xml:space="preserve">6. </w:t>
      </w:r>
      <w:r>
        <w:rPr>
          <w:rFonts w:hint="eastAsia" w:ascii="宋体" w:hAnsi="宋体" w:eastAsia="宋体"/>
          <w:color w:val="000000"/>
          <w:highlight w:val="none"/>
        </w:rPr>
        <w:t>安全文明施工与环境保护</w:t>
      </w:r>
      <w:bookmarkEnd w:id="466"/>
      <w:bookmarkEnd w:id="467"/>
      <w:bookmarkEnd w:id="468"/>
      <w:bookmarkEnd w:id="469"/>
      <w:bookmarkEnd w:id="470"/>
      <w:bookmarkEnd w:id="471"/>
      <w:bookmarkEnd w:id="472"/>
      <w:bookmarkEnd w:id="473"/>
    </w:p>
    <w:p w14:paraId="492458ED">
      <w:pPr>
        <w:pStyle w:val="8"/>
        <w:spacing w:before="0" w:after="60"/>
        <w:rPr>
          <w:rFonts w:ascii="宋体" w:hAnsi="宋体"/>
          <w:color w:val="000000"/>
          <w:highlight w:val="none"/>
        </w:rPr>
      </w:pPr>
      <w:bookmarkStart w:id="474" w:name="_Toc487632719"/>
      <w:bookmarkStart w:id="475" w:name="_Toc407135222"/>
      <w:bookmarkStart w:id="476" w:name="_Toc373478367"/>
      <w:bookmarkStart w:id="477" w:name="_Toc373227720"/>
      <w:bookmarkStart w:id="478" w:name="_Toc389065286"/>
      <w:bookmarkStart w:id="479" w:name="_Toc11367"/>
      <w:bookmarkStart w:id="480" w:name="_Toc108539799"/>
      <w:r>
        <w:rPr>
          <w:rFonts w:ascii="宋体" w:hAnsi="宋体"/>
          <w:color w:val="000000"/>
          <w:highlight w:val="none"/>
        </w:rPr>
        <w:t xml:space="preserve">6.1 </w:t>
      </w:r>
      <w:r>
        <w:rPr>
          <w:rFonts w:hint="eastAsia" w:ascii="宋体" w:hAnsi="宋体"/>
          <w:color w:val="000000"/>
          <w:highlight w:val="none"/>
        </w:rPr>
        <w:t>安全文明施工</w:t>
      </w:r>
      <w:bookmarkEnd w:id="474"/>
      <w:bookmarkEnd w:id="475"/>
      <w:bookmarkEnd w:id="476"/>
      <w:bookmarkEnd w:id="477"/>
      <w:bookmarkEnd w:id="478"/>
      <w:bookmarkEnd w:id="479"/>
      <w:bookmarkEnd w:id="480"/>
    </w:p>
    <w:p w14:paraId="605BCF38">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6.1.1 </w:t>
      </w:r>
      <w:r>
        <w:rPr>
          <w:rFonts w:hint="eastAsia" w:ascii="宋体" w:hAnsi="宋体"/>
          <w:color w:val="000000"/>
          <w:highlight w:val="none"/>
        </w:rPr>
        <w:t>项目安全生产的达标目标及相应事项的约定：</w:t>
      </w:r>
      <w:r>
        <w:rPr>
          <w:rFonts w:hint="eastAsia" w:ascii="宋体" w:hAnsi="宋体"/>
          <w:color w:val="000000"/>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color w:val="000000"/>
          <w:highlight w:val="none"/>
        </w:rPr>
        <w:t>。</w:t>
      </w:r>
    </w:p>
    <w:p w14:paraId="729F436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关于安全文明施工奖项的约定：</w:t>
      </w:r>
      <w:r>
        <w:rPr>
          <w:rFonts w:hint="eastAsia" w:ascii="宋体" w:hAnsi="宋体"/>
          <w:color w:val="000000"/>
          <w:highlight w:val="none"/>
          <w:u w:val="single"/>
        </w:rPr>
        <w:t>无</w:t>
      </w:r>
      <w:r>
        <w:rPr>
          <w:rFonts w:hint="eastAsia" w:ascii="宋体" w:hAnsi="宋体"/>
          <w:color w:val="000000"/>
          <w:highlight w:val="none"/>
        </w:rPr>
        <w:t>。</w:t>
      </w:r>
    </w:p>
    <w:p w14:paraId="15C14D3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6.1.4 </w:t>
      </w:r>
      <w:r>
        <w:rPr>
          <w:rFonts w:hint="eastAsia" w:ascii="宋体" w:hAnsi="宋体"/>
          <w:color w:val="000000"/>
          <w:highlight w:val="none"/>
        </w:rPr>
        <w:t>关于治安保卫的特别约定：</w:t>
      </w:r>
      <w:r>
        <w:rPr>
          <w:rFonts w:hint="eastAsia" w:ascii="宋体" w:hAnsi="宋体"/>
          <w:color w:val="000000"/>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194DB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关于编制施工场地治安管理计划的约定：</w:t>
      </w:r>
      <w:r>
        <w:rPr>
          <w:rFonts w:hint="eastAsia" w:ascii="宋体" w:hAnsi="宋体"/>
          <w:color w:val="000000"/>
          <w:highlight w:val="none"/>
          <w:u w:val="single"/>
        </w:rPr>
        <w:t>由承包人负责编制和办理报批手续</w:t>
      </w:r>
      <w:r>
        <w:rPr>
          <w:rFonts w:hint="eastAsia" w:ascii="宋体" w:hAnsi="宋体"/>
          <w:color w:val="000000"/>
          <w:highlight w:val="none"/>
        </w:rPr>
        <w:t>。</w:t>
      </w:r>
    </w:p>
    <w:p w14:paraId="001E139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6.1.5 </w:t>
      </w:r>
      <w:r>
        <w:rPr>
          <w:rFonts w:hint="eastAsia" w:ascii="宋体" w:hAnsi="宋体"/>
          <w:color w:val="000000"/>
          <w:highlight w:val="none"/>
        </w:rPr>
        <w:t>文明施工</w:t>
      </w:r>
    </w:p>
    <w:p w14:paraId="10A2EA7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合同当事人对文明施工的要求：</w:t>
      </w:r>
      <w:r>
        <w:rPr>
          <w:rFonts w:hint="eastAsia" w:ascii="宋体" w:hAnsi="宋体"/>
          <w:color w:val="000000"/>
          <w:highlight w:val="none"/>
          <w:u w:val="single"/>
        </w:rPr>
        <w:t>1、承包人在施工过程中，应遵守有关环境保护的法律，履行合同约定的环境保护义务，并对违反法律和合同约定义务所造成的环境破坏、人身伤害和财产损失负责。</w:t>
      </w:r>
    </w:p>
    <w:p w14:paraId="523EA6A1">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2、承包人应编制施工环保措施计划，报送监理人审批，其中所编制施工环保措施的实施标准不得低于承包人响应文件中相应措施的计划标准。</w:t>
      </w:r>
    </w:p>
    <w:p w14:paraId="51877415">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FD2C2AA">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4、承包人应加强对噪声、粉尘、废气、废水和废油的控制，努力降低噪声，控制粉尘和废气浓度，做好废水和废油的治理和排放。因承包人原因造成的处罚由承包人负责</w:t>
      </w:r>
      <w:r>
        <w:rPr>
          <w:rFonts w:hint="eastAsia" w:ascii="宋体" w:hAnsi="宋体"/>
          <w:color w:val="000000"/>
          <w:highlight w:val="none"/>
        </w:rPr>
        <w:t>。</w:t>
      </w:r>
    </w:p>
    <w:p w14:paraId="597A6188">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6.1.6 </w:t>
      </w:r>
      <w:r>
        <w:rPr>
          <w:rFonts w:hint="eastAsia" w:ascii="宋体" w:hAnsi="宋体"/>
          <w:color w:val="000000"/>
          <w:highlight w:val="none"/>
        </w:rPr>
        <w:t>关于安全文明施工费支付比例和支付期限的约定：</w:t>
      </w:r>
    </w:p>
    <w:p w14:paraId="4E930103">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）本合同价款已包含安全文明施工费元。</w:t>
      </w:r>
    </w:p>
    <w:p w14:paraId="08294E24">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）使用要求：专款专用。具体按</w:t>
      </w:r>
      <w:r>
        <w:rPr>
          <w:rFonts w:hint="eastAsia" w:ascii="宋体" w:hAnsi="宋体"/>
          <w:color w:val="000000"/>
          <w:kern w:val="0"/>
          <w:highlight w:val="none"/>
          <w:u w:val="single"/>
        </w:rPr>
        <w:t>《广西壮族自治区建设工程安全文明施工费使用管理细则》（桂建质〔</w:t>
      </w:r>
      <w:r>
        <w:rPr>
          <w:rFonts w:ascii="宋体" w:hAnsi="宋体"/>
          <w:color w:val="000000"/>
          <w:kern w:val="0"/>
          <w:highlight w:val="none"/>
          <w:u w:val="single"/>
        </w:rPr>
        <w:t>2015</w:t>
      </w:r>
      <w:r>
        <w:rPr>
          <w:rFonts w:hint="eastAsia" w:ascii="宋体" w:hAnsi="宋体"/>
          <w:color w:val="000000"/>
          <w:kern w:val="0"/>
          <w:highlight w:val="none"/>
          <w:u w:val="single"/>
        </w:rPr>
        <w:t>〕</w:t>
      </w:r>
      <w:r>
        <w:rPr>
          <w:rFonts w:ascii="宋体" w:hAnsi="宋体"/>
          <w:color w:val="000000"/>
          <w:kern w:val="0"/>
          <w:highlight w:val="none"/>
          <w:u w:val="single"/>
        </w:rPr>
        <w:t>16</w:t>
      </w:r>
      <w:r>
        <w:rPr>
          <w:rFonts w:hint="eastAsia" w:ascii="宋体" w:hAnsi="宋体"/>
          <w:color w:val="000000"/>
          <w:kern w:val="0"/>
          <w:highlight w:val="none"/>
          <w:u w:val="single"/>
        </w:rPr>
        <w:t>号）</w:t>
      </w:r>
      <w:r>
        <w:rPr>
          <w:rFonts w:hint="eastAsia" w:ascii="宋体" w:hAnsi="宋体"/>
          <w:color w:val="000000"/>
          <w:kern w:val="0"/>
          <w:highlight w:val="none"/>
        </w:rPr>
        <w:t>和</w:t>
      </w:r>
      <w:r>
        <w:rPr>
          <w:rFonts w:hint="eastAsia" w:ascii="宋体" w:hAnsi="宋体"/>
          <w:color w:val="000000"/>
          <w:kern w:val="0"/>
          <w:highlight w:val="none"/>
          <w:u w:val="single"/>
        </w:rPr>
        <w:t>梧州</w:t>
      </w:r>
      <w:r>
        <w:rPr>
          <w:rFonts w:hint="eastAsia" w:ascii="宋体" w:hAnsi="宋体"/>
          <w:color w:val="000000"/>
          <w:kern w:val="0"/>
          <w:highlight w:val="none"/>
        </w:rPr>
        <w:t>市相关规定执行。</w:t>
      </w:r>
    </w:p>
    <w:p w14:paraId="68F61885">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）支付约定：</w:t>
      </w:r>
      <w:r>
        <w:rPr>
          <w:rFonts w:hint="eastAsia" w:ascii="宋体" w:hAnsi="宋体"/>
          <w:color w:val="000000"/>
          <w:kern w:val="0"/>
          <w:highlight w:val="none"/>
          <w:u w:val="single"/>
        </w:rPr>
        <w:t>与进度款同期支付。</w:t>
      </w:r>
    </w:p>
    <w:p w14:paraId="140DC415">
      <w:pPr>
        <w:pStyle w:val="8"/>
        <w:spacing w:before="0" w:after="60"/>
        <w:rPr>
          <w:rFonts w:ascii="宋体" w:hAnsi="宋体"/>
          <w:color w:val="000000"/>
          <w:highlight w:val="none"/>
        </w:rPr>
      </w:pPr>
      <w:bookmarkStart w:id="481" w:name="_Toc373227721"/>
      <w:bookmarkStart w:id="482" w:name="_Toc108539800"/>
      <w:bookmarkStart w:id="483" w:name="_Toc373478368"/>
      <w:bookmarkStart w:id="484" w:name="_Toc407135223"/>
      <w:bookmarkStart w:id="485" w:name="_Toc487632720"/>
      <w:bookmarkStart w:id="486" w:name="_Toc9561"/>
      <w:bookmarkStart w:id="487" w:name="_Toc389065287"/>
      <w:r>
        <w:rPr>
          <w:rFonts w:ascii="宋体" w:hAnsi="宋体"/>
          <w:color w:val="000000"/>
          <w:highlight w:val="none"/>
        </w:rPr>
        <w:t xml:space="preserve">6.3 </w:t>
      </w:r>
      <w:r>
        <w:rPr>
          <w:rFonts w:hint="eastAsia" w:ascii="宋体" w:hAnsi="宋体"/>
          <w:color w:val="000000"/>
          <w:highlight w:val="none"/>
        </w:rPr>
        <w:t>环境保护</w:t>
      </w:r>
      <w:bookmarkEnd w:id="481"/>
      <w:bookmarkEnd w:id="482"/>
      <w:bookmarkEnd w:id="483"/>
      <w:bookmarkEnd w:id="484"/>
      <w:bookmarkEnd w:id="485"/>
      <w:bookmarkEnd w:id="486"/>
      <w:bookmarkEnd w:id="487"/>
    </w:p>
    <w:p w14:paraId="601316DF">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因施工需要，经发包人批准，由承包人办理有关施工场地交通、环卫和施工噪音管理等手续，费用由承包人负责。</w:t>
      </w:r>
    </w:p>
    <w:p w14:paraId="62135035">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经过城市道路的施工车辆，必须按交警、城管、运输等部门相关规定执行。由于施工车辆造成的道路、环境等污染，其责任和费用均由承包人承担。</w:t>
      </w:r>
    </w:p>
    <w:p w14:paraId="6560A8DA">
      <w:pPr>
        <w:pStyle w:val="7"/>
        <w:spacing w:line="520" w:lineRule="exact"/>
        <w:rPr>
          <w:rFonts w:ascii="宋体" w:hAnsi="宋体" w:eastAsia="宋体"/>
          <w:color w:val="000000"/>
          <w:highlight w:val="none"/>
        </w:rPr>
      </w:pPr>
      <w:bookmarkStart w:id="488" w:name="_Toc407135224"/>
      <w:bookmarkStart w:id="489" w:name="_Toc21666"/>
      <w:bookmarkStart w:id="490" w:name="_Toc373227722"/>
      <w:bookmarkStart w:id="491" w:name="_Toc351203639"/>
      <w:bookmarkStart w:id="492" w:name="_Toc108539801"/>
      <w:bookmarkStart w:id="493" w:name="_Toc389065288"/>
      <w:bookmarkStart w:id="494" w:name="_Toc487632721"/>
      <w:bookmarkStart w:id="495" w:name="_Toc373478369"/>
      <w:r>
        <w:rPr>
          <w:rFonts w:ascii="宋体" w:hAnsi="宋体" w:eastAsia="宋体"/>
          <w:color w:val="000000"/>
          <w:highlight w:val="none"/>
        </w:rPr>
        <w:t xml:space="preserve">7. </w:t>
      </w:r>
      <w:r>
        <w:rPr>
          <w:rFonts w:hint="eastAsia" w:ascii="宋体" w:hAnsi="宋体" w:eastAsia="宋体"/>
          <w:color w:val="000000"/>
          <w:highlight w:val="none"/>
        </w:rPr>
        <w:t>工期和进度</w:t>
      </w:r>
      <w:bookmarkEnd w:id="488"/>
      <w:bookmarkEnd w:id="489"/>
      <w:bookmarkEnd w:id="490"/>
      <w:bookmarkEnd w:id="491"/>
      <w:bookmarkEnd w:id="492"/>
      <w:bookmarkEnd w:id="493"/>
      <w:bookmarkEnd w:id="494"/>
      <w:bookmarkEnd w:id="495"/>
    </w:p>
    <w:p w14:paraId="10DCB785">
      <w:pPr>
        <w:pStyle w:val="8"/>
        <w:spacing w:before="0" w:after="60" w:line="520" w:lineRule="exact"/>
        <w:rPr>
          <w:rFonts w:ascii="宋体" w:hAnsi="宋体"/>
          <w:color w:val="000000"/>
          <w:highlight w:val="none"/>
        </w:rPr>
      </w:pPr>
      <w:bookmarkStart w:id="496" w:name="_Toc108539802"/>
      <w:bookmarkStart w:id="497" w:name="_Toc407135225"/>
      <w:bookmarkStart w:id="498" w:name="_Toc373478370"/>
      <w:bookmarkStart w:id="499" w:name="_Toc373227723"/>
      <w:bookmarkStart w:id="500" w:name="_Toc487632722"/>
      <w:bookmarkStart w:id="501" w:name="_Toc3415"/>
      <w:bookmarkStart w:id="502" w:name="_Toc389065289"/>
      <w:r>
        <w:rPr>
          <w:rFonts w:ascii="宋体" w:hAnsi="宋体"/>
          <w:color w:val="000000"/>
          <w:highlight w:val="none"/>
        </w:rPr>
        <w:t xml:space="preserve">7.1 </w:t>
      </w:r>
      <w:r>
        <w:rPr>
          <w:rFonts w:hint="eastAsia" w:ascii="宋体" w:hAnsi="宋体"/>
          <w:color w:val="000000"/>
          <w:highlight w:val="none"/>
        </w:rPr>
        <w:t>施工组织设计</w:t>
      </w:r>
      <w:bookmarkEnd w:id="496"/>
      <w:bookmarkEnd w:id="497"/>
      <w:bookmarkEnd w:id="498"/>
      <w:bookmarkEnd w:id="499"/>
      <w:bookmarkEnd w:id="500"/>
      <w:bookmarkEnd w:id="501"/>
      <w:bookmarkEnd w:id="502"/>
    </w:p>
    <w:p w14:paraId="5D313ADD">
      <w:pPr>
        <w:autoSpaceDE w:val="0"/>
        <w:autoSpaceDN w:val="0"/>
        <w:spacing w:line="520" w:lineRule="exact"/>
        <w:ind w:firstLine="420" w:firstLineChars="200"/>
        <w:jc w:val="left"/>
        <w:rPr>
          <w:rFonts w:ascii="宋体" w:hAnsi="宋体"/>
          <w:color w:val="000000"/>
          <w:highlight w:val="none"/>
        </w:rPr>
      </w:pPr>
      <w:r>
        <w:rPr>
          <w:rFonts w:ascii="宋体" w:hAnsi="宋体"/>
          <w:color w:val="000000"/>
          <w:highlight w:val="none"/>
        </w:rPr>
        <w:t xml:space="preserve">7.1.1 </w:t>
      </w:r>
      <w:r>
        <w:rPr>
          <w:rFonts w:hint="eastAsia" w:ascii="宋体" w:hAnsi="宋体"/>
          <w:color w:val="000000"/>
          <w:highlight w:val="none"/>
        </w:rPr>
        <w:t>合</w:t>
      </w:r>
      <w:r>
        <w:rPr>
          <w:rFonts w:hint="eastAsia" w:ascii="宋体" w:hAnsi="宋体"/>
          <w:color w:val="000000"/>
          <w:kern w:val="0"/>
          <w:highlight w:val="none"/>
        </w:rPr>
        <w:t>同当事人约定的施工组织设计应包括的其他内容：</w:t>
      </w:r>
      <w:r>
        <w:rPr>
          <w:rFonts w:hint="eastAsia" w:ascii="宋体" w:hAnsi="宋体"/>
          <w:color w:val="000000"/>
          <w:highlight w:val="none"/>
          <w:u w:val="single"/>
        </w:rPr>
        <w:t>施工现场施工过程不能影响本楼宇办公，如需对施工时间进行调整，乙方应服从甲方安排</w:t>
      </w:r>
      <w:r>
        <w:rPr>
          <w:rFonts w:hint="eastAsia" w:ascii="宋体" w:hAnsi="宋体"/>
          <w:color w:val="000000"/>
          <w:highlight w:val="none"/>
        </w:rPr>
        <w:t>。</w:t>
      </w:r>
    </w:p>
    <w:p w14:paraId="2BF0419C">
      <w:pPr>
        <w:autoSpaceDE w:val="0"/>
        <w:autoSpaceDN w:val="0"/>
        <w:spacing w:line="520" w:lineRule="exact"/>
        <w:ind w:firstLine="420" w:firstLineChars="200"/>
        <w:jc w:val="left"/>
        <w:rPr>
          <w:rFonts w:ascii="宋体" w:hAnsi="宋体"/>
          <w:color w:val="000000"/>
          <w:highlight w:val="none"/>
        </w:rPr>
      </w:pPr>
      <w:r>
        <w:rPr>
          <w:rFonts w:ascii="宋体" w:hAnsi="宋体"/>
          <w:color w:val="000000"/>
          <w:highlight w:val="none"/>
        </w:rPr>
        <w:t xml:space="preserve">7.1.2 </w:t>
      </w:r>
      <w:r>
        <w:rPr>
          <w:rFonts w:hint="eastAsia" w:ascii="宋体" w:hAnsi="宋体"/>
          <w:color w:val="000000"/>
          <w:kern w:val="0"/>
          <w:highlight w:val="none"/>
        </w:rPr>
        <w:t>施工组织设计的提交和修改</w:t>
      </w:r>
    </w:p>
    <w:p w14:paraId="39006427">
      <w:pPr>
        <w:autoSpaceDE w:val="0"/>
        <w:autoSpaceDN w:val="0"/>
        <w:spacing w:line="520" w:lineRule="exact"/>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承包人提交详细施工组织设计的期限的约定：</w:t>
      </w:r>
      <w:r>
        <w:rPr>
          <w:rFonts w:hint="eastAsia" w:ascii="宋体" w:hAnsi="宋体"/>
          <w:color w:val="000000"/>
          <w:highlight w:val="none"/>
          <w:u w:val="single"/>
        </w:rPr>
        <w:t>承包人应在响应文件施工组织设计的基础上，编制工程详细施工组织设计，要求后者的各项实施标准不得降低前者对应项目所计划的标准。承包人应在合同签订后14天内，但最迟不得晚于开工通知载明的开工日期前7天，向监理人提交详细的施工组织设计，并由监理人报送发包人</w:t>
      </w:r>
      <w:r>
        <w:rPr>
          <w:rFonts w:hint="eastAsia" w:ascii="宋体" w:hAnsi="宋体"/>
          <w:color w:val="000000"/>
          <w:highlight w:val="none"/>
        </w:rPr>
        <w:t>。</w:t>
      </w:r>
    </w:p>
    <w:p w14:paraId="5FFA0691">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发包人和监理人在收到详细的施工组织设计后确认或提出修改意见的期限：</w:t>
      </w:r>
      <w:r>
        <w:rPr>
          <w:rFonts w:hint="eastAsia" w:ascii="宋体" w:hAnsi="宋体"/>
          <w:color w:val="000000"/>
          <w:highlight w:val="none"/>
          <w:u w:val="single"/>
        </w:rPr>
        <w:t>收到后7天内</w:t>
      </w:r>
      <w:r>
        <w:rPr>
          <w:rFonts w:hint="eastAsia" w:ascii="宋体" w:hAnsi="宋体"/>
          <w:color w:val="000000"/>
          <w:highlight w:val="none"/>
        </w:rPr>
        <w:t>。</w:t>
      </w:r>
    </w:p>
    <w:p w14:paraId="28E308D7">
      <w:pPr>
        <w:pStyle w:val="8"/>
        <w:spacing w:before="0" w:after="60" w:line="520" w:lineRule="exact"/>
        <w:rPr>
          <w:rFonts w:ascii="宋体" w:hAnsi="宋体"/>
          <w:color w:val="000000"/>
          <w:highlight w:val="none"/>
        </w:rPr>
      </w:pPr>
      <w:bookmarkStart w:id="503" w:name="_Toc4283"/>
      <w:bookmarkStart w:id="504" w:name="_Toc108539803"/>
      <w:r>
        <w:rPr>
          <w:rFonts w:ascii="宋体" w:hAnsi="宋体"/>
          <w:color w:val="000000"/>
          <w:highlight w:val="none"/>
        </w:rPr>
        <w:t xml:space="preserve">7.2 </w:t>
      </w:r>
      <w:r>
        <w:rPr>
          <w:rFonts w:hint="eastAsia" w:ascii="宋体" w:hAnsi="宋体"/>
          <w:color w:val="000000"/>
          <w:highlight w:val="none"/>
        </w:rPr>
        <w:t>施工进度计划</w:t>
      </w:r>
      <w:bookmarkEnd w:id="503"/>
      <w:bookmarkEnd w:id="504"/>
    </w:p>
    <w:p w14:paraId="4F118178">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7.2.2 </w:t>
      </w:r>
      <w:r>
        <w:rPr>
          <w:rFonts w:hint="eastAsia" w:ascii="宋体" w:hAnsi="宋体"/>
          <w:color w:val="000000"/>
          <w:highlight w:val="none"/>
        </w:rPr>
        <w:t>施工进度计划的修订</w:t>
      </w:r>
    </w:p>
    <w:p w14:paraId="2FEF0E0F">
      <w:pPr>
        <w:spacing w:line="520" w:lineRule="exact"/>
        <w:ind w:firstLine="210" w:firstLineChars="100"/>
        <w:jc w:val="left"/>
        <w:rPr>
          <w:rFonts w:hint="eastAsia" w:ascii="宋体" w:hAnsi="宋体"/>
          <w:color w:val="000000"/>
          <w:highlight w:val="none"/>
        </w:rPr>
      </w:pPr>
      <w:r>
        <w:rPr>
          <w:rFonts w:hint="eastAsia" w:ascii="宋体" w:hAnsi="宋体"/>
          <w:color w:val="000000"/>
          <w:highlight w:val="none"/>
        </w:rPr>
        <w:t>发包人和监理人在收到修订的施工进度计划后确认或提出修改意见的期限：</w:t>
      </w:r>
      <w:r>
        <w:rPr>
          <w:rFonts w:hint="eastAsia" w:ascii="宋体" w:hAnsi="宋体"/>
          <w:color w:val="000000"/>
          <w:highlight w:val="none"/>
          <w:u w:val="single"/>
        </w:rPr>
        <w:t>收到后7天内</w:t>
      </w:r>
      <w:r>
        <w:rPr>
          <w:rFonts w:hint="eastAsia" w:ascii="宋体" w:hAnsi="宋体"/>
          <w:color w:val="000000"/>
          <w:highlight w:val="none"/>
        </w:rPr>
        <w:t>。</w:t>
      </w:r>
    </w:p>
    <w:p w14:paraId="5E88EC9D">
      <w:pPr>
        <w:pStyle w:val="8"/>
        <w:spacing w:before="0" w:after="60" w:line="520" w:lineRule="exact"/>
        <w:rPr>
          <w:rFonts w:ascii="宋体" w:hAnsi="宋体"/>
          <w:color w:val="000000"/>
          <w:highlight w:val="none"/>
        </w:rPr>
      </w:pPr>
      <w:bookmarkStart w:id="505" w:name="_Toc487632724"/>
      <w:bookmarkStart w:id="506" w:name="_Toc14962"/>
      <w:bookmarkStart w:id="507" w:name="_Toc407135227"/>
      <w:bookmarkStart w:id="508" w:name="_Toc373478372"/>
      <w:bookmarkStart w:id="509" w:name="_Toc373227725"/>
      <w:bookmarkStart w:id="510" w:name="_Toc389065291"/>
      <w:bookmarkStart w:id="511" w:name="_Toc108539804"/>
      <w:r>
        <w:rPr>
          <w:rFonts w:ascii="宋体" w:hAnsi="宋体"/>
          <w:color w:val="000000"/>
          <w:highlight w:val="none"/>
        </w:rPr>
        <w:t xml:space="preserve">7.3 </w:t>
      </w:r>
      <w:r>
        <w:rPr>
          <w:rFonts w:hint="eastAsia" w:ascii="宋体" w:hAnsi="宋体"/>
          <w:color w:val="000000"/>
          <w:highlight w:val="none"/>
        </w:rPr>
        <w:t>开工</w:t>
      </w:r>
      <w:bookmarkEnd w:id="505"/>
      <w:bookmarkEnd w:id="506"/>
      <w:bookmarkEnd w:id="507"/>
      <w:bookmarkEnd w:id="508"/>
      <w:bookmarkEnd w:id="509"/>
      <w:bookmarkEnd w:id="510"/>
      <w:bookmarkEnd w:id="511"/>
    </w:p>
    <w:p w14:paraId="4B8FA1B1">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7.3.1 </w:t>
      </w:r>
      <w:r>
        <w:rPr>
          <w:rFonts w:hint="eastAsia" w:ascii="宋体" w:hAnsi="宋体"/>
          <w:color w:val="000000"/>
          <w:highlight w:val="none"/>
        </w:rPr>
        <w:t>开工准备</w:t>
      </w:r>
    </w:p>
    <w:p w14:paraId="558806AF">
      <w:pPr>
        <w:spacing w:line="520" w:lineRule="exact"/>
        <w:ind w:firstLine="426"/>
        <w:jc w:val="left"/>
        <w:rPr>
          <w:rFonts w:hint="eastAsia" w:ascii="宋体" w:hAnsi="宋体"/>
          <w:color w:val="000000"/>
          <w:highlight w:val="none"/>
        </w:rPr>
      </w:pPr>
      <w:r>
        <w:rPr>
          <w:rFonts w:hint="eastAsia" w:ascii="宋体" w:hAnsi="宋体"/>
          <w:color w:val="000000"/>
          <w:highlight w:val="none"/>
        </w:rPr>
        <w:t>关于承包人提交</w:t>
      </w:r>
      <w:r>
        <w:rPr>
          <w:rFonts w:hint="eastAsia" w:ascii="宋体" w:hAnsi="宋体"/>
          <w:color w:val="000000"/>
          <w:kern w:val="0"/>
          <w:highlight w:val="none"/>
        </w:rPr>
        <w:t>工程开工报审表的期限：</w:t>
      </w:r>
      <w:r>
        <w:rPr>
          <w:rFonts w:hint="eastAsia" w:ascii="宋体" w:hAnsi="宋体"/>
          <w:color w:val="000000"/>
          <w:highlight w:val="none"/>
          <w:u w:val="single"/>
        </w:rPr>
        <w:t>开工前3天</w:t>
      </w:r>
      <w:r>
        <w:rPr>
          <w:rFonts w:hint="eastAsia" w:ascii="宋体" w:hAnsi="宋体"/>
          <w:color w:val="000000"/>
          <w:highlight w:val="none"/>
        </w:rPr>
        <w:t>。</w:t>
      </w:r>
    </w:p>
    <w:p w14:paraId="56CED496">
      <w:pPr>
        <w:spacing w:line="520" w:lineRule="exact"/>
        <w:ind w:firstLine="426"/>
        <w:jc w:val="left"/>
        <w:rPr>
          <w:rFonts w:hint="eastAsia" w:ascii="宋体" w:hAnsi="宋体"/>
          <w:color w:val="000000"/>
          <w:highlight w:val="none"/>
        </w:rPr>
      </w:pPr>
      <w:r>
        <w:rPr>
          <w:rFonts w:hint="eastAsia" w:ascii="宋体" w:hAnsi="宋体"/>
          <w:color w:val="000000"/>
          <w:highlight w:val="none"/>
        </w:rPr>
        <w:t>关于发包人应完成的其他开工准备工作及期限：</w:t>
      </w:r>
      <w:r>
        <w:rPr>
          <w:rFonts w:hint="eastAsia" w:ascii="宋体" w:hAnsi="宋体"/>
          <w:color w:val="000000"/>
          <w:highlight w:val="none"/>
          <w:u w:val="single"/>
        </w:rPr>
        <w:t>开工前7天</w:t>
      </w:r>
      <w:r>
        <w:rPr>
          <w:rFonts w:hint="eastAsia" w:ascii="宋体" w:hAnsi="宋体"/>
          <w:color w:val="000000"/>
          <w:highlight w:val="none"/>
        </w:rPr>
        <w:t>。</w:t>
      </w:r>
    </w:p>
    <w:p w14:paraId="68E92BE2">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关于承包人应完成的其他开工准备工作及期限：</w:t>
      </w:r>
      <w:r>
        <w:rPr>
          <w:rFonts w:hint="eastAsia" w:ascii="宋体" w:hAnsi="宋体"/>
          <w:color w:val="000000"/>
          <w:highlight w:val="none"/>
          <w:u w:val="single"/>
        </w:rPr>
        <w:t>开工前7天</w:t>
      </w:r>
      <w:r>
        <w:rPr>
          <w:rFonts w:hint="eastAsia" w:ascii="宋体" w:hAnsi="宋体"/>
          <w:color w:val="000000"/>
          <w:highlight w:val="none"/>
        </w:rPr>
        <w:t>。</w:t>
      </w:r>
    </w:p>
    <w:p w14:paraId="7339480F">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7.3.2 </w:t>
      </w:r>
      <w:r>
        <w:rPr>
          <w:rFonts w:hint="eastAsia" w:ascii="宋体" w:hAnsi="宋体"/>
          <w:color w:val="000000"/>
          <w:highlight w:val="none"/>
        </w:rPr>
        <w:t>开工通知</w:t>
      </w:r>
    </w:p>
    <w:p w14:paraId="45C0DC7D">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因发包人原因造成监理人未能在计划开工日期之日起</w:t>
      </w:r>
      <w:r>
        <w:rPr>
          <w:rFonts w:hint="eastAsia" w:ascii="宋体" w:hAnsi="宋体"/>
          <w:color w:val="000000"/>
          <w:highlight w:val="none"/>
          <w:u w:val="single"/>
        </w:rPr>
        <w:t>5</w:t>
      </w:r>
      <w:r>
        <w:rPr>
          <w:rFonts w:hint="eastAsia" w:ascii="宋体" w:hAnsi="宋体"/>
          <w:color w:val="000000"/>
          <w:highlight w:val="none"/>
        </w:rPr>
        <w:t>天内发出开工通知的，承包人有权提出价格调整要求，或者解除合同。</w:t>
      </w:r>
    </w:p>
    <w:p w14:paraId="108B53C8">
      <w:pPr>
        <w:pStyle w:val="8"/>
        <w:spacing w:before="0" w:after="60" w:line="520" w:lineRule="exact"/>
        <w:rPr>
          <w:rFonts w:ascii="宋体" w:hAnsi="宋体"/>
          <w:color w:val="000000"/>
          <w:highlight w:val="none"/>
        </w:rPr>
      </w:pPr>
      <w:bookmarkStart w:id="512" w:name="_Toc487632725"/>
      <w:bookmarkStart w:id="513" w:name="_Toc373478373"/>
      <w:bookmarkStart w:id="514" w:name="_Toc108539805"/>
      <w:bookmarkStart w:id="515" w:name="_Toc389065292"/>
      <w:bookmarkStart w:id="516" w:name="_Toc11348"/>
      <w:bookmarkStart w:id="517" w:name="_Toc407135228"/>
      <w:bookmarkStart w:id="518" w:name="_Toc373227726"/>
      <w:r>
        <w:rPr>
          <w:rFonts w:ascii="宋体" w:hAnsi="宋体"/>
          <w:color w:val="000000"/>
          <w:highlight w:val="none"/>
        </w:rPr>
        <w:t xml:space="preserve">7.4 </w:t>
      </w:r>
      <w:r>
        <w:rPr>
          <w:rFonts w:hint="eastAsia" w:ascii="宋体" w:hAnsi="宋体"/>
          <w:color w:val="000000"/>
          <w:highlight w:val="none"/>
        </w:rPr>
        <w:t>测量放线</w:t>
      </w:r>
      <w:bookmarkEnd w:id="512"/>
      <w:bookmarkEnd w:id="513"/>
      <w:bookmarkEnd w:id="514"/>
      <w:bookmarkEnd w:id="515"/>
      <w:bookmarkEnd w:id="516"/>
      <w:bookmarkEnd w:id="517"/>
      <w:bookmarkEnd w:id="518"/>
    </w:p>
    <w:p w14:paraId="3CB464F9">
      <w:pPr>
        <w:spacing w:line="520" w:lineRule="exact"/>
        <w:ind w:firstLine="420" w:firstLineChars="200"/>
        <w:jc w:val="left"/>
        <w:rPr>
          <w:rFonts w:ascii="宋体" w:hAnsi="宋体"/>
          <w:color w:val="000000"/>
          <w:highlight w:val="none"/>
        </w:rPr>
      </w:pPr>
      <w:r>
        <w:rPr>
          <w:rFonts w:ascii="宋体" w:hAnsi="宋体"/>
          <w:color w:val="000000"/>
          <w:highlight w:val="none"/>
        </w:rPr>
        <w:t>7.4.1</w:t>
      </w:r>
      <w:r>
        <w:rPr>
          <w:rFonts w:hint="eastAsia" w:ascii="宋体" w:hAnsi="宋体"/>
          <w:color w:val="000000"/>
          <w:highlight w:val="none"/>
        </w:rPr>
        <w:t>发包人通过监理人向承包人提供测量基准点、基准线和水准点及其书面资料的期限：</w:t>
      </w:r>
      <w:r>
        <w:rPr>
          <w:rFonts w:hint="eastAsia" w:ascii="宋体" w:hAnsi="宋体"/>
          <w:color w:val="000000"/>
          <w:highlight w:val="none"/>
          <w:u w:val="single"/>
        </w:rPr>
        <w:t>开工通知载明的开工日期前7天</w:t>
      </w:r>
      <w:r>
        <w:rPr>
          <w:rFonts w:hint="eastAsia" w:ascii="宋体" w:hAnsi="宋体"/>
          <w:color w:val="000000"/>
          <w:highlight w:val="none"/>
        </w:rPr>
        <w:t>。</w:t>
      </w:r>
    </w:p>
    <w:p w14:paraId="28630FE4">
      <w:pPr>
        <w:pStyle w:val="8"/>
        <w:spacing w:before="0" w:after="60" w:line="520" w:lineRule="exact"/>
        <w:rPr>
          <w:rFonts w:ascii="宋体" w:hAnsi="宋体"/>
          <w:color w:val="000000"/>
          <w:highlight w:val="none"/>
        </w:rPr>
      </w:pPr>
      <w:bookmarkStart w:id="519" w:name="_Toc373227727"/>
      <w:bookmarkStart w:id="520" w:name="_Toc407135229"/>
      <w:bookmarkStart w:id="521" w:name="_Toc373478374"/>
      <w:bookmarkStart w:id="522" w:name="_Toc389065293"/>
      <w:bookmarkStart w:id="523" w:name="_Toc487632726"/>
      <w:bookmarkStart w:id="524" w:name="_Toc10634"/>
      <w:bookmarkStart w:id="525" w:name="_Toc108539806"/>
      <w:r>
        <w:rPr>
          <w:rFonts w:ascii="宋体" w:hAnsi="宋体"/>
          <w:color w:val="000000"/>
          <w:highlight w:val="none"/>
        </w:rPr>
        <w:t xml:space="preserve">7.5 </w:t>
      </w:r>
      <w:r>
        <w:rPr>
          <w:rFonts w:hint="eastAsia" w:ascii="宋体" w:hAnsi="宋体"/>
          <w:color w:val="000000"/>
          <w:highlight w:val="none"/>
        </w:rPr>
        <w:t>工期延误</w:t>
      </w:r>
      <w:bookmarkEnd w:id="519"/>
      <w:bookmarkEnd w:id="520"/>
      <w:bookmarkEnd w:id="521"/>
      <w:bookmarkEnd w:id="522"/>
      <w:bookmarkEnd w:id="523"/>
      <w:bookmarkEnd w:id="524"/>
      <w:bookmarkEnd w:id="525"/>
    </w:p>
    <w:p w14:paraId="0872D21E">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7.5.1 </w:t>
      </w:r>
      <w:r>
        <w:rPr>
          <w:rFonts w:hint="eastAsia" w:ascii="宋体" w:hAnsi="宋体"/>
          <w:color w:val="000000"/>
          <w:highlight w:val="none"/>
        </w:rPr>
        <w:t>因发包人原因导致工期延误</w:t>
      </w:r>
    </w:p>
    <w:p w14:paraId="1BD47BDF">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7</w:t>
      </w:r>
      <w:r>
        <w:rPr>
          <w:rFonts w:hint="eastAsia" w:ascii="宋体" w:hAnsi="宋体"/>
          <w:color w:val="000000"/>
          <w:highlight w:val="none"/>
        </w:rPr>
        <w:t>）因发包人原因导致工期延误的其他情形：</w:t>
      </w:r>
      <w:r>
        <w:rPr>
          <w:rFonts w:hint="eastAsia" w:ascii="宋体" w:hAnsi="宋体"/>
          <w:color w:val="000000"/>
          <w:highlight w:val="none"/>
          <w:u w:val="single"/>
        </w:rPr>
        <w:t>①重大图纸变更影响关健线路工序施工；②施工期间如因停电、停水连续</w:t>
      </w:r>
      <w:r>
        <w:rPr>
          <w:rFonts w:ascii="宋体" w:hAnsi="宋体"/>
          <w:color w:val="000000"/>
          <w:highlight w:val="none"/>
          <w:u w:val="single"/>
        </w:rPr>
        <w:t>8</w:t>
      </w:r>
      <w:r>
        <w:rPr>
          <w:rFonts w:hint="eastAsia" w:ascii="宋体" w:hAnsi="宋体"/>
          <w:color w:val="000000"/>
          <w:highlight w:val="none"/>
          <w:u w:val="single"/>
        </w:rPr>
        <w:t>小时以上或一周内间歇性停水、停电累计</w:t>
      </w:r>
      <w:r>
        <w:rPr>
          <w:rFonts w:ascii="宋体" w:hAnsi="宋体"/>
          <w:color w:val="000000"/>
          <w:highlight w:val="none"/>
          <w:u w:val="single"/>
        </w:rPr>
        <w:t>8</w:t>
      </w:r>
      <w:r>
        <w:rPr>
          <w:rFonts w:hint="eastAsia" w:ascii="宋体" w:hAnsi="宋体"/>
          <w:color w:val="000000"/>
          <w:highlight w:val="none"/>
          <w:u w:val="single"/>
        </w:rPr>
        <w:t>小时（含</w:t>
      </w:r>
      <w:r>
        <w:rPr>
          <w:rFonts w:ascii="宋体" w:hAnsi="宋体"/>
          <w:color w:val="000000"/>
          <w:highlight w:val="none"/>
          <w:u w:val="single"/>
        </w:rPr>
        <w:t>8</w:t>
      </w:r>
      <w:r>
        <w:rPr>
          <w:rFonts w:hint="eastAsia" w:ascii="宋体" w:hAnsi="宋体"/>
          <w:color w:val="000000"/>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olor w:val="000000"/>
          <w:highlight w:val="none"/>
        </w:rPr>
        <w:t>。</w:t>
      </w:r>
    </w:p>
    <w:p w14:paraId="7A609C35">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7.5.2 </w:t>
      </w:r>
      <w:r>
        <w:rPr>
          <w:rFonts w:hint="eastAsia" w:ascii="宋体" w:hAnsi="宋体"/>
          <w:color w:val="000000"/>
          <w:highlight w:val="none"/>
        </w:rPr>
        <w:t>因承包人原因导致工期延误</w:t>
      </w:r>
    </w:p>
    <w:p w14:paraId="33DE0C18">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双方约定经监理工程师确认，工期相应顺延的情况：</w:t>
      </w:r>
      <w:r>
        <w:rPr>
          <w:rFonts w:hint="eastAsia" w:ascii="宋体" w:hAnsi="宋体"/>
          <w:color w:val="000000"/>
          <w:highlight w:val="none"/>
          <w:u w:val="single"/>
        </w:rPr>
        <w:t>按</w:t>
      </w:r>
      <w:r>
        <w:rPr>
          <w:rFonts w:ascii="宋体" w:hAnsi="宋体"/>
          <w:color w:val="000000"/>
          <w:highlight w:val="none"/>
          <w:u w:val="single"/>
        </w:rPr>
        <w:t>通用合同条款</w:t>
      </w:r>
      <w:r>
        <w:rPr>
          <w:rFonts w:hint="eastAsia" w:ascii="宋体" w:hAnsi="宋体"/>
          <w:color w:val="000000"/>
          <w:highlight w:val="none"/>
        </w:rPr>
        <w:t>。</w:t>
      </w:r>
    </w:p>
    <w:p w14:paraId="3CC668D9">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因承包人原因造成工期延误，逾期竣工违约金的计算方法为：</w:t>
      </w:r>
      <w:r>
        <w:rPr>
          <w:rFonts w:hint="eastAsia" w:ascii="宋体" w:hAnsi="宋体"/>
          <w:color w:val="000000"/>
          <w:highlight w:val="none"/>
          <w:u w:val="single"/>
        </w:rPr>
        <w:t>按逾期竣工的单项工程计算违约金，每延误一天</w:t>
      </w:r>
      <w:r>
        <w:rPr>
          <w:rFonts w:ascii="宋体" w:hAnsi="宋体"/>
          <w:color w:val="000000"/>
          <w:highlight w:val="none"/>
          <w:u w:val="single"/>
        </w:rPr>
        <w:t>,</w:t>
      </w:r>
      <w:r>
        <w:rPr>
          <w:rFonts w:hint="eastAsia" w:ascii="宋体" w:hAnsi="宋体"/>
          <w:color w:val="000000"/>
          <w:highlight w:val="none"/>
          <w:u w:val="single"/>
        </w:rPr>
        <w:t>按单项工程应支付给承包人的结算造价的</w:t>
      </w:r>
      <w:r>
        <w:rPr>
          <w:rFonts w:hint="eastAsia" w:ascii="宋体" w:hAnsi="宋体"/>
          <w:b/>
          <w:bCs/>
          <w:color w:val="000000"/>
          <w:highlight w:val="none"/>
          <w:u w:val="single"/>
        </w:rPr>
        <w:t>万分之五</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违约金直接从结算款中扣除。误期时间从规定竣工日期起直到实际竣工日期的天数（扣除发包人批准顺延的工期）。</w:t>
      </w:r>
      <w:r>
        <w:rPr>
          <w:rFonts w:hint="eastAsia" w:ascii="宋体" w:hAnsi="宋体"/>
          <w:color w:val="000000"/>
          <w:highlight w:val="none"/>
        </w:rPr>
        <w:t>因承包人原因造成工期延误，逾期竣工违约金的上限：</w:t>
      </w:r>
      <w:r>
        <w:rPr>
          <w:rFonts w:hint="eastAsia" w:ascii="宋体" w:hAnsi="宋体"/>
          <w:color w:val="000000"/>
          <w:highlight w:val="none"/>
          <w:u w:val="single"/>
        </w:rPr>
        <w:t>逾期竣工的单项工程结算造价的5</w:t>
      </w:r>
      <w:r>
        <w:rPr>
          <w:rFonts w:ascii="宋体" w:hAnsi="宋体"/>
          <w:color w:val="000000"/>
          <w:highlight w:val="none"/>
          <w:u w:val="single"/>
        </w:rPr>
        <w:t>%</w:t>
      </w:r>
      <w:r>
        <w:rPr>
          <w:rFonts w:hint="eastAsia" w:ascii="宋体" w:hAnsi="宋体"/>
          <w:color w:val="000000"/>
          <w:highlight w:val="none"/>
        </w:rPr>
        <w:t>。</w:t>
      </w:r>
    </w:p>
    <w:p w14:paraId="6FB050C4">
      <w:pPr>
        <w:pStyle w:val="8"/>
        <w:spacing w:before="0" w:after="60" w:line="520" w:lineRule="exact"/>
        <w:rPr>
          <w:rFonts w:ascii="宋体" w:hAnsi="宋体"/>
          <w:color w:val="000000"/>
          <w:highlight w:val="none"/>
        </w:rPr>
      </w:pPr>
      <w:bookmarkStart w:id="526" w:name="_Toc108539807"/>
      <w:bookmarkStart w:id="527" w:name="_Toc6537"/>
      <w:r>
        <w:rPr>
          <w:rFonts w:ascii="宋体" w:hAnsi="宋体"/>
          <w:color w:val="000000"/>
          <w:highlight w:val="none"/>
        </w:rPr>
        <w:t>7</w:t>
      </w:r>
      <w:bookmarkStart w:id="528" w:name="_Toc303539128"/>
      <w:bookmarkStart w:id="529" w:name="_Toc304295549"/>
      <w:bookmarkStart w:id="530" w:name="_Toc312678015"/>
      <w:bookmarkStart w:id="531" w:name="_Toc297123519"/>
      <w:bookmarkStart w:id="532" w:name="_Toc300934971"/>
      <w:bookmarkStart w:id="533" w:name="_Toc297216178"/>
      <w:r>
        <w:rPr>
          <w:rFonts w:ascii="宋体" w:hAnsi="宋体"/>
          <w:color w:val="000000"/>
          <w:highlight w:val="none"/>
        </w:rPr>
        <w:t xml:space="preserve">.6 </w:t>
      </w:r>
      <w:r>
        <w:rPr>
          <w:rFonts w:hint="eastAsia" w:ascii="宋体" w:hAnsi="宋体"/>
          <w:color w:val="000000"/>
          <w:highlight w:val="none"/>
        </w:rPr>
        <w:t>不</w:t>
      </w:r>
      <w:bookmarkEnd w:id="528"/>
      <w:bookmarkEnd w:id="529"/>
      <w:bookmarkEnd w:id="530"/>
      <w:bookmarkEnd w:id="531"/>
      <w:bookmarkEnd w:id="532"/>
      <w:bookmarkEnd w:id="533"/>
      <w:r>
        <w:rPr>
          <w:rFonts w:hint="eastAsia" w:ascii="宋体" w:hAnsi="宋体"/>
          <w:color w:val="000000"/>
          <w:highlight w:val="none"/>
        </w:rPr>
        <w:t>利物质条件</w:t>
      </w:r>
      <w:bookmarkEnd w:id="526"/>
      <w:bookmarkEnd w:id="527"/>
    </w:p>
    <w:p w14:paraId="1A4A4217">
      <w:pPr>
        <w:spacing w:line="540" w:lineRule="exact"/>
        <w:ind w:firstLine="420" w:firstLineChars="200"/>
        <w:jc w:val="left"/>
        <w:rPr>
          <w:rFonts w:hint="eastAsia" w:ascii="宋体" w:hAnsi="宋体"/>
          <w:color w:val="000000"/>
          <w:highlight w:val="none"/>
        </w:rPr>
      </w:pPr>
      <w:r>
        <w:rPr>
          <w:rFonts w:hint="eastAsia" w:ascii="宋体" w:hAnsi="宋体"/>
          <w:color w:val="000000"/>
          <w:highlight w:val="none"/>
        </w:rPr>
        <w:t>不利物质条件的其他情形和有关约定</w:t>
      </w:r>
      <w:r>
        <w:rPr>
          <w:rFonts w:hint="eastAsia" w:ascii="宋体" w:hAnsi="宋体"/>
          <w:color w:val="000000"/>
          <w:highlight w:val="none"/>
          <w:u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49A1B3E8">
      <w:pPr>
        <w:pStyle w:val="8"/>
        <w:spacing w:before="0" w:after="60" w:line="520" w:lineRule="exact"/>
        <w:rPr>
          <w:rFonts w:ascii="宋体" w:hAnsi="宋体"/>
          <w:color w:val="000000"/>
          <w:highlight w:val="none"/>
        </w:rPr>
      </w:pPr>
      <w:bookmarkStart w:id="534" w:name="_Toc12823"/>
      <w:bookmarkStart w:id="535" w:name="_Toc373227729"/>
      <w:bookmarkStart w:id="536" w:name="_Toc389065295"/>
      <w:bookmarkStart w:id="537" w:name="_Toc407135231"/>
      <w:bookmarkStart w:id="538" w:name="_Toc487632728"/>
      <w:bookmarkStart w:id="539" w:name="_Toc373478376"/>
      <w:bookmarkStart w:id="540" w:name="_Toc108539808"/>
      <w:r>
        <w:rPr>
          <w:rFonts w:ascii="宋体" w:hAnsi="宋体"/>
          <w:color w:val="000000"/>
          <w:highlight w:val="none"/>
        </w:rPr>
        <w:t xml:space="preserve">7.7 </w:t>
      </w:r>
      <w:r>
        <w:rPr>
          <w:rFonts w:hint="eastAsia" w:ascii="宋体" w:hAnsi="宋体"/>
          <w:color w:val="000000"/>
          <w:highlight w:val="none"/>
        </w:rPr>
        <w:t>异常恶劣的气候条件</w:t>
      </w:r>
      <w:bookmarkEnd w:id="534"/>
      <w:bookmarkEnd w:id="535"/>
      <w:bookmarkEnd w:id="536"/>
      <w:bookmarkEnd w:id="537"/>
      <w:bookmarkEnd w:id="538"/>
      <w:bookmarkEnd w:id="539"/>
      <w:bookmarkEnd w:id="540"/>
    </w:p>
    <w:p w14:paraId="275DCE50">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发包人和承包人同意以下情形视为异常恶劣的气候条件：</w:t>
      </w:r>
    </w:p>
    <w:p w14:paraId="0A02C6F2">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（1）日降雨量大于 150 ㎜的雨日超过1天；</w:t>
      </w:r>
    </w:p>
    <w:p w14:paraId="3DDDD0ED">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（2） 10 级以上的持续1日的大风（以气象部门鉴定为准））</w:t>
      </w:r>
    </w:p>
    <w:p w14:paraId="07B867D0">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（3）日气温超过 38 ℃的高温大于 2 天；</w:t>
      </w:r>
    </w:p>
    <w:p w14:paraId="3DB44D7F">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（4）日气温低于 -10 ℃的严寒大于 2 天。</w:t>
      </w:r>
    </w:p>
    <w:p w14:paraId="562511C2">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（5）造成工程损坏的冰雹和大雪灾害；</w:t>
      </w:r>
    </w:p>
    <w:p w14:paraId="37724715">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（6） 6 级以上的地震；</w:t>
      </w:r>
    </w:p>
    <w:p w14:paraId="67A8F05B">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（7） 50 年一遇及以上的洪水；</w:t>
      </w:r>
    </w:p>
    <w:p w14:paraId="5392E3BA">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（8）其他异常恶劣气候灾害。</w:t>
      </w:r>
    </w:p>
    <w:p w14:paraId="3B9CE8F9">
      <w:pPr>
        <w:pStyle w:val="8"/>
        <w:spacing w:before="0" w:after="60" w:line="520" w:lineRule="exact"/>
        <w:rPr>
          <w:rFonts w:ascii="宋体" w:hAnsi="宋体"/>
          <w:color w:val="000000"/>
          <w:highlight w:val="none"/>
        </w:rPr>
      </w:pPr>
      <w:bookmarkStart w:id="541" w:name="_Toc373478377"/>
      <w:bookmarkStart w:id="542" w:name="_Toc487632729"/>
      <w:bookmarkStart w:id="543" w:name="_Toc373227730"/>
      <w:bookmarkStart w:id="544" w:name="_Toc108539809"/>
      <w:bookmarkStart w:id="545" w:name="_Toc407135232"/>
      <w:bookmarkStart w:id="546" w:name="_Toc389065296"/>
      <w:bookmarkStart w:id="547" w:name="_Toc4215"/>
      <w:r>
        <w:rPr>
          <w:rFonts w:ascii="宋体" w:hAnsi="宋体"/>
          <w:color w:val="000000"/>
          <w:highlight w:val="none"/>
        </w:rPr>
        <w:t xml:space="preserve">7.9 </w:t>
      </w:r>
      <w:r>
        <w:rPr>
          <w:rFonts w:hint="eastAsia" w:ascii="宋体" w:hAnsi="宋体"/>
          <w:color w:val="000000"/>
          <w:highlight w:val="none"/>
        </w:rPr>
        <w:t>提前竣工</w:t>
      </w:r>
      <w:bookmarkEnd w:id="541"/>
      <w:bookmarkEnd w:id="542"/>
      <w:bookmarkEnd w:id="543"/>
      <w:bookmarkEnd w:id="544"/>
      <w:bookmarkEnd w:id="545"/>
      <w:bookmarkEnd w:id="546"/>
      <w:bookmarkEnd w:id="547"/>
    </w:p>
    <w:p w14:paraId="2D277698">
      <w:pPr>
        <w:spacing w:line="520" w:lineRule="exact"/>
        <w:ind w:firstLine="420" w:firstLineChars="200"/>
        <w:jc w:val="left"/>
        <w:rPr>
          <w:rFonts w:ascii="宋体" w:hAnsi="宋体"/>
          <w:color w:val="000000"/>
          <w:highlight w:val="none"/>
        </w:rPr>
      </w:pPr>
      <w:r>
        <w:rPr>
          <w:rFonts w:ascii="宋体" w:hAnsi="宋体"/>
          <w:color w:val="000000"/>
          <w:highlight w:val="none"/>
        </w:rPr>
        <w:t>7.9.2</w:t>
      </w:r>
      <w:r>
        <w:rPr>
          <w:rFonts w:hint="eastAsia" w:ascii="宋体" w:hAnsi="宋体"/>
          <w:color w:val="000000"/>
          <w:highlight w:val="none"/>
        </w:rPr>
        <w:t>提前竣工（赶工）增加费的计算方法：</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11513AE3">
      <w:pPr>
        <w:pStyle w:val="7"/>
        <w:spacing w:line="520" w:lineRule="exact"/>
        <w:rPr>
          <w:rFonts w:ascii="宋体" w:hAnsi="宋体" w:eastAsia="宋体"/>
          <w:color w:val="000000"/>
          <w:highlight w:val="none"/>
        </w:rPr>
      </w:pPr>
      <w:bookmarkStart w:id="548" w:name="_Toc6186"/>
      <w:bookmarkStart w:id="549" w:name="_Toc108539810"/>
      <w:bookmarkStart w:id="550" w:name="_Toc389065297"/>
      <w:bookmarkStart w:id="551" w:name="_Toc407135233"/>
      <w:bookmarkStart w:id="552" w:name="_Toc351203640"/>
      <w:bookmarkStart w:id="553" w:name="_Toc373478378"/>
      <w:bookmarkStart w:id="554" w:name="_Toc487632730"/>
      <w:bookmarkStart w:id="555" w:name="_Toc373227731"/>
      <w:r>
        <w:rPr>
          <w:rFonts w:ascii="宋体" w:hAnsi="宋体" w:eastAsia="宋体"/>
          <w:color w:val="000000"/>
          <w:highlight w:val="none"/>
        </w:rPr>
        <w:t xml:space="preserve">8. </w:t>
      </w:r>
      <w:r>
        <w:rPr>
          <w:rFonts w:hint="eastAsia" w:ascii="宋体" w:hAnsi="宋体" w:eastAsia="宋体"/>
          <w:color w:val="000000"/>
          <w:highlight w:val="none"/>
        </w:rPr>
        <w:t>材料与设备</w:t>
      </w:r>
      <w:bookmarkEnd w:id="548"/>
      <w:bookmarkEnd w:id="549"/>
      <w:bookmarkEnd w:id="550"/>
      <w:bookmarkEnd w:id="551"/>
      <w:bookmarkEnd w:id="552"/>
      <w:bookmarkEnd w:id="553"/>
      <w:bookmarkEnd w:id="554"/>
      <w:bookmarkEnd w:id="555"/>
    </w:p>
    <w:p w14:paraId="7CFAD71E">
      <w:pPr>
        <w:pStyle w:val="8"/>
        <w:spacing w:before="0" w:after="60" w:line="520" w:lineRule="exact"/>
        <w:rPr>
          <w:rFonts w:ascii="宋体" w:hAnsi="宋体"/>
          <w:color w:val="000000"/>
          <w:highlight w:val="none"/>
        </w:rPr>
      </w:pPr>
      <w:bookmarkStart w:id="556" w:name="_Toc1994"/>
      <w:bookmarkStart w:id="557" w:name="_Toc389065298"/>
      <w:bookmarkStart w:id="558" w:name="_Toc407135234"/>
      <w:bookmarkStart w:id="559" w:name="_Toc373227732"/>
      <w:bookmarkStart w:id="560" w:name="_Toc373478379"/>
      <w:bookmarkStart w:id="561" w:name="_Toc108539811"/>
      <w:bookmarkStart w:id="562" w:name="_Toc487632731"/>
      <w:r>
        <w:rPr>
          <w:rFonts w:ascii="宋体" w:hAnsi="宋体"/>
          <w:color w:val="000000"/>
          <w:highlight w:val="none"/>
        </w:rPr>
        <w:t xml:space="preserve">8.2 </w:t>
      </w:r>
      <w:r>
        <w:rPr>
          <w:rFonts w:hint="eastAsia" w:ascii="宋体" w:hAnsi="宋体"/>
          <w:color w:val="000000"/>
          <w:highlight w:val="none"/>
        </w:rPr>
        <w:t>承包人采购材料与工程设备</w:t>
      </w:r>
      <w:bookmarkEnd w:id="556"/>
      <w:bookmarkEnd w:id="557"/>
      <w:bookmarkEnd w:id="558"/>
      <w:bookmarkEnd w:id="559"/>
      <w:bookmarkEnd w:id="560"/>
      <w:bookmarkEnd w:id="561"/>
      <w:bookmarkEnd w:id="562"/>
    </w:p>
    <w:p w14:paraId="289256BF">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除已标价工程量清单《发包人提供主要材料和及价格表》（表</w:t>
      </w:r>
      <w:r>
        <w:rPr>
          <w:rFonts w:ascii="宋体" w:hAnsi="宋体"/>
          <w:color w:val="000000"/>
          <w:kern w:val="0"/>
          <w:highlight w:val="none"/>
        </w:rPr>
        <w:t>-21</w:t>
      </w:r>
      <w:r>
        <w:rPr>
          <w:rFonts w:hint="eastAsia" w:ascii="宋体" w:hAnsi="宋体"/>
          <w:color w:val="000000"/>
          <w:kern w:val="0"/>
          <w:highlight w:val="none"/>
        </w:rPr>
        <w:t>）（如有）中明确的材料、工程设备外，由承包人负责材料和工程设备的采购、运输和保管。《</w:t>
      </w:r>
      <w:r>
        <w:rPr>
          <w:rFonts w:hint="eastAsia" w:ascii="宋体" w:hAnsi="宋体"/>
          <w:color w:val="000000"/>
          <w:highlight w:val="none"/>
        </w:rPr>
        <w:t>承包人提供</w:t>
      </w:r>
      <w:r>
        <w:rPr>
          <w:rFonts w:hint="eastAsia" w:ascii="宋体" w:hAnsi="宋体"/>
          <w:color w:val="000000"/>
          <w:kern w:val="0"/>
          <w:highlight w:val="none"/>
        </w:rPr>
        <w:t>主要材料和及价格表</w:t>
      </w:r>
      <w:r>
        <w:rPr>
          <w:rFonts w:hint="eastAsia" w:ascii="宋体" w:hAnsi="宋体"/>
          <w:color w:val="000000"/>
          <w:highlight w:val="none"/>
        </w:rPr>
        <w:t>》</w:t>
      </w:r>
      <w:r>
        <w:rPr>
          <w:rFonts w:hint="eastAsia" w:ascii="宋体" w:hAnsi="宋体"/>
          <w:color w:val="000000"/>
          <w:kern w:val="0"/>
          <w:highlight w:val="none"/>
        </w:rPr>
        <w:t>（表</w:t>
      </w:r>
      <w:r>
        <w:rPr>
          <w:rFonts w:ascii="宋体" w:hAnsi="宋体"/>
          <w:color w:val="000000"/>
          <w:kern w:val="0"/>
          <w:highlight w:val="none"/>
        </w:rPr>
        <w:t>-22</w:t>
      </w:r>
      <w:r>
        <w:rPr>
          <w:rFonts w:hint="eastAsia" w:ascii="宋体" w:hAnsi="宋体"/>
          <w:color w:val="000000"/>
          <w:kern w:val="0"/>
          <w:highlight w:val="none"/>
        </w:rPr>
        <w:t>）（如有）见已标价工程量清单。</w:t>
      </w:r>
    </w:p>
    <w:p w14:paraId="34D30C72">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对发包人在招标时有“参照或相当于</w:t>
      </w:r>
      <w:r>
        <w:rPr>
          <w:rFonts w:ascii="宋体" w:hAnsi="宋体"/>
          <w:color w:val="000000"/>
          <w:highlight w:val="none"/>
        </w:rPr>
        <w:t>**</w:t>
      </w:r>
      <w:r>
        <w:rPr>
          <w:rFonts w:hint="eastAsia" w:ascii="宋体" w:hAnsi="宋体"/>
          <w:color w:val="000000"/>
          <w:highlight w:val="none"/>
        </w:rPr>
        <w:t>品牌、级别”约定的材料或设备，承包人采购时必须按类似于或优于所约定品牌、等级进行采购，施工期间该部分材料或设备如未超过招标约定的风险幅度的，结算时按磋商单价支付，不得调整。</w:t>
      </w:r>
    </w:p>
    <w:p w14:paraId="30322D0C">
      <w:pPr>
        <w:pStyle w:val="8"/>
        <w:spacing w:before="0" w:after="60"/>
        <w:rPr>
          <w:rFonts w:ascii="宋体" w:hAnsi="宋体"/>
          <w:color w:val="000000"/>
          <w:highlight w:val="none"/>
        </w:rPr>
      </w:pPr>
      <w:bookmarkStart w:id="563" w:name="_Toc407135235"/>
      <w:bookmarkStart w:id="564" w:name="_Toc5933"/>
      <w:bookmarkStart w:id="565" w:name="_Toc487632732"/>
      <w:bookmarkStart w:id="566" w:name="_Toc108539812"/>
      <w:r>
        <w:rPr>
          <w:rFonts w:ascii="宋体" w:hAnsi="宋体"/>
          <w:color w:val="000000"/>
          <w:highlight w:val="none"/>
        </w:rPr>
        <w:t xml:space="preserve">8.4 </w:t>
      </w:r>
      <w:r>
        <w:rPr>
          <w:rFonts w:hint="eastAsia" w:ascii="宋体" w:hAnsi="宋体"/>
          <w:color w:val="000000"/>
          <w:highlight w:val="none"/>
        </w:rPr>
        <w:t>材料与工程设备的保管与使用</w:t>
      </w:r>
      <w:bookmarkEnd w:id="563"/>
      <w:bookmarkEnd w:id="564"/>
      <w:bookmarkEnd w:id="565"/>
      <w:bookmarkEnd w:id="566"/>
    </w:p>
    <w:p w14:paraId="65DB3D5D">
      <w:pPr>
        <w:spacing w:line="360" w:lineRule="auto"/>
        <w:ind w:firstLine="420" w:firstLineChars="200"/>
        <w:jc w:val="left"/>
        <w:rPr>
          <w:rFonts w:ascii="宋体" w:hAnsi="宋体"/>
          <w:color w:val="000000"/>
          <w:highlight w:val="none"/>
        </w:rPr>
      </w:pPr>
      <w:r>
        <w:rPr>
          <w:rFonts w:ascii="宋体" w:hAnsi="宋体"/>
          <w:color w:val="000000"/>
          <w:highlight w:val="none"/>
        </w:rPr>
        <w:t>8.4.1</w:t>
      </w:r>
      <w:r>
        <w:rPr>
          <w:rFonts w:hint="eastAsia" w:ascii="宋体" w:hAnsi="宋体"/>
          <w:color w:val="000000"/>
          <w:highlight w:val="none"/>
        </w:rPr>
        <w:t>发包人供应的材料设备的保管费用的承担：</w:t>
      </w:r>
      <w:r>
        <w:rPr>
          <w:rFonts w:hint="eastAsia" w:ascii="宋体" w:hAnsi="宋体"/>
          <w:color w:val="000000"/>
          <w:highlight w:val="none"/>
          <w:u w:val="single"/>
        </w:rPr>
        <w:t>由承包人承担</w:t>
      </w:r>
      <w:r>
        <w:rPr>
          <w:rFonts w:hint="eastAsia" w:ascii="宋体" w:hAnsi="宋体"/>
          <w:color w:val="000000"/>
          <w:highlight w:val="none"/>
        </w:rPr>
        <w:t>。</w:t>
      </w:r>
    </w:p>
    <w:p w14:paraId="3EAC8D60">
      <w:pPr>
        <w:pStyle w:val="8"/>
        <w:spacing w:before="0" w:after="60"/>
        <w:rPr>
          <w:rFonts w:ascii="宋体" w:hAnsi="宋体"/>
          <w:color w:val="000000"/>
          <w:highlight w:val="none"/>
        </w:rPr>
      </w:pPr>
      <w:bookmarkStart w:id="567" w:name="_Toc373227734"/>
      <w:bookmarkStart w:id="568" w:name="_Toc389065300"/>
      <w:bookmarkStart w:id="569" w:name="_Toc14062"/>
      <w:bookmarkStart w:id="570" w:name="_Toc487632733"/>
      <w:bookmarkStart w:id="571" w:name="_Toc373478381"/>
      <w:bookmarkStart w:id="572" w:name="_Toc108539813"/>
      <w:bookmarkStart w:id="573" w:name="_Toc407135236"/>
      <w:r>
        <w:rPr>
          <w:rFonts w:ascii="宋体" w:hAnsi="宋体"/>
          <w:color w:val="000000"/>
          <w:highlight w:val="none"/>
        </w:rPr>
        <w:t xml:space="preserve">8.6 </w:t>
      </w:r>
      <w:r>
        <w:rPr>
          <w:rFonts w:hint="eastAsia" w:ascii="宋体" w:hAnsi="宋体"/>
          <w:color w:val="000000"/>
          <w:highlight w:val="none"/>
        </w:rPr>
        <w:t>样品</w:t>
      </w:r>
      <w:bookmarkEnd w:id="567"/>
      <w:bookmarkEnd w:id="568"/>
      <w:bookmarkEnd w:id="569"/>
      <w:bookmarkEnd w:id="570"/>
      <w:bookmarkEnd w:id="571"/>
      <w:bookmarkEnd w:id="572"/>
      <w:bookmarkEnd w:id="573"/>
    </w:p>
    <w:p w14:paraId="7A48E653">
      <w:pPr>
        <w:autoSpaceDE w:val="0"/>
        <w:autoSpaceDN w:val="0"/>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8.6.1 </w:t>
      </w:r>
      <w:r>
        <w:rPr>
          <w:rFonts w:hint="eastAsia" w:ascii="宋体" w:hAnsi="宋体"/>
          <w:color w:val="000000"/>
          <w:kern w:val="0"/>
          <w:highlight w:val="none"/>
        </w:rPr>
        <w:t>样品的报送与封存</w:t>
      </w:r>
    </w:p>
    <w:p w14:paraId="4967A6C8">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需要承包人报送样品的材料或工程设备，样品的种类、名称、规格、数量要求：</w:t>
      </w:r>
      <w:r>
        <w:rPr>
          <w:rFonts w:hint="eastAsia" w:ascii="宋体" w:hAnsi="宋体"/>
          <w:color w:val="000000"/>
          <w:highlight w:val="none"/>
          <w:u w:val="single"/>
        </w:rPr>
        <w:t>主要材料涉及品种、款式、颜色等方面内容的，承包人应提交准备合格的材料样品送发包人选定。</w:t>
      </w:r>
    </w:p>
    <w:p w14:paraId="1BF8385E">
      <w:pPr>
        <w:pStyle w:val="8"/>
        <w:spacing w:before="0" w:after="60"/>
        <w:rPr>
          <w:rFonts w:ascii="宋体" w:hAnsi="宋体"/>
          <w:color w:val="000000"/>
          <w:highlight w:val="none"/>
        </w:rPr>
      </w:pPr>
      <w:bookmarkStart w:id="574" w:name="_Toc373478382"/>
      <w:bookmarkStart w:id="575" w:name="_Toc407135237"/>
      <w:bookmarkStart w:id="576" w:name="_Toc373227735"/>
      <w:bookmarkStart w:id="577" w:name="_Toc389065301"/>
      <w:bookmarkStart w:id="578" w:name="_Toc29664"/>
      <w:bookmarkStart w:id="579" w:name="_Toc108539814"/>
      <w:bookmarkStart w:id="580" w:name="_Toc487632734"/>
      <w:r>
        <w:rPr>
          <w:rFonts w:ascii="宋体" w:hAnsi="宋体"/>
          <w:color w:val="000000"/>
          <w:highlight w:val="none"/>
        </w:rPr>
        <w:t xml:space="preserve">8.8 </w:t>
      </w:r>
      <w:r>
        <w:rPr>
          <w:rFonts w:hint="eastAsia" w:ascii="宋体" w:hAnsi="宋体"/>
          <w:color w:val="000000"/>
          <w:highlight w:val="none"/>
        </w:rPr>
        <w:t>施工设备和临时设施</w:t>
      </w:r>
      <w:bookmarkEnd w:id="574"/>
      <w:bookmarkEnd w:id="575"/>
      <w:bookmarkEnd w:id="576"/>
      <w:bookmarkEnd w:id="577"/>
      <w:bookmarkEnd w:id="578"/>
      <w:bookmarkEnd w:id="579"/>
      <w:bookmarkEnd w:id="580"/>
    </w:p>
    <w:p w14:paraId="16109921">
      <w:pPr>
        <w:autoSpaceDE w:val="0"/>
        <w:autoSpaceDN w:val="0"/>
        <w:spacing w:line="360" w:lineRule="auto"/>
        <w:ind w:firstLine="420" w:firstLineChars="200"/>
        <w:jc w:val="left"/>
        <w:rPr>
          <w:rFonts w:ascii="宋体" w:hAnsi="宋体"/>
          <w:color w:val="000000"/>
          <w:highlight w:val="none"/>
        </w:rPr>
      </w:pPr>
      <w:r>
        <w:rPr>
          <w:rFonts w:ascii="宋体" w:hAnsi="宋体"/>
          <w:color w:val="000000"/>
          <w:highlight w:val="none"/>
        </w:rPr>
        <w:t xml:space="preserve">8.8.1 </w:t>
      </w:r>
      <w:r>
        <w:rPr>
          <w:rFonts w:hint="eastAsia" w:ascii="宋体" w:hAnsi="宋体"/>
          <w:color w:val="000000"/>
          <w:highlight w:val="none"/>
        </w:rPr>
        <w:t>承包人提供的施工设备和临时设施</w:t>
      </w:r>
    </w:p>
    <w:p w14:paraId="03C58A96">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5E61C0C6">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关于修建临时设施费用承担的约定：</w:t>
      </w:r>
    </w:p>
    <w:p w14:paraId="744150E4">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①承包人的临时用地（含项目部驻地等）租用费（含拆迁补偿）、临时用地的环保、恢复、临时用地的青苗补偿及地面附着物拆除等费用均由承包人负责，以上费用在磋商报价中综合考虑。</w:t>
      </w:r>
    </w:p>
    <w:p w14:paraId="567CB3E9">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②承包人负责合同实施期间其合同段内临时交通道路（含场内外连接公共交通道路）和交通设施的修建、维修、养护和交通管理工作，并承担一切费用。</w:t>
      </w:r>
    </w:p>
    <w:p w14:paraId="4A36E8B9">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8C2970">
      <w:pPr>
        <w:autoSpaceDE w:val="0"/>
        <w:autoSpaceDN w:val="0"/>
        <w:spacing w:line="360" w:lineRule="auto"/>
        <w:ind w:firstLine="420" w:firstLineChars="200"/>
        <w:jc w:val="left"/>
        <w:rPr>
          <w:rFonts w:ascii="宋体" w:hAnsi="宋体"/>
          <w:color w:val="000000"/>
          <w:highlight w:val="none"/>
        </w:rPr>
      </w:pPr>
      <w:r>
        <w:rPr>
          <w:rFonts w:ascii="宋体" w:hAnsi="宋体"/>
          <w:color w:val="000000"/>
          <w:highlight w:val="none"/>
        </w:rPr>
        <w:t xml:space="preserve">8.8.2 </w:t>
      </w:r>
      <w:r>
        <w:rPr>
          <w:rFonts w:hint="eastAsia" w:ascii="宋体" w:hAnsi="宋体"/>
          <w:color w:val="000000"/>
          <w:highlight w:val="none"/>
        </w:rPr>
        <w:t>发包人提供的施工设备和临时设施</w:t>
      </w:r>
    </w:p>
    <w:p w14:paraId="4A4DAE2B">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发包人提供的施工设备和临时设施：</w:t>
      </w:r>
      <w:r>
        <w:rPr>
          <w:rFonts w:hint="eastAsia" w:ascii="宋体" w:hAnsi="宋体"/>
          <w:color w:val="000000"/>
          <w:highlight w:val="none"/>
          <w:u w:val="single"/>
        </w:rPr>
        <w:t>发包人不提供任何施工设备和临时设施，临时设施的修建及施工所需的水、电管线的铺设等均由承包人自行解决，发包人予以协助</w:t>
      </w:r>
      <w:r>
        <w:rPr>
          <w:rFonts w:hint="eastAsia" w:ascii="宋体" w:hAnsi="宋体"/>
          <w:color w:val="000000"/>
          <w:highlight w:val="none"/>
        </w:rPr>
        <w:t>。</w:t>
      </w:r>
    </w:p>
    <w:p w14:paraId="69F0EF48">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发包人提供的施工设备和临时设施的运行、维护、拆除、清运费用的承担人：</w:t>
      </w:r>
      <w:r>
        <w:rPr>
          <w:rFonts w:hint="eastAsia" w:ascii="宋体" w:hAnsi="宋体"/>
          <w:color w:val="000000"/>
          <w:highlight w:val="none"/>
          <w:u w:val="single"/>
        </w:rPr>
        <w:t>无</w:t>
      </w:r>
      <w:r>
        <w:rPr>
          <w:rFonts w:hint="eastAsia" w:ascii="宋体" w:hAnsi="宋体"/>
          <w:color w:val="000000"/>
          <w:highlight w:val="none"/>
        </w:rPr>
        <w:t>。</w:t>
      </w:r>
    </w:p>
    <w:p w14:paraId="259E238B">
      <w:pPr>
        <w:pStyle w:val="7"/>
        <w:rPr>
          <w:rFonts w:ascii="宋体" w:hAnsi="宋体" w:eastAsia="宋体"/>
          <w:color w:val="000000"/>
          <w:highlight w:val="none"/>
        </w:rPr>
      </w:pPr>
      <w:bookmarkStart w:id="581" w:name="_Toc389065302"/>
      <w:bookmarkStart w:id="582" w:name="_Toc108539815"/>
      <w:bookmarkStart w:id="583" w:name="_Toc487632735"/>
      <w:bookmarkStart w:id="584" w:name="_Toc351203641"/>
      <w:bookmarkStart w:id="585" w:name="_Toc373227736"/>
      <w:bookmarkStart w:id="586" w:name="_Toc407135238"/>
      <w:bookmarkStart w:id="587" w:name="_Toc5784"/>
      <w:bookmarkStart w:id="588" w:name="_Toc373478383"/>
      <w:r>
        <w:rPr>
          <w:rFonts w:ascii="宋体" w:hAnsi="宋体" w:eastAsia="宋体"/>
          <w:color w:val="000000"/>
          <w:highlight w:val="none"/>
        </w:rPr>
        <w:t xml:space="preserve">9. </w:t>
      </w:r>
      <w:r>
        <w:rPr>
          <w:rFonts w:hint="eastAsia" w:ascii="宋体" w:hAnsi="宋体" w:eastAsia="宋体"/>
          <w:color w:val="000000"/>
          <w:highlight w:val="none"/>
        </w:rPr>
        <w:t>试验与检验</w:t>
      </w:r>
      <w:bookmarkEnd w:id="581"/>
      <w:bookmarkEnd w:id="582"/>
      <w:bookmarkEnd w:id="583"/>
      <w:bookmarkEnd w:id="584"/>
      <w:bookmarkEnd w:id="585"/>
      <w:bookmarkEnd w:id="586"/>
      <w:bookmarkEnd w:id="587"/>
      <w:bookmarkEnd w:id="588"/>
    </w:p>
    <w:p w14:paraId="6FD2A303">
      <w:pPr>
        <w:pStyle w:val="8"/>
        <w:spacing w:before="0" w:after="60"/>
        <w:rPr>
          <w:rFonts w:ascii="宋体" w:hAnsi="宋体"/>
          <w:color w:val="000000"/>
          <w:highlight w:val="none"/>
        </w:rPr>
      </w:pPr>
      <w:bookmarkStart w:id="589" w:name="_Toc407135239"/>
      <w:bookmarkStart w:id="590" w:name="_Toc373478384"/>
      <w:bookmarkStart w:id="591" w:name="_Toc373227737"/>
      <w:bookmarkStart w:id="592" w:name="_Toc487632736"/>
      <w:bookmarkStart w:id="593" w:name="_Toc389065303"/>
      <w:bookmarkStart w:id="594" w:name="_Toc108539816"/>
      <w:bookmarkStart w:id="595" w:name="_Toc22326"/>
      <w:r>
        <w:rPr>
          <w:rFonts w:ascii="宋体" w:hAnsi="宋体"/>
          <w:color w:val="000000"/>
          <w:highlight w:val="none"/>
        </w:rPr>
        <w:t xml:space="preserve">9.1 </w:t>
      </w:r>
      <w:r>
        <w:rPr>
          <w:rFonts w:hint="eastAsia" w:ascii="宋体" w:hAnsi="宋体"/>
          <w:color w:val="000000"/>
          <w:highlight w:val="none"/>
        </w:rPr>
        <w:t>试验设备与试验人员</w:t>
      </w:r>
      <w:bookmarkEnd w:id="589"/>
      <w:bookmarkEnd w:id="590"/>
      <w:bookmarkEnd w:id="591"/>
      <w:bookmarkEnd w:id="592"/>
      <w:bookmarkEnd w:id="593"/>
      <w:bookmarkEnd w:id="594"/>
      <w:bookmarkEnd w:id="595"/>
    </w:p>
    <w:p w14:paraId="62083048">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9.1.2 </w:t>
      </w:r>
      <w:r>
        <w:rPr>
          <w:rFonts w:hint="eastAsia" w:ascii="宋体" w:hAnsi="宋体"/>
          <w:color w:val="000000"/>
          <w:highlight w:val="none"/>
        </w:rPr>
        <w:t>试验设备</w:t>
      </w:r>
    </w:p>
    <w:p w14:paraId="536FCF3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施工现场需要配置的试验场所：</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603E24F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施工现场需要配备的试验设备：</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31A6066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施工现场需要具备的其他试验条件：</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1405F0E7">
      <w:pPr>
        <w:pStyle w:val="8"/>
        <w:spacing w:before="0" w:after="60"/>
        <w:rPr>
          <w:rFonts w:ascii="宋体" w:hAnsi="宋体"/>
          <w:color w:val="000000"/>
          <w:highlight w:val="none"/>
        </w:rPr>
      </w:pPr>
      <w:bookmarkStart w:id="596" w:name="_Toc15038"/>
      <w:bookmarkStart w:id="597" w:name="_Toc108539817"/>
      <w:r>
        <w:rPr>
          <w:rFonts w:ascii="宋体" w:hAnsi="宋体"/>
          <w:color w:val="000000"/>
          <w:highlight w:val="none"/>
        </w:rPr>
        <w:t xml:space="preserve">9.4 </w:t>
      </w:r>
      <w:r>
        <w:rPr>
          <w:rFonts w:hint="eastAsia" w:ascii="宋体" w:hAnsi="宋体"/>
          <w:color w:val="000000"/>
          <w:highlight w:val="none"/>
        </w:rPr>
        <w:t>现场工艺试验</w:t>
      </w:r>
      <w:bookmarkEnd w:id="596"/>
      <w:bookmarkEnd w:id="597"/>
    </w:p>
    <w:p w14:paraId="033E936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现场工艺试验的有关约定：</w:t>
      </w:r>
      <w:r>
        <w:rPr>
          <w:rFonts w:hint="eastAsia" w:ascii="宋体" w:hAnsi="宋体"/>
          <w:color w:val="000000"/>
          <w:highlight w:val="none"/>
          <w:u w:val="single"/>
        </w:rPr>
        <w:t>按规范要求执行</w:t>
      </w:r>
      <w:r>
        <w:rPr>
          <w:rFonts w:hint="eastAsia" w:ascii="宋体" w:hAnsi="宋体"/>
          <w:color w:val="000000"/>
          <w:highlight w:val="none"/>
        </w:rPr>
        <w:t>。</w:t>
      </w:r>
    </w:p>
    <w:p w14:paraId="7ACDE6A9">
      <w:pPr>
        <w:pStyle w:val="8"/>
        <w:spacing w:before="0" w:after="60"/>
        <w:rPr>
          <w:rFonts w:ascii="宋体" w:hAnsi="宋体"/>
          <w:color w:val="000000"/>
          <w:highlight w:val="none"/>
        </w:rPr>
      </w:pPr>
      <w:bookmarkStart w:id="598" w:name="_Toc407135241"/>
      <w:bookmarkStart w:id="599" w:name="_Toc108539818"/>
      <w:bookmarkStart w:id="600" w:name="_Toc237"/>
      <w:bookmarkStart w:id="601" w:name="_Toc487632738"/>
      <w:r>
        <w:rPr>
          <w:rFonts w:ascii="宋体" w:hAnsi="宋体"/>
          <w:color w:val="000000"/>
          <w:highlight w:val="none"/>
        </w:rPr>
        <w:t xml:space="preserve">9.5 </w:t>
      </w:r>
      <w:r>
        <w:rPr>
          <w:rFonts w:hint="eastAsia" w:ascii="宋体" w:hAnsi="宋体"/>
          <w:color w:val="000000"/>
          <w:highlight w:val="none"/>
        </w:rPr>
        <w:t>检验费用</w:t>
      </w:r>
      <w:bookmarkEnd w:id="598"/>
      <w:bookmarkEnd w:id="599"/>
      <w:bookmarkEnd w:id="600"/>
      <w:bookmarkEnd w:id="601"/>
    </w:p>
    <w:p w14:paraId="187C668B">
      <w:pPr>
        <w:spacing w:line="360" w:lineRule="auto"/>
        <w:ind w:firstLine="411" w:firstLineChars="196"/>
        <w:rPr>
          <w:rFonts w:hint="eastAsia" w:ascii="宋体" w:hAnsi="宋体"/>
          <w:color w:val="000000"/>
          <w:highlight w:val="none"/>
        </w:rPr>
      </w:pPr>
      <w:r>
        <w:rPr>
          <w:rFonts w:hint="eastAsia" w:ascii="宋体" w:hAnsi="宋体"/>
          <w:color w:val="000000"/>
          <w:highlight w:val="none"/>
        </w:rPr>
        <w:t>根据《建设工程质量检测管理办法》（建设部令第</w:t>
      </w:r>
      <w:r>
        <w:rPr>
          <w:rFonts w:ascii="宋体" w:hAnsi="宋体"/>
          <w:color w:val="000000"/>
          <w:highlight w:val="none"/>
        </w:rPr>
        <w:t>141</w:t>
      </w:r>
      <w:r>
        <w:rPr>
          <w:rFonts w:hint="eastAsia" w:ascii="宋体" w:hAnsi="宋体"/>
          <w:color w:val="000000"/>
          <w:highlight w:val="none"/>
        </w:rPr>
        <w:t>号）以及《广西壮族自治区建设工程质量检测管理规定》（桂建管〔</w:t>
      </w:r>
      <w:r>
        <w:rPr>
          <w:rFonts w:ascii="宋体" w:hAnsi="宋体"/>
          <w:color w:val="000000"/>
          <w:highlight w:val="none"/>
        </w:rPr>
        <w:t>2013</w:t>
      </w:r>
      <w:r>
        <w:rPr>
          <w:rFonts w:hint="eastAsia" w:ascii="宋体" w:hAnsi="宋体"/>
          <w:color w:val="000000"/>
          <w:highlight w:val="none"/>
        </w:rPr>
        <w:t>〕</w:t>
      </w:r>
      <w:r>
        <w:rPr>
          <w:rFonts w:ascii="宋体" w:hAnsi="宋体"/>
          <w:color w:val="000000"/>
          <w:highlight w:val="none"/>
        </w:rPr>
        <w:t>11</w:t>
      </w:r>
      <w:r>
        <w:rPr>
          <w:rFonts w:hint="eastAsia" w:ascii="宋体" w:hAnsi="宋体"/>
          <w:color w:val="000000"/>
          <w:highlight w:val="none"/>
        </w:rPr>
        <w:t>号）规定，工程质量检测业务由发包人委托有相应资质的检测机构检测。费用从发包人的项目建设经费中支出并直接支付给检测机构，不计入合同价款内。</w:t>
      </w:r>
    </w:p>
    <w:p w14:paraId="2F97C0A1">
      <w:pPr>
        <w:pStyle w:val="7"/>
        <w:rPr>
          <w:rFonts w:ascii="宋体" w:hAnsi="宋体" w:eastAsia="宋体"/>
          <w:color w:val="000000"/>
          <w:highlight w:val="none"/>
        </w:rPr>
      </w:pPr>
      <w:bookmarkStart w:id="602" w:name="_Toc389065305"/>
      <w:bookmarkStart w:id="603" w:name="_Toc373227739"/>
      <w:bookmarkStart w:id="604" w:name="_Toc373478386"/>
      <w:bookmarkStart w:id="605" w:name="_Toc31039"/>
      <w:bookmarkStart w:id="606" w:name="_Toc407135242"/>
      <w:bookmarkStart w:id="607" w:name="_Toc487632739"/>
      <w:bookmarkStart w:id="608" w:name="_Toc108539819"/>
      <w:bookmarkStart w:id="609" w:name="_Toc351203642"/>
      <w:r>
        <w:rPr>
          <w:rFonts w:ascii="宋体" w:hAnsi="宋体" w:eastAsia="宋体"/>
          <w:color w:val="000000"/>
          <w:highlight w:val="none"/>
        </w:rPr>
        <w:t>1</w:t>
      </w:r>
      <w:bookmarkStart w:id="610" w:name="_Toc296891021"/>
      <w:bookmarkStart w:id="611" w:name="_Toc292559903"/>
      <w:bookmarkStart w:id="612" w:name="_Toc297216199"/>
      <w:bookmarkStart w:id="613" w:name="_Toc297120493"/>
      <w:bookmarkStart w:id="614" w:name="_Toc296347192"/>
      <w:bookmarkStart w:id="615" w:name="_Toc297123540"/>
      <w:bookmarkStart w:id="616" w:name="_Toc296944532"/>
      <w:bookmarkStart w:id="617" w:name="_Toc296503193"/>
      <w:bookmarkStart w:id="618" w:name="_Toc296891233"/>
      <w:bookmarkStart w:id="619" w:name="_Toc300934989"/>
      <w:bookmarkStart w:id="620" w:name="_Toc292559398"/>
      <w:bookmarkStart w:id="621" w:name="_Toc297048379"/>
      <w:bookmarkStart w:id="622" w:name="_Toc304295566"/>
      <w:bookmarkStart w:id="623" w:name="_Toc296346694"/>
      <w:bookmarkStart w:id="624" w:name="_Toc303539146"/>
      <w:r>
        <w:rPr>
          <w:rFonts w:ascii="宋体" w:hAnsi="宋体" w:eastAsia="宋体"/>
          <w:color w:val="000000"/>
          <w:highlight w:val="none"/>
        </w:rPr>
        <w:t xml:space="preserve">0. </w:t>
      </w:r>
      <w:r>
        <w:rPr>
          <w:rFonts w:hint="eastAsia" w:ascii="宋体" w:hAnsi="宋体" w:eastAsia="宋体"/>
          <w:color w:val="000000"/>
          <w:highlight w:val="none"/>
        </w:rPr>
        <w:t>变更</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98EA4BA">
      <w:pPr>
        <w:pStyle w:val="8"/>
        <w:spacing w:before="0" w:after="60"/>
        <w:rPr>
          <w:rFonts w:ascii="宋体" w:hAnsi="宋体"/>
          <w:color w:val="000000"/>
          <w:highlight w:val="none"/>
        </w:rPr>
      </w:pPr>
      <w:bookmarkStart w:id="625" w:name="_Toc373227740"/>
      <w:bookmarkStart w:id="626" w:name="_Toc389065306"/>
      <w:bookmarkStart w:id="627" w:name="_Toc108539820"/>
      <w:bookmarkStart w:id="628" w:name="_Toc407135243"/>
      <w:bookmarkStart w:id="629" w:name="_Toc6171"/>
      <w:bookmarkStart w:id="630" w:name="_Toc487632740"/>
      <w:bookmarkStart w:id="631" w:name="_Toc373478387"/>
      <w:r>
        <w:rPr>
          <w:rFonts w:ascii="宋体" w:hAnsi="宋体"/>
          <w:color w:val="000000"/>
          <w:highlight w:val="none"/>
        </w:rPr>
        <w:t xml:space="preserve">10.1 </w:t>
      </w:r>
      <w:r>
        <w:rPr>
          <w:rFonts w:hint="eastAsia" w:ascii="宋体" w:hAnsi="宋体"/>
          <w:color w:val="000000"/>
          <w:highlight w:val="none"/>
        </w:rPr>
        <w:t>变更的范围</w:t>
      </w:r>
      <w:bookmarkEnd w:id="625"/>
      <w:bookmarkEnd w:id="626"/>
      <w:bookmarkEnd w:id="627"/>
      <w:bookmarkEnd w:id="628"/>
      <w:bookmarkEnd w:id="629"/>
      <w:bookmarkEnd w:id="630"/>
      <w:bookmarkEnd w:id="631"/>
    </w:p>
    <w:p w14:paraId="24A9E99E">
      <w:pPr>
        <w:spacing w:line="360" w:lineRule="auto"/>
        <w:ind w:firstLine="426"/>
        <w:jc w:val="left"/>
        <w:rPr>
          <w:rFonts w:hint="eastAsia" w:ascii="宋体" w:hAnsi="宋体"/>
          <w:color w:val="000000"/>
          <w:highlight w:val="none"/>
        </w:rPr>
      </w:pPr>
      <w:r>
        <w:rPr>
          <w:rFonts w:hint="eastAsia" w:ascii="宋体" w:hAnsi="宋体"/>
          <w:color w:val="000000"/>
          <w:highlight w:val="none"/>
        </w:rPr>
        <w:t>关于变更的范围的约定：</w:t>
      </w:r>
      <w:r>
        <w:rPr>
          <w:rFonts w:hint="eastAsia" w:ascii="宋体" w:hAnsi="宋体"/>
          <w:color w:val="000000"/>
          <w:highlight w:val="none"/>
          <w:u w:val="single"/>
        </w:rPr>
        <w:t>超出招标图纸和工程量清单的子目。</w:t>
      </w:r>
    </w:p>
    <w:p w14:paraId="46E2814C">
      <w:pPr>
        <w:pStyle w:val="8"/>
        <w:spacing w:before="0" w:after="60"/>
        <w:rPr>
          <w:rFonts w:ascii="宋体" w:hAnsi="宋体"/>
          <w:color w:val="000000"/>
          <w:highlight w:val="none"/>
        </w:rPr>
      </w:pPr>
      <w:bookmarkStart w:id="632" w:name="_Toc373478388"/>
      <w:bookmarkStart w:id="633" w:name="_Toc10946"/>
      <w:bookmarkStart w:id="634" w:name="_Toc487632741"/>
      <w:bookmarkStart w:id="635" w:name="_Toc373227741"/>
      <w:bookmarkStart w:id="636" w:name="_Toc407135244"/>
      <w:bookmarkStart w:id="637" w:name="_Toc108539821"/>
      <w:bookmarkStart w:id="638" w:name="_Toc389065307"/>
      <w:r>
        <w:rPr>
          <w:rFonts w:ascii="宋体" w:hAnsi="宋体"/>
          <w:color w:val="000000"/>
          <w:highlight w:val="none"/>
        </w:rPr>
        <w:t xml:space="preserve">10.3 </w:t>
      </w:r>
      <w:r>
        <w:rPr>
          <w:rFonts w:hint="eastAsia" w:ascii="宋体" w:hAnsi="宋体"/>
          <w:color w:val="000000"/>
          <w:highlight w:val="none"/>
        </w:rPr>
        <w:t>变更程序</w:t>
      </w:r>
      <w:bookmarkEnd w:id="632"/>
      <w:bookmarkEnd w:id="633"/>
      <w:bookmarkEnd w:id="634"/>
      <w:bookmarkEnd w:id="635"/>
      <w:bookmarkEnd w:id="636"/>
      <w:bookmarkEnd w:id="637"/>
      <w:bookmarkEnd w:id="638"/>
    </w:p>
    <w:p w14:paraId="0F25A647">
      <w:pPr>
        <w:pStyle w:val="40"/>
        <w:spacing w:line="360" w:lineRule="auto"/>
        <w:ind w:firstLine="441" w:firstLineChars="210"/>
        <w:rPr>
          <w:rFonts w:hAnsi="宋体"/>
          <w:color w:val="000000"/>
          <w:highlight w:val="none"/>
        </w:rPr>
      </w:pPr>
      <w:r>
        <w:rPr>
          <w:rFonts w:hAnsi="宋体"/>
          <w:color w:val="000000"/>
          <w:highlight w:val="none"/>
        </w:rPr>
        <w:t>10.3.1国有投资项目：</w:t>
      </w:r>
    </w:p>
    <w:p w14:paraId="68CCBC7E">
      <w:pPr>
        <w:pStyle w:val="40"/>
        <w:spacing w:line="360" w:lineRule="auto"/>
        <w:ind w:firstLine="441" w:firstLineChars="210"/>
        <w:rPr>
          <w:rFonts w:hAnsi="宋体"/>
          <w:bCs/>
          <w:color w:val="000000"/>
          <w:highlight w:val="none"/>
        </w:rPr>
      </w:pPr>
      <w:r>
        <w:rPr>
          <w:rFonts w:hAnsi="宋体"/>
          <w:bCs/>
          <w:color w:val="000000"/>
          <w:highlight w:val="none"/>
        </w:rPr>
        <w:t>⑴设计变更和工程签证，按各市政府或相关部门的规定办理。属不可抗力（自然灾害、突发事件等）造成变更的，按特事特办原则予以办理。</w:t>
      </w:r>
    </w:p>
    <w:p w14:paraId="4CC805B2">
      <w:pPr>
        <w:pStyle w:val="40"/>
        <w:spacing w:line="360" w:lineRule="auto"/>
        <w:ind w:firstLine="441" w:firstLineChars="210"/>
        <w:rPr>
          <w:rFonts w:hAnsi="宋体"/>
          <w:bCs/>
          <w:color w:val="000000"/>
          <w:highlight w:val="none"/>
        </w:rPr>
      </w:pPr>
      <w:r>
        <w:rPr>
          <w:rFonts w:hAnsi="宋体"/>
          <w:bCs/>
          <w:color w:val="000000"/>
          <w:highlight w:val="none"/>
        </w:rPr>
        <w:t>⑵建设单位在实施项目过程中，若发生单价变动，由建设单位、监理单位、施工单位及其他相关单位共同商定并签字确认。</w:t>
      </w:r>
    </w:p>
    <w:p w14:paraId="4D1D7922">
      <w:pPr>
        <w:pStyle w:val="40"/>
        <w:spacing w:line="360" w:lineRule="auto"/>
        <w:ind w:firstLine="441" w:firstLineChars="210"/>
        <w:rPr>
          <w:rFonts w:hAnsi="宋体"/>
          <w:bCs/>
          <w:color w:val="000000"/>
          <w:highlight w:val="none"/>
        </w:rPr>
      </w:pPr>
      <w:r>
        <w:rPr>
          <w:rFonts w:hAnsi="宋体"/>
          <w:bCs/>
          <w:color w:val="000000"/>
          <w:highlight w:val="none"/>
        </w:rPr>
        <w:t>⑶当合同规定的合同价款调整情况发生后，承包人未在规定时间内通知发包人，或者未在规定时间内提出调整报告，发包人可以根据有关资料，决定是否调整和调整的金额，并书面通知承包人。</w:t>
      </w:r>
    </w:p>
    <w:p w14:paraId="704051E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10.3.2 </w:t>
      </w:r>
      <w:r>
        <w:rPr>
          <w:rFonts w:hint="eastAsia" w:ascii="宋体" w:hAnsi="宋体"/>
          <w:color w:val="000000"/>
          <w:highlight w:val="none"/>
        </w:rPr>
        <w:t>非国有投资项目：</w:t>
      </w:r>
      <w:r>
        <w:rPr>
          <w:rFonts w:hint="eastAsia" w:ascii="宋体" w:hAnsi="宋体"/>
          <w:color w:val="000000"/>
          <w:highlight w:val="none"/>
          <w:u w:val="single"/>
        </w:rPr>
        <w:t xml:space="preserve">        /                             </w:t>
      </w:r>
      <w:r>
        <w:rPr>
          <w:rFonts w:hint="eastAsia" w:ascii="宋体" w:hAnsi="宋体"/>
          <w:color w:val="000000"/>
          <w:highlight w:val="none"/>
        </w:rPr>
        <w:t>。</w:t>
      </w:r>
    </w:p>
    <w:p w14:paraId="22F3C70C">
      <w:pPr>
        <w:pStyle w:val="8"/>
        <w:spacing w:before="0" w:after="60"/>
        <w:rPr>
          <w:rFonts w:ascii="宋体" w:hAnsi="宋体"/>
          <w:color w:val="000000"/>
          <w:highlight w:val="none"/>
        </w:rPr>
      </w:pPr>
      <w:bookmarkStart w:id="639" w:name="_Toc20750"/>
      <w:bookmarkStart w:id="640" w:name="_Toc373227742"/>
      <w:bookmarkStart w:id="641" w:name="_Toc389065308"/>
      <w:bookmarkStart w:id="642" w:name="_Toc407135245"/>
      <w:bookmarkStart w:id="643" w:name="_Toc108539822"/>
      <w:bookmarkStart w:id="644" w:name="_Toc487632742"/>
      <w:bookmarkStart w:id="645" w:name="_Toc373478389"/>
      <w:r>
        <w:rPr>
          <w:rFonts w:ascii="宋体" w:hAnsi="宋体"/>
          <w:color w:val="000000"/>
          <w:highlight w:val="none"/>
        </w:rPr>
        <w:t xml:space="preserve">10.4 </w:t>
      </w:r>
      <w:r>
        <w:rPr>
          <w:rFonts w:hint="eastAsia" w:ascii="宋体" w:hAnsi="宋体"/>
          <w:color w:val="000000"/>
          <w:highlight w:val="none"/>
        </w:rPr>
        <w:t>变更估价</w:t>
      </w:r>
      <w:bookmarkEnd w:id="639"/>
      <w:bookmarkEnd w:id="640"/>
      <w:bookmarkEnd w:id="641"/>
      <w:bookmarkEnd w:id="642"/>
      <w:bookmarkEnd w:id="643"/>
      <w:bookmarkEnd w:id="644"/>
      <w:bookmarkEnd w:id="645"/>
    </w:p>
    <w:p w14:paraId="07FD16B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10.4.1 </w:t>
      </w:r>
      <w:r>
        <w:rPr>
          <w:rFonts w:hint="eastAsia" w:ascii="宋体" w:hAnsi="宋体"/>
          <w:color w:val="000000"/>
          <w:highlight w:val="none"/>
        </w:rPr>
        <w:t>变更估价原则</w:t>
      </w:r>
    </w:p>
    <w:p w14:paraId="247AE5B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关于变更估价的约定</w:t>
      </w:r>
      <w:r>
        <w:rPr>
          <w:rFonts w:ascii="宋体" w:hAnsi="宋体"/>
          <w:color w:val="000000"/>
          <w:highlight w:val="none"/>
        </w:rPr>
        <w:t xml:space="preserve">: </w:t>
      </w:r>
      <w:bookmarkStart w:id="646" w:name="_Toc251051742"/>
      <w:r>
        <w:rPr>
          <w:rFonts w:hint="eastAsia" w:ascii="宋体" w:hAnsi="宋体"/>
          <w:color w:val="000000"/>
          <w:highlight w:val="none"/>
          <w:u w:val="single"/>
        </w:rPr>
        <w:t>工程变更合同价款按下列方法进行：（</w:t>
      </w:r>
      <w:r>
        <w:rPr>
          <w:rFonts w:ascii="宋体" w:hAnsi="宋体"/>
          <w:color w:val="000000"/>
          <w:highlight w:val="none"/>
          <w:u w:val="single"/>
        </w:rPr>
        <w:t>1</w:t>
      </w:r>
      <w:r>
        <w:rPr>
          <w:rFonts w:hint="eastAsia" w:ascii="宋体" w:hAnsi="宋体"/>
          <w:color w:val="000000"/>
          <w:highlight w:val="none"/>
          <w:u w:val="single"/>
        </w:rPr>
        <w:t>）合同中已有相同清单项目的，按合同该清单项目价格进行计算；（</w:t>
      </w:r>
      <w:r>
        <w:rPr>
          <w:rFonts w:ascii="宋体" w:hAnsi="宋体"/>
          <w:color w:val="000000"/>
          <w:highlight w:val="none"/>
          <w:u w:val="single"/>
        </w:rPr>
        <w:t>2</w:t>
      </w:r>
      <w:r>
        <w:rPr>
          <w:rFonts w:hint="eastAsia" w:ascii="宋体" w:hAnsi="宋体"/>
          <w:color w:val="000000"/>
          <w:highlight w:val="none"/>
          <w:u w:val="single"/>
        </w:rPr>
        <w:t>）合同中只有类似清单项目的，参照该类似清单项目价格进行计算；（</w:t>
      </w:r>
      <w:r>
        <w:rPr>
          <w:rFonts w:ascii="宋体" w:hAnsi="宋体"/>
          <w:color w:val="000000"/>
          <w:highlight w:val="none"/>
          <w:u w:val="single"/>
        </w:rPr>
        <w:t>3</w:t>
      </w:r>
      <w:r>
        <w:rPr>
          <w:rFonts w:hint="eastAsia" w:ascii="宋体" w:hAnsi="宋体"/>
          <w:color w:val="000000"/>
          <w:highlight w:val="none"/>
          <w:u w:val="single"/>
        </w:rPr>
        <w:t>）合同中没有适用或类似清单项目的价格计算方法：有定额的套定额计算，</w:t>
      </w:r>
      <w:r>
        <w:rPr>
          <w:rFonts w:hint="eastAsia" w:ascii="宋体" w:hAnsi="宋体"/>
          <w:bCs/>
          <w:color w:val="000000"/>
          <w:szCs w:val="21"/>
          <w:highlight w:val="none"/>
          <w:u w:val="single"/>
        </w:rPr>
        <w:t>并乘以下浮系数（成交价/最高磋商限价（如无最高磋商限价，则按预算价））</w:t>
      </w:r>
      <w:r>
        <w:rPr>
          <w:rFonts w:hint="eastAsia" w:ascii="宋体" w:hAnsi="宋体"/>
          <w:color w:val="000000"/>
          <w:highlight w:val="none"/>
          <w:u w:val="single"/>
        </w:rPr>
        <w:t>计算，其中材料价格按施工期间的《梧州市建设工程造价信息》相应价格信息进行计算；《梧州市建设工程造价信息》</w:t>
      </w:r>
      <w:bookmarkEnd w:id="646"/>
      <w:r>
        <w:rPr>
          <w:rFonts w:hint="eastAsia" w:ascii="宋体" w:hAnsi="宋体"/>
          <w:color w:val="000000"/>
          <w:highlight w:val="none"/>
          <w:u w:val="single"/>
        </w:rPr>
        <w:t>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color w:val="000000"/>
          <w:highlight w:val="none"/>
        </w:rPr>
        <w:t>。以上约定同时适用于招标工程量清单缺项以及工程量清单项目特征与图纸不符时的价款确定。</w:t>
      </w:r>
    </w:p>
    <w:p w14:paraId="5318C460">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工程变更导致实际完成的变更工程量与已标价清单或预算书中列明的该项目工程量有偏差时，其综合单价的确定按专用条款“</w:t>
      </w:r>
      <w:r>
        <w:rPr>
          <w:rFonts w:ascii="宋体" w:hAnsi="宋体"/>
          <w:color w:val="000000"/>
          <w:highlight w:val="none"/>
          <w:u w:val="single"/>
        </w:rPr>
        <w:t>1.13</w:t>
      </w:r>
      <w:r>
        <w:rPr>
          <w:rFonts w:hint="eastAsia" w:ascii="宋体" w:hAnsi="宋体"/>
          <w:color w:val="000000"/>
          <w:highlight w:val="none"/>
          <w:u w:val="single"/>
        </w:rPr>
        <w:t>工程量清单错误的修正”执行。</w:t>
      </w:r>
    </w:p>
    <w:p w14:paraId="5772F5D6">
      <w:pPr>
        <w:pStyle w:val="8"/>
        <w:spacing w:before="0" w:after="60"/>
        <w:rPr>
          <w:rFonts w:ascii="宋体" w:hAnsi="宋体"/>
          <w:color w:val="000000"/>
          <w:highlight w:val="none"/>
        </w:rPr>
      </w:pPr>
      <w:bookmarkStart w:id="647" w:name="_Toc487632743"/>
      <w:bookmarkStart w:id="648" w:name="_Toc389065309"/>
      <w:bookmarkStart w:id="649" w:name="_Toc407135246"/>
      <w:bookmarkStart w:id="650" w:name="_Toc373227743"/>
      <w:bookmarkStart w:id="651" w:name="_Toc108539823"/>
      <w:bookmarkStart w:id="652" w:name="_Toc32662"/>
      <w:bookmarkStart w:id="653" w:name="_Toc373478390"/>
      <w:r>
        <w:rPr>
          <w:rFonts w:ascii="宋体" w:hAnsi="宋体"/>
          <w:color w:val="000000"/>
          <w:highlight w:val="none"/>
        </w:rPr>
        <w:t>1</w:t>
      </w:r>
      <w:bookmarkStart w:id="654" w:name="_Toc296944536"/>
      <w:bookmarkStart w:id="655" w:name="_Toc297120497"/>
      <w:bookmarkStart w:id="656" w:name="_Toc292559907"/>
      <w:bookmarkStart w:id="657" w:name="_Toc303539150"/>
      <w:bookmarkStart w:id="658" w:name="_Toc292559402"/>
      <w:bookmarkStart w:id="659" w:name="_Toc297048383"/>
      <w:bookmarkStart w:id="660" w:name="_Toc296891237"/>
      <w:bookmarkStart w:id="661" w:name="_Toc297216203"/>
      <w:bookmarkStart w:id="662" w:name="_Toc296503197"/>
      <w:bookmarkStart w:id="663" w:name="_Toc297123544"/>
      <w:bookmarkStart w:id="664" w:name="_Toc296346698"/>
      <w:bookmarkStart w:id="665" w:name="_Toc300934993"/>
      <w:bookmarkStart w:id="666" w:name="_Toc296347196"/>
      <w:bookmarkStart w:id="667" w:name="_Toc296891025"/>
      <w:r>
        <w:rPr>
          <w:rFonts w:ascii="宋体" w:hAnsi="宋体"/>
          <w:color w:val="000000"/>
          <w:highlight w:val="none"/>
        </w:rPr>
        <w:t xml:space="preserve">0.5 </w:t>
      </w:r>
      <w:r>
        <w:rPr>
          <w:rFonts w:hint="eastAsia" w:ascii="宋体" w:hAnsi="宋体"/>
          <w:color w:val="000000"/>
          <w:highlight w:val="none"/>
        </w:rPr>
        <w:t>承</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olor w:val="000000"/>
          <w:highlight w:val="none"/>
        </w:rPr>
        <w:t>包人的合理化建议</w:t>
      </w:r>
      <w:bookmarkEnd w:id="647"/>
      <w:bookmarkEnd w:id="648"/>
      <w:bookmarkEnd w:id="649"/>
      <w:bookmarkEnd w:id="650"/>
      <w:bookmarkEnd w:id="651"/>
      <w:bookmarkEnd w:id="652"/>
      <w:bookmarkEnd w:id="653"/>
    </w:p>
    <w:p w14:paraId="62DAA58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监理人审查承包人合理化建议的期限：</w:t>
      </w:r>
      <w:r>
        <w:rPr>
          <w:rFonts w:hint="eastAsia" w:ascii="宋体" w:hAnsi="宋体"/>
          <w:color w:val="000000"/>
          <w:highlight w:val="none"/>
          <w:u w:val="single"/>
        </w:rPr>
        <w:t>按通用条款执行</w:t>
      </w:r>
      <w:r>
        <w:rPr>
          <w:rFonts w:hint="eastAsia" w:ascii="宋体" w:hAnsi="宋体"/>
          <w:color w:val="000000"/>
          <w:highlight w:val="none"/>
        </w:rPr>
        <w:t>。</w:t>
      </w:r>
    </w:p>
    <w:p w14:paraId="4233D7C0">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发包人审批承包人合理化建议的期限：</w:t>
      </w:r>
      <w:r>
        <w:rPr>
          <w:rFonts w:hint="eastAsia" w:ascii="宋体" w:hAnsi="宋体"/>
          <w:color w:val="000000"/>
          <w:highlight w:val="none"/>
          <w:u w:val="single"/>
        </w:rPr>
        <w:t>按通用条款执行</w:t>
      </w:r>
      <w:r>
        <w:rPr>
          <w:rFonts w:hint="eastAsia" w:ascii="宋体" w:hAnsi="宋体"/>
          <w:color w:val="000000"/>
          <w:highlight w:val="none"/>
        </w:rPr>
        <w:t>。</w:t>
      </w:r>
    </w:p>
    <w:p w14:paraId="396933C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承包人提出的合理化建议降低了合同价格或者提高了工程经济效益的奖励的方法和金额为：</w:t>
      </w:r>
      <w:r>
        <w:rPr>
          <w:rFonts w:hint="eastAsia" w:ascii="宋体" w:hAnsi="宋体"/>
          <w:color w:val="000000"/>
          <w:highlight w:val="none"/>
          <w:u w:val="single"/>
        </w:rPr>
        <w:t>双方另行协商</w:t>
      </w:r>
      <w:r>
        <w:rPr>
          <w:rFonts w:hint="eastAsia" w:ascii="宋体" w:hAnsi="宋体"/>
          <w:color w:val="000000"/>
          <w:highlight w:val="none"/>
        </w:rPr>
        <w:t>。</w:t>
      </w:r>
    </w:p>
    <w:p w14:paraId="5B65B5BC">
      <w:pPr>
        <w:pStyle w:val="8"/>
        <w:spacing w:before="0" w:after="60"/>
        <w:rPr>
          <w:rFonts w:ascii="宋体" w:hAnsi="宋体"/>
          <w:color w:val="000000"/>
          <w:highlight w:val="none"/>
        </w:rPr>
      </w:pPr>
      <w:bookmarkStart w:id="668" w:name="_Toc108539824"/>
      <w:bookmarkStart w:id="669" w:name="_Toc6952"/>
      <w:r>
        <w:rPr>
          <w:rFonts w:ascii="宋体" w:hAnsi="宋体"/>
          <w:color w:val="000000"/>
          <w:highlight w:val="none"/>
        </w:rPr>
        <w:t xml:space="preserve">10.7 </w:t>
      </w:r>
      <w:r>
        <w:rPr>
          <w:rFonts w:hint="eastAsia" w:ascii="宋体" w:hAnsi="宋体"/>
          <w:color w:val="000000"/>
          <w:highlight w:val="none"/>
        </w:rPr>
        <w:t>暂估价</w:t>
      </w:r>
      <w:bookmarkEnd w:id="668"/>
      <w:bookmarkEnd w:id="669"/>
    </w:p>
    <w:p w14:paraId="2647C0C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暂估价材料和工程设备的明细详见已标价工程量清单《</w:t>
      </w:r>
      <w:r>
        <w:rPr>
          <w:rFonts w:hint="eastAsia" w:ascii="宋体" w:hAnsi="宋体"/>
          <w:color w:val="000000"/>
          <w:highlight w:val="none"/>
        </w:rPr>
        <w:t>材料（工程设备）暂估价格及调整表》</w:t>
      </w:r>
      <w:r>
        <w:rPr>
          <w:rFonts w:hint="eastAsia" w:ascii="宋体" w:hAnsi="宋体"/>
          <w:color w:val="000000"/>
          <w:kern w:val="0"/>
          <w:highlight w:val="none"/>
        </w:rPr>
        <w:t>（表</w:t>
      </w:r>
      <w:r>
        <w:rPr>
          <w:rFonts w:ascii="宋体" w:hAnsi="宋体"/>
          <w:color w:val="000000"/>
          <w:kern w:val="0"/>
          <w:highlight w:val="none"/>
        </w:rPr>
        <w:t>12-2</w:t>
      </w:r>
      <w:r>
        <w:rPr>
          <w:rFonts w:hint="eastAsia" w:ascii="宋体" w:hAnsi="宋体"/>
          <w:color w:val="000000"/>
          <w:kern w:val="0"/>
          <w:highlight w:val="none"/>
        </w:rPr>
        <w:t>）和《</w:t>
      </w:r>
      <w:r>
        <w:rPr>
          <w:rFonts w:hint="eastAsia" w:ascii="宋体" w:hAnsi="宋体"/>
          <w:color w:val="000000"/>
          <w:highlight w:val="none"/>
        </w:rPr>
        <w:t>专业工程暂估价表》（</w:t>
      </w:r>
      <w:r>
        <w:rPr>
          <w:rFonts w:hint="eastAsia" w:ascii="宋体" w:hAnsi="宋体"/>
          <w:color w:val="000000"/>
          <w:kern w:val="0"/>
          <w:highlight w:val="none"/>
        </w:rPr>
        <w:t>表</w:t>
      </w:r>
      <w:r>
        <w:rPr>
          <w:rFonts w:ascii="宋体" w:hAnsi="宋体"/>
          <w:color w:val="000000"/>
          <w:kern w:val="0"/>
          <w:highlight w:val="none"/>
        </w:rPr>
        <w:t>12-3</w:t>
      </w:r>
      <w:r>
        <w:rPr>
          <w:rFonts w:hint="eastAsia" w:ascii="宋体" w:hAnsi="宋体"/>
          <w:color w:val="000000"/>
          <w:kern w:val="0"/>
          <w:highlight w:val="none"/>
        </w:rPr>
        <w:t>）。</w:t>
      </w:r>
    </w:p>
    <w:p w14:paraId="7029FBA9">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10.7.1 </w:t>
      </w:r>
      <w:r>
        <w:rPr>
          <w:rFonts w:hint="eastAsia" w:ascii="宋体" w:hAnsi="宋体"/>
          <w:color w:val="000000"/>
          <w:highlight w:val="none"/>
        </w:rPr>
        <w:t>依法必须招标的暂估价项目</w:t>
      </w:r>
    </w:p>
    <w:p w14:paraId="431D82B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对于依法必须招标的暂估价项目的确认和批准采取第</w:t>
      </w:r>
      <w:r>
        <w:rPr>
          <w:rFonts w:hint="eastAsia" w:ascii="宋体" w:hAnsi="宋体"/>
          <w:color w:val="000000"/>
          <w:highlight w:val="none"/>
          <w:u w:val="single"/>
        </w:rPr>
        <w:t xml:space="preserve">/ </w:t>
      </w:r>
      <w:r>
        <w:rPr>
          <w:rFonts w:hint="eastAsia" w:ascii="宋体" w:hAnsi="宋体"/>
          <w:color w:val="000000"/>
          <w:highlight w:val="none"/>
        </w:rPr>
        <w:t>种方式确定。</w:t>
      </w:r>
    </w:p>
    <w:p w14:paraId="7AA5EDE5">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10.7.2 </w:t>
      </w:r>
      <w:r>
        <w:rPr>
          <w:rFonts w:hint="eastAsia" w:ascii="宋体" w:hAnsi="宋体"/>
          <w:color w:val="000000"/>
          <w:highlight w:val="none"/>
        </w:rPr>
        <w:t>不属于依法必须招标的暂估价项目</w:t>
      </w:r>
    </w:p>
    <w:p w14:paraId="0662A52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对于不属于依法必须招标的暂估价项目的确认和批准采取第</w:t>
      </w:r>
      <w:r>
        <w:rPr>
          <w:rFonts w:hint="eastAsia" w:ascii="宋体" w:hAnsi="宋体"/>
          <w:color w:val="000000"/>
          <w:highlight w:val="none"/>
          <w:u w:val="single"/>
        </w:rPr>
        <w:t xml:space="preserve">/ </w:t>
      </w:r>
      <w:r>
        <w:rPr>
          <w:rFonts w:hint="eastAsia" w:ascii="宋体" w:hAnsi="宋体"/>
          <w:color w:val="000000"/>
          <w:highlight w:val="none"/>
        </w:rPr>
        <w:t>种方式确定。</w:t>
      </w:r>
    </w:p>
    <w:p w14:paraId="09B8773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3</w:t>
      </w:r>
      <w:r>
        <w:rPr>
          <w:rFonts w:hint="eastAsia" w:ascii="宋体" w:hAnsi="宋体"/>
          <w:color w:val="000000"/>
          <w:highlight w:val="none"/>
        </w:rPr>
        <w:t>种方式：</w:t>
      </w:r>
      <w:r>
        <w:rPr>
          <w:rFonts w:hint="eastAsia" w:ascii="宋体" w:hAnsi="宋体"/>
          <w:color w:val="000000"/>
          <w:kern w:val="0"/>
          <w:highlight w:val="none"/>
        </w:rPr>
        <w:t>承包人直接实施的暂估价项目</w:t>
      </w:r>
    </w:p>
    <w:p w14:paraId="4A6DB9A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承包人直接实施的暂估价项目的约定：</w:t>
      </w:r>
      <w:r>
        <w:rPr>
          <w:rFonts w:hint="eastAsia" w:ascii="宋体" w:hAnsi="宋体"/>
          <w:color w:val="000000"/>
          <w:highlight w:val="none"/>
          <w:u w:val="single"/>
          <w:lang w:val="en-US" w:eastAsia="zh-CN"/>
        </w:rPr>
        <w:t xml:space="preserve"> 按发承包双方认可的 </w:t>
      </w:r>
      <w:r>
        <w:rPr>
          <w:rFonts w:hint="eastAsia" w:ascii="宋体" w:hAnsi="宋体"/>
          <w:color w:val="000000"/>
          <w:highlight w:val="none"/>
        </w:rPr>
        <w:t>。</w:t>
      </w:r>
    </w:p>
    <w:p w14:paraId="53AF72C4">
      <w:pPr>
        <w:pStyle w:val="8"/>
        <w:spacing w:before="0" w:after="60"/>
        <w:rPr>
          <w:rFonts w:ascii="宋体" w:hAnsi="宋体"/>
          <w:color w:val="000000"/>
          <w:highlight w:val="none"/>
        </w:rPr>
      </w:pPr>
      <w:bookmarkStart w:id="670" w:name="_Toc373227745"/>
      <w:bookmarkStart w:id="671" w:name="_Toc407135248"/>
      <w:bookmarkStart w:id="672" w:name="_Toc373478392"/>
      <w:bookmarkStart w:id="673" w:name="_Toc389065311"/>
      <w:bookmarkStart w:id="674" w:name="_Toc28832"/>
      <w:bookmarkStart w:id="675" w:name="_Toc108539825"/>
      <w:bookmarkStart w:id="676" w:name="_Toc487632745"/>
      <w:r>
        <w:rPr>
          <w:rFonts w:ascii="宋体" w:hAnsi="宋体"/>
          <w:color w:val="000000"/>
          <w:highlight w:val="none"/>
        </w:rPr>
        <w:t xml:space="preserve">10.8 </w:t>
      </w:r>
      <w:r>
        <w:rPr>
          <w:rFonts w:hint="eastAsia" w:ascii="宋体" w:hAnsi="宋体"/>
          <w:color w:val="000000"/>
          <w:highlight w:val="none"/>
        </w:rPr>
        <w:t>暂列金额</w:t>
      </w:r>
      <w:bookmarkEnd w:id="670"/>
      <w:bookmarkEnd w:id="671"/>
      <w:bookmarkEnd w:id="672"/>
      <w:bookmarkEnd w:id="673"/>
      <w:bookmarkEnd w:id="674"/>
      <w:bookmarkEnd w:id="675"/>
      <w:bookmarkEnd w:id="676"/>
    </w:p>
    <w:p w14:paraId="11440975">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合同当事人关于暂列金额使用的约定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p>
    <w:p w14:paraId="29E02E6D">
      <w:pPr>
        <w:pStyle w:val="7"/>
        <w:numPr>
          <w:ilvl w:val="0"/>
          <w:numId w:val="6"/>
        </w:numPr>
        <w:rPr>
          <w:rFonts w:hint="eastAsia" w:ascii="宋体" w:hAnsi="宋体" w:eastAsia="宋体"/>
          <w:color w:val="000000"/>
          <w:highlight w:val="none"/>
        </w:rPr>
      </w:pPr>
      <w:bookmarkStart w:id="677" w:name="_Toc351203643"/>
      <w:bookmarkStart w:id="678" w:name="_Toc108539826"/>
      <w:bookmarkStart w:id="679" w:name="_Toc373227746"/>
      <w:bookmarkStart w:id="680" w:name="_Toc373478393"/>
      <w:bookmarkStart w:id="681" w:name="_Toc487632746"/>
      <w:bookmarkStart w:id="682" w:name="_Toc389065312"/>
      <w:bookmarkStart w:id="683" w:name="_Toc24226"/>
      <w:bookmarkStart w:id="684" w:name="_Toc407135249"/>
      <w:r>
        <w:rPr>
          <w:rFonts w:hint="eastAsia" w:ascii="宋体" w:hAnsi="宋体" w:eastAsia="宋体"/>
          <w:color w:val="000000"/>
          <w:highlight w:val="none"/>
        </w:rPr>
        <w:t>价格调整</w:t>
      </w:r>
      <w:bookmarkEnd w:id="677"/>
      <w:bookmarkEnd w:id="678"/>
      <w:bookmarkEnd w:id="679"/>
      <w:bookmarkEnd w:id="680"/>
      <w:bookmarkEnd w:id="681"/>
      <w:bookmarkEnd w:id="682"/>
      <w:bookmarkEnd w:id="683"/>
      <w:bookmarkEnd w:id="684"/>
    </w:p>
    <w:p w14:paraId="56CC1C68">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①法律变化引起的调整；</w:t>
      </w:r>
    </w:p>
    <w:p w14:paraId="75DA0022">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②工程变更、项目特征不符、工程量清单缺项、工程量偏差引起的调整；</w:t>
      </w:r>
    </w:p>
    <w:p w14:paraId="6BA04203">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③计日工引起的调整。</w:t>
      </w:r>
    </w:p>
    <w:p w14:paraId="74C9D27C">
      <w:pPr>
        <w:pStyle w:val="8"/>
        <w:spacing w:before="0" w:after="60"/>
        <w:rPr>
          <w:rFonts w:ascii="宋体" w:hAnsi="宋体"/>
          <w:color w:val="000000"/>
          <w:highlight w:val="none"/>
        </w:rPr>
      </w:pPr>
      <w:bookmarkStart w:id="685" w:name="_Toc108539827"/>
      <w:bookmarkStart w:id="686" w:name="_Toc487632747"/>
      <w:bookmarkStart w:id="687" w:name="_Toc389065313"/>
      <w:bookmarkStart w:id="688" w:name="_Toc21648"/>
      <w:bookmarkStart w:id="689" w:name="_Toc407135250"/>
      <w:bookmarkStart w:id="690" w:name="_Toc373478394"/>
      <w:bookmarkStart w:id="691" w:name="_Toc373227747"/>
      <w:r>
        <w:rPr>
          <w:rFonts w:ascii="宋体" w:hAnsi="宋体"/>
          <w:color w:val="000000"/>
          <w:highlight w:val="none"/>
        </w:rPr>
        <w:t xml:space="preserve">11.1 </w:t>
      </w:r>
      <w:r>
        <w:rPr>
          <w:rFonts w:hint="eastAsia" w:ascii="宋体" w:hAnsi="宋体"/>
          <w:color w:val="000000"/>
          <w:highlight w:val="none"/>
        </w:rPr>
        <w:t>市场价格波动引起的调整</w:t>
      </w:r>
      <w:bookmarkEnd w:id="685"/>
      <w:bookmarkEnd w:id="686"/>
      <w:bookmarkEnd w:id="687"/>
      <w:bookmarkEnd w:id="688"/>
      <w:bookmarkEnd w:id="689"/>
      <w:bookmarkEnd w:id="690"/>
      <w:bookmarkEnd w:id="691"/>
    </w:p>
    <w:p w14:paraId="011DA9B0">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市场价格波动是否调整合同价格的约定：</w:t>
      </w:r>
      <w:r>
        <w:rPr>
          <w:rFonts w:hint="eastAsia" w:ascii="宋体" w:hAnsi="宋体"/>
          <w:color w:val="000000"/>
          <w:highlight w:val="none"/>
          <w:u w:val="single"/>
        </w:rPr>
        <w:t>不作调整</w:t>
      </w:r>
      <w:r>
        <w:rPr>
          <w:rFonts w:hint="eastAsia" w:ascii="宋体" w:hAnsi="宋体"/>
          <w:color w:val="000000"/>
          <w:highlight w:val="none"/>
        </w:rPr>
        <w:t>。</w:t>
      </w:r>
    </w:p>
    <w:p w14:paraId="24D3C0F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因市场价格波动调整合同价格，采用以下第种方式对合同价格进行调整：</w:t>
      </w:r>
    </w:p>
    <w:p w14:paraId="1D46FD4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1</w:t>
      </w:r>
      <w:r>
        <w:rPr>
          <w:rFonts w:hint="eastAsia" w:ascii="宋体" w:hAnsi="宋体"/>
          <w:color w:val="000000"/>
          <w:highlight w:val="none"/>
        </w:rPr>
        <w:t>种方式：采用价格指数进行价格调整。</w:t>
      </w:r>
    </w:p>
    <w:p w14:paraId="7DA30D5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关于各可调因子、定值和变值权重，以及基本价格指数及其来源的约定：；</w:t>
      </w:r>
    </w:p>
    <w:p w14:paraId="476A669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2</w:t>
      </w:r>
      <w:r>
        <w:rPr>
          <w:rFonts w:hint="eastAsia" w:ascii="宋体" w:hAnsi="宋体"/>
          <w:color w:val="000000"/>
          <w:highlight w:val="none"/>
        </w:rPr>
        <w:t>种方式：采用造价信息进行价格调整。</w:t>
      </w:r>
    </w:p>
    <w:p w14:paraId="34BED6B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）允许调整的主要材料和设备、基期价格、风险系数、磋商报价：详见《承包人提供主要材料和设备一览表》</w:t>
      </w:r>
      <w:r>
        <w:rPr>
          <w:rFonts w:hint="eastAsia" w:ascii="宋体" w:hAnsi="宋体"/>
          <w:color w:val="000000"/>
          <w:kern w:val="0"/>
          <w:highlight w:val="none"/>
        </w:rPr>
        <w:t>（如有）</w:t>
      </w:r>
      <w:r>
        <w:rPr>
          <w:rFonts w:hint="eastAsia" w:ascii="宋体" w:hAnsi="宋体"/>
          <w:color w:val="000000"/>
          <w:highlight w:val="none"/>
        </w:rPr>
        <w:t>。</w:t>
      </w:r>
    </w:p>
    <w:p w14:paraId="190231D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）主要材料和设备确认价：</w:t>
      </w:r>
    </w:p>
    <w:p w14:paraId="15E5DC4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按施工期间《梧州市建设工程造价信息》加权平均计算，信息价没有的按通用条款规定确定。</w:t>
      </w:r>
    </w:p>
    <w:p w14:paraId="187596C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）价差计算方法：</w:t>
      </w:r>
    </w:p>
    <w:p w14:paraId="13EC42F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①《承包人提供主要材料和设备一览表》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磋商报价低于基准价格的：合同履行期间材料和设备单价涨幅以基准价格为基础超过约定的风险范围时，或材料和设备单价跌幅以磋商报价为基础超过约定的风险范围时，其超过部分据实调整。</w:t>
      </w:r>
    </w:p>
    <w:p w14:paraId="08278BA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②承包人在《承包人提供主要材料和设备一览表》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磋商报价高于基准价格的：专用合同条款合同履行期间材料和设备单价跌幅以基准价格为基础超过约定的风险范围时，材料和设备单价涨幅以磋商报价为基础超过约定的风险范围时，其超过部分据实调整。</w:t>
      </w:r>
    </w:p>
    <w:p w14:paraId="1949C3B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③承包人在《承包人提供主要材料和设备一览表》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中载明的材料和设备单价等于基准单价的：合同履行期间材料和设备单价涨跌幅以基准单价为基础超过约定的风险范围时，其超过部分据实调整。</w:t>
      </w:r>
    </w:p>
    <w:p w14:paraId="112B8A80">
      <w:pPr>
        <w:spacing w:line="360" w:lineRule="auto"/>
        <w:ind w:firstLine="645"/>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3</w:t>
      </w:r>
      <w:r>
        <w:rPr>
          <w:rFonts w:hint="eastAsia" w:ascii="宋体" w:hAnsi="宋体"/>
          <w:color w:val="000000"/>
          <w:highlight w:val="none"/>
        </w:rPr>
        <w:t>种方式：</w:t>
      </w:r>
      <w:r>
        <w:rPr>
          <w:rFonts w:hint="eastAsia" w:ascii="宋体" w:hAnsi="宋体"/>
          <w:color w:val="000000"/>
          <w:highlight w:val="none"/>
          <w:u w:val="single"/>
        </w:rPr>
        <w:t xml:space="preserve">      /      </w:t>
      </w:r>
      <w:r>
        <w:rPr>
          <w:rFonts w:hint="eastAsia" w:ascii="宋体" w:hAnsi="宋体"/>
          <w:color w:val="000000"/>
          <w:highlight w:val="none"/>
        </w:rPr>
        <w:t>。</w:t>
      </w:r>
    </w:p>
    <w:p w14:paraId="00D87864">
      <w:pPr>
        <w:pStyle w:val="7"/>
        <w:rPr>
          <w:rFonts w:ascii="宋体" w:hAnsi="宋体" w:eastAsia="宋体"/>
          <w:color w:val="000000"/>
          <w:highlight w:val="none"/>
        </w:rPr>
      </w:pPr>
      <w:bookmarkStart w:id="692" w:name="_Toc296346706"/>
      <w:bookmarkStart w:id="693" w:name="_Toc296503205"/>
      <w:bookmarkStart w:id="694" w:name="_Toc296944544"/>
      <w:bookmarkStart w:id="695" w:name="_Toc296891245"/>
      <w:bookmarkStart w:id="696" w:name="_Toc292559410"/>
      <w:bookmarkStart w:id="697" w:name="_Toc297048391"/>
      <w:bookmarkStart w:id="698" w:name="_Toc296347204"/>
      <w:bookmarkStart w:id="699" w:name="_Toc297120505"/>
      <w:bookmarkStart w:id="700" w:name="_Toc292559915"/>
      <w:bookmarkStart w:id="701" w:name="_Toc296891033"/>
      <w:bookmarkStart w:id="702" w:name="_Toc407135251"/>
      <w:bookmarkStart w:id="703" w:name="_Toc20824"/>
      <w:bookmarkStart w:id="704" w:name="_Toc487632748"/>
      <w:bookmarkStart w:id="705" w:name="_Toc373478395"/>
      <w:bookmarkStart w:id="706" w:name="_Toc373227748"/>
      <w:bookmarkStart w:id="707" w:name="_Toc351203644"/>
      <w:bookmarkStart w:id="708" w:name="_Toc108539828"/>
      <w:r>
        <w:rPr>
          <w:rFonts w:ascii="宋体" w:hAnsi="宋体" w:eastAsia="宋体"/>
          <w:color w:val="000000"/>
          <w:highlight w:val="none"/>
        </w:rPr>
        <w:t xml:space="preserve">12. </w:t>
      </w:r>
      <w:bookmarkEnd w:id="692"/>
      <w:bookmarkEnd w:id="693"/>
      <w:bookmarkEnd w:id="694"/>
      <w:bookmarkEnd w:id="695"/>
      <w:bookmarkEnd w:id="696"/>
      <w:bookmarkEnd w:id="697"/>
      <w:bookmarkEnd w:id="698"/>
      <w:bookmarkEnd w:id="699"/>
      <w:bookmarkEnd w:id="700"/>
      <w:bookmarkEnd w:id="701"/>
      <w:r>
        <w:rPr>
          <w:rFonts w:hint="eastAsia" w:ascii="宋体" w:hAnsi="宋体" w:eastAsia="宋体"/>
          <w:color w:val="000000"/>
          <w:highlight w:val="none"/>
        </w:rPr>
        <w:t>合同价格、计量与支付</w:t>
      </w:r>
      <w:bookmarkEnd w:id="702"/>
      <w:bookmarkEnd w:id="703"/>
      <w:bookmarkEnd w:id="704"/>
      <w:bookmarkEnd w:id="705"/>
      <w:bookmarkEnd w:id="706"/>
      <w:bookmarkEnd w:id="707"/>
      <w:bookmarkEnd w:id="708"/>
    </w:p>
    <w:p w14:paraId="5440E999">
      <w:pPr>
        <w:pStyle w:val="8"/>
        <w:spacing w:before="0" w:after="60"/>
        <w:rPr>
          <w:rFonts w:ascii="宋体" w:hAnsi="宋体"/>
          <w:color w:val="000000"/>
          <w:highlight w:val="none"/>
        </w:rPr>
      </w:pPr>
      <w:bookmarkStart w:id="709" w:name="_Toc267251461"/>
      <w:bookmarkStart w:id="710" w:name="_Toc292559411"/>
      <w:bookmarkStart w:id="711" w:name="_Toc292559916"/>
      <w:bookmarkStart w:id="712" w:name="_Toc296944545"/>
      <w:bookmarkStart w:id="713" w:name="_Toc296503206"/>
      <w:bookmarkStart w:id="714" w:name="_Toc296891246"/>
      <w:bookmarkStart w:id="715" w:name="_Toc296346707"/>
      <w:bookmarkStart w:id="716" w:name="_Toc297120506"/>
      <w:bookmarkStart w:id="717" w:name="_Toc296891034"/>
      <w:bookmarkStart w:id="718" w:name="_Toc297048392"/>
      <w:bookmarkStart w:id="719" w:name="_Toc296347205"/>
      <w:bookmarkStart w:id="720" w:name="_Toc389065314"/>
      <w:bookmarkStart w:id="721" w:name="_Toc487632749"/>
      <w:bookmarkStart w:id="722" w:name="_Toc373227749"/>
      <w:bookmarkStart w:id="723" w:name="_Toc407135252"/>
      <w:bookmarkStart w:id="724" w:name="_Toc9211"/>
      <w:bookmarkStart w:id="725" w:name="_Toc108539829"/>
      <w:bookmarkStart w:id="726" w:name="_Toc373478396"/>
      <w:r>
        <w:rPr>
          <w:rFonts w:ascii="宋体" w:hAnsi="宋体"/>
          <w:color w:val="000000"/>
          <w:highlight w:val="none"/>
        </w:rPr>
        <w:t xml:space="preserve">12.1 </w:t>
      </w:r>
      <w:r>
        <w:rPr>
          <w:rFonts w:hint="eastAsia" w:ascii="宋体" w:hAnsi="宋体"/>
          <w:color w:val="000000"/>
          <w:highlight w:val="none"/>
        </w:rPr>
        <w:t>合</w:t>
      </w:r>
      <w:bookmarkEnd w:id="709"/>
      <w:bookmarkEnd w:id="710"/>
      <w:bookmarkEnd w:id="711"/>
      <w:r>
        <w:rPr>
          <w:rFonts w:hint="eastAsia" w:ascii="宋体" w:hAnsi="宋体"/>
          <w:color w:val="000000"/>
          <w:highlight w:val="none"/>
        </w:rPr>
        <w:t>同价</w:t>
      </w:r>
      <w:bookmarkEnd w:id="712"/>
      <w:bookmarkEnd w:id="713"/>
      <w:bookmarkEnd w:id="714"/>
      <w:bookmarkEnd w:id="715"/>
      <w:bookmarkEnd w:id="716"/>
      <w:bookmarkEnd w:id="717"/>
      <w:bookmarkEnd w:id="718"/>
      <w:bookmarkEnd w:id="719"/>
      <w:r>
        <w:rPr>
          <w:rFonts w:hint="eastAsia" w:ascii="宋体" w:hAnsi="宋体"/>
          <w:color w:val="000000"/>
          <w:highlight w:val="none"/>
        </w:rPr>
        <w:t>格形式</w:t>
      </w:r>
      <w:bookmarkEnd w:id="720"/>
      <w:bookmarkEnd w:id="721"/>
      <w:bookmarkEnd w:id="722"/>
      <w:bookmarkEnd w:id="723"/>
      <w:bookmarkEnd w:id="724"/>
      <w:bookmarkEnd w:id="725"/>
      <w:bookmarkEnd w:id="726"/>
    </w:p>
    <w:p w14:paraId="05B7595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本工程采用</w:t>
      </w:r>
      <w:r>
        <w:rPr>
          <w:rFonts w:hint="eastAsia" w:ascii="宋体" w:hAnsi="宋体"/>
          <w:color w:val="000000"/>
          <w:highlight w:val="none"/>
          <w:u w:val="single"/>
          <w:lang w:val="en-US" w:eastAsia="zh-CN"/>
        </w:rPr>
        <w:t xml:space="preserve"> 总价  </w:t>
      </w:r>
      <w:r>
        <w:rPr>
          <w:rFonts w:hint="eastAsia" w:ascii="宋体" w:hAnsi="宋体"/>
          <w:color w:val="000000"/>
          <w:highlight w:val="none"/>
        </w:rPr>
        <w:t>合同价格形式。</w:t>
      </w:r>
    </w:p>
    <w:p w14:paraId="7D82D7E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）单价合同。</w:t>
      </w:r>
    </w:p>
    <w:p w14:paraId="186D306A">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采用综合单价合同方式时，工程量按建设单位、监理单位、施工单位三方确认的竣工图结算。</w:t>
      </w:r>
    </w:p>
    <w:p w14:paraId="4A75B2FE">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综合单价包含的风险范围：除工程变更、项目特征不符、工程量清单缺项、工程量偏差、政策性调整、市场价格波动。</w:t>
      </w:r>
    </w:p>
    <w:p w14:paraId="6076E55C">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风险范围以外合同价格的调整方法：</w:t>
      </w:r>
    </w:p>
    <w:p w14:paraId="7D11A31A">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①工程变更、项目特征不符、工程量清单缺项：按10.4.1变更估价原则的约定调整。</w:t>
      </w:r>
    </w:p>
    <w:p w14:paraId="6D28FAC8">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②工程量偏差：按1.13工程量清单错误修正的约定调整。</w:t>
      </w:r>
    </w:p>
    <w:p w14:paraId="6231A15C">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③政策性调整：按国家、自治区住房城乡建设厅或工程所在地市级住房城乡建设主管部门颁布的文件执行。</w:t>
      </w:r>
    </w:p>
    <w:p w14:paraId="0ABA143C">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④市场波动引起的调整：按11.1的约定调整。</w:t>
      </w:r>
    </w:p>
    <w:p w14:paraId="7398FA0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⑤其它：                   </w:t>
      </w:r>
    </w:p>
    <w:p w14:paraId="338F40B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）总价合同。</w:t>
      </w:r>
    </w:p>
    <w:p w14:paraId="2C7DB80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总价包含的风险范围：</w:t>
      </w:r>
      <w:r>
        <w:rPr>
          <w:rFonts w:hint="eastAsia" w:ascii="宋体" w:hAnsi="宋体"/>
          <w:color w:val="000000"/>
          <w:highlight w:val="none"/>
          <w:u w:val="single"/>
        </w:rPr>
        <w:t xml:space="preserve">  包含除工程变更、政策性调整、市场价格波动。除工程变更外，结算时不再对招标工程量清单对应的工程量重新计量  </w:t>
      </w:r>
      <w:r>
        <w:rPr>
          <w:rFonts w:hint="eastAsia" w:ascii="宋体" w:hAnsi="宋体"/>
          <w:color w:val="000000"/>
          <w:highlight w:val="none"/>
        </w:rPr>
        <w:t>。</w:t>
      </w:r>
    </w:p>
    <w:p w14:paraId="43A132E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风险范围以外合同价格的调整方法：</w:t>
      </w:r>
      <w:r>
        <w:rPr>
          <w:rFonts w:hint="eastAsia" w:ascii="宋体" w:hAnsi="宋体"/>
          <w:color w:val="000000"/>
          <w:highlight w:val="none"/>
          <w:u w:val="single"/>
        </w:rPr>
        <w:t xml:space="preserve">  /       </w:t>
      </w:r>
      <w:r>
        <w:rPr>
          <w:rFonts w:hint="eastAsia" w:ascii="宋体" w:hAnsi="宋体"/>
          <w:color w:val="000000"/>
          <w:highlight w:val="none"/>
        </w:rPr>
        <w:t>。</w:t>
      </w:r>
    </w:p>
    <w:p w14:paraId="1C9BDCB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）其他价格方式：</w:t>
      </w:r>
      <w:r>
        <w:rPr>
          <w:rFonts w:hint="eastAsia" w:ascii="宋体" w:hAnsi="宋体"/>
          <w:color w:val="000000"/>
          <w:highlight w:val="none"/>
          <w:u w:val="single"/>
        </w:rPr>
        <w:t xml:space="preserve">        /        </w:t>
      </w:r>
      <w:r>
        <w:rPr>
          <w:rFonts w:hint="eastAsia" w:ascii="宋体" w:hAnsi="宋体"/>
          <w:color w:val="000000"/>
          <w:highlight w:val="none"/>
        </w:rPr>
        <w:t>。</w:t>
      </w:r>
    </w:p>
    <w:p w14:paraId="737ED1CB">
      <w:pPr>
        <w:pStyle w:val="8"/>
        <w:spacing w:before="0" w:after="60"/>
        <w:rPr>
          <w:rFonts w:ascii="宋体" w:hAnsi="宋体"/>
          <w:color w:val="000000"/>
          <w:highlight w:val="none"/>
        </w:rPr>
      </w:pPr>
      <w:bookmarkStart w:id="727" w:name="_Toc25358"/>
      <w:bookmarkStart w:id="728" w:name="_Toc108539830"/>
      <w:bookmarkStart w:id="729" w:name="_Toc487632750"/>
      <w:bookmarkStart w:id="730" w:name="_Toc407135253"/>
      <w:r>
        <w:rPr>
          <w:rFonts w:ascii="宋体" w:hAnsi="宋体"/>
          <w:color w:val="000000"/>
          <w:highlight w:val="none"/>
        </w:rPr>
        <w:t xml:space="preserve">12.2 </w:t>
      </w:r>
      <w:r>
        <w:rPr>
          <w:rFonts w:hint="eastAsia" w:ascii="宋体" w:hAnsi="宋体"/>
          <w:color w:val="000000"/>
          <w:highlight w:val="none"/>
        </w:rPr>
        <w:t>预付款</w:t>
      </w:r>
      <w:bookmarkEnd w:id="727"/>
      <w:bookmarkEnd w:id="728"/>
      <w:bookmarkEnd w:id="729"/>
      <w:bookmarkEnd w:id="730"/>
    </w:p>
    <w:p w14:paraId="465F1EF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12.2.1 </w:t>
      </w:r>
      <w:r>
        <w:rPr>
          <w:rFonts w:hint="eastAsia" w:ascii="宋体" w:hAnsi="宋体"/>
          <w:color w:val="000000"/>
          <w:highlight w:val="none"/>
        </w:rPr>
        <w:t>预付款的支付</w:t>
      </w:r>
    </w:p>
    <w:p w14:paraId="37FC119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预付款支付比例或金额：</w:t>
      </w:r>
      <w:r>
        <w:rPr>
          <w:rFonts w:ascii="宋体" w:hAnsi="宋体"/>
          <w:color w:val="000000"/>
          <w:highlight w:val="none"/>
          <w:u w:val="single"/>
        </w:rPr>
        <w:t xml:space="preserve"> </w:t>
      </w:r>
      <w:r>
        <w:rPr>
          <w:rFonts w:hint="eastAsia" w:ascii="宋体" w:hAnsi="宋体"/>
          <w:color w:val="000000"/>
          <w:highlight w:val="none"/>
          <w:u w:val="single"/>
        </w:rPr>
        <w:t xml:space="preserve"> 按照签约合同价（扣除暂列金额、安全文明施工费）的</w:t>
      </w:r>
      <w:r>
        <w:rPr>
          <w:rFonts w:hint="eastAsia" w:ascii="宋体" w:hAnsi="宋体"/>
          <w:color w:val="000000"/>
          <w:highlight w:val="none"/>
          <w:u w:val="single"/>
          <w:lang w:val="en-US" w:eastAsia="zh-CN"/>
        </w:rPr>
        <w:t>10</w:t>
      </w:r>
      <w:r>
        <w:rPr>
          <w:rFonts w:hint="eastAsia" w:ascii="宋体" w:hAnsi="宋体"/>
          <w:color w:val="000000"/>
          <w:highlight w:val="none"/>
          <w:u w:val="single"/>
        </w:rPr>
        <w:t xml:space="preserve"> % </w:t>
      </w:r>
      <w:r>
        <w:rPr>
          <w:rFonts w:ascii="宋体" w:hAnsi="宋体"/>
          <w:color w:val="000000"/>
          <w:highlight w:val="none"/>
          <w:u w:val="single"/>
        </w:rPr>
        <w:t xml:space="preserve"> </w:t>
      </w:r>
      <w:r>
        <w:rPr>
          <w:rFonts w:hint="eastAsia" w:ascii="宋体" w:hAnsi="宋体"/>
          <w:color w:val="000000"/>
          <w:highlight w:val="none"/>
        </w:rPr>
        <w:t>。</w:t>
      </w:r>
    </w:p>
    <w:p w14:paraId="165E3A4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预付款支付期限：</w:t>
      </w:r>
      <w:r>
        <w:rPr>
          <w:rFonts w:ascii="宋体" w:hAnsi="宋体"/>
          <w:color w:val="000000"/>
          <w:highlight w:val="none"/>
          <w:u w:val="single"/>
        </w:rPr>
        <w:t xml:space="preserve">  </w:t>
      </w:r>
      <w:r>
        <w:rPr>
          <w:rFonts w:hint="eastAsia" w:ascii="宋体" w:hAnsi="宋体"/>
          <w:color w:val="000000"/>
          <w:highlight w:val="none"/>
          <w:u w:val="single"/>
        </w:rPr>
        <w:t>签订合同并项目开工后</w:t>
      </w:r>
      <w:r>
        <w:rPr>
          <w:rFonts w:ascii="宋体" w:hAnsi="宋体"/>
          <w:color w:val="000000"/>
          <w:highlight w:val="none"/>
          <w:u w:val="single"/>
        </w:rPr>
        <w:t>10</w:t>
      </w:r>
      <w:r>
        <w:rPr>
          <w:rFonts w:hint="eastAsia" w:ascii="宋体" w:hAnsi="宋体"/>
          <w:color w:val="000000"/>
          <w:highlight w:val="none"/>
          <w:u w:val="single"/>
        </w:rPr>
        <w:t>个工作日之内，支付前须收到承包人递交的等额预付款保函</w:t>
      </w:r>
      <w:r>
        <w:rPr>
          <w:rFonts w:hint="eastAsia" w:ascii="宋体" w:hAnsi="宋体"/>
          <w:color w:val="000000"/>
          <w:highlight w:val="none"/>
        </w:rPr>
        <w:t>。</w:t>
      </w:r>
    </w:p>
    <w:p w14:paraId="7E31316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预付款扣回的方式：</w:t>
      </w:r>
      <w:r>
        <w:rPr>
          <w:rFonts w:hint="eastAsia" w:ascii="宋体" w:hAnsi="宋体"/>
          <w:color w:val="000000"/>
          <w:highlight w:val="none"/>
          <w:u w:val="single"/>
          <w:lang w:eastAsia="zh-CN"/>
        </w:rPr>
        <w:t>支付第一次进度款时在进度款中扣回预付款的</w:t>
      </w:r>
      <w:r>
        <w:rPr>
          <w:rFonts w:hint="eastAsia" w:ascii="宋体" w:hAnsi="宋体"/>
          <w:color w:val="000000"/>
          <w:highlight w:val="none"/>
          <w:u w:val="single"/>
          <w:lang w:val="en-US" w:eastAsia="zh-CN"/>
        </w:rPr>
        <w:t>50%，支付第二次进度款时在进度款中扣回剩余50%的预付款。</w:t>
      </w:r>
    </w:p>
    <w:p w14:paraId="0D3766E8">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12.2.2 </w:t>
      </w:r>
      <w:r>
        <w:rPr>
          <w:rFonts w:hint="eastAsia" w:ascii="宋体" w:hAnsi="宋体"/>
          <w:color w:val="000000"/>
          <w:highlight w:val="none"/>
        </w:rPr>
        <w:t>预付款担保</w:t>
      </w:r>
    </w:p>
    <w:p w14:paraId="3E66E5F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承包人提交预付款担保的期限：</w:t>
      </w:r>
      <w:r>
        <w:rPr>
          <w:rFonts w:hint="eastAsia" w:ascii="宋体" w:hAnsi="宋体"/>
          <w:color w:val="000000"/>
          <w:highlight w:val="none"/>
          <w:u w:val="single"/>
        </w:rPr>
        <w:t>签订合同并项目开工后10个工作日之内</w:t>
      </w:r>
      <w:r>
        <w:rPr>
          <w:rFonts w:hint="eastAsia" w:ascii="宋体" w:hAnsi="宋体"/>
          <w:color w:val="000000"/>
          <w:highlight w:val="none"/>
        </w:rPr>
        <w:t>。</w:t>
      </w:r>
    </w:p>
    <w:p w14:paraId="3B7E863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预付款担保的形式为：</w:t>
      </w:r>
      <w:r>
        <w:rPr>
          <w:rFonts w:ascii="宋体" w:hAnsi="宋体"/>
          <w:color w:val="000000"/>
          <w:highlight w:val="none"/>
          <w:u w:val="single"/>
        </w:rPr>
        <w:t xml:space="preserve"> </w:t>
      </w:r>
      <w:r>
        <w:rPr>
          <w:rFonts w:hint="eastAsia" w:ascii="宋体" w:hAnsi="宋体"/>
          <w:color w:val="000000"/>
          <w:highlight w:val="none"/>
          <w:u w:val="single"/>
        </w:rPr>
        <w:t>可以是银行转账、电汇或网上支付、保函（银行保函、电子保函、保证保险保函、工程担保保函）等形式</w:t>
      </w:r>
      <w:r>
        <w:rPr>
          <w:rFonts w:ascii="宋体" w:hAnsi="宋体"/>
          <w:color w:val="000000"/>
          <w:highlight w:val="none"/>
          <w:u w:val="single"/>
        </w:rPr>
        <w:t xml:space="preserve"> </w:t>
      </w:r>
      <w:r>
        <w:rPr>
          <w:rFonts w:hint="eastAsia" w:ascii="宋体" w:hAnsi="宋体"/>
          <w:color w:val="000000"/>
          <w:highlight w:val="none"/>
          <w:u w:val="single"/>
          <w:lang w:eastAsia="zh-CN"/>
        </w:rPr>
        <w:t>，具体担保形式以双方商定为准</w:t>
      </w:r>
      <w:r>
        <w:rPr>
          <w:rFonts w:hint="eastAsia" w:ascii="宋体" w:hAnsi="宋体"/>
          <w:color w:val="000000"/>
          <w:highlight w:val="none"/>
        </w:rPr>
        <w:t>。</w:t>
      </w:r>
    </w:p>
    <w:p w14:paraId="0F2AA4E6">
      <w:pPr>
        <w:pStyle w:val="8"/>
        <w:spacing w:before="0" w:after="60"/>
        <w:rPr>
          <w:rFonts w:ascii="宋体" w:hAnsi="宋体"/>
          <w:color w:val="000000"/>
          <w:highlight w:val="none"/>
        </w:rPr>
      </w:pPr>
      <w:bookmarkStart w:id="731" w:name="_Toc373478398"/>
      <w:bookmarkStart w:id="732" w:name="_Toc487632751"/>
      <w:bookmarkStart w:id="733" w:name="_Toc2830"/>
      <w:bookmarkStart w:id="734" w:name="_Toc108539831"/>
      <w:bookmarkStart w:id="735" w:name="_Toc389065316"/>
      <w:bookmarkStart w:id="736" w:name="_Toc407135254"/>
      <w:bookmarkStart w:id="737" w:name="_Toc373227751"/>
      <w:r>
        <w:rPr>
          <w:rFonts w:ascii="宋体" w:hAnsi="宋体"/>
          <w:color w:val="000000"/>
          <w:highlight w:val="none"/>
        </w:rPr>
        <w:t xml:space="preserve">12.3 </w:t>
      </w:r>
      <w:r>
        <w:rPr>
          <w:rFonts w:hint="eastAsia" w:ascii="宋体" w:hAnsi="宋体"/>
          <w:color w:val="000000"/>
          <w:highlight w:val="none"/>
        </w:rPr>
        <w:t>计量</w:t>
      </w:r>
      <w:bookmarkEnd w:id="731"/>
      <w:bookmarkEnd w:id="732"/>
      <w:bookmarkEnd w:id="733"/>
      <w:bookmarkEnd w:id="734"/>
      <w:bookmarkEnd w:id="735"/>
      <w:bookmarkEnd w:id="736"/>
      <w:bookmarkEnd w:id="737"/>
    </w:p>
    <w:p w14:paraId="302A0D2A">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12.3.1 </w:t>
      </w:r>
      <w:r>
        <w:rPr>
          <w:rFonts w:hint="eastAsia" w:ascii="宋体" w:hAnsi="宋体"/>
          <w:color w:val="000000"/>
          <w:highlight w:val="none"/>
        </w:rPr>
        <w:t>计量原则</w:t>
      </w:r>
    </w:p>
    <w:p w14:paraId="6A34D3B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工程量计算规则：</w:t>
      </w:r>
      <w:r>
        <w:rPr>
          <w:rFonts w:hint="eastAsia" w:ascii="宋体" w:hAnsi="宋体"/>
          <w:color w:val="000000"/>
          <w:highlight w:val="none"/>
          <w:u w:val="single"/>
        </w:rPr>
        <w:t>工程的计量均以《建设工程工程量清单计价规范》（</w:t>
      </w:r>
      <w:r>
        <w:rPr>
          <w:rFonts w:ascii="宋体" w:hAnsi="宋体"/>
          <w:color w:val="000000"/>
          <w:highlight w:val="none"/>
          <w:u w:val="single"/>
        </w:rPr>
        <w:t>GB50500</w:t>
      </w:r>
      <w:r>
        <w:rPr>
          <w:rFonts w:hint="eastAsia" w:ascii="宋体" w:hAnsi="宋体"/>
          <w:color w:val="000000"/>
          <w:highlight w:val="none"/>
          <w:u w:val="single"/>
        </w:rPr>
        <w:t>－</w:t>
      </w:r>
      <w:r>
        <w:rPr>
          <w:rFonts w:ascii="宋体" w:hAnsi="宋体"/>
          <w:color w:val="000000"/>
          <w:highlight w:val="none"/>
          <w:u w:val="single"/>
        </w:rPr>
        <w:t>2013</w:t>
      </w:r>
      <w:r>
        <w:rPr>
          <w:rFonts w:hint="eastAsia" w:ascii="宋体" w:hAnsi="宋体"/>
          <w:color w:val="000000"/>
          <w:highlight w:val="none"/>
          <w:u w:val="single"/>
        </w:rPr>
        <w:t>）和及其广西壮族自治区实施细则、《建设工程工程量清单计算规范》（</w:t>
      </w:r>
      <w:r>
        <w:rPr>
          <w:rFonts w:ascii="宋体" w:hAnsi="宋体"/>
          <w:color w:val="000000"/>
          <w:highlight w:val="none"/>
          <w:u w:val="single"/>
        </w:rPr>
        <w:t>GB50854~50862</w:t>
      </w:r>
      <w:r>
        <w:rPr>
          <w:rFonts w:hint="eastAsia" w:ascii="宋体" w:hAnsi="宋体"/>
          <w:color w:val="000000"/>
          <w:highlight w:val="none"/>
          <w:u w:val="single"/>
        </w:rPr>
        <w:t>－</w:t>
      </w:r>
      <w:r>
        <w:rPr>
          <w:rFonts w:ascii="宋体" w:hAnsi="宋体"/>
          <w:color w:val="000000"/>
          <w:highlight w:val="none"/>
          <w:u w:val="single"/>
        </w:rPr>
        <w:t>2013</w:t>
      </w:r>
      <w:r>
        <w:rPr>
          <w:rFonts w:hint="eastAsia" w:ascii="宋体" w:hAnsi="宋体"/>
          <w:color w:val="000000"/>
          <w:highlight w:val="none"/>
          <w:u w:val="single"/>
        </w:rPr>
        <w:t>）、桂建标字[2019]10号《自治区住房城乡建设厅关于调整建设工程计价增值税税率的通知》及其广西实施细则、本工程补充项目清单为准。</w:t>
      </w:r>
    </w:p>
    <w:p w14:paraId="5BF744A7">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12.3.2 </w:t>
      </w:r>
      <w:r>
        <w:rPr>
          <w:rFonts w:hint="eastAsia" w:ascii="宋体" w:hAnsi="宋体"/>
          <w:color w:val="000000"/>
          <w:highlight w:val="none"/>
        </w:rPr>
        <w:t>计量周期</w:t>
      </w:r>
    </w:p>
    <w:p w14:paraId="772AE87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关于计量周期的约定：</w:t>
      </w:r>
      <w:r>
        <w:rPr>
          <w:rFonts w:hint="eastAsia" w:ascii="宋体" w:hAnsi="宋体"/>
          <w:color w:val="000000"/>
          <w:highlight w:val="none"/>
          <w:u w:val="single"/>
        </w:rPr>
        <w:t>每月</w:t>
      </w:r>
      <w:r>
        <w:rPr>
          <w:rFonts w:ascii="宋体" w:hAnsi="宋体"/>
          <w:color w:val="000000"/>
          <w:highlight w:val="none"/>
          <w:u w:val="single"/>
        </w:rPr>
        <w:t>25</w:t>
      </w:r>
      <w:r>
        <w:rPr>
          <w:rFonts w:hint="eastAsia" w:ascii="宋体" w:hAnsi="宋体"/>
          <w:color w:val="000000"/>
          <w:highlight w:val="none"/>
          <w:u w:val="single"/>
        </w:rPr>
        <w:t>日前</w:t>
      </w:r>
      <w:r>
        <w:rPr>
          <w:rFonts w:hint="eastAsia" w:ascii="宋体" w:hAnsi="宋体"/>
          <w:color w:val="000000"/>
          <w:highlight w:val="none"/>
        </w:rPr>
        <w:t>。</w:t>
      </w:r>
    </w:p>
    <w:p w14:paraId="551CB8CF">
      <w:pPr>
        <w:spacing w:line="360" w:lineRule="auto"/>
        <w:ind w:firstLine="420" w:firstLineChars="200"/>
        <w:jc w:val="left"/>
        <w:outlineLvl w:val="0"/>
        <w:rPr>
          <w:rFonts w:ascii="宋体" w:hAnsi="宋体"/>
          <w:color w:val="000000"/>
          <w:highlight w:val="none"/>
        </w:rPr>
      </w:pPr>
      <w:bookmarkStart w:id="738" w:name="_Toc1235"/>
      <w:bookmarkStart w:id="739" w:name="_Toc22735"/>
      <w:bookmarkStart w:id="740" w:name="_Toc108539832"/>
      <w:r>
        <w:rPr>
          <w:rFonts w:ascii="宋体" w:hAnsi="宋体"/>
          <w:color w:val="000000"/>
          <w:highlight w:val="none"/>
        </w:rPr>
        <w:t xml:space="preserve">12.3.3 </w:t>
      </w:r>
      <w:r>
        <w:rPr>
          <w:rFonts w:hint="eastAsia" w:ascii="宋体" w:hAnsi="宋体"/>
          <w:color w:val="000000"/>
          <w:highlight w:val="none"/>
        </w:rPr>
        <w:t>单价合同的计量</w:t>
      </w:r>
      <w:bookmarkEnd w:id="738"/>
      <w:bookmarkEnd w:id="739"/>
      <w:bookmarkEnd w:id="740"/>
    </w:p>
    <w:p w14:paraId="77AB8BB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关于单价合同计量的约定：</w:t>
      </w:r>
    </w:p>
    <w:p w14:paraId="5CD18262">
      <w:pPr>
        <w:spacing w:line="360" w:lineRule="auto"/>
        <w:ind w:firstLine="441" w:firstLineChars="210"/>
        <w:rPr>
          <w:rFonts w:ascii="宋体" w:hAnsi="宋体"/>
          <w:color w:val="000000"/>
          <w:highlight w:val="none"/>
        </w:rPr>
      </w:pPr>
      <w:r>
        <w:rPr>
          <w:rFonts w:ascii="宋体" w:hAnsi="宋体"/>
          <w:color w:val="000000"/>
          <w:highlight w:val="none"/>
        </w:rPr>
        <w:t xml:space="preserve">(1) </w:t>
      </w:r>
      <w:r>
        <w:rPr>
          <w:rFonts w:hint="eastAsia" w:ascii="宋体" w:hAnsi="宋体"/>
          <w:color w:val="000000"/>
          <w:highlight w:val="none"/>
        </w:rPr>
        <w:t>工程量清单所列的工程量，不能作为承包人按合同履行其责任依据，实际施工中发生的工程量增加或减少并不影响承包人履行合同的责任，工程结算以完成的实际工程量为准。</w:t>
      </w:r>
    </w:p>
    <w:p w14:paraId="72BBA6AA">
      <w:pPr>
        <w:spacing w:line="360" w:lineRule="auto"/>
        <w:ind w:firstLine="441" w:firstLineChars="210"/>
        <w:rPr>
          <w:rFonts w:ascii="宋体" w:hAnsi="宋体"/>
          <w:color w:val="000000"/>
          <w:highlight w:val="none"/>
        </w:rPr>
      </w:pPr>
      <w:r>
        <w:rPr>
          <w:rFonts w:ascii="宋体" w:hAnsi="宋体"/>
          <w:color w:val="000000"/>
          <w:highlight w:val="none"/>
        </w:rPr>
        <w:t xml:space="preserve">(2) </w:t>
      </w:r>
      <w:r>
        <w:rPr>
          <w:rFonts w:hint="eastAsia" w:ascii="宋体" w:hAnsi="宋体"/>
          <w:color w:val="000000"/>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7E10D900">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12.3.4 </w:t>
      </w:r>
      <w:r>
        <w:rPr>
          <w:rFonts w:hint="eastAsia" w:ascii="宋体" w:hAnsi="宋体"/>
          <w:color w:val="000000"/>
          <w:highlight w:val="none"/>
        </w:rPr>
        <w:t>总价合同的计量</w:t>
      </w:r>
    </w:p>
    <w:p w14:paraId="5927FC6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关于总价合同计量的约定：除工程变更外，原图纸范围内的工程量不得按实计量。进度款按支付分解表支付，按通用条款第</w:t>
      </w:r>
      <w:r>
        <w:rPr>
          <w:rFonts w:ascii="宋体" w:hAnsi="宋体"/>
          <w:color w:val="000000"/>
          <w:kern w:val="0"/>
          <w:highlight w:val="none"/>
        </w:rPr>
        <w:t>12.3.4</w:t>
      </w:r>
      <w:r>
        <w:rPr>
          <w:rFonts w:hint="eastAsia" w:ascii="宋体" w:hAnsi="宋体"/>
          <w:color w:val="000000"/>
          <w:highlight w:val="none"/>
        </w:rPr>
        <w:t>项</w:t>
      </w:r>
      <w:r>
        <w:rPr>
          <w:rFonts w:hint="eastAsia" w:ascii="宋体" w:hAnsi="宋体"/>
          <w:color w:val="000000"/>
          <w:kern w:val="0"/>
          <w:highlight w:val="none"/>
        </w:rPr>
        <w:t>〔总价合同的计量〕</w:t>
      </w:r>
      <w:r>
        <w:rPr>
          <w:rFonts w:hint="eastAsia" w:ascii="宋体" w:hAnsi="宋体"/>
          <w:color w:val="000000"/>
          <w:highlight w:val="none"/>
        </w:rPr>
        <w:t>约定进行计量，但</w:t>
      </w:r>
      <w:r>
        <w:rPr>
          <w:rFonts w:hint="eastAsia" w:ascii="宋体" w:hAnsi="宋体"/>
          <w:color w:val="000000"/>
          <w:kern w:val="0"/>
          <w:highlight w:val="none"/>
        </w:rPr>
        <w:t>合同价款按照支付分解表进行支付。</w:t>
      </w:r>
    </w:p>
    <w:p w14:paraId="202A294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12.3.6 </w:t>
      </w:r>
      <w:r>
        <w:rPr>
          <w:rFonts w:hint="eastAsia" w:ascii="宋体" w:hAnsi="宋体"/>
          <w:color w:val="000000"/>
          <w:highlight w:val="none"/>
        </w:rPr>
        <w:t>其他价格形式合同的计量</w:t>
      </w:r>
    </w:p>
    <w:p w14:paraId="73D0CE3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其他价格形式的计量方式和程序：</w:t>
      </w:r>
      <w:r>
        <w:rPr>
          <w:rFonts w:hint="eastAsia" w:ascii="宋体" w:hAnsi="宋体"/>
          <w:color w:val="000000"/>
          <w:highlight w:val="none"/>
          <w:u w:val="single"/>
        </w:rPr>
        <w:t xml:space="preserve">   /  。</w:t>
      </w:r>
    </w:p>
    <w:p w14:paraId="4F385215">
      <w:pPr>
        <w:pStyle w:val="8"/>
        <w:spacing w:after="60"/>
        <w:rPr>
          <w:rFonts w:ascii="宋体" w:hAnsi="宋体"/>
          <w:color w:val="000000"/>
          <w:highlight w:val="none"/>
        </w:rPr>
      </w:pPr>
      <w:bookmarkStart w:id="741" w:name="_Toc407135255"/>
      <w:bookmarkStart w:id="742" w:name="_Toc389065317"/>
      <w:bookmarkStart w:id="743" w:name="_Toc108539833"/>
      <w:bookmarkStart w:id="744" w:name="_Toc487632752"/>
      <w:bookmarkStart w:id="745" w:name="_Toc7658"/>
      <w:bookmarkStart w:id="746" w:name="_Toc373227752"/>
      <w:bookmarkStart w:id="747" w:name="_Toc373478399"/>
      <w:r>
        <w:rPr>
          <w:rFonts w:ascii="宋体" w:hAnsi="宋体"/>
          <w:color w:val="000000"/>
          <w:highlight w:val="none"/>
        </w:rPr>
        <w:t xml:space="preserve">12.4 </w:t>
      </w:r>
      <w:r>
        <w:rPr>
          <w:rFonts w:hint="eastAsia" w:ascii="宋体" w:hAnsi="宋体"/>
          <w:color w:val="000000"/>
          <w:highlight w:val="none"/>
        </w:rPr>
        <w:t>工程进度款支付</w:t>
      </w:r>
      <w:bookmarkEnd w:id="741"/>
      <w:bookmarkEnd w:id="742"/>
      <w:bookmarkEnd w:id="743"/>
      <w:bookmarkEnd w:id="744"/>
      <w:bookmarkEnd w:id="745"/>
      <w:bookmarkEnd w:id="746"/>
      <w:bookmarkEnd w:id="747"/>
    </w:p>
    <w:p w14:paraId="1AFD6112">
      <w:pPr>
        <w:spacing w:after="60" w:line="360" w:lineRule="auto"/>
        <w:ind w:firstLine="420" w:firstLineChars="200"/>
        <w:jc w:val="left"/>
        <w:rPr>
          <w:rFonts w:ascii="宋体" w:hAnsi="宋体"/>
          <w:color w:val="000000"/>
          <w:highlight w:val="none"/>
        </w:rPr>
      </w:pPr>
      <w:r>
        <w:rPr>
          <w:rFonts w:ascii="宋体" w:hAnsi="宋体"/>
          <w:color w:val="000000"/>
          <w:highlight w:val="none"/>
        </w:rPr>
        <w:t xml:space="preserve">12.4.1 </w:t>
      </w:r>
      <w:r>
        <w:rPr>
          <w:rFonts w:hint="eastAsia" w:ascii="宋体" w:hAnsi="宋体"/>
          <w:color w:val="000000"/>
          <w:highlight w:val="none"/>
        </w:rPr>
        <w:t>付款周期</w:t>
      </w:r>
    </w:p>
    <w:p w14:paraId="421018ED">
      <w:pPr>
        <w:spacing w:line="360" w:lineRule="auto"/>
        <w:ind w:firstLine="420" w:firstLineChars="200"/>
        <w:rPr>
          <w:rFonts w:ascii="宋体" w:hAnsi="宋体"/>
          <w:color w:val="000000"/>
          <w:kern w:val="1"/>
          <w:highlight w:val="none"/>
        </w:rPr>
      </w:pPr>
      <w:r>
        <w:rPr>
          <w:rFonts w:ascii="宋体" w:hAnsi="宋体"/>
          <w:color w:val="000000"/>
          <w:kern w:val="1"/>
          <w:highlight w:val="none"/>
        </w:rPr>
        <w:t>关于付款周期的约定：</w:t>
      </w:r>
      <w:r>
        <w:rPr>
          <w:rFonts w:hint="eastAsia" w:ascii="宋体" w:hAnsi="宋体"/>
          <w:color w:val="000000"/>
          <w:kern w:val="1"/>
          <w:highlight w:val="none"/>
        </w:rPr>
        <w:t>进度款原则上按月支付，按工程进度造价的80%支付工程进度款，工程完工并通过各方验收合格由建设单位按相关要求委托第三方造价单位评审审定结算价后30天内支付至结算总价的97%，余下3%的工程款待缺陷责任期满项目不存在质量问题、承包人不存在任何违约情形之日起30日内不计息付清。缺陷责任期内，如工程出现质量问题，致使发包人受损的，发包人有权从余下工程款中扣除并要求承包人承担赔偿责任。</w:t>
      </w:r>
    </w:p>
    <w:p w14:paraId="7E6BB2D1">
      <w:pPr>
        <w:spacing w:line="360" w:lineRule="auto"/>
        <w:ind w:firstLine="420" w:firstLineChars="200"/>
        <w:rPr>
          <w:rFonts w:hint="eastAsia" w:ascii="宋体" w:hAnsi="宋体"/>
          <w:color w:val="000000"/>
          <w:highlight w:val="none"/>
        </w:rPr>
      </w:pPr>
      <w:r>
        <w:rPr>
          <w:rFonts w:hint="eastAsia" w:ascii="宋体" w:hAnsi="宋体"/>
          <w:color w:val="000000"/>
          <w:highlight w:val="none"/>
        </w:rPr>
        <w:t>在支付预付款前，承包人应（1.缴纳工程款的2％作为农民工工资保障金到人社局劳动监察大队；2.购买项目意外险，要有对应发票。）</w:t>
      </w:r>
    </w:p>
    <w:p w14:paraId="642E96AE">
      <w:pPr>
        <w:pStyle w:val="40"/>
        <w:spacing w:line="360" w:lineRule="auto"/>
        <w:ind w:firstLine="420" w:firstLineChars="200"/>
        <w:rPr>
          <w:rFonts w:hAnsi="宋体"/>
          <w:color w:val="000000"/>
          <w:highlight w:val="none"/>
        </w:rPr>
      </w:pPr>
      <w:r>
        <w:rPr>
          <w:rFonts w:hAnsi="宋体"/>
          <w:color w:val="000000"/>
          <w:highlight w:val="none"/>
        </w:rPr>
        <w:t>在申请支付工程款时，承包人必须提供增值税发票，如本市以外的承包人，还须提供加盖有项目所在地税务机关业务专用章并注明增值税发票和交款书号码的《增值税预缴税款表》。</w:t>
      </w:r>
    </w:p>
    <w:p w14:paraId="65AA1902">
      <w:pPr>
        <w:pStyle w:val="40"/>
        <w:spacing w:line="360" w:lineRule="auto"/>
        <w:ind w:firstLine="420" w:firstLineChars="200"/>
        <w:rPr>
          <w:rFonts w:hAnsi="宋体"/>
          <w:color w:val="000000"/>
          <w:highlight w:val="none"/>
        </w:rPr>
      </w:pPr>
      <w:r>
        <w:rPr>
          <w:rFonts w:hAnsi="宋体"/>
          <w:color w:val="000000"/>
          <w:highlight w:val="none"/>
        </w:rPr>
        <w:t>12.4.2 进度付款申请单的编制</w:t>
      </w:r>
    </w:p>
    <w:p w14:paraId="0D74347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关于进度付款申请单编制的约定：</w:t>
      </w:r>
      <w:r>
        <w:rPr>
          <w:rFonts w:hint="eastAsia" w:ascii="宋体" w:hAnsi="宋体"/>
          <w:color w:val="000000"/>
          <w:highlight w:val="none"/>
          <w:u w:val="single"/>
        </w:rPr>
        <w:t>按通用条款执行</w:t>
      </w:r>
      <w:r>
        <w:rPr>
          <w:rFonts w:hint="eastAsia" w:ascii="宋体" w:hAnsi="宋体"/>
          <w:color w:val="000000"/>
          <w:highlight w:val="none"/>
        </w:rPr>
        <w:t>。</w:t>
      </w:r>
    </w:p>
    <w:p w14:paraId="0117B2BA">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12.4.3 </w:t>
      </w:r>
      <w:r>
        <w:rPr>
          <w:rFonts w:hint="eastAsia" w:ascii="宋体" w:hAnsi="宋体"/>
          <w:color w:val="000000"/>
          <w:highlight w:val="none"/>
        </w:rPr>
        <w:t>进度付款申请单的提交</w:t>
      </w:r>
    </w:p>
    <w:p w14:paraId="4C4453B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）单价合同进度付款申请单提交的约定：</w:t>
      </w:r>
      <w:r>
        <w:rPr>
          <w:rFonts w:hint="eastAsia" w:ascii="宋体" w:hAnsi="宋体"/>
          <w:color w:val="000000"/>
          <w:highlight w:val="none"/>
          <w:u w:val="single"/>
        </w:rPr>
        <w:t>按通用条款执行</w:t>
      </w:r>
      <w:r>
        <w:rPr>
          <w:rFonts w:hint="eastAsia" w:ascii="宋体" w:hAnsi="宋体"/>
          <w:color w:val="000000"/>
          <w:highlight w:val="none"/>
        </w:rPr>
        <w:t>。</w:t>
      </w:r>
    </w:p>
    <w:p w14:paraId="58FEC9D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）总价合同进度付款申请单提交的约定：</w:t>
      </w:r>
      <w:r>
        <w:rPr>
          <w:rFonts w:hint="eastAsia" w:ascii="宋体" w:hAnsi="宋体"/>
          <w:color w:val="000000"/>
          <w:highlight w:val="none"/>
          <w:u w:val="single"/>
        </w:rPr>
        <w:t xml:space="preserve">       /            </w:t>
      </w:r>
      <w:r>
        <w:rPr>
          <w:rFonts w:hint="eastAsia" w:ascii="宋体" w:hAnsi="宋体"/>
          <w:color w:val="000000"/>
          <w:highlight w:val="none"/>
        </w:rPr>
        <w:t>。</w:t>
      </w:r>
    </w:p>
    <w:p w14:paraId="2EF8B29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）其他价格形式合同进度付款申请单提交的约定：</w:t>
      </w:r>
      <w:r>
        <w:rPr>
          <w:rFonts w:hint="eastAsia" w:ascii="宋体" w:hAnsi="宋体"/>
          <w:color w:val="000000"/>
          <w:highlight w:val="none"/>
          <w:u w:val="single"/>
        </w:rPr>
        <w:t xml:space="preserve">      /           </w:t>
      </w:r>
      <w:r>
        <w:rPr>
          <w:rFonts w:hint="eastAsia" w:ascii="宋体" w:hAnsi="宋体"/>
          <w:color w:val="000000"/>
          <w:highlight w:val="none"/>
        </w:rPr>
        <w:t>。</w:t>
      </w:r>
    </w:p>
    <w:p w14:paraId="1C3327C6">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12.4.4 </w:t>
      </w:r>
      <w:r>
        <w:rPr>
          <w:rFonts w:hint="eastAsia" w:ascii="宋体" w:hAnsi="宋体"/>
          <w:color w:val="000000"/>
          <w:highlight w:val="none"/>
        </w:rPr>
        <w:t>进度款审核和支付</w:t>
      </w:r>
    </w:p>
    <w:p w14:paraId="78BFCC4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）监理人审查并报送发包人的期限：</w:t>
      </w:r>
      <w:r>
        <w:rPr>
          <w:rFonts w:hint="eastAsia" w:ascii="宋体" w:hAnsi="宋体"/>
          <w:color w:val="000000"/>
          <w:highlight w:val="none"/>
          <w:u w:val="single"/>
        </w:rPr>
        <w:t>收到申请单后7天内</w:t>
      </w:r>
      <w:r>
        <w:rPr>
          <w:rFonts w:hint="eastAsia" w:ascii="宋体" w:hAnsi="宋体"/>
          <w:color w:val="000000"/>
          <w:highlight w:val="none"/>
        </w:rPr>
        <w:t>。</w:t>
      </w:r>
    </w:p>
    <w:p w14:paraId="1523502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发包人完成审批并签发进度款支付证书的期限：</w:t>
      </w:r>
      <w:r>
        <w:rPr>
          <w:rFonts w:hint="eastAsia" w:ascii="宋体" w:hAnsi="宋体"/>
          <w:color w:val="000000"/>
          <w:highlight w:val="none"/>
          <w:u w:val="single"/>
        </w:rPr>
        <w:t>收到监理人的审核单后15个工作日内审批完毕，呈政府职能部门审定（如有）。收到政府部门的审定意见书后签发进度款支付证书</w:t>
      </w:r>
      <w:r>
        <w:rPr>
          <w:rFonts w:hint="eastAsia" w:ascii="宋体" w:hAnsi="宋体"/>
          <w:color w:val="000000"/>
          <w:highlight w:val="none"/>
        </w:rPr>
        <w:t>。</w:t>
      </w:r>
    </w:p>
    <w:p w14:paraId="2F448FA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）发包人支付进度款：</w:t>
      </w:r>
      <w:r>
        <w:rPr>
          <w:rFonts w:hint="eastAsia" w:ascii="宋体" w:hAnsi="宋体"/>
          <w:color w:val="000000"/>
          <w:highlight w:val="none"/>
          <w:u w:val="single"/>
        </w:rPr>
        <w:t>承包人提交发票后</w:t>
      </w:r>
      <w:r>
        <w:rPr>
          <w:rFonts w:hint="eastAsia" w:ascii="宋体" w:hAnsi="宋体"/>
          <w:color w:val="000000"/>
          <w:highlight w:val="none"/>
        </w:rPr>
        <w:t>。</w:t>
      </w:r>
    </w:p>
    <w:p w14:paraId="28B65352">
      <w:pPr>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发包人逾期支付进度款的违约金的计算方式：</w:t>
      </w:r>
      <w:r>
        <w:rPr>
          <w:rFonts w:hint="eastAsia" w:ascii="宋体" w:hAnsi="宋体"/>
          <w:color w:val="000000"/>
          <w:highlight w:val="none"/>
          <w:u w:val="single"/>
        </w:rPr>
        <w:t>按逾期应付工程款进度款计算违约金，每延误一天</w:t>
      </w:r>
      <w:r>
        <w:rPr>
          <w:rFonts w:ascii="宋体" w:hAnsi="宋体"/>
          <w:color w:val="000000"/>
          <w:highlight w:val="none"/>
          <w:u w:val="single"/>
        </w:rPr>
        <w:t>,</w:t>
      </w:r>
      <w:r>
        <w:rPr>
          <w:rFonts w:hint="eastAsia" w:ascii="宋体" w:hAnsi="宋体"/>
          <w:color w:val="000000"/>
          <w:highlight w:val="none"/>
          <w:u w:val="single"/>
        </w:rPr>
        <w:t>按逾期应付工程款进度款的</w:t>
      </w:r>
      <w:r>
        <w:rPr>
          <w:rFonts w:hint="eastAsia" w:ascii="宋体" w:hAnsi="宋体"/>
          <w:b/>
          <w:color w:val="000000"/>
          <w:highlight w:val="none"/>
          <w:u w:val="single"/>
        </w:rPr>
        <w:t>万</w:t>
      </w:r>
      <w:r>
        <w:rPr>
          <w:rFonts w:hint="eastAsia" w:ascii="宋体" w:hAnsi="宋体"/>
          <w:b/>
          <w:bCs/>
          <w:color w:val="000000"/>
          <w:highlight w:val="none"/>
          <w:u w:val="single"/>
        </w:rPr>
        <w:t>分之五</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违约金累计最高不超过总结算造价的5%</w:t>
      </w:r>
      <w:r>
        <w:rPr>
          <w:rFonts w:hint="eastAsia" w:ascii="宋体" w:hAnsi="宋体"/>
          <w:color w:val="000000"/>
          <w:highlight w:val="none"/>
        </w:rPr>
        <w:t>。</w:t>
      </w:r>
    </w:p>
    <w:p w14:paraId="0E3840B0">
      <w:pPr>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进度款支付方式：</w:t>
      </w:r>
      <w:r>
        <w:rPr>
          <w:rFonts w:hint="eastAsia" w:ascii="宋体" w:hAnsi="宋体"/>
          <w:color w:val="000000"/>
          <w:highlight w:val="none"/>
          <w:u w:val="single"/>
        </w:rPr>
        <w:t>银行转账</w:t>
      </w:r>
      <w:r>
        <w:rPr>
          <w:rFonts w:hint="eastAsia" w:ascii="宋体" w:hAnsi="宋体"/>
          <w:color w:val="000000"/>
          <w:highlight w:val="none"/>
        </w:rPr>
        <w:t>。</w:t>
      </w:r>
    </w:p>
    <w:p w14:paraId="3F8BC20C">
      <w:pPr>
        <w:spacing w:line="360" w:lineRule="auto"/>
        <w:ind w:firstLine="525" w:firstLineChars="250"/>
        <w:jc w:val="left"/>
        <w:rPr>
          <w:rFonts w:ascii="宋体" w:hAnsi="宋体"/>
          <w:color w:val="000000"/>
          <w:highlight w:val="none"/>
        </w:rPr>
      </w:pPr>
      <w:r>
        <w:rPr>
          <w:rFonts w:ascii="宋体" w:hAnsi="宋体"/>
          <w:color w:val="000000"/>
          <w:highlight w:val="none"/>
        </w:rPr>
        <w:t xml:space="preserve">12.4.6 </w:t>
      </w:r>
      <w:r>
        <w:rPr>
          <w:rFonts w:hint="eastAsia" w:ascii="宋体" w:hAnsi="宋体"/>
          <w:color w:val="000000"/>
          <w:highlight w:val="none"/>
        </w:rPr>
        <w:t>支付分解表的编制</w:t>
      </w:r>
    </w:p>
    <w:p w14:paraId="71E69E54">
      <w:pPr>
        <w:spacing w:line="360" w:lineRule="auto"/>
        <w:ind w:firstLine="525" w:firstLineChars="250"/>
        <w:jc w:val="left"/>
        <w:rPr>
          <w:rFonts w:ascii="宋体" w:hAnsi="宋体"/>
          <w:color w:val="000000"/>
          <w:highlight w:val="none"/>
        </w:rPr>
      </w:pPr>
      <w:r>
        <w:rPr>
          <w:rFonts w:ascii="宋体" w:hAnsi="宋体"/>
          <w:color w:val="000000"/>
          <w:highlight w:val="none"/>
        </w:rPr>
        <w:t xml:space="preserve">2. </w:t>
      </w:r>
      <w:r>
        <w:rPr>
          <w:rFonts w:hint="eastAsia" w:ascii="宋体" w:hAnsi="宋体"/>
          <w:color w:val="000000"/>
          <w:highlight w:val="none"/>
        </w:rPr>
        <w:t>总价合同支付分解表的编制与审批：。</w:t>
      </w:r>
    </w:p>
    <w:p w14:paraId="10EDB0DE">
      <w:pPr>
        <w:spacing w:after="60" w:line="360" w:lineRule="auto"/>
        <w:ind w:firstLine="525" w:firstLineChars="250"/>
        <w:jc w:val="left"/>
        <w:rPr>
          <w:rFonts w:ascii="宋体" w:hAnsi="宋体"/>
          <w:color w:val="000000"/>
          <w:highlight w:val="none"/>
        </w:rPr>
      </w:pPr>
      <w:r>
        <w:rPr>
          <w:rFonts w:ascii="宋体" w:hAnsi="宋体"/>
          <w:color w:val="000000"/>
          <w:highlight w:val="none"/>
        </w:rPr>
        <w:t xml:space="preserve">3. </w:t>
      </w:r>
      <w:r>
        <w:rPr>
          <w:rFonts w:hint="eastAsia" w:ascii="宋体" w:hAnsi="宋体"/>
          <w:color w:val="000000"/>
          <w:highlight w:val="none"/>
        </w:rPr>
        <w:t>单价合同的总价项目支付分解表的编制与审批：总价项目不采用支付分解表的方式计算，而按《建设工程工程量清单计价规范（</w:t>
      </w:r>
      <w:r>
        <w:rPr>
          <w:rFonts w:ascii="宋体" w:hAnsi="宋体"/>
          <w:color w:val="000000"/>
          <w:highlight w:val="none"/>
        </w:rPr>
        <w:t>GB50500-2013</w:t>
      </w:r>
      <w:r>
        <w:rPr>
          <w:rFonts w:hint="eastAsia" w:ascii="宋体" w:hAnsi="宋体"/>
          <w:color w:val="000000"/>
          <w:highlight w:val="none"/>
        </w:rPr>
        <w:t>）广西壮族自治区实施细则》的规定执行。</w:t>
      </w:r>
    </w:p>
    <w:p w14:paraId="282D6A2C">
      <w:pPr>
        <w:pStyle w:val="7"/>
        <w:spacing w:after="60"/>
        <w:rPr>
          <w:rFonts w:ascii="宋体" w:hAnsi="宋体" w:eastAsia="宋体"/>
          <w:color w:val="000000"/>
          <w:highlight w:val="none"/>
        </w:rPr>
      </w:pPr>
      <w:bookmarkStart w:id="748" w:name="_Toc27745"/>
      <w:bookmarkStart w:id="749" w:name="_Toc108539834"/>
      <w:r>
        <w:rPr>
          <w:rFonts w:ascii="宋体" w:hAnsi="宋体" w:eastAsia="宋体"/>
          <w:color w:val="000000"/>
          <w:highlight w:val="none"/>
        </w:rPr>
        <w:t xml:space="preserve">13. </w:t>
      </w:r>
      <w:r>
        <w:rPr>
          <w:rFonts w:hint="eastAsia" w:ascii="宋体" w:hAnsi="宋体" w:eastAsia="宋体"/>
          <w:color w:val="000000"/>
          <w:highlight w:val="none"/>
        </w:rPr>
        <w:t>验收和工程试车</w:t>
      </w:r>
      <w:bookmarkEnd w:id="748"/>
      <w:bookmarkEnd w:id="749"/>
    </w:p>
    <w:p w14:paraId="43C13951">
      <w:pPr>
        <w:pStyle w:val="8"/>
        <w:spacing w:before="0" w:after="60"/>
        <w:rPr>
          <w:rFonts w:ascii="宋体" w:hAnsi="宋体"/>
          <w:color w:val="000000"/>
          <w:highlight w:val="none"/>
        </w:rPr>
      </w:pPr>
      <w:bookmarkStart w:id="750" w:name="_Toc27895"/>
      <w:bookmarkStart w:id="751" w:name="_Toc373478401"/>
      <w:bookmarkStart w:id="752" w:name="_Toc389065319"/>
      <w:bookmarkStart w:id="753" w:name="_Toc407135257"/>
      <w:bookmarkStart w:id="754" w:name="_Toc373227754"/>
      <w:bookmarkStart w:id="755" w:name="_Toc108539835"/>
      <w:bookmarkStart w:id="756" w:name="_Toc487632754"/>
      <w:r>
        <w:rPr>
          <w:rFonts w:ascii="宋体" w:hAnsi="宋体"/>
          <w:color w:val="000000"/>
          <w:highlight w:val="none"/>
        </w:rPr>
        <w:t xml:space="preserve">13.1 </w:t>
      </w:r>
      <w:r>
        <w:rPr>
          <w:rFonts w:hint="eastAsia" w:ascii="宋体" w:hAnsi="宋体"/>
          <w:color w:val="000000"/>
          <w:highlight w:val="none"/>
        </w:rPr>
        <w:t>分部分项工程验收</w:t>
      </w:r>
      <w:bookmarkEnd w:id="750"/>
      <w:bookmarkEnd w:id="751"/>
      <w:bookmarkEnd w:id="752"/>
      <w:bookmarkEnd w:id="753"/>
      <w:bookmarkEnd w:id="754"/>
      <w:bookmarkEnd w:id="755"/>
      <w:bookmarkEnd w:id="756"/>
    </w:p>
    <w:p w14:paraId="71D13D42">
      <w:pPr>
        <w:spacing w:line="360" w:lineRule="auto"/>
        <w:ind w:firstLine="420" w:firstLineChars="200"/>
        <w:jc w:val="left"/>
        <w:rPr>
          <w:rFonts w:ascii="宋体" w:hAnsi="宋体"/>
          <w:color w:val="000000"/>
          <w:highlight w:val="none"/>
        </w:rPr>
      </w:pPr>
      <w:r>
        <w:rPr>
          <w:rFonts w:ascii="宋体" w:hAnsi="宋体"/>
          <w:color w:val="000000"/>
          <w:highlight w:val="none"/>
        </w:rPr>
        <w:t>13.1.2</w:t>
      </w:r>
      <w:r>
        <w:rPr>
          <w:rFonts w:hint="eastAsia" w:ascii="宋体" w:hAnsi="宋体"/>
          <w:color w:val="000000"/>
          <w:highlight w:val="none"/>
        </w:rPr>
        <w:t>监理人不能按时进行验收时，应提前</w:t>
      </w:r>
      <w:r>
        <w:rPr>
          <w:rFonts w:hint="eastAsia" w:ascii="宋体" w:hAnsi="宋体"/>
          <w:color w:val="000000"/>
          <w:highlight w:val="none"/>
          <w:u w:val="single"/>
        </w:rPr>
        <w:t>48</w:t>
      </w:r>
      <w:r>
        <w:rPr>
          <w:rFonts w:hint="eastAsia" w:ascii="宋体" w:hAnsi="宋体"/>
          <w:color w:val="000000"/>
          <w:highlight w:val="none"/>
        </w:rPr>
        <w:t>小时提交书面延期要求。</w:t>
      </w:r>
    </w:p>
    <w:p w14:paraId="26F23BA0">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关于延期最长不得超过：</w:t>
      </w:r>
      <w:r>
        <w:rPr>
          <w:rFonts w:hint="eastAsia" w:ascii="宋体" w:hAnsi="宋体"/>
          <w:color w:val="000000"/>
          <w:highlight w:val="none"/>
          <w:u w:val="single"/>
        </w:rPr>
        <w:t>48</w:t>
      </w:r>
      <w:r>
        <w:rPr>
          <w:rFonts w:hint="eastAsia" w:ascii="宋体" w:hAnsi="宋体"/>
          <w:color w:val="000000"/>
          <w:highlight w:val="none"/>
        </w:rPr>
        <w:t>小时。</w:t>
      </w:r>
    </w:p>
    <w:p w14:paraId="2F9FE00A">
      <w:pPr>
        <w:pStyle w:val="8"/>
        <w:spacing w:before="0" w:after="60"/>
        <w:rPr>
          <w:rFonts w:ascii="宋体" w:hAnsi="宋体"/>
          <w:color w:val="000000"/>
          <w:highlight w:val="none"/>
        </w:rPr>
      </w:pPr>
      <w:bookmarkStart w:id="757" w:name="_Toc108539836"/>
      <w:bookmarkStart w:id="758" w:name="_Toc407135258"/>
      <w:bookmarkStart w:id="759" w:name="_Toc373478402"/>
      <w:bookmarkStart w:id="760" w:name="_Toc373227755"/>
      <w:bookmarkStart w:id="761" w:name="_Toc487632755"/>
      <w:bookmarkStart w:id="762" w:name="_Toc15285"/>
      <w:bookmarkStart w:id="763" w:name="_Toc389065320"/>
      <w:r>
        <w:rPr>
          <w:rFonts w:ascii="宋体" w:hAnsi="宋体"/>
          <w:color w:val="000000"/>
          <w:highlight w:val="none"/>
        </w:rPr>
        <w:t xml:space="preserve">13.2 </w:t>
      </w:r>
      <w:r>
        <w:rPr>
          <w:rFonts w:hint="eastAsia" w:ascii="宋体" w:hAnsi="宋体"/>
          <w:color w:val="000000"/>
          <w:highlight w:val="none"/>
        </w:rPr>
        <w:t>竣工验收</w:t>
      </w:r>
      <w:bookmarkEnd w:id="757"/>
      <w:bookmarkEnd w:id="758"/>
      <w:bookmarkEnd w:id="759"/>
      <w:bookmarkEnd w:id="760"/>
      <w:bookmarkEnd w:id="761"/>
      <w:bookmarkEnd w:id="762"/>
      <w:bookmarkEnd w:id="763"/>
    </w:p>
    <w:p w14:paraId="4489A738">
      <w:pPr>
        <w:spacing w:line="360" w:lineRule="auto"/>
        <w:ind w:firstLine="420" w:firstLineChars="200"/>
        <w:jc w:val="left"/>
        <w:rPr>
          <w:rFonts w:ascii="宋体" w:hAnsi="宋体"/>
          <w:color w:val="000000"/>
          <w:highlight w:val="none"/>
        </w:rPr>
      </w:pPr>
      <w:r>
        <w:rPr>
          <w:rFonts w:ascii="宋体" w:hAnsi="宋体"/>
          <w:color w:val="000000"/>
          <w:highlight w:val="none"/>
        </w:rPr>
        <w:t>13.2.1</w:t>
      </w:r>
      <w:r>
        <w:rPr>
          <w:rFonts w:hint="eastAsia" w:ascii="宋体" w:hAnsi="宋体"/>
          <w:color w:val="000000"/>
          <w:highlight w:val="none"/>
        </w:rPr>
        <w:t>竣工验收条件</w:t>
      </w:r>
    </w:p>
    <w:p w14:paraId="252B208E">
      <w:pPr>
        <w:spacing w:line="360" w:lineRule="auto"/>
        <w:ind w:firstLine="420" w:firstLineChars="200"/>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）承包人负责整理和提交的竣工验收资料应当符合工程所在地建设行政主管部门和</w:t>
      </w:r>
      <w:r>
        <w:rPr>
          <w:rFonts w:ascii="宋体" w:hAnsi="宋体"/>
          <w:color w:val="000000"/>
          <w:highlight w:val="none"/>
        </w:rPr>
        <w:t>(</w:t>
      </w:r>
      <w:r>
        <w:rPr>
          <w:rFonts w:hint="eastAsia" w:ascii="宋体" w:hAnsi="宋体"/>
          <w:color w:val="000000"/>
          <w:highlight w:val="none"/>
        </w:rPr>
        <w:t>或</w:t>
      </w:r>
      <w:r>
        <w:rPr>
          <w:rFonts w:ascii="宋体" w:hAnsi="宋体"/>
          <w:color w:val="000000"/>
          <w:highlight w:val="none"/>
        </w:rPr>
        <w:t>)</w:t>
      </w:r>
      <w:r>
        <w:rPr>
          <w:rFonts w:hint="eastAsia" w:ascii="宋体" w:hAnsi="宋体"/>
          <w:color w:val="000000"/>
          <w:highlight w:val="none"/>
        </w:rPr>
        <w:t>城市建设档案管理机构有关施工资料的要求，具体内容包括：</w:t>
      </w:r>
      <w:r>
        <w:rPr>
          <w:rFonts w:hint="eastAsia" w:ascii="宋体" w:hAnsi="宋体"/>
          <w:color w:val="000000"/>
          <w:highlight w:val="none"/>
          <w:u w:val="single"/>
        </w:rPr>
        <w:t>按规定</w:t>
      </w:r>
      <w:r>
        <w:rPr>
          <w:rFonts w:hint="eastAsia" w:ascii="宋体" w:hAnsi="宋体"/>
          <w:color w:val="000000"/>
          <w:highlight w:val="none"/>
        </w:rPr>
        <w:t>。</w:t>
      </w:r>
    </w:p>
    <w:p w14:paraId="608CC604">
      <w:pPr>
        <w:spacing w:line="360" w:lineRule="auto"/>
        <w:ind w:firstLine="420" w:firstLineChars="200"/>
        <w:rPr>
          <w:rFonts w:hint="eastAsia" w:ascii="宋体" w:hAnsi="宋体"/>
          <w:color w:val="000000"/>
          <w:highlight w:val="none"/>
        </w:rPr>
      </w:pPr>
      <w:r>
        <w:rPr>
          <w:rFonts w:hint="eastAsia" w:ascii="宋体" w:hAnsi="宋体"/>
          <w:color w:val="000000"/>
          <w:highlight w:val="none"/>
        </w:rPr>
        <w:t>竣工验收资料的份数：</w:t>
      </w:r>
      <w:r>
        <w:rPr>
          <w:rFonts w:hint="eastAsia" w:ascii="宋体" w:hAnsi="宋体"/>
          <w:color w:val="000000"/>
          <w:highlight w:val="none"/>
          <w:u w:val="single"/>
        </w:rPr>
        <w:t>肆份</w:t>
      </w:r>
      <w:r>
        <w:rPr>
          <w:rFonts w:hint="eastAsia" w:ascii="宋体" w:hAnsi="宋体"/>
          <w:color w:val="000000"/>
          <w:highlight w:val="none"/>
        </w:rPr>
        <w:t>。</w:t>
      </w:r>
    </w:p>
    <w:p w14:paraId="71700B3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承包人提供竣工图的约定：</w:t>
      </w:r>
      <w:r>
        <w:rPr>
          <w:rFonts w:hint="eastAsia" w:ascii="宋体" w:hAnsi="宋体"/>
          <w:color w:val="000000"/>
          <w:highlight w:val="none"/>
          <w:u w:val="single"/>
        </w:rPr>
        <w:t>竣工验收正式通过后</w:t>
      </w:r>
      <w:r>
        <w:rPr>
          <w:rFonts w:ascii="宋体" w:hAnsi="宋体"/>
          <w:color w:val="000000"/>
          <w:highlight w:val="none"/>
          <w:u w:val="single"/>
        </w:rPr>
        <w:t>5</w:t>
      </w:r>
      <w:r>
        <w:rPr>
          <w:rFonts w:hint="eastAsia" w:ascii="宋体" w:hAnsi="宋体"/>
          <w:color w:val="000000"/>
          <w:highlight w:val="none"/>
          <w:u w:val="single"/>
        </w:rPr>
        <w:t>天（工程造价在</w:t>
      </w:r>
      <w:r>
        <w:rPr>
          <w:rFonts w:ascii="宋体" w:hAnsi="宋体"/>
          <w:color w:val="000000"/>
          <w:highlight w:val="none"/>
          <w:u w:val="single"/>
        </w:rPr>
        <w:t>500</w:t>
      </w:r>
      <w:r>
        <w:rPr>
          <w:rFonts w:hint="eastAsia" w:ascii="宋体" w:hAnsi="宋体"/>
          <w:color w:val="000000"/>
          <w:highlight w:val="none"/>
          <w:u w:val="single"/>
        </w:rPr>
        <w:t>万元以下含</w:t>
      </w:r>
      <w:r>
        <w:rPr>
          <w:rFonts w:ascii="宋体" w:hAnsi="宋体"/>
          <w:color w:val="000000"/>
          <w:highlight w:val="none"/>
          <w:u w:val="single"/>
        </w:rPr>
        <w:t>500</w:t>
      </w:r>
      <w:r>
        <w:rPr>
          <w:rFonts w:hint="eastAsia" w:ascii="宋体" w:hAnsi="宋体"/>
          <w:color w:val="000000"/>
          <w:highlight w:val="none"/>
          <w:u w:val="single"/>
        </w:rPr>
        <w:t>万元）、</w:t>
      </w:r>
      <w:r>
        <w:rPr>
          <w:rFonts w:ascii="宋体" w:hAnsi="宋体"/>
          <w:color w:val="000000"/>
          <w:highlight w:val="none"/>
          <w:u w:val="single"/>
        </w:rPr>
        <w:t>10</w:t>
      </w:r>
      <w:r>
        <w:rPr>
          <w:rFonts w:hint="eastAsia" w:ascii="宋体" w:hAnsi="宋体"/>
          <w:color w:val="000000"/>
          <w:highlight w:val="none"/>
          <w:u w:val="single"/>
        </w:rPr>
        <w:t>天（工程造价在</w:t>
      </w:r>
      <w:r>
        <w:rPr>
          <w:rFonts w:ascii="宋体" w:hAnsi="宋体"/>
          <w:color w:val="000000"/>
          <w:highlight w:val="none"/>
          <w:u w:val="single"/>
        </w:rPr>
        <w:t>500</w:t>
      </w:r>
      <w:r>
        <w:rPr>
          <w:rFonts w:hint="eastAsia" w:ascii="宋体" w:hAnsi="宋体"/>
          <w:color w:val="000000"/>
          <w:highlight w:val="none"/>
          <w:u w:val="single"/>
        </w:rPr>
        <w:t>万元至</w:t>
      </w:r>
      <w:r>
        <w:rPr>
          <w:rFonts w:ascii="宋体" w:hAnsi="宋体"/>
          <w:color w:val="000000"/>
          <w:highlight w:val="none"/>
          <w:u w:val="single"/>
        </w:rPr>
        <w:t>1000</w:t>
      </w:r>
      <w:r>
        <w:rPr>
          <w:rFonts w:hint="eastAsia" w:ascii="宋体" w:hAnsi="宋体"/>
          <w:color w:val="000000"/>
          <w:highlight w:val="none"/>
          <w:u w:val="single"/>
        </w:rPr>
        <w:t>万元之间含</w:t>
      </w:r>
      <w:r>
        <w:rPr>
          <w:rFonts w:ascii="宋体" w:hAnsi="宋体"/>
          <w:color w:val="000000"/>
          <w:highlight w:val="none"/>
          <w:u w:val="single"/>
        </w:rPr>
        <w:t>1000</w:t>
      </w:r>
      <w:r>
        <w:rPr>
          <w:rFonts w:hint="eastAsia" w:ascii="宋体" w:hAnsi="宋体"/>
          <w:color w:val="000000"/>
          <w:highlight w:val="none"/>
          <w:u w:val="single"/>
        </w:rPr>
        <w:t>万元）、</w:t>
      </w:r>
      <w:r>
        <w:rPr>
          <w:rFonts w:ascii="宋体" w:hAnsi="宋体"/>
          <w:color w:val="000000"/>
          <w:highlight w:val="none"/>
          <w:u w:val="single"/>
        </w:rPr>
        <w:t>15</w:t>
      </w:r>
      <w:r>
        <w:rPr>
          <w:rFonts w:hint="eastAsia" w:ascii="宋体" w:hAnsi="宋体"/>
          <w:color w:val="000000"/>
          <w:highlight w:val="none"/>
          <w:u w:val="single"/>
        </w:rPr>
        <w:t>天（工程造价在</w:t>
      </w:r>
      <w:r>
        <w:rPr>
          <w:rFonts w:ascii="宋体" w:hAnsi="宋体"/>
          <w:color w:val="000000"/>
          <w:highlight w:val="none"/>
          <w:u w:val="single"/>
        </w:rPr>
        <w:t>1000</w:t>
      </w:r>
      <w:r>
        <w:rPr>
          <w:rFonts w:hint="eastAsia" w:ascii="宋体" w:hAnsi="宋体"/>
          <w:color w:val="000000"/>
          <w:highlight w:val="none"/>
          <w:u w:val="single"/>
        </w:rPr>
        <w:t>万元以上），提供竣工图的数量分别为</w:t>
      </w:r>
      <w:r>
        <w:rPr>
          <w:rFonts w:ascii="宋体" w:hAnsi="宋体"/>
          <w:color w:val="000000"/>
          <w:highlight w:val="none"/>
          <w:u w:val="single"/>
        </w:rPr>
        <w:t>2</w:t>
      </w:r>
      <w:r>
        <w:rPr>
          <w:rFonts w:hint="eastAsia" w:ascii="宋体" w:hAnsi="宋体"/>
          <w:color w:val="000000"/>
          <w:highlight w:val="none"/>
          <w:u w:val="single"/>
        </w:rPr>
        <w:t>套、</w:t>
      </w:r>
      <w:r>
        <w:rPr>
          <w:rFonts w:ascii="宋体" w:hAnsi="宋体"/>
          <w:color w:val="000000"/>
          <w:highlight w:val="none"/>
          <w:u w:val="single"/>
        </w:rPr>
        <w:t>4</w:t>
      </w:r>
      <w:r>
        <w:rPr>
          <w:rFonts w:hint="eastAsia" w:ascii="宋体" w:hAnsi="宋体"/>
          <w:color w:val="000000"/>
          <w:highlight w:val="none"/>
          <w:u w:val="single"/>
        </w:rPr>
        <w:t>套、</w:t>
      </w:r>
      <w:r>
        <w:rPr>
          <w:rFonts w:ascii="宋体" w:hAnsi="宋体"/>
          <w:color w:val="000000"/>
          <w:highlight w:val="none"/>
          <w:u w:val="single"/>
        </w:rPr>
        <w:t>6</w:t>
      </w:r>
      <w:r>
        <w:rPr>
          <w:rFonts w:hint="eastAsia" w:ascii="宋体" w:hAnsi="宋体"/>
          <w:color w:val="000000"/>
          <w:highlight w:val="none"/>
          <w:u w:val="single"/>
        </w:rPr>
        <w:t>套。</w:t>
      </w:r>
    </w:p>
    <w:p w14:paraId="5794E1F0">
      <w:pPr>
        <w:spacing w:line="360" w:lineRule="auto"/>
        <w:ind w:firstLine="420" w:firstLineChars="200"/>
        <w:jc w:val="left"/>
        <w:rPr>
          <w:rFonts w:ascii="宋体" w:hAnsi="宋体"/>
          <w:color w:val="000000"/>
          <w:highlight w:val="none"/>
        </w:rPr>
      </w:pPr>
      <w:r>
        <w:rPr>
          <w:rFonts w:ascii="宋体" w:hAnsi="宋体"/>
          <w:color w:val="000000"/>
          <w:highlight w:val="none"/>
        </w:rPr>
        <w:t>13.2.2</w:t>
      </w:r>
      <w:r>
        <w:rPr>
          <w:rFonts w:hint="eastAsia" w:ascii="宋体" w:hAnsi="宋体"/>
          <w:color w:val="000000"/>
          <w:highlight w:val="none"/>
        </w:rPr>
        <w:t>竣工验收程序</w:t>
      </w:r>
    </w:p>
    <w:p w14:paraId="4D723534">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关于竣工验收程序的约定：</w:t>
      </w:r>
      <w:r>
        <w:rPr>
          <w:rFonts w:hint="eastAsia" w:ascii="宋体" w:hAnsi="宋体"/>
          <w:color w:val="000000"/>
          <w:highlight w:val="none"/>
          <w:u w:val="single"/>
        </w:rPr>
        <w:t>承包人准备的竣工验收资料齐全，并编制了竣工图（附电子文档）后向监理人提出预验收申请，预验收合格监理人签署同意验收后发包人在30天内组织有关部门竣工验收</w:t>
      </w:r>
      <w:r>
        <w:rPr>
          <w:rFonts w:hint="eastAsia" w:ascii="宋体" w:hAnsi="宋体"/>
          <w:color w:val="000000"/>
          <w:highlight w:val="none"/>
        </w:rPr>
        <w:t>。</w:t>
      </w:r>
    </w:p>
    <w:p w14:paraId="14B26DBA">
      <w:pPr>
        <w:spacing w:line="360" w:lineRule="auto"/>
        <w:jc w:val="left"/>
        <w:rPr>
          <w:rFonts w:hint="eastAsia" w:ascii="宋体" w:hAnsi="宋体"/>
          <w:color w:val="000000"/>
          <w:kern w:val="0"/>
          <w:highlight w:val="none"/>
        </w:rPr>
      </w:pPr>
      <w:r>
        <w:rPr>
          <w:rFonts w:hint="eastAsia" w:ascii="宋体" w:hAnsi="宋体"/>
          <w:color w:val="000000"/>
          <w:kern w:val="0"/>
          <w:highlight w:val="none"/>
        </w:rPr>
        <w:t>发包人不按照本项约定组织竣工验收、颁发工程接收证书的违约金的计算方法：</w:t>
      </w:r>
      <w:r>
        <w:rPr>
          <w:rFonts w:hint="eastAsia" w:ascii="宋体" w:hAnsi="宋体"/>
          <w:color w:val="000000"/>
          <w:highlight w:val="none"/>
          <w:u w:val="single"/>
        </w:rPr>
        <w:t>按通用条款执行</w:t>
      </w:r>
      <w:r>
        <w:rPr>
          <w:rFonts w:hint="eastAsia" w:ascii="宋体" w:hAnsi="宋体"/>
          <w:color w:val="000000"/>
          <w:highlight w:val="none"/>
        </w:rPr>
        <w:t>。</w:t>
      </w:r>
    </w:p>
    <w:p w14:paraId="63598811">
      <w:pPr>
        <w:spacing w:line="360" w:lineRule="auto"/>
        <w:ind w:firstLine="420" w:firstLineChars="200"/>
        <w:jc w:val="left"/>
        <w:rPr>
          <w:rFonts w:ascii="宋体" w:hAnsi="宋体"/>
          <w:color w:val="000000"/>
          <w:highlight w:val="none"/>
        </w:rPr>
      </w:pPr>
      <w:r>
        <w:rPr>
          <w:rFonts w:ascii="宋体" w:hAnsi="宋体"/>
          <w:color w:val="000000"/>
          <w:highlight w:val="none"/>
        </w:rPr>
        <w:t>13.2.5</w:t>
      </w:r>
      <w:r>
        <w:rPr>
          <w:rFonts w:hint="eastAsia" w:ascii="宋体" w:hAnsi="宋体"/>
          <w:color w:val="000000"/>
          <w:highlight w:val="none"/>
        </w:rPr>
        <w:t>移交、接收全部与部分工程</w:t>
      </w:r>
    </w:p>
    <w:p w14:paraId="45D33A6C">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承包人向发包人移交工程的期限：</w:t>
      </w:r>
      <w:r>
        <w:rPr>
          <w:rFonts w:hint="eastAsia" w:ascii="宋体" w:hAnsi="宋体"/>
          <w:color w:val="000000"/>
          <w:highlight w:val="none"/>
          <w:u w:val="single"/>
        </w:rPr>
        <w:t>竣工验收合格后10天内（指全部工程）</w:t>
      </w:r>
      <w:r>
        <w:rPr>
          <w:rFonts w:hint="eastAsia" w:ascii="宋体" w:hAnsi="宋体"/>
          <w:color w:val="000000"/>
          <w:highlight w:val="none"/>
        </w:rPr>
        <w:t>。</w:t>
      </w:r>
    </w:p>
    <w:p w14:paraId="65FFE67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发包人未按本合同约定接收全部或部分工程的，违约金的计算方法为：</w:t>
      </w:r>
      <w:r>
        <w:rPr>
          <w:rFonts w:hint="eastAsia" w:ascii="宋体" w:hAnsi="宋体"/>
          <w:color w:val="000000"/>
          <w:highlight w:val="none"/>
          <w:u w:val="single"/>
        </w:rPr>
        <w:t>无</w:t>
      </w:r>
      <w:r>
        <w:rPr>
          <w:rFonts w:hint="eastAsia" w:ascii="宋体" w:hAnsi="宋体"/>
          <w:color w:val="000000"/>
          <w:highlight w:val="none"/>
        </w:rPr>
        <w:t>。</w:t>
      </w:r>
    </w:p>
    <w:p w14:paraId="28ACBE2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承包人未按时移交工程的，违约金的计算方法为：</w:t>
      </w:r>
      <w:r>
        <w:rPr>
          <w:rFonts w:hint="eastAsia" w:ascii="宋体" w:hAnsi="宋体"/>
          <w:color w:val="000000"/>
          <w:highlight w:val="none"/>
          <w:u w:val="single"/>
        </w:rPr>
        <w:t>按逾期应</w:t>
      </w:r>
      <w:r>
        <w:rPr>
          <w:rFonts w:hint="eastAsia" w:ascii="宋体" w:hAnsi="宋体"/>
          <w:color w:val="000000"/>
          <w:kern w:val="0"/>
          <w:highlight w:val="none"/>
        </w:rPr>
        <w:t>接收全部或部分工程的结算价</w:t>
      </w:r>
      <w:r>
        <w:rPr>
          <w:rFonts w:hint="eastAsia" w:ascii="宋体" w:hAnsi="宋体"/>
          <w:color w:val="000000"/>
          <w:highlight w:val="none"/>
          <w:u w:val="single"/>
        </w:rPr>
        <w:t>，每延误一天</w:t>
      </w:r>
      <w:r>
        <w:rPr>
          <w:rFonts w:ascii="宋体" w:hAnsi="宋体"/>
          <w:color w:val="000000"/>
          <w:highlight w:val="none"/>
          <w:u w:val="single"/>
        </w:rPr>
        <w:t>,</w:t>
      </w:r>
      <w:r>
        <w:rPr>
          <w:rFonts w:hint="eastAsia" w:ascii="宋体" w:hAnsi="宋体"/>
          <w:color w:val="000000"/>
          <w:highlight w:val="none"/>
          <w:u w:val="single"/>
        </w:rPr>
        <w:t>按逾期应</w:t>
      </w:r>
      <w:r>
        <w:rPr>
          <w:rFonts w:hint="eastAsia" w:ascii="宋体" w:hAnsi="宋体"/>
          <w:color w:val="000000"/>
          <w:kern w:val="0"/>
          <w:highlight w:val="none"/>
        </w:rPr>
        <w:t>接收工程的结算价</w:t>
      </w:r>
      <w:r>
        <w:rPr>
          <w:rFonts w:hint="eastAsia" w:ascii="宋体" w:hAnsi="宋体"/>
          <w:b/>
          <w:color w:val="000000"/>
          <w:highlight w:val="none"/>
          <w:u w:val="single"/>
        </w:rPr>
        <w:t>万</w:t>
      </w:r>
      <w:r>
        <w:rPr>
          <w:rFonts w:hint="eastAsia" w:ascii="宋体" w:hAnsi="宋体"/>
          <w:b/>
          <w:bCs/>
          <w:color w:val="000000"/>
          <w:highlight w:val="none"/>
          <w:u w:val="single"/>
        </w:rPr>
        <w:t>分之五</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违约金累计最高不超过总结算造价的5%</w:t>
      </w:r>
      <w:r>
        <w:rPr>
          <w:rFonts w:hint="eastAsia" w:ascii="宋体" w:hAnsi="宋体"/>
          <w:color w:val="000000"/>
          <w:highlight w:val="none"/>
        </w:rPr>
        <w:t>。</w:t>
      </w:r>
    </w:p>
    <w:p w14:paraId="349900DE">
      <w:pPr>
        <w:pStyle w:val="8"/>
        <w:spacing w:before="0" w:after="60"/>
        <w:rPr>
          <w:rFonts w:ascii="宋体" w:hAnsi="宋体"/>
          <w:color w:val="000000"/>
          <w:highlight w:val="none"/>
        </w:rPr>
      </w:pPr>
      <w:bookmarkStart w:id="764" w:name="_Toc389065321"/>
      <w:bookmarkStart w:id="765" w:name="_Toc373478403"/>
      <w:bookmarkStart w:id="766" w:name="_Toc407135259"/>
      <w:bookmarkStart w:id="767" w:name="_Toc373227756"/>
      <w:bookmarkStart w:id="768" w:name="_Toc108539837"/>
      <w:bookmarkStart w:id="769" w:name="_Toc487632756"/>
      <w:bookmarkStart w:id="770" w:name="_Toc24745"/>
      <w:r>
        <w:rPr>
          <w:rFonts w:ascii="宋体" w:hAnsi="宋体"/>
          <w:color w:val="000000"/>
          <w:highlight w:val="none"/>
        </w:rPr>
        <w:t xml:space="preserve">13.3 </w:t>
      </w:r>
      <w:r>
        <w:rPr>
          <w:rFonts w:hint="eastAsia" w:ascii="宋体" w:hAnsi="宋体"/>
          <w:color w:val="000000"/>
          <w:highlight w:val="none"/>
        </w:rPr>
        <w:t>工程试车</w:t>
      </w:r>
      <w:bookmarkEnd w:id="764"/>
      <w:bookmarkEnd w:id="765"/>
      <w:bookmarkEnd w:id="766"/>
      <w:bookmarkEnd w:id="767"/>
      <w:bookmarkEnd w:id="768"/>
      <w:bookmarkEnd w:id="769"/>
      <w:bookmarkEnd w:id="770"/>
    </w:p>
    <w:p w14:paraId="130CB8F5">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13.3.1 </w:t>
      </w:r>
      <w:r>
        <w:rPr>
          <w:rFonts w:hint="eastAsia" w:ascii="宋体" w:hAnsi="宋体"/>
          <w:color w:val="000000"/>
          <w:kern w:val="0"/>
          <w:highlight w:val="none"/>
        </w:rPr>
        <w:t>试车程序</w:t>
      </w:r>
    </w:p>
    <w:p w14:paraId="6C8B6076">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工程试车内容：</w:t>
      </w:r>
      <w:r>
        <w:rPr>
          <w:rFonts w:hint="eastAsia" w:ascii="宋体" w:hAnsi="宋体"/>
          <w:color w:val="000000"/>
          <w:szCs w:val="21"/>
          <w:highlight w:val="none"/>
          <w:u w:val="single"/>
        </w:rPr>
        <w:t>按《通用合同条款》条执行</w:t>
      </w:r>
      <w:r>
        <w:rPr>
          <w:rFonts w:hint="eastAsia" w:ascii="宋体" w:hAnsi="宋体"/>
          <w:color w:val="000000"/>
          <w:highlight w:val="none"/>
        </w:rPr>
        <w:t>。</w:t>
      </w:r>
    </w:p>
    <w:p w14:paraId="1B5415C5">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）单机无负荷试车费用由</w:t>
      </w:r>
      <w:r>
        <w:rPr>
          <w:rFonts w:hint="eastAsia" w:ascii="宋体" w:hAnsi="宋体"/>
          <w:color w:val="000000"/>
          <w:szCs w:val="21"/>
          <w:highlight w:val="none"/>
          <w:u w:val="single"/>
        </w:rPr>
        <w:t>承包人</w:t>
      </w:r>
      <w:r>
        <w:rPr>
          <w:rFonts w:hint="eastAsia" w:ascii="宋体" w:hAnsi="宋体"/>
          <w:color w:val="000000"/>
          <w:kern w:val="0"/>
          <w:highlight w:val="none"/>
        </w:rPr>
        <w:t>承担；</w:t>
      </w:r>
    </w:p>
    <w:p w14:paraId="4BCF6E8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）无负荷联动试车费用由</w:t>
      </w:r>
      <w:r>
        <w:rPr>
          <w:rFonts w:hint="eastAsia" w:ascii="宋体" w:hAnsi="宋体"/>
          <w:color w:val="000000"/>
          <w:szCs w:val="21"/>
          <w:highlight w:val="none"/>
          <w:u w:val="single"/>
        </w:rPr>
        <w:t>承包人</w:t>
      </w:r>
      <w:r>
        <w:rPr>
          <w:rFonts w:hint="eastAsia" w:ascii="宋体" w:hAnsi="宋体"/>
          <w:color w:val="000000"/>
          <w:kern w:val="0"/>
          <w:highlight w:val="none"/>
        </w:rPr>
        <w:t>承担。</w:t>
      </w:r>
    </w:p>
    <w:p w14:paraId="56479C06">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13.3.3 </w:t>
      </w:r>
      <w:r>
        <w:rPr>
          <w:rFonts w:hint="eastAsia" w:ascii="宋体" w:hAnsi="宋体"/>
          <w:color w:val="000000"/>
          <w:kern w:val="0"/>
          <w:highlight w:val="none"/>
        </w:rPr>
        <w:t>投料试车</w:t>
      </w:r>
    </w:p>
    <w:p w14:paraId="3409E36B">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关于投料试车相关事项的约定：</w:t>
      </w:r>
      <w:r>
        <w:rPr>
          <w:rFonts w:hint="eastAsia" w:ascii="宋体" w:hAnsi="宋体"/>
          <w:color w:val="000000"/>
          <w:szCs w:val="21"/>
          <w:highlight w:val="none"/>
          <w:u w:val="single"/>
        </w:rPr>
        <w:t>按《通用合同条款》条执行</w:t>
      </w:r>
      <w:r>
        <w:rPr>
          <w:rFonts w:hint="eastAsia" w:ascii="宋体" w:hAnsi="宋体"/>
          <w:color w:val="000000"/>
          <w:highlight w:val="none"/>
        </w:rPr>
        <w:t>。</w:t>
      </w:r>
    </w:p>
    <w:p w14:paraId="5E120824">
      <w:pPr>
        <w:pStyle w:val="8"/>
        <w:spacing w:before="0" w:after="60"/>
        <w:rPr>
          <w:rFonts w:ascii="宋体" w:hAnsi="宋体"/>
          <w:color w:val="000000"/>
          <w:highlight w:val="none"/>
        </w:rPr>
      </w:pPr>
      <w:bookmarkStart w:id="771" w:name="_Toc487632757"/>
      <w:bookmarkStart w:id="772" w:name="_Toc373227757"/>
      <w:bookmarkStart w:id="773" w:name="_Toc407135260"/>
      <w:bookmarkStart w:id="774" w:name="_Toc389065322"/>
      <w:bookmarkStart w:id="775" w:name="_Toc30260"/>
      <w:bookmarkStart w:id="776" w:name="_Toc373478404"/>
      <w:bookmarkStart w:id="777" w:name="_Toc108539838"/>
      <w:r>
        <w:rPr>
          <w:rFonts w:ascii="宋体" w:hAnsi="宋体"/>
          <w:color w:val="000000"/>
          <w:highlight w:val="none"/>
        </w:rPr>
        <w:t xml:space="preserve">13.6 </w:t>
      </w:r>
      <w:r>
        <w:rPr>
          <w:rFonts w:hint="eastAsia" w:ascii="宋体" w:hAnsi="宋体"/>
          <w:color w:val="000000"/>
          <w:highlight w:val="none"/>
        </w:rPr>
        <w:t>竣工退场</w:t>
      </w:r>
      <w:bookmarkEnd w:id="771"/>
      <w:bookmarkEnd w:id="772"/>
      <w:bookmarkEnd w:id="773"/>
      <w:bookmarkEnd w:id="774"/>
      <w:bookmarkEnd w:id="775"/>
      <w:bookmarkEnd w:id="776"/>
      <w:bookmarkEnd w:id="777"/>
    </w:p>
    <w:p w14:paraId="00184DF1">
      <w:pPr>
        <w:spacing w:line="360" w:lineRule="auto"/>
        <w:ind w:firstLine="420" w:firstLineChars="200"/>
        <w:jc w:val="left"/>
        <w:outlineLvl w:val="0"/>
        <w:rPr>
          <w:rFonts w:ascii="宋体" w:hAnsi="宋体"/>
          <w:color w:val="000000"/>
          <w:kern w:val="0"/>
          <w:highlight w:val="none"/>
        </w:rPr>
      </w:pPr>
      <w:bookmarkStart w:id="778" w:name="_Toc21315"/>
      <w:bookmarkStart w:id="779" w:name="_Toc108539839"/>
      <w:bookmarkStart w:id="780" w:name="_Toc16523"/>
      <w:r>
        <w:rPr>
          <w:rFonts w:ascii="宋体" w:hAnsi="宋体"/>
          <w:color w:val="000000"/>
          <w:kern w:val="0"/>
          <w:highlight w:val="none"/>
        </w:rPr>
        <w:t xml:space="preserve">13.6.1 </w:t>
      </w:r>
      <w:r>
        <w:rPr>
          <w:rFonts w:hint="eastAsia" w:ascii="宋体" w:hAnsi="宋体"/>
          <w:color w:val="000000"/>
          <w:kern w:val="0"/>
          <w:highlight w:val="none"/>
        </w:rPr>
        <w:t>竣工退场</w:t>
      </w:r>
      <w:bookmarkEnd w:id="778"/>
      <w:bookmarkEnd w:id="779"/>
      <w:bookmarkEnd w:id="780"/>
    </w:p>
    <w:p w14:paraId="5FA84768">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承包人完成竣工退场的期限：</w:t>
      </w:r>
      <w:r>
        <w:rPr>
          <w:rFonts w:hint="eastAsia" w:ascii="宋体" w:hAnsi="宋体"/>
          <w:color w:val="000000"/>
          <w:highlight w:val="none"/>
          <w:u w:val="single"/>
        </w:rPr>
        <w:t>竣工验收合格后30天内（但必须保留足够的后续管理人员进行保修期内管理）</w:t>
      </w:r>
      <w:r>
        <w:rPr>
          <w:rFonts w:hint="eastAsia" w:ascii="宋体" w:hAnsi="宋体"/>
          <w:color w:val="000000"/>
          <w:kern w:val="0"/>
          <w:highlight w:val="none"/>
        </w:rPr>
        <w:t>。</w:t>
      </w:r>
    </w:p>
    <w:p w14:paraId="6D68B695">
      <w:pPr>
        <w:pStyle w:val="7"/>
        <w:rPr>
          <w:rFonts w:ascii="宋体" w:hAnsi="宋体" w:eastAsia="宋体"/>
          <w:color w:val="000000"/>
          <w:highlight w:val="none"/>
        </w:rPr>
      </w:pPr>
      <w:bookmarkStart w:id="781" w:name="_Toc487632758"/>
      <w:bookmarkStart w:id="782" w:name="_Toc14353"/>
      <w:bookmarkStart w:id="783" w:name="_Toc108539840"/>
      <w:bookmarkStart w:id="784" w:name="_Toc373227758"/>
      <w:bookmarkStart w:id="785" w:name="_Toc373478405"/>
      <w:bookmarkStart w:id="786" w:name="_Toc351203646"/>
      <w:bookmarkStart w:id="787" w:name="_Toc389065323"/>
      <w:bookmarkStart w:id="788" w:name="_Toc407135261"/>
      <w:r>
        <w:rPr>
          <w:rFonts w:ascii="宋体" w:hAnsi="宋体" w:eastAsia="宋体"/>
          <w:color w:val="000000"/>
          <w:highlight w:val="none"/>
        </w:rPr>
        <w:t xml:space="preserve">14. </w:t>
      </w:r>
      <w:r>
        <w:rPr>
          <w:rFonts w:hint="eastAsia" w:ascii="宋体" w:hAnsi="宋体" w:eastAsia="宋体"/>
          <w:color w:val="000000"/>
          <w:highlight w:val="none"/>
        </w:rPr>
        <w:t>竣工结算</w:t>
      </w:r>
      <w:bookmarkEnd w:id="781"/>
      <w:bookmarkEnd w:id="782"/>
      <w:bookmarkEnd w:id="783"/>
      <w:bookmarkEnd w:id="784"/>
      <w:bookmarkEnd w:id="785"/>
      <w:bookmarkEnd w:id="786"/>
      <w:bookmarkEnd w:id="787"/>
      <w:bookmarkEnd w:id="788"/>
    </w:p>
    <w:p w14:paraId="729FA111">
      <w:pPr>
        <w:pStyle w:val="8"/>
        <w:spacing w:after="60"/>
        <w:rPr>
          <w:rFonts w:ascii="宋体" w:hAnsi="宋体"/>
          <w:color w:val="000000"/>
          <w:highlight w:val="none"/>
        </w:rPr>
      </w:pPr>
      <w:bookmarkStart w:id="789" w:name="_Toc487632759"/>
      <w:bookmarkStart w:id="790" w:name="_Toc10127"/>
      <w:bookmarkStart w:id="791" w:name="_Toc373227759"/>
      <w:bookmarkStart w:id="792" w:name="_Toc373478406"/>
      <w:bookmarkStart w:id="793" w:name="_Toc108539841"/>
      <w:bookmarkStart w:id="794" w:name="_Toc407135262"/>
      <w:bookmarkStart w:id="795" w:name="_Toc389065324"/>
      <w:r>
        <w:rPr>
          <w:rFonts w:ascii="宋体" w:hAnsi="宋体"/>
          <w:color w:val="000000"/>
          <w:highlight w:val="none"/>
        </w:rPr>
        <w:t xml:space="preserve">14.1 </w:t>
      </w:r>
      <w:r>
        <w:rPr>
          <w:rFonts w:hint="eastAsia" w:ascii="宋体" w:hAnsi="宋体"/>
          <w:color w:val="000000"/>
          <w:highlight w:val="none"/>
        </w:rPr>
        <w:t>竣工付款申请</w:t>
      </w:r>
      <w:bookmarkEnd w:id="789"/>
      <w:bookmarkEnd w:id="790"/>
      <w:bookmarkEnd w:id="791"/>
      <w:bookmarkEnd w:id="792"/>
      <w:bookmarkEnd w:id="793"/>
      <w:bookmarkEnd w:id="794"/>
      <w:bookmarkEnd w:id="795"/>
    </w:p>
    <w:p w14:paraId="3C8471D3">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承包人提交竣工付款申请单的期限：</w:t>
      </w:r>
      <w:r>
        <w:rPr>
          <w:rFonts w:hint="eastAsia" w:ascii="宋体" w:hAnsi="宋体"/>
          <w:color w:val="000000"/>
          <w:highlight w:val="none"/>
          <w:u w:val="single"/>
        </w:rPr>
        <w:t>承包人应在工程竣工验收合格后20天内向发包人和监理人提交竣工结算申请单，并提交完整的结算资料。竣工结算申请单及结算资料提交份数一式五份，其中纸质4份，电子文档1份</w:t>
      </w:r>
      <w:r>
        <w:rPr>
          <w:rFonts w:hint="eastAsia" w:ascii="宋体" w:hAnsi="宋体"/>
          <w:color w:val="000000"/>
          <w:highlight w:val="none"/>
        </w:rPr>
        <w:t>。</w:t>
      </w:r>
    </w:p>
    <w:p w14:paraId="501E121F">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竣工付款申请单应包括的内容：</w:t>
      </w:r>
      <w:r>
        <w:rPr>
          <w:rFonts w:hint="eastAsia" w:ascii="宋体" w:hAnsi="宋体"/>
          <w:color w:val="000000"/>
          <w:highlight w:val="none"/>
          <w:u w:val="single"/>
        </w:rPr>
        <w:t>结算书、签证资料、竣工图、会议纪要、施工组织设计、磋商文件、响应文件、施工合同、施工日记等，并应符合有关部门的要求</w:t>
      </w:r>
      <w:r>
        <w:rPr>
          <w:rFonts w:hint="eastAsia" w:ascii="宋体" w:hAnsi="宋体"/>
          <w:color w:val="000000"/>
          <w:highlight w:val="none"/>
        </w:rPr>
        <w:t>。</w:t>
      </w:r>
    </w:p>
    <w:p w14:paraId="10893090">
      <w:pPr>
        <w:pStyle w:val="8"/>
        <w:spacing w:after="60"/>
        <w:rPr>
          <w:rFonts w:ascii="宋体" w:hAnsi="宋体"/>
          <w:color w:val="000000"/>
          <w:highlight w:val="none"/>
        </w:rPr>
      </w:pPr>
      <w:bookmarkStart w:id="796" w:name="_Toc2517"/>
      <w:bookmarkStart w:id="797" w:name="_Toc108539842"/>
      <w:r>
        <w:rPr>
          <w:rFonts w:ascii="宋体" w:hAnsi="宋体"/>
          <w:color w:val="000000"/>
          <w:highlight w:val="none"/>
        </w:rPr>
        <w:t xml:space="preserve">14.2 </w:t>
      </w:r>
      <w:r>
        <w:rPr>
          <w:rFonts w:hint="eastAsia" w:ascii="宋体" w:hAnsi="宋体"/>
          <w:color w:val="000000"/>
          <w:highlight w:val="none"/>
        </w:rPr>
        <w:t>竣工结算审核</w:t>
      </w:r>
      <w:bookmarkEnd w:id="796"/>
      <w:bookmarkEnd w:id="797"/>
    </w:p>
    <w:p w14:paraId="2903C1D5">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发包人审批竣工付款申请单的期限：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B15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38064D">
            <w:pPr>
              <w:spacing w:line="360" w:lineRule="auto"/>
              <w:rPr>
                <w:rFonts w:ascii="宋体" w:hAnsi="宋体"/>
                <w:color w:val="000000"/>
                <w:highlight w:val="none"/>
              </w:rPr>
            </w:pPr>
          </w:p>
        </w:tc>
        <w:tc>
          <w:tcPr>
            <w:tcW w:w="2466" w:type="dxa"/>
            <w:vAlign w:val="center"/>
          </w:tcPr>
          <w:p w14:paraId="76755C35">
            <w:pPr>
              <w:spacing w:line="360" w:lineRule="auto"/>
              <w:ind w:firstLine="27" w:firstLineChars="13"/>
              <w:jc w:val="center"/>
              <w:rPr>
                <w:rFonts w:hint="eastAsia" w:ascii="宋体" w:hAnsi="宋体"/>
                <w:color w:val="000000"/>
                <w:highlight w:val="none"/>
              </w:rPr>
            </w:pPr>
            <w:r>
              <w:rPr>
                <w:rFonts w:hint="eastAsia" w:ascii="宋体" w:hAnsi="宋体"/>
                <w:color w:val="000000"/>
                <w:highlight w:val="none"/>
              </w:rPr>
              <w:t>工程竣工结算报告金额</w:t>
            </w:r>
          </w:p>
        </w:tc>
        <w:tc>
          <w:tcPr>
            <w:tcW w:w="5967" w:type="dxa"/>
            <w:vAlign w:val="center"/>
          </w:tcPr>
          <w:p w14:paraId="1CEEC462">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发包人审查时间</w:t>
            </w:r>
          </w:p>
        </w:tc>
      </w:tr>
      <w:tr w14:paraId="7681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736BBE0">
            <w:pPr>
              <w:spacing w:line="360" w:lineRule="auto"/>
              <w:jc w:val="center"/>
              <w:rPr>
                <w:rFonts w:ascii="宋体" w:hAnsi="宋体"/>
                <w:color w:val="000000"/>
                <w:highlight w:val="none"/>
              </w:rPr>
            </w:pPr>
            <w:r>
              <w:rPr>
                <w:rFonts w:ascii="宋体" w:hAnsi="宋体"/>
                <w:color w:val="000000"/>
                <w:highlight w:val="none"/>
              </w:rPr>
              <w:t>1</w:t>
            </w:r>
          </w:p>
        </w:tc>
        <w:tc>
          <w:tcPr>
            <w:tcW w:w="2466" w:type="dxa"/>
            <w:vAlign w:val="center"/>
          </w:tcPr>
          <w:p w14:paraId="36030EFE">
            <w:pPr>
              <w:spacing w:line="360" w:lineRule="auto"/>
              <w:ind w:firstLine="27" w:firstLineChars="13"/>
              <w:jc w:val="center"/>
              <w:rPr>
                <w:rFonts w:ascii="宋体" w:hAnsi="宋体"/>
                <w:color w:val="000000"/>
                <w:highlight w:val="none"/>
              </w:rPr>
            </w:pPr>
            <w:r>
              <w:rPr>
                <w:rFonts w:ascii="宋体" w:hAnsi="宋体"/>
                <w:color w:val="000000"/>
                <w:highlight w:val="none"/>
              </w:rPr>
              <w:t>500</w:t>
            </w:r>
            <w:r>
              <w:rPr>
                <w:rFonts w:hint="eastAsia" w:ascii="宋体" w:hAnsi="宋体"/>
                <w:color w:val="000000"/>
                <w:highlight w:val="none"/>
              </w:rPr>
              <w:t>万元以下</w:t>
            </w:r>
          </w:p>
        </w:tc>
        <w:tc>
          <w:tcPr>
            <w:tcW w:w="5967" w:type="dxa"/>
            <w:vAlign w:val="center"/>
          </w:tcPr>
          <w:p w14:paraId="25D7A162">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从接到竣工结算报告和完整的竣工结算资料之日起3</w:t>
            </w:r>
            <w:r>
              <w:rPr>
                <w:rFonts w:ascii="宋体" w:hAnsi="宋体"/>
                <w:color w:val="000000"/>
                <w:highlight w:val="none"/>
              </w:rPr>
              <w:t>0</w:t>
            </w:r>
            <w:r>
              <w:rPr>
                <w:rFonts w:hint="eastAsia" w:ascii="宋体" w:hAnsi="宋体"/>
                <w:color w:val="000000"/>
                <w:highlight w:val="none"/>
              </w:rPr>
              <w:t>天</w:t>
            </w:r>
          </w:p>
        </w:tc>
      </w:tr>
      <w:tr w14:paraId="1872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4950BDB">
            <w:pPr>
              <w:spacing w:line="360" w:lineRule="auto"/>
              <w:jc w:val="center"/>
              <w:rPr>
                <w:rFonts w:ascii="宋体" w:hAnsi="宋体"/>
                <w:color w:val="000000"/>
                <w:highlight w:val="none"/>
              </w:rPr>
            </w:pPr>
            <w:r>
              <w:rPr>
                <w:rFonts w:ascii="宋体" w:hAnsi="宋体"/>
                <w:color w:val="000000"/>
                <w:highlight w:val="none"/>
              </w:rPr>
              <w:t>2</w:t>
            </w:r>
          </w:p>
        </w:tc>
        <w:tc>
          <w:tcPr>
            <w:tcW w:w="2466" w:type="dxa"/>
            <w:vAlign w:val="center"/>
          </w:tcPr>
          <w:p w14:paraId="3AD596F3">
            <w:pPr>
              <w:spacing w:line="360" w:lineRule="auto"/>
              <w:ind w:firstLine="27" w:firstLineChars="13"/>
              <w:jc w:val="center"/>
              <w:rPr>
                <w:rFonts w:ascii="宋体" w:hAnsi="宋体"/>
                <w:color w:val="000000"/>
                <w:highlight w:val="none"/>
              </w:rPr>
            </w:pPr>
            <w:r>
              <w:rPr>
                <w:rFonts w:ascii="宋体" w:hAnsi="宋体"/>
                <w:color w:val="000000"/>
                <w:highlight w:val="none"/>
              </w:rPr>
              <w:t>500</w:t>
            </w:r>
            <w:r>
              <w:rPr>
                <w:rFonts w:hint="eastAsia" w:ascii="宋体" w:hAnsi="宋体"/>
                <w:color w:val="000000"/>
                <w:highlight w:val="none"/>
              </w:rPr>
              <w:t>万元</w:t>
            </w:r>
            <w:r>
              <w:rPr>
                <w:rFonts w:ascii="宋体" w:hAnsi="宋体"/>
                <w:color w:val="000000"/>
                <w:highlight w:val="none"/>
              </w:rPr>
              <w:t>-2000</w:t>
            </w:r>
            <w:r>
              <w:rPr>
                <w:rFonts w:hint="eastAsia" w:ascii="宋体" w:hAnsi="宋体"/>
                <w:color w:val="000000"/>
                <w:highlight w:val="none"/>
              </w:rPr>
              <w:t>万元</w:t>
            </w:r>
          </w:p>
        </w:tc>
        <w:tc>
          <w:tcPr>
            <w:tcW w:w="5967" w:type="dxa"/>
            <w:vAlign w:val="center"/>
          </w:tcPr>
          <w:p w14:paraId="58ABABA6">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从接到竣工结算报告和完整的竣工结算资料之日起4</w:t>
            </w:r>
            <w:r>
              <w:rPr>
                <w:rFonts w:ascii="宋体" w:hAnsi="宋体"/>
                <w:color w:val="000000"/>
                <w:highlight w:val="none"/>
              </w:rPr>
              <w:t>0</w:t>
            </w:r>
            <w:r>
              <w:rPr>
                <w:rFonts w:hint="eastAsia" w:ascii="宋体" w:hAnsi="宋体"/>
                <w:color w:val="000000"/>
                <w:highlight w:val="none"/>
              </w:rPr>
              <w:t>天</w:t>
            </w:r>
          </w:p>
        </w:tc>
      </w:tr>
      <w:tr w14:paraId="2B69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D860B51">
            <w:pPr>
              <w:spacing w:line="360" w:lineRule="auto"/>
              <w:jc w:val="center"/>
              <w:rPr>
                <w:rFonts w:ascii="宋体" w:hAnsi="宋体"/>
                <w:color w:val="000000"/>
                <w:highlight w:val="none"/>
              </w:rPr>
            </w:pPr>
            <w:r>
              <w:rPr>
                <w:rFonts w:ascii="宋体" w:hAnsi="宋体"/>
                <w:color w:val="000000"/>
                <w:highlight w:val="none"/>
              </w:rPr>
              <w:t>3</w:t>
            </w:r>
          </w:p>
        </w:tc>
        <w:tc>
          <w:tcPr>
            <w:tcW w:w="2466" w:type="dxa"/>
            <w:vAlign w:val="center"/>
          </w:tcPr>
          <w:p w14:paraId="3932A6CB">
            <w:pPr>
              <w:spacing w:line="360" w:lineRule="auto"/>
              <w:ind w:firstLine="27" w:firstLineChars="13"/>
              <w:jc w:val="center"/>
              <w:rPr>
                <w:rFonts w:ascii="宋体" w:hAnsi="宋体"/>
                <w:color w:val="000000"/>
                <w:highlight w:val="none"/>
              </w:rPr>
            </w:pPr>
            <w:r>
              <w:rPr>
                <w:rFonts w:ascii="宋体" w:hAnsi="宋体"/>
                <w:color w:val="000000"/>
                <w:highlight w:val="none"/>
              </w:rPr>
              <w:t>2000</w:t>
            </w:r>
            <w:r>
              <w:rPr>
                <w:rFonts w:hint="eastAsia" w:ascii="宋体" w:hAnsi="宋体"/>
                <w:color w:val="000000"/>
                <w:highlight w:val="none"/>
              </w:rPr>
              <w:t>万元</w:t>
            </w:r>
            <w:r>
              <w:rPr>
                <w:rFonts w:ascii="宋体" w:hAnsi="宋体"/>
                <w:color w:val="000000"/>
                <w:highlight w:val="none"/>
              </w:rPr>
              <w:t>-5000</w:t>
            </w:r>
            <w:r>
              <w:rPr>
                <w:rFonts w:hint="eastAsia" w:ascii="宋体" w:hAnsi="宋体"/>
                <w:color w:val="000000"/>
                <w:highlight w:val="none"/>
              </w:rPr>
              <w:t>万元</w:t>
            </w:r>
          </w:p>
        </w:tc>
        <w:tc>
          <w:tcPr>
            <w:tcW w:w="5967" w:type="dxa"/>
            <w:vAlign w:val="center"/>
          </w:tcPr>
          <w:p w14:paraId="2DC91441">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w:t>
            </w:r>
            <w:r>
              <w:rPr>
                <w:rFonts w:ascii="宋体" w:hAnsi="宋体"/>
                <w:color w:val="000000"/>
                <w:highlight w:val="none"/>
              </w:rPr>
              <w:t>45</w:t>
            </w:r>
            <w:r>
              <w:rPr>
                <w:rFonts w:hint="eastAsia" w:ascii="宋体" w:hAnsi="宋体"/>
                <w:color w:val="000000"/>
                <w:highlight w:val="none"/>
              </w:rPr>
              <w:t>天</w:t>
            </w:r>
          </w:p>
        </w:tc>
      </w:tr>
      <w:tr w14:paraId="5F13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3AFCB8A">
            <w:pPr>
              <w:spacing w:line="360" w:lineRule="auto"/>
              <w:jc w:val="center"/>
              <w:rPr>
                <w:rFonts w:ascii="宋体" w:hAnsi="宋体"/>
                <w:color w:val="000000"/>
                <w:highlight w:val="none"/>
              </w:rPr>
            </w:pPr>
            <w:r>
              <w:rPr>
                <w:rFonts w:ascii="宋体" w:hAnsi="宋体"/>
                <w:color w:val="000000"/>
                <w:highlight w:val="none"/>
              </w:rPr>
              <w:t>4</w:t>
            </w:r>
          </w:p>
        </w:tc>
        <w:tc>
          <w:tcPr>
            <w:tcW w:w="2466" w:type="dxa"/>
            <w:vAlign w:val="center"/>
          </w:tcPr>
          <w:p w14:paraId="69AFDA2E">
            <w:pPr>
              <w:spacing w:line="360" w:lineRule="auto"/>
              <w:ind w:firstLine="27" w:firstLineChars="13"/>
              <w:jc w:val="center"/>
              <w:rPr>
                <w:rFonts w:ascii="宋体" w:hAnsi="宋体"/>
                <w:color w:val="000000"/>
                <w:highlight w:val="none"/>
              </w:rPr>
            </w:pPr>
            <w:r>
              <w:rPr>
                <w:rFonts w:ascii="宋体" w:hAnsi="宋体"/>
                <w:color w:val="000000"/>
                <w:highlight w:val="none"/>
              </w:rPr>
              <w:t>5000</w:t>
            </w:r>
            <w:r>
              <w:rPr>
                <w:rFonts w:hint="eastAsia" w:ascii="宋体" w:hAnsi="宋体"/>
                <w:color w:val="000000"/>
                <w:highlight w:val="none"/>
              </w:rPr>
              <w:t>万元以上</w:t>
            </w:r>
          </w:p>
        </w:tc>
        <w:tc>
          <w:tcPr>
            <w:tcW w:w="5967" w:type="dxa"/>
            <w:vAlign w:val="center"/>
          </w:tcPr>
          <w:p w14:paraId="66AD3383">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w:t>
            </w:r>
            <w:r>
              <w:rPr>
                <w:rFonts w:ascii="宋体" w:hAnsi="宋体"/>
                <w:color w:val="000000"/>
                <w:highlight w:val="none"/>
              </w:rPr>
              <w:t>60</w:t>
            </w:r>
            <w:r>
              <w:rPr>
                <w:rFonts w:hint="eastAsia" w:ascii="宋体" w:hAnsi="宋体"/>
                <w:color w:val="000000"/>
                <w:highlight w:val="none"/>
              </w:rPr>
              <w:t>天</w:t>
            </w:r>
          </w:p>
        </w:tc>
      </w:tr>
    </w:tbl>
    <w:p w14:paraId="5C5BC42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因承包人提供的结算资料不完整而需要补充或承包人不按时对账耽误时间时，审查时间应相应顺延。</w:t>
      </w:r>
    </w:p>
    <w:p w14:paraId="5D06187D">
      <w:pPr>
        <w:spacing w:line="400" w:lineRule="exact"/>
        <w:ind w:firstLine="411" w:firstLineChars="196"/>
        <w:rPr>
          <w:rFonts w:hint="eastAsia" w:ascii="宋体" w:hAnsi="宋体"/>
          <w:color w:val="000000"/>
          <w:highlight w:val="none"/>
        </w:rPr>
      </w:pPr>
      <w:r>
        <w:rPr>
          <w:rFonts w:hint="eastAsia" w:ascii="宋体" w:hAnsi="宋体"/>
          <w:color w:val="000000"/>
          <w:highlight w:val="none"/>
        </w:rPr>
        <w:t>结算审核约定：</w:t>
      </w:r>
    </w:p>
    <w:p w14:paraId="1877FFDC">
      <w:pPr>
        <w:spacing w:line="360" w:lineRule="auto"/>
        <w:ind w:firstLine="411" w:firstLineChars="196"/>
        <w:rPr>
          <w:rFonts w:hint="eastAsia" w:ascii="宋体" w:hAnsi="宋体"/>
          <w:color w:val="000000"/>
          <w:highlight w:val="none"/>
        </w:rPr>
      </w:pPr>
      <w:r>
        <w:rPr>
          <w:rFonts w:hint="eastAsia" w:ascii="宋体" w:hAnsi="宋体"/>
          <w:color w:val="000000"/>
          <w:highlight w:val="none"/>
        </w:rPr>
        <w:t>非国有投资项目：</w:t>
      </w:r>
      <w:r>
        <w:rPr>
          <w:rFonts w:ascii="宋体" w:hAnsi="宋体"/>
          <w:color w:val="000000"/>
          <w:highlight w:val="none"/>
          <w:u w:val="single"/>
        </w:rPr>
        <w:t>1</w:t>
      </w:r>
      <w:r>
        <w:rPr>
          <w:rFonts w:hint="eastAsia" w:ascii="宋体" w:hAnsi="宋体"/>
          <w:color w:val="000000"/>
          <w:highlight w:val="none"/>
          <w:u w:val="single"/>
        </w:rPr>
        <w:t>、工程竣工验收报告经发包人认可后，承包人向发包人递交竣工验收合格资料及完整的结算资料和报告，双方按照协议书约定的合同条款及专用条款约定的合同价调整内容，进行工程竣工结算。</w:t>
      </w:r>
      <w:r>
        <w:rPr>
          <w:rFonts w:ascii="宋体" w:hAnsi="宋体"/>
          <w:color w:val="000000"/>
          <w:highlight w:val="none"/>
          <w:u w:val="single"/>
        </w:rPr>
        <w:t>2</w:t>
      </w:r>
      <w:r>
        <w:rPr>
          <w:rFonts w:hint="eastAsia" w:ascii="宋体" w:hAnsi="宋体"/>
          <w:color w:val="000000"/>
          <w:highlight w:val="none"/>
          <w:u w:val="single"/>
        </w:rPr>
        <w:t>、发包人收到承包人递交的竣工结算报告及结算资料之日起进行审核，给予确认或者提出初审意见。发包人初审竣工结算完毕，交由第三方审定（承包人同意发包人可直接委托第三方审定）且经发包人确定后，按审定后的结算价款，向承包人支付工程竣工结算价款。承包人应根据发包人的需要随时将竣工工程交付发包人。</w:t>
      </w:r>
    </w:p>
    <w:p w14:paraId="4CB733E6">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国有投资项目：（双方结合各地政府或有关部门出台的管理规定进行约定）</w:t>
      </w:r>
    </w:p>
    <w:p w14:paraId="66CFC57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发包人完成竣工付款的期限：</w:t>
      </w:r>
      <w:r>
        <w:rPr>
          <w:rFonts w:hint="eastAsia" w:ascii="宋体" w:hAnsi="宋体"/>
          <w:color w:val="000000"/>
          <w:highlight w:val="none"/>
          <w:u w:val="single"/>
        </w:rPr>
        <w:t>第三方出具审计结论及收到财政结算确认通知，承包人提出支付申请后</w:t>
      </w:r>
      <w:r>
        <w:rPr>
          <w:rFonts w:hint="eastAsia" w:ascii="宋体" w:hAnsi="宋体"/>
          <w:color w:val="000000"/>
          <w:highlight w:val="none"/>
        </w:rPr>
        <w:t>。</w:t>
      </w:r>
    </w:p>
    <w:p w14:paraId="43232A9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关于竣工付款证书异议部分复核的方式和程序：。</w:t>
      </w:r>
    </w:p>
    <w:p w14:paraId="535A4BD5">
      <w:pPr>
        <w:pStyle w:val="8"/>
        <w:spacing w:before="0" w:after="60"/>
        <w:rPr>
          <w:rFonts w:ascii="宋体" w:hAnsi="宋体"/>
          <w:color w:val="000000"/>
          <w:highlight w:val="none"/>
        </w:rPr>
      </w:pPr>
      <w:bookmarkStart w:id="798" w:name="_Toc108539843"/>
      <w:bookmarkStart w:id="799" w:name="_Toc30708"/>
      <w:r>
        <w:rPr>
          <w:rFonts w:ascii="宋体" w:hAnsi="宋体"/>
          <w:color w:val="000000"/>
          <w:highlight w:val="none"/>
        </w:rPr>
        <w:t xml:space="preserve">14.4 </w:t>
      </w:r>
      <w:r>
        <w:rPr>
          <w:rFonts w:hint="eastAsia" w:ascii="宋体" w:hAnsi="宋体"/>
          <w:color w:val="000000"/>
          <w:highlight w:val="none"/>
        </w:rPr>
        <w:t>最终结清</w:t>
      </w:r>
      <w:bookmarkEnd w:id="798"/>
      <w:bookmarkEnd w:id="799"/>
    </w:p>
    <w:p w14:paraId="6A541826">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14.4.1 </w:t>
      </w:r>
      <w:r>
        <w:rPr>
          <w:rFonts w:hint="eastAsia" w:ascii="宋体" w:hAnsi="宋体"/>
          <w:color w:val="000000"/>
          <w:kern w:val="0"/>
          <w:highlight w:val="none"/>
        </w:rPr>
        <w:t>最终结清申请单</w:t>
      </w:r>
    </w:p>
    <w:p w14:paraId="7A6711BF">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承包人提交最终结清申请单的份数：</w:t>
      </w:r>
      <w:r>
        <w:rPr>
          <w:rFonts w:hint="eastAsia" w:ascii="宋体" w:hAnsi="宋体"/>
          <w:color w:val="000000"/>
          <w:highlight w:val="none"/>
          <w:u w:val="single"/>
        </w:rPr>
        <w:t>一式肆份</w:t>
      </w:r>
      <w:r>
        <w:rPr>
          <w:rFonts w:hint="eastAsia" w:ascii="宋体" w:hAnsi="宋体"/>
          <w:color w:val="000000"/>
          <w:highlight w:val="none"/>
        </w:rPr>
        <w:t>。</w:t>
      </w:r>
    </w:p>
    <w:p w14:paraId="75A4A91E">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承包人提交最终结算申请单的期限：</w:t>
      </w:r>
      <w:r>
        <w:rPr>
          <w:rFonts w:hint="eastAsia" w:ascii="宋体" w:hAnsi="宋体"/>
          <w:color w:val="000000"/>
          <w:highlight w:val="none"/>
          <w:u w:val="single"/>
        </w:rPr>
        <w:t>审计确认结算价款且保修期满并签发终止保修书后</w:t>
      </w:r>
      <w:r>
        <w:rPr>
          <w:rFonts w:hint="eastAsia" w:ascii="宋体" w:hAnsi="宋体"/>
          <w:color w:val="000000"/>
          <w:highlight w:val="none"/>
        </w:rPr>
        <w:t>。</w:t>
      </w:r>
    </w:p>
    <w:p w14:paraId="6B3E688B">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14.4.2 </w:t>
      </w:r>
      <w:r>
        <w:rPr>
          <w:rFonts w:hint="eastAsia" w:ascii="宋体" w:hAnsi="宋体"/>
          <w:color w:val="000000"/>
          <w:highlight w:val="none"/>
        </w:rPr>
        <w:t>最终结清证书和支付</w:t>
      </w:r>
    </w:p>
    <w:p w14:paraId="2CC5C5D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）发包人完成最终结清申请单的审批并颁发最终结清证书的期限：</w:t>
      </w:r>
      <w:r>
        <w:rPr>
          <w:rFonts w:hint="eastAsia" w:ascii="宋体" w:hAnsi="宋体"/>
          <w:color w:val="000000"/>
          <w:highlight w:val="none"/>
          <w:u w:val="single"/>
        </w:rPr>
        <w:t>应在收到承包人提交的最终结清申请单后</w:t>
      </w:r>
      <w:r>
        <w:rPr>
          <w:rFonts w:hint="eastAsia" w:ascii="宋体" w:hAnsi="宋体"/>
          <w:color w:val="000000"/>
          <w:highlight w:val="none"/>
        </w:rPr>
        <w:t>。</w:t>
      </w:r>
    </w:p>
    <w:p w14:paraId="56E4DA1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）发包人完成支付的期限：</w:t>
      </w:r>
      <w:r>
        <w:rPr>
          <w:rFonts w:hint="eastAsia" w:ascii="宋体" w:hAnsi="宋体"/>
          <w:color w:val="000000"/>
          <w:highlight w:val="none"/>
          <w:u w:val="single"/>
        </w:rPr>
        <w:t>应在颁发最终结清证书后</w:t>
      </w:r>
      <w:r>
        <w:rPr>
          <w:rFonts w:hint="eastAsia" w:ascii="宋体" w:hAnsi="宋体"/>
          <w:color w:val="000000"/>
          <w:highlight w:val="none"/>
        </w:rPr>
        <w:t>。</w:t>
      </w:r>
    </w:p>
    <w:p w14:paraId="53478A0A">
      <w:pPr>
        <w:pStyle w:val="7"/>
        <w:rPr>
          <w:rFonts w:ascii="宋体" w:hAnsi="宋体" w:eastAsia="宋体"/>
          <w:color w:val="000000"/>
          <w:highlight w:val="none"/>
        </w:rPr>
      </w:pPr>
      <w:bookmarkStart w:id="800" w:name="_Toc351203647"/>
      <w:bookmarkStart w:id="801" w:name="_Toc389065327"/>
      <w:bookmarkStart w:id="802" w:name="_Toc108539844"/>
      <w:bookmarkStart w:id="803" w:name="_Toc487632762"/>
      <w:bookmarkStart w:id="804" w:name="_Toc407135265"/>
      <w:bookmarkStart w:id="805" w:name="_Toc14646"/>
      <w:bookmarkStart w:id="806" w:name="_Toc373227762"/>
      <w:bookmarkStart w:id="807" w:name="_Toc373478409"/>
      <w:r>
        <w:rPr>
          <w:rFonts w:ascii="宋体" w:hAnsi="宋体" w:eastAsia="宋体"/>
          <w:color w:val="000000"/>
          <w:highlight w:val="none"/>
        </w:rPr>
        <w:t xml:space="preserve">15. </w:t>
      </w:r>
      <w:r>
        <w:rPr>
          <w:rFonts w:hint="eastAsia" w:ascii="宋体" w:hAnsi="宋体" w:eastAsia="宋体"/>
          <w:color w:val="000000"/>
          <w:highlight w:val="none"/>
        </w:rPr>
        <w:t>缺陷责任期与保修</w:t>
      </w:r>
      <w:bookmarkEnd w:id="800"/>
      <w:bookmarkEnd w:id="801"/>
      <w:bookmarkEnd w:id="802"/>
      <w:bookmarkEnd w:id="803"/>
      <w:bookmarkEnd w:id="804"/>
      <w:bookmarkEnd w:id="805"/>
      <w:bookmarkEnd w:id="806"/>
      <w:bookmarkEnd w:id="807"/>
    </w:p>
    <w:p w14:paraId="23A9417D">
      <w:pPr>
        <w:pStyle w:val="8"/>
        <w:spacing w:after="60"/>
        <w:rPr>
          <w:rFonts w:ascii="宋体" w:hAnsi="宋体"/>
          <w:color w:val="000000"/>
          <w:highlight w:val="none"/>
        </w:rPr>
      </w:pPr>
      <w:bookmarkStart w:id="808" w:name="_Toc389065328"/>
      <w:bookmarkStart w:id="809" w:name="_Toc13120"/>
      <w:bookmarkStart w:id="810" w:name="_Toc373227763"/>
      <w:bookmarkStart w:id="811" w:name="_Toc487632763"/>
      <w:bookmarkStart w:id="812" w:name="_Toc373478410"/>
      <w:bookmarkStart w:id="813" w:name="_Toc108539845"/>
      <w:bookmarkStart w:id="814" w:name="_Toc407135266"/>
      <w:r>
        <w:rPr>
          <w:rFonts w:ascii="宋体" w:hAnsi="宋体"/>
          <w:color w:val="000000"/>
          <w:highlight w:val="none"/>
        </w:rPr>
        <w:t xml:space="preserve">15.2 </w:t>
      </w:r>
      <w:r>
        <w:rPr>
          <w:rFonts w:hint="eastAsia" w:ascii="宋体" w:hAnsi="宋体"/>
          <w:color w:val="000000"/>
          <w:highlight w:val="none"/>
        </w:rPr>
        <w:t>缺陷责任期</w:t>
      </w:r>
      <w:bookmarkEnd w:id="808"/>
      <w:bookmarkEnd w:id="809"/>
      <w:bookmarkEnd w:id="810"/>
      <w:bookmarkEnd w:id="811"/>
      <w:bookmarkEnd w:id="812"/>
      <w:bookmarkEnd w:id="813"/>
      <w:bookmarkEnd w:id="814"/>
    </w:p>
    <w:p w14:paraId="090D64B0">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缺陷责任期的具体期限：</w:t>
      </w:r>
      <w:r>
        <w:rPr>
          <w:rFonts w:hint="eastAsia" w:ascii="宋体" w:hAnsi="宋体"/>
          <w:b/>
          <w:color w:val="000000"/>
          <w:highlight w:val="none"/>
          <w:u w:val="single"/>
        </w:rPr>
        <w:t>12个月</w:t>
      </w:r>
      <w:r>
        <w:rPr>
          <w:rFonts w:hint="eastAsia" w:ascii="宋体" w:hAnsi="宋体"/>
          <w:color w:val="000000"/>
          <w:highlight w:val="none"/>
        </w:rPr>
        <w:t>。</w:t>
      </w:r>
    </w:p>
    <w:p w14:paraId="7E0D3884">
      <w:pPr>
        <w:pStyle w:val="8"/>
        <w:spacing w:after="60"/>
        <w:rPr>
          <w:rFonts w:ascii="宋体" w:hAnsi="宋体"/>
          <w:color w:val="000000"/>
          <w:highlight w:val="none"/>
        </w:rPr>
      </w:pPr>
      <w:bookmarkStart w:id="815" w:name="_Toc373227764"/>
      <w:bookmarkStart w:id="816" w:name="_Toc487632764"/>
      <w:bookmarkStart w:id="817" w:name="_Toc389065329"/>
      <w:bookmarkStart w:id="818" w:name="_Toc108539846"/>
      <w:bookmarkStart w:id="819" w:name="_Toc373478411"/>
      <w:bookmarkStart w:id="820" w:name="_Toc407135267"/>
      <w:bookmarkStart w:id="821" w:name="_Toc10660"/>
      <w:r>
        <w:rPr>
          <w:rFonts w:ascii="宋体" w:hAnsi="宋体"/>
          <w:color w:val="000000"/>
          <w:highlight w:val="none"/>
        </w:rPr>
        <w:t xml:space="preserve">15.3 </w:t>
      </w:r>
      <w:r>
        <w:rPr>
          <w:rFonts w:hint="eastAsia" w:ascii="宋体" w:hAnsi="宋体"/>
          <w:color w:val="000000"/>
          <w:highlight w:val="none"/>
        </w:rPr>
        <w:t>质量保证金</w:t>
      </w:r>
      <w:bookmarkEnd w:id="815"/>
      <w:bookmarkEnd w:id="816"/>
      <w:bookmarkEnd w:id="817"/>
      <w:bookmarkEnd w:id="818"/>
      <w:bookmarkEnd w:id="819"/>
      <w:bookmarkEnd w:id="820"/>
      <w:bookmarkEnd w:id="821"/>
    </w:p>
    <w:p w14:paraId="0C8AD960">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关于是否扣留质量保证金的约定：</w:t>
      </w:r>
      <w:r>
        <w:rPr>
          <w:color w:val="000000"/>
          <w:highlight w:val="none"/>
          <w:u w:val="single"/>
        </w:rPr>
        <w:t xml:space="preserve">  </w:t>
      </w:r>
      <w:r>
        <w:rPr>
          <w:rFonts w:ascii="宋体" w:hAnsi="宋体"/>
          <w:color w:val="000000"/>
          <w:kern w:val="0"/>
          <w:highlight w:val="none"/>
          <w:u w:val="single"/>
        </w:rPr>
        <w:t>/</w:t>
      </w:r>
      <w:r>
        <w:rPr>
          <w:color w:val="000000"/>
          <w:highlight w:val="none"/>
          <w:u w:val="single"/>
        </w:rPr>
        <w:t xml:space="preserve">   </w:t>
      </w:r>
      <w:r>
        <w:rPr>
          <w:rFonts w:hint="eastAsia" w:ascii="宋体" w:hAnsi="宋体"/>
          <w:color w:val="000000"/>
          <w:highlight w:val="none"/>
        </w:rPr>
        <w:t>。</w:t>
      </w:r>
    </w:p>
    <w:p w14:paraId="3A4EBB0C">
      <w:pPr>
        <w:spacing w:line="360" w:lineRule="auto"/>
        <w:ind w:firstLine="420" w:firstLineChars="200"/>
        <w:jc w:val="left"/>
        <w:outlineLvl w:val="0"/>
        <w:rPr>
          <w:rFonts w:ascii="宋体" w:hAnsi="宋体"/>
          <w:color w:val="000000"/>
          <w:highlight w:val="none"/>
        </w:rPr>
      </w:pPr>
      <w:bookmarkStart w:id="822" w:name="_Toc32542"/>
      <w:bookmarkStart w:id="823" w:name="_Toc20065"/>
      <w:bookmarkStart w:id="824" w:name="_Toc108539847"/>
      <w:r>
        <w:rPr>
          <w:rFonts w:ascii="宋体" w:hAnsi="宋体"/>
          <w:color w:val="000000"/>
          <w:highlight w:val="none"/>
        </w:rPr>
        <w:t xml:space="preserve">15.3.1 </w:t>
      </w:r>
      <w:r>
        <w:rPr>
          <w:rFonts w:hint="eastAsia" w:ascii="宋体" w:hAnsi="宋体"/>
          <w:color w:val="000000"/>
          <w:highlight w:val="none"/>
        </w:rPr>
        <w:t>承包人提供质量保证金的方式</w:t>
      </w:r>
      <w:bookmarkEnd w:id="822"/>
      <w:bookmarkEnd w:id="823"/>
      <w:bookmarkEnd w:id="824"/>
    </w:p>
    <w:p w14:paraId="35D04CE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质量保证金采用以下第</w:t>
      </w:r>
      <w:r>
        <w:rPr>
          <w:rFonts w:ascii="宋体" w:hAnsi="宋体"/>
          <w:color w:val="000000"/>
          <w:kern w:val="0"/>
          <w:highlight w:val="none"/>
          <w:u w:val="single"/>
        </w:rPr>
        <w:t xml:space="preserve"> </w:t>
      </w:r>
      <w:r>
        <w:rPr>
          <w:rFonts w:hint="eastAsia" w:ascii="宋体" w:hAnsi="宋体"/>
          <w:color w:val="000000"/>
          <w:kern w:val="0"/>
          <w:highlight w:val="none"/>
          <w:u w:val="single"/>
        </w:rPr>
        <w:t>（</w:t>
      </w:r>
      <w:r>
        <w:rPr>
          <w:rFonts w:ascii="宋体" w:hAnsi="宋体"/>
          <w:color w:val="000000"/>
          <w:kern w:val="0"/>
          <w:highlight w:val="none"/>
          <w:u w:val="single"/>
        </w:rPr>
        <w:t>2</w:t>
      </w:r>
      <w:r>
        <w:rPr>
          <w:rFonts w:hint="eastAsia" w:ascii="宋体" w:hAnsi="宋体"/>
          <w:color w:val="000000"/>
          <w:kern w:val="0"/>
          <w:highlight w:val="none"/>
          <w:u w:val="single"/>
        </w:rPr>
        <w:t>）</w:t>
      </w:r>
      <w:r>
        <w:rPr>
          <w:rFonts w:hint="eastAsia" w:ascii="宋体" w:hAnsi="宋体"/>
          <w:color w:val="000000"/>
          <w:kern w:val="0"/>
          <w:highlight w:val="none"/>
          <w:u w:val="single"/>
          <w:lang w:val="en-US" w:eastAsia="zh-CN"/>
        </w:rPr>
        <w:t xml:space="preserve"> </w:t>
      </w:r>
      <w:r>
        <w:rPr>
          <w:rFonts w:hint="eastAsia" w:ascii="宋体" w:hAnsi="宋体"/>
          <w:color w:val="000000"/>
          <w:highlight w:val="none"/>
        </w:rPr>
        <w:t>种方式：</w:t>
      </w:r>
    </w:p>
    <w:p w14:paraId="03D429F6">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）质量保证金保函，保证金额为：</w:t>
      </w:r>
      <w:r>
        <w:rPr>
          <w:rFonts w:hint="eastAsia" w:ascii="宋体" w:hAnsi="宋体"/>
          <w:color w:val="000000"/>
          <w:kern w:val="0"/>
          <w:highlight w:val="none"/>
          <w:u w:val="single"/>
        </w:rPr>
        <w:t xml:space="preserve"> </w:t>
      </w:r>
      <w:r>
        <w:rPr>
          <w:rFonts w:ascii="宋体" w:hAnsi="宋体"/>
          <w:color w:val="000000"/>
          <w:kern w:val="0"/>
          <w:highlight w:val="none"/>
          <w:u w:val="single"/>
        </w:rPr>
        <w:t xml:space="preserve">  /  </w:t>
      </w:r>
      <w:r>
        <w:rPr>
          <w:rFonts w:hint="eastAsia" w:ascii="宋体" w:hAnsi="宋体"/>
          <w:color w:val="000000"/>
          <w:kern w:val="0"/>
          <w:highlight w:val="none"/>
        </w:rPr>
        <w:t>；</w:t>
      </w:r>
    </w:p>
    <w:p w14:paraId="6F72C594">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w:t>
      </w:r>
      <w:r>
        <w:rPr>
          <w:rFonts w:hint="eastAsia" w:ascii="宋体" w:hAnsi="宋体"/>
          <w:color w:val="000000"/>
          <w:highlight w:val="none"/>
        </w:rPr>
        <w:t>发包人按工程价款结算总额的</w:t>
      </w:r>
      <w:r>
        <w:rPr>
          <w:rFonts w:ascii="宋体" w:hAnsi="宋体"/>
          <w:color w:val="000000"/>
          <w:kern w:val="0"/>
          <w:highlight w:val="none"/>
          <w:u w:val="single"/>
        </w:rPr>
        <w:t xml:space="preserve"> </w:t>
      </w:r>
      <w:r>
        <w:rPr>
          <w:rFonts w:hint="eastAsia" w:ascii="宋体" w:hAnsi="宋体"/>
          <w:color w:val="000000"/>
          <w:kern w:val="0"/>
          <w:highlight w:val="none"/>
          <w:u w:val="single"/>
          <w:lang w:val="en-US" w:eastAsia="zh-CN"/>
        </w:rPr>
        <w:t xml:space="preserve">3 </w:t>
      </w:r>
      <w:r>
        <w:rPr>
          <w:rFonts w:ascii="宋体" w:hAnsi="宋体"/>
          <w:color w:val="000000"/>
          <w:kern w:val="0"/>
          <w:highlight w:val="none"/>
          <w:u w:val="single"/>
        </w:rPr>
        <w:t xml:space="preserve"> </w:t>
      </w:r>
      <w:r>
        <w:rPr>
          <w:rFonts w:ascii="宋体" w:hAnsi="宋体"/>
          <w:color w:val="000000"/>
          <w:highlight w:val="none"/>
        </w:rPr>
        <w:t>%</w:t>
      </w:r>
      <w:r>
        <w:rPr>
          <w:rFonts w:hint="eastAsia" w:ascii="宋体" w:hAnsi="宋体"/>
          <w:color w:val="000000"/>
          <w:highlight w:val="none"/>
        </w:rPr>
        <w:t>（不得超过</w:t>
      </w:r>
      <w:r>
        <w:rPr>
          <w:rFonts w:ascii="宋体" w:hAnsi="宋体"/>
          <w:color w:val="000000"/>
          <w:highlight w:val="none"/>
        </w:rPr>
        <w:t>3%</w:t>
      </w:r>
      <w:r>
        <w:rPr>
          <w:rFonts w:hint="eastAsia" w:ascii="宋体" w:hAnsi="宋体"/>
          <w:color w:val="000000"/>
          <w:highlight w:val="none"/>
        </w:rPr>
        <w:t>）预留工程质量保修金，待缺陷责任期满后返还，是否付息及利息计算方式为：</w:t>
      </w:r>
      <w:r>
        <w:rPr>
          <w:rFonts w:hint="eastAsia" w:ascii="宋体" w:hAnsi="宋体"/>
          <w:color w:val="000000"/>
          <w:highlight w:val="none"/>
          <w:u w:val="single"/>
        </w:rPr>
        <w:t>无</w:t>
      </w:r>
      <w:r>
        <w:rPr>
          <w:rFonts w:hint="eastAsia" w:ascii="宋体" w:hAnsi="宋体"/>
          <w:color w:val="000000"/>
          <w:kern w:val="0"/>
          <w:highlight w:val="none"/>
        </w:rPr>
        <w:t>；</w:t>
      </w:r>
    </w:p>
    <w:p w14:paraId="2C95570B">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）其他方式：</w:t>
      </w:r>
      <w:r>
        <w:rPr>
          <w:rFonts w:hint="eastAsia" w:ascii="宋体" w:hAnsi="宋体"/>
          <w:color w:val="000000"/>
          <w:highlight w:val="none"/>
          <w:u w:val="single"/>
        </w:rPr>
        <w:t>无</w:t>
      </w:r>
      <w:r>
        <w:rPr>
          <w:rFonts w:hint="eastAsia" w:ascii="宋体" w:hAnsi="宋体"/>
          <w:color w:val="000000"/>
          <w:highlight w:val="none"/>
        </w:rPr>
        <w:t>。</w:t>
      </w:r>
    </w:p>
    <w:p w14:paraId="747DE892">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15.3.2 </w:t>
      </w:r>
      <w:r>
        <w:rPr>
          <w:rFonts w:hint="eastAsia" w:ascii="宋体" w:hAnsi="宋体"/>
          <w:color w:val="000000"/>
          <w:highlight w:val="none"/>
        </w:rPr>
        <w:t>质量保证金的扣留</w:t>
      </w:r>
    </w:p>
    <w:p w14:paraId="613330E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质量保证金的扣留采取以下第</w:t>
      </w:r>
      <w:r>
        <w:rPr>
          <w:rFonts w:hint="eastAsia" w:ascii="宋体" w:hAnsi="宋体"/>
          <w:color w:val="000000"/>
          <w:highlight w:val="none"/>
          <w:u w:val="single"/>
        </w:rPr>
        <w:t xml:space="preserve"> （2）</w:t>
      </w:r>
      <w:r>
        <w:rPr>
          <w:rFonts w:hint="eastAsia" w:ascii="宋体" w:hAnsi="宋体"/>
          <w:color w:val="000000"/>
          <w:highlight w:val="none"/>
          <w:u w:val="single"/>
          <w:lang w:val="en-US" w:eastAsia="zh-CN"/>
        </w:rPr>
        <w:t xml:space="preserve"> </w:t>
      </w:r>
      <w:r>
        <w:rPr>
          <w:rFonts w:hint="eastAsia" w:ascii="宋体" w:hAnsi="宋体"/>
          <w:color w:val="000000"/>
          <w:highlight w:val="none"/>
        </w:rPr>
        <w:t>种方式：</w:t>
      </w:r>
    </w:p>
    <w:p w14:paraId="0B918984">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）在支付工程进度款时逐次扣留，在此情形下，质量保证金的计算基数不包括预付款的支付、扣回以及价格调整的金额；</w:t>
      </w:r>
    </w:p>
    <w:p w14:paraId="7EBE6691">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）工程竣工结算时一次性扣留质量保证金；</w:t>
      </w:r>
    </w:p>
    <w:p w14:paraId="60B2D30E">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）其他扣留方式</w:t>
      </w:r>
      <w:r>
        <w:rPr>
          <w:rFonts w:ascii="宋体" w:hAnsi="宋体"/>
          <w:color w:val="000000"/>
          <w:kern w:val="0"/>
          <w:highlight w:val="none"/>
        </w:rPr>
        <w:t>:</w:t>
      </w:r>
      <w:r>
        <w:rPr>
          <w:rFonts w:hint="eastAsia" w:ascii="宋体" w:hAnsi="宋体"/>
          <w:color w:val="000000"/>
          <w:kern w:val="0"/>
          <w:highlight w:val="none"/>
          <w:u w:val="single"/>
        </w:rPr>
        <w:t>无</w:t>
      </w:r>
      <w:r>
        <w:rPr>
          <w:rFonts w:hint="eastAsia" w:ascii="宋体" w:hAnsi="宋体"/>
          <w:color w:val="000000"/>
          <w:kern w:val="0"/>
          <w:highlight w:val="none"/>
        </w:rPr>
        <w:t>。</w:t>
      </w:r>
    </w:p>
    <w:p w14:paraId="0DA4FEC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关于质量保证金的补充约定：</w:t>
      </w:r>
      <w:r>
        <w:rPr>
          <w:rFonts w:hint="eastAsia" w:ascii="宋体" w:hAnsi="宋体"/>
          <w:color w:val="000000"/>
          <w:kern w:val="0"/>
          <w:highlight w:val="none"/>
          <w:u w:val="single"/>
        </w:rPr>
        <w:t>无</w:t>
      </w:r>
      <w:r>
        <w:rPr>
          <w:rFonts w:hint="eastAsia" w:ascii="宋体" w:hAnsi="宋体"/>
          <w:color w:val="000000"/>
          <w:kern w:val="0"/>
          <w:highlight w:val="none"/>
        </w:rPr>
        <w:t>。</w:t>
      </w:r>
    </w:p>
    <w:p w14:paraId="2CDA8E9D">
      <w:pPr>
        <w:pStyle w:val="8"/>
        <w:spacing w:before="0" w:after="60"/>
        <w:rPr>
          <w:rFonts w:ascii="宋体" w:hAnsi="宋体"/>
          <w:color w:val="000000"/>
          <w:highlight w:val="none"/>
        </w:rPr>
      </w:pPr>
      <w:bookmarkStart w:id="825" w:name="_Toc389065330"/>
      <w:bookmarkStart w:id="826" w:name="_Toc487632765"/>
      <w:bookmarkStart w:id="827" w:name="_Toc373227765"/>
      <w:bookmarkStart w:id="828" w:name="_Toc25136"/>
      <w:bookmarkStart w:id="829" w:name="_Toc373478412"/>
      <w:bookmarkStart w:id="830" w:name="_Toc407135268"/>
      <w:bookmarkStart w:id="831" w:name="_Toc108539848"/>
      <w:r>
        <w:rPr>
          <w:rFonts w:ascii="宋体" w:hAnsi="宋体"/>
          <w:color w:val="000000"/>
          <w:highlight w:val="none"/>
        </w:rPr>
        <w:t xml:space="preserve">15.4 </w:t>
      </w:r>
      <w:r>
        <w:rPr>
          <w:rFonts w:hint="eastAsia" w:ascii="宋体" w:hAnsi="宋体"/>
          <w:color w:val="000000"/>
          <w:highlight w:val="none"/>
        </w:rPr>
        <w:t>保修</w:t>
      </w:r>
      <w:bookmarkEnd w:id="825"/>
      <w:bookmarkEnd w:id="826"/>
      <w:bookmarkEnd w:id="827"/>
      <w:bookmarkEnd w:id="828"/>
      <w:bookmarkEnd w:id="829"/>
      <w:bookmarkEnd w:id="830"/>
      <w:bookmarkEnd w:id="831"/>
    </w:p>
    <w:p w14:paraId="3572FC1E">
      <w:pPr>
        <w:spacing w:line="360" w:lineRule="auto"/>
        <w:ind w:firstLine="409" w:firstLineChars="195"/>
        <w:jc w:val="left"/>
        <w:outlineLvl w:val="0"/>
        <w:rPr>
          <w:rFonts w:ascii="宋体" w:hAnsi="宋体"/>
          <w:color w:val="000000"/>
          <w:highlight w:val="none"/>
        </w:rPr>
      </w:pPr>
      <w:bookmarkStart w:id="832" w:name="_Toc108539849"/>
      <w:bookmarkStart w:id="833" w:name="_Toc16137"/>
      <w:bookmarkStart w:id="834" w:name="_Toc9764"/>
      <w:r>
        <w:rPr>
          <w:rFonts w:ascii="宋体" w:hAnsi="宋体"/>
          <w:color w:val="000000"/>
          <w:highlight w:val="none"/>
        </w:rPr>
        <w:t xml:space="preserve">15.4.1 </w:t>
      </w:r>
      <w:r>
        <w:rPr>
          <w:rFonts w:hint="eastAsia" w:ascii="宋体" w:hAnsi="宋体"/>
          <w:color w:val="000000"/>
          <w:highlight w:val="none"/>
        </w:rPr>
        <w:t>保修责任</w:t>
      </w:r>
      <w:bookmarkEnd w:id="832"/>
      <w:bookmarkEnd w:id="833"/>
      <w:bookmarkEnd w:id="834"/>
    </w:p>
    <w:p w14:paraId="2A298B3B">
      <w:pPr>
        <w:spacing w:line="360" w:lineRule="auto"/>
        <w:ind w:firstLine="409" w:firstLineChars="195"/>
        <w:jc w:val="left"/>
        <w:rPr>
          <w:rFonts w:hint="eastAsia" w:ascii="宋体" w:hAnsi="宋体"/>
          <w:color w:val="000000"/>
          <w:highlight w:val="none"/>
        </w:rPr>
      </w:pPr>
      <w:r>
        <w:rPr>
          <w:rFonts w:hint="eastAsia" w:ascii="宋体" w:hAnsi="宋体"/>
          <w:color w:val="000000"/>
          <w:highlight w:val="none"/>
        </w:rPr>
        <w:t>工程保修期为：</w:t>
      </w:r>
      <w:r>
        <w:rPr>
          <w:rFonts w:hint="eastAsia" w:ascii="宋体" w:hAnsi="宋体"/>
          <w:color w:val="000000"/>
          <w:kern w:val="0"/>
          <w:highlight w:val="none"/>
          <w:u w:val="single"/>
        </w:rPr>
        <w:t>执行《建设工程质量管理条例》规定</w:t>
      </w:r>
      <w:r>
        <w:rPr>
          <w:rFonts w:hint="eastAsia" w:ascii="宋体" w:hAnsi="宋体"/>
          <w:color w:val="000000"/>
          <w:kern w:val="0"/>
          <w:highlight w:val="none"/>
        </w:rPr>
        <w:t>。</w:t>
      </w:r>
    </w:p>
    <w:p w14:paraId="41ADEDB8">
      <w:pPr>
        <w:spacing w:line="360" w:lineRule="auto"/>
        <w:ind w:firstLine="409" w:firstLineChars="195"/>
        <w:jc w:val="left"/>
        <w:rPr>
          <w:rFonts w:hint="eastAsia" w:ascii="宋体" w:hAnsi="宋体"/>
          <w:color w:val="000000"/>
          <w:highlight w:val="none"/>
        </w:rPr>
      </w:pPr>
      <w:r>
        <w:rPr>
          <w:rFonts w:hint="eastAsia" w:ascii="宋体" w:hAnsi="宋体"/>
          <w:color w:val="000000"/>
          <w:highlight w:val="none"/>
        </w:rPr>
        <w:t>工程保修书具体内容见合同附件。</w:t>
      </w:r>
    </w:p>
    <w:p w14:paraId="50834DA0">
      <w:pPr>
        <w:spacing w:line="360" w:lineRule="auto"/>
        <w:ind w:firstLine="409" w:firstLineChars="195"/>
        <w:jc w:val="left"/>
        <w:rPr>
          <w:rFonts w:ascii="宋体" w:hAnsi="宋体"/>
          <w:color w:val="000000"/>
          <w:highlight w:val="none"/>
        </w:rPr>
      </w:pPr>
      <w:r>
        <w:rPr>
          <w:rFonts w:ascii="宋体" w:hAnsi="宋体"/>
          <w:color w:val="000000"/>
          <w:highlight w:val="none"/>
        </w:rPr>
        <w:t xml:space="preserve">15.4.3 </w:t>
      </w:r>
      <w:r>
        <w:rPr>
          <w:rFonts w:hint="eastAsia" w:ascii="宋体" w:hAnsi="宋体"/>
          <w:color w:val="000000"/>
          <w:highlight w:val="none"/>
        </w:rPr>
        <w:t>修复通知</w:t>
      </w:r>
    </w:p>
    <w:p w14:paraId="2304F24D">
      <w:pPr>
        <w:spacing w:line="360" w:lineRule="auto"/>
        <w:ind w:firstLine="409" w:firstLineChars="195"/>
        <w:jc w:val="left"/>
        <w:rPr>
          <w:rFonts w:hint="eastAsia" w:ascii="宋体" w:hAnsi="宋体"/>
          <w:color w:val="000000"/>
          <w:kern w:val="0"/>
          <w:highlight w:val="none"/>
        </w:rPr>
      </w:pPr>
      <w:r>
        <w:rPr>
          <w:rFonts w:hint="eastAsia" w:ascii="宋体" w:hAnsi="宋体"/>
          <w:color w:val="000000"/>
          <w:kern w:val="0"/>
          <w:highlight w:val="none"/>
        </w:rPr>
        <w:t>承包人收到保修通知并到达工程现场的合理时间：</w:t>
      </w:r>
      <w:r>
        <w:rPr>
          <w:rFonts w:hint="eastAsia" w:ascii="宋体" w:hAnsi="宋体"/>
          <w:color w:val="000000"/>
          <w:kern w:val="0"/>
          <w:highlight w:val="none"/>
          <w:u w:val="single"/>
        </w:rPr>
        <w:t>1天内</w:t>
      </w:r>
      <w:r>
        <w:rPr>
          <w:rFonts w:hint="eastAsia" w:ascii="宋体" w:hAnsi="宋体"/>
          <w:color w:val="000000"/>
          <w:kern w:val="0"/>
          <w:highlight w:val="none"/>
        </w:rPr>
        <w:t>。</w:t>
      </w:r>
    </w:p>
    <w:p w14:paraId="1AD66075">
      <w:pPr>
        <w:pStyle w:val="7"/>
        <w:rPr>
          <w:rFonts w:ascii="宋体" w:hAnsi="宋体" w:eastAsia="宋体"/>
          <w:color w:val="000000"/>
          <w:highlight w:val="none"/>
        </w:rPr>
      </w:pPr>
      <w:bookmarkStart w:id="835" w:name="_Toc3004"/>
      <w:bookmarkStart w:id="836" w:name="_Toc108539850"/>
      <w:r>
        <w:rPr>
          <w:rFonts w:ascii="宋体" w:hAnsi="宋体" w:eastAsia="宋体"/>
          <w:color w:val="000000"/>
          <w:highlight w:val="none"/>
        </w:rPr>
        <w:t xml:space="preserve">16. </w:t>
      </w:r>
      <w:r>
        <w:rPr>
          <w:rFonts w:hint="eastAsia" w:ascii="宋体" w:hAnsi="宋体" w:eastAsia="宋体"/>
          <w:color w:val="000000"/>
          <w:highlight w:val="none"/>
        </w:rPr>
        <w:t>违约</w:t>
      </w:r>
      <w:bookmarkEnd w:id="835"/>
      <w:bookmarkEnd w:id="836"/>
    </w:p>
    <w:p w14:paraId="0EFF659E">
      <w:pPr>
        <w:pStyle w:val="8"/>
        <w:spacing w:before="0" w:after="60"/>
        <w:rPr>
          <w:rFonts w:ascii="宋体" w:hAnsi="宋体"/>
          <w:color w:val="000000"/>
          <w:highlight w:val="none"/>
        </w:rPr>
      </w:pPr>
      <w:bookmarkStart w:id="837" w:name="_Toc7113"/>
      <w:bookmarkStart w:id="838" w:name="_Toc487632767"/>
      <w:bookmarkStart w:id="839" w:name="_Toc373227767"/>
      <w:bookmarkStart w:id="840" w:name="_Toc389065332"/>
      <w:bookmarkStart w:id="841" w:name="_Toc108539851"/>
      <w:bookmarkStart w:id="842" w:name="_Toc407135270"/>
      <w:bookmarkStart w:id="843" w:name="_Toc373478414"/>
      <w:r>
        <w:rPr>
          <w:rFonts w:ascii="宋体" w:hAnsi="宋体"/>
          <w:color w:val="000000"/>
          <w:highlight w:val="none"/>
        </w:rPr>
        <w:t xml:space="preserve">16.1 </w:t>
      </w:r>
      <w:r>
        <w:rPr>
          <w:rFonts w:hint="eastAsia" w:ascii="宋体" w:hAnsi="宋体"/>
          <w:color w:val="000000"/>
          <w:highlight w:val="none"/>
        </w:rPr>
        <w:t>发包人违约</w:t>
      </w:r>
      <w:bookmarkEnd w:id="837"/>
      <w:bookmarkEnd w:id="838"/>
      <w:bookmarkEnd w:id="839"/>
      <w:bookmarkEnd w:id="840"/>
      <w:bookmarkEnd w:id="841"/>
      <w:bookmarkEnd w:id="842"/>
      <w:bookmarkEnd w:id="843"/>
    </w:p>
    <w:p w14:paraId="6706FE0A">
      <w:pPr>
        <w:spacing w:line="360" w:lineRule="auto"/>
        <w:ind w:firstLine="420" w:firstLineChars="200"/>
        <w:jc w:val="left"/>
        <w:rPr>
          <w:rFonts w:ascii="宋体" w:hAnsi="宋体"/>
          <w:color w:val="000000"/>
          <w:highlight w:val="none"/>
        </w:rPr>
      </w:pPr>
      <w:r>
        <w:rPr>
          <w:rFonts w:ascii="宋体" w:hAnsi="宋体"/>
          <w:color w:val="000000"/>
          <w:highlight w:val="none"/>
        </w:rPr>
        <w:t>16.1.1</w:t>
      </w:r>
      <w:r>
        <w:rPr>
          <w:rFonts w:hint="eastAsia" w:ascii="宋体" w:hAnsi="宋体"/>
          <w:color w:val="000000"/>
          <w:highlight w:val="none"/>
        </w:rPr>
        <w:t>发包人违约的情形</w:t>
      </w:r>
    </w:p>
    <w:p w14:paraId="3667ADF2">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发包人违约的其他情形：</w:t>
      </w:r>
      <w:r>
        <w:rPr>
          <w:rFonts w:hint="eastAsia" w:ascii="宋体" w:hAnsi="宋体"/>
          <w:color w:val="000000"/>
          <w:highlight w:val="none"/>
          <w:u w:val="single"/>
        </w:rPr>
        <w:t>按通用条款执行</w:t>
      </w:r>
      <w:r>
        <w:rPr>
          <w:rFonts w:hint="eastAsia" w:ascii="宋体" w:hAnsi="宋体"/>
          <w:color w:val="000000"/>
          <w:kern w:val="0"/>
          <w:highlight w:val="none"/>
        </w:rPr>
        <w:t>。</w:t>
      </w:r>
    </w:p>
    <w:p w14:paraId="3A637BC0">
      <w:pPr>
        <w:spacing w:line="360" w:lineRule="auto"/>
        <w:ind w:firstLine="420" w:firstLineChars="200"/>
        <w:jc w:val="left"/>
        <w:outlineLvl w:val="0"/>
        <w:rPr>
          <w:rFonts w:ascii="宋体" w:hAnsi="宋体"/>
          <w:color w:val="000000"/>
          <w:kern w:val="0"/>
          <w:highlight w:val="none"/>
        </w:rPr>
      </w:pPr>
      <w:bookmarkStart w:id="844" w:name="_Toc27026"/>
      <w:bookmarkStart w:id="845" w:name="_Toc108539852"/>
      <w:bookmarkStart w:id="846" w:name="_Toc8888"/>
      <w:r>
        <w:rPr>
          <w:rFonts w:ascii="宋体" w:hAnsi="宋体"/>
          <w:color w:val="000000"/>
          <w:kern w:val="0"/>
          <w:highlight w:val="none"/>
        </w:rPr>
        <w:t xml:space="preserve">16.1.2 </w:t>
      </w:r>
      <w:r>
        <w:rPr>
          <w:rFonts w:hint="eastAsia" w:ascii="宋体" w:hAnsi="宋体"/>
          <w:color w:val="000000"/>
          <w:kern w:val="0"/>
          <w:highlight w:val="none"/>
        </w:rPr>
        <w:t>发包人违约的责任</w:t>
      </w:r>
      <w:bookmarkEnd w:id="844"/>
      <w:bookmarkEnd w:id="845"/>
      <w:bookmarkEnd w:id="846"/>
    </w:p>
    <w:p w14:paraId="28CA8502">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发包人违约责任的承担方式和计算方法：</w:t>
      </w:r>
    </w:p>
    <w:p w14:paraId="2FC70C5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）因发包人原因未能在计划开工日期前</w:t>
      </w:r>
      <w:r>
        <w:rPr>
          <w:rFonts w:ascii="宋体" w:hAnsi="宋体"/>
          <w:color w:val="000000"/>
          <w:kern w:val="0"/>
          <w:highlight w:val="none"/>
        </w:rPr>
        <w:t>7</w:t>
      </w:r>
      <w:r>
        <w:rPr>
          <w:rFonts w:hint="eastAsia" w:ascii="宋体" w:hAnsi="宋体"/>
          <w:color w:val="000000"/>
          <w:kern w:val="0"/>
          <w:highlight w:val="none"/>
        </w:rPr>
        <w:t>天内下达开工通知的违约责任：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ascii="宋体" w:hAnsi="宋体"/>
          <w:color w:val="000000"/>
          <w:kern w:val="0"/>
          <w:highlight w:val="none"/>
        </w:rPr>
        <w:t>。</w:t>
      </w:r>
    </w:p>
    <w:p w14:paraId="77E843DC">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）因发包人原因未能按合同约定支付合同价款的违约责任：</w:t>
      </w:r>
      <w:r>
        <w:rPr>
          <w:rFonts w:hint="eastAsia" w:ascii="宋体" w:hAnsi="宋体"/>
          <w:color w:val="000000"/>
          <w:kern w:val="0"/>
          <w:highlight w:val="none"/>
          <w:u w:val="single"/>
        </w:rPr>
        <w:t>无故逾期验收或办理合同款支付手续的，甲方应按逾期付款总额每日万分之二向乙方支付违约金</w:t>
      </w:r>
      <w:r>
        <w:rPr>
          <w:rFonts w:hint="eastAsia" w:ascii="宋体" w:hAnsi="宋体"/>
          <w:color w:val="000000"/>
          <w:kern w:val="0"/>
          <w:highlight w:val="none"/>
        </w:rPr>
        <w:t>。</w:t>
      </w:r>
    </w:p>
    <w:p w14:paraId="77C85A8A">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）发包人违反第</w:t>
      </w:r>
      <w:r>
        <w:rPr>
          <w:rFonts w:ascii="宋体" w:hAnsi="宋体"/>
          <w:color w:val="000000"/>
          <w:kern w:val="0"/>
          <w:highlight w:val="none"/>
        </w:rPr>
        <w:t>10.1</w:t>
      </w:r>
      <w:r>
        <w:rPr>
          <w:rFonts w:hint="eastAsia" w:ascii="宋体" w:hAnsi="宋体"/>
          <w:color w:val="000000"/>
          <w:kern w:val="0"/>
          <w:highlight w:val="none"/>
        </w:rPr>
        <w:t>款〔变更的范围〕第（</w:t>
      </w:r>
      <w:r>
        <w:rPr>
          <w:rFonts w:ascii="宋体" w:hAnsi="宋体"/>
          <w:color w:val="000000"/>
          <w:kern w:val="0"/>
          <w:highlight w:val="none"/>
        </w:rPr>
        <w:t>2</w:t>
      </w:r>
      <w:r>
        <w:rPr>
          <w:rFonts w:hint="eastAsia" w:ascii="宋体" w:hAnsi="宋体"/>
          <w:color w:val="000000"/>
          <w:kern w:val="0"/>
          <w:highlight w:val="none"/>
        </w:rPr>
        <w:t>）项约定，自行实施被取消的工作或转由他人实施的违约责任：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ascii="宋体" w:hAnsi="宋体"/>
          <w:color w:val="000000"/>
          <w:kern w:val="0"/>
          <w:highlight w:val="none"/>
        </w:rPr>
        <w:t>。</w:t>
      </w:r>
    </w:p>
    <w:p w14:paraId="6B39800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4</w:t>
      </w:r>
      <w:r>
        <w:rPr>
          <w:rFonts w:hint="eastAsia" w:ascii="宋体" w:hAnsi="宋体"/>
          <w:color w:val="000000"/>
          <w:kern w:val="0"/>
          <w:highlight w:val="none"/>
        </w:rPr>
        <w:t>）发包人提供的材料、工程设备的规格、数量或质量不符合合同约定，或因发包人原因导致交货日期延误或交货地点变更等情况的违约责任：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hAnsi="宋体"/>
          <w:color w:val="000000"/>
          <w:kern w:val="0"/>
          <w:highlight w:val="none"/>
        </w:rPr>
        <w:t>。</w:t>
      </w:r>
    </w:p>
    <w:p w14:paraId="161D3588">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5</w:t>
      </w:r>
      <w:r>
        <w:rPr>
          <w:rFonts w:hint="eastAsia" w:ascii="宋体" w:hAnsi="宋体"/>
          <w:color w:val="000000"/>
          <w:kern w:val="0"/>
          <w:highlight w:val="none"/>
        </w:rPr>
        <w:t>）因发包人违反合同约定造成暂停施工的违约责任：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hAnsi="宋体"/>
          <w:color w:val="000000"/>
          <w:kern w:val="0"/>
          <w:highlight w:val="none"/>
        </w:rPr>
        <w:t>。</w:t>
      </w:r>
    </w:p>
    <w:p w14:paraId="700B5815">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）发包人无正当理由没有在约定期限内发出复工指示，导致承包人无法复工的违约责任：。</w:t>
      </w:r>
    </w:p>
    <w:p w14:paraId="609B43BA">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7</w:t>
      </w:r>
      <w:r>
        <w:rPr>
          <w:rFonts w:hint="eastAsia" w:ascii="宋体" w:hAnsi="宋体"/>
          <w:color w:val="000000"/>
          <w:kern w:val="0"/>
          <w:highlight w:val="none"/>
        </w:rPr>
        <w:t>）其他：</w:t>
      </w:r>
      <w:r>
        <w:rPr>
          <w:rFonts w:hint="eastAsia" w:hAnsi="宋体"/>
          <w:color w:val="000000"/>
          <w:kern w:val="0"/>
          <w:highlight w:val="none"/>
          <w:u w:val="single"/>
        </w:rPr>
        <w:t xml:space="preserve">   无   </w:t>
      </w:r>
      <w:r>
        <w:rPr>
          <w:rFonts w:hint="eastAsia" w:hAnsi="宋体"/>
          <w:color w:val="000000"/>
          <w:kern w:val="0"/>
          <w:highlight w:val="none"/>
        </w:rPr>
        <w:t>。</w:t>
      </w:r>
    </w:p>
    <w:p w14:paraId="488D33A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16.1.3 </w:t>
      </w:r>
      <w:r>
        <w:rPr>
          <w:rFonts w:hint="eastAsia" w:ascii="宋体" w:hAnsi="宋体"/>
          <w:color w:val="000000"/>
          <w:highlight w:val="none"/>
        </w:rPr>
        <w:t>因发包人违约解除合同</w:t>
      </w:r>
    </w:p>
    <w:p w14:paraId="1B179646">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承包人按</w:t>
      </w:r>
      <w:r>
        <w:rPr>
          <w:rFonts w:ascii="宋体" w:hAnsi="宋体"/>
          <w:color w:val="000000"/>
          <w:kern w:val="0"/>
          <w:highlight w:val="none"/>
        </w:rPr>
        <w:t>16.1.1</w:t>
      </w:r>
      <w:r>
        <w:rPr>
          <w:rFonts w:hint="eastAsia" w:ascii="宋体" w:hAnsi="宋体"/>
          <w:color w:val="000000"/>
          <w:kern w:val="0"/>
          <w:highlight w:val="none"/>
        </w:rPr>
        <w:t>项〔发包人违约的情形〕约定暂停施工满天后发包人仍不纠正其违约行为并致使合同目的不能实现的，承包人有权解除合同。</w:t>
      </w:r>
    </w:p>
    <w:p w14:paraId="36C34A51">
      <w:pPr>
        <w:pStyle w:val="8"/>
        <w:spacing w:before="0" w:after="60"/>
        <w:rPr>
          <w:rFonts w:ascii="宋体" w:hAnsi="宋体"/>
          <w:color w:val="000000"/>
          <w:highlight w:val="none"/>
        </w:rPr>
      </w:pPr>
      <w:bookmarkStart w:id="847" w:name="_Toc373227768"/>
      <w:bookmarkStart w:id="848" w:name="_Toc108539853"/>
      <w:bookmarkStart w:id="849" w:name="_Toc1304"/>
      <w:bookmarkStart w:id="850" w:name="_Toc487632768"/>
      <w:bookmarkStart w:id="851" w:name="_Toc389065333"/>
      <w:bookmarkStart w:id="852" w:name="_Toc373478415"/>
      <w:bookmarkStart w:id="853" w:name="_Toc407135271"/>
      <w:r>
        <w:rPr>
          <w:rFonts w:ascii="宋体" w:hAnsi="宋体"/>
          <w:color w:val="000000"/>
          <w:highlight w:val="none"/>
        </w:rPr>
        <w:t xml:space="preserve">16.2 </w:t>
      </w:r>
      <w:r>
        <w:rPr>
          <w:rFonts w:hint="eastAsia" w:ascii="宋体" w:hAnsi="宋体"/>
          <w:color w:val="000000"/>
          <w:highlight w:val="none"/>
        </w:rPr>
        <w:t>承包人违约</w:t>
      </w:r>
      <w:bookmarkEnd w:id="847"/>
      <w:bookmarkEnd w:id="848"/>
      <w:bookmarkEnd w:id="849"/>
      <w:bookmarkEnd w:id="850"/>
      <w:bookmarkEnd w:id="851"/>
      <w:bookmarkEnd w:id="852"/>
      <w:bookmarkEnd w:id="853"/>
    </w:p>
    <w:p w14:paraId="54D2AC6D">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16.2.1 </w:t>
      </w:r>
      <w:r>
        <w:rPr>
          <w:rFonts w:hint="eastAsia" w:ascii="宋体" w:hAnsi="宋体"/>
          <w:color w:val="000000"/>
          <w:kern w:val="0"/>
          <w:highlight w:val="none"/>
        </w:rPr>
        <w:t>承包人违约的情形</w:t>
      </w:r>
    </w:p>
    <w:p w14:paraId="0E1D59F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承包人违约的其他情形：</w:t>
      </w:r>
      <w:r>
        <w:rPr>
          <w:rFonts w:hint="eastAsia" w:ascii="宋体" w:hAnsi="宋体"/>
          <w:color w:val="000000"/>
          <w:kern w:val="0"/>
          <w:highlight w:val="none"/>
          <w:u w:val="single"/>
        </w:rPr>
        <w:t>非承包人原因发生的工程事故，承包人不积极采取措施，导致经济损失扩大</w:t>
      </w:r>
      <w:r>
        <w:rPr>
          <w:rFonts w:hint="eastAsia" w:ascii="宋体" w:hAnsi="宋体"/>
          <w:color w:val="000000"/>
          <w:kern w:val="0"/>
          <w:highlight w:val="none"/>
        </w:rPr>
        <w:t>。</w:t>
      </w:r>
    </w:p>
    <w:p w14:paraId="75256642">
      <w:pPr>
        <w:spacing w:line="360" w:lineRule="auto"/>
        <w:ind w:firstLine="420" w:firstLineChars="200"/>
        <w:jc w:val="left"/>
        <w:outlineLvl w:val="0"/>
        <w:rPr>
          <w:rFonts w:ascii="宋体" w:hAnsi="宋体"/>
          <w:color w:val="000000"/>
          <w:kern w:val="0"/>
          <w:highlight w:val="none"/>
        </w:rPr>
      </w:pPr>
      <w:bookmarkStart w:id="854" w:name="_Toc108539854"/>
      <w:bookmarkStart w:id="855" w:name="_Toc26582"/>
      <w:bookmarkStart w:id="856" w:name="_Toc936"/>
      <w:r>
        <w:rPr>
          <w:rFonts w:ascii="宋体" w:hAnsi="宋体"/>
          <w:color w:val="000000"/>
          <w:kern w:val="0"/>
          <w:highlight w:val="none"/>
        </w:rPr>
        <w:t>16.2.2</w:t>
      </w:r>
      <w:r>
        <w:rPr>
          <w:rFonts w:hint="eastAsia" w:ascii="宋体" w:hAnsi="宋体"/>
          <w:color w:val="000000"/>
          <w:kern w:val="0"/>
          <w:highlight w:val="none"/>
        </w:rPr>
        <w:t>承包人违约的责任</w:t>
      </w:r>
      <w:bookmarkEnd w:id="854"/>
      <w:bookmarkEnd w:id="855"/>
      <w:bookmarkEnd w:id="856"/>
    </w:p>
    <w:p w14:paraId="10E9083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承包人违约责任的承担方式和计算方法：</w:t>
      </w:r>
    </w:p>
    <w:p w14:paraId="6F845CD7">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）承包人未按本合同通用条款第</w:t>
      </w:r>
      <w:r>
        <w:rPr>
          <w:rFonts w:ascii="宋体" w:hAnsi="宋体"/>
          <w:color w:val="000000"/>
          <w:kern w:val="0"/>
          <w:highlight w:val="none"/>
        </w:rPr>
        <w:t>16.2.1</w:t>
      </w: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）条内容完成的，承包人无条件返工处理，修复至工程质量要求并承担相关费用，并在发包人规定的时间内完成返工，否则发包人有权扣罚该分项工程2</w:t>
      </w:r>
      <w:r>
        <w:rPr>
          <w:rFonts w:ascii="宋体" w:hAnsi="宋体"/>
          <w:color w:val="000000"/>
          <w:kern w:val="0"/>
          <w:highlight w:val="none"/>
        </w:rPr>
        <w:t>%</w:t>
      </w:r>
      <w:r>
        <w:rPr>
          <w:rFonts w:hint="eastAsia" w:ascii="宋体" w:hAnsi="宋体"/>
          <w:color w:val="000000"/>
          <w:kern w:val="0"/>
          <w:highlight w:val="none"/>
        </w:rPr>
        <w:t>的工程款作为处罚。</w:t>
      </w:r>
    </w:p>
    <w:p w14:paraId="61737BC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）承包人有本合同通用条款第</w:t>
      </w:r>
      <w:r>
        <w:rPr>
          <w:rFonts w:ascii="宋体" w:hAnsi="宋体"/>
          <w:color w:val="000000"/>
          <w:kern w:val="0"/>
          <w:highlight w:val="none"/>
        </w:rPr>
        <w:t>16.2.1</w:t>
      </w: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）条情形的，或经监理人检验认为修复质量不合格而承包人拒绝再进行修补的，发包人有权从余下工程款中扣除并要求承包人承担赔偿责任。</w:t>
      </w:r>
    </w:p>
    <w:p w14:paraId="379FEDDA">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）承包人有本专用合同条款</w:t>
      </w:r>
      <w:r>
        <w:rPr>
          <w:rFonts w:ascii="宋体" w:hAnsi="宋体"/>
          <w:color w:val="000000"/>
          <w:kern w:val="0"/>
          <w:highlight w:val="none"/>
        </w:rPr>
        <w:t>3.2</w:t>
      </w:r>
      <w:r>
        <w:rPr>
          <w:rFonts w:hint="eastAsia" w:ascii="宋体" w:hAnsi="宋体"/>
          <w:color w:val="000000"/>
          <w:kern w:val="0"/>
          <w:highlight w:val="none"/>
        </w:rPr>
        <w:t>、</w:t>
      </w:r>
      <w:r>
        <w:rPr>
          <w:rFonts w:ascii="宋体" w:hAnsi="宋体"/>
          <w:color w:val="000000"/>
          <w:kern w:val="0"/>
          <w:highlight w:val="none"/>
        </w:rPr>
        <w:t>3.3</w:t>
      </w:r>
      <w:r>
        <w:rPr>
          <w:rFonts w:hint="eastAsia" w:ascii="宋体" w:hAnsi="宋体"/>
          <w:color w:val="000000"/>
          <w:kern w:val="0"/>
          <w:highlight w:val="none"/>
        </w:rPr>
        <w:t>条违约责任的，发包人有权扣除承包人的违约金。违约金金额均在余下工程款中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2C53DE1A">
      <w:pPr>
        <w:pStyle w:val="33"/>
        <w:spacing w:line="360" w:lineRule="auto"/>
        <w:rPr>
          <w:rFonts w:hint="eastAsia" w:ascii="宋体" w:hAnsi="宋体"/>
          <w:color w:val="000000"/>
          <w:kern w:val="0"/>
          <w:highlight w:val="none"/>
        </w:rPr>
      </w:pPr>
      <w:r>
        <w:rPr>
          <w:rFonts w:hint="eastAsia" w:ascii="宋体" w:hAnsi="宋体"/>
          <w:color w:val="000000"/>
          <w:kern w:val="0"/>
          <w:highlight w:val="none"/>
        </w:rPr>
        <w:t>（4）承包人有本专用合同条款</w:t>
      </w:r>
      <w:r>
        <w:rPr>
          <w:rFonts w:ascii="宋体" w:hAnsi="宋体"/>
          <w:color w:val="000000"/>
          <w:kern w:val="0"/>
          <w:highlight w:val="none"/>
        </w:rPr>
        <w:t>3.3</w:t>
      </w:r>
      <w:r>
        <w:rPr>
          <w:rFonts w:hint="eastAsia" w:ascii="宋体" w:hAnsi="宋体"/>
          <w:color w:val="000000"/>
          <w:kern w:val="0"/>
          <w:highlight w:val="none"/>
        </w:rPr>
        <w:t>条违约责任，并导致发包人涉诉的，除违约金外，发包人因此而支出及可能承担的诉讼费、人工费、律师费等一切费用均由承包人承担</w:t>
      </w:r>
    </w:p>
    <w:p w14:paraId="0E0641AE">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16.2.3 </w:t>
      </w:r>
      <w:r>
        <w:rPr>
          <w:rFonts w:hint="eastAsia" w:ascii="宋体" w:hAnsi="宋体"/>
          <w:color w:val="000000"/>
          <w:highlight w:val="none"/>
        </w:rPr>
        <w:t>因承包人违约解除合同</w:t>
      </w:r>
    </w:p>
    <w:p w14:paraId="1402709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关于承包人违约解除合同的特别约定：</w:t>
      </w:r>
      <w:r>
        <w:rPr>
          <w:rFonts w:hint="eastAsia" w:ascii="宋体" w:hAnsi="宋体"/>
          <w:color w:val="000000"/>
          <w:kern w:val="0"/>
          <w:highlight w:val="none"/>
          <w:u w:val="single"/>
        </w:rPr>
        <w:t>承包人有违反以下情况之一的，发包人有权解除合同，并没收其全部余下工程款</w:t>
      </w:r>
      <w:r>
        <w:rPr>
          <w:rFonts w:hint="eastAsia" w:ascii="宋体" w:hAnsi="宋体"/>
          <w:color w:val="000000"/>
          <w:kern w:val="0"/>
          <w:highlight w:val="none"/>
        </w:rPr>
        <w:t>。</w:t>
      </w:r>
    </w:p>
    <w:p w14:paraId="355F2520">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(1)</w:t>
      </w:r>
      <w:r>
        <w:rPr>
          <w:rFonts w:hint="eastAsia" w:ascii="宋体" w:hAnsi="宋体"/>
          <w:color w:val="000000"/>
          <w:kern w:val="0"/>
          <w:highlight w:val="none"/>
        </w:rPr>
        <w:t>承包人无正当理由不按开工通知的要求及时进场组织施工和不按签订协议书时商定的进度计划有效地开展施工准备，造成工期延误的；</w:t>
      </w:r>
    </w:p>
    <w:p w14:paraId="403F7EA2">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(2)</w:t>
      </w:r>
      <w:r>
        <w:rPr>
          <w:rFonts w:hint="eastAsia" w:ascii="宋体" w:hAnsi="宋体"/>
          <w:color w:val="000000"/>
          <w:kern w:val="0"/>
          <w:highlight w:val="none"/>
        </w:rPr>
        <w:t>承包人违反本合同通用条款第</w:t>
      </w:r>
      <w:r>
        <w:rPr>
          <w:rFonts w:ascii="宋体" w:hAnsi="宋体"/>
          <w:color w:val="000000"/>
          <w:kern w:val="0"/>
          <w:highlight w:val="none"/>
        </w:rPr>
        <w:t>3.5</w:t>
      </w:r>
      <w:r>
        <w:rPr>
          <w:rFonts w:hint="eastAsia" w:ascii="宋体" w:hAnsi="宋体"/>
          <w:color w:val="000000"/>
          <w:kern w:val="0"/>
          <w:highlight w:val="none"/>
        </w:rPr>
        <w:t>条规定私自将合同或合同的任何部分或任何权利转让给其他人，或私自将工程或工程的一部分分包出去的；</w:t>
      </w:r>
    </w:p>
    <w:p w14:paraId="18960E14">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(3)</w:t>
      </w:r>
      <w:r>
        <w:rPr>
          <w:rFonts w:hint="eastAsia" w:ascii="宋体" w:hAnsi="宋体"/>
          <w:color w:val="000000"/>
          <w:kern w:val="0"/>
          <w:highlight w:val="none"/>
        </w:rPr>
        <w:t>未经监理人批准，承包人私自将已按响应文件承诺进入工地的工程设备、施工设备、临时工程或材料撤离工地的；</w:t>
      </w:r>
    </w:p>
    <w:p w14:paraId="680DFD4E">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(4)</w:t>
      </w:r>
      <w:r>
        <w:rPr>
          <w:rFonts w:hint="eastAsia" w:ascii="宋体" w:hAnsi="宋体"/>
          <w:color w:val="000000"/>
          <w:kern w:val="0"/>
          <w:highlight w:val="none"/>
        </w:rPr>
        <w:t>由于承包人原因拒绝按合同进度计划及时完成合同规定的工程，而又未采取有效措施赶上进度，造成工期严重延误的；</w:t>
      </w:r>
    </w:p>
    <w:p w14:paraId="4079A5E0">
      <w:pPr>
        <w:spacing w:line="360" w:lineRule="auto"/>
        <w:ind w:firstLine="420" w:firstLineChars="200"/>
        <w:rPr>
          <w:rFonts w:ascii="宋体" w:hAnsi="宋体"/>
          <w:color w:val="000000"/>
          <w:kern w:val="0"/>
          <w:highlight w:val="none"/>
        </w:rPr>
      </w:pPr>
      <w:r>
        <w:rPr>
          <w:rFonts w:ascii="宋体" w:hAnsi="宋体"/>
          <w:color w:val="000000"/>
          <w:kern w:val="0"/>
          <w:highlight w:val="none"/>
        </w:rPr>
        <w:t>(5)</w:t>
      </w:r>
      <w:r>
        <w:rPr>
          <w:rFonts w:hint="eastAsia" w:ascii="宋体" w:hAnsi="宋体"/>
          <w:color w:val="000000"/>
          <w:kern w:val="0"/>
          <w:highlight w:val="none"/>
        </w:rPr>
        <w:t>承包人否认合同有效或拒绝履行合同规定的承包人义务，或由于法律、财务等原因导致承包人无法继续履行或实质上已停止履行合同的义务的；</w:t>
      </w:r>
    </w:p>
    <w:p w14:paraId="315AA52D">
      <w:pPr>
        <w:spacing w:line="360" w:lineRule="auto"/>
        <w:ind w:firstLine="420" w:firstLineChars="200"/>
        <w:rPr>
          <w:rFonts w:ascii="宋体" w:hAnsi="宋体"/>
          <w:color w:val="000000"/>
          <w:kern w:val="0"/>
          <w:highlight w:val="none"/>
        </w:rPr>
      </w:pPr>
      <w:r>
        <w:rPr>
          <w:rFonts w:ascii="宋体" w:hAnsi="宋体"/>
          <w:color w:val="000000"/>
          <w:kern w:val="0"/>
          <w:highlight w:val="none"/>
        </w:rPr>
        <w:t>(6)</w:t>
      </w:r>
      <w:r>
        <w:rPr>
          <w:rFonts w:hint="eastAsia" w:ascii="宋体" w:hAnsi="宋体"/>
          <w:color w:val="000000"/>
          <w:kern w:val="0"/>
          <w:highlight w:val="none"/>
        </w:rPr>
        <w:t>合同签订之日起十五日内，承包人无法按合同规定及响应文件的承诺进场经监理工程师认可的全部人员和机械的。</w:t>
      </w:r>
    </w:p>
    <w:p w14:paraId="7952C45A">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发包人继续使用承包人在施工现场的材料、设备、临时工程、承包人文件和由承包人或以其名义编制的其他文件的费用承担方式：</w:t>
      </w:r>
      <w:r>
        <w:rPr>
          <w:rFonts w:hint="eastAsia" w:ascii="宋体" w:hAnsi="宋体"/>
          <w:color w:val="000000"/>
          <w:kern w:val="0"/>
          <w:highlight w:val="none"/>
          <w:u w:val="single"/>
        </w:rPr>
        <w:t>费用另行约定，由发包人承担</w:t>
      </w:r>
      <w:r>
        <w:rPr>
          <w:rFonts w:hint="eastAsia" w:ascii="宋体" w:hAnsi="宋体"/>
          <w:color w:val="000000"/>
          <w:kern w:val="0"/>
          <w:highlight w:val="none"/>
        </w:rPr>
        <w:t>。</w:t>
      </w:r>
    </w:p>
    <w:p w14:paraId="53E69864">
      <w:pPr>
        <w:pStyle w:val="7"/>
        <w:rPr>
          <w:rFonts w:ascii="宋体" w:hAnsi="宋体" w:eastAsia="宋体"/>
          <w:color w:val="000000"/>
          <w:highlight w:val="none"/>
        </w:rPr>
      </w:pPr>
      <w:bookmarkStart w:id="857" w:name="_Toc487632769"/>
      <w:bookmarkStart w:id="858" w:name="_Toc373478416"/>
      <w:bookmarkStart w:id="859" w:name="_Toc5085"/>
      <w:bookmarkStart w:id="860" w:name="_Toc108539855"/>
      <w:bookmarkStart w:id="861" w:name="_Toc351203649"/>
      <w:bookmarkStart w:id="862" w:name="_Toc373227769"/>
      <w:bookmarkStart w:id="863" w:name="_Toc407135272"/>
      <w:bookmarkStart w:id="864" w:name="_Toc389065334"/>
      <w:r>
        <w:rPr>
          <w:rFonts w:ascii="宋体" w:hAnsi="宋体" w:eastAsia="宋体"/>
          <w:color w:val="000000"/>
          <w:highlight w:val="none"/>
        </w:rPr>
        <w:t xml:space="preserve">17. </w:t>
      </w:r>
      <w:r>
        <w:rPr>
          <w:rFonts w:hint="eastAsia" w:ascii="宋体" w:hAnsi="宋体" w:eastAsia="宋体"/>
          <w:color w:val="000000"/>
          <w:highlight w:val="none"/>
        </w:rPr>
        <w:t>不可抗力</w:t>
      </w:r>
      <w:bookmarkEnd w:id="857"/>
      <w:bookmarkEnd w:id="858"/>
      <w:bookmarkEnd w:id="859"/>
      <w:bookmarkEnd w:id="860"/>
      <w:bookmarkEnd w:id="861"/>
      <w:bookmarkEnd w:id="862"/>
      <w:bookmarkEnd w:id="863"/>
      <w:bookmarkEnd w:id="864"/>
    </w:p>
    <w:p w14:paraId="3B2D31F1">
      <w:pPr>
        <w:pStyle w:val="8"/>
        <w:spacing w:after="60"/>
        <w:rPr>
          <w:rFonts w:ascii="宋体" w:hAnsi="宋体"/>
          <w:color w:val="000000"/>
          <w:highlight w:val="none"/>
        </w:rPr>
      </w:pPr>
      <w:bookmarkStart w:id="865" w:name="_Toc373227770"/>
      <w:bookmarkStart w:id="866" w:name="_Toc373478417"/>
      <w:bookmarkStart w:id="867" w:name="_Toc407135273"/>
      <w:bookmarkStart w:id="868" w:name="_Toc487632770"/>
      <w:bookmarkStart w:id="869" w:name="_Toc108539856"/>
      <w:bookmarkStart w:id="870" w:name="_Toc30323"/>
      <w:bookmarkStart w:id="871" w:name="_Toc389065335"/>
      <w:r>
        <w:rPr>
          <w:rFonts w:ascii="宋体" w:hAnsi="宋体"/>
          <w:color w:val="000000"/>
          <w:highlight w:val="none"/>
        </w:rPr>
        <w:t xml:space="preserve">17.1 </w:t>
      </w:r>
      <w:r>
        <w:rPr>
          <w:rFonts w:hint="eastAsia" w:ascii="宋体" w:hAnsi="宋体"/>
          <w:color w:val="000000"/>
          <w:highlight w:val="none"/>
        </w:rPr>
        <w:t>不可抗力的确认</w:t>
      </w:r>
      <w:bookmarkEnd w:id="865"/>
      <w:bookmarkEnd w:id="866"/>
      <w:bookmarkEnd w:id="867"/>
      <w:bookmarkEnd w:id="868"/>
      <w:bookmarkEnd w:id="869"/>
      <w:bookmarkEnd w:id="870"/>
      <w:bookmarkEnd w:id="871"/>
    </w:p>
    <w:p w14:paraId="04A183A4">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除通用合同条款约定的不可抗力事件之外，视为不可抗力的其他情形：</w:t>
      </w:r>
      <w:r>
        <w:rPr>
          <w:rFonts w:hint="eastAsia" w:ascii="宋体" w:hAnsi="宋体"/>
          <w:color w:val="000000"/>
          <w:highlight w:val="none"/>
          <w:lang w:val="en-US" w:eastAsia="zh-CN"/>
        </w:rPr>
        <w:t>施工现场场地问题未明确、施工地点村民阻拦等原因</w:t>
      </w:r>
      <w:r>
        <w:rPr>
          <w:rFonts w:hint="eastAsia" w:ascii="宋体" w:hAnsi="宋体"/>
          <w:color w:val="000000"/>
          <w:highlight w:val="none"/>
        </w:rPr>
        <w:t>。</w:t>
      </w:r>
    </w:p>
    <w:p w14:paraId="091F976F">
      <w:pPr>
        <w:pStyle w:val="8"/>
        <w:spacing w:after="60"/>
        <w:rPr>
          <w:rFonts w:ascii="宋体" w:hAnsi="宋体"/>
          <w:color w:val="000000"/>
          <w:highlight w:val="none"/>
        </w:rPr>
      </w:pPr>
      <w:bookmarkStart w:id="872" w:name="_Toc12387"/>
      <w:bookmarkStart w:id="873" w:name="_Toc407135274"/>
      <w:bookmarkStart w:id="874" w:name="_Toc389065336"/>
      <w:bookmarkStart w:id="875" w:name="_Toc108539857"/>
      <w:bookmarkStart w:id="876" w:name="_Toc373227771"/>
      <w:bookmarkStart w:id="877" w:name="_Toc373478418"/>
      <w:bookmarkStart w:id="878" w:name="_Toc487632771"/>
      <w:r>
        <w:rPr>
          <w:rFonts w:ascii="宋体" w:hAnsi="宋体"/>
          <w:color w:val="000000"/>
          <w:highlight w:val="none"/>
        </w:rPr>
        <w:t xml:space="preserve">17.4 </w:t>
      </w:r>
      <w:r>
        <w:rPr>
          <w:rFonts w:hint="eastAsia" w:ascii="宋体" w:hAnsi="宋体"/>
          <w:color w:val="000000"/>
          <w:highlight w:val="none"/>
        </w:rPr>
        <w:t>因不可抗力解除合同</w:t>
      </w:r>
      <w:bookmarkEnd w:id="872"/>
      <w:bookmarkEnd w:id="873"/>
      <w:bookmarkEnd w:id="874"/>
      <w:bookmarkEnd w:id="875"/>
      <w:bookmarkEnd w:id="876"/>
      <w:bookmarkEnd w:id="877"/>
      <w:bookmarkEnd w:id="878"/>
    </w:p>
    <w:p w14:paraId="31DD07ED">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合同解除后，发包人应在商定或确定发包人应支付款项后</w:t>
      </w:r>
      <w:r>
        <w:rPr>
          <w:rFonts w:hint="eastAsia" w:ascii="宋体" w:hAnsi="宋体"/>
          <w:color w:val="000000"/>
          <w:highlight w:val="none"/>
          <w:u w:val="single"/>
        </w:rPr>
        <w:t>15</w:t>
      </w:r>
      <w:r>
        <w:rPr>
          <w:rFonts w:hint="eastAsia" w:ascii="宋体" w:hAnsi="宋体"/>
          <w:color w:val="000000"/>
          <w:highlight w:val="none"/>
        </w:rPr>
        <w:t>天内完成款项的支付。</w:t>
      </w:r>
    </w:p>
    <w:p w14:paraId="0855D2E5">
      <w:pPr>
        <w:pStyle w:val="7"/>
        <w:spacing w:line="360" w:lineRule="auto"/>
        <w:rPr>
          <w:rFonts w:ascii="宋体" w:hAnsi="宋体" w:eastAsia="宋体"/>
          <w:color w:val="000000"/>
          <w:highlight w:val="none"/>
        </w:rPr>
      </w:pPr>
      <w:bookmarkStart w:id="879" w:name="_Toc23659"/>
      <w:bookmarkStart w:id="880" w:name="_Toc373478419"/>
      <w:bookmarkStart w:id="881" w:name="_Toc373227772"/>
      <w:bookmarkStart w:id="882" w:name="_Toc108539858"/>
      <w:bookmarkStart w:id="883" w:name="_Toc407135275"/>
      <w:bookmarkStart w:id="884" w:name="_Toc351203650"/>
      <w:bookmarkStart w:id="885" w:name="_Toc487632772"/>
      <w:bookmarkStart w:id="886" w:name="_Toc389065337"/>
      <w:r>
        <w:rPr>
          <w:rFonts w:ascii="宋体" w:hAnsi="宋体" w:eastAsia="宋体"/>
          <w:color w:val="000000"/>
          <w:highlight w:val="none"/>
        </w:rPr>
        <w:t xml:space="preserve">18. </w:t>
      </w:r>
      <w:r>
        <w:rPr>
          <w:rFonts w:hint="eastAsia" w:ascii="宋体" w:hAnsi="宋体" w:eastAsia="宋体"/>
          <w:color w:val="000000"/>
          <w:highlight w:val="none"/>
        </w:rPr>
        <w:t>保险</w:t>
      </w:r>
      <w:bookmarkEnd w:id="879"/>
      <w:bookmarkEnd w:id="880"/>
      <w:bookmarkEnd w:id="881"/>
      <w:bookmarkEnd w:id="882"/>
      <w:bookmarkEnd w:id="883"/>
      <w:bookmarkEnd w:id="884"/>
      <w:bookmarkEnd w:id="885"/>
      <w:bookmarkEnd w:id="886"/>
    </w:p>
    <w:p w14:paraId="7303D3FF">
      <w:pPr>
        <w:pStyle w:val="7"/>
        <w:spacing w:before="0" w:after="60" w:line="360" w:lineRule="auto"/>
        <w:rPr>
          <w:rFonts w:ascii="宋体" w:hAnsi="宋体" w:eastAsia="宋体"/>
          <w:color w:val="000000"/>
          <w:highlight w:val="none"/>
        </w:rPr>
      </w:pPr>
      <w:bookmarkStart w:id="887" w:name="_Toc108539859"/>
      <w:bookmarkStart w:id="888" w:name="_Toc373227773"/>
      <w:bookmarkStart w:id="889" w:name="_Toc389065338"/>
      <w:bookmarkStart w:id="890" w:name="_Toc487632773"/>
      <w:bookmarkStart w:id="891" w:name="_Toc373478420"/>
      <w:bookmarkStart w:id="892" w:name="_Toc3581"/>
      <w:bookmarkStart w:id="893" w:name="_Toc407135276"/>
      <w:r>
        <w:rPr>
          <w:rFonts w:ascii="宋体" w:hAnsi="宋体" w:eastAsia="宋体"/>
          <w:color w:val="000000"/>
          <w:highlight w:val="none"/>
        </w:rPr>
        <w:t xml:space="preserve">18.1 </w:t>
      </w:r>
      <w:r>
        <w:rPr>
          <w:rFonts w:hint="eastAsia" w:ascii="宋体" w:hAnsi="宋体" w:eastAsia="宋体"/>
          <w:color w:val="000000"/>
          <w:highlight w:val="none"/>
        </w:rPr>
        <w:t>工程保险</w:t>
      </w:r>
      <w:bookmarkEnd w:id="887"/>
      <w:bookmarkEnd w:id="888"/>
      <w:bookmarkEnd w:id="889"/>
      <w:bookmarkEnd w:id="890"/>
      <w:bookmarkEnd w:id="891"/>
      <w:bookmarkEnd w:id="892"/>
      <w:bookmarkEnd w:id="893"/>
    </w:p>
    <w:p w14:paraId="157EBF1E">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关于工程保险的特别约定：</w:t>
      </w:r>
      <w:r>
        <w:rPr>
          <w:rFonts w:hint="eastAsia" w:ascii="宋体" w:hAnsi="宋体"/>
          <w:color w:val="000000"/>
          <w:sz w:val="21"/>
          <w:szCs w:val="21"/>
          <w:highlight w:val="none"/>
          <w:u w:val="single"/>
        </w:rPr>
        <w:t>为参加本合同工程现场施工所有作业人员及管理人员，包括参加工程建设的管理人员、监理人员、施工人员（含民工）办理建筑意外伤害保险，</w:t>
      </w:r>
      <w:r>
        <w:rPr>
          <w:rFonts w:hint="eastAsia" w:ascii="宋体" w:hAnsi="宋体"/>
          <w:color w:val="000000"/>
          <w:sz w:val="21"/>
          <w:szCs w:val="21"/>
          <w:highlight w:val="none"/>
          <w:u w:val="single"/>
          <w:lang w:val="en-US" w:eastAsia="zh-CN"/>
        </w:rPr>
        <w:t>并</w:t>
      </w:r>
      <w:r>
        <w:rPr>
          <w:rFonts w:hint="eastAsia" w:ascii="宋体" w:hAnsi="宋体"/>
          <w:color w:val="000000"/>
          <w:kern w:val="0"/>
          <w:highlight w:val="none"/>
          <w:u w:val="single"/>
        </w:rPr>
        <w:t>由承包人负责并承担费用</w:t>
      </w:r>
      <w:r>
        <w:rPr>
          <w:rFonts w:hint="eastAsia" w:ascii="宋体" w:hAnsi="宋体"/>
          <w:color w:val="000000"/>
          <w:kern w:val="0"/>
          <w:highlight w:val="none"/>
        </w:rPr>
        <w:t>。</w:t>
      </w:r>
    </w:p>
    <w:p w14:paraId="31905B9C">
      <w:pPr>
        <w:pStyle w:val="8"/>
        <w:spacing w:after="60"/>
        <w:rPr>
          <w:rFonts w:ascii="宋体" w:hAnsi="宋体"/>
          <w:color w:val="000000"/>
          <w:highlight w:val="none"/>
        </w:rPr>
      </w:pPr>
      <w:bookmarkStart w:id="894" w:name="_Toc20151"/>
      <w:bookmarkStart w:id="895" w:name="_Toc487632774"/>
      <w:bookmarkStart w:id="896" w:name="_Toc108539860"/>
      <w:bookmarkStart w:id="897" w:name="_Toc389065339"/>
      <w:bookmarkStart w:id="898" w:name="_Toc407135277"/>
      <w:bookmarkStart w:id="899" w:name="_Toc373227774"/>
      <w:bookmarkStart w:id="900" w:name="_Toc373478421"/>
      <w:r>
        <w:rPr>
          <w:rFonts w:ascii="宋体" w:hAnsi="宋体"/>
          <w:color w:val="000000"/>
          <w:highlight w:val="none"/>
        </w:rPr>
        <w:t xml:space="preserve">18.3 </w:t>
      </w:r>
      <w:r>
        <w:rPr>
          <w:rFonts w:hint="eastAsia" w:ascii="宋体" w:hAnsi="宋体"/>
          <w:color w:val="000000"/>
          <w:highlight w:val="none"/>
        </w:rPr>
        <w:t>其他保险</w:t>
      </w:r>
      <w:bookmarkEnd w:id="894"/>
      <w:bookmarkEnd w:id="895"/>
      <w:bookmarkEnd w:id="896"/>
      <w:bookmarkEnd w:id="897"/>
      <w:bookmarkEnd w:id="898"/>
      <w:bookmarkEnd w:id="899"/>
      <w:bookmarkEnd w:id="900"/>
    </w:p>
    <w:p w14:paraId="2D77FC5D">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关于其他保险的约定：</w:t>
      </w:r>
      <w:r>
        <w:rPr>
          <w:rFonts w:hint="eastAsia" w:ascii="宋体" w:hAnsi="宋体"/>
          <w:color w:val="000000"/>
          <w:szCs w:val="21"/>
          <w:highlight w:val="none"/>
          <w:u w:val="single"/>
        </w:rPr>
        <w:t>① 承包人需根据国家规定购买工程保险，费用由承包人承担； ② 根据梧建函〔2023〕216号的规定，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ascii="宋体" w:hAnsi="宋体"/>
          <w:color w:val="000000"/>
          <w:highlight w:val="none"/>
        </w:rPr>
        <w:t>。</w:t>
      </w:r>
    </w:p>
    <w:p w14:paraId="5AF3BC3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承包人是否应为其施工设备等办理财产保险：</w:t>
      </w:r>
      <w:r>
        <w:rPr>
          <w:rFonts w:hint="eastAsia" w:ascii="宋体" w:hAnsi="宋体"/>
          <w:color w:val="000000"/>
          <w:highlight w:val="none"/>
          <w:u w:val="single"/>
        </w:rPr>
        <w:t>由承包人考虑并承担费用</w:t>
      </w:r>
      <w:r>
        <w:rPr>
          <w:rFonts w:hint="eastAsia" w:ascii="宋体" w:hAnsi="宋体"/>
          <w:color w:val="000000"/>
          <w:highlight w:val="none"/>
        </w:rPr>
        <w:t>。</w:t>
      </w:r>
    </w:p>
    <w:p w14:paraId="655ACC85">
      <w:pPr>
        <w:pStyle w:val="8"/>
        <w:spacing w:after="60"/>
        <w:rPr>
          <w:rFonts w:ascii="宋体" w:hAnsi="宋体"/>
          <w:color w:val="000000"/>
          <w:highlight w:val="none"/>
        </w:rPr>
      </w:pPr>
      <w:bookmarkStart w:id="901" w:name="_Toc108539861"/>
      <w:bookmarkStart w:id="902" w:name="_Toc487632775"/>
      <w:bookmarkStart w:id="903" w:name="_Toc26859"/>
      <w:bookmarkStart w:id="904" w:name="_Toc373227775"/>
      <w:bookmarkStart w:id="905" w:name="_Toc407135278"/>
      <w:bookmarkStart w:id="906" w:name="_Toc389065340"/>
      <w:bookmarkStart w:id="907" w:name="_Toc373478422"/>
      <w:r>
        <w:rPr>
          <w:rFonts w:ascii="宋体" w:hAnsi="宋体"/>
          <w:color w:val="000000"/>
          <w:highlight w:val="none"/>
        </w:rPr>
        <w:t xml:space="preserve">18.7 </w:t>
      </w:r>
      <w:r>
        <w:rPr>
          <w:rFonts w:hint="eastAsia" w:ascii="宋体" w:hAnsi="宋体"/>
          <w:color w:val="000000"/>
          <w:highlight w:val="none"/>
        </w:rPr>
        <w:t>通知义务</w:t>
      </w:r>
      <w:bookmarkEnd w:id="901"/>
      <w:bookmarkEnd w:id="902"/>
      <w:bookmarkEnd w:id="903"/>
      <w:bookmarkEnd w:id="904"/>
      <w:bookmarkEnd w:id="905"/>
      <w:bookmarkEnd w:id="906"/>
      <w:bookmarkEnd w:id="907"/>
    </w:p>
    <w:p w14:paraId="2F4B7120">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关于变更保险合同时的通知义务的约定：</w:t>
      </w:r>
      <w:r>
        <w:rPr>
          <w:rFonts w:hint="eastAsia" w:ascii="宋体" w:hAnsi="宋体"/>
          <w:color w:val="000000"/>
          <w:kern w:val="0"/>
          <w:highlight w:val="none"/>
          <w:u w:val="single"/>
        </w:rPr>
        <w:t xml:space="preserve">    /     </w:t>
      </w:r>
      <w:r>
        <w:rPr>
          <w:rFonts w:hint="eastAsia" w:ascii="宋体" w:hAnsi="宋体"/>
          <w:color w:val="000000"/>
          <w:highlight w:val="none"/>
        </w:rPr>
        <w:t>。</w:t>
      </w:r>
    </w:p>
    <w:p w14:paraId="25DCFC03">
      <w:pPr>
        <w:pStyle w:val="7"/>
        <w:spacing w:line="288" w:lineRule="auto"/>
        <w:rPr>
          <w:rFonts w:ascii="宋体" w:hAnsi="宋体" w:eastAsia="宋体"/>
          <w:color w:val="000000"/>
          <w:highlight w:val="none"/>
        </w:rPr>
      </w:pPr>
      <w:bookmarkStart w:id="908" w:name="_Toc389065341"/>
      <w:bookmarkStart w:id="909" w:name="_Toc487632776"/>
      <w:bookmarkStart w:id="910" w:name="_Toc373478423"/>
      <w:bookmarkStart w:id="911" w:name="_Toc351203651"/>
      <w:bookmarkStart w:id="912" w:name="_Toc407135279"/>
      <w:bookmarkStart w:id="913" w:name="_Toc373227776"/>
      <w:bookmarkStart w:id="914" w:name="_Toc108539862"/>
      <w:bookmarkStart w:id="915" w:name="_Toc12057"/>
      <w:r>
        <w:rPr>
          <w:rFonts w:ascii="宋体" w:hAnsi="宋体" w:eastAsia="宋体"/>
          <w:color w:val="000000"/>
          <w:highlight w:val="none"/>
        </w:rPr>
        <w:t xml:space="preserve">20. </w:t>
      </w:r>
      <w:r>
        <w:rPr>
          <w:rFonts w:hint="eastAsia" w:ascii="宋体" w:hAnsi="宋体" w:eastAsia="宋体"/>
          <w:color w:val="000000"/>
          <w:highlight w:val="none"/>
        </w:rPr>
        <w:t>争议解决</w:t>
      </w:r>
      <w:bookmarkEnd w:id="908"/>
      <w:bookmarkEnd w:id="909"/>
      <w:bookmarkEnd w:id="910"/>
      <w:bookmarkEnd w:id="911"/>
      <w:bookmarkEnd w:id="912"/>
      <w:bookmarkEnd w:id="913"/>
      <w:bookmarkEnd w:id="914"/>
      <w:bookmarkEnd w:id="915"/>
    </w:p>
    <w:p w14:paraId="4EDAAC8A">
      <w:pPr>
        <w:pStyle w:val="7"/>
        <w:spacing w:before="0" w:after="60"/>
        <w:rPr>
          <w:rFonts w:ascii="宋体" w:hAnsi="宋体" w:eastAsia="宋体"/>
          <w:color w:val="000000"/>
          <w:highlight w:val="none"/>
        </w:rPr>
      </w:pPr>
      <w:bookmarkStart w:id="916" w:name="_Toc24670"/>
      <w:bookmarkStart w:id="917" w:name="_Toc108539863"/>
      <w:bookmarkStart w:id="918" w:name="_Toc407135280"/>
      <w:bookmarkStart w:id="919" w:name="_Toc487632777"/>
      <w:bookmarkStart w:id="920" w:name="_Toc389065342"/>
      <w:bookmarkStart w:id="921" w:name="_Toc373227777"/>
      <w:bookmarkStart w:id="922" w:name="_Toc373478424"/>
      <w:r>
        <w:rPr>
          <w:rFonts w:ascii="宋体" w:hAnsi="宋体" w:eastAsia="宋体"/>
          <w:color w:val="000000"/>
          <w:highlight w:val="none"/>
        </w:rPr>
        <w:t xml:space="preserve">20.3 </w:t>
      </w:r>
      <w:r>
        <w:rPr>
          <w:rFonts w:hint="eastAsia" w:ascii="宋体" w:hAnsi="宋体" w:eastAsia="宋体"/>
          <w:color w:val="000000"/>
          <w:highlight w:val="none"/>
        </w:rPr>
        <w:t>争议评审</w:t>
      </w:r>
      <w:bookmarkEnd w:id="916"/>
      <w:bookmarkEnd w:id="917"/>
      <w:bookmarkEnd w:id="918"/>
      <w:bookmarkEnd w:id="919"/>
      <w:bookmarkEnd w:id="920"/>
      <w:bookmarkEnd w:id="921"/>
      <w:bookmarkEnd w:id="922"/>
    </w:p>
    <w:p w14:paraId="3110F4EE">
      <w:pPr>
        <w:spacing w:after="60" w:line="360" w:lineRule="auto"/>
        <w:ind w:left="149" w:leftChars="71" w:firstLine="315" w:firstLineChars="150"/>
        <w:jc w:val="left"/>
        <w:rPr>
          <w:rFonts w:hint="eastAsia" w:ascii="宋体" w:hAnsi="宋体"/>
          <w:color w:val="000000"/>
          <w:highlight w:val="none"/>
        </w:rPr>
      </w:pPr>
      <w:r>
        <w:rPr>
          <w:rFonts w:hint="eastAsia" w:ascii="宋体" w:hAnsi="宋体"/>
          <w:color w:val="000000"/>
          <w:highlight w:val="none"/>
        </w:rPr>
        <w:t>合同当事人是否同意将工程争议提交争议评审小组决定：</w:t>
      </w:r>
      <w:r>
        <w:rPr>
          <w:rFonts w:hint="eastAsia" w:ascii="宋体" w:hAnsi="宋体"/>
          <w:color w:val="000000"/>
          <w:highlight w:val="none"/>
          <w:u w:val="single"/>
        </w:rPr>
        <w:t>无</w:t>
      </w:r>
      <w:r>
        <w:rPr>
          <w:rFonts w:hint="eastAsia" w:ascii="宋体" w:hAnsi="宋体"/>
          <w:color w:val="000000"/>
          <w:highlight w:val="none"/>
        </w:rPr>
        <w:t>。</w:t>
      </w:r>
    </w:p>
    <w:p w14:paraId="6D01D8C4">
      <w:pPr>
        <w:spacing w:line="360" w:lineRule="auto"/>
        <w:ind w:firstLine="420" w:firstLineChars="200"/>
        <w:jc w:val="left"/>
        <w:outlineLvl w:val="0"/>
        <w:rPr>
          <w:rFonts w:ascii="宋体" w:hAnsi="宋体"/>
          <w:color w:val="000000"/>
          <w:highlight w:val="none"/>
        </w:rPr>
      </w:pPr>
      <w:bookmarkStart w:id="923" w:name="_Toc14992"/>
      <w:bookmarkStart w:id="924" w:name="_Toc30226"/>
      <w:bookmarkStart w:id="925" w:name="_Toc108539864"/>
      <w:r>
        <w:rPr>
          <w:rFonts w:ascii="宋体" w:hAnsi="宋体"/>
          <w:color w:val="000000"/>
          <w:highlight w:val="none"/>
        </w:rPr>
        <w:t xml:space="preserve">20.3.1 </w:t>
      </w:r>
      <w:r>
        <w:rPr>
          <w:rFonts w:hint="eastAsia" w:ascii="宋体" w:hAnsi="宋体"/>
          <w:color w:val="000000"/>
          <w:highlight w:val="none"/>
        </w:rPr>
        <w:t>争议评审小组的确定</w:t>
      </w:r>
      <w:bookmarkEnd w:id="923"/>
      <w:bookmarkEnd w:id="924"/>
      <w:bookmarkEnd w:id="925"/>
    </w:p>
    <w:p w14:paraId="536976F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争议评审小组成员的确定：</w:t>
      </w:r>
      <w:r>
        <w:rPr>
          <w:rFonts w:hint="eastAsia" w:ascii="宋体" w:hAnsi="宋体"/>
          <w:color w:val="000000"/>
          <w:highlight w:val="none"/>
          <w:u w:val="single"/>
        </w:rPr>
        <w:t>无</w:t>
      </w:r>
      <w:r>
        <w:rPr>
          <w:rFonts w:hint="eastAsia" w:ascii="宋体" w:hAnsi="宋体"/>
          <w:color w:val="000000"/>
          <w:highlight w:val="none"/>
        </w:rPr>
        <w:t>。</w:t>
      </w:r>
    </w:p>
    <w:p w14:paraId="6F3A90C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选定争议评审员的期限：</w:t>
      </w:r>
      <w:r>
        <w:rPr>
          <w:rFonts w:hint="eastAsia" w:ascii="宋体" w:hAnsi="宋体"/>
          <w:color w:val="000000"/>
          <w:highlight w:val="none"/>
          <w:u w:val="single"/>
        </w:rPr>
        <w:t>无</w:t>
      </w:r>
      <w:r>
        <w:rPr>
          <w:rFonts w:hint="eastAsia" w:ascii="宋体" w:hAnsi="宋体"/>
          <w:color w:val="000000"/>
          <w:highlight w:val="none"/>
        </w:rPr>
        <w:t>。</w:t>
      </w:r>
    </w:p>
    <w:p w14:paraId="6A5B1AB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争议评审小组成员的报酬承担方式：</w:t>
      </w:r>
      <w:r>
        <w:rPr>
          <w:rFonts w:hint="eastAsia" w:ascii="宋体" w:hAnsi="宋体"/>
          <w:color w:val="000000"/>
          <w:highlight w:val="none"/>
          <w:u w:val="single"/>
        </w:rPr>
        <w:t>无</w:t>
      </w:r>
      <w:r>
        <w:rPr>
          <w:rFonts w:hint="eastAsia" w:ascii="宋体" w:hAnsi="宋体"/>
          <w:color w:val="000000"/>
          <w:highlight w:val="none"/>
        </w:rPr>
        <w:t>。</w:t>
      </w:r>
    </w:p>
    <w:p w14:paraId="69A6287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其他事项的约定：</w:t>
      </w:r>
      <w:r>
        <w:rPr>
          <w:rFonts w:hint="eastAsia" w:ascii="宋体" w:hAnsi="宋体"/>
          <w:color w:val="000000"/>
          <w:highlight w:val="none"/>
          <w:u w:val="single"/>
        </w:rPr>
        <w:t>无</w:t>
      </w:r>
      <w:r>
        <w:rPr>
          <w:rFonts w:hint="eastAsia" w:ascii="宋体" w:hAnsi="宋体"/>
          <w:color w:val="000000"/>
          <w:highlight w:val="none"/>
        </w:rPr>
        <w:t>。</w:t>
      </w:r>
    </w:p>
    <w:p w14:paraId="21514D92">
      <w:pPr>
        <w:autoSpaceDE w:val="0"/>
        <w:autoSpaceDN w:val="0"/>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20.3.2 </w:t>
      </w:r>
      <w:r>
        <w:rPr>
          <w:rFonts w:hint="eastAsia" w:ascii="宋体" w:hAnsi="宋体"/>
          <w:color w:val="000000"/>
          <w:kern w:val="0"/>
          <w:highlight w:val="none"/>
        </w:rPr>
        <w:t>争议评审小组的决定</w:t>
      </w:r>
    </w:p>
    <w:p w14:paraId="36A8CE3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合同当事人关于本项的约定：</w:t>
      </w:r>
      <w:r>
        <w:rPr>
          <w:rFonts w:hint="eastAsia" w:ascii="宋体" w:hAnsi="宋体"/>
          <w:color w:val="000000"/>
          <w:highlight w:val="none"/>
          <w:u w:val="single"/>
        </w:rPr>
        <w:t>无</w:t>
      </w:r>
      <w:r>
        <w:rPr>
          <w:rFonts w:hint="eastAsia" w:ascii="宋体" w:hAnsi="宋体"/>
          <w:color w:val="000000"/>
          <w:highlight w:val="none"/>
        </w:rPr>
        <w:t>。</w:t>
      </w:r>
    </w:p>
    <w:p w14:paraId="364533E3">
      <w:pPr>
        <w:pStyle w:val="8"/>
        <w:spacing w:after="60"/>
        <w:rPr>
          <w:rFonts w:ascii="宋体" w:hAnsi="宋体"/>
          <w:color w:val="000000"/>
          <w:highlight w:val="none"/>
        </w:rPr>
      </w:pPr>
      <w:bookmarkStart w:id="926" w:name="_Toc373478425"/>
      <w:bookmarkStart w:id="927" w:name="_Toc487632778"/>
      <w:bookmarkStart w:id="928" w:name="_Toc13737"/>
      <w:bookmarkStart w:id="929" w:name="_Toc389065343"/>
      <w:bookmarkStart w:id="930" w:name="_Toc407135281"/>
      <w:bookmarkStart w:id="931" w:name="_Toc373227778"/>
      <w:bookmarkStart w:id="932" w:name="_Toc108539865"/>
      <w:r>
        <w:rPr>
          <w:rFonts w:ascii="宋体" w:hAnsi="宋体"/>
          <w:color w:val="000000"/>
          <w:highlight w:val="none"/>
        </w:rPr>
        <w:t xml:space="preserve">20.4 </w:t>
      </w:r>
      <w:r>
        <w:rPr>
          <w:rFonts w:hint="eastAsia" w:ascii="宋体" w:hAnsi="宋体"/>
          <w:color w:val="000000"/>
          <w:highlight w:val="none"/>
        </w:rPr>
        <w:t>仲裁或诉讼</w:t>
      </w:r>
      <w:bookmarkEnd w:id="926"/>
      <w:bookmarkEnd w:id="927"/>
      <w:bookmarkEnd w:id="928"/>
      <w:bookmarkEnd w:id="929"/>
      <w:bookmarkEnd w:id="930"/>
      <w:bookmarkEnd w:id="931"/>
      <w:bookmarkEnd w:id="932"/>
    </w:p>
    <w:p w14:paraId="358CDFE6">
      <w:pPr>
        <w:spacing w:after="60" w:line="360" w:lineRule="auto"/>
        <w:ind w:firstLine="420" w:firstLineChars="200"/>
        <w:rPr>
          <w:rFonts w:hint="eastAsia" w:ascii="宋体" w:hAnsi="宋体"/>
          <w:color w:val="000000"/>
          <w:highlight w:val="none"/>
        </w:rPr>
      </w:pPr>
      <w:r>
        <w:rPr>
          <w:rFonts w:hint="eastAsia" w:ascii="宋体" w:hAnsi="宋体"/>
          <w:color w:val="000000"/>
          <w:highlight w:val="none"/>
        </w:rPr>
        <w:t>因合同及合同有关事项发生的争议，按下列第</w:t>
      </w:r>
      <w:r>
        <w:rPr>
          <w:rFonts w:hint="eastAsia" w:ascii="宋体" w:hAnsi="宋体"/>
          <w:color w:val="000000"/>
          <w:highlight w:val="none"/>
          <w:u w:val="single"/>
        </w:rPr>
        <w:t>2</w:t>
      </w:r>
      <w:r>
        <w:rPr>
          <w:rFonts w:hint="eastAsia" w:ascii="宋体" w:hAnsi="宋体"/>
          <w:color w:val="000000"/>
          <w:highlight w:val="none"/>
        </w:rPr>
        <w:t>种方式解决：</w:t>
      </w:r>
    </w:p>
    <w:p w14:paraId="715CBD9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）提请</w:t>
      </w:r>
      <w:r>
        <w:rPr>
          <w:rFonts w:hint="eastAsia" w:ascii="宋体" w:hAnsi="宋体"/>
          <w:color w:val="000000"/>
          <w:highlight w:val="none"/>
          <w:u w:val="single"/>
        </w:rPr>
        <w:t>梧州市</w:t>
      </w:r>
      <w:r>
        <w:rPr>
          <w:rFonts w:hint="eastAsia" w:ascii="宋体" w:hAnsi="宋体"/>
          <w:color w:val="000000"/>
          <w:highlight w:val="none"/>
        </w:rPr>
        <w:t>仲裁委员会按照该会仲裁规则进行仲裁，仲裁裁决是终局的，对合同双方均有约束力。</w:t>
      </w:r>
    </w:p>
    <w:p w14:paraId="616A546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）向</w:t>
      </w:r>
      <w:r>
        <w:rPr>
          <w:rFonts w:hint="eastAsia" w:ascii="宋体" w:hAnsi="宋体"/>
          <w:color w:val="000000"/>
          <w:highlight w:val="none"/>
          <w:u w:val="single"/>
        </w:rPr>
        <w:t>工程所在地</w:t>
      </w:r>
      <w:r>
        <w:rPr>
          <w:rFonts w:hint="eastAsia" w:ascii="宋体" w:hAnsi="宋体"/>
          <w:color w:val="000000"/>
          <w:highlight w:val="none"/>
        </w:rPr>
        <w:t>人民法院起诉。</w:t>
      </w:r>
    </w:p>
    <w:p w14:paraId="493B98E6">
      <w:pPr>
        <w:pStyle w:val="7"/>
        <w:spacing w:before="0" w:after="60"/>
        <w:rPr>
          <w:rFonts w:ascii="宋体" w:hAnsi="宋体" w:eastAsia="宋体"/>
          <w:color w:val="000000"/>
          <w:highlight w:val="none"/>
        </w:rPr>
      </w:pPr>
      <w:bookmarkStart w:id="933" w:name="_Toc407135282"/>
      <w:bookmarkStart w:id="934" w:name="_Toc27720"/>
      <w:bookmarkStart w:id="935" w:name="_Toc373227779"/>
      <w:bookmarkStart w:id="936" w:name="_Toc373478426"/>
      <w:bookmarkStart w:id="937" w:name="_Toc487632779"/>
      <w:bookmarkStart w:id="938" w:name="_Toc389065344"/>
      <w:bookmarkStart w:id="939" w:name="_Toc108539866"/>
      <w:r>
        <w:rPr>
          <w:rFonts w:ascii="宋体" w:hAnsi="宋体" w:eastAsia="宋体"/>
          <w:color w:val="000000"/>
          <w:highlight w:val="none"/>
        </w:rPr>
        <w:t xml:space="preserve">21. </w:t>
      </w:r>
      <w:r>
        <w:rPr>
          <w:rFonts w:hint="eastAsia" w:ascii="宋体" w:hAnsi="宋体" w:eastAsia="宋体"/>
          <w:color w:val="000000"/>
          <w:highlight w:val="none"/>
        </w:rPr>
        <w:t>补充条款</w:t>
      </w:r>
      <w:bookmarkEnd w:id="933"/>
      <w:bookmarkEnd w:id="934"/>
      <w:bookmarkEnd w:id="935"/>
      <w:bookmarkEnd w:id="936"/>
      <w:bookmarkEnd w:id="937"/>
      <w:bookmarkEnd w:id="938"/>
      <w:bookmarkEnd w:id="939"/>
    </w:p>
    <w:p w14:paraId="41846FF4">
      <w:pPr>
        <w:spacing w:line="360" w:lineRule="auto"/>
        <w:ind w:firstLine="420"/>
        <w:rPr>
          <w:rFonts w:ascii="宋体" w:hAnsi="宋体"/>
          <w:color w:val="000000"/>
          <w:highlight w:val="none"/>
        </w:rPr>
      </w:pPr>
      <w:r>
        <w:rPr>
          <w:rFonts w:ascii="宋体" w:hAnsi="宋体"/>
          <w:color w:val="000000"/>
          <w:highlight w:val="none"/>
        </w:rPr>
        <w:t xml:space="preserve">21.1 </w:t>
      </w:r>
      <w:r>
        <w:rPr>
          <w:rFonts w:hint="eastAsia" w:ascii="宋体" w:hAnsi="宋体"/>
          <w:color w:val="000000"/>
          <w:highlight w:val="none"/>
        </w:rPr>
        <w:t>凡进入本工程工作禁止使用童工。</w:t>
      </w:r>
    </w:p>
    <w:p w14:paraId="7D4E45C4">
      <w:pPr>
        <w:spacing w:line="360" w:lineRule="auto"/>
        <w:ind w:firstLine="420"/>
        <w:rPr>
          <w:rFonts w:hint="eastAsia" w:ascii="宋体" w:hAnsi="宋体"/>
          <w:color w:val="000000"/>
          <w:highlight w:val="none"/>
        </w:rPr>
      </w:pPr>
      <w:r>
        <w:rPr>
          <w:rFonts w:hint="eastAsia" w:ascii="宋体" w:hAnsi="宋体"/>
          <w:color w:val="000000"/>
          <w:highlight w:val="none"/>
        </w:rPr>
        <w:t>21.2 本工程计税法采用：一般</w:t>
      </w:r>
      <w:r>
        <w:rPr>
          <w:rFonts w:hint="eastAsia" w:ascii="宋体" w:hAnsi="宋体"/>
          <w:color w:val="000000"/>
          <w:highlight w:val="none"/>
          <w:u w:val="single"/>
        </w:rPr>
        <w:t>计税法</w:t>
      </w:r>
    </w:p>
    <w:p w14:paraId="2B43EC74">
      <w:pPr>
        <w:spacing w:line="360" w:lineRule="auto"/>
        <w:ind w:firstLine="420"/>
        <w:rPr>
          <w:rFonts w:hint="eastAsia" w:ascii="宋体" w:hAnsi="宋体"/>
          <w:color w:val="000000"/>
          <w:highlight w:val="none"/>
        </w:rPr>
      </w:pPr>
      <w:r>
        <w:rPr>
          <w:rFonts w:hint="eastAsia" w:ascii="宋体" w:hAnsi="宋体"/>
          <w:color w:val="000000"/>
          <w:highlight w:val="none"/>
        </w:rPr>
        <w:t>21.3在施工过程中，因施工方所产生的一切安全问题及法律纠纷、费用均由施工方负责。</w:t>
      </w:r>
    </w:p>
    <w:p w14:paraId="1BEDC527">
      <w:pPr>
        <w:spacing w:line="360" w:lineRule="auto"/>
        <w:ind w:firstLine="420"/>
        <w:rPr>
          <w:rFonts w:hint="eastAsia" w:ascii="宋体" w:hAnsi="宋体"/>
          <w:color w:val="000000"/>
          <w:highlight w:val="none"/>
        </w:rPr>
      </w:pPr>
      <w:r>
        <w:rPr>
          <w:rFonts w:hint="eastAsia" w:ascii="宋体" w:hAnsi="宋体"/>
          <w:color w:val="000000"/>
          <w:highlight w:val="none"/>
        </w:rPr>
        <w:t>2</w:t>
      </w:r>
      <w:r>
        <w:rPr>
          <w:rFonts w:ascii="宋体" w:hAnsi="宋体"/>
          <w:color w:val="000000"/>
          <w:highlight w:val="none"/>
        </w:rPr>
        <w:t>1.</w:t>
      </w:r>
      <w:r>
        <w:rPr>
          <w:rFonts w:hint="eastAsia" w:ascii="宋体" w:hAnsi="宋体"/>
          <w:color w:val="000000"/>
          <w:highlight w:val="none"/>
        </w:rPr>
        <w:t>4因承包人拖欠工人（含农民工）工资造成集体上访、投诉、停工、罢工的，发包人有权暂停支付工程进度款（如有）。</w:t>
      </w:r>
    </w:p>
    <w:p w14:paraId="62BD81A8">
      <w:pPr>
        <w:spacing w:line="360" w:lineRule="auto"/>
        <w:ind w:firstLine="420"/>
        <w:rPr>
          <w:rFonts w:hint="eastAsia" w:ascii="宋体" w:hAnsi="宋体"/>
          <w:color w:val="000000"/>
          <w:highlight w:val="none"/>
        </w:rPr>
      </w:pPr>
      <w:r>
        <w:rPr>
          <w:rFonts w:hint="eastAsia" w:ascii="宋体" w:hAnsi="宋体"/>
          <w:color w:val="000000"/>
          <w:highlight w:val="none"/>
        </w:rPr>
        <w:t>2</w:t>
      </w:r>
      <w:r>
        <w:rPr>
          <w:rFonts w:ascii="宋体" w:hAnsi="宋体"/>
          <w:color w:val="000000"/>
          <w:highlight w:val="none"/>
        </w:rPr>
        <w:t>1.</w:t>
      </w:r>
      <w:r>
        <w:rPr>
          <w:rFonts w:hint="eastAsia" w:ascii="宋体" w:hAnsi="宋体"/>
          <w:color w:val="000000"/>
          <w:highlight w:val="none"/>
        </w:rPr>
        <w:t>5承包人必需按照《广西壮族自治区建筑工人实名制管理办法实施细则（试行）》的通知（桂建发〔2019〕9号）文件规定执行，提供职工（农民工）花名册给发包人，发包人以承包人提供的职工（农民工）花名册核定务工人员；如务工人员发生变应及时变更并报发包人存档（如有）。</w:t>
      </w:r>
    </w:p>
    <w:p w14:paraId="10880401">
      <w:pPr>
        <w:widowControl/>
        <w:jc w:val="left"/>
        <w:rPr>
          <w:rFonts w:ascii="宋体" w:hAnsi="宋体"/>
          <w:color w:val="000000"/>
          <w:sz w:val="32"/>
          <w:szCs w:val="32"/>
          <w:highlight w:val="none"/>
        </w:rPr>
      </w:pPr>
      <w:r>
        <w:rPr>
          <w:rFonts w:ascii="宋体" w:hAnsi="宋体"/>
          <w:color w:val="000000"/>
          <w:sz w:val="32"/>
          <w:szCs w:val="32"/>
          <w:highlight w:val="none"/>
        </w:rPr>
        <w:br w:type="page"/>
      </w:r>
    </w:p>
    <w:p w14:paraId="0D9DC4B3">
      <w:pPr>
        <w:pStyle w:val="139"/>
        <w:spacing w:before="120" w:after="120" w:line="440" w:lineRule="exact"/>
        <w:jc w:val="left"/>
        <w:rPr>
          <w:rFonts w:hint="eastAsia" w:ascii="宋体" w:hAnsi="宋体"/>
          <w:color w:val="000000"/>
          <w:sz w:val="32"/>
          <w:szCs w:val="32"/>
          <w:highlight w:val="none"/>
        </w:rPr>
      </w:pPr>
      <w:r>
        <w:rPr>
          <w:rFonts w:hint="eastAsia" w:ascii="宋体" w:hAnsi="宋体"/>
          <w:color w:val="000000"/>
          <w:sz w:val="32"/>
          <w:szCs w:val="32"/>
          <w:highlight w:val="none"/>
        </w:rPr>
        <w:t>附件</w:t>
      </w:r>
    </w:p>
    <w:p w14:paraId="4DCF4D46">
      <w:pPr>
        <w:pStyle w:val="139"/>
        <w:spacing w:before="120" w:after="120" w:line="440" w:lineRule="exact"/>
        <w:jc w:val="center"/>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工程质量保修书（市政公用工程）</w:t>
      </w:r>
    </w:p>
    <w:p w14:paraId="2DA1F2E3">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发包人（全称）：</w:t>
      </w:r>
    </w:p>
    <w:p w14:paraId="16C9F955">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承包人（全称）：</w:t>
      </w:r>
    </w:p>
    <w:p w14:paraId="13C61847">
      <w:pPr>
        <w:spacing w:line="360" w:lineRule="auto"/>
        <w:rPr>
          <w:rFonts w:ascii="宋体"/>
          <w:color w:val="000000"/>
          <w:highlight w:val="none"/>
        </w:rPr>
      </w:pPr>
    </w:p>
    <w:p w14:paraId="0021B135">
      <w:pPr>
        <w:spacing w:line="360" w:lineRule="auto"/>
        <w:ind w:firstLine="420"/>
        <w:rPr>
          <w:rFonts w:hint="eastAsia" w:ascii="宋体" w:hAnsi="宋体"/>
          <w:color w:val="000000"/>
          <w:highlight w:val="none"/>
        </w:rPr>
      </w:pPr>
      <w:r>
        <w:rPr>
          <w:rFonts w:hint="eastAsia" w:ascii="宋体" w:hAnsi="宋体"/>
          <w:color w:val="000000"/>
          <w:highlight w:val="none"/>
        </w:rPr>
        <w:t>发包人和承包人根据《中华人民共和国建筑法》和《建设工程质量管理条例》，经协商一致就（工程全称）签订工程质量保修书。</w:t>
      </w:r>
    </w:p>
    <w:p w14:paraId="1BD8C3FB">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一、工程质量保修范围和内容</w:t>
      </w:r>
    </w:p>
    <w:p w14:paraId="4D0E3306">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承包人在质量保修期内，按照有关法律规定和合同约定，承担工程质量保修责任。</w:t>
      </w:r>
    </w:p>
    <w:p w14:paraId="1ECCF27A">
      <w:pPr>
        <w:spacing w:line="360" w:lineRule="auto"/>
        <w:ind w:firstLine="420" w:firstLineChars="200"/>
        <w:rPr>
          <w:rFonts w:hint="eastAsia" w:ascii="宋体" w:hAnsi="宋体"/>
          <w:color w:val="000000"/>
          <w:highlight w:val="none"/>
        </w:rPr>
      </w:pPr>
      <w:r>
        <w:rPr>
          <w:rFonts w:hint="eastAsia" w:ascii="宋体" w:hAnsi="宋体"/>
          <w:color w:val="000000"/>
          <w:highlight w:val="none"/>
        </w:rPr>
        <w:t>质量保修范围包括，以及双方约定的其他项目。具体保修的内容，双方约定如下：</w:t>
      </w:r>
      <w:r>
        <w:rPr>
          <w:rFonts w:hint="eastAsia" w:hAnsi="宋体"/>
          <w:color w:val="000000"/>
          <w:highlight w:val="none"/>
          <w:u w:val="single"/>
        </w:rPr>
        <w:t xml:space="preserve">        </w:t>
      </w:r>
      <w:r>
        <w:rPr>
          <w:rFonts w:hint="eastAsia" w:ascii="宋体" w:hAnsi="宋体"/>
          <w:color w:val="000000"/>
          <w:highlight w:val="none"/>
        </w:rPr>
        <w:t>。</w:t>
      </w:r>
    </w:p>
    <w:p w14:paraId="6F60FCE2">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二、质量保修期</w:t>
      </w:r>
    </w:p>
    <w:p w14:paraId="03675086">
      <w:pPr>
        <w:spacing w:line="360" w:lineRule="auto"/>
        <w:ind w:firstLine="420" w:firstLineChars="200"/>
        <w:rPr>
          <w:rFonts w:hint="eastAsia" w:ascii="宋体" w:hAnsi="宋体"/>
          <w:color w:val="000000"/>
          <w:highlight w:val="none"/>
        </w:rPr>
      </w:pPr>
      <w:r>
        <w:rPr>
          <w:rFonts w:hint="eastAsia" w:ascii="宋体" w:hAnsi="宋体"/>
          <w:color w:val="000000"/>
          <w:highlight w:val="none"/>
        </w:rPr>
        <w:t>根据《建设工程质量管理条例》及有关规定，工程的质量保修期如下：</w:t>
      </w:r>
    </w:p>
    <w:p w14:paraId="0483D0CC">
      <w:pPr>
        <w:spacing w:line="360" w:lineRule="auto"/>
        <w:ind w:firstLine="426"/>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w:t>
      </w:r>
      <w:r>
        <w:rPr>
          <w:rFonts w:hint="eastAsia"/>
          <w:color w:val="000000"/>
          <w:highlight w:val="none"/>
        </w:rPr>
        <w:t>桥梁工程为</w:t>
      </w:r>
      <w:r>
        <w:rPr>
          <w:rFonts w:hint="eastAsia"/>
          <w:color w:val="000000"/>
          <w:highlight w:val="none"/>
          <w:u w:val="single"/>
        </w:rPr>
        <w:t xml:space="preserve">     </w:t>
      </w:r>
      <w:r>
        <w:rPr>
          <w:rFonts w:hint="eastAsia"/>
          <w:color w:val="000000"/>
          <w:highlight w:val="none"/>
        </w:rPr>
        <w:t>年（建议桥梁隧道主体结构工程为设计文件规定的合理使用年限）；</w:t>
      </w:r>
    </w:p>
    <w:p w14:paraId="1718CA61">
      <w:pPr>
        <w:spacing w:line="360" w:lineRule="auto"/>
        <w:ind w:firstLine="426"/>
        <w:rPr>
          <w:color w:val="000000"/>
          <w:highlight w:val="none"/>
        </w:rPr>
      </w:pPr>
      <w:r>
        <w:rPr>
          <w:color w:val="000000"/>
          <w:highlight w:val="none"/>
        </w:rPr>
        <w:t>2</w:t>
      </w:r>
      <w:r>
        <w:rPr>
          <w:rFonts w:hint="eastAsia" w:ascii="宋体" w:hAnsi="宋体"/>
          <w:color w:val="000000"/>
          <w:highlight w:val="none"/>
        </w:rPr>
        <w:t>．</w:t>
      </w:r>
      <w:r>
        <w:rPr>
          <w:rFonts w:hint="eastAsia"/>
          <w:color w:val="000000"/>
          <w:highlight w:val="none"/>
        </w:rPr>
        <w:t>道路工程为</w:t>
      </w:r>
      <w:r>
        <w:rPr>
          <w:rFonts w:hint="eastAsia"/>
          <w:color w:val="000000"/>
          <w:highlight w:val="none"/>
          <w:u w:val="single"/>
        </w:rPr>
        <w:t xml:space="preserve">     </w:t>
      </w:r>
      <w:r>
        <w:rPr>
          <w:rFonts w:hint="eastAsia"/>
          <w:color w:val="000000"/>
          <w:highlight w:val="none"/>
        </w:rPr>
        <w:t>年（建议路基、路面、桥面为</w:t>
      </w:r>
      <w:r>
        <w:rPr>
          <w:color w:val="000000"/>
          <w:highlight w:val="none"/>
        </w:rPr>
        <w:t>2</w:t>
      </w:r>
      <w:r>
        <w:rPr>
          <w:rFonts w:hint="eastAsia"/>
          <w:color w:val="000000"/>
          <w:highlight w:val="none"/>
        </w:rPr>
        <w:t>年）；</w:t>
      </w:r>
    </w:p>
    <w:p w14:paraId="563F64CF">
      <w:pPr>
        <w:spacing w:line="360" w:lineRule="auto"/>
        <w:ind w:firstLine="426"/>
        <w:rPr>
          <w:color w:val="000000"/>
          <w:highlight w:val="none"/>
        </w:rPr>
      </w:pPr>
      <w:r>
        <w:rPr>
          <w:color w:val="000000"/>
          <w:highlight w:val="none"/>
        </w:rPr>
        <w:t>3</w:t>
      </w:r>
      <w:r>
        <w:rPr>
          <w:rFonts w:hint="eastAsia" w:ascii="宋体" w:hAnsi="宋体"/>
          <w:color w:val="000000"/>
          <w:highlight w:val="none"/>
        </w:rPr>
        <w:t>．</w:t>
      </w:r>
      <w:r>
        <w:rPr>
          <w:rFonts w:hint="eastAsia"/>
          <w:color w:val="000000"/>
          <w:highlight w:val="none"/>
        </w:rPr>
        <w:t>排水（雨水）工程为年（建议道路工程中的排水工程为</w:t>
      </w:r>
      <w:r>
        <w:rPr>
          <w:color w:val="000000"/>
          <w:highlight w:val="none"/>
        </w:rPr>
        <w:t>3</w:t>
      </w:r>
      <w:r>
        <w:rPr>
          <w:rFonts w:hint="eastAsia"/>
          <w:color w:val="000000"/>
          <w:highlight w:val="none"/>
        </w:rPr>
        <w:t>年）；</w:t>
      </w:r>
    </w:p>
    <w:p w14:paraId="59805151">
      <w:pPr>
        <w:spacing w:line="360" w:lineRule="auto"/>
        <w:ind w:firstLine="426"/>
        <w:rPr>
          <w:color w:val="000000"/>
          <w:highlight w:val="none"/>
        </w:rPr>
      </w:pPr>
      <w:r>
        <w:rPr>
          <w:color w:val="000000"/>
          <w:highlight w:val="none"/>
        </w:rPr>
        <w:t>4</w:t>
      </w:r>
      <w:r>
        <w:rPr>
          <w:rFonts w:hint="eastAsia" w:ascii="宋体" w:hAnsi="宋体"/>
          <w:color w:val="000000"/>
          <w:highlight w:val="none"/>
        </w:rPr>
        <w:t>．</w:t>
      </w:r>
      <w:r>
        <w:rPr>
          <w:rFonts w:hint="eastAsia"/>
          <w:color w:val="000000"/>
          <w:highlight w:val="none"/>
        </w:rPr>
        <w:t>绿化工程为</w:t>
      </w:r>
      <w:r>
        <w:rPr>
          <w:rFonts w:hint="eastAsia"/>
          <w:color w:val="000000"/>
          <w:highlight w:val="none"/>
          <w:u w:val="single"/>
        </w:rPr>
        <w:t>单位工程竣工验收合格后     年</w:t>
      </w:r>
      <w:r>
        <w:rPr>
          <w:rFonts w:hint="eastAsia"/>
          <w:color w:val="000000"/>
          <w:highlight w:val="none"/>
        </w:rPr>
        <w:t>；</w:t>
      </w:r>
    </w:p>
    <w:p w14:paraId="3EDA81A0">
      <w:pPr>
        <w:spacing w:line="360" w:lineRule="auto"/>
        <w:ind w:firstLine="426"/>
        <w:rPr>
          <w:color w:val="000000"/>
          <w:highlight w:val="none"/>
        </w:rPr>
      </w:pPr>
      <w:r>
        <w:rPr>
          <w:color w:val="000000"/>
          <w:highlight w:val="none"/>
        </w:rPr>
        <w:t xml:space="preserve">5.  </w:t>
      </w:r>
      <w:r>
        <w:rPr>
          <w:rFonts w:hint="eastAsia"/>
          <w:color w:val="000000"/>
          <w:highlight w:val="none"/>
        </w:rPr>
        <w:t>地下防水工程为</w:t>
      </w:r>
      <w:r>
        <w:rPr>
          <w:rFonts w:hint="eastAsia"/>
          <w:color w:val="000000"/>
          <w:highlight w:val="none"/>
          <w:u w:val="single"/>
        </w:rPr>
        <w:t xml:space="preserve">     </w:t>
      </w:r>
      <w:r>
        <w:rPr>
          <w:rFonts w:hint="eastAsia"/>
          <w:color w:val="000000"/>
          <w:highlight w:val="none"/>
        </w:rPr>
        <w:t>年（建议为</w:t>
      </w:r>
      <w:r>
        <w:rPr>
          <w:color w:val="000000"/>
          <w:highlight w:val="none"/>
        </w:rPr>
        <w:t>5</w:t>
      </w:r>
      <w:r>
        <w:rPr>
          <w:rFonts w:hint="eastAsia"/>
          <w:color w:val="000000"/>
          <w:highlight w:val="none"/>
        </w:rPr>
        <w:t>年）；</w:t>
      </w:r>
    </w:p>
    <w:p w14:paraId="3A9DCC15">
      <w:pPr>
        <w:spacing w:line="360" w:lineRule="auto"/>
        <w:ind w:firstLine="426"/>
        <w:rPr>
          <w:color w:val="000000"/>
          <w:highlight w:val="none"/>
        </w:rPr>
      </w:pPr>
      <w:r>
        <w:rPr>
          <w:color w:val="000000"/>
          <w:highlight w:val="none"/>
        </w:rPr>
        <w:t>6</w:t>
      </w:r>
      <w:r>
        <w:rPr>
          <w:rFonts w:hint="eastAsia" w:ascii="宋体" w:hAnsi="宋体"/>
          <w:color w:val="000000"/>
          <w:highlight w:val="none"/>
        </w:rPr>
        <w:t>．</w:t>
      </w:r>
      <w:r>
        <w:rPr>
          <w:rFonts w:hint="eastAsia"/>
          <w:color w:val="000000"/>
          <w:highlight w:val="none"/>
        </w:rPr>
        <w:t>其他附属工程为</w:t>
      </w:r>
      <w:r>
        <w:rPr>
          <w:rFonts w:hint="eastAsia"/>
          <w:color w:val="000000"/>
          <w:highlight w:val="none"/>
          <w:u w:val="single"/>
        </w:rPr>
        <w:t xml:space="preserve">     </w:t>
      </w:r>
      <w:r>
        <w:rPr>
          <w:rFonts w:hint="eastAsia"/>
          <w:color w:val="000000"/>
          <w:highlight w:val="none"/>
        </w:rPr>
        <w:t>年；</w:t>
      </w:r>
    </w:p>
    <w:p w14:paraId="57602E1D">
      <w:pPr>
        <w:spacing w:line="360" w:lineRule="auto"/>
        <w:ind w:firstLine="420" w:firstLineChars="200"/>
        <w:rPr>
          <w:rFonts w:ascii="宋体" w:hAnsi="宋体"/>
          <w:color w:val="000000"/>
          <w:highlight w:val="none"/>
        </w:rPr>
      </w:pPr>
      <w:r>
        <w:rPr>
          <w:rFonts w:ascii="宋体" w:hAnsi="宋体"/>
          <w:color w:val="000000"/>
          <w:highlight w:val="none"/>
        </w:rPr>
        <w:t>7</w:t>
      </w:r>
      <w:r>
        <w:rPr>
          <w:rFonts w:hint="eastAsia" w:ascii="宋体" w:hAnsi="宋体"/>
          <w:color w:val="000000"/>
          <w:highlight w:val="none"/>
        </w:rPr>
        <w:t>．其他项目保修期限约定如下：</w:t>
      </w:r>
      <w:r>
        <w:rPr>
          <w:rFonts w:hint="eastAsia" w:hAnsi="宋体"/>
          <w:color w:val="000000"/>
          <w:highlight w:val="none"/>
          <w:u w:val="single"/>
        </w:rPr>
        <w:t xml:space="preserve">        </w:t>
      </w:r>
      <w:r>
        <w:rPr>
          <w:rFonts w:hint="eastAsia" w:ascii="宋体" w:hAnsi="宋体"/>
          <w:color w:val="000000"/>
          <w:highlight w:val="none"/>
        </w:rPr>
        <w:t>。</w:t>
      </w:r>
    </w:p>
    <w:p w14:paraId="631C8D18">
      <w:pPr>
        <w:spacing w:line="360" w:lineRule="auto"/>
        <w:ind w:firstLine="420" w:firstLineChars="200"/>
        <w:rPr>
          <w:rFonts w:hint="eastAsia" w:ascii="宋体" w:hAnsi="宋体"/>
          <w:color w:val="000000"/>
          <w:highlight w:val="none"/>
        </w:rPr>
      </w:pPr>
      <w:r>
        <w:rPr>
          <w:rFonts w:hint="eastAsia" w:ascii="宋体" w:hAnsi="宋体"/>
          <w:color w:val="000000"/>
          <w:highlight w:val="none"/>
        </w:rPr>
        <w:t>质量保修期自工程竣工验收合格之日起计算。</w:t>
      </w:r>
    </w:p>
    <w:p w14:paraId="1FE3C7DF">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三、缺陷责任期</w:t>
      </w:r>
    </w:p>
    <w:p w14:paraId="3D685E88">
      <w:pPr>
        <w:spacing w:line="360" w:lineRule="auto"/>
        <w:ind w:firstLine="420" w:firstLineChars="200"/>
        <w:rPr>
          <w:rFonts w:hint="eastAsia" w:ascii="宋体" w:hAnsi="宋体"/>
          <w:color w:val="000000"/>
          <w:highlight w:val="none"/>
        </w:rPr>
      </w:pPr>
      <w:r>
        <w:rPr>
          <w:rFonts w:hint="eastAsia" w:ascii="宋体" w:hAnsi="宋体"/>
          <w:color w:val="000000"/>
          <w:highlight w:val="none"/>
        </w:rPr>
        <w:t>工程缺陷责任期为</w:t>
      </w:r>
      <w:r>
        <w:rPr>
          <w:rFonts w:hint="eastAsia" w:ascii="宋体" w:hAnsi="宋体"/>
          <w:color w:val="000000"/>
          <w:highlight w:val="none"/>
          <w:u w:val="single"/>
        </w:rPr>
        <w:t>12</w:t>
      </w:r>
      <w:r>
        <w:rPr>
          <w:rFonts w:hint="eastAsia" w:ascii="宋体" w:hAnsi="宋体"/>
          <w:color w:val="000000"/>
          <w:highlight w:val="none"/>
        </w:rPr>
        <w:t>个月</w:t>
      </w:r>
      <w:r>
        <w:rPr>
          <w:rFonts w:hint="eastAsia" w:hAnsi="宋体"/>
          <w:color w:val="000000"/>
          <w:highlight w:val="none"/>
        </w:rPr>
        <w:t>（最长不超过</w:t>
      </w:r>
      <w:r>
        <w:rPr>
          <w:rFonts w:hAnsi="宋体"/>
          <w:color w:val="000000"/>
          <w:highlight w:val="none"/>
        </w:rPr>
        <w:t>24</w:t>
      </w:r>
      <w:r>
        <w:rPr>
          <w:rFonts w:hint="eastAsia" w:hAnsi="宋体"/>
          <w:color w:val="000000"/>
          <w:highlight w:val="none"/>
        </w:rPr>
        <w:t>个月）</w:t>
      </w:r>
      <w:r>
        <w:rPr>
          <w:rFonts w:hint="eastAsia" w:ascii="宋体" w:hAnsi="宋体"/>
          <w:color w:val="000000"/>
          <w:highlight w:val="none"/>
        </w:rPr>
        <w:t>，缺陷责任期自工程竣工验收合格之日起计算。单位工程先于全部工程进行验收，单位工程缺陷责任期自单位工程验收合格之日起算。</w:t>
      </w:r>
    </w:p>
    <w:p w14:paraId="746B7FC8">
      <w:pPr>
        <w:spacing w:line="360" w:lineRule="auto"/>
        <w:ind w:firstLine="420" w:firstLineChars="200"/>
        <w:rPr>
          <w:rFonts w:hint="eastAsia" w:hAnsi="宋体"/>
          <w:color w:val="000000"/>
          <w:highlight w:val="none"/>
        </w:rPr>
      </w:pPr>
      <w:r>
        <w:rPr>
          <w:rFonts w:hint="eastAsia" w:hAnsi="宋体"/>
          <w:color w:val="000000"/>
          <w:highlight w:val="none"/>
        </w:rPr>
        <w:t>缺陷责任期终止后，</w:t>
      </w:r>
      <w:r>
        <w:rPr>
          <w:rFonts w:hint="eastAsia" w:ascii="宋体" w:hAnsi="宋体"/>
          <w:color w:val="000000"/>
          <w:highlight w:val="none"/>
        </w:rPr>
        <w:t>发包人应退还剩余的质量保修金。</w:t>
      </w:r>
    </w:p>
    <w:p w14:paraId="4B27A707">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四、质量保修责任</w:t>
      </w:r>
    </w:p>
    <w:p w14:paraId="3F4C31C9">
      <w:pPr>
        <w:spacing w:line="360" w:lineRule="auto"/>
        <w:ind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．属于保修范围、内容的项目，承包人应当在接到保修通知之日起天内派人保修。承包人不在约定期限内派人保修的，发包人可以委托他人修理</w:t>
      </w:r>
      <w:r>
        <w:rPr>
          <w:rFonts w:hint="eastAsia" w:hAnsi="宋体"/>
          <w:color w:val="000000"/>
          <w:highlight w:val="none"/>
        </w:rPr>
        <w:t>，修理费用从</w:t>
      </w:r>
      <w:r>
        <w:rPr>
          <w:rFonts w:hint="eastAsia" w:ascii="宋体" w:hAnsi="宋体"/>
          <w:color w:val="000000"/>
          <w:highlight w:val="none"/>
        </w:rPr>
        <w:t>质量保修金</w:t>
      </w:r>
      <w:r>
        <w:rPr>
          <w:rFonts w:hint="eastAsia" w:hAnsi="宋体"/>
          <w:color w:val="000000"/>
          <w:highlight w:val="none"/>
        </w:rPr>
        <w:t>内扣除。</w:t>
      </w:r>
    </w:p>
    <w:p w14:paraId="3711876E">
      <w:pPr>
        <w:spacing w:line="360" w:lineRule="auto"/>
        <w:ind w:firstLine="420" w:firstLineChars="20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．发生紧急事故需抢修的，承包人在接到事故通知后，应当立即到达事故现场抢修。</w:t>
      </w:r>
    </w:p>
    <w:p w14:paraId="502BD91C">
      <w:pPr>
        <w:spacing w:line="360" w:lineRule="auto"/>
        <w:ind w:firstLine="420" w:firstLineChars="200"/>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946C78">
      <w:pPr>
        <w:spacing w:line="360" w:lineRule="auto"/>
        <w:ind w:firstLine="420" w:firstLineChars="200"/>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．质量保修完成后，由发包人组织验收。</w:t>
      </w:r>
    </w:p>
    <w:p w14:paraId="507D650F">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五、保修费用</w:t>
      </w:r>
    </w:p>
    <w:p w14:paraId="0A4DCA4F">
      <w:pPr>
        <w:spacing w:line="360" w:lineRule="auto"/>
        <w:ind w:firstLine="420" w:firstLineChars="200"/>
        <w:rPr>
          <w:rFonts w:hint="eastAsia" w:ascii="宋体" w:hAnsi="宋体"/>
          <w:color w:val="000000"/>
          <w:highlight w:val="none"/>
        </w:rPr>
      </w:pPr>
      <w:r>
        <w:rPr>
          <w:rFonts w:hint="eastAsia" w:ascii="宋体" w:hAnsi="宋体"/>
          <w:color w:val="000000"/>
          <w:highlight w:val="none"/>
        </w:rPr>
        <w:t>保修费用由造成质量缺陷的责任方承担。</w:t>
      </w:r>
    </w:p>
    <w:p w14:paraId="0AF6470B">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六、双方约定的其他工程质量保修事项：</w:t>
      </w:r>
      <w:r>
        <w:rPr>
          <w:rFonts w:hint="eastAsia" w:hAnsi="宋体"/>
          <w:color w:val="000000"/>
          <w:highlight w:val="none"/>
          <w:u w:val="single"/>
        </w:rPr>
        <w:t xml:space="preserve">        </w:t>
      </w:r>
      <w:r>
        <w:rPr>
          <w:rFonts w:hint="eastAsia" w:ascii="宋体" w:hAnsi="宋体"/>
          <w:color w:val="000000"/>
          <w:highlight w:val="none"/>
        </w:rPr>
        <w:t>。</w:t>
      </w:r>
    </w:p>
    <w:p w14:paraId="283DA2BD">
      <w:pPr>
        <w:spacing w:line="360" w:lineRule="auto"/>
        <w:ind w:firstLine="399" w:firstLineChars="190"/>
        <w:rPr>
          <w:rFonts w:hint="eastAsia" w:ascii="宋体" w:hAnsi="宋体"/>
          <w:color w:val="000000"/>
          <w:highlight w:val="none"/>
        </w:rPr>
      </w:pPr>
      <w:r>
        <w:rPr>
          <w:rFonts w:hint="eastAsia" w:ascii="宋体" w:hAnsi="宋体"/>
          <w:color w:val="000000"/>
          <w:highlight w:val="none"/>
        </w:rPr>
        <w:t>工程质量保修书由发包人、承包人在工程竣工验收前共同签署，作为施工合同附件，其有效期限至保修期满。</w:t>
      </w:r>
    </w:p>
    <w:p w14:paraId="12A062BC">
      <w:pPr>
        <w:spacing w:line="360" w:lineRule="auto"/>
        <w:ind w:firstLine="420"/>
        <w:rPr>
          <w:rFonts w:ascii="宋体"/>
          <w:color w:val="000000"/>
          <w:highlight w:val="none"/>
        </w:rPr>
      </w:pPr>
    </w:p>
    <w:p w14:paraId="64F0B015">
      <w:pPr>
        <w:pStyle w:val="33"/>
        <w:rPr>
          <w:color w:val="000000"/>
          <w:highlight w:val="none"/>
        </w:rPr>
      </w:pPr>
    </w:p>
    <w:p w14:paraId="6F3D60B6">
      <w:pPr>
        <w:spacing w:line="360" w:lineRule="auto"/>
        <w:rPr>
          <w:rFonts w:hAnsi="宋体"/>
          <w:color w:val="000000"/>
          <w:highlight w:val="none"/>
        </w:rPr>
      </w:pPr>
      <w:r>
        <w:rPr>
          <w:rFonts w:hAnsi="宋体"/>
          <w:color w:val="000000"/>
          <w:highlight w:val="none"/>
        </w:rPr>
        <w:t>发包人</w:t>
      </w:r>
      <w:r>
        <w:rPr>
          <w:rFonts w:hint="eastAsia"/>
          <w:color w:val="000000"/>
          <w:highlight w:val="none"/>
        </w:rPr>
        <w:t>（</w:t>
      </w:r>
      <w:r>
        <w:rPr>
          <w:rFonts w:hAnsi="宋体"/>
          <w:color w:val="000000"/>
          <w:highlight w:val="none"/>
        </w:rPr>
        <w:t>公章</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承包人</w:t>
      </w:r>
      <w:r>
        <w:rPr>
          <w:rFonts w:hint="eastAsia"/>
          <w:color w:val="000000"/>
          <w:highlight w:val="none"/>
        </w:rPr>
        <w:t>（</w:t>
      </w:r>
      <w:r>
        <w:rPr>
          <w:rFonts w:hAnsi="宋体"/>
          <w:color w:val="000000"/>
          <w:highlight w:val="none"/>
        </w:rPr>
        <w:t>公章</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722E1E4F">
      <w:pPr>
        <w:spacing w:line="360" w:lineRule="auto"/>
        <w:rPr>
          <w:rFonts w:hAnsi="宋体"/>
          <w:color w:val="000000"/>
          <w:highlight w:val="none"/>
        </w:rPr>
      </w:pPr>
      <w:r>
        <w:rPr>
          <w:rFonts w:hAnsi="宋体"/>
          <w:color w:val="000000"/>
          <w:highlight w:val="none"/>
        </w:rPr>
        <w:t>地址：</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地址：</w:t>
      </w:r>
      <w:r>
        <w:rPr>
          <w:rFonts w:ascii="宋体" w:hAnsi="宋体"/>
          <w:color w:val="000000"/>
          <w:highlight w:val="none"/>
          <w:u w:val="single"/>
        </w:rPr>
        <w:t></w:t>
      </w:r>
    </w:p>
    <w:p w14:paraId="2BD6946F">
      <w:pPr>
        <w:spacing w:line="360" w:lineRule="auto"/>
        <w:rPr>
          <w:rFonts w:hAnsi="宋体"/>
          <w:color w:val="000000"/>
          <w:highlight w:val="none"/>
        </w:rPr>
      </w:pPr>
      <w:r>
        <w:rPr>
          <w:rFonts w:hAnsi="宋体"/>
          <w:color w:val="000000"/>
          <w:highlight w:val="none"/>
        </w:rPr>
        <w:t>法定代表人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法定代表人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319C5607">
      <w:pPr>
        <w:spacing w:line="360" w:lineRule="auto"/>
        <w:rPr>
          <w:rFonts w:hAnsi="宋体"/>
          <w:color w:val="000000"/>
          <w:highlight w:val="none"/>
        </w:rPr>
      </w:pPr>
      <w:r>
        <w:rPr>
          <w:rFonts w:hAnsi="宋体"/>
          <w:color w:val="000000"/>
          <w:highlight w:val="none"/>
        </w:rPr>
        <w:t>委托代理人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委托代理人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68CC2171">
      <w:pPr>
        <w:spacing w:line="360" w:lineRule="auto"/>
        <w:rPr>
          <w:rFonts w:hAnsi="宋体"/>
          <w:color w:val="000000"/>
          <w:highlight w:val="none"/>
        </w:rPr>
      </w:pPr>
      <w:r>
        <w:rPr>
          <w:rFonts w:hAnsi="宋体"/>
          <w:color w:val="000000"/>
          <w:highlight w:val="none"/>
        </w:rPr>
        <w:t>电话：</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电话：</w:t>
      </w:r>
      <w:r>
        <w:rPr>
          <w:rFonts w:ascii="宋体" w:hAnsi="宋体"/>
          <w:color w:val="000000"/>
          <w:highlight w:val="none"/>
          <w:u w:val="single"/>
        </w:rPr>
        <w:t></w:t>
      </w:r>
    </w:p>
    <w:p w14:paraId="093D6F1E">
      <w:pPr>
        <w:pStyle w:val="40"/>
        <w:spacing w:line="400" w:lineRule="exact"/>
        <w:rPr>
          <w:rFonts w:hAnsi="宋体"/>
          <w:color w:val="000000"/>
          <w:highlight w:val="none"/>
        </w:rPr>
      </w:pPr>
      <w:r>
        <w:rPr>
          <w:rFonts w:hAnsi="宋体"/>
          <w:color w:val="000000"/>
          <w:highlight w:val="none"/>
        </w:rPr>
        <w:t>传真：</w:t>
      </w:r>
      <w:r>
        <w:rPr>
          <w:rFonts w:hAnsi="宋体"/>
          <w:color w:val="000000"/>
          <w:highlight w:val="none"/>
          <w:u w:val="single"/>
        </w:rPr>
        <w:t xml:space="preserve">                          </w:t>
      </w:r>
      <w:r>
        <w:rPr>
          <w:rFonts w:hAnsi="宋体"/>
          <w:color w:val="000000"/>
          <w:highlight w:val="none"/>
        </w:rPr>
        <w:t>传真：</w:t>
      </w:r>
      <w:r>
        <w:rPr>
          <w:rFonts w:hAnsi="宋体"/>
          <w:color w:val="000000"/>
          <w:highlight w:val="none"/>
          <w:u w:val="single"/>
        </w:rPr>
        <w:t></w:t>
      </w:r>
    </w:p>
    <w:p w14:paraId="6460B6FA">
      <w:pPr>
        <w:pStyle w:val="40"/>
        <w:spacing w:line="400" w:lineRule="exact"/>
        <w:rPr>
          <w:rFonts w:hAnsi="宋体"/>
          <w:color w:val="000000"/>
          <w:highlight w:val="none"/>
        </w:rPr>
      </w:pPr>
    </w:p>
    <w:p w14:paraId="2383666C">
      <w:pPr>
        <w:pStyle w:val="40"/>
        <w:spacing w:line="400" w:lineRule="exact"/>
        <w:rPr>
          <w:rFonts w:hAnsi="宋体"/>
          <w:color w:val="000000"/>
          <w:highlight w:val="none"/>
        </w:rPr>
      </w:pPr>
    </w:p>
    <w:p w14:paraId="49F8AEC9">
      <w:pPr>
        <w:pStyle w:val="40"/>
        <w:spacing w:line="400" w:lineRule="exact"/>
        <w:rPr>
          <w:rFonts w:hAnsi="宋体"/>
          <w:color w:val="000000"/>
          <w:highlight w:val="none"/>
        </w:rPr>
      </w:pPr>
    </w:p>
    <w:p w14:paraId="2889E97E">
      <w:pPr>
        <w:rPr>
          <w:color w:val="000000"/>
          <w:highlight w:val="none"/>
        </w:rPr>
      </w:pPr>
    </w:p>
    <w:p w14:paraId="0D0375BF">
      <w:pPr>
        <w:pStyle w:val="33"/>
        <w:rPr>
          <w:color w:val="000000"/>
          <w:highlight w:val="none"/>
        </w:rPr>
      </w:pPr>
    </w:p>
    <w:p w14:paraId="489DA500">
      <w:pPr>
        <w:pStyle w:val="33"/>
        <w:rPr>
          <w:color w:val="000000"/>
          <w:highlight w:val="none"/>
        </w:rPr>
      </w:pPr>
    </w:p>
    <w:p w14:paraId="5B7DC490">
      <w:pPr>
        <w:pStyle w:val="33"/>
        <w:rPr>
          <w:color w:val="000000"/>
          <w:highlight w:val="none"/>
        </w:rPr>
      </w:pPr>
    </w:p>
    <w:p w14:paraId="021D7E52">
      <w:pPr>
        <w:pStyle w:val="40"/>
        <w:spacing w:line="400" w:lineRule="exact"/>
        <w:rPr>
          <w:rFonts w:hAnsi="宋体"/>
          <w:color w:val="000000"/>
          <w:highlight w:val="none"/>
        </w:rPr>
      </w:pPr>
    </w:p>
    <w:p w14:paraId="6C9D5E1B">
      <w:pPr>
        <w:pStyle w:val="6"/>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br w:type="page"/>
      </w:r>
    </w:p>
    <w:p w14:paraId="3FBDCB3A">
      <w:pPr>
        <w:pStyle w:val="6"/>
        <w:spacing w:line="560" w:lineRule="exact"/>
        <w:jc w:val="center"/>
        <w:rPr>
          <w:rFonts w:hint="eastAsia" w:ascii="宋体" w:hAnsi="宋体"/>
          <w:bCs/>
          <w:color w:val="000000"/>
          <w:sz w:val="44"/>
          <w:highlight w:val="none"/>
        </w:rPr>
      </w:pPr>
    </w:p>
    <w:p w14:paraId="6388B53C">
      <w:pPr>
        <w:pStyle w:val="6"/>
        <w:spacing w:line="560" w:lineRule="exact"/>
        <w:jc w:val="center"/>
        <w:rPr>
          <w:rFonts w:hint="eastAsia" w:ascii="宋体" w:hAnsi="宋体"/>
          <w:bCs/>
          <w:color w:val="000000"/>
          <w:sz w:val="44"/>
          <w:highlight w:val="none"/>
        </w:rPr>
      </w:pPr>
    </w:p>
    <w:p w14:paraId="491385A9">
      <w:pPr>
        <w:pStyle w:val="6"/>
        <w:spacing w:line="560" w:lineRule="exact"/>
        <w:jc w:val="center"/>
        <w:rPr>
          <w:rFonts w:hint="eastAsia" w:ascii="宋体" w:hAnsi="宋体"/>
          <w:bCs/>
          <w:color w:val="000000"/>
          <w:sz w:val="44"/>
          <w:highlight w:val="none"/>
        </w:rPr>
      </w:pPr>
    </w:p>
    <w:p w14:paraId="6870A340">
      <w:pPr>
        <w:pStyle w:val="6"/>
        <w:spacing w:line="560" w:lineRule="exact"/>
        <w:jc w:val="center"/>
        <w:rPr>
          <w:rFonts w:hint="eastAsia" w:ascii="宋体" w:hAnsi="宋体"/>
          <w:bCs/>
          <w:color w:val="000000"/>
          <w:sz w:val="44"/>
          <w:highlight w:val="none"/>
        </w:rPr>
      </w:pPr>
    </w:p>
    <w:p w14:paraId="749B40AF">
      <w:pPr>
        <w:pStyle w:val="6"/>
        <w:spacing w:line="560" w:lineRule="exact"/>
        <w:jc w:val="center"/>
        <w:rPr>
          <w:rFonts w:hint="eastAsia" w:ascii="宋体" w:hAnsi="宋体"/>
          <w:bCs/>
          <w:color w:val="000000"/>
          <w:sz w:val="44"/>
          <w:highlight w:val="none"/>
        </w:rPr>
      </w:pPr>
    </w:p>
    <w:p w14:paraId="07399F6A">
      <w:pPr>
        <w:pStyle w:val="6"/>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t>第五章   评标办法</w:t>
      </w:r>
    </w:p>
    <w:p w14:paraId="5F3405D6">
      <w:pPr>
        <w:spacing w:line="360" w:lineRule="exact"/>
        <w:ind w:left="1320" w:hanging="1320" w:hangingChars="300"/>
        <w:rPr>
          <w:rFonts w:ascii="宋体" w:hAnsi="宋体"/>
          <w:color w:val="000000"/>
          <w:sz w:val="44"/>
          <w:highlight w:val="none"/>
        </w:rPr>
      </w:pPr>
    </w:p>
    <w:p w14:paraId="25763DE2">
      <w:pPr>
        <w:spacing w:line="360" w:lineRule="exact"/>
        <w:ind w:left="1320" w:hanging="1320" w:hangingChars="300"/>
        <w:rPr>
          <w:rFonts w:hint="eastAsia" w:ascii="宋体" w:hAnsi="宋体"/>
          <w:color w:val="000000"/>
          <w:sz w:val="44"/>
          <w:highlight w:val="none"/>
        </w:rPr>
      </w:pPr>
      <w:r>
        <w:rPr>
          <w:rFonts w:hint="eastAsia" w:ascii="宋体" w:hAnsi="宋体"/>
          <w:color w:val="000000"/>
          <w:sz w:val="44"/>
          <w:highlight w:val="none"/>
        </w:rPr>
        <w:br w:type="page"/>
      </w:r>
    </w:p>
    <w:p w14:paraId="4753CC4E">
      <w:pPr>
        <w:pStyle w:val="40"/>
        <w:spacing w:line="400" w:lineRule="exact"/>
        <w:jc w:val="center"/>
        <w:rPr>
          <w:rFonts w:hAnsi="宋体"/>
          <w:b/>
          <w:bCs/>
          <w:color w:val="000000"/>
          <w:sz w:val="28"/>
          <w:highlight w:val="none"/>
        </w:rPr>
      </w:pPr>
      <w:r>
        <w:rPr>
          <w:rFonts w:hAnsi="宋体"/>
          <w:b/>
          <w:bCs/>
          <w:color w:val="000000"/>
          <w:sz w:val="28"/>
          <w:highlight w:val="none"/>
        </w:rPr>
        <w:t>评标办法和成交标准</w:t>
      </w:r>
    </w:p>
    <w:p w14:paraId="7003BC75">
      <w:pPr>
        <w:spacing w:line="360" w:lineRule="auto"/>
        <w:rPr>
          <w:rFonts w:hint="eastAsia" w:ascii="宋体" w:hAnsi="宋体"/>
          <w:b/>
          <w:color w:val="000000"/>
          <w:szCs w:val="21"/>
          <w:highlight w:val="none"/>
        </w:rPr>
      </w:pPr>
      <w:r>
        <w:rPr>
          <w:rFonts w:hint="eastAsia" w:ascii="宋体" w:hAnsi="宋体"/>
          <w:b/>
          <w:color w:val="000000"/>
          <w:szCs w:val="21"/>
          <w:highlight w:val="none"/>
        </w:rPr>
        <w:t>一、评标原则</w:t>
      </w:r>
    </w:p>
    <w:p w14:paraId="272596DB">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（一）磋商（评标）小组构成：磋商小组成员由采购人代表和在</w:t>
      </w:r>
      <w:r>
        <w:rPr>
          <w:rFonts w:hint="eastAsia" w:ascii="宋体" w:hAnsi="宋体"/>
          <w:bCs/>
          <w:color w:val="000000"/>
          <w:szCs w:val="21"/>
          <w:highlight w:val="none"/>
        </w:rPr>
        <w:t>政府采购专家库中随机抽取</w:t>
      </w:r>
      <w:r>
        <w:rPr>
          <w:rFonts w:hint="eastAsia" w:ascii="宋体" w:hAnsi="宋体"/>
          <w:color w:val="000000"/>
          <w:szCs w:val="21"/>
          <w:highlight w:val="none"/>
        </w:rPr>
        <w:t>的有关技术、经济等方面专家组成，成员人数为三人以上（含三人）单数组成，其中技术、经济等方面专家不少于成员总数的三分之二。</w:t>
      </w:r>
    </w:p>
    <w:p w14:paraId="43EBFF48">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（二）评标依据：以竞争性磋商文件和响应文件为评审依据。</w:t>
      </w:r>
    </w:p>
    <w:p w14:paraId="40B6D975">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三）评标方法：经磋商确定最终方案和提交最终报价的供应商后，由磋商小组采用综合评分法对提交最终报价的供应商的响应文件和最终报价进行综合评分，响应文件满足竞争性磋商文件全部实质性要求且按评审因素的量化指标评审得分最高的供应商为成交候选供应商。</w:t>
      </w:r>
    </w:p>
    <w:p w14:paraId="623EDE22">
      <w:pPr>
        <w:spacing w:line="360" w:lineRule="auto"/>
        <w:ind w:left="630" w:leftChars="250" w:hanging="105" w:hangingChars="50"/>
        <w:rPr>
          <w:rFonts w:hint="eastAsia" w:ascii="宋体" w:hAnsi="宋体"/>
          <w:color w:val="000000"/>
          <w:szCs w:val="21"/>
          <w:highlight w:val="none"/>
        </w:rPr>
      </w:pPr>
      <w:r>
        <w:rPr>
          <w:rFonts w:hint="eastAsia" w:ascii="宋体" w:hAnsi="宋体"/>
          <w:color w:val="000000"/>
          <w:szCs w:val="21"/>
          <w:highlight w:val="none"/>
        </w:rPr>
        <w:t>说明：评委对各供应商进行独立打分，供应商的最终得分为各磋商小组成员的加权平均分。</w:t>
      </w:r>
    </w:p>
    <w:p w14:paraId="27BE6343">
      <w:pPr>
        <w:pStyle w:val="134"/>
        <w:numPr>
          <w:ilvl w:val="0"/>
          <w:numId w:val="7"/>
        </w:numPr>
        <w:spacing w:line="360" w:lineRule="auto"/>
        <w:ind w:firstLineChars="0"/>
        <w:rPr>
          <w:rFonts w:hint="eastAsia" w:ascii="宋体" w:hAnsi="宋体"/>
          <w:b/>
          <w:color w:val="000000"/>
          <w:highlight w:val="none"/>
        </w:rPr>
      </w:pPr>
      <w:r>
        <w:rPr>
          <w:rFonts w:hint="eastAsia" w:ascii="宋体" w:hAnsi="宋体"/>
          <w:b/>
          <w:color w:val="000000"/>
          <w:highlight w:val="none"/>
        </w:rPr>
        <w:t>评审因素和标准</w:t>
      </w:r>
    </w:p>
    <w:p w14:paraId="3A11A682">
      <w:pPr>
        <w:pStyle w:val="40"/>
        <w:spacing w:line="360" w:lineRule="auto"/>
        <w:ind w:firstLine="103" w:firstLineChars="49"/>
        <w:rPr>
          <w:rFonts w:hAnsi="宋体"/>
          <w:b/>
          <w:bCs/>
          <w:color w:val="000000"/>
          <w:highlight w:val="none"/>
        </w:rPr>
      </w:pPr>
      <w:r>
        <w:rPr>
          <w:rFonts w:hAnsi="宋体"/>
          <w:b/>
          <w:bCs/>
          <w:color w:val="000000"/>
          <w:highlight w:val="none"/>
        </w:rPr>
        <w:t>1、价格分……………………………………………………………………………………………10分</w:t>
      </w:r>
    </w:p>
    <w:p w14:paraId="03E7EA71">
      <w:pPr>
        <w:pStyle w:val="108"/>
        <w:spacing w:line="360" w:lineRule="auto"/>
        <w:ind w:firstLine="210" w:firstLineChars="100"/>
        <w:rPr>
          <w:rFonts w:hint="eastAsia" w:ascii="宋体" w:hAnsi="宋体"/>
          <w:color w:val="000000"/>
          <w:highlight w:val="none"/>
        </w:rPr>
      </w:pPr>
      <w:r>
        <w:rPr>
          <w:rFonts w:hint="eastAsia" w:ascii="宋体" w:hAnsi="宋体"/>
          <w:color w:val="000000"/>
          <w:highlight w:val="none"/>
        </w:rPr>
        <w:t>以通过资格和符合性审查的且最终报价最低的供应商的价格为磋商基准价，其价格分为</w:t>
      </w:r>
      <w:r>
        <w:rPr>
          <w:rFonts w:hint="eastAsia" w:ascii="宋体" w:hAnsi="宋体"/>
          <w:b/>
          <w:color w:val="000000"/>
          <w:highlight w:val="none"/>
        </w:rPr>
        <w:t>10分。</w:t>
      </w:r>
    </w:p>
    <w:p w14:paraId="6A07C710">
      <w:pPr>
        <w:pStyle w:val="40"/>
        <w:spacing w:line="420" w:lineRule="exact"/>
        <w:rPr>
          <w:rFonts w:hAnsi="宋体"/>
          <w:b/>
          <w:bCs/>
          <w:color w:val="000000"/>
          <w:highlight w:val="none"/>
        </w:rPr>
      </w:pPr>
      <w:r>
        <w:rPr>
          <w:rFonts w:hAnsi="宋体"/>
          <w:b/>
          <w:bCs/>
          <w:color w:val="000000"/>
          <w:highlight w:val="none"/>
        </w:rPr>
        <w:t>（本项目落实政府采购政策，专门面向小微企业采购，本项目不再对供应商价格进行扣除政策）</w:t>
      </w:r>
    </w:p>
    <w:p w14:paraId="31217B50">
      <w:pPr>
        <w:pStyle w:val="40"/>
        <w:spacing w:line="420" w:lineRule="exact"/>
        <w:ind w:firstLine="3570" w:firstLineChars="1700"/>
        <w:rPr>
          <w:rFonts w:hAnsi="宋体"/>
          <w:color w:val="000000"/>
          <w:highlight w:val="none"/>
        </w:rPr>
      </w:pPr>
      <w:r>
        <w:rPr>
          <w:rFonts w:hAnsi="宋体"/>
          <w:color w:val="000000"/>
          <w:highlight w:val="none"/>
        </w:rPr>
        <w:t>磋商基准价（</w:t>
      </w:r>
      <w:r>
        <w:rPr>
          <w:rFonts w:hAnsi="宋体"/>
          <w:bCs/>
          <w:color w:val="000000"/>
          <w:highlight w:val="none"/>
        </w:rPr>
        <w:t>元）</w:t>
      </w:r>
    </w:p>
    <w:p w14:paraId="170C207F">
      <w:pPr>
        <w:pStyle w:val="40"/>
        <w:spacing w:line="420" w:lineRule="exact"/>
        <w:ind w:firstLine="420" w:firstLineChars="200"/>
        <w:rPr>
          <w:rFonts w:hAnsi="宋体"/>
          <w:bCs/>
          <w:color w:val="000000"/>
          <w:highlight w:val="none"/>
        </w:rPr>
      </w:pPr>
      <w:r>
        <w:rPr>
          <w:rFonts w:hAnsi="宋体"/>
          <w:bCs/>
          <w:color w:val="000000"/>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222500" cy="12700"/>
                <wp:effectExtent l="0" t="0" r="0" b="0"/>
                <wp:wrapNone/>
                <wp:docPr id="1" name="_x0000_s1029"/>
                <wp:cNvGraphicFramePr/>
                <a:graphic xmlns:a="http://schemas.openxmlformats.org/drawingml/2006/main">
                  <a:graphicData uri="http://schemas.microsoft.com/office/word/2010/wordprocessingShape">
                    <wps:wsp>
                      <wps:cNvCnPr/>
                      <wps:spPr>
                        <a:xfrm>
                          <a:off x="1962150" y="175260"/>
                          <a:ext cx="2222500" cy="12700"/>
                        </a:xfrm>
                        <a:prstGeom prst="line">
                          <a:avLst/>
                        </a:prstGeom>
                        <a:solidFill>
                          <a:prstClr val="white"/>
                        </a:solidFill>
                        <a:ln w="12700">
                          <a:solidFill>
                            <a:prstClr val="white"/>
                          </a:solidFill>
                        </a:ln>
                      </wps:spPr>
                      <wps:bodyPr rot="0" vert="horz" wrap="square" lIns="91440" tIns="45720" rIns="91440" bIns="45720" anchor="t" anchorCtr="0"/>
                    </wps:wsp>
                  </a:graphicData>
                </a:graphic>
              </wp:anchor>
            </w:drawing>
          </mc:Choice>
          <mc:Fallback>
            <w:pict>
              <v:line id="_x0000_s1029" o:spid="_x0000_s1026" o:spt="20" style="position:absolute;left:0pt;margin-left:0pt;margin-top:0pt;height:1pt;width:175pt;z-index:251659264;mso-width-relative:page;mso-height-relative:page;" fillcolor="#FFFFFF" filled="t" stroked="t" coordsize="21600,21600" o:gfxdata="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o5sy0wAAAAMBAAAP&#10;AAAAAAAAAAEAIAAAACIAAABkcnMvZG93bnJldi54bWxQSwECFAAUAAAACACHTuJAI6FyAOQBAAAB&#10;BAAADgAAAAAAAAABACAAAAAiAQAAZHJzL2Uyb0RvYy54bWxQSwUGAAAAAAYABgBZAQAAeAUAAAAA&#10;">
                <v:fill on="t" focussize="0,0"/>
                <v:stroke weight="1pt" color="#FFFFFF" joinstyle="round"/>
                <v:imagedata o:title=""/>
                <o:lock v:ext="edit" aspectratio="f"/>
              </v:line>
            </w:pict>
          </mc:Fallback>
        </mc:AlternateContent>
      </w:r>
      <w:r>
        <w:rPr>
          <w:rFonts w:hAnsi="宋体"/>
          <w:bCs/>
          <w:color w:val="000000"/>
          <w:highlight w:val="none"/>
        </w:rPr>
        <w:t>某</w:t>
      </w:r>
      <w:r>
        <w:rPr>
          <w:rFonts w:hAnsi="宋体"/>
          <w:color w:val="000000"/>
          <w:highlight w:val="none"/>
        </w:rPr>
        <w:t>响应供应商</w:t>
      </w:r>
      <w:r>
        <w:rPr>
          <w:rFonts w:hAnsi="宋体"/>
          <w:bCs/>
          <w:color w:val="000000"/>
          <w:highlight w:val="none"/>
        </w:rPr>
        <w:t>价格分 =                                         ×10分</w:t>
      </w:r>
    </w:p>
    <w:p w14:paraId="5D77B89B">
      <w:pPr>
        <w:tabs>
          <w:tab w:val="left" w:pos="5760"/>
        </w:tabs>
        <w:spacing w:line="420" w:lineRule="exact"/>
        <w:ind w:left="411" w:leftChars="98" w:hanging="205" w:hangingChars="98"/>
        <w:rPr>
          <w:rFonts w:hint="eastAsia" w:ascii="宋体" w:hAnsi="宋体"/>
          <w:bCs/>
          <w:color w:val="000000"/>
          <w:szCs w:val="21"/>
          <w:highlight w:val="none"/>
        </w:rPr>
      </w:pPr>
      <w:r>
        <w:rPr>
          <w:rFonts w:hint="eastAsia" w:ascii="宋体" w:hAnsi="宋体"/>
          <w:bCs/>
          <w:color w:val="000000"/>
          <w:szCs w:val="21"/>
          <w:highlight w:val="none"/>
        </w:rPr>
        <w:t xml:space="preserve">                             某</w:t>
      </w:r>
      <w:r>
        <w:rPr>
          <w:rFonts w:hint="eastAsia" w:ascii="宋体" w:hAnsi="宋体"/>
          <w:color w:val="000000"/>
          <w:szCs w:val="21"/>
          <w:highlight w:val="none"/>
        </w:rPr>
        <w:t>响应供应商</w:t>
      </w:r>
      <w:r>
        <w:rPr>
          <w:rFonts w:hint="eastAsia" w:ascii="宋体" w:hAnsi="宋体"/>
          <w:bCs/>
          <w:color w:val="000000"/>
          <w:szCs w:val="21"/>
          <w:highlight w:val="none"/>
        </w:rPr>
        <w:t>最终报价金额（元）</w:t>
      </w:r>
    </w:p>
    <w:p w14:paraId="1755F4BE">
      <w:pPr>
        <w:spacing w:line="360" w:lineRule="auto"/>
        <w:ind w:right="-178"/>
        <w:rPr>
          <w:rFonts w:hint="eastAsia" w:ascii="宋体" w:hAnsi="宋体"/>
          <w:b/>
          <w:bCs/>
          <w:color w:val="000000"/>
          <w:highlight w:val="none"/>
        </w:rPr>
      </w:pPr>
      <w:r>
        <w:rPr>
          <w:rFonts w:hint="eastAsia" w:ascii="宋体" w:hAnsi="宋体"/>
          <w:b/>
          <w:bCs/>
          <w:color w:val="000000"/>
          <w:highlight w:val="none"/>
        </w:rPr>
        <w:t>2． 技术方案分</w:t>
      </w:r>
      <w:r>
        <w:rPr>
          <w:rFonts w:ascii="宋体" w:hAnsi="宋体"/>
          <w:bCs/>
          <w:color w:val="000000"/>
          <w:szCs w:val="21"/>
          <w:highlight w:val="none"/>
        </w:rPr>
        <w:t>…………………………………………………………………………………………</w:t>
      </w:r>
      <w:r>
        <w:rPr>
          <w:rFonts w:hint="eastAsia" w:ascii="宋体" w:hAnsi="宋体"/>
          <w:b/>
          <w:bCs/>
          <w:color w:val="000000"/>
          <w:highlight w:val="none"/>
        </w:rPr>
        <w:t xml:space="preserve"> </w:t>
      </w:r>
      <w:r>
        <w:rPr>
          <w:rFonts w:ascii="宋体" w:hAnsi="宋体"/>
          <w:b/>
          <w:bCs/>
          <w:color w:val="000000"/>
          <w:highlight w:val="none"/>
        </w:rPr>
        <w:t>8</w:t>
      </w:r>
      <w:r>
        <w:rPr>
          <w:rFonts w:hint="eastAsia" w:ascii="宋体" w:hAnsi="宋体"/>
          <w:b/>
          <w:bCs/>
          <w:color w:val="000000"/>
          <w:highlight w:val="none"/>
        </w:rPr>
        <w:t>0</w:t>
      </w:r>
      <w:r>
        <w:rPr>
          <w:rFonts w:ascii="宋体" w:hAnsi="宋体"/>
          <w:b/>
          <w:bCs/>
          <w:color w:val="000000"/>
          <w:highlight w:val="none"/>
        </w:rPr>
        <w:t>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6385"/>
      </w:tblGrid>
      <w:tr w14:paraId="2413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276" w:type="dxa"/>
            <w:vMerge w:val="restart"/>
            <w:shd w:val="clear" w:color="auto" w:fill="FFFFFF"/>
            <w:vAlign w:val="center"/>
          </w:tcPr>
          <w:p w14:paraId="3E7BE550">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项目管理机构配备分（</w:t>
            </w:r>
            <w:r>
              <w:rPr>
                <w:rFonts w:hint="eastAsia" w:ascii="宋体" w:hAnsi="宋体"/>
                <w:color w:val="000000"/>
                <w:szCs w:val="21"/>
                <w:highlight w:val="none"/>
                <w:lang w:val="en-US" w:eastAsia="zh-CN"/>
              </w:rPr>
              <w:t>10</w:t>
            </w:r>
            <w:r>
              <w:rPr>
                <w:rFonts w:hint="eastAsia" w:ascii="宋体" w:hAnsi="宋体"/>
                <w:color w:val="000000"/>
                <w:szCs w:val="21"/>
                <w:highlight w:val="none"/>
              </w:rPr>
              <w:t>）</w:t>
            </w:r>
          </w:p>
        </w:tc>
        <w:tc>
          <w:tcPr>
            <w:tcW w:w="992" w:type="dxa"/>
            <w:shd w:val="clear" w:color="auto" w:fill="FFFFFF"/>
            <w:vAlign w:val="center"/>
          </w:tcPr>
          <w:p w14:paraId="17DBEBF0">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主要负责人员分（</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shd w:val="clear" w:color="auto" w:fill="FFFFFF"/>
            <w:vAlign w:val="center"/>
          </w:tcPr>
          <w:p w14:paraId="04F06E6A">
            <w:pPr>
              <w:keepNext w:val="0"/>
              <w:keepLines w:val="0"/>
              <w:pageBreakBefore w:val="0"/>
              <w:kinsoku/>
              <w:wordWrap/>
              <w:overflowPunct/>
              <w:topLinePunct w:val="0"/>
              <w:autoSpaceDE/>
              <w:autoSpaceDN/>
              <w:bidi w:val="0"/>
              <w:snapToGrid/>
              <w:spacing w:line="400" w:lineRule="exact"/>
              <w:rPr>
                <w:rFonts w:ascii="宋体" w:hAnsi="宋体"/>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 1 \* GB3</w:instrText>
            </w:r>
            <w:r>
              <w:rPr>
                <w:rFonts w:ascii="宋体" w:hAnsi="宋体"/>
                <w:color w:val="000000"/>
                <w:szCs w:val="21"/>
                <w:highlight w:val="none"/>
              </w:rPr>
              <w:instrText xml:space="preserve"> </w:instrText>
            </w:r>
            <w:r>
              <w:rPr>
                <w:rFonts w:ascii="宋体" w:hAnsi="宋体"/>
                <w:color w:val="000000"/>
                <w:szCs w:val="21"/>
                <w:highlight w:val="none"/>
              </w:rPr>
              <w:fldChar w:fldCharType="separate"/>
            </w:r>
            <w:r>
              <w:rPr>
                <w:rFonts w:hint="eastAsia" w:ascii="宋体" w:hAnsi="宋体"/>
                <w:color w:val="000000"/>
                <w:szCs w:val="21"/>
                <w:highlight w:val="none"/>
              </w:rPr>
              <w:t>①</w:t>
            </w:r>
            <w:r>
              <w:rPr>
                <w:rFonts w:ascii="宋体" w:hAnsi="宋体"/>
                <w:color w:val="000000"/>
                <w:szCs w:val="21"/>
                <w:highlight w:val="none"/>
              </w:rPr>
              <w:fldChar w:fldCharType="end"/>
            </w:r>
            <w:r>
              <w:rPr>
                <w:rFonts w:hint="eastAsia" w:ascii="宋体" w:hAnsi="宋体"/>
                <w:color w:val="000000"/>
                <w:szCs w:val="21"/>
                <w:highlight w:val="none"/>
              </w:rPr>
              <w:t>供应商拟投入的项目经理具有市政公用工程相关专业中级（或以上）职称的得</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p>
          <w:p w14:paraId="13E91399">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②供应商拟投入的技术负责人有市政公用工程相关专业中级（或以上）工程师职称的得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p>
          <w:p w14:paraId="639222C8">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（以上人员须提供职称证扫描件以及提供供应商为其缴纳</w:t>
            </w:r>
            <w:r>
              <w:rPr>
                <w:rFonts w:hint="eastAsia" w:ascii="宋体" w:hAnsi="宋体"/>
                <w:bCs/>
                <w:color w:val="000000"/>
                <w:szCs w:val="21"/>
                <w:highlight w:val="none"/>
              </w:rPr>
              <w:t>自</w:t>
            </w:r>
            <w:r>
              <w:rPr>
                <w:rFonts w:ascii="宋体" w:hAnsi="宋体"/>
                <w:bCs/>
                <w:color w:val="000000"/>
                <w:szCs w:val="21"/>
                <w:highlight w:val="none"/>
              </w:rPr>
              <w:t>响应文件提交截止时间前</w:t>
            </w:r>
            <w:r>
              <w:rPr>
                <w:rFonts w:ascii="宋体" w:hAnsi="宋体"/>
                <w:color w:val="000000"/>
                <w:szCs w:val="21"/>
                <w:highlight w:val="none"/>
              </w:rPr>
              <w:t>半年内任</w:t>
            </w:r>
            <w:r>
              <w:rPr>
                <w:rFonts w:ascii="宋体" w:hAnsi="宋体"/>
                <w:bCs/>
                <w:color w:val="000000"/>
                <w:szCs w:val="21"/>
                <w:highlight w:val="none"/>
              </w:rPr>
              <w:t>意一个月（或以上）的社会保险缴纳</w:t>
            </w:r>
            <w:r>
              <w:rPr>
                <w:rFonts w:hint="eastAsia" w:ascii="宋体" w:hAnsi="宋体"/>
                <w:bCs/>
                <w:color w:val="000000"/>
                <w:szCs w:val="21"/>
                <w:highlight w:val="none"/>
              </w:rPr>
              <w:t>证明</w:t>
            </w:r>
            <w:r>
              <w:rPr>
                <w:rFonts w:hint="eastAsia" w:ascii="宋体" w:hAnsi="宋体"/>
                <w:color w:val="000000"/>
                <w:szCs w:val="21"/>
                <w:highlight w:val="none"/>
              </w:rPr>
              <w:t>并加CA</w:t>
            </w:r>
            <w:r>
              <w:rPr>
                <w:rFonts w:hint="eastAsia" w:ascii="宋体" w:hAnsi="宋体"/>
                <w:color w:val="000000"/>
                <w:szCs w:val="21"/>
                <w:highlight w:val="none"/>
                <w:lang w:val="en-US" w:eastAsia="zh-CN"/>
              </w:rPr>
              <w:t>签章</w:t>
            </w:r>
            <w:r>
              <w:rPr>
                <w:rFonts w:ascii="宋体" w:hAnsi="宋体"/>
                <w:bCs/>
                <w:color w:val="000000"/>
                <w:szCs w:val="21"/>
                <w:highlight w:val="none"/>
              </w:rPr>
              <w:t>（如为新入职员工，社会保障资金凭证据实提供，已退休未满65岁的不用提供社保，但应附退休证明文件的扫描件，且</w:t>
            </w:r>
            <w:r>
              <w:rPr>
                <w:rFonts w:hint="eastAsia" w:ascii="宋体" w:hAnsi="宋体"/>
                <w:bCs/>
                <w:color w:val="000000"/>
                <w:szCs w:val="21"/>
                <w:highlight w:val="none"/>
              </w:rPr>
              <w:t>相关证书现职</w:t>
            </w:r>
            <w:r>
              <w:rPr>
                <w:rFonts w:ascii="宋体" w:hAnsi="宋体"/>
                <w:bCs/>
                <w:color w:val="000000"/>
                <w:szCs w:val="21"/>
                <w:highlight w:val="none"/>
              </w:rPr>
              <w:t>单位与供应商一致</w:t>
            </w:r>
            <w:r>
              <w:rPr>
                <w:rFonts w:hint="eastAsia" w:ascii="宋体" w:hAnsi="宋体"/>
                <w:color w:val="000000"/>
                <w:szCs w:val="21"/>
                <w:highlight w:val="none"/>
              </w:rPr>
              <w:t>，否则不予计分。）</w:t>
            </w:r>
          </w:p>
        </w:tc>
      </w:tr>
      <w:tr w14:paraId="0327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Merge w:val="continue"/>
            <w:shd w:val="clear" w:color="auto" w:fill="FFFFFF"/>
            <w:vAlign w:val="center"/>
          </w:tcPr>
          <w:p w14:paraId="229D314C">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shd w:val="clear" w:color="auto" w:fill="FFFFFF"/>
            <w:vAlign w:val="center"/>
          </w:tcPr>
          <w:p w14:paraId="3C0ABA0C">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其他人员分（</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shd w:val="clear" w:color="auto" w:fill="FFFFFF"/>
            <w:vAlign w:val="center"/>
          </w:tcPr>
          <w:p w14:paraId="7BD82D19">
            <w:pPr>
              <w:keepNext w:val="0"/>
              <w:keepLines w:val="0"/>
              <w:pageBreakBefore w:val="0"/>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拟派驻本项目的</w:t>
            </w:r>
            <w:r>
              <w:rPr>
                <w:rFonts w:hint="eastAsia" w:ascii="宋体" w:hAnsi="宋体"/>
                <w:color w:val="000000"/>
                <w:szCs w:val="21"/>
                <w:highlight w:val="none"/>
                <w:lang w:val="en-US" w:eastAsia="zh-CN"/>
              </w:rPr>
              <w:t>安全员、</w:t>
            </w:r>
            <w:r>
              <w:rPr>
                <w:rFonts w:hint="eastAsia" w:ascii="宋体" w:hAnsi="宋体"/>
                <w:color w:val="000000"/>
                <w:szCs w:val="21"/>
                <w:highlight w:val="none"/>
              </w:rPr>
              <w:t>施工员、质量员、材料员应具有相应岗位资格证书，拟投入本工程主要管理人员（</w:t>
            </w:r>
            <w:r>
              <w:rPr>
                <w:rFonts w:hint="eastAsia" w:ascii="宋体" w:hAnsi="宋体"/>
                <w:color w:val="000000"/>
                <w:szCs w:val="21"/>
                <w:highlight w:val="none"/>
                <w:lang w:val="en-US" w:eastAsia="zh-CN"/>
              </w:rPr>
              <w:t>安全员、</w:t>
            </w:r>
            <w:r>
              <w:rPr>
                <w:rFonts w:hint="eastAsia" w:ascii="宋体" w:hAnsi="宋体"/>
                <w:color w:val="000000"/>
                <w:szCs w:val="21"/>
                <w:highlight w:val="none"/>
              </w:rPr>
              <w:t>施工员、质量员、材料员）各1名以上（含1名），得</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p w14:paraId="272E4106">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（以上人员须提供岗位证书扫描件以及提供供应商为其缴纳</w:t>
            </w:r>
            <w:r>
              <w:rPr>
                <w:rFonts w:hint="eastAsia" w:ascii="宋体" w:hAnsi="宋体"/>
                <w:bCs/>
                <w:color w:val="000000"/>
                <w:szCs w:val="21"/>
                <w:highlight w:val="none"/>
              </w:rPr>
              <w:t>自</w:t>
            </w:r>
            <w:r>
              <w:rPr>
                <w:rFonts w:ascii="宋体" w:hAnsi="宋体"/>
                <w:bCs/>
                <w:color w:val="000000"/>
                <w:szCs w:val="21"/>
                <w:highlight w:val="none"/>
              </w:rPr>
              <w:t>响应文件提交截止时间前</w:t>
            </w:r>
            <w:r>
              <w:rPr>
                <w:rFonts w:ascii="宋体" w:hAnsi="宋体"/>
                <w:color w:val="000000"/>
                <w:szCs w:val="21"/>
                <w:highlight w:val="none"/>
              </w:rPr>
              <w:t>半年内任</w:t>
            </w:r>
            <w:r>
              <w:rPr>
                <w:rFonts w:ascii="宋体" w:hAnsi="宋体"/>
                <w:bCs/>
                <w:color w:val="000000"/>
                <w:szCs w:val="21"/>
                <w:highlight w:val="none"/>
              </w:rPr>
              <w:t>意一个月（或以上）的社会保险缴纳</w:t>
            </w:r>
            <w:r>
              <w:rPr>
                <w:rFonts w:hint="eastAsia" w:ascii="宋体" w:hAnsi="宋体"/>
                <w:bCs/>
                <w:color w:val="000000"/>
                <w:szCs w:val="21"/>
                <w:highlight w:val="none"/>
              </w:rPr>
              <w:t>证明</w:t>
            </w:r>
            <w:r>
              <w:rPr>
                <w:rFonts w:hint="eastAsia" w:ascii="宋体" w:hAnsi="宋体"/>
                <w:color w:val="000000"/>
                <w:szCs w:val="21"/>
                <w:highlight w:val="none"/>
              </w:rPr>
              <w:t>并CA</w:t>
            </w:r>
            <w:r>
              <w:rPr>
                <w:rFonts w:hint="eastAsia" w:ascii="宋体" w:hAnsi="宋体"/>
                <w:color w:val="000000"/>
                <w:szCs w:val="21"/>
                <w:highlight w:val="none"/>
                <w:lang w:val="en-US" w:eastAsia="zh-CN"/>
              </w:rPr>
              <w:t>签章</w:t>
            </w:r>
            <w:r>
              <w:rPr>
                <w:rFonts w:ascii="宋体" w:hAnsi="宋体"/>
                <w:bCs/>
                <w:color w:val="000000"/>
                <w:szCs w:val="21"/>
                <w:highlight w:val="none"/>
              </w:rPr>
              <w:t>（如为新入职员工，社会保障资金凭证据实提供，已退休未满65岁的不用提供社保，但应附退休证明文件的扫描件，且</w:t>
            </w:r>
            <w:r>
              <w:rPr>
                <w:rFonts w:hint="eastAsia" w:ascii="宋体" w:hAnsi="宋体"/>
                <w:bCs/>
                <w:color w:val="000000"/>
                <w:szCs w:val="21"/>
                <w:highlight w:val="none"/>
              </w:rPr>
              <w:t>相关证书现职</w:t>
            </w:r>
            <w:r>
              <w:rPr>
                <w:rFonts w:ascii="宋体" w:hAnsi="宋体"/>
                <w:bCs/>
                <w:color w:val="000000"/>
                <w:szCs w:val="21"/>
                <w:highlight w:val="none"/>
              </w:rPr>
              <w:t>单位与供应商一致</w:t>
            </w:r>
            <w:r>
              <w:rPr>
                <w:rFonts w:hint="eastAsia" w:ascii="宋体" w:hAnsi="宋体"/>
                <w:color w:val="000000"/>
                <w:szCs w:val="21"/>
                <w:highlight w:val="none"/>
              </w:rPr>
              <w:t>，否则不予计分。）</w:t>
            </w:r>
          </w:p>
        </w:tc>
      </w:tr>
      <w:tr w14:paraId="4525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restart"/>
            <w:vAlign w:val="center"/>
          </w:tcPr>
          <w:p w14:paraId="6D62266E">
            <w:pPr>
              <w:keepNext w:val="0"/>
              <w:keepLines w:val="0"/>
              <w:pageBreakBefore w:val="0"/>
              <w:kinsoku/>
              <w:wordWrap/>
              <w:overflowPunct/>
              <w:topLinePunct w:val="0"/>
              <w:autoSpaceDE/>
              <w:autoSpaceDN/>
              <w:bidi w:val="0"/>
              <w:snapToGrid/>
              <w:spacing w:line="400" w:lineRule="exact"/>
              <w:jc w:val="center"/>
              <w:rPr>
                <w:rFonts w:hint="eastAsia" w:ascii="宋体" w:hAnsi="宋体"/>
                <w:color w:val="000000"/>
                <w:szCs w:val="21"/>
                <w:highlight w:val="none"/>
              </w:rPr>
            </w:pPr>
            <w:r>
              <w:rPr>
                <w:rFonts w:hint="eastAsia" w:ascii="宋体" w:hAnsi="宋体"/>
                <w:color w:val="000000"/>
                <w:szCs w:val="21"/>
                <w:highlight w:val="none"/>
              </w:rPr>
              <w:t>施工组织设计分（</w:t>
            </w:r>
            <w:r>
              <w:rPr>
                <w:rFonts w:hint="eastAsia" w:ascii="宋体" w:hAnsi="宋体"/>
                <w:color w:val="000000"/>
                <w:szCs w:val="21"/>
                <w:highlight w:val="none"/>
                <w:lang w:val="en-US" w:eastAsia="zh-CN"/>
              </w:rPr>
              <w:t>70</w:t>
            </w:r>
            <w:r>
              <w:rPr>
                <w:rFonts w:hint="eastAsia" w:ascii="宋体" w:hAnsi="宋体"/>
                <w:color w:val="000000"/>
                <w:szCs w:val="21"/>
                <w:highlight w:val="none"/>
              </w:rPr>
              <w:t>分）</w:t>
            </w:r>
          </w:p>
        </w:tc>
        <w:tc>
          <w:tcPr>
            <w:tcW w:w="992" w:type="dxa"/>
            <w:vAlign w:val="center"/>
          </w:tcPr>
          <w:p w14:paraId="7482072B">
            <w:pPr>
              <w:keepNext w:val="0"/>
              <w:keepLines w:val="0"/>
              <w:pageBreakBefore w:val="0"/>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主要施工方法（10分）</w:t>
            </w:r>
          </w:p>
        </w:tc>
        <w:tc>
          <w:tcPr>
            <w:tcW w:w="6385" w:type="dxa"/>
            <w:vAlign w:val="center"/>
          </w:tcPr>
          <w:p w14:paraId="2EBEB82D">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各主要分部施工方法符合项目实际，须有详尽的施工技术方案，工艺先进、方法科学合理、可行，能指导具体施工并确保安全。</w:t>
            </w:r>
          </w:p>
          <w:p w14:paraId="57004957">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优(10分):各主要分部施工方法针对性强，施工技术方案详尽周密，工艺先进、方法科学、可行，能很好的指导具体施工并确保安全。</w:t>
            </w:r>
          </w:p>
          <w:p w14:paraId="28BEBDC7">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良(7分):各主要分部施工方法符合项目实际，施工技术方案齐全，工艺成熟、方法合理、可行，能指导具体施工并确保安全。</w:t>
            </w:r>
          </w:p>
          <w:p w14:paraId="58CAD2F0">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中(</w:t>
            </w:r>
            <w:r>
              <w:rPr>
                <w:rFonts w:hint="eastAsia" w:ascii="宋体" w:hAnsi="宋体"/>
                <w:color w:val="000000"/>
                <w:kern w:val="0"/>
                <w:szCs w:val="21"/>
                <w:highlight w:val="none"/>
                <w:lang w:val="en-US" w:eastAsia="zh-CN"/>
              </w:rPr>
              <w:t>4</w:t>
            </w:r>
            <w:r>
              <w:rPr>
                <w:rFonts w:hint="eastAsia" w:ascii="宋体" w:hAnsi="宋体"/>
                <w:color w:val="000000"/>
                <w:kern w:val="0"/>
                <w:szCs w:val="21"/>
                <w:highlight w:val="none"/>
              </w:rPr>
              <w:t>分): 各主要分部施工方法基本符合项目实际，施工技术方案基本齐全，方法基本合理、基本可行，基本能指导具体施工并确保安全。</w:t>
            </w:r>
          </w:p>
          <w:p w14:paraId="3FA8D99D">
            <w:pPr>
              <w:keepNext w:val="0"/>
              <w:keepLines w:val="0"/>
              <w:pageBreakBefore w:val="0"/>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差(</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rPr>
              <w:t>分):各主要分部施工方法针对性差，施工技术方案差，工艺落后、方法不合理，不能指导具体施工和确保安全。</w:t>
            </w:r>
          </w:p>
        </w:tc>
      </w:tr>
      <w:tr w14:paraId="03DA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29E2D961">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6FB35B0E">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拟投入的主要物资计划（10分）</w:t>
            </w:r>
          </w:p>
        </w:tc>
        <w:tc>
          <w:tcPr>
            <w:tcW w:w="6385" w:type="dxa"/>
            <w:vAlign w:val="center"/>
          </w:tcPr>
          <w:p w14:paraId="0EF0105A">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投入的施工材料有详细的组织计划且计划周密，数量、选型配置、进场时间安排合理，满足施工需要。</w:t>
            </w:r>
          </w:p>
          <w:p w14:paraId="10E82209">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 xml:space="preserve">优（10分）：投入的施工材料有详细的组织计划且计划周密，投入计划与进度计划呼应，较好满足施工需要，调配投入计划合理、准确。 </w:t>
            </w:r>
          </w:p>
          <w:p w14:paraId="20EB335C">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 xml:space="preserve">良（7分）：投入的施工材料有详细的组织计划，投入计划与进度计划呼应，基本满足施工需要，调配投入计划基本合理、准确。 </w:t>
            </w:r>
          </w:p>
          <w:p w14:paraId="2CC7E616">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 xml:space="preserve">分）：投入的施工材料有组织计划，投入计划与进度计划呼应，基本满足施工需要，调配投入计划基本合理。 </w:t>
            </w:r>
          </w:p>
          <w:p w14:paraId="3ECA67A3">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分）：投入的施工材料的组织计划差，投入计划与进度计划不呼应，不能满足施工需要。</w:t>
            </w:r>
          </w:p>
        </w:tc>
      </w:tr>
      <w:tr w14:paraId="65C9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continue"/>
            <w:vAlign w:val="center"/>
          </w:tcPr>
          <w:p w14:paraId="7D4E747E">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19D83DF4">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劳动力安排计划（10分）</w:t>
            </w:r>
          </w:p>
        </w:tc>
        <w:tc>
          <w:tcPr>
            <w:tcW w:w="6385" w:type="dxa"/>
            <w:vAlign w:val="center"/>
          </w:tcPr>
          <w:p w14:paraId="47BB91D5">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各主要施工工序应有详细周密的劳动力安排计划，有各工种劳动力安排计划，劳动力投入合理，满足施工需要。</w:t>
            </w:r>
          </w:p>
          <w:p w14:paraId="1FFB549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（10分）</w:t>
            </w:r>
            <w:r>
              <w:rPr>
                <w:rFonts w:hint="eastAsia" w:ascii="宋体" w:hAnsi="宋体"/>
                <w:color w:val="000000"/>
                <w:kern w:val="0"/>
                <w:szCs w:val="21"/>
                <w:highlight w:val="none"/>
              </w:rPr>
              <w:t>：</w:t>
            </w:r>
            <w:r>
              <w:rPr>
                <w:rFonts w:ascii="宋体" w:hAnsi="宋体"/>
                <w:color w:val="000000"/>
                <w:szCs w:val="21"/>
                <w:highlight w:val="none"/>
              </w:rPr>
              <w:t>各主要施工工序有详细周密的劳动力安排计划， 各工种劳动力安排计划齐全，劳动力投入与进度计划呼应合理， 满足施工需要。</w:t>
            </w:r>
          </w:p>
          <w:p w14:paraId="231E586F">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良（7分）：</w:t>
            </w:r>
            <w:r>
              <w:rPr>
                <w:rFonts w:ascii="宋体" w:hAnsi="宋体"/>
                <w:color w:val="000000"/>
                <w:szCs w:val="21"/>
                <w:highlight w:val="none"/>
              </w:rPr>
              <w:t>各主要施工工序有详细的劳动力安排计划，有各工种劳动力安排计划，劳动力投入合理，满足施工需要</w:t>
            </w:r>
            <w:r>
              <w:rPr>
                <w:rFonts w:hint="eastAsia" w:ascii="宋体" w:hAnsi="宋体"/>
                <w:color w:val="000000"/>
                <w:szCs w:val="21"/>
                <w:highlight w:val="none"/>
              </w:rPr>
              <w:t>。</w:t>
            </w:r>
          </w:p>
          <w:p w14:paraId="0AFC6572">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各主要施工工序劳动力安排计划</w:t>
            </w:r>
            <w:r>
              <w:rPr>
                <w:rFonts w:hint="eastAsia" w:ascii="宋体" w:hAnsi="宋体"/>
                <w:color w:val="000000"/>
                <w:szCs w:val="21"/>
                <w:highlight w:val="none"/>
              </w:rPr>
              <w:t>基本完</w:t>
            </w:r>
            <w:r>
              <w:rPr>
                <w:rFonts w:ascii="宋体" w:hAnsi="宋体"/>
                <w:color w:val="000000"/>
                <w:szCs w:val="21"/>
                <w:highlight w:val="none"/>
              </w:rPr>
              <w:t>全，无各工种劳动力安排计划或计划不全，劳动力投入不合理，</w:t>
            </w:r>
            <w:r>
              <w:rPr>
                <w:rFonts w:hint="eastAsia" w:ascii="宋体" w:hAnsi="宋体"/>
                <w:color w:val="000000"/>
                <w:szCs w:val="21"/>
                <w:highlight w:val="none"/>
              </w:rPr>
              <w:t>基本</w:t>
            </w:r>
            <w:r>
              <w:rPr>
                <w:rFonts w:ascii="宋体" w:hAnsi="宋体"/>
                <w:color w:val="000000"/>
                <w:szCs w:val="21"/>
                <w:highlight w:val="none"/>
              </w:rPr>
              <w:t>能满足施工需要。</w:t>
            </w:r>
          </w:p>
          <w:p w14:paraId="3F79B0DD">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各主要施工工序劳动力安排计划</w:t>
            </w:r>
            <w:r>
              <w:rPr>
                <w:rFonts w:hint="eastAsia" w:ascii="宋体" w:hAnsi="宋体"/>
                <w:color w:val="000000"/>
                <w:szCs w:val="21"/>
                <w:highlight w:val="none"/>
              </w:rPr>
              <w:t>差</w:t>
            </w:r>
            <w:r>
              <w:rPr>
                <w:rFonts w:ascii="宋体" w:hAnsi="宋体"/>
                <w:color w:val="000000"/>
                <w:szCs w:val="21"/>
                <w:highlight w:val="none"/>
              </w:rPr>
              <w:t>，无各工种劳动力安排计划或计划不全，劳动力投入不合理，</w:t>
            </w:r>
            <w:r>
              <w:rPr>
                <w:rFonts w:hint="eastAsia" w:ascii="宋体" w:hAnsi="宋体"/>
                <w:color w:val="000000"/>
                <w:szCs w:val="21"/>
                <w:highlight w:val="none"/>
              </w:rPr>
              <w:t>不</w:t>
            </w:r>
            <w:r>
              <w:rPr>
                <w:rFonts w:ascii="宋体" w:hAnsi="宋体"/>
                <w:color w:val="000000"/>
                <w:szCs w:val="21"/>
                <w:highlight w:val="none"/>
              </w:rPr>
              <w:t>能满足施工需要。</w:t>
            </w:r>
          </w:p>
        </w:tc>
      </w:tr>
      <w:tr w14:paraId="5193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1C12C362">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778E7244">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确保工程质量的技术组织措施（</w:t>
            </w:r>
            <w:r>
              <w:rPr>
                <w:rFonts w:ascii="宋体" w:hAnsi="宋体"/>
                <w:color w:val="000000"/>
                <w:kern w:val="0"/>
                <w:szCs w:val="21"/>
                <w:highlight w:val="none"/>
              </w:rPr>
              <w:t>10</w:t>
            </w:r>
            <w:r>
              <w:rPr>
                <w:rFonts w:hint="eastAsia" w:ascii="宋体" w:hAnsi="宋体"/>
                <w:color w:val="000000"/>
                <w:kern w:val="0"/>
                <w:szCs w:val="21"/>
                <w:highlight w:val="none"/>
              </w:rPr>
              <w:t>分）</w:t>
            </w:r>
          </w:p>
        </w:tc>
        <w:tc>
          <w:tcPr>
            <w:tcW w:w="6385" w:type="dxa"/>
            <w:vAlign w:val="center"/>
          </w:tcPr>
          <w:p w14:paraId="61B5689F">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应有专门的质量技术管理班子和制度，且人员配备合理，制度健全。主要工序应有质量技术保证措施和手段，自控体系完整，能有效保证技术质量，达到承诺的质量标准。</w:t>
            </w:r>
          </w:p>
          <w:p w14:paraId="704E12A7">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ascii="宋体" w:hAnsi="宋体"/>
                <w:color w:val="000000"/>
                <w:szCs w:val="21"/>
                <w:highlight w:val="none"/>
              </w:rPr>
              <w:t>10</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有专门的质量技术管理班子和制度，且人员配 备合理，制度健全。主要工序有质量技术保证措施和手段，且先进、可行、具体，高于</w:t>
            </w:r>
            <w:r>
              <w:rPr>
                <w:rFonts w:hint="eastAsia" w:ascii="宋体" w:hAnsi="宋体"/>
                <w:color w:val="000000"/>
                <w:szCs w:val="21"/>
                <w:highlight w:val="none"/>
              </w:rPr>
              <w:t>磋商文件</w:t>
            </w:r>
            <w:r>
              <w:rPr>
                <w:rFonts w:ascii="宋体" w:hAnsi="宋体"/>
                <w:color w:val="000000"/>
                <w:szCs w:val="21"/>
                <w:highlight w:val="none"/>
              </w:rPr>
              <w:t>的质量要求及施工验收规范要求，达到承诺的质量标准</w:t>
            </w:r>
            <w:r>
              <w:rPr>
                <w:rFonts w:hint="eastAsia" w:ascii="宋体" w:hAnsi="宋体"/>
                <w:color w:val="000000"/>
                <w:szCs w:val="21"/>
                <w:highlight w:val="none"/>
              </w:rPr>
              <w:t>。</w:t>
            </w:r>
          </w:p>
          <w:p w14:paraId="3AD02DD2">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ascii="宋体" w:hAnsi="宋体"/>
                <w:color w:val="000000"/>
                <w:szCs w:val="21"/>
                <w:highlight w:val="none"/>
              </w:rPr>
              <w:t>7</w:t>
            </w:r>
            <w:r>
              <w:rPr>
                <w:rFonts w:hint="eastAsia" w:ascii="宋体" w:hAnsi="宋体"/>
                <w:color w:val="000000"/>
                <w:szCs w:val="21"/>
                <w:highlight w:val="none"/>
              </w:rPr>
              <w:t>分）：</w:t>
            </w:r>
            <w:r>
              <w:rPr>
                <w:rFonts w:ascii="宋体" w:hAnsi="宋体"/>
                <w:color w:val="000000"/>
                <w:szCs w:val="21"/>
                <w:highlight w:val="none"/>
              </w:rPr>
              <w:t>有专门的质量技术管理班子和制度，且人员配备合理，制度健全。主要工序有质量技术保证措施和手段，自控体系完整，能有效保证技术质量，达到承诺的质量标准。</w:t>
            </w:r>
          </w:p>
          <w:p w14:paraId="6A40509D">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质量技术管理班子人员配备</w:t>
            </w:r>
            <w:r>
              <w:rPr>
                <w:rFonts w:hint="eastAsia" w:ascii="宋体" w:hAnsi="宋体"/>
                <w:color w:val="000000"/>
                <w:szCs w:val="21"/>
                <w:highlight w:val="none"/>
              </w:rPr>
              <w:t>基本</w:t>
            </w:r>
            <w:r>
              <w:rPr>
                <w:rFonts w:ascii="宋体" w:hAnsi="宋体"/>
                <w:color w:val="000000"/>
                <w:szCs w:val="21"/>
                <w:highlight w:val="none"/>
              </w:rPr>
              <w:t>合理，制度不健全。质量技术保证措施和手段</w:t>
            </w:r>
            <w:r>
              <w:rPr>
                <w:rFonts w:hint="eastAsia" w:ascii="宋体" w:hAnsi="宋体"/>
                <w:color w:val="000000"/>
                <w:szCs w:val="21"/>
                <w:highlight w:val="none"/>
              </w:rPr>
              <w:t>基本</w:t>
            </w:r>
            <w:r>
              <w:rPr>
                <w:rFonts w:ascii="宋体" w:hAnsi="宋体"/>
                <w:color w:val="000000"/>
                <w:szCs w:val="21"/>
                <w:highlight w:val="none"/>
              </w:rPr>
              <w:t>可行，没有质量违约责任承诺。</w:t>
            </w:r>
          </w:p>
          <w:p w14:paraId="7349E20C">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质量技术管理班子人员配备</w:t>
            </w:r>
            <w:r>
              <w:rPr>
                <w:rFonts w:hint="eastAsia" w:ascii="宋体" w:hAnsi="宋体"/>
                <w:color w:val="000000"/>
                <w:szCs w:val="21"/>
                <w:highlight w:val="none"/>
              </w:rPr>
              <w:t>差</w:t>
            </w:r>
            <w:r>
              <w:rPr>
                <w:rFonts w:ascii="宋体" w:hAnsi="宋体"/>
                <w:color w:val="000000"/>
                <w:szCs w:val="21"/>
                <w:highlight w:val="none"/>
              </w:rPr>
              <w:t>，制度不健全。质量技术保证措施和手段不可行，没有质量违约责任承诺。</w:t>
            </w:r>
          </w:p>
        </w:tc>
      </w:tr>
      <w:tr w14:paraId="746D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1EDF21E1">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1A0795DF">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确保安全生产的技术组织措施（</w:t>
            </w:r>
            <w:r>
              <w:rPr>
                <w:rFonts w:hint="eastAsia" w:ascii="宋体" w:hAnsi="宋体"/>
                <w:color w:val="000000"/>
                <w:kern w:val="0"/>
                <w:szCs w:val="21"/>
                <w:highlight w:val="none"/>
                <w:lang w:val="en-US" w:eastAsia="zh-CN"/>
              </w:rPr>
              <w:t>10</w:t>
            </w:r>
            <w:r>
              <w:rPr>
                <w:rFonts w:hint="eastAsia" w:ascii="宋体" w:hAnsi="宋体"/>
                <w:color w:val="000000"/>
                <w:kern w:val="0"/>
                <w:szCs w:val="21"/>
                <w:highlight w:val="none"/>
              </w:rPr>
              <w:t>分）</w:t>
            </w:r>
          </w:p>
        </w:tc>
        <w:tc>
          <w:tcPr>
            <w:tcW w:w="6385" w:type="dxa"/>
            <w:vAlign w:val="center"/>
          </w:tcPr>
          <w:p w14:paraId="7D3510D6">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应有专门的安全管理人员和制度，且人员配备合理，制度健全，各道工序安全技术措施针对性强，符合实际且满足有关安全技术标准要求。现场防火、应急救援、社会治安安全措施得力。</w:t>
            </w:r>
          </w:p>
          <w:p w14:paraId="033C460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安全人员配备合理；有健全的安全管理制度， 各道工序安全技术措施针对性强，符合实际且高于国家有关安 全技术标准要求。现场防火、应急救援、社会治安安全措施得力</w:t>
            </w:r>
            <w:r>
              <w:rPr>
                <w:rFonts w:hint="eastAsia" w:ascii="宋体" w:hAnsi="宋体"/>
                <w:color w:val="000000"/>
                <w:szCs w:val="21"/>
                <w:highlight w:val="none"/>
              </w:rPr>
              <w:t>。</w:t>
            </w:r>
          </w:p>
          <w:p w14:paraId="7196CB31">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7</w:t>
            </w:r>
            <w:r>
              <w:rPr>
                <w:rFonts w:hint="eastAsia" w:ascii="宋体" w:hAnsi="宋体"/>
                <w:color w:val="000000"/>
                <w:szCs w:val="21"/>
                <w:highlight w:val="none"/>
              </w:rPr>
              <w:t>分）：</w:t>
            </w:r>
            <w:r>
              <w:rPr>
                <w:rFonts w:ascii="宋体" w:hAnsi="宋体"/>
                <w:color w:val="000000"/>
                <w:szCs w:val="21"/>
                <w:highlight w:val="none"/>
              </w:rPr>
              <w:t>安全人员配备合理；有健全的安全管理制度， 各道工序安全技术措施符合实际且满足有关安全技术标准要求。现场防火、应急救援、社会治安安全措施合理。</w:t>
            </w:r>
          </w:p>
          <w:p w14:paraId="7D61CB7F">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安全人员配备合理，</w:t>
            </w:r>
            <w:r>
              <w:rPr>
                <w:rFonts w:hint="eastAsia" w:ascii="宋体" w:hAnsi="宋体"/>
                <w:color w:val="000000"/>
                <w:szCs w:val="21"/>
                <w:highlight w:val="none"/>
              </w:rPr>
              <w:t>但</w:t>
            </w:r>
            <w:r>
              <w:rPr>
                <w:rFonts w:ascii="宋体" w:hAnsi="宋体"/>
                <w:color w:val="000000"/>
                <w:szCs w:val="21"/>
                <w:highlight w:val="none"/>
              </w:rPr>
              <w:t>安全管理制度不健全， 各道工序安全技术措施基本符合实际，不能满足有关安全技术 标准要求。现场防火、应急救援、社会治安安全措施合理。</w:t>
            </w:r>
          </w:p>
          <w:p w14:paraId="02A75063">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安全人员配备不合理，安全管理制度不健全，不能满足有关安全技术 标准要求。现场防火、应急救援、社会治安安全措施</w:t>
            </w:r>
            <w:r>
              <w:rPr>
                <w:rFonts w:hint="eastAsia" w:ascii="宋体" w:hAnsi="宋体"/>
                <w:color w:val="000000"/>
                <w:szCs w:val="21"/>
                <w:highlight w:val="none"/>
              </w:rPr>
              <w:t>不</w:t>
            </w:r>
            <w:r>
              <w:rPr>
                <w:rFonts w:ascii="宋体" w:hAnsi="宋体"/>
                <w:color w:val="000000"/>
                <w:szCs w:val="21"/>
                <w:highlight w:val="none"/>
              </w:rPr>
              <w:t>合理。</w:t>
            </w:r>
          </w:p>
        </w:tc>
      </w:tr>
      <w:tr w14:paraId="2D7D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624C9C26">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16AF14A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确保工期的技术组织措施（</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1BDEF22A">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42FC32DF">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有保证工期的具体措施且措施得力。各项计划图表编制详尽周密，安排科学合理，符合本项目施工实际要求。</w:t>
            </w:r>
          </w:p>
          <w:p w14:paraId="13D63812">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r>
              <w:rPr>
                <w:rFonts w:ascii="宋体" w:hAnsi="宋体"/>
                <w:color w:val="000000"/>
                <w:szCs w:val="21"/>
                <w:highlight w:val="none"/>
              </w:rPr>
              <w:t>有保证工期的具体措施且措施得当。各项计划 图表编制完善，安排较合理，符合本项目施工实际要求。</w:t>
            </w:r>
          </w:p>
          <w:p w14:paraId="79C38595">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有保证工期的具体措施。各项计划图表编制不完善，安排不合理，</w:t>
            </w:r>
            <w:r>
              <w:rPr>
                <w:rFonts w:hint="eastAsia" w:ascii="宋体" w:hAnsi="宋体"/>
                <w:color w:val="000000"/>
                <w:szCs w:val="21"/>
                <w:highlight w:val="none"/>
              </w:rPr>
              <w:t>基本</w:t>
            </w:r>
            <w:r>
              <w:rPr>
                <w:rFonts w:ascii="宋体" w:hAnsi="宋体"/>
                <w:color w:val="000000"/>
                <w:szCs w:val="21"/>
                <w:highlight w:val="none"/>
              </w:rPr>
              <w:t>能满足本项目施工实际要求。</w:t>
            </w:r>
          </w:p>
          <w:p w14:paraId="6185BF3A">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0</w:t>
            </w:r>
            <w:r>
              <w:rPr>
                <w:rFonts w:hint="eastAsia" w:ascii="宋体" w:hAnsi="宋体"/>
                <w:color w:val="000000"/>
                <w:szCs w:val="21"/>
                <w:highlight w:val="none"/>
              </w:rPr>
              <w:t>分）：</w:t>
            </w:r>
            <w:r>
              <w:rPr>
                <w:rFonts w:ascii="宋体" w:hAnsi="宋体"/>
                <w:color w:val="000000"/>
                <w:szCs w:val="21"/>
                <w:highlight w:val="none"/>
              </w:rPr>
              <w:t>保证工期的具体措施</w:t>
            </w:r>
            <w:r>
              <w:rPr>
                <w:rFonts w:hint="eastAsia" w:ascii="宋体" w:hAnsi="宋体"/>
                <w:color w:val="000000"/>
                <w:szCs w:val="21"/>
                <w:highlight w:val="none"/>
              </w:rPr>
              <w:t>不完全</w:t>
            </w:r>
            <w:r>
              <w:rPr>
                <w:rFonts w:ascii="宋体" w:hAnsi="宋体"/>
                <w:color w:val="000000"/>
                <w:szCs w:val="21"/>
                <w:highlight w:val="none"/>
              </w:rPr>
              <w:t>。各项计划图表编制不 完善，安排不合理，不能满足本项目施工实际要求。</w:t>
            </w:r>
          </w:p>
        </w:tc>
      </w:tr>
      <w:tr w14:paraId="4E45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21E0D8EB">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58FFAEE0">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确保文明施工的技术组织措施（</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5A61FBD3">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针对本工程项目特点，应有现场文明施工、环境保护措施，且措施内容应达到《建筑施工安全生产检查标准》（</w:t>
            </w:r>
            <w:r>
              <w:rPr>
                <w:rFonts w:ascii="宋体" w:hAnsi="宋体"/>
                <w:color w:val="000000"/>
                <w:kern w:val="0"/>
                <w:szCs w:val="21"/>
                <w:highlight w:val="none"/>
              </w:rPr>
              <w:t>JGJ59-2011</w:t>
            </w:r>
            <w:r>
              <w:rPr>
                <w:rFonts w:hint="eastAsia" w:ascii="宋体" w:hAnsi="宋体"/>
                <w:color w:val="000000"/>
                <w:kern w:val="0"/>
                <w:szCs w:val="21"/>
                <w:highlight w:val="none"/>
              </w:rPr>
              <w:t>）合格标准并符合《广西壮族自治区建筑工程文明施工导则》要求。各项措施周全、具体、有效。有具体实现现场文明施工目标的承诺。</w:t>
            </w:r>
          </w:p>
          <w:p w14:paraId="467DE91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现场文明施工、环境保护措施和内容达到且高 于《建筑施工安全生产检查标准》、《广西壮族自治区建筑专业工程文明施工导则》要求；有具体实现现场文明施工目标的承诺，而且各项措施科学、具体、得力的。</w:t>
            </w:r>
          </w:p>
          <w:p w14:paraId="4645B35A">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r>
              <w:rPr>
                <w:rFonts w:ascii="宋体" w:hAnsi="宋体"/>
                <w:color w:val="000000"/>
                <w:szCs w:val="21"/>
                <w:highlight w:val="none"/>
              </w:rPr>
              <w:t>现场文明施工、环境保护措施和内容达到《建 筑施工安全生产检查标准》、《广西壮族自治区建筑专业工程 文明施工导则》；有具体实现现场文明施工目标的承诺，而且各项措施周全、具体、有效的。</w:t>
            </w:r>
          </w:p>
          <w:p w14:paraId="707F649B">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现场文明施工、环境保护措施和内容与《建筑 施工安全生产检查标准》、《广西壮族自治区建筑专业工程文 明施工导则》的要求</w:t>
            </w:r>
            <w:r>
              <w:rPr>
                <w:rFonts w:hint="eastAsia" w:ascii="宋体" w:hAnsi="宋体"/>
                <w:color w:val="000000"/>
                <w:szCs w:val="21"/>
                <w:highlight w:val="none"/>
              </w:rPr>
              <w:t>基本符合</w:t>
            </w:r>
            <w:r>
              <w:rPr>
                <w:rFonts w:ascii="宋体" w:hAnsi="宋体"/>
                <w:color w:val="000000"/>
                <w:szCs w:val="21"/>
                <w:highlight w:val="none"/>
              </w:rPr>
              <w:t>，现场文明施工目标的承诺。</w:t>
            </w:r>
          </w:p>
          <w:p w14:paraId="6473AEE6">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0</w:t>
            </w:r>
            <w:r>
              <w:rPr>
                <w:rFonts w:hint="eastAsia" w:ascii="宋体" w:hAnsi="宋体"/>
                <w:color w:val="000000"/>
                <w:szCs w:val="21"/>
                <w:highlight w:val="none"/>
              </w:rPr>
              <w:t>分）：</w:t>
            </w:r>
            <w:r>
              <w:rPr>
                <w:rFonts w:ascii="宋体" w:hAnsi="宋体"/>
                <w:color w:val="000000"/>
                <w:szCs w:val="21"/>
                <w:highlight w:val="none"/>
              </w:rPr>
              <w:t>现场文明施工、环境保护措施和内容与《建筑 施工安全生产检查标准》、《广西壮族自治区建筑专业工程文 明施工导则》的要求偏差大，</w:t>
            </w:r>
            <w:r>
              <w:rPr>
                <w:rFonts w:hint="eastAsia" w:ascii="宋体" w:hAnsi="宋体"/>
                <w:color w:val="000000"/>
                <w:szCs w:val="21"/>
                <w:highlight w:val="none"/>
              </w:rPr>
              <w:t>没有提供</w:t>
            </w:r>
            <w:r>
              <w:rPr>
                <w:rFonts w:ascii="宋体" w:hAnsi="宋体"/>
                <w:color w:val="000000"/>
                <w:szCs w:val="21"/>
                <w:highlight w:val="none"/>
              </w:rPr>
              <w:t>现场文明施工目标的承诺。</w:t>
            </w:r>
          </w:p>
        </w:tc>
      </w:tr>
      <w:tr w14:paraId="4A5B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04407E7B">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628CDF0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工程施工的重点和难点及保证措施</w:t>
            </w:r>
          </w:p>
          <w:p w14:paraId="1DC67A12">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vAlign w:val="center"/>
          </w:tcPr>
          <w:p w14:paraId="145C5D8D">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针对本工程的特点，阐述本工程的重点和难点，解决重点和难点问题的方法是否合理</w:t>
            </w:r>
          </w:p>
          <w:p w14:paraId="25A58F4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对项目关键技术、工艺有深入的表述。对重点、 难点有先进合理的施工措施并有可行的安全措施，解决方案完整、经济、安全、切实可行，措施得力。</w:t>
            </w:r>
          </w:p>
          <w:p w14:paraId="2F3448B7">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ascii="宋体" w:hAnsi="宋体"/>
                <w:color w:val="000000"/>
                <w:szCs w:val="21"/>
                <w:highlight w:val="none"/>
              </w:rPr>
              <w:t>3</w:t>
            </w:r>
            <w:r>
              <w:rPr>
                <w:rFonts w:hint="eastAsia" w:ascii="宋体" w:hAnsi="宋体"/>
                <w:color w:val="000000"/>
                <w:szCs w:val="21"/>
                <w:highlight w:val="none"/>
              </w:rPr>
              <w:t>分）：</w:t>
            </w:r>
            <w:r>
              <w:rPr>
                <w:rFonts w:ascii="宋体" w:hAnsi="宋体"/>
                <w:color w:val="000000"/>
                <w:szCs w:val="21"/>
                <w:highlight w:val="none"/>
              </w:rPr>
              <w:t>对项目关键技术、工艺有深入的表述，对重点、 难点有合理的建议，解决方案经济、安全、基本可行。</w:t>
            </w:r>
          </w:p>
          <w:p w14:paraId="60CC43C9">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ascii="宋体" w:hAnsi="宋体"/>
                <w:color w:val="000000"/>
                <w:szCs w:val="21"/>
                <w:highlight w:val="none"/>
              </w:rPr>
              <w:t>1</w:t>
            </w:r>
            <w:r>
              <w:rPr>
                <w:rFonts w:hint="eastAsia" w:ascii="宋体" w:hAnsi="宋体"/>
                <w:color w:val="000000"/>
                <w:szCs w:val="21"/>
                <w:highlight w:val="none"/>
              </w:rPr>
              <w:t>分）：</w:t>
            </w:r>
            <w:r>
              <w:rPr>
                <w:rFonts w:ascii="宋体" w:hAnsi="宋体"/>
                <w:color w:val="000000"/>
                <w:szCs w:val="21"/>
                <w:highlight w:val="none"/>
              </w:rPr>
              <w:t>对项目关键技术有表述，对重点、难点有建议， 解决方案不可行。</w:t>
            </w:r>
          </w:p>
          <w:p w14:paraId="25FF7CFC">
            <w:pPr>
              <w:pStyle w:val="33"/>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差（0分）：没有提供</w:t>
            </w:r>
            <w:r>
              <w:rPr>
                <w:rFonts w:ascii="宋体" w:hAnsi="宋体"/>
                <w:color w:val="000000"/>
                <w:szCs w:val="21"/>
                <w:highlight w:val="none"/>
              </w:rPr>
              <w:t>对项目关键技术有表述，对重点、难点有建议。</w:t>
            </w:r>
          </w:p>
        </w:tc>
      </w:tr>
      <w:tr w14:paraId="2180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41116F5E">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55FF1344">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施工总平面布置图（</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0890B961">
            <w:pPr>
              <w:keepNext w:val="0"/>
              <w:keepLines w:val="0"/>
              <w:pageBreakBefore w:val="0"/>
              <w:widowControl/>
              <w:kinsoku/>
              <w:wordWrap/>
              <w:overflowPunct/>
              <w:topLinePunct w:val="0"/>
              <w:autoSpaceDE/>
              <w:autoSpaceDN/>
              <w:bidi w:val="0"/>
              <w:snapToGrid/>
              <w:spacing w:line="400" w:lineRule="exact"/>
              <w:rPr>
                <w:rFonts w:hint="eastAsia"/>
                <w:color w:val="000000"/>
                <w:kern w:val="0"/>
                <w:highlight w:val="none"/>
              </w:rPr>
            </w:pPr>
            <w:r>
              <w:rPr>
                <w:rFonts w:hint="eastAsia"/>
                <w:color w:val="000000"/>
                <w:kern w:val="0"/>
                <w:highlight w:val="none"/>
              </w:rPr>
              <w:t>应有施工总平面布置图，安排科学合理，符合本项目施工实际要求。</w:t>
            </w:r>
          </w:p>
          <w:p w14:paraId="61D51BB6">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优</w:t>
            </w:r>
            <w:r>
              <w:rPr>
                <w:rFonts w:hint="eastAsia"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5</w:t>
            </w:r>
            <w:r>
              <w:rPr>
                <w:rFonts w:hint="eastAsia" w:ascii="宋体" w:hAnsi="宋体" w:eastAsia="宋体"/>
                <w:color w:val="000000"/>
                <w:sz w:val="21"/>
                <w:szCs w:val="21"/>
                <w:highlight w:val="none"/>
              </w:rPr>
              <w:t>分）</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有施工总平面布置图，安排科学合理，符合本项目施工实际要求。</w:t>
            </w:r>
          </w:p>
          <w:p w14:paraId="3BB331E9">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b w:val="0"/>
                <w:bCs/>
                <w:color w:val="000000"/>
                <w:sz w:val="21"/>
                <w:szCs w:val="21"/>
                <w:highlight w:val="none"/>
                <w:lang w:val="en-US" w:eastAsia="zh-CN"/>
              </w:rPr>
            </w:pPr>
            <w:r>
              <w:rPr>
                <w:rFonts w:hint="eastAsia" w:ascii="宋体" w:hAnsi="宋体" w:eastAsia="宋体"/>
                <w:b w:val="0"/>
                <w:bCs/>
                <w:color w:val="000000"/>
                <w:sz w:val="21"/>
                <w:szCs w:val="21"/>
                <w:highlight w:val="none"/>
                <w:lang w:val="en-US" w:eastAsia="zh-CN"/>
              </w:rPr>
              <w:t>良</w:t>
            </w:r>
            <w:r>
              <w:rPr>
                <w:rFonts w:hint="eastAsia" w:ascii="宋体" w:hAnsi="宋体" w:eastAsia="宋体"/>
                <w:b w:val="0"/>
                <w:bCs/>
                <w:color w:val="000000"/>
                <w:sz w:val="21"/>
                <w:szCs w:val="21"/>
                <w:highlight w:val="none"/>
              </w:rPr>
              <w:t>（</w:t>
            </w:r>
            <w:r>
              <w:rPr>
                <w:rFonts w:hint="eastAsia" w:ascii="宋体" w:hAnsi="宋体" w:eastAsia="宋体"/>
                <w:b w:val="0"/>
                <w:bCs/>
                <w:color w:val="000000"/>
                <w:sz w:val="21"/>
                <w:szCs w:val="21"/>
                <w:highlight w:val="none"/>
                <w:lang w:val="en-US" w:eastAsia="zh-CN"/>
              </w:rPr>
              <w:t>3</w:t>
            </w:r>
            <w:r>
              <w:rPr>
                <w:rFonts w:hint="eastAsia" w:ascii="宋体" w:hAnsi="宋体" w:eastAsia="宋体"/>
                <w:b w:val="0"/>
                <w:bCs/>
                <w:color w:val="000000"/>
                <w:sz w:val="21"/>
                <w:szCs w:val="21"/>
                <w:highlight w:val="none"/>
              </w:rPr>
              <w:t>分）</w:t>
            </w:r>
            <w:r>
              <w:rPr>
                <w:rFonts w:hint="eastAsia" w:ascii="宋体" w:hAnsi="宋体" w:eastAsia="宋体"/>
                <w:b w:val="0"/>
                <w:bCs/>
                <w:color w:val="000000"/>
                <w:sz w:val="21"/>
                <w:szCs w:val="21"/>
                <w:highlight w:val="none"/>
                <w:lang w:eastAsia="zh-CN"/>
              </w:rPr>
              <w:t>：</w:t>
            </w:r>
            <w:r>
              <w:rPr>
                <w:rFonts w:hint="eastAsia" w:ascii="宋体" w:hAnsi="宋体" w:eastAsia="宋体"/>
                <w:b w:val="0"/>
                <w:bCs/>
                <w:color w:val="000000"/>
                <w:sz w:val="21"/>
                <w:szCs w:val="21"/>
                <w:highlight w:val="none"/>
              </w:rPr>
              <w:t>有施工总平面布置图，安排一般，符合本项目施工实际要求。</w:t>
            </w:r>
          </w:p>
          <w:p w14:paraId="32238373">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中</w:t>
            </w:r>
            <w:r>
              <w:rPr>
                <w:rFonts w:hint="eastAsia"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 xml:space="preserve"> 分）</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有施工总平面布置图，基本符合本项目施工实际要求。</w:t>
            </w:r>
          </w:p>
          <w:p w14:paraId="622D5CA0">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差</w:t>
            </w:r>
            <w:r>
              <w:rPr>
                <w:rFonts w:hint="eastAsia" w:ascii="宋体" w:hAnsi="宋体" w:eastAsia="宋体"/>
                <w:color w:val="000000"/>
                <w:sz w:val="21"/>
                <w:szCs w:val="21"/>
                <w:highlight w:val="none"/>
              </w:rPr>
              <w:t>（1 分）</w:t>
            </w:r>
            <w:r>
              <w:rPr>
                <w:rFonts w:hint="eastAsia"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有施工总平面布置图，但不符合本项目施工实际要求。</w:t>
            </w:r>
          </w:p>
        </w:tc>
      </w:tr>
    </w:tbl>
    <w:p w14:paraId="78481259">
      <w:pPr>
        <w:spacing w:line="360" w:lineRule="auto"/>
        <w:ind w:right="-178"/>
        <w:rPr>
          <w:rFonts w:ascii="宋体" w:hAnsi="宋体"/>
          <w:b/>
          <w:bCs/>
          <w:color w:val="000000"/>
          <w:highlight w:val="none"/>
        </w:rPr>
      </w:pPr>
    </w:p>
    <w:p w14:paraId="29FA1E50">
      <w:pPr>
        <w:pStyle w:val="40"/>
        <w:spacing w:line="440" w:lineRule="exact"/>
        <w:jc w:val="left"/>
        <w:rPr>
          <w:rFonts w:hAnsi="宋体"/>
          <w:b/>
          <w:color w:val="000000"/>
          <w:highlight w:val="none"/>
        </w:rPr>
      </w:pPr>
      <w:r>
        <w:rPr>
          <w:rFonts w:hAnsi="宋体"/>
          <w:b/>
          <w:color w:val="000000"/>
          <w:highlight w:val="none"/>
        </w:rPr>
        <w:t>3、资信业绩</w:t>
      </w:r>
      <w:r>
        <w:rPr>
          <w:rFonts w:hAnsi="宋体"/>
          <w:bCs/>
          <w:color w:val="000000"/>
          <w:highlight w:val="none"/>
        </w:rPr>
        <w:t>…………………………………………………………………………………………</w:t>
      </w:r>
      <w:r>
        <w:rPr>
          <w:rFonts w:hAnsi="宋体"/>
          <w:b/>
          <w:bCs/>
          <w:color w:val="000000"/>
          <w:highlight w:val="none"/>
        </w:rPr>
        <w:t>10分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477"/>
      </w:tblGrid>
      <w:tr w14:paraId="6616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313" w:type="dxa"/>
            <w:vAlign w:val="center"/>
          </w:tcPr>
          <w:p w14:paraId="1B72A50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资信业绩评分标准（满分10分</w:t>
            </w:r>
            <w:r>
              <w:rPr>
                <w:rFonts w:hint="eastAsia" w:ascii="宋体" w:hAnsi="宋体"/>
                <w:color w:val="000000"/>
                <w:highlight w:val="none"/>
              </w:rPr>
              <w:t>）</w:t>
            </w:r>
          </w:p>
        </w:tc>
        <w:tc>
          <w:tcPr>
            <w:tcW w:w="7477" w:type="dxa"/>
            <w:vAlign w:val="center"/>
          </w:tcPr>
          <w:p w14:paraId="34363878">
            <w:pPr>
              <w:widowControl/>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2021年1月至今供应商承担过类似项目（市政公用工程）（以中标（成交）通知书或合同为准），每有一个项目得5分，满分10分。（须提供合同或中标（成交）通知书扫描件并加盖C</w:t>
            </w:r>
            <w:r>
              <w:rPr>
                <w:rFonts w:ascii="宋体" w:hAnsi="宋体"/>
                <w:color w:val="000000"/>
                <w:kern w:val="0"/>
                <w:szCs w:val="21"/>
                <w:highlight w:val="none"/>
              </w:rPr>
              <w:t>A</w:t>
            </w:r>
            <w:r>
              <w:rPr>
                <w:rFonts w:hint="eastAsia" w:ascii="宋体" w:hAnsi="宋体"/>
                <w:color w:val="000000"/>
                <w:kern w:val="0"/>
                <w:szCs w:val="21"/>
                <w:highlight w:val="none"/>
              </w:rPr>
              <w:t>公章，不按照上述要求提供资料的，不能作为评分依据）</w:t>
            </w:r>
          </w:p>
        </w:tc>
      </w:tr>
    </w:tbl>
    <w:p w14:paraId="26622715">
      <w:pPr>
        <w:pStyle w:val="40"/>
        <w:spacing w:line="400" w:lineRule="exact"/>
        <w:ind w:left="-142" w:leftChars="-68" w:hanging="1"/>
        <w:rPr>
          <w:rFonts w:hAnsi="宋体"/>
          <w:b/>
          <w:color w:val="000000"/>
          <w:highlight w:val="none"/>
        </w:rPr>
      </w:pPr>
    </w:p>
    <w:p w14:paraId="2B23D60A">
      <w:pPr>
        <w:pStyle w:val="40"/>
        <w:spacing w:line="400" w:lineRule="exact"/>
        <w:ind w:left="-142" w:leftChars="-68" w:hanging="1"/>
        <w:rPr>
          <w:rFonts w:hAnsi="宋体"/>
          <w:b/>
          <w:color w:val="000000"/>
          <w:highlight w:val="none"/>
        </w:rPr>
      </w:pPr>
      <w:r>
        <w:rPr>
          <w:rFonts w:hAnsi="宋体"/>
          <w:b/>
          <w:color w:val="000000"/>
          <w:highlight w:val="none"/>
        </w:rPr>
        <w:t>说明：上述提及的证书、证件、证明材料等须提供扫描件，并加盖供应商CA公章，否则不予得分。</w:t>
      </w:r>
    </w:p>
    <w:p w14:paraId="334A91D8">
      <w:pPr>
        <w:spacing w:line="400" w:lineRule="exact"/>
        <w:ind w:left="-315" w:leftChars="-150" w:firstLine="171" w:firstLineChars="81"/>
        <w:rPr>
          <w:rFonts w:hint="eastAsia" w:ascii="宋体" w:hAnsi="宋体"/>
          <w:b/>
          <w:color w:val="000000"/>
          <w:highlight w:val="none"/>
        </w:rPr>
      </w:pPr>
      <w:r>
        <w:rPr>
          <w:rFonts w:hint="eastAsia" w:ascii="宋体" w:hAnsi="宋体"/>
          <w:b/>
          <w:color w:val="000000"/>
          <w:highlight w:val="none"/>
        </w:rPr>
        <w:t>综合得分 =</w:t>
      </w:r>
      <w:r>
        <w:rPr>
          <w:rFonts w:hint="eastAsia" w:ascii="宋体" w:hAnsi="宋体"/>
          <w:b/>
          <w:bCs/>
          <w:color w:val="000000"/>
          <w:highlight w:val="none"/>
        </w:rPr>
        <w:t xml:space="preserve"> 1＋2＋</w:t>
      </w:r>
      <w:r>
        <w:rPr>
          <w:rFonts w:ascii="宋体" w:hAnsi="宋体"/>
          <w:b/>
          <w:bCs/>
          <w:color w:val="000000"/>
          <w:highlight w:val="none"/>
        </w:rPr>
        <w:t>3</w:t>
      </w:r>
    </w:p>
    <w:p w14:paraId="1D84F31D">
      <w:pPr>
        <w:spacing w:line="400" w:lineRule="exact"/>
        <w:rPr>
          <w:rFonts w:hint="eastAsia" w:ascii="宋体" w:hAnsi="宋体"/>
          <w:b/>
          <w:color w:val="000000"/>
          <w:szCs w:val="21"/>
          <w:highlight w:val="none"/>
        </w:rPr>
      </w:pPr>
      <w:r>
        <w:rPr>
          <w:rFonts w:hint="eastAsia" w:ascii="宋体" w:hAnsi="宋体"/>
          <w:b/>
          <w:color w:val="000000"/>
          <w:szCs w:val="21"/>
          <w:highlight w:val="none"/>
        </w:rPr>
        <w:t>三、推荐成交候选人</w:t>
      </w:r>
    </w:p>
    <w:p w14:paraId="0144E28C">
      <w:pPr>
        <w:spacing w:line="400" w:lineRule="exact"/>
        <w:ind w:firstLine="350" w:firstLineChars="167"/>
        <w:rPr>
          <w:rFonts w:hint="eastAsia" w:ascii="宋体" w:hAnsi="宋体"/>
          <w:color w:val="000000"/>
          <w:szCs w:val="21"/>
          <w:highlight w:val="none"/>
        </w:rPr>
      </w:pPr>
      <w:r>
        <w:rPr>
          <w:rFonts w:hint="eastAsia" w:ascii="宋体" w:hAnsi="宋体"/>
          <w:color w:val="000000"/>
          <w:szCs w:val="21"/>
          <w:highlight w:val="none"/>
        </w:rPr>
        <w:t>磋商小组应当从通过资格性审查和符合性审查、质量和服务均能满足磋商文件全部实质性响应要求的供应商中：</w:t>
      </w:r>
    </w:p>
    <w:p w14:paraId="5404B51E">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磋商小组根据评审结果按评审后得分由高到低顺序排列推荐3名成交候选人。总得分相同的，依次按最终报价低优先、技术分高优先、资信业绩分高优先的顺序排列。成交候选人并列的，由采购人采取随机抽取的方式确定成交供应商。</w:t>
      </w:r>
    </w:p>
    <w:p w14:paraId="3F0FBCCC">
      <w:pPr>
        <w:spacing w:line="40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2）采购人应当确定磋商小组推荐排名第一的成交候选供应商为成交供应商。排名第一的成交候选供应商放弃成交、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r>
        <w:rPr>
          <w:rFonts w:ascii="宋体" w:hAnsi="宋体"/>
          <w:color w:val="000000"/>
          <w:highlight w:val="none"/>
        </w:rPr>
        <w:br w:type="page"/>
      </w:r>
    </w:p>
    <w:p w14:paraId="6A9DCEA0">
      <w:pPr>
        <w:spacing w:line="400" w:lineRule="exact"/>
        <w:rPr>
          <w:rFonts w:ascii="宋体" w:hAnsi="宋体"/>
          <w:color w:val="000000"/>
          <w:highlight w:val="none"/>
        </w:rPr>
      </w:pPr>
    </w:p>
    <w:p w14:paraId="1829077C">
      <w:pPr>
        <w:rPr>
          <w:rFonts w:ascii="宋体" w:hAnsi="宋体"/>
          <w:bCs/>
          <w:color w:val="000000"/>
          <w:sz w:val="44"/>
          <w:highlight w:val="none"/>
        </w:rPr>
      </w:pPr>
    </w:p>
    <w:p w14:paraId="5249DFE5">
      <w:pPr>
        <w:pStyle w:val="6"/>
        <w:spacing w:line="560" w:lineRule="exact"/>
        <w:jc w:val="center"/>
        <w:rPr>
          <w:rFonts w:hint="eastAsia" w:ascii="宋体" w:hAnsi="宋体"/>
          <w:bCs/>
          <w:color w:val="000000"/>
          <w:sz w:val="44"/>
          <w:highlight w:val="none"/>
        </w:rPr>
      </w:pPr>
      <w:bookmarkStart w:id="940" w:name="_Toc16707"/>
      <w:r>
        <w:rPr>
          <w:rFonts w:hint="eastAsia" w:ascii="宋体" w:hAnsi="宋体"/>
          <w:bCs/>
          <w:color w:val="000000"/>
          <w:sz w:val="44"/>
          <w:highlight w:val="none"/>
        </w:rPr>
        <w:t>第六章   响应文件（格式）</w:t>
      </w:r>
      <w:bookmarkEnd w:id="940"/>
    </w:p>
    <w:p w14:paraId="792C7089">
      <w:pPr>
        <w:spacing w:line="400" w:lineRule="exact"/>
        <w:rPr>
          <w:rFonts w:ascii="宋体" w:hAnsi="宋体"/>
          <w:color w:val="000000"/>
          <w:highlight w:val="none"/>
        </w:rPr>
      </w:pPr>
    </w:p>
    <w:p w14:paraId="03B3E2F8">
      <w:pPr>
        <w:spacing w:line="400" w:lineRule="exact"/>
        <w:rPr>
          <w:rFonts w:ascii="宋体" w:hAnsi="宋体"/>
          <w:color w:val="000000"/>
          <w:highlight w:val="none"/>
        </w:rPr>
      </w:pPr>
    </w:p>
    <w:p w14:paraId="0B43AC86">
      <w:pPr>
        <w:autoSpaceDE w:val="0"/>
        <w:autoSpaceDN w:val="0"/>
        <w:spacing w:line="360" w:lineRule="auto"/>
        <w:rPr>
          <w:rFonts w:hint="eastAsia" w:ascii="宋体" w:hAnsi="宋体"/>
          <w:color w:val="000000"/>
          <w:szCs w:val="21"/>
          <w:highlight w:val="none"/>
          <w:lang w:val="zh-CN"/>
        </w:rPr>
      </w:pPr>
      <w:r>
        <w:rPr>
          <w:rFonts w:hint="eastAsia" w:ascii="宋体" w:hAnsi="宋体"/>
          <w:color w:val="000000"/>
          <w:szCs w:val="21"/>
          <w:highlight w:val="none"/>
          <w:lang w:val="zh-CN"/>
        </w:rPr>
        <w:t>说明：</w:t>
      </w:r>
    </w:p>
    <w:p w14:paraId="71836A47">
      <w:pPr>
        <w:pStyle w:val="40"/>
        <w:spacing w:line="400" w:lineRule="exact"/>
        <w:ind w:left="315" w:hanging="315" w:hangingChars="150"/>
        <w:rPr>
          <w:rFonts w:hAnsi="宋体"/>
          <w:color w:val="000000"/>
          <w:highlight w:val="none"/>
          <w:lang w:val="zh-CN"/>
        </w:rPr>
      </w:pPr>
      <w:r>
        <w:rPr>
          <w:rFonts w:hAnsi="宋体"/>
          <w:color w:val="000000"/>
          <w:highlight w:val="none"/>
          <w:lang w:val="zh-CN"/>
        </w:rPr>
        <w:t>1、</w:t>
      </w:r>
      <w:r>
        <w:rPr>
          <w:rFonts w:hAnsi="宋体"/>
          <w:color w:val="000000"/>
          <w:highlight w:val="none"/>
        </w:rPr>
        <w:t>本章所列的响应文件格式</w:t>
      </w:r>
      <w:r>
        <w:rPr>
          <w:rFonts w:hAnsi="宋体"/>
          <w:color w:val="000000"/>
          <w:highlight w:val="none"/>
          <w:lang w:val="zh-CN"/>
        </w:rPr>
        <w:t>，供应商可根据自身情况进行补充和修改、扩展，但补充和修改不得造成与本章格式内容有实质性的违背。</w:t>
      </w:r>
    </w:p>
    <w:p w14:paraId="0BE97E37">
      <w:pPr>
        <w:pStyle w:val="40"/>
        <w:spacing w:line="400" w:lineRule="exact"/>
        <w:ind w:left="315" w:hanging="315" w:hangingChars="150"/>
        <w:rPr>
          <w:rFonts w:hAnsi="宋体"/>
          <w:color w:val="000000"/>
          <w:highlight w:val="none"/>
          <w:lang w:val="zh-CN"/>
        </w:rPr>
      </w:pPr>
      <w:r>
        <w:rPr>
          <w:rFonts w:hAnsi="宋体"/>
          <w:color w:val="000000"/>
          <w:highlight w:val="none"/>
          <w:lang w:val="zh-CN"/>
        </w:rPr>
        <w:t>2、</w:t>
      </w:r>
      <w:r>
        <w:rPr>
          <w:rFonts w:hAnsi="宋体"/>
          <w:color w:val="000000"/>
          <w:highlight w:val="none"/>
        </w:rPr>
        <w:t>目录由供应商自拟</w:t>
      </w:r>
      <w:r>
        <w:rPr>
          <w:rFonts w:hAnsi="宋体"/>
          <w:color w:val="000000"/>
          <w:highlight w:val="none"/>
          <w:lang w:val="zh-CN"/>
        </w:rPr>
        <w:t>。</w:t>
      </w:r>
    </w:p>
    <w:p w14:paraId="1F052A6A">
      <w:pPr>
        <w:pStyle w:val="40"/>
        <w:spacing w:line="400" w:lineRule="exact"/>
        <w:ind w:left="315" w:hanging="315" w:hangingChars="150"/>
        <w:rPr>
          <w:rFonts w:hAnsi="宋体"/>
          <w:color w:val="000000"/>
          <w:highlight w:val="none"/>
          <w:lang w:val="zh-CN"/>
        </w:rPr>
      </w:pPr>
      <w:r>
        <w:rPr>
          <w:rFonts w:hAnsi="宋体"/>
          <w:color w:val="000000"/>
          <w:highlight w:val="none"/>
          <w:lang w:val="zh-CN"/>
        </w:rPr>
        <w:t>3、</w:t>
      </w:r>
      <w:r>
        <w:rPr>
          <w:rFonts w:hAnsi="宋体"/>
          <w:color w:val="000000"/>
          <w:highlight w:val="none"/>
        </w:rPr>
        <w:t>供应商</w:t>
      </w:r>
      <w:r>
        <w:rPr>
          <w:rFonts w:hAnsi="宋体"/>
          <w:color w:val="000000"/>
          <w:highlight w:val="none"/>
          <w:lang w:val="zh-CN"/>
        </w:rPr>
        <w:t>资格证明文件按</w:t>
      </w:r>
      <w:r>
        <w:rPr>
          <w:rFonts w:hAnsi="宋体"/>
          <w:color w:val="000000"/>
          <w:highlight w:val="none"/>
        </w:rPr>
        <w:t>供应商</w:t>
      </w:r>
      <w:r>
        <w:rPr>
          <w:rFonts w:hAnsi="宋体"/>
          <w:color w:val="000000"/>
          <w:highlight w:val="none"/>
          <w:lang w:val="zh-CN"/>
        </w:rPr>
        <w:t>须知要求提供。</w:t>
      </w:r>
    </w:p>
    <w:p w14:paraId="424326C9">
      <w:pPr>
        <w:pStyle w:val="40"/>
        <w:spacing w:line="400" w:lineRule="exact"/>
        <w:ind w:left="315" w:hanging="315" w:hangingChars="150"/>
        <w:rPr>
          <w:rFonts w:hAnsi="宋体"/>
          <w:color w:val="000000"/>
          <w:highlight w:val="none"/>
          <w:lang w:val="zh-CN"/>
        </w:rPr>
      </w:pPr>
      <w:r>
        <w:rPr>
          <w:rFonts w:hAnsi="宋体"/>
          <w:color w:val="000000"/>
          <w:highlight w:val="none"/>
          <w:lang w:val="zh-CN"/>
        </w:rPr>
        <w:t>4、《</w:t>
      </w:r>
      <w:r>
        <w:rPr>
          <w:rFonts w:hAnsi="宋体"/>
          <w:color w:val="000000"/>
          <w:highlight w:val="none"/>
        </w:rPr>
        <w:t>法定代表人（负责人）</w:t>
      </w:r>
      <w:r>
        <w:rPr>
          <w:rFonts w:hAnsi="宋体"/>
          <w:color w:val="000000"/>
          <w:highlight w:val="none"/>
          <w:lang w:val="zh-CN"/>
        </w:rPr>
        <w:t>授权委托书》填写说明：</w:t>
      </w:r>
    </w:p>
    <w:p w14:paraId="4998B26A">
      <w:pPr>
        <w:pStyle w:val="40"/>
        <w:spacing w:line="400" w:lineRule="exact"/>
        <w:ind w:left="540" w:leftChars="107" w:hanging="315" w:hangingChars="150"/>
        <w:rPr>
          <w:rFonts w:hAnsi="宋体"/>
          <w:bCs/>
          <w:color w:val="000000"/>
          <w:highlight w:val="none"/>
        </w:rPr>
      </w:pPr>
      <w:r>
        <w:rPr>
          <w:rFonts w:hAnsi="宋体"/>
          <w:bCs/>
          <w:color w:val="000000"/>
          <w:highlight w:val="none"/>
        </w:rPr>
        <w:t>1）委托书所签发的代理期限必须涵盖代理人所有签字为有效时间。</w:t>
      </w:r>
    </w:p>
    <w:p w14:paraId="05B29F15">
      <w:pPr>
        <w:pStyle w:val="40"/>
        <w:spacing w:line="400" w:lineRule="exact"/>
        <w:ind w:left="540" w:leftChars="107" w:hanging="315" w:hangingChars="150"/>
        <w:rPr>
          <w:rFonts w:hAnsi="宋体"/>
          <w:bCs/>
          <w:color w:val="000000"/>
          <w:highlight w:val="none"/>
        </w:rPr>
      </w:pPr>
      <w:r>
        <w:rPr>
          <w:rFonts w:hAnsi="宋体"/>
          <w:bCs/>
          <w:color w:val="000000"/>
          <w:highlight w:val="none"/>
        </w:rPr>
        <w:t>2）委托书内容填写要明确，文字要工整清楚，涂改无效。</w:t>
      </w:r>
    </w:p>
    <w:p w14:paraId="5557B006">
      <w:pPr>
        <w:pStyle w:val="40"/>
        <w:spacing w:line="400" w:lineRule="exact"/>
        <w:ind w:left="540" w:leftChars="107" w:hanging="315" w:hangingChars="150"/>
        <w:rPr>
          <w:rFonts w:hAnsi="宋体"/>
          <w:bCs/>
          <w:color w:val="000000"/>
          <w:highlight w:val="none"/>
        </w:rPr>
      </w:pPr>
      <w:r>
        <w:rPr>
          <w:rFonts w:hAnsi="宋体"/>
          <w:bCs/>
          <w:color w:val="000000"/>
          <w:highlight w:val="none"/>
        </w:rPr>
        <w:t>3）委托书不得转借、转让，不得买卖。</w:t>
      </w:r>
    </w:p>
    <w:p w14:paraId="472A0BB8">
      <w:pPr>
        <w:pStyle w:val="40"/>
        <w:spacing w:line="400" w:lineRule="exact"/>
        <w:ind w:left="540" w:leftChars="107" w:hanging="315" w:hangingChars="150"/>
        <w:rPr>
          <w:rFonts w:hAnsi="宋体"/>
          <w:bCs/>
          <w:color w:val="000000"/>
          <w:highlight w:val="none"/>
        </w:rPr>
      </w:pPr>
      <w:r>
        <w:rPr>
          <w:rFonts w:hAnsi="宋体"/>
          <w:bCs/>
          <w:color w:val="000000"/>
          <w:highlight w:val="none"/>
        </w:rPr>
        <w:t>4）代理人根据授权范围，以委托单位的名义签订合同，并将此委托书提交给对方作为合同附件。</w:t>
      </w:r>
    </w:p>
    <w:p w14:paraId="6EF9387C">
      <w:pPr>
        <w:pStyle w:val="40"/>
        <w:spacing w:line="400" w:lineRule="exact"/>
        <w:ind w:left="315" w:hanging="315" w:hangingChars="150"/>
        <w:rPr>
          <w:rFonts w:hAnsi="宋体"/>
          <w:color w:val="000000"/>
          <w:highlight w:val="none"/>
          <w:lang w:val="zh-CN"/>
        </w:rPr>
      </w:pPr>
    </w:p>
    <w:p w14:paraId="62C7443E">
      <w:pPr>
        <w:widowControl/>
        <w:jc w:val="left"/>
        <w:rPr>
          <w:rFonts w:ascii="宋体" w:hAnsi="宋体"/>
          <w:color w:val="000000"/>
          <w:highlight w:val="none"/>
        </w:rPr>
      </w:pPr>
      <w:r>
        <w:rPr>
          <w:rFonts w:ascii="宋体" w:hAnsi="宋体"/>
          <w:color w:val="000000"/>
          <w:highlight w:val="none"/>
        </w:rPr>
        <w:br w:type="page"/>
      </w:r>
    </w:p>
    <w:p w14:paraId="3F7BEE47">
      <w:pPr>
        <w:pStyle w:val="40"/>
        <w:spacing w:line="400" w:lineRule="exact"/>
        <w:rPr>
          <w:rFonts w:hAnsi="宋体"/>
          <w:color w:val="000000"/>
          <w:sz w:val="36"/>
          <w:szCs w:val="36"/>
          <w:highlight w:val="none"/>
        </w:rPr>
      </w:pPr>
    </w:p>
    <w:p w14:paraId="53F89770">
      <w:pPr>
        <w:rPr>
          <w:rFonts w:ascii="宋体" w:hAnsi="宋体"/>
          <w:color w:val="000000"/>
          <w:highlight w:val="none"/>
        </w:rPr>
      </w:pPr>
    </w:p>
    <w:p w14:paraId="546D6C8D">
      <w:pPr>
        <w:pStyle w:val="33"/>
        <w:rPr>
          <w:rFonts w:ascii="宋体" w:hAnsi="宋体"/>
          <w:color w:val="000000"/>
          <w:highlight w:val="none"/>
        </w:rPr>
      </w:pPr>
    </w:p>
    <w:p w14:paraId="2D2CA999">
      <w:pPr>
        <w:pStyle w:val="33"/>
        <w:rPr>
          <w:rFonts w:ascii="宋体" w:hAnsi="宋体"/>
          <w:color w:val="000000"/>
          <w:highlight w:val="none"/>
        </w:rPr>
      </w:pPr>
    </w:p>
    <w:p w14:paraId="6FEEF5C5">
      <w:pPr>
        <w:pStyle w:val="33"/>
        <w:rPr>
          <w:rFonts w:ascii="宋体" w:hAnsi="宋体"/>
          <w:color w:val="000000"/>
          <w:highlight w:val="none"/>
        </w:rPr>
      </w:pPr>
    </w:p>
    <w:p w14:paraId="4CEE24C2">
      <w:pPr>
        <w:pStyle w:val="33"/>
        <w:rPr>
          <w:rFonts w:ascii="宋体" w:hAnsi="宋体"/>
          <w:color w:val="000000"/>
          <w:highlight w:val="none"/>
        </w:rPr>
      </w:pPr>
    </w:p>
    <w:p w14:paraId="72872F06">
      <w:pPr>
        <w:pStyle w:val="33"/>
        <w:rPr>
          <w:rFonts w:ascii="宋体" w:hAnsi="宋体"/>
          <w:color w:val="000000"/>
          <w:highlight w:val="none"/>
        </w:rPr>
      </w:pPr>
    </w:p>
    <w:p w14:paraId="6E31CB04">
      <w:pPr>
        <w:pStyle w:val="40"/>
        <w:spacing w:line="400" w:lineRule="exact"/>
        <w:jc w:val="center"/>
        <w:rPr>
          <w:rFonts w:hAnsi="宋体"/>
          <w:b/>
          <w:color w:val="000000"/>
          <w:sz w:val="36"/>
          <w:szCs w:val="36"/>
          <w:highlight w:val="none"/>
        </w:rPr>
      </w:pPr>
    </w:p>
    <w:p w14:paraId="36C9694F">
      <w:pPr>
        <w:pStyle w:val="40"/>
        <w:jc w:val="center"/>
        <w:rPr>
          <w:rFonts w:hAnsi="宋体"/>
          <w:b/>
          <w:color w:val="000000"/>
          <w:sz w:val="36"/>
          <w:szCs w:val="36"/>
          <w:highlight w:val="none"/>
        </w:rPr>
      </w:pPr>
      <w:r>
        <w:rPr>
          <w:rFonts w:hAnsi="宋体"/>
          <w:b/>
          <w:color w:val="000000"/>
          <w:sz w:val="36"/>
          <w:szCs w:val="36"/>
          <w:highlight w:val="none"/>
        </w:rPr>
        <w:t>（项目名称：）</w:t>
      </w:r>
    </w:p>
    <w:p w14:paraId="19AA776D">
      <w:pPr>
        <w:rPr>
          <w:rFonts w:ascii="宋体" w:hAnsi="宋体"/>
          <w:color w:val="000000"/>
          <w:highlight w:val="none"/>
        </w:rPr>
      </w:pPr>
    </w:p>
    <w:p w14:paraId="1984F145">
      <w:pPr>
        <w:pStyle w:val="40"/>
        <w:jc w:val="center"/>
        <w:rPr>
          <w:rFonts w:hAnsi="宋体"/>
          <w:b/>
          <w:color w:val="000000"/>
          <w:sz w:val="36"/>
          <w:szCs w:val="36"/>
          <w:highlight w:val="none"/>
        </w:rPr>
      </w:pPr>
      <w:r>
        <w:rPr>
          <w:rFonts w:hAnsi="宋体"/>
          <w:b/>
          <w:color w:val="000000"/>
          <w:sz w:val="36"/>
          <w:szCs w:val="36"/>
          <w:highlight w:val="none"/>
        </w:rPr>
        <w:t>（项目编号：）</w:t>
      </w:r>
    </w:p>
    <w:p w14:paraId="27B6F3D1">
      <w:pPr>
        <w:pStyle w:val="40"/>
        <w:jc w:val="center"/>
        <w:rPr>
          <w:rFonts w:hAnsi="宋体"/>
          <w:b/>
          <w:color w:val="000000"/>
          <w:sz w:val="36"/>
          <w:szCs w:val="36"/>
          <w:highlight w:val="none"/>
        </w:rPr>
      </w:pPr>
    </w:p>
    <w:p w14:paraId="44E2D4BB">
      <w:pPr>
        <w:pStyle w:val="40"/>
        <w:jc w:val="center"/>
        <w:rPr>
          <w:rFonts w:hAnsi="宋体"/>
          <w:b/>
          <w:color w:val="000000"/>
          <w:sz w:val="36"/>
          <w:szCs w:val="36"/>
          <w:highlight w:val="none"/>
        </w:rPr>
      </w:pPr>
    </w:p>
    <w:p w14:paraId="00A12BC9">
      <w:pPr>
        <w:pStyle w:val="40"/>
        <w:jc w:val="center"/>
        <w:rPr>
          <w:rFonts w:hAnsi="宋体"/>
          <w:b/>
          <w:color w:val="000000"/>
          <w:sz w:val="72"/>
          <w:szCs w:val="72"/>
          <w:highlight w:val="none"/>
        </w:rPr>
      </w:pPr>
      <w:r>
        <w:rPr>
          <w:rFonts w:hAnsi="宋体"/>
          <w:b/>
          <w:color w:val="000000"/>
          <w:sz w:val="72"/>
          <w:szCs w:val="72"/>
          <w:highlight w:val="none"/>
        </w:rPr>
        <w:t>响应文件</w:t>
      </w:r>
    </w:p>
    <w:p w14:paraId="589BDE45">
      <w:pPr>
        <w:pStyle w:val="40"/>
        <w:rPr>
          <w:rFonts w:hAnsi="宋体"/>
          <w:b/>
          <w:color w:val="000000"/>
          <w:sz w:val="36"/>
          <w:szCs w:val="36"/>
          <w:highlight w:val="none"/>
        </w:rPr>
      </w:pPr>
    </w:p>
    <w:p w14:paraId="01AF6DB4">
      <w:pPr>
        <w:rPr>
          <w:rFonts w:ascii="宋体" w:hAnsi="宋体"/>
          <w:color w:val="000000"/>
          <w:highlight w:val="none"/>
        </w:rPr>
      </w:pPr>
    </w:p>
    <w:p w14:paraId="77B1F081">
      <w:pPr>
        <w:pStyle w:val="40"/>
        <w:rPr>
          <w:rFonts w:hAnsi="宋体"/>
          <w:b/>
          <w:color w:val="000000"/>
          <w:sz w:val="36"/>
          <w:szCs w:val="36"/>
          <w:highlight w:val="none"/>
        </w:rPr>
      </w:pPr>
    </w:p>
    <w:p w14:paraId="3022B18C">
      <w:pPr>
        <w:pStyle w:val="40"/>
        <w:rPr>
          <w:rFonts w:hAnsi="宋体"/>
          <w:b/>
          <w:color w:val="000000"/>
          <w:sz w:val="36"/>
          <w:szCs w:val="36"/>
          <w:highlight w:val="none"/>
        </w:rPr>
      </w:pPr>
    </w:p>
    <w:p w14:paraId="717C9718">
      <w:pPr>
        <w:pStyle w:val="40"/>
        <w:spacing w:line="800" w:lineRule="exact"/>
        <w:ind w:firstLine="803" w:firstLineChars="250"/>
        <w:rPr>
          <w:rFonts w:hAnsi="宋体"/>
          <w:b/>
          <w:color w:val="000000"/>
          <w:sz w:val="32"/>
          <w:szCs w:val="32"/>
          <w:highlight w:val="none"/>
        </w:rPr>
      </w:pPr>
      <w:r>
        <w:rPr>
          <w:rFonts w:hAnsi="宋体"/>
          <w:b/>
          <w:color w:val="000000"/>
          <w:sz w:val="32"/>
          <w:szCs w:val="32"/>
          <w:highlight w:val="none"/>
        </w:rPr>
        <w:t>供应商名称(CA电子签章）：</w:t>
      </w:r>
    </w:p>
    <w:p w14:paraId="79677DCD">
      <w:pPr>
        <w:pStyle w:val="40"/>
        <w:spacing w:line="800" w:lineRule="exact"/>
        <w:rPr>
          <w:rFonts w:hAnsi="宋体"/>
          <w:b/>
          <w:color w:val="000000"/>
          <w:sz w:val="32"/>
          <w:szCs w:val="32"/>
          <w:highlight w:val="none"/>
        </w:rPr>
      </w:pPr>
    </w:p>
    <w:p w14:paraId="45BC55A4">
      <w:pPr>
        <w:pStyle w:val="40"/>
        <w:spacing w:line="800" w:lineRule="exact"/>
        <w:ind w:firstLine="803" w:firstLineChars="250"/>
        <w:rPr>
          <w:rFonts w:hAnsi="宋体"/>
          <w:b/>
          <w:color w:val="000000"/>
          <w:sz w:val="32"/>
          <w:szCs w:val="32"/>
          <w:highlight w:val="none"/>
        </w:rPr>
      </w:pPr>
      <w:r>
        <w:rPr>
          <w:rFonts w:hAnsi="宋体"/>
          <w:b/>
          <w:color w:val="000000"/>
          <w:sz w:val="32"/>
          <w:szCs w:val="32"/>
          <w:highlight w:val="none"/>
        </w:rPr>
        <w:t>联系人及联系电话：</w:t>
      </w:r>
    </w:p>
    <w:p w14:paraId="738B9299">
      <w:pPr>
        <w:pStyle w:val="40"/>
        <w:spacing w:line="500" w:lineRule="exact"/>
        <w:ind w:firstLine="643" w:firstLineChars="200"/>
        <w:rPr>
          <w:rFonts w:hAnsi="宋体"/>
          <w:b/>
          <w:color w:val="000000"/>
          <w:sz w:val="32"/>
          <w:szCs w:val="32"/>
          <w:highlight w:val="none"/>
        </w:rPr>
      </w:pPr>
    </w:p>
    <w:p w14:paraId="4A9069AF">
      <w:pPr>
        <w:pStyle w:val="40"/>
        <w:spacing w:line="500" w:lineRule="exact"/>
        <w:ind w:firstLine="643" w:firstLineChars="200"/>
        <w:rPr>
          <w:rFonts w:hAnsi="宋体"/>
          <w:b/>
          <w:color w:val="000000"/>
          <w:sz w:val="32"/>
          <w:szCs w:val="32"/>
          <w:highlight w:val="none"/>
        </w:rPr>
      </w:pPr>
    </w:p>
    <w:p w14:paraId="0119C637">
      <w:pPr>
        <w:pStyle w:val="40"/>
        <w:spacing w:line="500" w:lineRule="exact"/>
        <w:ind w:firstLine="803" w:firstLineChars="250"/>
        <w:rPr>
          <w:rFonts w:hAnsi="宋体"/>
          <w:b/>
          <w:color w:val="000000"/>
          <w:sz w:val="32"/>
          <w:szCs w:val="32"/>
          <w:highlight w:val="none"/>
        </w:rPr>
      </w:pPr>
      <w:r>
        <w:rPr>
          <w:rFonts w:hAnsi="宋体"/>
          <w:b/>
          <w:color w:val="000000"/>
          <w:sz w:val="32"/>
          <w:szCs w:val="32"/>
          <w:highlight w:val="none"/>
        </w:rPr>
        <w:t>磋商日期：       年      月     日</w:t>
      </w:r>
      <w:r>
        <w:rPr>
          <w:rFonts w:hAnsi="宋体"/>
          <w:color w:val="000000"/>
          <w:szCs w:val="24"/>
          <w:highlight w:val="none"/>
        </w:rPr>
        <w:br w:type="page"/>
      </w:r>
    </w:p>
    <w:p w14:paraId="1E244282">
      <w:pPr>
        <w:pStyle w:val="40"/>
        <w:spacing w:line="460" w:lineRule="exact"/>
        <w:jc w:val="center"/>
        <w:rPr>
          <w:rFonts w:hAnsi="宋体"/>
          <w:b/>
          <w:color w:val="000000"/>
          <w:sz w:val="32"/>
          <w:highlight w:val="none"/>
        </w:rPr>
      </w:pPr>
      <w:r>
        <w:rPr>
          <w:rFonts w:hAnsi="宋体"/>
          <w:b/>
          <w:color w:val="000000"/>
          <w:sz w:val="32"/>
          <w:highlight w:val="none"/>
        </w:rPr>
        <w:t>磋商函（格式）</w:t>
      </w:r>
    </w:p>
    <w:p w14:paraId="162192D7">
      <w:pPr>
        <w:pStyle w:val="40"/>
        <w:spacing w:line="440" w:lineRule="exact"/>
        <w:rPr>
          <w:rFonts w:hAnsi="宋体"/>
          <w:color w:val="000000"/>
          <w:sz w:val="24"/>
          <w:szCs w:val="24"/>
          <w:highlight w:val="none"/>
        </w:rPr>
      </w:pPr>
      <w:r>
        <w:rPr>
          <w:rFonts w:hAnsi="宋体"/>
          <w:color w:val="000000"/>
          <w:sz w:val="24"/>
          <w:szCs w:val="24"/>
          <w:highlight w:val="none"/>
        </w:rPr>
        <w:t>致：</w:t>
      </w:r>
      <w:r>
        <w:rPr>
          <w:rFonts w:hint="eastAsia" w:hAnsi="宋体"/>
          <w:color w:val="000000"/>
          <w:sz w:val="24"/>
          <w:szCs w:val="24"/>
          <w:highlight w:val="none"/>
          <w:lang w:eastAsia="zh-CN"/>
        </w:rPr>
        <w:t>广西东裕工程管理有限公司</w:t>
      </w:r>
    </w:p>
    <w:p w14:paraId="3C1EDDF1">
      <w:pPr>
        <w:pStyle w:val="40"/>
        <w:spacing w:line="440" w:lineRule="exact"/>
        <w:ind w:left="210" w:leftChars="100" w:firstLine="420" w:firstLineChars="200"/>
        <w:rPr>
          <w:rFonts w:hAnsi="宋体"/>
          <w:color w:val="000000"/>
          <w:highlight w:val="none"/>
        </w:rPr>
      </w:pPr>
      <w:r>
        <w:rPr>
          <w:rFonts w:hAnsi="宋体"/>
          <w:color w:val="000000"/>
          <w:highlight w:val="none"/>
        </w:rPr>
        <w:t>根据贵方</w:t>
      </w:r>
      <w:r>
        <w:rPr>
          <w:rFonts w:hAnsi="宋体"/>
          <w:color w:val="000000"/>
          <w:highlight w:val="none"/>
          <w:u w:val="single"/>
        </w:rPr>
        <w:t xml:space="preserve">  （项目名称）     </w:t>
      </w:r>
      <w:r>
        <w:rPr>
          <w:rFonts w:hAnsi="宋体"/>
          <w:color w:val="000000"/>
          <w:highlight w:val="none"/>
        </w:rPr>
        <w:t xml:space="preserve">竞争性磋商文件，项目编号： </w:t>
      </w:r>
      <w:r>
        <w:rPr>
          <w:rFonts w:hAnsi="宋体"/>
          <w:color w:val="000000"/>
          <w:highlight w:val="none"/>
          <w:u w:val="single"/>
        </w:rPr>
        <w:t xml:space="preserve">           </w:t>
      </w:r>
      <w:r>
        <w:rPr>
          <w:rFonts w:hAnsi="宋体"/>
          <w:color w:val="000000"/>
          <w:highlight w:val="none"/>
        </w:rPr>
        <w:t>，下述签字代表</w:t>
      </w:r>
      <w:r>
        <w:rPr>
          <w:rFonts w:hAnsi="宋体"/>
          <w:color w:val="000000"/>
          <w:highlight w:val="none"/>
          <w:u w:val="single"/>
        </w:rPr>
        <w:t xml:space="preserve">   （姓名和职务） </w:t>
      </w:r>
      <w:r>
        <w:rPr>
          <w:rFonts w:hAnsi="宋体"/>
          <w:color w:val="000000"/>
          <w:highlight w:val="none"/>
        </w:rPr>
        <w:t>代表供应商</w:t>
      </w:r>
      <w:r>
        <w:rPr>
          <w:rFonts w:hAnsi="宋体"/>
          <w:color w:val="000000"/>
          <w:highlight w:val="none"/>
          <w:u w:val="single"/>
        </w:rPr>
        <w:t xml:space="preserve">  （单位名称）  </w:t>
      </w:r>
      <w:r>
        <w:rPr>
          <w:rFonts w:hAnsi="宋体"/>
          <w:color w:val="000000"/>
          <w:highlight w:val="none"/>
        </w:rPr>
        <w:t>，提交电子加密响应文件。</w:t>
      </w:r>
    </w:p>
    <w:p w14:paraId="61453FE6">
      <w:pPr>
        <w:spacing w:line="480" w:lineRule="exact"/>
        <w:ind w:firstLine="735" w:firstLineChars="350"/>
        <w:rPr>
          <w:rFonts w:hint="eastAsia" w:ascii="宋体" w:hAnsi="宋体"/>
          <w:color w:val="000000"/>
          <w:kern w:val="1"/>
          <w:szCs w:val="21"/>
          <w:highlight w:val="none"/>
        </w:rPr>
      </w:pPr>
      <w:r>
        <w:rPr>
          <w:rFonts w:hint="eastAsia" w:ascii="宋体" w:hAnsi="宋体"/>
          <w:color w:val="000000"/>
          <w:kern w:val="1"/>
          <w:szCs w:val="21"/>
          <w:highlight w:val="none"/>
        </w:rPr>
        <w:t>我单位在考察现场并充分研究</w:t>
      </w:r>
      <w:r>
        <w:rPr>
          <w:rFonts w:hint="eastAsia" w:ascii="宋体" w:hAnsi="宋体"/>
          <w:color w:val="000000"/>
          <w:kern w:val="1"/>
          <w:szCs w:val="21"/>
          <w:highlight w:val="none"/>
          <w:u w:val="single"/>
        </w:rPr>
        <w:t xml:space="preserve">       （项目名称）  </w:t>
      </w:r>
      <w:r>
        <w:rPr>
          <w:rFonts w:hint="eastAsia" w:ascii="宋体" w:hAnsi="宋体"/>
          <w:color w:val="000000"/>
          <w:kern w:val="1"/>
          <w:szCs w:val="21"/>
          <w:highlight w:val="none"/>
        </w:rPr>
        <w:t>（以下简称“本工程”）竞争性磋商文件的全部内容后，我方兹以：</w:t>
      </w:r>
      <w:r>
        <w:rPr>
          <w:rFonts w:hint="eastAsia" w:ascii="宋体" w:hAnsi="宋体"/>
          <w:color w:val="000000"/>
          <w:szCs w:val="21"/>
          <w:highlight w:val="none"/>
          <w:u w:val="single"/>
        </w:rPr>
        <w:t>人民币（大写）          元（￥          ）为磋商总报价。</w:t>
      </w:r>
      <w:r>
        <w:rPr>
          <w:rFonts w:hint="eastAsia" w:hAnsi="宋体"/>
          <w:color w:val="000000"/>
          <w:highlight w:val="none"/>
        </w:rPr>
        <w:t>按图纸、工程建设标准、合同约定实施和完成承包工程，修补该工程中任何缺陷，工程质量达到</w:t>
      </w:r>
      <w:r>
        <w:rPr>
          <w:rFonts w:hint="eastAsia" w:hAnsi="宋体"/>
          <w:color w:val="000000"/>
          <w:highlight w:val="none"/>
          <w:u w:val="single"/>
        </w:rPr>
        <w:t xml:space="preserve">             </w:t>
      </w:r>
      <w:r>
        <w:rPr>
          <w:rFonts w:hint="eastAsia" w:ascii="宋体" w:hAnsi="宋体"/>
          <w:color w:val="000000"/>
          <w:kern w:val="1"/>
          <w:szCs w:val="21"/>
          <w:highlight w:val="none"/>
        </w:rPr>
        <w:t>。</w:t>
      </w:r>
    </w:p>
    <w:p w14:paraId="76B4813F">
      <w:pPr>
        <w:spacing w:line="480" w:lineRule="exact"/>
        <w:ind w:firstLine="420"/>
        <w:rPr>
          <w:rFonts w:hint="eastAsia" w:ascii="宋体" w:hAnsi="宋体"/>
          <w:color w:val="000000"/>
          <w:kern w:val="1"/>
          <w:szCs w:val="21"/>
          <w:highlight w:val="none"/>
        </w:rPr>
      </w:pPr>
      <w:r>
        <w:rPr>
          <w:rFonts w:hint="eastAsia" w:ascii="宋体" w:hAnsi="宋体"/>
          <w:color w:val="000000"/>
          <w:kern w:val="1"/>
          <w:szCs w:val="21"/>
          <w:highlight w:val="none"/>
        </w:rPr>
        <w:t>如果我方成交，我方保证按采购人发出通知的时间进场施工，并开始计算工期，</w:t>
      </w:r>
      <w:r>
        <w:rPr>
          <w:rFonts w:hint="eastAsia" w:ascii="宋体" w:hAnsi="宋体"/>
          <w:color w:val="000000"/>
          <w:kern w:val="1"/>
          <w:szCs w:val="21"/>
          <w:highlight w:val="none"/>
          <w:u w:val="single"/>
        </w:rPr>
        <w:t xml:space="preserve">       </w:t>
      </w:r>
      <w:r>
        <w:rPr>
          <w:rFonts w:hint="eastAsia" w:ascii="宋体" w:hAnsi="宋体"/>
          <w:color w:val="000000"/>
          <w:kern w:val="1"/>
          <w:szCs w:val="21"/>
          <w:highlight w:val="none"/>
        </w:rPr>
        <w:t>日历天内竣工，并确保工程质量达到标准。我方同意本磋商函在竞争性磋商文件规定的提交响应文件截止时间后，在竞争性磋商文件规定的磋商有效期期满前对我方具有约束力，且随时准备接受你方发出的成交通知书。</w:t>
      </w:r>
    </w:p>
    <w:p w14:paraId="33C6A62F">
      <w:pPr>
        <w:spacing w:line="480" w:lineRule="exact"/>
        <w:ind w:firstLine="630" w:firstLineChars="300"/>
        <w:rPr>
          <w:rFonts w:hint="eastAsia" w:ascii="宋体" w:hAnsi="宋体"/>
          <w:color w:val="000000"/>
          <w:kern w:val="1"/>
          <w:szCs w:val="21"/>
          <w:highlight w:val="none"/>
        </w:rPr>
      </w:pPr>
      <w:r>
        <w:rPr>
          <w:rFonts w:hint="eastAsia" w:ascii="宋体" w:hAnsi="宋体"/>
          <w:color w:val="000000"/>
          <w:kern w:val="1"/>
          <w:szCs w:val="21"/>
          <w:highlight w:val="none"/>
        </w:rPr>
        <w:t>随本磋商函递交的磋商函附录是本磋商函的组成部分，对我方构成约束力。</w:t>
      </w:r>
    </w:p>
    <w:p w14:paraId="2242EB17">
      <w:pPr>
        <w:pStyle w:val="40"/>
        <w:spacing w:line="440" w:lineRule="exact"/>
        <w:ind w:left="101" w:leftChars="48" w:firstLine="520" w:firstLineChars="248"/>
        <w:rPr>
          <w:rFonts w:hAnsi="宋体"/>
          <w:color w:val="000000"/>
          <w:highlight w:val="none"/>
        </w:rPr>
      </w:pPr>
      <w:r>
        <w:rPr>
          <w:rFonts w:hAnsi="宋体"/>
          <w:color w:val="000000"/>
          <w:highlight w:val="none"/>
        </w:rPr>
        <w:t>据此函，签字代表宣布同意如下：</w:t>
      </w:r>
    </w:p>
    <w:p w14:paraId="4D4AEF75">
      <w:pPr>
        <w:pStyle w:val="40"/>
        <w:spacing w:line="440" w:lineRule="exact"/>
        <w:ind w:firstLine="420" w:firstLineChars="200"/>
        <w:rPr>
          <w:rFonts w:hAnsi="宋体"/>
          <w:color w:val="000000"/>
          <w:highlight w:val="none"/>
        </w:rPr>
      </w:pPr>
      <w:r>
        <w:rPr>
          <w:rFonts w:hAnsi="宋体"/>
          <w:color w:val="000000"/>
          <w:highlight w:val="none"/>
        </w:rPr>
        <w:t>1、我方承诺已经具备《中华人民共和国政府采购法》中规定的参加政府采购活动的供应商应当具备的条件：</w:t>
      </w:r>
    </w:p>
    <w:p w14:paraId="5B76B162">
      <w:pPr>
        <w:pStyle w:val="40"/>
        <w:spacing w:line="440" w:lineRule="exact"/>
        <w:ind w:firstLine="420" w:firstLineChars="200"/>
        <w:rPr>
          <w:rFonts w:hAnsi="宋体"/>
          <w:color w:val="000000"/>
          <w:highlight w:val="none"/>
        </w:rPr>
      </w:pPr>
      <w:r>
        <w:rPr>
          <w:rFonts w:hAnsi="宋体"/>
          <w:color w:val="000000"/>
          <w:highlight w:val="none"/>
        </w:rPr>
        <w:t>（1）具有独立承担民事责任的能力；</w:t>
      </w:r>
    </w:p>
    <w:p w14:paraId="7F3D3CBB">
      <w:pPr>
        <w:pStyle w:val="40"/>
        <w:spacing w:line="440" w:lineRule="exact"/>
        <w:ind w:firstLine="420" w:firstLineChars="200"/>
        <w:rPr>
          <w:rFonts w:hAnsi="宋体"/>
          <w:color w:val="000000"/>
          <w:highlight w:val="none"/>
        </w:rPr>
      </w:pPr>
      <w:r>
        <w:rPr>
          <w:rFonts w:hAnsi="宋体"/>
          <w:color w:val="000000"/>
          <w:highlight w:val="none"/>
        </w:rPr>
        <w:t>（2）具有良好的商业信誉和健全的财务会计制度；</w:t>
      </w:r>
    </w:p>
    <w:p w14:paraId="55EA11C1">
      <w:pPr>
        <w:pStyle w:val="40"/>
        <w:spacing w:line="440" w:lineRule="exact"/>
        <w:ind w:firstLine="420" w:firstLineChars="200"/>
        <w:rPr>
          <w:rFonts w:hAnsi="宋体"/>
          <w:color w:val="000000"/>
          <w:highlight w:val="none"/>
        </w:rPr>
      </w:pPr>
      <w:r>
        <w:rPr>
          <w:rFonts w:hAnsi="宋体"/>
          <w:color w:val="000000"/>
          <w:highlight w:val="none"/>
        </w:rPr>
        <w:t>（3）具有履行合同所必需的设备和专业技术能力；</w:t>
      </w:r>
    </w:p>
    <w:p w14:paraId="0E726B08">
      <w:pPr>
        <w:pStyle w:val="40"/>
        <w:spacing w:line="440" w:lineRule="exact"/>
        <w:ind w:firstLine="420" w:firstLineChars="200"/>
        <w:rPr>
          <w:rFonts w:hAnsi="宋体"/>
          <w:color w:val="000000"/>
          <w:highlight w:val="none"/>
        </w:rPr>
      </w:pPr>
      <w:r>
        <w:rPr>
          <w:rFonts w:hAnsi="宋体"/>
          <w:color w:val="000000"/>
          <w:highlight w:val="none"/>
        </w:rPr>
        <w:t>（4）有依法缴纳税收和社会保障资金的良好记录；</w:t>
      </w:r>
    </w:p>
    <w:p w14:paraId="5603764B">
      <w:pPr>
        <w:pStyle w:val="40"/>
        <w:spacing w:line="440" w:lineRule="exact"/>
        <w:ind w:firstLine="420" w:firstLineChars="200"/>
        <w:rPr>
          <w:rFonts w:hAnsi="宋体"/>
          <w:color w:val="000000"/>
          <w:highlight w:val="none"/>
        </w:rPr>
      </w:pPr>
      <w:r>
        <w:rPr>
          <w:rFonts w:hAnsi="宋体"/>
          <w:color w:val="000000"/>
          <w:highlight w:val="none"/>
        </w:rPr>
        <w:t>（5）参加此项采购活动前三年内，在经营活动中没有重大违法记录。</w:t>
      </w:r>
    </w:p>
    <w:p w14:paraId="3E8675CA">
      <w:pPr>
        <w:pStyle w:val="40"/>
        <w:spacing w:line="440" w:lineRule="exact"/>
        <w:ind w:firstLine="420"/>
        <w:rPr>
          <w:rFonts w:hAnsi="宋体"/>
          <w:color w:val="000000"/>
          <w:highlight w:val="none"/>
        </w:rPr>
      </w:pPr>
      <w:r>
        <w:rPr>
          <w:rFonts w:hAnsi="宋体"/>
          <w:color w:val="000000"/>
          <w:highlight w:val="none"/>
        </w:rPr>
        <w:t>2、我方已详细审查全部磋商文件，包括修改文件（如有的话）以及全部参考资料和有关附件，已经了解我方对于竞争性磋商文件、采购过程、采购结果有依法进行询问、质疑、投诉的权利及相关渠道和要求。</w:t>
      </w:r>
    </w:p>
    <w:p w14:paraId="48471776">
      <w:pPr>
        <w:pStyle w:val="40"/>
        <w:spacing w:line="440" w:lineRule="exact"/>
        <w:ind w:firstLine="420"/>
        <w:rPr>
          <w:rFonts w:hAnsi="宋体"/>
          <w:color w:val="000000"/>
          <w:highlight w:val="none"/>
        </w:rPr>
      </w:pPr>
      <w:r>
        <w:rPr>
          <w:rFonts w:hAnsi="宋体"/>
          <w:color w:val="000000"/>
          <w:highlight w:val="none"/>
        </w:rPr>
        <w:t>3、我方在磋商之前已经与贵方进行了充分的沟通，完全理解并接受磋商文件的各项规定和要求，对磋商文件的合理性、合法性不再有异议。</w:t>
      </w:r>
    </w:p>
    <w:p w14:paraId="0874056B">
      <w:pPr>
        <w:pStyle w:val="40"/>
        <w:spacing w:line="440" w:lineRule="exact"/>
        <w:ind w:firstLine="420"/>
        <w:rPr>
          <w:rFonts w:hAnsi="宋体"/>
          <w:color w:val="000000"/>
          <w:highlight w:val="none"/>
        </w:rPr>
      </w:pPr>
      <w:r>
        <w:rPr>
          <w:rFonts w:hAnsi="宋体"/>
          <w:color w:val="000000"/>
          <w:highlight w:val="none"/>
        </w:rPr>
        <w:t>4、响应文件从响应截止日起60天内有效。</w:t>
      </w:r>
    </w:p>
    <w:p w14:paraId="1BCDE003">
      <w:pPr>
        <w:pStyle w:val="40"/>
        <w:spacing w:line="440" w:lineRule="exact"/>
        <w:ind w:firstLine="420"/>
        <w:rPr>
          <w:rFonts w:hAnsi="宋体"/>
          <w:color w:val="000000"/>
          <w:highlight w:val="none"/>
        </w:rPr>
      </w:pPr>
      <w:r>
        <w:rPr>
          <w:rFonts w:hAnsi="宋体"/>
          <w:color w:val="000000"/>
          <w:highlight w:val="none"/>
        </w:rPr>
        <w:t>5、如成交，本响应文件至本项目合同履行完毕止均保持有效，我方将按磋商文件及政府采购法律、法规的规定履行合同责任和义务。</w:t>
      </w:r>
    </w:p>
    <w:p w14:paraId="7079AA62">
      <w:pPr>
        <w:pStyle w:val="40"/>
        <w:spacing w:line="440" w:lineRule="exact"/>
        <w:ind w:firstLine="420" w:firstLineChars="200"/>
        <w:rPr>
          <w:rFonts w:hAnsi="宋体"/>
          <w:color w:val="000000"/>
          <w:highlight w:val="none"/>
        </w:rPr>
      </w:pPr>
      <w:r>
        <w:rPr>
          <w:rFonts w:hAnsi="宋体"/>
          <w:color w:val="000000"/>
          <w:highlight w:val="none"/>
        </w:rPr>
        <w:t>6、我方在磋商截止时间后的磋商有效期内不得撤回响应文件或者有其他违约行为。</w:t>
      </w:r>
    </w:p>
    <w:p w14:paraId="72EA1031">
      <w:pPr>
        <w:pStyle w:val="40"/>
        <w:spacing w:line="360" w:lineRule="auto"/>
        <w:ind w:firstLine="420" w:firstLineChars="200"/>
        <w:rPr>
          <w:rFonts w:hAnsi="宋体"/>
          <w:color w:val="000000"/>
          <w:highlight w:val="none"/>
        </w:rPr>
      </w:pPr>
      <w:r>
        <w:rPr>
          <w:rFonts w:hAnsi="宋体"/>
          <w:color w:val="000000"/>
          <w:highlight w:val="none"/>
        </w:rPr>
        <w:t>7、同意向贵方提供贵方可能要求的与本磋商有关的任何数据或资料。</w:t>
      </w:r>
    </w:p>
    <w:p w14:paraId="43D4F3BD">
      <w:pPr>
        <w:pStyle w:val="40"/>
        <w:spacing w:line="360" w:lineRule="auto"/>
        <w:ind w:firstLine="420" w:firstLineChars="200"/>
        <w:rPr>
          <w:rFonts w:hAnsi="宋体"/>
          <w:color w:val="000000"/>
          <w:highlight w:val="none"/>
        </w:rPr>
      </w:pPr>
      <w:r>
        <w:rPr>
          <w:rFonts w:hAnsi="宋体"/>
          <w:color w:val="000000"/>
          <w:highlight w:val="none"/>
        </w:rPr>
        <w:t>8、我方完全理解贵方不一定要接受最低报价的供应商为成交供应商。</w:t>
      </w:r>
    </w:p>
    <w:p w14:paraId="7101EE2E">
      <w:pPr>
        <w:pStyle w:val="40"/>
        <w:spacing w:line="360" w:lineRule="auto"/>
        <w:ind w:firstLine="420" w:firstLineChars="200"/>
        <w:rPr>
          <w:rFonts w:hAnsi="宋体"/>
          <w:color w:val="000000"/>
          <w:highlight w:val="none"/>
        </w:rPr>
      </w:pPr>
      <w:r>
        <w:rPr>
          <w:rFonts w:hAnsi="宋体"/>
          <w:color w:val="000000"/>
          <w:highlight w:val="none"/>
        </w:rPr>
        <w:t>9、若贵方需要，我方愿意提供我方作出的一切承诺的证明材料。</w:t>
      </w:r>
    </w:p>
    <w:p w14:paraId="21C650B1">
      <w:pPr>
        <w:pStyle w:val="40"/>
        <w:spacing w:line="360" w:lineRule="auto"/>
        <w:ind w:firstLine="420" w:firstLineChars="200"/>
        <w:rPr>
          <w:rFonts w:hAnsi="宋体"/>
          <w:color w:val="000000"/>
          <w:highlight w:val="none"/>
        </w:rPr>
      </w:pPr>
      <w:r>
        <w:rPr>
          <w:rFonts w:hAnsi="宋体"/>
          <w:color w:val="000000"/>
          <w:highlight w:val="none"/>
        </w:rPr>
        <w:t>10、我方将严格遵守《中华人民共和国政府采购法》第七十七条规定，若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4CB85B85">
      <w:pPr>
        <w:pStyle w:val="101"/>
        <w:rPr>
          <w:color w:val="000000"/>
          <w:sz w:val="21"/>
          <w:szCs w:val="21"/>
          <w:highlight w:val="none"/>
        </w:rPr>
      </w:pPr>
      <w:r>
        <w:rPr>
          <w:color w:val="000000"/>
          <w:sz w:val="21"/>
          <w:szCs w:val="21"/>
          <w:highlight w:val="none"/>
        </w:rPr>
        <w:t>（1）提供虚假材料谋取成交的；</w:t>
      </w:r>
    </w:p>
    <w:p w14:paraId="624D735C">
      <w:pPr>
        <w:pStyle w:val="101"/>
        <w:rPr>
          <w:color w:val="000000"/>
          <w:sz w:val="21"/>
          <w:szCs w:val="21"/>
          <w:highlight w:val="none"/>
        </w:rPr>
      </w:pPr>
      <w:r>
        <w:rPr>
          <w:color w:val="000000"/>
          <w:sz w:val="21"/>
          <w:szCs w:val="21"/>
          <w:highlight w:val="none"/>
        </w:rPr>
        <w:t>（2）采取不正当手段诋毁、排挤其他供应商的；</w:t>
      </w:r>
    </w:p>
    <w:p w14:paraId="00149436">
      <w:pPr>
        <w:pStyle w:val="101"/>
        <w:rPr>
          <w:color w:val="000000"/>
          <w:sz w:val="21"/>
          <w:szCs w:val="21"/>
          <w:highlight w:val="none"/>
        </w:rPr>
      </w:pPr>
      <w:r>
        <w:rPr>
          <w:color w:val="000000"/>
          <w:sz w:val="21"/>
          <w:szCs w:val="21"/>
          <w:highlight w:val="none"/>
        </w:rPr>
        <w:t>（3）与采购人、其他供应商或者采购代理机构恶意串通的；</w:t>
      </w:r>
    </w:p>
    <w:p w14:paraId="1FC3CD90">
      <w:pPr>
        <w:pStyle w:val="101"/>
        <w:rPr>
          <w:color w:val="000000"/>
          <w:sz w:val="21"/>
          <w:szCs w:val="21"/>
          <w:highlight w:val="none"/>
        </w:rPr>
      </w:pPr>
      <w:r>
        <w:rPr>
          <w:color w:val="000000"/>
          <w:sz w:val="21"/>
          <w:szCs w:val="21"/>
          <w:highlight w:val="none"/>
        </w:rPr>
        <w:t>（4）向采购人、采购代理机构行贿或者提供其他不正当利益的；</w:t>
      </w:r>
    </w:p>
    <w:p w14:paraId="4829FB61">
      <w:pPr>
        <w:pStyle w:val="101"/>
        <w:rPr>
          <w:color w:val="000000"/>
          <w:sz w:val="21"/>
          <w:szCs w:val="21"/>
          <w:highlight w:val="none"/>
        </w:rPr>
      </w:pPr>
      <w:r>
        <w:rPr>
          <w:color w:val="000000"/>
          <w:sz w:val="21"/>
          <w:szCs w:val="21"/>
          <w:highlight w:val="none"/>
        </w:rPr>
        <w:t>（5）在招标采购过程中与采购人进行协商</w:t>
      </w:r>
      <w:r>
        <w:rPr>
          <w:rFonts w:hint="eastAsia"/>
          <w:color w:val="000000"/>
          <w:sz w:val="21"/>
          <w:szCs w:val="21"/>
          <w:highlight w:val="none"/>
        </w:rPr>
        <w:t>谈判</w:t>
      </w:r>
      <w:r>
        <w:rPr>
          <w:color w:val="000000"/>
          <w:sz w:val="21"/>
          <w:szCs w:val="21"/>
          <w:highlight w:val="none"/>
        </w:rPr>
        <w:t>的；</w:t>
      </w:r>
    </w:p>
    <w:p w14:paraId="41CB4DFB">
      <w:pPr>
        <w:pStyle w:val="101"/>
        <w:rPr>
          <w:color w:val="000000"/>
          <w:sz w:val="21"/>
          <w:szCs w:val="21"/>
          <w:highlight w:val="none"/>
        </w:rPr>
      </w:pPr>
      <w:r>
        <w:rPr>
          <w:color w:val="000000"/>
          <w:sz w:val="21"/>
          <w:szCs w:val="21"/>
          <w:highlight w:val="none"/>
        </w:rPr>
        <w:t>（6）拒绝有关部门监督检查或提供虚假情况的。</w:t>
      </w:r>
    </w:p>
    <w:p w14:paraId="096BD7FB">
      <w:pPr>
        <w:pStyle w:val="40"/>
        <w:spacing w:line="440" w:lineRule="exact"/>
        <w:ind w:left="101" w:leftChars="48" w:firstLine="520" w:firstLineChars="248"/>
        <w:rPr>
          <w:rFonts w:hAnsi="宋体"/>
          <w:color w:val="000000"/>
          <w:highlight w:val="none"/>
        </w:rPr>
      </w:pPr>
      <w:r>
        <w:rPr>
          <w:rFonts w:hAnsi="宋体"/>
          <w:color w:val="000000"/>
          <w:highlight w:val="none"/>
        </w:rPr>
        <w:t>与本磋商有关的正式通讯地址为：</w:t>
      </w:r>
      <w:r>
        <w:rPr>
          <w:rFonts w:hAnsi="宋体"/>
          <w:color w:val="000000"/>
          <w:highlight w:val="none"/>
          <w:u w:val="single"/>
        </w:rPr>
        <w:t xml:space="preserve">                </w:t>
      </w:r>
    </w:p>
    <w:p w14:paraId="4B126506">
      <w:pPr>
        <w:pStyle w:val="40"/>
        <w:spacing w:line="440" w:lineRule="exact"/>
        <w:ind w:left="101" w:leftChars="48" w:firstLine="520" w:firstLineChars="248"/>
        <w:rPr>
          <w:rFonts w:hAnsi="宋体"/>
          <w:color w:val="000000"/>
          <w:highlight w:val="none"/>
        </w:rPr>
      </w:pPr>
      <w:r>
        <w:rPr>
          <w:rFonts w:hAnsi="宋体"/>
          <w:color w:val="000000"/>
          <w:highlight w:val="none"/>
        </w:rPr>
        <w:t>地址：</w:t>
      </w:r>
      <w:r>
        <w:rPr>
          <w:rFonts w:hAnsi="宋体"/>
          <w:color w:val="000000"/>
          <w:highlight w:val="none"/>
          <w:u w:val="single"/>
        </w:rPr>
        <w:t xml:space="preserve">                     </w:t>
      </w:r>
    </w:p>
    <w:p w14:paraId="0D5E833A">
      <w:pPr>
        <w:pStyle w:val="40"/>
        <w:spacing w:line="440" w:lineRule="exact"/>
        <w:ind w:left="101" w:leftChars="48" w:firstLine="520" w:firstLineChars="248"/>
        <w:rPr>
          <w:rFonts w:hAnsi="宋体"/>
          <w:color w:val="000000"/>
          <w:highlight w:val="none"/>
        </w:rPr>
      </w:pPr>
      <w:r>
        <w:rPr>
          <w:rFonts w:hAnsi="宋体"/>
          <w:color w:val="000000"/>
          <w:highlight w:val="none"/>
        </w:rPr>
        <w:t>邮政编码：</w:t>
      </w:r>
      <w:r>
        <w:rPr>
          <w:rFonts w:hAnsi="宋体"/>
          <w:color w:val="000000"/>
          <w:highlight w:val="none"/>
          <w:u w:val="single"/>
        </w:rPr>
        <w:t xml:space="preserve">                </w:t>
      </w:r>
    </w:p>
    <w:p w14:paraId="51CB4D64">
      <w:pPr>
        <w:pStyle w:val="40"/>
        <w:spacing w:line="440" w:lineRule="exact"/>
        <w:ind w:firstLine="630" w:firstLineChars="300"/>
        <w:rPr>
          <w:rFonts w:hAnsi="宋体"/>
          <w:color w:val="000000"/>
          <w:highlight w:val="none"/>
        </w:rPr>
      </w:pPr>
      <w:r>
        <w:rPr>
          <w:rFonts w:hAnsi="宋体"/>
          <w:color w:val="000000"/>
          <w:highlight w:val="none"/>
        </w:rPr>
        <w:t>电话、传真或电传：</w:t>
      </w:r>
      <w:r>
        <w:rPr>
          <w:rFonts w:hAnsi="宋体"/>
          <w:color w:val="000000"/>
          <w:highlight w:val="none"/>
          <w:u w:val="single"/>
        </w:rPr>
        <w:t xml:space="preserve">                </w:t>
      </w:r>
    </w:p>
    <w:p w14:paraId="434C4655">
      <w:pPr>
        <w:pStyle w:val="40"/>
        <w:spacing w:line="440" w:lineRule="exact"/>
        <w:ind w:firstLine="630" w:firstLineChars="300"/>
        <w:rPr>
          <w:rFonts w:hAnsi="宋体"/>
          <w:color w:val="000000"/>
          <w:highlight w:val="none"/>
        </w:rPr>
      </w:pPr>
      <w:r>
        <w:rPr>
          <w:rFonts w:hAnsi="宋体"/>
          <w:color w:val="000000"/>
          <w:highlight w:val="none"/>
        </w:rPr>
        <w:t>开户名称：</w:t>
      </w:r>
      <w:r>
        <w:rPr>
          <w:rFonts w:hAnsi="宋体"/>
          <w:color w:val="000000"/>
          <w:highlight w:val="none"/>
          <w:u w:val="single"/>
        </w:rPr>
        <w:t xml:space="preserve">                </w:t>
      </w:r>
    </w:p>
    <w:p w14:paraId="7685663D">
      <w:pPr>
        <w:pStyle w:val="40"/>
        <w:spacing w:line="440" w:lineRule="exact"/>
        <w:ind w:firstLine="630" w:firstLineChars="300"/>
        <w:rPr>
          <w:rFonts w:hAnsi="宋体"/>
          <w:color w:val="000000"/>
          <w:highlight w:val="none"/>
        </w:rPr>
      </w:pPr>
      <w:r>
        <w:rPr>
          <w:rFonts w:hAnsi="宋体"/>
          <w:color w:val="000000"/>
          <w:highlight w:val="none"/>
        </w:rPr>
        <w:t>开户银行：</w:t>
      </w:r>
      <w:r>
        <w:rPr>
          <w:rFonts w:hAnsi="宋体"/>
          <w:color w:val="000000"/>
          <w:highlight w:val="none"/>
          <w:u w:val="single"/>
        </w:rPr>
        <w:t xml:space="preserve">                </w:t>
      </w:r>
    </w:p>
    <w:p w14:paraId="4B4BC9A3">
      <w:pPr>
        <w:pStyle w:val="40"/>
        <w:spacing w:line="440" w:lineRule="exact"/>
        <w:ind w:firstLine="630" w:firstLineChars="300"/>
        <w:rPr>
          <w:rFonts w:hAnsi="宋体"/>
          <w:color w:val="000000"/>
          <w:highlight w:val="none"/>
        </w:rPr>
      </w:pPr>
      <w:r>
        <w:rPr>
          <w:rFonts w:hAnsi="宋体"/>
          <w:color w:val="000000"/>
          <w:highlight w:val="none"/>
        </w:rPr>
        <w:t>帐    号：</w:t>
      </w:r>
      <w:r>
        <w:rPr>
          <w:rFonts w:hAnsi="宋体"/>
          <w:color w:val="000000"/>
          <w:highlight w:val="none"/>
          <w:u w:val="single"/>
        </w:rPr>
        <w:t xml:space="preserve">                </w:t>
      </w:r>
    </w:p>
    <w:p w14:paraId="40B22FE1">
      <w:pPr>
        <w:pStyle w:val="40"/>
        <w:spacing w:line="440" w:lineRule="exact"/>
        <w:ind w:firstLine="720" w:firstLineChars="300"/>
        <w:rPr>
          <w:rFonts w:hAnsi="宋体"/>
          <w:color w:val="000000"/>
          <w:sz w:val="24"/>
          <w:szCs w:val="24"/>
          <w:highlight w:val="none"/>
        </w:rPr>
      </w:pPr>
    </w:p>
    <w:p w14:paraId="35B6387D">
      <w:pPr>
        <w:pStyle w:val="40"/>
        <w:spacing w:line="440" w:lineRule="exact"/>
        <w:ind w:firstLine="3060"/>
        <w:rPr>
          <w:rFonts w:hAnsi="宋体"/>
          <w:color w:val="000000"/>
          <w:sz w:val="24"/>
          <w:szCs w:val="24"/>
          <w:highlight w:val="none"/>
        </w:rPr>
      </w:pPr>
      <w:r>
        <w:rPr>
          <w:rFonts w:hAnsi="宋体"/>
          <w:color w:val="000000"/>
          <w:sz w:val="24"/>
          <w:szCs w:val="24"/>
          <w:highlight w:val="none"/>
        </w:rPr>
        <w:t>供应商名称（CA电子签章）：</w:t>
      </w:r>
    </w:p>
    <w:p w14:paraId="20B83DD8">
      <w:pPr>
        <w:pStyle w:val="40"/>
        <w:spacing w:line="440" w:lineRule="exact"/>
        <w:ind w:firstLine="3060"/>
        <w:rPr>
          <w:rFonts w:hAnsi="宋体"/>
          <w:color w:val="000000"/>
          <w:sz w:val="24"/>
          <w:szCs w:val="24"/>
          <w:highlight w:val="none"/>
        </w:rPr>
      </w:pPr>
      <w:r>
        <w:rPr>
          <w:rFonts w:hAnsi="宋体"/>
          <w:color w:val="000000"/>
          <w:sz w:val="24"/>
          <w:szCs w:val="24"/>
          <w:highlight w:val="none"/>
        </w:rPr>
        <w:t>法定代表人（负责人）或委托代理人签名：</w:t>
      </w:r>
    </w:p>
    <w:p w14:paraId="34A56E8E">
      <w:pPr>
        <w:pStyle w:val="40"/>
        <w:spacing w:line="440" w:lineRule="exact"/>
        <w:ind w:firstLine="3060"/>
        <w:rPr>
          <w:rFonts w:hAnsi="宋体"/>
          <w:color w:val="000000"/>
          <w:sz w:val="24"/>
          <w:szCs w:val="24"/>
          <w:highlight w:val="none"/>
        </w:rPr>
      </w:pPr>
      <w:r>
        <w:rPr>
          <w:rFonts w:hAnsi="宋体"/>
          <w:color w:val="000000"/>
          <w:sz w:val="24"/>
          <w:szCs w:val="24"/>
          <w:highlight w:val="none"/>
        </w:rPr>
        <w:t>磋商日期：</w:t>
      </w:r>
    </w:p>
    <w:p w14:paraId="521F32F2">
      <w:pPr>
        <w:pStyle w:val="40"/>
        <w:spacing w:line="460" w:lineRule="exact"/>
        <w:ind w:left="101" w:leftChars="48" w:firstLine="520" w:firstLineChars="248"/>
        <w:rPr>
          <w:rFonts w:hAnsi="宋体"/>
          <w:color w:val="000000"/>
          <w:highlight w:val="none"/>
        </w:rPr>
      </w:pPr>
    </w:p>
    <w:p w14:paraId="72BDEFD6">
      <w:pPr>
        <w:spacing w:line="320" w:lineRule="exact"/>
        <w:ind w:left="316" w:hanging="316" w:hangingChars="150"/>
        <w:rPr>
          <w:rFonts w:hint="eastAsia" w:ascii="宋体" w:hAnsi="宋体"/>
          <w:b/>
          <w:color w:val="000000"/>
          <w:szCs w:val="21"/>
          <w:highlight w:val="none"/>
        </w:rPr>
      </w:pPr>
      <w:r>
        <w:rPr>
          <w:rFonts w:hint="eastAsia" w:ascii="宋体" w:hAnsi="宋体"/>
          <w:b/>
          <w:color w:val="000000"/>
          <w:szCs w:val="21"/>
          <w:highlight w:val="none"/>
        </w:rPr>
        <w:t>说明：</w:t>
      </w:r>
      <w:r>
        <w:rPr>
          <w:rFonts w:hint="eastAsia" w:ascii="宋体" w:hAnsi="宋体"/>
          <w:color w:val="000000"/>
          <w:highlight w:val="none"/>
        </w:rPr>
        <w:t>供应商必须按以上格式填写，加盖单位公章并签名，否则，无签名、盖单位公章的，磋商无效。</w:t>
      </w:r>
    </w:p>
    <w:p w14:paraId="34727DD0">
      <w:pPr>
        <w:pStyle w:val="40"/>
        <w:spacing w:line="400" w:lineRule="exact"/>
        <w:rPr>
          <w:rFonts w:hAnsi="宋体"/>
          <w:b/>
          <w:color w:val="000000"/>
          <w:sz w:val="32"/>
          <w:highlight w:val="none"/>
        </w:rPr>
      </w:pPr>
    </w:p>
    <w:p w14:paraId="4E111367">
      <w:pPr>
        <w:pStyle w:val="124"/>
        <w:jc w:val="center"/>
        <w:outlineLvl w:val="0"/>
        <w:rPr>
          <w:rFonts w:hint="eastAsia" w:ascii="宋体" w:hAnsi="宋体"/>
          <w:b/>
          <w:color w:val="000000"/>
          <w:sz w:val="32"/>
          <w:highlight w:val="none"/>
        </w:rPr>
      </w:pPr>
      <w:r>
        <w:rPr>
          <w:rFonts w:hint="eastAsia" w:ascii="宋体" w:hAnsi="宋体"/>
          <w:b/>
          <w:color w:val="000000"/>
          <w:sz w:val="32"/>
          <w:highlight w:val="none"/>
        </w:rPr>
        <w:br w:type="page"/>
      </w:r>
      <w:bookmarkStart w:id="941" w:name="_Toc389065357"/>
      <w:bookmarkStart w:id="942" w:name="_Toc15706"/>
      <w:bookmarkStart w:id="943" w:name="_Toc26050"/>
      <w:bookmarkStart w:id="944" w:name="_Toc7626"/>
      <w:bookmarkStart w:id="945" w:name="_Toc108539869"/>
      <w:bookmarkStart w:id="946" w:name="_Toc23838"/>
      <w:r>
        <w:rPr>
          <w:rFonts w:hint="eastAsia" w:ascii="宋体" w:hAnsi="宋体"/>
          <w:b/>
          <w:color w:val="000000"/>
          <w:sz w:val="32"/>
          <w:highlight w:val="none"/>
        </w:rPr>
        <w:t>二、磋商函附录</w:t>
      </w:r>
      <w:bookmarkEnd w:id="941"/>
      <w:bookmarkEnd w:id="942"/>
      <w:bookmarkEnd w:id="943"/>
      <w:bookmarkEnd w:id="944"/>
      <w:bookmarkEnd w:id="945"/>
      <w:bookmarkEnd w:id="946"/>
    </w:p>
    <w:p w14:paraId="1243B7F1">
      <w:pPr>
        <w:ind w:firstLine="514"/>
        <w:rPr>
          <w:rFonts w:hint="eastAsia" w:ascii="宋体" w:hAnsi="宋体"/>
          <w:color w:val="000000"/>
          <w:kern w:val="1"/>
          <w:szCs w:val="21"/>
          <w:highlight w:val="none"/>
        </w:rPr>
      </w:pPr>
      <w:r>
        <w:rPr>
          <w:rFonts w:hint="eastAsia" w:ascii="宋体" w:hAnsi="宋体"/>
          <w:color w:val="000000"/>
          <w:kern w:val="1"/>
          <w:szCs w:val="21"/>
          <w:highlight w:val="none"/>
        </w:rPr>
        <w:t>项目名称：</w:t>
      </w:r>
    </w:p>
    <w:p w14:paraId="42B3E245">
      <w:pPr>
        <w:ind w:firstLine="514"/>
        <w:rPr>
          <w:rFonts w:ascii="宋体" w:hAnsi="宋体"/>
          <w:color w:val="000000"/>
          <w:kern w:val="1"/>
          <w:szCs w:val="21"/>
          <w:highlight w:val="none"/>
        </w:rPr>
      </w:pPr>
    </w:p>
    <w:p w14:paraId="12B2BA24">
      <w:pPr>
        <w:ind w:firstLine="514"/>
        <w:rPr>
          <w:rFonts w:hint="eastAsia" w:ascii="宋体" w:hAnsi="宋体"/>
          <w:color w:val="000000"/>
          <w:kern w:val="1"/>
          <w:szCs w:val="21"/>
          <w:highlight w:val="none"/>
        </w:rPr>
      </w:pPr>
      <w:r>
        <w:rPr>
          <w:rFonts w:hint="eastAsia" w:ascii="宋体" w:hAnsi="宋体"/>
          <w:color w:val="000000"/>
          <w:kern w:val="1"/>
          <w:szCs w:val="21"/>
          <w:highlight w:val="none"/>
        </w:rPr>
        <w:t>项目编号：</w:t>
      </w:r>
    </w:p>
    <w:p w14:paraId="62FB79F0">
      <w:pPr>
        <w:ind w:firstLine="514"/>
        <w:rPr>
          <w:rFonts w:ascii="宋体" w:hAnsi="宋体"/>
          <w:color w:val="000000"/>
          <w:kern w:val="1"/>
          <w:szCs w:val="21"/>
          <w:highlight w:val="none"/>
          <w:u w:val="single"/>
        </w:rPr>
      </w:pPr>
    </w:p>
    <w:tbl>
      <w:tblPr>
        <w:tblStyle w:val="4"/>
        <w:tblW w:w="0" w:type="auto"/>
        <w:tblInd w:w="728" w:type="dxa"/>
        <w:tblLayout w:type="fixed"/>
        <w:tblCellMar>
          <w:top w:w="0" w:type="dxa"/>
          <w:left w:w="108" w:type="dxa"/>
          <w:bottom w:w="0" w:type="dxa"/>
          <w:right w:w="108" w:type="dxa"/>
        </w:tblCellMar>
      </w:tblPr>
      <w:tblGrid>
        <w:gridCol w:w="992"/>
        <w:gridCol w:w="2108"/>
        <w:gridCol w:w="2003"/>
        <w:gridCol w:w="1984"/>
        <w:gridCol w:w="1843"/>
      </w:tblGrid>
      <w:tr w14:paraId="48250FF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5F3A9DD1">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序 号</w:t>
            </w:r>
          </w:p>
        </w:tc>
        <w:tc>
          <w:tcPr>
            <w:tcW w:w="2108" w:type="dxa"/>
            <w:tcBorders>
              <w:top w:val="single" w:color="000000" w:sz="4" w:space="0"/>
              <w:left w:val="single" w:color="000000" w:sz="4" w:space="0"/>
              <w:bottom w:val="single" w:color="000000" w:sz="4" w:space="0"/>
              <w:right w:val="single" w:color="000000" w:sz="4" w:space="0"/>
            </w:tcBorders>
            <w:vAlign w:val="center"/>
          </w:tcPr>
          <w:p w14:paraId="4C9482FD">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条款内容</w:t>
            </w:r>
          </w:p>
        </w:tc>
        <w:tc>
          <w:tcPr>
            <w:tcW w:w="2003" w:type="dxa"/>
            <w:tcBorders>
              <w:top w:val="single" w:color="000000" w:sz="4" w:space="0"/>
              <w:left w:val="single" w:color="000000" w:sz="4" w:space="0"/>
              <w:bottom w:val="single" w:color="000000" w:sz="4" w:space="0"/>
              <w:right w:val="single" w:color="000000" w:sz="4" w:space="0"/>
            </w:tcBorders>
            <w:vAlign w:val="center"/>
          </w:tcPr>
          <w:p w14:paraId="3D9C8B82">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401DFB20">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约定内容</w:t>
            </w:r>
          </w:p>
        </w:tc>
        <w:tc>
          <w:tcPr>
            <w:tcW w:w="1843" w:type="dxa"/>
            <w:tcBorders>
              <w:top w:val="single" w:color="000000" w:sz="4" w:space="0"/>
              <w:left w:val="single" w:color="000000" w:sz="4" w:space="0"/>
              <w:bottom w:val="single" w:color="000000" w:sz="4" w:space="0"/>
              <w:right w:val="single" w:color="000000" w:sz="4" w:space="0"/>
            </w:tcBorders>
            <w:vAlign w:val="center"/>
          </w:tcPr>
          <w:p w14:paraId="6B3D6E4E">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备注</w:t>
            </w:r>
          </w:p>
        </w:tc>
      </w:tr>
      <w:tr w14:paraId="478744C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46E02CA4">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1</w:t>
            </w:r>
          </w:p>
        </w:tc>
        <w:tc>
          <w:tcPr>
            <w:tcW w:w="2108" w:type="dxa"/>
            <w:tcBorders>
              <w:top w:val="single" w:color="000000" w:sz="4" w:space="0"/>
              <w:left w:val="single" w:color="000000" w:sz="4" w:space="0"/>
              <w:bottom w:val="single" w:color="000000" w:sz="4" w:space="0"/>
              <w:right w:val="single" w:color="000000" w:sz="4" w:space="0"/>
            </w:tcBorders>
            <w:vAlign w:val="center"/>
          </w:tcPr>
          <w:p w14:paraId="02CFBA64">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项目经理</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0746119E">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供应商须知2.1</w:t>
            </w:r>
          </w:p>
        </w:tc>
        <w:tc>
          <w:tcPr>
            <w:tcW w:w="1984" w:type="dxa"/>
            <w:tcBorders>
              <w:top w:val="single" w:color="000000" w:sz="4" w:space="0"/>
              <w:left w:val="single" w:color="000000" w:sz="4" w:space="0"/>
              <w:bottom w:val="single" w:color="000000" w:sz="4" w:space="0"/>
              <w:right w:val="single" w:color="000000" w:sz="4" w:space="0"/>
            </w:tcBorders>
            <w:vAlign w:val="center"/>
          </w:tcPr>
          <w:p w14:paraId="2C835E66">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7BCE5896">
            <w:pPr>
              <w:spacing w:line="360" w:lineRule="auto"/>
              <w:jc w:val="center"/>
              <w:rPr>
                <w:rFonts w:ascii="宋体" w:hAnsi="宋体"/>
                <w:color w:val="000000"/>
                <w:kern w:val="1"/>
                <w:szCs w:val="21"/>
                <w:highlight w:val="none"/>
              </w:rPr>
            </w:pPr>
          </w:p>
        </w:tc>
      </w:tr>
      <w:tr w14:paraId="6273BA7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5BA68F05">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2</w:t>
            </w:r>
          </w:p>
        </w:tc>
        <w:tc>
          <w:tcPr>
            <w:tcW w:w="2108" w:type="dxa"/>
            <w:tcBorders>
              <w:top w:val="single" w:color="000000" w:sz="4" w:space="0"/>
              <w:left w:val="single" w:color="000000" w:sz="4" w:space="0"/>
              <w:bottom w:val="single" w:color="000000" w:sz="4" w:space="0"/>
              <w:right w:val="single" w:color="000000" w:sz="4" w:space="0"/>
            </w:tcBorders>
            <w:vAlign w:val="center"/>
          </w:tcPr>
          <w:p w14:paraId="4DF72F7F">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磋商有效期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6AD65D98">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供应商须知12.1</w:t>
            </w:r>
          </w:p>
        </w:tc>
        <w:tc>
          <w:tcPr>
            <w:tcW w:w="1984" w:type="dxa"/>
            <w:tcBorders>
              <w:top w:val="single" w:color="000000" w:sz="4" w:space="0"/>
              <w:left w:val="single" w:color="000000" w:sz="4" w:space="0"/>
              <w:bottom w:val="single" w:color="000000" w:sz="4" w:space="0"/>
              <w:right w:val="single" w:color="000000" w:sz="4" w:space="0"/>
            </w:tcBorders>
            <w:vAlign w:val="center"/>
          </w:tcPr>
          <w:p w14:paraId="4677CE1B">
            <w:pPr>
              <w:spacing w:line="360" w:lineRule="auto"/>
              <w:jc w:val="center"/>
              <w:rPr>
                <w:rFonts w:hint="eastAsia" w:ascii="宋体" w:hAnsi="宋体"/>
                <w:color w:val="000000"/>
                <w:kern w:val="1"/>
                <w:szCs w:val="21"/>
                <w:highlight w:val="none"/>
                <w:u w:val="single"/>
              </w:rPr>
            </w:pPr>
            <w:r>
              <w:rPr>
                <w:rFonts w:hint="eastAsia" w:ascii="宋体" w:hAnsi="宋体"/>
                <w:color w:val="000000"/>
                <w:kern w:val="1"/>
                <w:szCs w:val="21"/>
                <w:highlight w:val="none"/>
                <w:u w:val="single"/>
              </w:rPr>
              <w:t xml:space="preserve"> </w:t>
            </w:r>
            <w:r>
              <w:rPr>
                <w:rFonts w:ascii="宋体" w:hAnsi="宋体"/>
                <w:color w:val="000000"/>
                <w:kern w:val="1"/>
                <w:szCs w:val="21"/>
                <w:highlight w:val="none"/>
                <w:u w:val="single"/>
              </w:rPr>
              <w:t xml:space="preserve">   </w:t>
            </w:r>
            <w:r>
              <w:rPr>
                <w:rFonts w:hint="eastAsia" w:ascii="宋体" w:hAnsi="宋体"/>
                <w:color w:val="000000"/>
                <w:kern w:val="1"/>
                <w:szCs w:val="21"/>
                <w:highlight w:val="none"/>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6DEC0D43">
            <w:pPr>
              <w:spacing w:line="360" w:lineRule="auto"/>
              <w:jc w:val="center"/>
              <w:rPr>
                <w:rFonts w:ascii="宋体" w:hAnsi="宋体"/>
                <w:color w:val="000000"/>
                <w:kern w:val="1"/>
                <w:szCs w:val="21"/>
                <w:highlight w:val="none"/>
              </w:rPr>
            </w:pPr>
          </w:p>
        </w:tc>
      </w:tr>
      <w:tr w14:paraId="10173FA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A1C0A25">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3</w:t>
            </w:r>
          </w:p>
        </w:tc>
        <w:tc>
          <w:tcPr>
            <w:tcW w:w="2108" w:type="dxa"/>
            <w:tcBorders>
              <w:top w:val="single" w:color="000000" w:sz="4" w:space="0"/>
              <w:left w:val="single" w:color="000000" w:sz="4" w:space="0"/>
              <w:bottom w:val="single" w:color="000000" w:sz="4" w:space="0"/>
              <w:right w:val="single" w:color="000000" w:sz="4" w:space="0"/>
            </w:tcBorders>
            <w:vAlign w:val="center"/>
          </w:tcPr>
          <w:p w14:paraId="0EA27257">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工期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3C9EE709">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供应商须知1.1</w:t>
            </w:r>
          </w:p>
        </w:tc>
        <w:tc>
          <w:tcPr>
            <w:tcW w:w="1984" w:type="dxa"/>
            <w:tcBorders>
              <w:top w:val="single" w:color="000000" w:sz="4" w:space="0"/>
              <w:left w:val="single" w:color="000000" w:sz="4" w:space="0"/>
              <w:bottom w:val="single" w:color="000000" w:sz="4" w:space="0"/>
              <w:right w:val="single" w:color="000000" w:sz="4" w:space="0"/>
            </w:tcBorders>
            <w:vAlign w:val="center"/>
          </w:tcPr>
          <w:p w14:paraId="3E3CDAB9">
            <w:pPr>
              <w:spacing w:line="360" w:lineRule="auto"/>
              <w:jc w:val="center"/>
              <w:rPr>
                <w:rFonts w:hint="eastAsia" w:ascii="宋体" w:hAnsi="宋体"/>
                <w:color w:val="000000"/>
                <w:kern w:val="1"/>
                <w:szCs w:val="21"/>
                <w:highlight w:val="none"/>
                <w:u w:val="single"/>
              </w:rPr>
            </w:pPr>
            <w:r>
              <w:rPr>
                <w:rFonts w:hint="eastAsia" w:ascii="宋体" w:hAnsi="宋体"/>
                <w:color w:val="000000"/>
                <w:kern w:val="1"/>
                <w:szCs w:val="21"/>
                <w:highlight w:val="none"/>
                <w:u w:val="single"/>
              </w:rPr>
              <w:t xml:space="preserve"> </w:t>
            </w:r>
            <w:r>
              <w:rPr>
                <w:rFonts w:ascii="宋体" w:hAnsi="宋体"/>
                <w:color w:val="000000"/>
                <w:kern w:val="1"/>
                <w:szCs w:val="21"/>
                <w:highlight w:val="none"/>
                <w:u w:val="single"/>
              </w:rPr>
              <w:t xml:space="preserve">   </w:t>
            </w:r>
            <w:r>
              <w:rPr>
                <w:rFonts w:hint="eastAsia" w:ascii="宋体" w:hAnsi="宋体"/>
                <w:color w:val="000000"/>
                <w:kern w:val="1"/>
                <w:szCs w:val="21"/>
                <w:highlight w:val="none"/>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59F44CB2">
            <w:pPr>
              <w:spacing w:line="360" w:lineRule="auto"/>
              <w:jc w:val="center"/>
              <w:rPr>
                <w:rFonts w:ascii="宋体" w:hAnsi="宋体"/>
                <w:color w:val="000000"/>
                <w:kern w:val="1"/>
                <w:szCs w:val="21"/>
                <w:highlight w:val="none"/>
              </w:rPr>
            </w:pPr>
          </w:p>
        </w:tc>
      </w:tr>
      <w:tr w14:paraId="6AE437B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4D0BD15">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4</w:t>
            </w:r>
          </w:p>
        </w:tc>
        <w:tc>
          <w:tcPr>
            <w:tcW w:w="2108" w:type="dxa"/>
            <w:tcBorders>
              <w:top w:val="single" w:color="000000" w:sz="4" w:space="0"/>
              <w:left w:val="single" w:color="000000" w:sz="4" w:space="0"/>
              <w:bottom w:val="single" w:color="000000" w:sz="4" w:space="0"/>
              <w:right w:val="single" w:color="000000" w:sz="4" w:space="0"/>
            </w:tcBorders>
            <w:vAlign w:val="center"/>
          </w:tcPr>
          <w:p w14:paraId="096B9EFD">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质量标准</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3F1576E0">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供应商须知1.1</w:t>
            </w:r>
          </w:p>
        </w:tc>
        <w:tc>
          <w:tcPr>
            <w:tcW w:w="1984" w:type="dxa"/>
            <w:tcBorders>
              <w:top w:val="single" w:color="000000" w:sz="4" w:space="0"/>
              <w:left w:val="single" w:color="000000" w:sz="4" w:space="0"/>
              <w:bottom w:val="single" w:color="000000" w:sz="4" w:space="0"/>
              <w:right w:val="single" w:color="000000" w:sz="4" w:space="0"/>
            </w:tcBorders>
            <w:vAlign w:val="center"/>
          </w:tcPr>
          <w:p w14:paraId="5CF202D4">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781D16F">
            <w:pPr>
              <w:spacing w:line="360" w:lineRule="auto"/>
              <w:jc w:val="center"/>
              <w:rPr>
                <w:rFonts w:ascii="宋体" w:hAnsi="宋体"/>
                <w:color w:val="000000"/>
                <w:kern w:val="1"/>
                <w:szCs w:val="21"/>
                <w:highlight w:val="none"/>
              </w:rPr>
            </w:pPr>
          </w:p>
        </w:tc>
      </w:tr>
      <w:tr w14:paraId="1DE6197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15B1A516">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5</w:t>
            </w:r>
          </w:p>
        </w:tc>
        <w:tc>
          <w:tcPr>
            <w:tcW w:w="2108" w:type="dxa"/>
            <w:tcBorders>
              <w:top w:val="single" w:color="000000" w:sz="4" w:space="0"/>
              <w:left w:val="single" w:color="000000" w:sz="4" w:space="0"/>
              <w:bottom w:val="single" w:color="000000" w:sz="4" w:space="0"/>
              <w:right w:val="single" w:color="000000" w:sz="4" w:space="0"/>
            </w:tcBorders>
            <w:vAlign w:val="center"/>
          </w:tcPr>
          <w:p w14:paraId="2259C4EA">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缺陷责任期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10DE626">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专用合同条款15.2</w:t>
            </w:r>
          </w:p>
        </w:tc>
        <w:tc>
          <w:tcPr>
            <w:tcW w:w="1984" w:type="dxa"/>
            <w:tcBorders>
              <w:top w:val="single" w:color="000000" w:sz="4" w:space="0"/>
              <w:left w:val="single" w:color="000000" w:sz="4" w:space="0"/>
              <w:bottom w:val="single" w:color="000000" w:sz="4" w:space="0"/>
              <w:right w:val="single" w:color="000000" w:sz="4" w:space="0"/>
            </w:tcBorders>
            <w:vAlign w:val="center"/>
          </w:tcPr>
          <w:p w14:paraId="3BA48006">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0B48CED">
            <w:pPr>
              <w:spacing w:line="360" w:lineRule="auto"/>
              <w:jc w:val="center"/>
              <w:rPr>
                <w:rFonts w:ascii="宋体" w:hAnsi="宋体"/>
                <w:color w:val="000000"/>
                <w:kern w:val="1"/>
                <w:szCs w:val="21"/>
                <w:highlight w:val="none"/>
              </w:rPr>
            </w:pPr>
          </w:p>
        </w:tc>
      </w:tr>
      <w:tr w14:paraId="5EEA9763">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EF19159">
            <w:pPr>
              <w:spacing w:line="360" w:lineRule="auto"/>
              <w:jc w:val="center"/>
              <w:rPr>
                <w:rFonts w:ascii="宋体" w:hAnsi="宋体"/>
                <w:color w:val="000000"/>
                <w:kern w:val="1"/>
                <w:szCs w:val="21"/>
                <w:highlight w:val="none"/>
              </w:rPr>
            </w:pPr>
            <w:r>
              <w:rPr>
                <w:rFonts w:ascii="宋体" w:hAnsi="宋体"/>
                <w:color w:val="000000"/>
                <w:kern w:val="1"/>
                <w:szCs w:val="21"/>
                <w:highlight w:val="none"/>
              </w:rPr>
              <w:t>6</w:t>
            </w:r>
          </w:p>
        </w:tc>
        <w:tc>
          <w:tcPr>
            <w:tcW w:w="2108" w:type="dxa"/>
            <w:tcBorders>
              <w:top w:val="single" w:color="000000" w:sz="4" w:space="0"/>
              <w:left w:val="single" w:color="000000" w:sz="4" w:space="0"/>
              <w:bottom w:val="single" w:color="000000" w:sz="4" w:space="0"/>
              <w:right w:val="single" w:color="000000" w:sz="4" w:space="0"/>
            </w:tcBorders>
            <w:vAlign w:val="center"/>
          </w:tcPr>
          <w:p w14:paraId="21E9D31C">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逾期竣工违约金</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7545E58">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w:t>
            </w:r>
            <w:r>
              <w:rPr>
                <w:rFonts w:ascii="宋体" w:hAnsi="宋体"/>
                <w:color w:val="000000"/>
                <w:highlight w:val="none"/>
              </w:rPr>
              <w:t xml:space="preserve">7.5.2 </w:t>
            </w:r>
          </w:p>
        </w:tc>
        <w:tc>
          <w:tcPr>
            <w:tcW w:w="1984" w:type="dxa"/>
            <w:tcBorders>
              <w:top w:val="single" w:color="000000" w:sz="4" w:space="0"/>
              <w:left w:val="single" w:color="000000" w:sz="4" w:space="0"/>
              <w:bottom w:val="single" w:color="000000" w:sz="4" w:space="0"/>
              <w:right w:val="single" w:color="000000" w:sz="4" w:space="0"/>
            </w:tcBorders>
            <w:vAlign w:val="center"/>
          </w:tcPr>
          <w:p w14:paraId="0CC6AFA1">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3922FA5">
            <w:pPr>
              <w:spacing w:line="360" w:lineRule="auto"/>
              <w:jc w:val="center"/>
              <w:rPr>
                <w:rFonts w:ascii="宋体" w:hAnsi="宋体"/>
                <w:color w:val="000000"/>
                <w:kern w:val="1"/>
                <w:szCs w:val="21"/>
                <w:highlight w:val="none"/>
              </w:rPr>
            </w:pPr>
          </w:p>
        </w:tc>
      </w:tr>
      <w:tr w14:paraId="6553BE1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13FC844C">
            <w:pPr>
              <w:spacing w:line="360" w:lineRule="auto"/>
              <w:jc w:val="center"/>
              <w:rPr>
                <w:rFonts w:ascii="宋体" w:hAnsi="宋体"/>
                <w:color w:val="000000"/>
                <w:kern w:val="1"/>
                <w:szCs w:val="21"/>
                <w:highlight w:val="none"/>
              </w:rPr>
            </w:pPr>
            <w:r>
              <w:rPr>
                <w:rFonts w:ascii="宋体" w:hAnsi="宋体"/>
                <w:color w:val="000000"/>
                <w:kern w:val="1"/>
                <w:szCs w:val="21"/>
                <w:highlight w:val="none"/>
              </w:rPr>
              <w:t>7</w:t>
            </w:r>
          </w:p>
        </w:tc>
        <w:tc>
          <w:tcPr>
            <w:tcW w:w="2108" w:type="dxa"/>
            <w:tcBorders>
              <w:top w:val="single" w:color="000000" w:sz="4" w:space="0"/>
              <w:left w:val="single" w:color="000000" w:sz="4" w:space="0"/>
              <w:bottom w:val="single" w:color="000000" w:sz="4" w:space="0"/>
              <w:right w:val="single" w:color="000000" w:sz="4" w:space="0"/>
            </w:tcBorders>
            <w:vAlign w:val="center"/>
          </w:tcPr>
          <w:p w14:paraId="4EC7F5F4">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逾期竣工违约金最高限额</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461BDCBF">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w:t>
            </w:r>
            <w:r>
              <w:rPr>
                <w:rFonts w:ascii="宋体" w:hAnsi="宋体"/>
                <w:color w:val="000000"/>
                <w:highlight w:val="none"/>
              </w:rPr>
              <w:t xml:space="preserve">7.5.2 </w:t>
            </w:r>
          </w:p>
        </w:tc>
        <w:tc>
          <w:tcPr>
            <w:tcW w:w="1984" w:type="dxa"/>
            <w:tcBorders>
              <w:top w:val="single" w:color="000000" w:sz="4" w:space="0"/>
              <w:left w:val="single" w:color="000000" w:sz="4" w:space="0"/>
              <w:bottom w:val="single" w:color="000000" w:sz="4" w:space="0"/>
              <w:right w:val="single" w:color="000000" w:sz="4" w:space="0"/>
            </w:tcBorders>
            <w:vAlign w:val="center"/>
          </w:tcPr>
          <w:p w14:paraId="43F29EB7">
            <w:pPr>
              <w:spacing w:line="360" w:lineRule="auto"/>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BADEE88">
            <w:pPr>
              <w:spacing w:line="360" w:lineRule="auto"/>
              <w:jc w:val="center"/>
              <w:rPr>
                <w:rFonts w:ascii="宋体" w:hAnsi="宋体"/>
                <w:color w:val="000000"/>
                <w:kern w:val="1"/>
                <w:szCs w:val="21"/>
                <w:highlight w:val="none"/>
              </w:rPr>
            </w:pPr>
          </w:p>
        </w:tc>
      </w:tr>
      <w:tr w14:paraId="55B6C14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50F01AEB">
            <w:pPr>
              <w:jc w:val="center"/>
              <w:rPr>
                <w:rFonts w:hint="eastAsia" w:ascii="宋体" w:hAnsi="宋体"/>
                <w:color w:val="000000"/>
                <w:kern w:val="1"/>
                <w:szCs w:val="21"/>
                <w:highlight w:val="none"/>
              </w:rPr>
            </w:pPr>
            <w:r>
              <w:rPr>
                <w:rFonts w:hint="eastAsia" w:ascii="宋体" w:hAnsi="宋体"/>
                <w:color w:val="000000"/>
                <w:kern w:val="1"/>
                <w:szCs w:val="21"/>
                <w:highlight w:val="none"/>
              </w:rPr>
              <w:t>……</w:t>
            </w:r>
          </w:p>
        </w:tc>
        <w:tc>
          <w:tcPr>
            <w:tcW w:w="2108" w:type="dxa"/>
            <w:tcBorders>
              <w:top w:val="single" w:color="000000" w:sz="4" w:space="0"/>
              <w:left w:val="single" w:color="000000" w:sz="4" w:space="0"/>
              <w:bottom w:val="single" w:color="000000" w:sz="4" w:space="0"/>
              <w:right w:val="single" w:color="000000" w:sz="4" w:space="0"/>
            </w:tcBorders>
            <w:vAlign w:val="center"/>
          </w:tcPr>
          <w:p w14:paraId="61788D5E">
            <w:pPr>
              <w:jc w:val="center"/>
              <w:rPr>
                <w:rFonts w:ascii="宋体" w:hAnsi="宋体"/>
                <w:color w:val="000000"/>
                <w:kern w:val="1"/>
                <w:szCs w:val="21"/>
                <w:highlight w:val="none"/>
              </w:rPr>
            </w:pP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622F9641">
            <w:pPr>
              <w:spacing w:line="360" w:lineRule="auto"/>
              <w:rPr>
                <w:rFonts w:ascii="宋体" w:hAnsi="宋体"/>
                <w:color w:val="000000"/>
                <w:kern w:val="1"/>
                <w:szCs w:val="21"/>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0B19841">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1427A22">
            <w:pPr>
              <w:spacing w:line="360" w:lineRule="auto"/>
              <w:jc w:val="center"/>
              <w:rPr>
                <w:rFonts w:ascii="宋体" w:hAnsi="宋体"/>
                <w:color w:val="000000"/>
                <w:kern w:val="1"/>
                <w:szCs w:val="21"/>
                <w:highlight w:val="none"/>
              </w:rPr>
            </w:pPr>
          </w:p>
        </w:tc>
      </w:tr>
      <w:tr w14:paraId="6384E74B">
        <w:tblPrEx>
          <w:tblCellMar>
            <w:top w:w="0" w:type="dxa"/>
            <w:left w:w="108" w:type="dxa"/>
            <w:bottom w:w="0" w:type="dxa"/>
            <w:right w:w="108" w:type="dxa"/>
          </w:tblCellMar>
        </w:tblPrEx>
        <w:trPr>
          <w:trHeight w:val="926" w:hRule="atLeast"/>
        </w:trPr>
        <w:tc>
          <w:tcPr>
            <w:tcW w:w="8930" w:type="dxa"/>
            <w:gridSpan w:val="5"/>
            <w:tcBorders>
              <w:top w:val="single" w:color="000000" w:sz="4" w:space="0"/>
              <w:left w:val="single" w:color="000000" w:sz="4" w:space="0"/>
              <w:bottom w:val="single" w:color="000000" w:sz="4" w:space="0"/>
              <w:right w:val="single" w:color="000000" w:sz="4" w:space="0"/>
            </w:tcBorders>
            <w:vAlign w:val="center"/>
          </w:tcPr>
          <w:p w14:paraId="1CE5B94E">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备注：供应商在响应磋商文件中规定的实质性要求和条件的基础上，可做出其他有利于供应商的承诺。此类承诺可在本表中予以补充填写。</w:t>
            </w:r>
          </w:p>
        </w:tc>
      </w:tr>
    </w:tbl>
    <w:p w14:paraId="70D6D601">
      <w:pPr>
        <w:spacing w:line="480" w:lineRule="exact"/>
        <w:rPr>
          <w:rFonts w:hint="eastAsia" w:ascii="宋体" w:hAnsi="宋体"/>
          <w:color w:val="000000"/>
          <w:highlight w:val="none"/>
        </w:rPr>
      </w:pPr>
    </w:p>
    <w:p w14:paraId="3E282966">
      <w:pPr>
        <w:spacing w:line="480" w:lineRule="exact"/>
        <w:rPr>
          <w:rFonts w:hint="eastAsia" w:ascii="宋体" w:hAnsi="宋体"/>
          <w:color w:val="000000"/>
          <w:highlight w:val="none"/>
        </w:rPr>
      </w:pPr>
      <w:r>
        <w:rPr>
          <w:rFonts w:hint="eastAsia" w:ascii="宋体" w:hAnsi="宋体"/>
          <w:color w:val="000000"/>
          <w:highlight w:val="none"/>
        </w:rPr>
        <w:t>供应</w:t>
      </w:r>
      <w:r>
        <w:rPr>
          <w:rFonts w:hint="eastAsia" w:ascii="宋体" w:hAnsi="宋体"/>
          <w:color w:val="000000"/>
          <w:szCs w:val="21"/>
          <w:highlight w:val="none"/>
        </w:rPr>
        <w:t>商</w:t>
      </w:r>
      <w:r>
        <w:rPr>
          <w:rFonts w:ascii="宋体" w:hAnsi="宋体"/>
          <w:color w:val="000000"/>
          <w:szCs w:val="21"/>
          <w:highlight w:val="none"/>
        </w:rPr>
        <w:t>（CA</w:t>
      </w:r>
      <w:r>
        <w:rPr>
          <w:rFonts w:hint="eastAsia" w:ascii="宋体" w:hAnsi="宋体"/>
          <w:color w:val="000000"/>
          <w:szCs w:val="21"/>
          <w:highlight w:val="none"/>
        </w:rPr>
        <w:t>电子签章</w:t>
      </w:r>
      <w:r>
        <w:rPr>
          <w:rFonts w:ascii="宋体" w:hAnsi="宋体"/>
          <w:color w:val="000000"/>
          <w:szCs w:val="21"/>
          <w:highlight w:val="none"/>
        </w:rPr>
        <w:t>）</w:t>
      </w:r>
      <w:r>
        <w:rPr>
          <w:rFonts w:hint="eastAsia" w:ascii="宋体" w:hAnsi="宋体"/>
          <w:color w:val="000000"/>
          <w:highlight w:val="none"/>
        </w:rPr>
        <w:t>：</w:t>
      </w:r>
    </w:p>
    <w:p w14:paraId="0D97409D">
      <w:pPr>
        <w:spacing w:line="480" w:lineRule="exact"/>
        <w:rPr>
          <w:rFonts w:hint="eastAsia" w:ascii="宋体" w:hAnsi="宋体"/>
          <w:color w:val="000000"/>
          <w:highlight w:val="none"/>
        </w:rPr>
      </w:pPr>
      <w:r>
        <w:rPr>
          <w:rFonts w:hint="eastAsia" w:ascii="宋体" w:hAnsi="宋体"/>
          <w:color w:val="000000"/>
          <w:highlight w:val="none"/>
        </w:rPr>
        <w:t>法人代表或委托代理人（签字或盖章）：</w:t>
      </w:r>
    </w:p>
    <w:p w14:paraId="080A5DAC">
      <w:pPr>
        <w:spacing w:line="480" w:lineRule="exact"/>
        <w:rPr>
          <w:rFonts w:hint="eastAsia" w:ascii="宋体" w:hAnsi="宋体"/>
          <w:color w:val="000000"/>
          <w:highlight w:val="none"/>
        </w:rPr>
      </w:pPr>
      <w:r>
        <w:rPr>
          <w:rFonts w:hint="eastAsia" w:ascii="宋体" w:hAnsi="宋体"/>
          <w:color w:val="000000"/>
          <w:highlight w:val="none"/>
        </w:rPr>
        <w:t>磋商日期：</w:t>
      </w:r>
    </w:p>
    <w:p w14:paraId="095E6C20">
      <w:pPr>
        <w:rPr>
          <w:rFonts w:hint="eastAsia" w:ascii="宋体" w:hAnsi="宋体"/>
          <w:b/>
          <w:color w:val="000000"/>
          <w:sz w:val="32"/>
          <w:highlight w:val="none"/>
        </w:rPr>
      </w:pPr>
      <w:r>
        <w:rPr>
          <w:rFonts w:hint="eastAsia" w:ascii="宋体" w:hAnsi="宋体"/>
          <w:b/>
          <w:color w:val="000000"/>
          <w:sz w:val="32"/>
          <w:highlight w:val="none"/>
        </w:rPr>
        <w:br w:type="page"/>
      </w:r>
    </w:p>
    <w:p w14:paraId="433573AF">
      <w:pPr>
        <w:pStyle w:val="124"/>
        <w:spacing w:line="360" w:lineRule="auto"/>
        <w:jc w:val="center"/>
        <w:outlineLvl w:val="0"/>
        <w:rPr>
          <w:rFonts w:hint="eastAsia" w:ascii="宋体" w:hAnsi="宋体"/>
          <w:b/>
          <w:color w:val="000000"/>
          <w:sz w:val="32"/>
          <w:highlight w:val="none"/>
        </w:rPr>
      </w:pPr>
      <w:bookmarkStart w:id="947" w:name="_Toc108539870"/>
      <w:bookmarkStart w:id="948" w:name="_Toc178062934"/>
      <w:bookmarkStart w:id="949" w:name="_Toc10765"/>
      <w:r>
        <w:rPr>
          <w:rFonts w:hint="eastAsia" w:ascii="宋体" w:hAnsi="宋体"/>
          <w:b/>
          <w:color w:val="000000"/>
          <w:sz w:val="32"/>
          <w:highlight w:val="none"/>
        </w:rPr>
        <w:t>三、已标价工程量清单</w:t>
      </w:r>
      <w:bookmarkEnd w:id="947"/>
      <w:bookmarkEnd w:id="948"/>
      <w:bookmarkEnd w:id="949"/>
    </w:p>
    <w:p w14:paraId="1B329C4D">
      <w:pPr>
        <w:spacing w:line="360" w:lineRule="auto"/>
        <w:ind w:firstLine="420" w:firstLineChars="200"/>
        <w:rPr>
          <w:color w:val="000000"/>
          <w:highlight w:val="none"/>
        </w:rPr>
      </w:pPr>
      <w:r>
        <w:rPr>
          <w:color w:val="000000"/>
          <w:highlight w:val="none"/>
        </w:rPr>
        <w:t xml:space="preserve">1. </w:t>
      </w:r>
      <w:r>
        <w:rPr>
          <w:rFonts w:hint="eastAsia"/>
          <w:color w:val="000000"/>
          <w:highlight w:val="none"/>
        </w:rPr>
        <w:t>已标价工程量清单应按第七章附件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中的相关表格及磋商报价说明填写。构成合同文件的已标价工程量清单包括第七章附件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有关工程量清单、磋商报价以及其他说明的内容。</w:t>
      </w:r>
    </w:p>
    <w:p w14:paraId="0C443C20">
      <w:pPr>
        <w:spacing w:line="360" w:lineRule="auto"/>
        <w:ind w:firstLine="420" w:firstLineChars="200"/>
        <w:rPr>
          <w:color w:val="000000"/>
          <w:highlight w:val="none"/>
        </w:rPr>
      </w:pPr>
      <w:r>
        <w:rPr>
          <w:color w:val="000000"/>
          <w:highlight w:val="none"/>
        </w:rPr>
        <w:t xml:space="preserve">2. </w:t>
      </w:r>
      <w:r>
        <w:rPr>
          <w:rFonts w:hint="eastAsia"/>
          <w:color w:val="000000"/>
          <w:highlight w:val="none"/>
        </w:rPr>
        <w:t>磋商总价封面</w:t>
      </w:r>
      <w:r>
        <w:rPr>
          <w:color w:val="000000"/>
          <w:highlight w:val="none"/>
        </w:rPr>
        <w:t>CA</w:t>
      </w:r>
      <w:r>
        <w:rPr>
          <w:rFonts w:hint="eastAsia"/>
          <w:color w:val="000000"/>
          <w:highlight w:val="none"/>
        </w:rPr>
        <w:t>电子签章，并由法定代表人签字（或盖章），同时由编制人签字，否则视为无效响应。</w:t>
      </w:r>
    </w:p>
    <w:p w14:paraId="4F887FE6">
      <w:pPr>
        <w:spacing w:line="360" w:lineRule="auto"/>
        <w:ind w:firstLine="420" w:firstLineChars="200"/>
        <w:rPr>
          <w:color w:val="000000"/>
          <w:highlight w:val="none"/>
        </w:rPr>
      </w:pPr>
      <w:r>
        <w:rPr>
          <w:color w:val="000000"/>
          <w:highlight w:val="none"/>
        </w:rPr>
        <w:t xml:space="preserve">3. </w:t>
      </w:r>
      <w:r>
        <w:rPr>
          <w:rFonts w:hint="eastAsia"/>
          <w:color w:val="000000"/>
          <w:highlight w:val="none"/>
        </w:rPr>
        <w:t>已标价工程量清单表格要严格按照招标工程量清单给出的表格要求和内容填报。</w:t>
      </w:r>
    </w:p>
    <w:p w14:paraId="7810C518">
      <w:pPr>
        <w:pStyle w:val="33"/>
        <w:spacing w:line="312" w:lineRule="auto"/>
        <w:ind w:firstLine="424" w:firstLineChars="201"/>
        <w:rPr>
          <w:rFonts w:ascii="宋体" w:hAnsi="宋体"/>
          <w:b/>
          <w:color w:val="000000"/>
          <w:szCs w:val="21"/>
          <w:highlight w:val="none"/>
        </w:rPr>
      </w:pPr>
    </w:p>
    <w:p w14:paraId="578FAB16">
      <w:pPr>
        <w:pStyle w:val="33"/>
        <w:spacing w:line="312" w:lineRule="auto"/>
        <w:ind w:firstLine="424" w:firstLineChars="201"/>
        <w:rPr>
          <w:rFonts w:ascii="宋体" w:hAnsi="宋体"/>
          <w:b/>
          <w:color w:val="000000"/>
          <w:szCs w:val="21"/>
          <w:highlight w:val="none"/>
        </w:rPr>
      </w:pPr>
    </w:p>
    <w:p w14:paraId="4F79C2F9">
      <w:pPr>
        <w:keepNext/>
        <w:keepLines/>
        <w:spacing w:before="260" w:after="260"/>
        <w:jc w:val="center"/>
        <w:outlineLvl w:val="2"/>
        <w:rPr>
          <w:rFonts w:hint="eastAsia"/>
          <w:b/>
          <w:bCs/>
          <w:color w:val="000000"/>
          <w:sz w:val="30"/>
          <w:szCs w:val="30"/>
          <w:highlight w:val="none"/>
        </w:rPr>
      </w:pPr>
      <w:bookmarkStart w:id="950" w:name="_Toc924361400"/>
      <w:bookmarkStart w:id="951" w:name="_Toc1416311017"/>
      <w:bookmarkStart w:id="952" w:name="_Toc379677361"/>
      <w:bookmarkStart w:id="953" w:name="_Toc1781219436"/>
      <w:bookmarkStart w:id="954" w:name="_Toc869583722"/>
      <w:bookmarkStart w:id="955" w:name="_Toc5745500"/>
      <w:bookmarkStart w:id="956" w:name="_Toc969820101"/>
      <w:bookmarkStart w:id="957" w:name="_Toc911222776"/>
      <w:bookmarkStart w:id="958" w:name="_Toc1383880777"/>
      <w:bookmarkStart w:id="959" w:name="_Toc1790971193"/>
      <w:bookmarkStart w:id="960" w:name="_Toc1049699317"/>
      <w:bookmarkStart w:id="961" w:name="_Toc699312645"/>
      <w:r>
        <w:rPr>
          <w:rFonts w:hint="eastAsia"/>
          <w:b/>
          <w:bCs/>
          <w:color w:val="000000"/>
          <w:sz w:val="30"/>
          <w:szCs w:val="30"/>
          <w:highlight w:val="none"/>
        </w:rPr>
        <w:br w:type="page"/>
      </w:r>
      <w:bookmarkStart w:id="962" w:name="_Toc4416"/>
      <w:r>
        <w:rPr>
          <w:rFonts w:hint="eastAsia"/>
          <w:b/>
          <w:bCs/>
          <w:color w:val="000000"/>
          <w:sz w:val="30"/>
          <w:szCs w:val="30"/>
          <w:highlight w:val="none"/>
        </w:rPr>
        <w:t>建筑材料和设备节能环保要求承诺书</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53D71699">
      <w:pPr>
        <w:spacing w:line="520" w:lineRule="exact"/>
        <w:ind w:left="-10" w:firstLine="455" w:firstLineChars="217"/>
        <w:jc w:val="left"/>
        <w:rPr>
          <w:rFonts w:ascii="宋体" w:hAnsi="宋体"/>
          <w:color w:val="000000"/>
          <w:highlight w:val="none"/>
        </w:rPr>
      </w:pPr>
      <w:r>
        <w:rPr>
          <w:rFonts w:ascii="宋体" w:hAnsi="宋体"/>
          <w:color w:val="000000"/>
          <w:highlight w:val="none"/>
        </w:rPr>
        <w:t>我方承诺，一旦</w:t>
      </w:r>
      <w:r>
        <w:rPr>
          <w:rFonts w:hint="eastAsia" w:ascii="宋体" w:hAnsi="宋体"/>
          <w:color w:val="000000"/>
          <w:highlight w:val="none"/>
        </w:rPr>
        <w:t>成交</w:t>
      </w:r>
      <w:r>
        <w:rPr>
          <w:rFonts w:ascii="宋体" w:hAnsi="宋体"/>
          <w:color w:val="000000"/>
          <w:highlight w:val="none"/>
        </w:rPr>
        <w:t>，我方保证严格执行《财政部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w:t>
      </w:r>
      <w:r>
        <w:rPr>
          <w:rFonts w:hint="eastAsia" w:ascii="宋体" w:hAnsi="宋体"/>
          <w:color w:val="000000"/>
          <w:highlight w:val="none"/>
        </w:rPr>
        <w:t>★</w:t>
      </w:r>
      <w:r>
        <w:rPr>
          <w:rFonts w:ascii="宋体" w:hAnsi="宋体"/>
          <w:color w:val="000000"/>
          <w:highlight w:val="none"/>
        </w:rPr>
        <w:t>”的产品，都使用政府强制采购的节能产品。如我方在该项目的承包中出现未按规定执行的情形，我方愿意按照相关规定接受建设单位及有关主管部门的处罚。</w:t>
      </w:r>
    </w:p>
    <w:p w14:paraId="3AE4D03E">
      <w:pPr>
        <w:tabs>
          <w:tab w:val="left" w:pos="4860"/>
        </w:tabs>
        <w:spacing w:line="360" w:lineRule="auto"/>
        <w:ind w:right="1560" w:firstLine="444" w:firstLineChars="200"/>
        <w:contextualSpacing/>
        <w:jc w:val="center"/>
        <w:rPr>
          <w:rFonts w:ascii="宋体" w:hAnsi="宋体"/>
          <w:color w:val="000000"/>
          <w:spacing w:val="6"/>
          <w:highlight w:val="none"/>
        </w:rPr>
      </w:pPr>
      <w:r>
        <w:rPr>
          <w:rFonts w:ascii="宋体" w:hAnsi="宋体"/>
          <w:color w:val="000000"/>
          <w:spacing w:val="6"/>
          <w:highlight w:val="none"/>
        </w:rPr>
        <w:t xml:space="preserve">                   </w:t>
      </w:r>
    </w:p>
    <w:p w14:paraId="7A95384D">
      <w:pPr>
        <w:tabs>
          <w:tab w:val="left" w:pos="4860"/>
        </w:tabs>
        <w:spacing w:line="360" w:lineRule="auto"/>
        <w:ind w:right="1560" w:firstLine="444" w:firstLineChars="200"/>
        <w:contextualSpacing/>
        <w:jc w:val="center"/>
        <w:rPr>
          <w:rFonts w:ascii="宋体" w:hAnsi="宋体"/>
          <w:color w:val="000000"/>
          <w:spacing w:val="6"/>
          <w:highlight w:val="none"/>
        </w:rPr>
      </w:pPr>
    </w:p>
    <w:p w14:paraId="775D9E74">
      <w:pPr>
        <w:tabs>
          <w:tab w:val="left" w:pos="4860"/>
        </w:tabs>
        <w:spacing w:line="360" w:lineRule="auto"/>
        <w:ind w:right="1560" w:firstLine="420" w:firstLineChars="200"/>
        <w:contextualSpacing/>
        <w:jc w:val="center"/>
        <w:rPr>
          <w:rFonts w:ascii="宋体" w:hAnsi="宋体"/>
          <w:color w:val="000000"/>
          <w:highlight w:val="none"/>
        </w:rPr>
      </w:pPr>
      <w:r>
        <w:rPr>
          <w:rFonts w:ascii="宋体" w:hAnsi="宋体"/>
          <w:color w:val="000000"/>
          <w:highlight w:val="none"/>
        </w:rPr>
        <w:t>单位名称（</w:t>
      </w:r>
      <w:r>
        <w:rPr>
          <w:rFonts w:hint="eastAsia" w:ascii="宋体" w:hAnsi="宋体"/>
          <w:b/>
          <w:color w:val="000000"/>
          <w:szCs w:val="21"/>
          <w:highlight w:val="none"/>
        </w:rPr>
        <w:t>CA</w:t>
      </w:r>
      <w:r>
        <w:rPr>
          <w:rFonts w:hint="eastAsia" w:ascii="宋体" w:hAnsi="宋体"/>
          <w:color w:val="000000"/>
          <w:highlight w:val="none"/>
        </w:rPr>
        <w:t>电子签</w:t>
      </w:r>
      <w:r>
        <w:rPr>
          <w:rFonts w:ascii="宋体" w:hAnsi="宋体"/>
          <w:color w:val="000000"/>
          <w:highlight w:val="none"/>
        </w:rPr>
        <w:t>章）</w:t>
      </w:r>
      <w:r>
        <w:rPr>
          <w:rFonts w:hint="eastAsia" w:ascii="宋体" w:hAnsi="宋体"/>
          <w:color w:val="000000"/>
          <w:highlight w:val="none"/>
        </w:rPr>
        <w:t>：</w:t>
      </w:r>
    </w:p>
    <w:p w14:paraId="42EEB50A">
      <w:pPr>
        <w:ind w:firstLine="444" w:firstLineChars="200"/>
        <w:jc w:val="left"/>
        <w:rPr>
          <w:rFonts w:ascii="宋体" w:hAnsi="宋体"/>
          <w:color w:val="000000"/>
          <w:spacing w:val="6"/>
          <w:highlight w:val="none"/>
        </w:rPr>
      </w:pPr>
      <w:r>
        <w:rPr>
          <w:rFonts w:ascii="宋体" w:hAnsi="宋体"/>
          <w:color w:val="000000"/>
          <w:spacing w:val="6"/>
          <w:highlight w:val="none"/>
        </w:rPr>
        <w:t xml:space="preserve">                       日  期：</w:t>
      </w:r>
    </w:p>
    <w:p w14:paraId="7F265433">
      <w:pPr>
        <w:pStyle w:val="33"/>
        <w:spacing w:line="312" w:lineRule="auto"/>
        <w:ind w:firstLine="424" w:firstLineChars="201"/>
        <w:rPr>
          <w:rFonts w:ascii="宋体" w:hAnsi="宋体"/>
          <w:b/>
          <w:color w:val="000000"/>
          <w:highlight w:val="none"/>
        </w:rPr>
      </w:pPr>
    </w:p>
    <w:p w14:paraId="1C863C92">
      <w:pPr>
        <w:pStyle w:val="33"/>
        <w:ind w:firstLine="424" w:firstLineChars="201"/>
        <w:rPr>
          <w:rFonts w:ascii="宋体" w:hAnsi="宋体"/>
          <w:b/>
          <w:color w:val="000000"/>
          <w:highlight w:val="none"/>
        </w:rPr>
      </w:pPr>
    </w:p>
    <w:p w14:paraId="43A3C1AE">
      <w:pPr>
        <w:pStyle w:val="40"/>
        <w:rPr>
          <w:rFonts w:hAnsi="宋体"/>
          <w:color w:val="000000"/>
          <w:highlight w:val="none"/>
        </w:rPr>
      </w:pPr>
      <w:r>
        <w:rPr>
          <w:rFonts w:hAnsi="宋体"/>
          <w:color w:val="000000"/>
          <w:highlight w:val="none"/>
        </w:rPr>
        <w:br w:type="page"/>
      </w:r>
      <w:r>
        <w:rPr>
          <w:rFonts w:hAnsi="宋体"/>
          <w:bCs/>
          <w:color w:val="000000"/>
          <w:sz w:val="28"/>
          <w:szCs w:val="28"/>
          <w:highlight w:val="none"/>
        </w:rPr>
        <w:t>《中小企业声明函》格式</w:t>
      </w:r>
    </w:p>
    <w:p w14:paraId="795DE71B">
      <w:pPr>
        <w:pStyle w:val="63"/>
        <w:shd w:val="clear" w:color="auto" w:fill="FFFFFF"/>
        <w:spacing w:line="482" w:lineRule="atLeast"/>
        <w:jc w:val="center"/>
        <w:rPr>
          <w:rStyle w:val="69"/>
          <w:rFonts w:hint="eastAsia"/>
          <w:color w:val="000000"/>
          <w:sz w:val="32"/>
          <w:szCs w:val="32"/>
          <w:highlight w:val="none"/>
        </w:rPr>
      </w:pPr>
      <w:r>
        <w:rPr>
          <w:rStyle w:val="69"/>
          <w:rFonts w:hint="eastAsia"/>
          <w:color w:val="000000"/>
          <w:sz w:val="32"/>
          <w:szCs w:val="32"/>
          <w:highlight w:val="none"/>
        </w:rPr>
        <w:t>中小企业声明函（工程）</w:t>
      </w:r>
    </w:p>
    <w:p w14:paraId="718E853F">
      <w:pPr>
        <w:pStyle w:val="101"/>
        <w:ind w:firstLine="600" w:firstLineChars="250"/>
        <w:rPr>
          <w:rFonts w:hint="eastAsia"/>
          <w:color w:val="000000"/>
          <w:highlight w:val="none"/>
        </w:rPr>
      </w:pPr>
      <w:r>
        <w:rPr>
          <w:rFonts w:hint="eastAsia"/>
          <w:color w:val="000000"/>
          <w:highlight w:val="none"/>
        </w:rPr>
        <w:t>本公司郑重声明，根据《政府采购促进中小企业发展管理办法》（财库﹝2020﹞46 号）的规定，本公司参加</w:t>
      </w:r>
      <w:r>
        <w:rPr>
          <w:rFonts w:hint="eastAsia"/>
          <w:color w:val="000000"/>
          <w:highlight w:val="none"/>
          <w:u w:val="single"/>
        </w:rPr>
        <w:t>（采购单位名称）</w:t>
      </w:r>
      <w:r>
        <w:rPr>
          <w:rFonts w:hint="eastAsia"/>
          <w:color w:val="000000"/>
          <w:highlight w:val="none"/>
        </w:rPr>
        <w:t>的</w:t>
      </w:r>
      <w:r>
        <w:rPr>
          <w:rFonts w:hint="eastAsia"/>
          <w:color w:val="000000"/>
          <w:highlight w:val="none"/>
          <w:u w:val="single"/>
        </w:rPr>
        <w:t>（项目名称）</w:t>
      </w:r>
      <w:r>
        <w:rPr>
          <w:rFonts w:hint="eastAsia"/>
          <w:color w:val="000000"/>
          <w:highlight w:val="none"/>
        </w:rPr>
        <w:t>采购活动，工程的施工单位全部为符合政策要求的中小企业。相关企业（含联合体中的中小企业、签订分包意向协议的中小企业）的具体情况如下：</w:t>
      </w:r>
    </w:p>
    <w:p w14:paraId="1F032F47">
      <w:pPr>
        <w:pStyle w:val="101"/>
        <w:numPr>
          <w:ilvl w:val="0"/>
          <w:numId w:val="8"/>
        </w:numPr>
        <w:ind w:firstLine="600" w:firstLineChars="250"/>
        <w:rPr>
          <w:rFonts w:hint="eastAsia"/>
          <w:color w:val="000000"/>
          <w:highlight w:val="none"/>
          <w:u w:val="single"/>
        </w:rPr>
      </w:pPr>
      <w:r>
        <w:rPr>
          <w:rFonts w:hint="eastAsia"/>
          <w:color w:val="000000"/>
          <w:highlight w:val="none"/>
          <w:u w:val="single"/>
        </w:rPr>
        <w:t xml:space="preserve">（标的名称） </w:t>
      </w:r>
      <w:r>
        <w:rPr>
          <w:rFonts w:hint="eastAsia"/>
          <w:color w:val="000000"/>
          <w:highlight w:val="none"/>
        </w:rPr>
        <w:t>，属于</w:t>
      </w:r>
      <w:r>
        <w:rPr>
          <w:rFonts w:hint="eastAsia"/>
          <w:color w:val="000000"/>
          <w:highlight w:val="none"/>
          <w:u w:val="single"/>
        </w:rPr>
        <w:t>（采购文件中明确的所属行业）</w:t>
      </w:r>
      <w:r>
        <w:rPr>
          <w:rFonts w:hint="eastAsia"/>
          <w:color w:val="000000"/>
          <w:highlight w:val="none"/>
        </w:rPr>
        <w:t>； 承建（承接）企业为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 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1523BC2F">
      <w:pPr>
        <w:pStyle w:val="101"/>
        <w:numPr>
          <w:ilvl w:val="0"/>
          <w:numId w:val="8"/>
        </w:numPr>
        <w:ind w:firstLine="600" w:firstLineChars="250"/>
        <w:rPr>
          <w:rFonts w:hint="eastAsia"/>
          <w:color w:val="000000"/>
          <w:highlight w:val="none"/>
          <w:u w:val="single"/>
        </w:rPr>
      </w:pPr>
      <w:r>
        <w:rPr>
          <w:rFonts w:hint="eastAsia"/>
          <w:color w:val="000000"/>
          <w:highlight w:val="none"/>
          <w:u w:val="single"/>
        </w:rPr>
        <w:t xml:space="preserve">（标的名称） </w:t>
      </w:r>
      <w:r>
        <w:rPr>
          <w:rFonts w:hint="eastAsia"/>
          <w:color w:val="000000"/>
          <w:highlight w:val="none"/>
        </w:rPr>
        <w:t>，属于</w:t>
      </w:r>
      <w:r>
        <w:rPr>
          <w:rFonts w:hint="eastAsia"/>
          <w:color w:val="000000"/>
          <w:highlight w:val="none"/>
          <w:u w:val="single"/>
        </w:rPr>
        <w:t>（采购文件中明确的所属行业）</w:t>
      </w:r>
      <w:r>
        <w:rPr>
          <w:rFonts w:hint="eastAsia"/>
          <w:color w:val="000000"/>
          <w:highlight w:val="none"/>
        </w:rPr>
        <w:t>； 承建（承接）企业为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 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04730220">
      <w:pPr>
        <w:pStyle w:val="101"/>
        <w:ind w:firstLine="720" w:firstLineChars="300"/>
        <w:rPr>
          <w:rFonts w:hint="eastAsia"/>
          <w:color w:val="000000"/>
          <w:highlight w:val="none"/>
        </w:rPr>
      </w:pPr>
      <w:r>
        <w:rPr>
          <w:rFonts w:hint="eastAsia"/>
          <w:color w:val="000000"/>
          <w:highlight w:val="none"/>
        </w:rPr>
        <w:t>......</w:t>
      </w:r>
    </w:p>
    <w:p w14:paraId="4B797BEE">
      <w:pPr>
        <w:pStyle w:val="101"/>
        <w:ind w:firstLine="600" w:firstLineChars="250"/>
        <w:rPr>
          <w:rFonts w:hint="eastAsia"/>
          <w:color w:val="000000"/>
          <w:highlight w:val="none"/>
        </w:rPr>
      </w:pPr>
      <w:r>
        <w:rPr>
          <w:rFonts w:hint="eastAsia"/>
          <w:color w:val="000000"/>
          <w:highlight w:val="none"/>
        </w:rPr>
        <w:t xml:space="preserve">以上企业，不属于大企业的分支机构，不存在控股股东为大企业的情形，也不存在与大企业的负责人为同一人的情形。 </w:t>
      </w:r>
    </w:p>
    <w:p w14:paraId="4E82E943">
      <w:pPr>
        <w:pStyle w:val="63"/>
        <w:shd w:val="clear" w:color="auto" w:fill="FFFFFF"/>
        <w:spacing w:before="0" w:beforeAutospacing="0" w:after="0" w:afterAutospacing="0" w:line="460" w:lineRule="exact"/>
        <w:ind w:firstLine="539"/>
        <w:rPr>
          <w:rFonts w:hint="eastAsia"/>
          <w:color w:val="000000"/>
          <w:highlight w:val="none"/>
        </w:rPr>
      </w:pPr>
      <w:r>
        <w:rPr>
          <w:rFonts w:hint="eastAsia"/>
          <w:color w:val="000000"/>
          <w:highlight w:val="none"/>
        </w:rPr>
        <w:t>本企业对上述声明内容的真实性负责。如有虚假，将依法承担相应责任。</w:t>
      </w:r>
    </w:p>
    <w:p w14:paraId="6A171568">
      <w:pPr>
        <w:pStyle w:val="63"/>
        <w:shd w:val="clear" w:color="auto" w:fill="FFFFFF"/>
        <w:spacing w:before="0" w:beforeAutospacing="0" w:after="0" w:afterAutospacing="0" w:line="460" w:lineRule="exact"/>
        <w:ind w:firstLine="539"/>
        <w:rPr>
          <w:color w:val="000000"/>
          <w:highlight w:val="none"/>
        </w:rPr>
      </w:pPr>
    </w:p>
    <w:p w14:paraId="4510DF53">
      <w:pPr>
        <w:pStyle w:val="63"/>
        <w:shd w:val="clear" w:color="auto" w:fill="FFFFFF"/>
        <w:spacing w:before="0" w:beforeAutospacing="0" w:after="0" w:afterAutospacing="0" w:line="460" w:lineRule="exact"/>
        <w:ind w:firstLine="4140"/>
        <w:rPr>
          <w:color w:val="000000"/>
          <w:highlight w:val="none"/>
        </w:rPr>
      </w:pPr>
    </w:p>
    <w:p w14:paraId="48BD6021">
      <w:pPr>
        <w:pStyle w:val="63"/>
        <w:shd w:val="clear" w:color="auto" w:fill="FFFFFF"/>
        <w:spacing w:before="0" w:beforeAutospacing="0" w:after="0" w:afterAutospacing="0" w:line="460" w:lineRule="exact"/>
        <w:ind w:firstLine="4140"/>
        <w:rPr>
          <w:rFonts w:hint="eastAsia"/>
          <w:color w:val="000000"/>
          <w:highlight w:val="none"/>
        </w:rPr>
      </w:pPr>
      <w:r>
        <w:rPr>
          <w:rFonts w:hint="eastAsia"/>
          <w:color w:val="000000"/>
          <w:highlight w:val="none"/>
        </w:rPr>
        <w:t>企业名称（加盖CA电子公章）：</w:t>
      </w:r>
    </w:p>
    <w:p w14:paraId="7A2C6DC4">
      <w:pPr>
        <w:pStyle w:val="63"/>
        <w:shd w:val="clear" w:color="auto" w:fill="FFFFFF"/>
        <w:spacing w:before="0" w:beforeAutospacing="0" w:after="0" w:afterAutospacing="0" w:line="460" w:lineRule="exact"/>
        <w:ind w:firstLine="4140"/>
        <w:rPr>
          <w:rFonts w:hint="eastAsia"/>
          <w:color w:val="000000"/>
          <w:highlight w:val="none"/>
        </w:rPr>
      </w:pPr>
      <w:r>
        <w:rPr>
          <w:rFonts w:hint="eastAsia"/>
          <w:color w:val="000000"/>
          <w:highlight w:val="none"/>
        </w:rPr>
        <w:t xml:space="preserve">日    期： </w:t>
      </w:r>
    </w:p>
    <w:p w14:paraId="150538E8">
      <w:pPr>
        <w:pStyle w:val="63"/>
        <w:shd w:val="clear" w:color="auto" w:fill="FFFFFF"/>
        <w:spacing w:before="0" w:beforeAutospacing="0" w:after="0" w:afterAutospacing="0" w:line="460" w:lineRule="exact"/>
        <w:ind w:firstLine="4140"/>
        <w:rPr>
          <w:color w:val="000000"/>
          <w:highlight w:val="none"/>
        </w:rPr>
      </w:pPr>
    </w:p>
    <w:p w14:paraId="1B3022F4">
      <w:pPr>
        <w:spacing w:line="400" w:lineRule="exact"/>
        <w:ind w:firstLine="210" w:firstLineChars="100"/>
        <w:rPr>
          <w:rFonts w:ascii="宋体" w:hAnsi="宋体"/>
          <w:color w:val="000000"/>
          <w:highlight w:val="none"/>
        </w:rPr>
      </w:pPr>
    </w:p>
    <w:p w14:paraId="08A8A488">
      <w:pPr>
        <w:spacing w:line="360" w:lineRule="auto"/>
        <w:contextualSpacing/>
        <w:jc w:val="left"/>
        <w:rPr>
          <w:rFonts w:hint="eastAsia" w:ascii="宋体" w:hAnsi="宋体"/>
          <w:b/>
          <w:color w:val="000000"/>
          <w:highlight w:val="none"/>
        </w:rPr>
      </w:pPr>
      <w:r>
        <w:rPr>
          <w:rFonts w:hint="eastAsia" w:ascii="宋体" w:hAnsi="宋体"/>
          <w:b/>
          <w:color w:val="000000"/>
          <w:highlight w:val="none"/>
        </w:rPr>
        <w:t>注：从业人员、营业收入、资产总额填报上一年度数据，无上一年度数据的新成立企业可不填报。</w:t>
      </w:r>
    </w:p>
    <w:p w14:paraId="46606FB4">
      <w:pPr>
        <w:widowControl/>
        <w:jc w:val="left"/>
        <w:rPr>
          <w:rFonts w:ascii="宋体" w:hAnsi="宋体"/>
          <w:b/>
          <w:color w:val="000000"/>
          <w:sz w:val="32"/>
          <w:szCs w:val="32"/>
          <w:highlight w:val="none"/>
        </w:rPr>
      </w:pPr>
      <w:r>
        <w:rPr>
          <w:rFonts w:ascii="宋体" w:hAnsi="宋体"/>
          <w:b/>
          <w:color w:val="000000"/>
          <w:sz w:val="32"/>
          <w:szCs w:val="32"/>
          <w:highlight w:val="none"/>
        </w:rPr>
        <w:br w:type="page"/>
      </w:r>
    </w:p>
    <w:p w14:paraId="1A5297F5">
      <w:pPr>
        <w:pStyle w:val="125"/>
        <w:shd w:val="clear" w:color="auto" w:fill="FFFFFF"/>
        <w:spacing w:before="0" w:beforeAutospacing="0" w:after="0" w:afterAutospacing="0"/>
        <w:jc w:val="center"/>
        <w:rPr>
          <w:rFonts w:hint="eastAsia"/>
          <w:b/>
          <w:color w:val="000000"/>
          <w:sz w:val="32"/>
          <w:szCs w:val="32"/>
          <w:highlight w:val="none"/>
        </w:rPr>
      </w:pPr>
      <w:r>
        <w:rPr>
          <w:rFonts w:hint="eastAsia"/>
          <w:b/>
          <w:color w:val="000000"/>
          <w:sz w:val="32"/>
          <w:szCs w:val="32"/>
          <w:highlight w:val="none"/>
        </w:rPr>
        <w:t>残疾人福利性单位声明函（如有时）</w:t>
      </w:r>
    </w:p>
    <w:p w14:paraId="73D5DC3B">
      <w:pPr>
        <w:pStyle w:val="63"/>
        <w:shd w:val="clear" w:color="auto" w:fill="FFFFFF"/>
        <w:spacing w:before="0" w:beforeAutospacing="0" w:after="0" w:afterAutospacing="0" w:line="460" w:lineRule="exact"/>
        <w:ind w:firstLine="539"/>
        <w:rPr>
          <w:color w:val="000000"/>
          <w:highlight w:val="none"/>
        </w:rPr>
      </w:pPr>
    </w:p>
    <w:p w14:paraId="039270EE">
      <w:pPr>
        <w:pStyle w:val="63"/>
        <w:shd w:val="clear" w:color="auto" w:fill="FFFFFF"/>
        <w:spacing w:before="0" w:beforeAutospacing="0" w:after="0" w:afterAutospacing="0" w:line="460" w:lineRule="exact"/>
        <w:ind w:firstLine="539"/>
        <w:rPr>
          <w:color w:val="000000"/>
          <w:highlight w:val="none"/>
        </w:rPr>
      </w:pPr>
      <w:r>
        <w:rPr>
          <w:color w:val="000000"/>
          <w:highlight w:val="none"/>
        </w:rPr>
        <w:t>本单位郑重声明，根据《财政部 民政部 中国残疾人联合会关于促进残疾人就业政府采购政策的通知》（财库</w:t>
      </w:r>
      <w:r>
        <w:rPr>
          <w:rFonts w:hint="eastAsia"/>
          <w:color w:val="000000"/>
          <w:highlight w:val="none"/>
        </w:rPr>
        <w:t>〔</w:t>
      </w:r>
      <w:r>
        <w:rPr>
          <w:color w:val="000000"/>
          <w:highlight w:val="none"/>
        </w:rPr>
        <w:t>2017</w:t>
      </w:r>
      <w:r>
        <w:rPr>
          <w:rFonts w:hint="eastAsia"/>
          <w:color w:val="000000"/>
          <w:highlight w:val="none"/>
        </w:rPr>
        <w:t>〕</w:t>
      </w:r>
      <w:r>
        <w:rPr>
          <w:color w:val="000000"/>
          <w:highlight w:val="none"/>
        </w:rPr>
        <w:t>141号）的规定，本单位为符合条件的残疾人福利性单位，且本单位参加</w:t>
      </w:r>
      <w:r>
        <w:rPr>
          <w:rFonts w:hint="eastAsia"/>
          <w:color w:val="000000"/>
          <w:highlight w:val="none"/>
          <w:u w:val="single"/>
        </w:rPr>
        <w:t xml:space="preserve">      </w:t>
      </w:r>
      <w:r>
        <w:rPr>
          <w:color w:val="000000"/>
          <w:highlight w:val="none"/>
        </w:rPr>
        <w:t>单位的</w:t>
      </w:r>
      <w:r>
        <w:rPr>
          <w:rFonts w:hint="eastAsia"/>
          <w:color w:val="000000"/>
          <w:highlight w:val="none"/>
          <w:u w:val="single"/>
        </w:rPr>
        <w:t xml:space="preserve">           </w:t>
      </w:r>
      <w:r>
        <w:rPr>
          <w:color w:val="000000"/>
          <w:highlight w:val="none"/>
        </w:rPr>
        <w:t>项目采购活动提供本单位制造的货物（由本单位承担工程/提供服务），或者提供其他残疾人福利性单位制造的货物（不包括使用非残疾人福利性单位注册商标的货物）。</w:t>
      </w:r>
    </w:p>
    <w:p w14:paraId="225066EF">
      <w:pPr>
        <w:pStyle w:val="63"/>
        <w:shd w:val="clear" w:color="auto" w:fill="FFFFFF"/>
        <w:spacing w:before="0" w:beforeAutospacing="0" w:after="0" w:afterAutospacing="0" w:line="460" w:lineRule="exact"/>
        <w:ind w:firstLine="539"/>
        <w:rPr>
          <w:color w:val="000000"/>
          <w:highlight w:val="none"/>
        </w:rPr>
      </w:pPr>
      <w:r>
        <w:rPr>
          <w:color w:val="000000"/>
          <w:highlight w:val="none"/>
        </w:rPr>
        <w:t>本单位对上述声明的真实性负责。如有虚假，将依法承担相应责任。</w:t>
      </w:r>
    </w:p>
    <w:p w14:paraId="1D5BF8D3">
      <w:pPr>
        <w:pStyle w:val="63"/>
        <w:shd w:val="clear" w:color="auto" w:fill="FFFFFF"/>
        <w:spacing w:before="0" w:beforeAutospacing="0" w:after="0" w:afterAutospacing="0" w:line="460" w:lineRule="exact"/>
        <w:ind w:firstLine="539"/>
        <w:rPr>
          <w:color w:val="000000"/>
          <w:highlight w:val="none"/>
        </w:rPr>
      </w:pPr>
    </w:p>
    <w:p w14:paraId="2FDF93FD">
      <w:pPr>
        <w:pStyle w:val="63"/>
        <w:shd w:val="clear" w:color="auto" w:fill="FFFFFF"/>
        <w:spacing w:before="0" w:beforeAutospacing="0" w:after="0" w:afterAutospacing="0" w:line="460" w:lineRule="exact"/>
        <w:ind w:firstLine="4377" w:firstLineChars="1824"/>
        <w:rPr>
          <w:color w:val="000000"/>
          <w:highlight w:val="none"/>
        </w:rPr>
      </w:pPr>
      <w:r>
        <w:rPr>
          <w:color w:val="000000"/>
          <w:highlight w:val="none"/>
        </w:rPr>
        <w:t>单位名称（</w:t>
      </w:r>
      <w:r>
        <w:rPr>
          <w:rFonts w:hint="eastAsia"/>
          <w:b/>
          <w:color w:val="000000"/>
          <w:szCs w:val="21"/>
          <w:highlight w:val="none"/>
        </w:rPr>
        <w:t>CA</w:t>
      </w:r>
      <w:r>
        <w:rPr>
          <w:rFonts w:hint="eastAsia"/>
          <w:color w:val="000000"/>
          <w:highlight w:val="none"/>
        </w:rPr>
        <w:t>电子签</w:t>
      </w:r>
      <w:r>
        <w:rPr>
          <w:color w:val="000000"/>
          <w:highlight w:val="none"/>
        </w:rPr>
        <w:t>章）：</w:t>
      </w:r>
    </w:p>
    <w:p w14:paraId="7548594A">
      <w:pPr>
        <w:pStyle w:val="63"/>
        <w:shd w:val="clear" w:color="auto" w:fill="FFFFFF"/>
        <w:spacing w:before="0" w:beforeAutospacing="0" w:after="0" w:afterAutospacing="0" w:line="460" w:lineRule="exact"/>
        <w:ind w:firstLine="4377" w:firstLineChars="1824"/>
        <w:rPr>
          <w:color w:val="000000"/>
          <w:highlight w:val="none"/>
        </w:rPr>
      </w:pPr>
      <w:r>
        <w:rPr>
          <w:color w:val="000000"/>
          <w:highlight w:val="none"/>
        </w:rPr>
        <w:t>日  期：</w:t>
      </w:r>
    </w:p>
    <w:p w14:paraId="61BD4A1F">
      <w:pPr>
        <w:pStyle w:val="125"/>
        <w:shd w:val="clear" w:color="auto" w:fill="FFFFFF"/>
        <w:spacing w:before="0" w:beforeAutospacing="0" w:after="0" w:afterAutospacing="0"/>
        <w:rPr>
          <w:b/>
          <w:color w:val="000000"/>
          <w:highlight w:val="none"/>
        </w:rPr>
      </w:pPr>
    </w:p>
    <w:p w14:paraId="767A27E7">
      <w:pPr>
        <w:pStyle w:val="125"/>
        <w:shd w:val="clear" w:color="auto" w:fill="FFFFFF"/>
        <w:spacing w:before="0" w:beforeAutospacing="0" w:after="0" w:afterAutospacing="0"/>
        <w:rPr>
          <w:b/>
          <w:color w:val="000000"/>
          <w:highlight w:val="none"/>
        </w:rPr>
      </w:pPr>
    </w:p>
    <w:p w14:paraId="79D864F7">
      <w:pPr>
        <w:pStyle w:val="125"/>
        <w:shd w:val="clear" w:color="auto" w:fill="FFFFFF"/>
        <w:spacing w:before="0" w:beforeAutospacing="0" w:after="0" w:afterAutospacing="0"/>
        <w:rPr>
          <w:b/>
          <w:color w:val="000000"/>
          <w:highlight w:val="none"/>
        </w:rPr>
      </w:pPr>
    </w:p>
    <w:p w14:paraId="65635F39">
      <w:pPr>
        <w:pStyle w:val="125"/>
        <w:shd w:val="clear" w:color="auto" w:fill="FFFFFF"/>
        <w:spacing w:before="0" w:beforeAutospacing="0" w:after="0" w:afterAutospacing="0"/>
        <w:rPr>
          <w:b/>
          <w:color w:val="000000"/>
          <w:highlight w:val="none"/>
        </w:rPr>
      </w:pPr>
    </w:p>
    <w:p w14:paraId="30138DB8">
      <w:pPr>
        <w:pStyle w:val="125"/>
        <w:shd w:val="clear" w:color="auto" w:fill="FFFFFF"/>
        <w:spacing w:before="0" w:beforeAutospacing="0" w:after="0" w:afterAutospacing="0"/>
        <w:rPr>
          <w:b/>
          <w:color w:val="000000"/>
          <w:highlight w:val="none"/>
        </w:rPr>
      </w:pPr>
    </w:p>
    <w:p w14:paraId="042EE498">
      <w:pPr>
        <w:pStyle w:val="125"/>
        <w:shd w:val="clear" w:color="auto" w:fill="FFFFFF"/>
        <w:spacing w:before="0" w:beforeAutospacing="0" w:after="0" w:afterAutospacing="0"/>
        <w:rPr>
          <w:b/>
          <w:color w:val="000000"/>
          <w:highlight w:val="none"/>
        </w:rPr>
      </w:pPr>
    </w:p>
    <w:p w14:paraId="139ADE2E">
      <w:pPr>
        <w:pStyle w:val="125"/>
        <w:shd w:val="clear" w:color="auto" w:fill="FFFFFF"/>
        <w:spacing w:before="0" w:beforeAutospacing="0" w:after="0" w:afterAutospacing="0"/>
        <w:rPr>
          <w:b/>
          <w:color w:val="000000"/>
          <w:highlight w:val="none"/>
        </w:rPr>
      </w:pPr>
    </w:p>
    <w:p w14:paraId="1C7F56D4">
      <w:pPr>
        <w:pStyle w:val="125"/>
        <w:shd w:val="clear" w:color="auto" w:fill="FFFFFF"/>
        <w:spacing w:before="0" w:beforeAutospacing="0" w:after="0" w:afterAutospacing="0"/>
        <w:rPr>
          <w:b/>
          <w:color w:val="000000"/>
          <w:highlight w:val="none"/>
        </w:rPr>
      </w:pPr>
    </w:p>
    <w:p w14:paraId="7C7E3DFA">
      <w:pPr>
        <w:pStyle w:val="125"/>
        <w:shd w:val="clear" w:color="auto" w:fill="FFFFFF"/>
        <w:spacing w:before="0" w:beforeAutospacing="0" w:after="0" w:afterAutospacing="0"/>
        <w:rPr>
          <w:b/>
          <w:color w:val="000000"/>
          <w:highlight w:val="none"/>
        </w:rPr>
      </w:pPr>
    </w:p>
    <w:p w14:paraId="5CA44A6A">
      <w:pPr>
        <w:pStyle w:val="125"/>
        <w:shd w:val="clear" w:color="auto" w:fill="FFFFFF"/>
        <w:spacing w:before="0" w:beforeAutospacing="0" w:after="0" w:afterAutospacing="0"/>
        <w:rPr>
          <w:b/>
          <w:color w:val="000000"/>
          <w:highlight w:val="none"/>
        </w:rPr>
      </w:pPr>
    </w:p>
    <w:p w14:paraId="394C12EE">
      <w:pPr>
        <w:pStyle w:val="125"/>
        <w:shd w:val="clear" w:color="auto" w:fill="FFFFFF"/>
        <w:spacing w:before="0" w:beforeAutospacing="0" w:after="0" w:afterAutospacing="0"/>
        <w:rPr>
          <w:b/>
          <w:color w:val="000000"/>
          <w:highlight w:val="none"/>
        </w:rPr>
      </w:pPr>
    </w:p>
    <w:p w14:paraId="77FC6AD9">
      <w:pPr>
        <w:pStyle w:val="125"/>
        <w:shd w:val="clear" w:color="auto" w:fill="FFFFFF"/>
        <w:spacing w:before="0" w:beforeAutospacing="0" w:after="0" w:afterAutospacing="0"/>
        <w:rPr>
          <w:b/>
          <w:color w:val="000000"/>
          <w:highlight w:val="none"/>
        </w:rPr>
      </w:pPr>
    </w:p>
    <w:p w14:paraId="36882001">
      <w:pPr>
        <w:pStyle w:val="125"/>
        <w:shd w:val="clear" w:color="auto" w:fill="FFFFFF"/>
        <w:spacing w:before="0" w:beforeAutospacing="0" w:after="0" w:afterAutospacing="0"/>
        <w:rPr>
          <w:b/>
          <w:color w:val="000000"/>
          <w:highlight w:val="none"/>
        </w:rPr>
      </w:pPr>
    </w:p>
    <w:p w14:paraId="4467407C">
      <w:pPr>
        <w:pStyle w:val="125"/>
        <w:shd w:val="clear" w:color="auto" w:fill="FFFFFF"/>
        <w:spacing w:before="0" w:beforeAutospacing="0" w:after="0" w:afterAutospacing="0"/>
        <w:rPr>
          <w:b/>
          <w:color w:val="000000"/>
          <w:highlight w:val="none"/>
        </w:rPr>
      </w:pPr>
    </w:p>
    <w:p w14:paraId="4FE462A0">
      <w:pPr>
        <w:pStyle w:val="125"/>
        <w:shd w:val="clear" w:color="auto" w:fill="FFFFFF"/>
        <w:spacing w:before="0" w:beforeAutospacing="0" w:after="0" w:afterAutospacing="0"/>
        <w:rPr>
          <w:b/>
          <w:color w:val="000000"/>
          <w:highlight w:val="none"/>
        </w:rPr>
      </w:pPr>
    </w:p>
    <w:p w14:paraId="1FB015E5">
      <w:pPr>
        <w:pStyle w:val="125"/>
        <w:shd w:val="clear" w:color="auto" w:fill="FFFFFF"/>
        <w:spacing w:before="0" w:beforeAutospacing="0" w:after="0" w:afterAutospacing="0"/>
        <w:rPr>
          <w:b/>
          <w:color w:val="000000"/>
          <w:highlight w:val="none"/>
        </w:rPr>
      </w:pPr>
    </w:p>
    <w:p w14:paraId="50A8A806">
      <w:pPr>
        <w:pStyle w:val="125"/>
        <w:shd w:val="clear" w:color="auto" w:fill="FFFFFF"/>
        <w:spacing w:before="0" w:beforeAutospacing="0" w:after="0" w:afterAutospacing="0"/>
        <w:rPr>
          <w:b/>
          <w:color w:val="000000"/>
          <w:highlight w:val="none"/>
        </w:rPr>
      </w:pPr>
    </w:p>
    <w:p w14:paraId="7196FD7B">
      <w:pPr>
        <w:pStyle w:val="125"/>
        <w:pBdr>
          <w:bottom w:val="single" w:color="auto" w:sz="6" w:space="1"/>
        </w:pBdr>
        <w:shd w:val="clear" w:color="auto" w:fill="FFFFFF"/>
        <w:spacing w:before="0" w:beforeAutospacing="0" w:after="0" w:afterAutospacing="0"/>
        <w:rPr>
          <w:b/>
          <w:color w:val="000000"/>
          <w:highlight w:val="none"/>
        </w:rPr>
      </w:pPr>
    </w:p>
    <w:p w14:paraId="2C645DA5">
      <w:pPr>
        <w:spacing w:line="360" w:lineRule="auto"/>
        <w:contextualSpacing/>
        <w:rPr>
          <w:rFonts w:hint="eastAsia" w:ascii="宋体" w:hAnsi="宋体"/>
          <w:b/>
          <w:color w:val="000000"/>
          <w:sz w:val="24"/>
          <w:highlight w:val="none"/>
        </w:rPr>
      </w:pPr>
      <w:r>
        <w:rPr>
          <w:rFonts w:hint="eastAsia" w:ascii="宋体" w:hAnsi="宋体"/>
          <w:b/>
          <w:color w:val="000000"/>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1D3925A2">
      <w:pPr>
        <w:pStyle w:val="40"/>
        <w:spacing w:line="400" w:lineRule="exact"/>
        <w:ind w:firstLine="430"/>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006BCAAE">
      <w:pPr>
        <w:spacing w:line="400" w:lineRule="exact"/>
        <w:rPr>
          <w:rFonts w:ascii="宋体" w:hAnsi="宋体"/>
          <w:bCs/>
          <w:color w:val="000000"/>
          <w:sz w:val="28"/>
          <w:szCs w:val="28"/>
          <w:highlight w:val="none"/>
        </w:rPr>
      </w:pPr>
      <w:r>
        <w:rPr>
          <w:rFonts w:ascii="宋体" w:hAnsi="宋体"/>
          <w:bCs/>
          <w:color w:val="000000"/>
          <w:sz w:val="28"/>
          <w:szCs w:val="28"/>
          <w:highlight w:val="none"/>
        </w:rPr>
        <w:t>根据《财政部、司法部关于印发&lt;政府采购关于支持监狱企业发展有关问题&gt;》的通知（财库〔2014〕68号），监狱企业参加政府采购活动时，应当提供由省级以上监狱管理局、戒毒管理局（含新疆生产建设兵团）出具的属于监狱企业的证明文件。</w:t>
      </w:r>
    </w:p>
    <w:p w14:paraId="7DFABB49">
      <w:pPr>
        <w:spacing w:line="400" w:lineRule="exact"/>
        <w:jc w:val="center"/>
        <w:rPr>
          <w:rFonts w:ascii="宋体" w:hAnsi="宋体"/>
          <w:b/>
          <w:color w:val="000000"/>
          <w:sz w:val="32"/>
          <w:szCs w:val="32"/>
          <w:highlight w:val="none"/>
        </w:rPr>
      </w:pPr>
    </w:p>
    <w:p w14:paraId="220D47CB">
      <w:pPr>
        <w:spacing w:line="400" w:lineRule="exact"/>
        <w:jc w:val="center"/>
        <w:rPr>
          <w:rFonts w:ascii="宋体" w:hAnsi="宋体"/>
          <w:b/>
          <w:color w:val="000000"/>
          <w:sz w:val="32"/>
          <w:szCs w:val="32"/>
          <w:highlight w:val="none"/>
        </w:rPr>
      </w:pPr>
    </w:p>
    <w:p w14:paraId="1904BC65">
      <w:pPr>
        <w:spacing w:line="400" w:lineRule="exact"/>
        <w:jc w:val="center"/>
        <w:rPr>
          <w:rFonts w:ascii="宋体" w:hAnsi="宋体"/>
          <w:b/>
          <w:color w:val="000000"/>
          <w:sz w:val="32"/>
          <w:szCs w:val="32"/>
          <w:highlight w:val="none"/>
        </w:rPr>
      </w:pPr>
    </w:p>
    <w:p w14:paraId="51EC4857">
      <w:pPr>
        <w:spacing w:line="400" w:lineRule="exact"/>
        <w:jc w:val="center"/>
        <w:rPr>
          <w:rFonts w:ascii="宋体" w:hAnsi="宋体"/>
          <w:b/>
          <w:color w:val="000000"/>
          <w:sz w:val="32"/>
          <w:szCs w:val="32"/>
          <w:highlight w:val="none"/>
        </w:rPr>
      </w:pPr>
    </w:p>
    <w:p w14:paraId="104EA09A">
      <w:pPr>
        <w:spacing w:line="400" w:lineRule="exact"/>
        <w:jc w:val="center"/>
        <w:rPr>
          <w:rFonts w:ascii="宋体" w:hAnsi="宋体"/>
          <w:b/>
          <w:color w:val="000000"/>
          <w:sz w:val="32"/>
          <w:szCs w:val="32"/>
          <w:highlight w:val="none"/>
        </w:rPr>
      </w:pPr>
    </w:p>
    <w:p w14:paraId="48665DC0">
      <w:pPr>
        <w:spacing w:line="400" w:lineRule="exact"/>
        <w:jc w:val="center"/>
        <w:rPr>
          <w:rFonts w:ascii="宋体" w:hAnsi="宋体"/>
          <w:b/>
          <w:color w:val="000000"/>
          <w:sz w:val="32"/>
          <w:szCs w:val="32"/>
          <w:highlight w:val="none"/>
        </w:rPr>
      </w:pPr>
    </w:p>
    <w:p w14:paraId="37A4C173">
      <w:pPr>
        <w:spacing w:line="400" w:lineRule="exact"/>
        <w:jc w:val="center"/>
        <w:rPr>
          <w:rFonts w:ascii="宋体" w:hAnsi="宋体"/>
          <w:b/>
          <w:color w:val="000000"/>
          <w:sz w:val="32"/>
          <w:szCs w:val="32"/>
          <w:highlight w:val="none"/>
        </w:rPr>
      </w:pPr>
    </w:p>
    <w:p w14:paraId="44029B53">
      <w:pPr>
        <w:spacing w:line="400" w:lineRule="exact"/>
        <w:jc w:val="center"/>
        <w:rPr>
          <w:rFonts w:ascii="宋体" w:hAnsi="宋体"/>
          <w:b/>
          <w:color w:val="000000"/>
          <w:sz w:val="32"/>
          <w:szCs w:val="32"/>
          <w:highlight w:val="none"/>
        </w:rPr>
      </w:pPr>
    </w:p>
    <w:p w14:paraId="230D56DB">
      <w:pPr>
        <w:spacing w:line="400" w:lineRule="exact"/>
        <w:jc w:val="center"/>
        <w:rPr>
          <w:rFonts w:ascii="宋体" w:hAnsi="宋体"/>
          <w:b/>
          <w:color w:val="000000"/>
          <w:sz w:val="32"/>
          <w:szCs w:val="32"/>
          <w:highlight w:val="none"/>
        </w:rPr>
      </w:pPr>
    </w:p>
    <w:p w14:paraId="75A8FF66">
      <w:pPr>
        <w:spacing w:line="400" w:lineRule="exact"/>
        <w:jc w:val="center"/>
        <w:rPr>
          <w:rFonts w:ascii="宋体" w:hAnsi="宋体"/>
          <w:b/>
          <w:color w:val="000000"/>
          <w:sz w:val="32"/>
          <w:szCs w:val="32"/>
          <w:highlight w:val="none"/>
        </w:rPr>
      </w:pPr>
    </w:p>
    <w:p w14:paraId="78E72406">
      <w:pPr>
        <w:spacing w:line="400" w:lineRule="exact"/>
        <w:jc w:val="center"/>
        <w:rPr>
          <w:rFonts w:ascii="宋体" w:hAnsi="宋体"/>
          <w:b/>
          <w:color w:val="000000"/>
          <w:sz w:val="32"/>
          <w:szCs w:val="32"/>
          <w:highlight w:val="none"/>
        </w:rPr>
      </w:pPr>
    </w:p>
    <w:p w14:paraId="02187B93">
      <w:pPr>
        <w:spacing w:line="400" w:lineRule="exact"/>
        <w:jc w:val="center"/>
        <w:rPr>
          <w:rFonts w:ascii="宋体" w:hAnsi="宋体"/>
          <w:b/>
          <w:color w:val="000000"/>
          <w:sz w:val="32"/>
          <w:szCs w:val="32"/>
          <w:highlight w:val="none"/>
        </w:rPr>
      </w:pPr>
    </w:p>
    <w:p w14:paraId="7BFA2E12">
      <w:pPr>
        <w:spacing w:line="400" w:lineRule="exact"/>
        <w:jc w:val="center"/>
        <w:rPr>
          <w:rFonts w:ascii="宋体" w:hAnsi="宋体"/>
          <w:b/>
          <w:color w:val="000000"/>
          <w:sz w:val="32"/>
          <w:szCs w:val="32"/>
          <w:highlight w:val="none"/>
        </w:rPr>
      </w:pPr>
    </w:p>
    <w:p w14:paraId="1F93B3BA">
      <w:pPr>
        <w:spacing w:line="400" w:lineRule="exact"/>
        <w:jc w:val="center"/>
        <w:rPr>
          <w:rFonts w:ascii="宋体" w:hAnsi="宋体"/>
          <w:b/>
          <w:color w:val="000000"/>
          <w:sz w:val="32"/>
          <w:szCs w:val="32"/>
          <w:highlight w:val="none"/>
        </w:rPr>
      </w:pPr>
    </w:p>
    <w:p w14:paraId="5EAD30C8">
      <w:pPr>
        <w:spacing w:line="400" w:lineRule="exact"/>
        <w:jc w:val="center"/>
        <w:rPr>
          <w:rFonts w:ascii="宋体" w:hAnsi="宋体"/>
          <w:b/>
          <w:color w:val="000000"/>
          <w:sz w:val="32"/>
          <w:szCs w:val="32"/>
          <w:highlight w:val="none"/>
        </w:rPr>
      </w:pPr>
    </w:p>
    <w:p w14:paraId="506F1847">
      <w:pPr>
        <w:spacing w:line="400" w:lineRule="exact"/>
        <w:jc w:val="center"/>
        <w:rPr>
          <w:rFonts w:ascii="宋体" w:hAnsi="宋体"/>
          <w:b/>
          <w:color w:val="000000"/>
          <w:sz w:val="32"/>
          <w:szCs w:val="32"/>
          <w:highlight w:val="none"/>
        </w:rPr>
      </w:pPr>
    </w:p>
    <w:p w14:paraId="51C7E392">
      <w:pPr>
        <w:spacing w:line="400" w:lineRule="exact"/>
        <w:jc w:val="center"/>
        <w:rPr>
          <w:rFonts w:ascii="宋体" w:hAnsi="宋体"/>
          <w:b/>
          <w:color w:val="000000"/>
          <w:sz w:val="32"/>
          <w:szCs w:val="32"/>
          <w:highlight w:val="none"/>
        </w:rPr>
      </w:pPr>
    </w:p>
    <w:p w14:paraId="2E8CBA60">
      <w:pPr>
        <w:spacing w:line="400" w:lineRule="exact"/>
        <w:jc w:val="center"/>
        <w:rPr>
          <w:rFonts w:ascii="宋体" w:hAnsi="宋体"/>
          <w:b/>
          <w:color w:val="000000"/>
          <w:sz w:val="32"/>
          <w:szCs w:val="32"/>
          <w:highlight w:val="none"/>
        </w:rPr>
      </w:pPr>
    </w:p>
    <w:p w14:paraId="6F34565E">
      <w:pPr>
        <w:spacing w:line="400" w:lineRule="exact"/>
        <w:jc w:val="center"/>
        <w:rPr>
          <w:rFonts w:ascii="宋体" w:hAnsi="宋体"/>
          <w:b/>
          <w:color w:val="000000"/>
          <w:sz w:val="32"/>
          <w:szCs w:val="32"/>
          <w:highlight w:val="none"/>
        </w:rPr>
      </w:pPr>
    </w:p>
    <w:p w14:paraId="4E800596">
      <w:pPr>
        <w:spacing w:line="400" w:lineRule="exact"/>
        <w:rPr>
          <w:rFonts w:ascii="宋体" w:hAnsi="宋体"/>
          <w:b/>
          <w:color w:val="000000"/>
          <w:sz w:val="32"/>
          <w:szCs w:val="32"/>
          <w:highlight w:val="none"/>
        </w:rPr>
      </w:pPr>
    </w:p>
    <w:p w14:paraId="6FD48CF7">
      <w:pPr>
        <w:spacing w:line="400" w:lineRule="exact"/>
        <w:jc w:val="center"/>
        <w:rPr>
          <w:rFonts w:ascii="宋体" w:hAnsi="宋体"/>
          <w:b/>
          <w:color w:val="000000"/>
          <w:sz w:val="32"/>
          <w:szCs w:val="32"/>
          <w:highlight w:val="none"/>
        </w:rPr>
      </w:pPr>
    </w:p>
    <w:p w14:paraId="38BD7A5B">
      <w:pPr>
        <w:pStyle w:val="33"/>
        <w:rPr>
          <w:color w:val="000000"/>
          <w:highlight w:val="none"/>
        </w:rPr>
      </w:pPr>
    </w:p>
    <w:p w14:paraId="75E32C60">
      <w:pPr>
        <w:pStyle w:val="33"/>
        <w:rPr>
          <w:color w:val="000000"/>
          <w:highlight w:val="none"/>
        </w:rPr>
      </w:pPr>
    </w:p>
    <w:p w14:paraId="269EF8A7">
      <w:pPr>
        <w:pStyle w:val="33"/>
        <w:rPr>
          <w:color w:val="000000"/>
          <w:highlight w:val="none"/>
        </w:rPr>
      </w:pPr>
    </w:p>
    <w:p w14:paraId="2E8E99C6">
      <w:pPr>
        <w:pStyle w:val="33"/>
        <w:rPr>
          <w:color w:val="000000"/>
          <w:highlight w:val="none"/>
        </w:rPr>
      </w:pPr>
    </w:p>
    <w:p w14:paraId="45E4611D">
      <w:pPr>
        <w:pStyle w:val="33"/>
        <w:rPr>
          <w:color w:val="000000"/>
          <w:highlight w:val="none"/>
        </w:rPr>
      </w:pPr>
    </w:p>
    <w:p w14:paraId="1DB88FAB">
      <w:pPr>
        <w:spacing w:line="400" w:lineRule="exact"/>
        <w:rPr>
          <w:rFonts w:ascii="宋体" w:hAnsi="宋体"/>
          <w:b/>
          <w:color w:val="000000"/>
          <w:sz w:val="32"/>
          <w:szCs w:val="32"/>
          <w:highlight w:val="none"/>
        </w:rPr>
      </w:pPr>
    </w:p>
    <w:p w14:paraId="42541266">
      <w:pPr>
        <w:spacing w:line="400" w:lineRule="exact"/>
        <w:jc w:val="center"/>
        <w:rPr>
          <w:rFonts w:ascii="宋体" w:hAnsi="宋体"/>
          <w:b/>
          <w:color w:val="000000"/>
          <w:sz w:val="32"/>
          <w:szCs w:val="32"/>
          <w:highlight w:val="none"/>
        </w:rPr>
      </w:pPr>
    </w:p>
    <w:p w14:paraId="0B7729B5">
      <w:pPr>
        <w:spacing w:line="400" w:lineRule="exact"/>
        <w:jc w:val="center"/>
        <w:rPr>
          <w:rFonts w:hint="eastAsia" w:ascii="宋体" w:hAnsi="宋体"/>
          <w:b/>
          <w:color w:val="000000"/>
          <w:sz w:val="32"/>
          <w:szCs w:val="32"/>
          <w:highlight w:val="none"/>
        </w:rPr>
      </w:pPr>
    </w:p>
    <w:p w14:paraId="4D7083AB">
      <w:pPr>
        <w:spacing w:line="400" w:lineRule="exact"/>
        <w:jc w:val="center"/>
        <w:rPr>
          <w:rFonts w:hint="eastAsia" w:ascii="宋体" w:hAnsi="宋体"/>
          <w:b/>
          <w:color w:val="000000"/>
          <w:sz w:val="32"/>
          <w:szCs w:val="32"/>
          <w:highlight w:val="none"/>
        </w:rPr>
      </w:pPr>
    </w:p>
    <w:p w14:paraId="4695D7D7">
      <w:pPr>
        <w:spacing w:line="400" w:lineRule="exact"/>
        <w:jc w:val="center"/>
        <w:rPr>
          <w:rFonts w:hint="eastAsia" w:ascii="宋体" w:hAnsi="宋体"/>
          <w:b/>
          <w:color w:val="000000"/>
          <w:sz w:val="32"/>
          <w:szCs w:val="32"/>
          <w:highlight w:val="none"/>
        </w:rPr>
      </w:pPr>
    </w:p>
    <w:p w14:paraId="4A92F4E7">
      <w:pPr>
        <w:spacing w:line="40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法定代表人（负责人）身份证明书（格式）</w:t>
      </w:r>
    </w:p>
    <w:p w14:paraId="625C1886">
      <w:pPr>
        <w:spacing w:line="500" w:lineRule="exact"/>
        <w:ind w:firstLine="560" w:firstLineChars="200"/>
        <w:rPr>
          <w:rFonts w:ascii="宋体" w:hAnsi="宋体"/>
          <w:color w:val="000000"/>
          <w:sz w:val="28"/>
          <w:szCs w:val="28"/>
          <w:highlight w:val="none"/>
          <w:u w:val="single"/>
        </w:rPr>
      </w:pPr>
    </w:p>
    <w:p w14:paraId="60AC4B9E">
      <w:pPr>
        <w:spacing w:line="600" w:lineRule="exact"/>
        <w:ind w:firstLine="1120" w:firstLineChars="40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（名字）（身份证号码）</w:t>
      </w:r>
      <w:r>
        <w:rPr>
          <w:rFonts w:hint="eastAsia" w:ascii="宋体" w:hAnsi="宋体"/>
          <w:color w:val="000000"/>
          <w:sz w:val="28"/>
          <w:szCs w:val="28"/>
          <w:highlight w:val="none"/>
        </w:rPr>
        <w:t>在我</w:t>
      </w:r>
      <w:r>
        <w:rPr>
          <w:rFonts w:hint="eastAsia" w:ascii="宋体" w:hAnsi="宋体"/>
          <w:color w:val="000000"/>
          <w:sz w:val="28"/>
          <w:szCs w:val="28"/>
          <w:highlight w:val="none"/>
          <w:u w:val="single"/>
        </w:rPr>
        <w:t xml:space="preserve"> （供应商名称） </w:t>
      </w:r>
      <w:r>
        <w:rPr>
          <w:rFonts w:hint="eastAsia" w:ascii="宋体" w:hAnsi="宋体"/>
          <w:color w:val="000000"/>
          <w:sz w:val="28"/>
          <w:szCs w:val="28"/>
          <w:highlight w:val="none"/>
        </w:rPr>
        <w:t>任职务，是我</w:t>
      </w:r>
      <w:r>
        <w:rPr>
          <w:rFonts w:hint="eastAsia" w:ascii="宋体" w:hAnsi="宋体"/>
          <w:color w:val="000000"/>
          <w:sz w:val="28"/>
          <w:szCs w:val="28"/>
          <w:highlight w:val="none"/>
          <w:u w:val="single"/>
        </w:rPr>
        <w:t xml:space="preserve"> （供应商名称） </w:t>
      </w:r>
      <w:r>
        <w:rPr>
          <w:rFonts w:hint="eastAsia" w:ascii="宋体" w:hAnsi="宋体"/>
          <w:color w:val="000000"/>
          <w:sz w:val="28"/>
          <w:szCs w:val="28"/>
          <w:highlight w:val="none"/>
        </w:rPr>
        <w:t>的法定代表人（负责人）。</w:t>
      </w:r>
    </w:p>
    <w:p w14:paraId="5B727A13">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特此证明。</w:t>
      </w:r>
    </w:p>
    <w:p w14:paraId="1EE11C44">
      <w:pPr>
        <w:tabs>
          <w:tab w:val="left" w:leader="hyphen" w:pos="7088"/>
        </w:tabs>
        <w:snapToGrid w:val="0"/>
        <w:spacing w:line="500" w:lineRule="exact"/>
        <w:ind w:firstLine="588" w:firstLineChars="210"/>
        <w:rPr>
          <w:rFonts w:ascii="宋体" w:hAnsi="宋体"/>
          <w:bCs/>
          <w:color w:val="000000"/>
          <w:sz w:val="28"/>
          <w:szCs w:val="28"/>
          <w:highlight w:val="none"/>
        </w:rPr>
      </w:pPr>
    </w:p>
    <w:p w14:paraId="5385E4EB">
      <w:pPr>
        <w:spacing w:line="500" w:lineRule="exact"/>
        <w:ind w:firstLine="2520" w:firstLineChars="900"/>
        <w:rPr>
          <w:rFonts w:hint="eastAsia" w:ascii="宋体" w:hAnsi="宋体"/>
          <w:color w:val="000000"/>
          <w:sz w:val="28"/>
          <w:szCs w:val="28"/>
          <w:highlight w:val="none"/>
        </w:rPr>
      </w:pPr>
      <w:r>
        <w:rPr>
          <w:rFonts w:hint="eastAsia" w:ascii="宋体" w:hAnsi="宋体"/>
          <w:color w:val="000000"/>
          <w:sz w:val="28"/>
          <w:szCs w:val="28"/>
          <w:highlight w:val="none"/>
        </w:rPr>
        <w:t>单位名称（单位公章）：</w:t>
      </w:r>
    </w:p>
    <w:p w14:paraId="7A974F87">
      <w:pPr>
        <w:spacing w:line="500" w:lineRule="exact"/>
        <w:ind w:firstLine="5040" w:firstLineChars="1800"/>
        <w:rPr>
          <w:rFonts w:ascii="宋体" w:hAnsi="宋体"/>
          <w:color w:val="000000"/>
          <w:sz w:val="28"/>
          <w:szCs w:val="28"/>
          <w:highlight w:val="none"/>
        </w:rPr>
      </w:pPr>
    </w:p>
    <w:p w14:paraId="4C920FE9">
      <w:pPr>
        <w:spacing w:line="500" w:lineRule="exact"/>
        <w:ind w:firstLine="4317" w:firstLineChars="1542"/>
        <w:rPr>
          <w:rFonts w:hint="eastAsia" w:ascii="宋体" w:hAnsi="宋体"/>
          <w:color w:val="000000"/>
          <w:sz w:val="28"/>
          <w:szCs w:val="28"/>
          <w:highlight w:val="none"/>
        </w:rPr>
      </w:pPr>
      <w:r>
        <w:rPr>
          <w:rFonts w:hint="eastAsia" w:ascii="宋体" w:hAnsi="宋体"/>
          <w:color w:val="000000"/>
          <w:sz w:val="28"/>
          <w:szCs w:val="28"/>
          <w:highlight w:val="none"/>
        </w:rPr>
        <w:t>年    月    日</w:t>
      </w:r>
    </w:p>
    <w:p w14:paraId="41B083B1">
      <w:pPr>
        <w:tabs>
          <w:tab w:val="left" w:leader="hyphen" w:pos="7088"/>
        </w:tabs>
        <w:snapToGrid w:val="0"/>
        <w:spacing w:line="360" w:lineRule="exact"/>
        <w:ind w:firstLine="588" w:firstLineChars="210"/>
        <w:rPr>
          <w:rFonts w:ascii="宋体" w:hAnsi="宋体"/>
          <w:bCs/>
          <w:color w:val="000000"/>
          <w:sz w:val="28"/>
          <w:szCs w:val="28"/>
          <w:highlight w:val="none"/>
        </w:rPr>
      </w:pPr>
    </w:p>
    <w:p w14:paraId="445C9F6D">
      <w:pPr>
        <w:tabs>
          <w:tab w:val="left" w:leader="hyphen" w:pos="7088"/>
        </w:tabs>
        <w:snapToGrid w:val="0"/>
        <w:spacing w:line="360" w:lineRule="exact"/>
        <w:ind w:firstLine="588" w:firstLineChars="210"/>
        <w:rPr>
          <w:rFonts w:ascii="宋体" w:hAnsi="宋体"/>
          <w:bCs/>
          <w:color w:val="000000"/>
          <w:sz w:val="28"/>
          <w:szCs w:val="28"/>
          <w:highlight w:val="none"/>
        </w:rPr>
      </w:pPr>
    </w:p>
    <w:p w14:paraId="603F929E">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法定代表人（负责人）身份证号码：</w:t>
      </w:r>
    </w:p>
    <w:p w14:paraId="68EF5827">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住    址：</w:t>
      </w:r>
    </w:p>
    <w:p w14:paraId="263A4F3E">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联系电话：</w:t>
      </w:r>
    </w:p>
    <w:p w14:paraId="2A67CF78">
      <w:pPr>
        <w:tabs>
          <w:tab w:val="left" w:leader="hyphen" w:pos="7088"/>
        </w:tabs>
        <w:snapToGrid w:val="0"/>
        <w:spacing w:line="360" w:lineRule="exact"/>
        <w:ind w:firstLine="588" w:firstLineChars="210"/>
        <w:rPr>
          <w:rFonts w:ascii="宋体" w:hAnsi="宋体"/>
          <w:bCs/>
          <w:color w:val="000000"/>
          <w:sz w:val="28"/>
          <w:szCs w:val="28"/>
          <w:highlight w:val="none"/>
        </w:rPr>
      </w:pPr>
    </w:p>
    <w:p w14:paraId="66EBA02B">
      <w:pPr>
        <w:spacing w:line="50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rPr>
        <w:t>附法定代表人（负责人）身份证（正、背面）扫描件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14:paraId="729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jc w:val="center"/>
        </w:trPr>
        <w:tc>
          <w:tcPr>
            <w:tcW w:w="8758" w:type="dxa"/>
            <w:vAlign w:val="top"/>
          </w:tcPr>
          <w:p w14:paraId="6AA49B1D">
            <w:pPr>
              <w:spacing w:line="500" w:lineRule="exact"/>
              <w:rPr>
                <w:rFonts w:ascii="宋体" w:hAnsi="宋体"/>
                <w:bCs/>
                <w:color w:val="000000"/>
                <w:sz w:val="24"/>
                <w:highlight w:val="none"/>
              </w:rPr>
            </w:pPr>
          </w:p>
        </w:tc>
      </w:tr>
    </w:tbl>
    <w:p w14:paraId="245FDD12">
      <w:pPr>
        <w:pStyle w:val="40"/>
        <w:spacing w:line="200" w:lineRule="exact"/>
        <w:rPr>
          <w:rFonts w:hAnsi="宋体"/>
          <w:color w:val="000000"/>
          <w:sz w:val="28"/>
          <w:szCs w:val="28"/>
          <w:highlight w:val="none"/>
        </w:rPr>
      </w:pPr>
      <w:r>
        <w:rPr>
          <w:rFonts w:hAnsi="宋体"/>
          <w:color w:val="000000"/>
          <w:sz w:val="28"/>
          <w:szCs w:val="28"/>
          <w:highlight w:val="none"/>
        </w:rPr>
        <w:br w:type="page"/>
      </w:r>
    </w:p>
    <w:p w14:paraId="66B806A1">
      <w:pPr>
        <w:spacing w:line="40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法定代表人（负责人）授权委托书</w:t>
      </w:r>
      <w:r>
        <w:rPr>
          <w:rFonts w:hint="eastAsia" w:ascii="宋体" w:hAnsi="宋体"/>
          <w:b/>
          <w:color w:val="000000"/>
          <w:sz w:val="32"/>
          <w:highlight w:val="none"/>
        </w:rPr>
        <w:t>（格式）</w:t>
      </w:r>
    </w:p>
    <w:p w14:paraId="61D4EE91">
      <w:pPr>
        <w:pStyle w:val="40"/>
        <w:spacing w:line="200" w:lineRule="exact"/>
        <w:rPr>
          <w:rFonts w:hAnsi="宋体"/>
          <w:color w:val="000000"/>
          <w:sz w:val="24"/>
          <w:szCs w:val="24"/>
          <w:highlight w:val="none"/>
        </w:rPr>
      </w:pPr>
    </w:p>
    <w:p w14:paraId="4EC17C2E">
      <w:pPr>
        <w:pStyle w:val="40"/>
        <w:spacing w:line="400" w:lineRule="exact"/>
        <w:ind w:firstLine="420"/>
        <w:rPr>
          <w:rFonts w:hAnsi="宋体"/>
          <w:color w:val="000000"/>
          <w:sz w:val="24"/>
          <w:szCs w:val="24"/>
          <w:highlight w:val="none"/>
        </w:rPr>
      </w:pPr>
      <w:r>
        <w:rPr>
          <w:rFonts w:hAnsi="宋体"/>
          <w:color w:val="000000"/>
          <w:sz w:val="24"/>
          <w:szCs w:val="24"/>
          <w:highlight w:val="none"/>
        </w:rPr>
        <w:t>本授权委托书声明：我（姓名）系</w:t>
      </w:r>
      <w:r>
        <w:rPr>
          <w:rFonts w:hAnsi="宋体"/>
          <w:color w:val="000000"/>
          <w:sz w:val="24"/>
          <w:szCs w:val="24"/>
          <w:highlight w:val="none"/>
          <w:u w:val="single"/>
        </w:rPr>
        <w:t>（供应商名称）</w:t>
      </w:r>
      <w:r>
        <w:rPr>
          <w:rFonts w:hAnsi="宋体"/>
          <w:color w:val="000000"/>
          <w:sz w:val="24"/>
          <w:szCs w:val="24"/>
          <w:highlight w:val="none"/>
        </w:rPr>
        <w:t>的法定代表人（负责人），现授权委托</w:t>
      </w:r>
      <w:r>
        <w:rPr>
          <w:rFonts w:hAnsi="宋体"/>
          <w:color w:val="000000"/>
          <w:sz w:val="24"/>
          <w:szCs w:val="24"/>
          <w:highlight w:val="none"/>
          <w:u w:val="single"/>
        </w:rPr>
        <w:t>（供应商名称）</w:t>
      </w:r>
      <w:r>
        <w:rPr>
          <w:rFonts w:hAnsi="宋体"/>
          <w:color w:val="000000"/>
          <w:sz w:val="24"/>
          <w:szCs w:val="24"/>
          <w:highlight w:val="none"/>
        </w:rPr>
        <w:t>的</w:t>
      </w:r>
      <w:r>
        <w:rPr>
          <w:rFonts w:hAnsi="宋体"/>
          <w:color w:val="000000"/>
          <w:sz w:val="24"/>
          <w:szCs w:val="24"/>
          <w:highlight w:val="none"/>
          <w:u w:val="single"/>
        </w:rPr>
        <w:t>（姓名）</w:t>
      </w:r>
      <w:r>
        <w:rPr>
          <w:rFonts w:hAnsi="宋体"/>
          <w:color w:val="000000"/>
          <w:sz w:val="24"/>
          <w:szCs w:val="24"/>
          <w:highlight w:val="none"/>
        </w:rPr>
        <w:t>为我公司被授权人，以本公司的名义参加</w:t>
      </w:r>
      <w:r>
        <w:rPr>
          <w:rFonts w:hint="eastAsia" w:hAnsi="宋体"/>
          <w:color w:val="000000"/>
          <w:sz w:val="24"/>
          <w:szCs w:val="24"/>
          <w:highlight w:val="none"/>
          <w:lang w:eastAsia="zh-CN"/>
        </w:rPr>
        <w:t>广西东裕工程管理有限公司</w:t>
      </w:r>
      <w:r>
        <w:rPr>
          <w:rFonts w:hAnsi="宋体"/>
          <w:color w:val="000000"/>
          <w:sz w:val="24"/>
          <w:szCs w:val="24"/>
          <w:highlight w:val="none"/>
        </w:rPr>
        <w:t>组织实施的</w:t>
      </w:r>
      <w:r>
        <w:rPr>
          <w:rFonts w:hAnsi="宋体"/>
          <w:color w:val="000000"/>
          <w:sz w:val="24"/>
          <w:szCs w:val="24"/>
          <w:highlight w:val="none"/>
          <w:u w:val="single"/>
        </w:rPr>
        <w:t>（项目名称及项目编号）</w:t>
      </w:r>
      <w:r>
        <w:rPr>
          <w:rFonts w:hAnsi="宋体"/>
          <w:color w:val="000000"/>
          <w:sz w:val="24"/>
          <w:szCs w:val="24"/>
          <w:highlight w:val="none"/>
        </w:rPr>
        <w:t>的采购活动。被授权人在开标、评标、合同磋商过程中所签署的一切文件和处理与这有关的一切事务，我均予以承认。</w:t>
      </w:r>
    </w:p>
    <w:p w14:paraId="15FAEE8B">
      <w:pPr>
        <w:pStyle w:val="40"/>
        <w:spacing w:line="400" w:lineRule="exact"/>
        <w:ind w:firstLine="420"/>
        <w:rPr>
          <w:rFonts w:hAnsi="宋体"/>
          <w:color w:val="000000"/>
          <w:sz w:val="24"/>
          <w:szCs w:val="24"/>
          <w:highlight w:val="none"/>
        </w:rPr>
      </w:pPr>
      <w:r>
        <w:rPr>
          <w:rFonts w:hAnsi="宋体"/>
          <w:color w:val="000000"/>
          <w:sz w:val="24"/>
          <w:szCs w:val="24"/>
          <w:highlight w:val="none"/>
        </w:rPr>
        <w:t>被授权人在授权委托书有效期内签署的所有文件不因授权委托的撤销而失效，除非有撤销授权委托的书面通知，本授权委托书自磋商开始至合同履行完毕止。</w:t>
      </w:r>
    </w:p>
    <w:p w14:paraId="08EED7C4">
      <w:pPr>
        <w:pStyle w:val="40"/>
        <w:spacing w:line="400" w:lineRule="exact"/>
        <w:ind w:firstLine="420"/>
        <w:rPr>
          <w:rFonts w:hAnsi="宋体"/>
          <w:color w:val="000000"/>
          <w:sz w:val="24"/>
          <w:szCs w:val="24"/>
          <w:highlight w:val="none"/>
        </w:rPr>
      </w:pPr>
      <w:r>
        <w:rPr>
          <w:rFonts w:hAnsi="宋体"/>
          <w:color w:val="000000"/>
          <w:sz w:val="24"/>
          <w:szCs w:val="24"/>
          <w:highlight w:val="none"/>
        </w:rPr>
        <w:t>被授权人无转委托权。特此委托。</w:t>
      </w:r>
    </w:p>
    <w:p w14:paraId="5C2D9DE7">
      <w:pPr>
        <w:pStyle w:val="40"/>
        <w:spacing w:line="400" w:lineRule="exact"/>
        <w:ind w:firstLine="420"/>
        <w:rPr>
          <w:rFonts w:hAnsi="宋体"/>
          <w:color w:val="000000"/>
          <w:sz w:val="24"/>
          <w:szCs w:val="24"/>
          <w:highlight w:val="none"/>
        </w:rPr>
      </w:pPr>
      <w:r>
        <w:rPr>
          <w:rFonts w:hAnsi="宋体"/>
          <w:color w:val="000000"/>
          <w:sz w:val="24"/>
          <w:szCs w:val="24"/>
          <w:highlight w:val="none"/>
        </w:rPr>
        <w:t>委托单位：</w:t>
      </w:r>
      <w:r>
        <w:rPr>
          <w:rFonts w:hAnsi="宋体"/>
          <w:color w:val="000000"/>
          <w:sz w:val="24"/>
          <w:szCs w:val="24"/>
          <w:highlight w:val="none"/>
          <w:u w:val="single"/>
        </w:rPr>
        <w:t xml:space="preserve">          （盖单位公章）</w:t>
      </w:r>
      <w:r>
        <w:rPr>
          <w:rFonts w:hAnsi="宋体"/>
          <w:color w:val="000000"/>
          <w:sz w:val="24"/>
          <w:szCs w:val="24"/>
          <w:highlight w:val="none"/>
        </w:rPr>
        <w:t xml:space="preserve">       </w:t>
      </w:r>
    </w:p>
    <w:p w14:paraId="59D1A2AF">
      <w:pPr>
        <w:pStyle w:val="40"/>
        <w:spacing w:line="400" w:lineRule="exact"/>
        <w:ind w:firstLine="420"/>
        <w:rPr>
          <w:rFonts w:hAnsi="宋体"/>
          <w:color w:val="000000"/>
          <w:sz w:val="24"/>
          <w:szCs w:val="24"/>
          <w:highlight w:val="none"/>
        </w:rPr>
      </w:pPr>
      <w:r>
        <w:rPr>
          <w:rFonts w:hAnsi="宋体"/>
          <w:color w:val="000000"/>
          <w:sz w:val="24"/>
          <w:szCs w:val="24"/>
          <w:highlight w:val="none"/>
        </w:rPr>
        <w:t>法定代表人（负责人）：</w:t>
      </w:r>
      <w:r>
        <w:rPr>
          <w:rFonts w:hAnsi="宋体"/>
          <w:color w:val="000000"/>
          <w:sz w:val="24"/>
          <w:szCs w:val="24"/>
          <w:highlight w:val="none"/>
          <w:u w:val="single"/>
        </w:rPr>
        <w:t xml:space="preserve">     （签字或私章）</w:t>
      </w:r>
    </w:p>
    <w:p w14:paraId="1EBDF4AC">
      <w:pPr>
        <w:pStyle w:val="40"/>
        <w:pBdr>
          <w:bottom w:val="single" w:color="auto" w:sz="6" w:space="1"/>
        </w:pBdr>
        <w:spacing w:line="400" w:lineRule="exact"/>
        <w:ind w:firstLine="420"/>
        <w:rPr>
          <w:rFonts w:hAnsi="宋体"/>
          <w:color w:val="000000"/>
          <w:sz w:val="24"/>
          <w:szCs w:val="24"/>
          <w:highlight w:val="none"/>
        </w:rPr>
      </w:pPr>
      <w:r>
        <w:rPr>
          <w:rFonts w:hAnsi="宋体"/>
          <w:color w:val="000000"/>
          <w:sz w:val="24"/>
          <w:szCs w:val="24"/>
          <w:highlight w:val="none"/>
        </w:rPr>
        <w:t>签发日期：    年   月   日</w:t>
      </w:r>
    </w:p>
    <w:p w14:paraId="0CA1AE66">
      <w:pPr>
        <w:pStyle w:val="40"/>
        <w:pBdr>
          <w:bottom w:val="single" w:color="auto" w:sz="6" w:space="1"/>
        </w:pBdr>
        <w:spacing w:line="340" w:lineRule="exact"/>
        <w:ind w:firstLine="420"/>
        <w:rPr>
          <w:rFonts w:hAnsi="宋体"/>
          <w:color w:val="000000"/>
          <w:sz w:val="24"/>
          <w:szCs w:val="24"/>
          <w:highlight w:val="none"/>
        </w:rPr>
      </w:pPr>
    </w:p>
    <w:p w14:paraId="0F452364">
      <w:pPr>
        <w:pStyle w:val="40"/>
        <w:spacing w:line="200" w:lineRule="exact"/>
        <w:rPr>
          <w:rFonts w:hAnsi="宋体"/>
          <w:color w:val="000000"/>
          <w:sz w:val="24"/>
          <w:szCs w:val="24"/>
          <w:highlight w:val="none"/>
        </w:rPr>
      </w:pPr>
    </w:p>
    <w:p w14:paraId="42F168F7">
      <w:pPr>
        <w:pStyle w:val="40"/>
        <w:tabs>
          <w:tab w:val="left" w:pos="5768"/>
        </w:tabs>
        <w:spacing w:line="340" w:lineRule="exact"/>
        <w:ind w:firstLine="420"/>
        <w:rPr>
          <w:rFonts w:hAnsi="宋体"/>
          <w:color w:val="000000"/>
          <w:sz w:val="24"/>
          <w:szCs w:val="24"/>
          <w:highlight w:val="none"/>
        </w:rPr>
      </w:pPr>
      <w:r>
        <w:rPr>
          <w:rFonts w:hAnsi="宋体"/>
          <w:color w:val="000000"/>
          <w:sz w:val="24"/>
          <w:szCs w:val="24"/>
          <w:highlight w:val="none"/>
        </w:rPr>
        <w:t>附：1、被授权人工作单位：</w:t>
      </w:r>
      <w:r>
        <w:rPr>
          <w:rFonts w:hAnsi="宋体"/>
          <w:color w:val="000000"/>
          <w:sz w:val="24"/>
          <w:szCs w:val="24"/>
          <w:highlight w:val="none"/>
        </w:rPr>
        <w:tab/>
      </w:r>
      <w:r>
        <w:rPr>
          <w:rFonts w:hAnsi="宋体"/>
          <w:color w:val="000000"/>
          <w:sz w:val="24"/>
          <w:szCs w:val="24"/>
          <w:highlight w:val="none"/>
        </w:rPr>
        <w:t>职务：</w:t>
      </w:r>
    </w:p>
    <w:p w14:paraId="42B11C1E">
      <w:pPr>
        <w:pStyle w:val="40"/>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身份证号码：</w:t>
      </w:r>
      <w:r>
        <w:rPr>
          <w:rFonts w:hAnsi="宋体"/>
          <w:color w:val="000000"/>
          <w:sz w:val="24"/>
          <w:szCs w:val="24"/>
          <w:highlight w:val="none"/>
        </w:rPr>
        <w:tab/>
      </w:r>
      <w:r>
        <w:rPr>
          <w:rFonts w:hAnsi="宋体"/>
          <w:color w:val="000000"/>
          <w:sz w:val="24"/>
          <w:szCs w:val="24"/>
          <w:highlight w:val="none"/>
        </w:rPr>
        <w:t>性别：          年龄：</w:t>
      </w:r>
    </w:p>
    <w:p w14:paraId="7383966A">
      <w:pPr>
        <w:pStyle w:val="40"/>
        <w:spacing w:line="340" w:lineRule="exact"/>
        <w:ind w:firstLine="840"/>
        <w:rPr>
          <w:rFonts w:hAnsi="宋体"/>
          <w:color w:val="000000"/>
          <w:sz w:val="24"/>
          <w:szCs w:val="24"/>
          <w:highlight w:val="none"/>
        </w:rPr>
      </w:pPr>
      <w:r>
        <w:rPr>
          <w:rFonts w:hAnsi="宋体"/>
          <w:color w:val="000000"/>
          <w:sz w:val="24"/>
          <w:szCs w:val="24"/>
          <w:highlight w:val="none"/>
        </w:rPr>
        <w:t>2、委托人企业法人营业执照号码：</w:t>
      </w:r>
    </w:p>
    <w:p w14:paraId="696050FE">
      <w:pPr>
        <w:pStyle w:val="40"/>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地    址：</w:t>
      </w:r>
      <w:r>
        <w:rPr>
          <w:rFonts w:hAnsi="宋体"/>
          <w:color w:val="000000"/>
          <w:sz w:val="24"/>
          <w:szCs w:val="24"/>
          <w:highlight w:val="none"/>
        </w:rPr>
        <w:tab/>
      </w:r>
      <w:r>
        <w:rPr>
          <w:rFonts w:hAnsi="宋体"/>
          <w:color w:val="000000"/>
          <w:sz w:val="24"/>
          <w:szCs w:val="24"/>
          <w:highlight w:val="none"/>
        </w:rPr>
        <w:t>经济性质：</w:t>
      </w:r>
    </w:p>
    <w:p w14:paraId="3C59C79B">
      <w:pPr>
        <w:pStyle w:val="40"/>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注册资金：</w:t>
      </w:r>
      <w:r>
        <w:rPr>
          <w:rFonts w:hAnsi="宋体"/>
          <w:color w:val="000000"/>
          <w:sz w:val="24"/>
          <w:szCs w:val="24"/>
          <w:highlight w:val="none"/>
        </w:rPr>
        <w:tab/>
      </w:r>
      <w:r>
        <w:rPr>
          <w:rFonts w:hAnsi="宋体"/>
          <w:color w:val="000000"/>
          <w:sz w:val="24"/>
          <w:szCs w:val="24"/>
          <w:highlight w:val="none"/>
        </w:rPr>
        <w:t>经营方式：</w:t>
      </w:r>
    </w:p>
    <w:p w14:paraId="0F0ECBC7">
      <w:pPr>
        <w:pStyle w:val="40"/>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经营范围：</w:t>
      </w:r>
    </w:p>
    <w:p w14:paraId="77569477">
      <w:pPr>
        <w:pStyle w:val="40"/>
        <w:spacing w:line="340" w:lineRule="exact"/>
        <w:ind w:firstLine="840"/>
        <w:rPr>
          <w:rFonts w:hAnsi="宋体"/>
          <w:color w:val="000000"/>
          <w:sz w:val="24"/>
          <w:szCs w:val="24"/>
          <w:highlight w:val="none"/>
        </w:rPr>
      </w:pPr>
      <w:r>
        <w:rPr>
          <w:rFonts w:hAnsi="宋体"/>
          <w:color w:val="000000"/>
          <w:sz w:val="24"/>
          <w:szCs w:val="24"/>
          <w:highlight w:val="none"/>
        </w:rPr>
        <w:t>3、法定代表人（负责人）身份证</w:t>
      </w:r>
      <w:r>
        <w:rPr>
          <w:rFonts w:hAnsi="宋体"/>
          <w:bCs/>
          <w:color w:val="000000"/>
          <w:sz w:val="24"/>
          <w:highlight w:val="none"/>
        </w:rPr>
        <w:t>（正、背面）</w:t>
      </w:r>
      <w:r>
        <w:rPr>
          <w:rFonts w:hAnsi="宋体"/>
          <w:color w:val="000000"/>
          <w:sz w:val="24"/>
          <w:szCs w:val="24"/>
          <w:highlight w:val="none"/>
        </w:rPr>
        <w:t>、委托代理人身份证</w:t>
      </w:r>
      <w:r>
        <w:rPr>
          <w:rFonts w:hAnsi="宋体"/>
          <w:bCs/>
          <w:color w:val="000000"/>
          <w:sz w:val="24"/>
          <w:highlight w:val="none"/>
        </w:rPr>
        <w:t>（正、背面）</w:t>
      </w:r>
      <w:r>
        <w:rPr>
          <w:rFonts w:hAnsi="宋体"/>
          <w:color w:val="000000"/>
          <w:sz w:val="24"/>
          <w:szCs w:val="24"/>
          <w:highlight w:val="none"/>
        </w:rPr>
        <w:t>扫描件</w:t>
      </w:r>
    </w:p>
    <w:p w14:paraId="1DFC837E">
      <w:pPr>
        <w:spacing w:line="340" w:lineRule="exact"/>
        <w:rPr>
          <w:rFonts w:ascii="宋体" w:hAnsi="宋体"/>
          <w:color w:val="000000"/>
          <w:szCs w:val="21"/>
          <w:highlight w:val="none"/>
        </w:rPr>
      </w:pPr>
    </w:p>
    <w:tbl>
      <w:tblPr>
        <w:tblStyle w:val="4"/>
        <w:tblW w:w="0" w:type="auto"/>
        <w:tblInd w:w="-108" w:type="dxa"/>
        <w:tblLayout w:type="fixed"/>
        <w:tblCellMar>
          <w:top w:w="0" w:type="dxa"/>
          <w:left w:w="108" w:type="dxa"/>
          <w:bottom w:w="0" w:type="dxa"/>
          <w:right w:w="108" w:type="dxa"/>
        </w:tblCellMar>
      </w:tblPr>
      <w:tblGrid>
        <w:gridCol w:w="4608"/>
        <w:gridCol w:w="416"/>
        <w:gridCol w:w="4604"/>
      </w:tblGrid>
      <w:tr w14:paraId="3C572A34">
        <w:tblPrEx>
          <w:tblCellMar>
            <w:top w:w="0" w:type="dxa"/>
            <w:left w:w="108" w:type="dxa"/>
            <w:bottom w:w="0" w:type="dxa"/>
            <w:right w:w="108" w:type="dxa"/>
          </w:tblCellMar>
        </w:tblPrEx>
        <w:trPr>
          <w:trHeight w:val="4668" w:hRule="atLeast"/>
        </w:trPr>
        <w:tc>
          <w:tcPr>
            <w:tcW w:w="4608" w:type="dxa"/>
            <w:tcBorders>
              <w:top w:val="single" w:color="auto" w:sz="4" w:space="0"/>
              <w:left w:val="single" w:color="auto" w:sz="4" w:space="0"/>
              <w:bottom w:val="single" w:color="auto" w:sz="4" w:space="0"/>
              <w:right w:val="single" w:color="auto" w:sz="4" w:space="0"/>
            </w:tcBorders>
            <w:vAlign w:val="center"/>
          </w:tcPr>
          <w:p w14:paraId="60D6600E">
            <w:pPr>
              <w:rPr>
                <w:rFonts w:hint="eastAsia" w:ascii="宋体" w:hAnsi="宋体"/>
                <w:color w:val="000000"/>
                <w:szCs w:val="21"/>
                <w:highlight w:val="none"/>
              </w:rPr>
            </w:pPr>
            <w:r>
              <w:rPr>
                <w:rFonts w:hint="eastAsia" w:ascii="宋体" w:hAnsi="宋体"/>
                <w:color w:val="000000"/>
                <w:szCs w:val="21"/>
                <w:highlight w:val="none"/>
              </w:rPr>
              <w:t>附法定代表人（负责人）身份证(正、背)面扫描件</w:t>
            </w:r>
          </w:p>
          <w:p w14:paraId="55D64A62">
            <w:pPr>
              <w:spacing w:line="340" w:lineRule="exact"/>
              <w:jc w:val="center"/>
              <w:rPr>
                <w:rFonts w:hint="eastAsia" w:ascii="宋体" w:hAnsi="宋体"/>
                <w:color w:val="000000"/>
                <w:szCs w:val="21"/>
                <w:highlight w:val="none"/>
              </w:rPr>
            </w:pPr>
            <w:r>
              <w:rPr>
                <w:rFonts w:hint="eastAsia" w:ascii="宋体" w:hAnsi="宋体"/>
                <w:color w:val="000000"/>
                <w:szCs w:val="21"/>
                <w:highlight w:val="none"/>
              </w:rPr>
              <w:t>（加盖单位公章）</w:t>
            </w:r>
          </w:p>
        </w:tc>
        <w:tc>
          <w:tcPr>
            <w:tcW w:w="416" w:type="dxa"/>
            <w:tcBorders>
              <w:left w:val="single" w:color="auto" w:sz="4" w:space="0"/>
              <w:right w:val="single" w:color="auto" w:sz="4" w:space="0"/>
            </w:tcBorders>
            <w:vAlign w:val="top"/>
          </w:tcPr>
          <w:p w14:paraId="302EB799">
            <w:pPr>
              <w:spacing w:line="340" w:lineRule="exact"/>
              <w:rPr>
                <w:rFonts w:ascii="宋体" w:hAnsi="宋体"/>
                <w:color w:val="000000"/>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14:paraId="5B6037F6">
            <w:pPr>
              <w:jc w:val="center"/>
              <w:rPr>
                <w:rFonts w:hint="eastAsia" w:ascii="宋体" w:hAnsi="宋体"/>
                <w:color w:val="000000"/>
                <w:szCs w:val="21"/>
                <w:highlight w:val="none"/>
              </w:rPr>
            </w:pPr>
            <w:r>
              <w:rPr>
                <w:rFonts w:hint="eastAsia" w:ascii="宋体" w:hAnsi="宋体"/>
                <w:color w:val="000000"/>
                <w:szCs w:val="21"/>
                <w:highlight w:val="none"/>
              </w:rPr>
              <w:t>附</w:t>
            </w:r>
            <w:r>
              <w:rPr>
                <w:rFonts w:ascii="宋体" w:hAnsi="宋体"/>
                <w:color w:val="000000"/>
                <w:szCs w:val="21"/>
                <w:highlight w:val="none"/>
              </w:rPr>
              <w:t>被授权人</w:t>
            </w:r>
            <w:r>
              <w:rPr>
                <w:rFonts w:hint="eastAsia" w:ascii="宋体" w:hAnsi="宋体"/>
                <w:color w:val="000000"/>
                <w:szCs w:val="21"/>
                <w:highlight w:val="none"/>
              </w:rPr>
              <w:t>身份证(正、背)面扫描件</w:t>
            </w:r>
          </w:p>
          <w:p w14:paraId="7773C86E">
            <w:pPr>
              <w:spacing w:line="340" w:lineRule="exact"/>
              <w:jc w:val="center"/>
              <w:rPr>
                <w:rFonts w:hint="eastAsia" w:ascii="宋体" w:hAnsi="宋体"/>
                <w:color w:val="000000"/>
                <w:szCs w:val="21"/>
                <w:highlight w:val="none"/>
              </w:rPr>
            </w:pPr>
            <w:r>
              <w:rPr>
                <w:rFonts w:hint="eastAsia" w:ascii="宋体" w:hAnsi="宋体"/>
                <w:color w:val="000000"/>
                <w:szCs w:val="21"/>
                <w:highlight w:val="none"/>
              </w:rPr>
              <w:t>（加盖单位公章）</w:t>
            </w:r>
          </w:p>
        </w:tc>
      </w:tr>
    </w:tbl>
    <w:p w14:paraId="39F74DDC">
      <w:pPr>
        <w:spacing w:line="400" w:lineRule="exact"/>
        <w:rPr>
          <w:rFonts w:ascii="宋体" w:hAnsi="宋体"/>
          <w:color w:val="000000"/>
          <w:highlight w:val="none"/>
        </w:rPr>
      </w:pPr>
    </w:p>
    <w:p w14:paraId="2AC35CA0">
      <w:pPr>
        <w:pStyle w:val="33"/>
        <w:rPr>
          <w:color w:val="000000"/>
          <w:highlight w:val="none"/>
        </w:rPr>
      </w:pPr>
    </w:p>
    <w:p w14:paraId="086657F0">
      <w:pPr>
        <w:pStyle w:val="124"/>
        <w:spacing w:line="360" w:lineRule="auto"/>
        <w:jc w:val="center"/>
        <w:outlineLvl w:val="0"/>
        <w:rPr>
          <w:rFonts w:hint="eastAsia" w:ascii="宋体" w:hAnsi="宋体"/>
          <w:b/>
          <w:color w:val="000000"/>
          <w:sz w:val="32"/>
          <w:highlight w:val="none"/>
        </w:rPr>
      </w:pPr>
      <w:bookmarkStart w:id="963" w:name="_Toc9008"/>
      <w:r>
        <w:rPr>
          <w:rFonts w:hint="eastAsia" w:ascii="宋体" w:hAnsi="宋体"/>
          <w:b/>
          <w:color w:val="000000"/>
          <w:sz w:val="32"/>
          <w:highlight w:val="none"/>
        </w:rPr>
        <w:t>三、已标价工程量清单</w:t>
      </w:r>
      <w:bookmarkEnd w:id="963"/>
    </w:p>
    <w:p w14:paraId="5B2A1A9B">
      <w:pPr>
        <w:spacing w:line="360" w:lineRule="auto"/>
        <w:ind w:firstLine="420" w:firstLineChars="200"/>
        <w:rPr>
          <w:color w:val="000000"/>
          <w:highlight w:val="none"/>
        </w:rPr>
      </w:pPr>
      <w:r>
        <w:rPr>
          <w:color w:val="000000"/>
          <w:highlight w:val="none"/>
        </w:rPr>
        <w:t xml:space="preserve">1. </w:t>
      </w:r>
      <w:r>
        <w:rPr>
          <w:rFonts w:hint="eastAsia"/>
          <w:color w:val="000000"/>
          <w:highlight w:val="none"/>
        </w:rPr>
        <w:t>已标价工程量清单应按第七章附件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中的相关表格及磋商报价说明填写。构成合同文件的已标价工程量清单包括第七章附件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有关工程量清单、磋商报价以及其他说明的内容。</w:t>
      </w:r>
    </w:p>
    <w:p w14:paraId="5BD502EE">
      <w:pPr>
        <w:spacing w:line="360" w:lineRule="auto"/>
        <w:ind w:firstLine="420" w:firstLineChars="200"/>
        <w:rPr>
          <w:color w:val="000000"/>
          <w:highlight w:val="none"/>
        </w:rPr>
      </w:pPr>
      <w:r>
        <w:rPr>
          <w:color w:val="000000"/>
          <w:highlight w:val="none"/>
        </w:rPr>
        <w:t xml:space="preserve">2. </w:t>
      </w:r>
      <w:r>
        <w:rPr>
          <w:rFonts w:hint="eastAsia"/>
          <w:color w:val="000000"/>
          <w:highlight w:val="none"/>
        </w:rPr>
        <w:t>磋商总价封面</w:t>
      </w:r>
      <w:r>
        <w:rPr>
          <w:color w:val="000000"/>
          <w:highlight w:val="none"/>
        </w:rPr>
        <w:t>CA</w:t>
      </w:r>
      <w:r>
        <w:rPr>
          <w:rFonts w:hint="eastAsia"/>
          <w:color w:val="000000"/>
          <w:highlight w:val="none"/>
        </w:rPr>
        <w:t>电子签章，并由法定代表人签字（或盖章），同时由编制人签字，否则视为无效响应。</w:t>
      </w:r>
    </w:p>
    <w:p w14:paraId="47631E77">
      <w:pPr>
        <w:spacing w:line="360" w:lineRule="auto"/>
        <w:ind w:firstLine="420" w:firstLineChars="200"/>
        <w:rPr>
          <w:color w:val="000000"/>
          <w:highlight w:val="none"/>
        </w:rPr>
      </w:pPr>
      <w:r>
        <w:rPr>
          <w:color w:val="000000"/>
          <w:highlight w:val="none"/>
        </w:rPr>
        <w:t xml:space="preserve">3. </w:t>
      </w:r>
      <w:r>
        <w:rPr>
          <w:rFonts w:hint="eastAsia"/>
          <w:color w:val="000000"/>
          <w:highlight w:val="none"/>
        </w:rPr>
        <w:t>已标价工程量清单表格要严格按照招标工程量清单给出的表格要求和内容填报。</w:t>
      </w:r>
    </w:p>
    <w:p w14:paraId="7A0AE56A">
      <w:pPr>
        <w:pStyle w:val="33"/>
        <w:rPr>
          <w:color w:val="000000"/>
          <w:highlight w:val="none"/>
        </w:rPr>
      </w:pPr>
    </w:p>
    <w:p w14:paraId="68C118F8">
      <w:pPr>
        <w:spacing w:line="3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供应商直接控股、管理关系信息表</w:t>
      </w:r>
    </w:p>
    <w:p w14:paraId="13438830">
      <w:pPr>
        <w:snapToGrid w:val="0"/>
        <w:spacing w:before="120" w:after="50" w:line="360" w:lineRule="auto"/>
        <w:jc w:val="center"/>
        <w:rPr>
          <w:rFonts w:ascii="宋体" w:hAnsi="宋体"/>
          <w:b/>
          <w:color w:val="000000"/>
          <w:sz w:val="24"/>
          <w:highlight w:val="none"/>
        </w:rPr>
      </w:pPr>
    </w:p>
    <w:p w14:paraId="44173658">
      <w:pPr>
        <w:spacing w:line="36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供应商直接控股股东信息表</w:t>
      </w:r>
    </w:p>
    <w:p w14:paraId="1EEE0EC6">
      <w:pPr>
        <w:spacing w:line="360" w:lineRule="auto"/>
        <w:contextualSpacing/>
        <w:jc w:val="center"/>
        <w:rPr>
          <w:rFonts w:ascii="宋体" w:hAnsi="宋体"/>
          <w:b/>
          <w:color w:val="000000"/>
          <w:sz w:val="24"/>
          <w:highlight w:val="none"/>
        </w:rPr>
      </w:pPr>
    </w:p>
    <w:tbl>
      <w:tblPr>
        <w:tblStyle w:val="4"/>
        <w:tblW w:w="0" w:type="auto"/>
        <w:jc w:val="center"/>
        <w:shd w:val="clear" w:color="auto" w:fill="FBFBFB"/>
        <w:tblLayout w:type="fixed"/>
        <w:tblCellMar>
          <w:top w:w="120" w:type="dxa"/>
          <w:left w:w="120" w:type="dxa"/>
          <w:bottom w:w="120" w:type="dxa"/>
          <w:right w:w="120" w:type="dxa"/>
        </w:tblCellMar>
      </w:tblPr>
      <w:tblGrid>
        <w:gridCol w:w="880"/>
        <w:gridCol w:w="2655"/>
        <w:gridCol w:w="1455"/>
        <w:gridCol w:w="4287"/>
        <w:gridCol w:w="870"/>
      </w:tblGrid>
      <w:tr w14:paraId="12F4D02B">
        <w:tblPrEx>
          <w:shd w:val="clear" w:color="auto" w:fill="FBFBFB"/>
          <w:tblCellMar>
            <w:top w:w="120" w:type="dxa"/>
            <w:left w:w="120" w:type="dxa"/>
            <w:bottom w:w="120" w:type="dxa"/>
            <w:right w:w="12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7A0CA7">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0CFF1C">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A3653">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EB398">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297699">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备注</w:t>
            </w:r>
          </w:p>
        </w:tc>
      </w:tr>
      <w:tr w14:paraId="70A2999B">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F633D9">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218F08">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E232D5">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96B127">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A0D3D">
            <w:pPr>
              <w:widowControl/>
              <w:spacing w:line="360" w:lineRule="auto"/>
              <w:contextualSpacing/>
              <w:jc w:val="center"/>
              <w:rPr>
                <w:rFonts w:ascii="宋体" w:hAnsi="宋体"/>
                <w:color w:val="000000"/>
                <w:kern w:val="0"/>
                <w:sz w:val="24"/>
                <w:highlight w:val="none"/>
              </w:rPr>
            </w:pPr>
          </w:p>
        </w:tc>
      </w:tr>
      <w:tr w14:paraId="2C52FB8D">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DC3FC7">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EE2482">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7BB340">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0C9A6D">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915C89">
            <w:pPr>
              <w:widowControl/>
              <w:spacing w:line="360" w:lineRule="auto"/>
              <w:contextualSpacing/>
              <w:jc w:val="center"/>
              <w:rPr>
                <w:rFonts w:ascii="宋体" w:hAnsi="宋体"/>
                <w:color w:val="000000"/>
                <w:kern w:val="0"/>
                <w:sz w:val="24"/>
                <w:highlight w:val="none"/>
              </w:rPr>
            </w:pPr>
          </w:p>
        </w:tc>
      </w:tr>
      <w:tr w14:paraId="37DB80E8">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95838">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070985">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939545">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EB7361">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48718">
            <w:pPr>
              <w:widowControl/>
              <w:spacing w:line="360" w:lineRule="auto"/>
              <w:contextualSpacing/>
              <w:jc w:val="center"/>
              <w:rPr>
                <w:rFonts w:ascii="宋体" w:hAnsi="宋体"/>
                <w:color w:val="000000"/>
                <w:kern w:val="0"/>
                <w:sz w:val="24"/>
                <w:highlight w:val="none"/>
              </w:rPr>
            </w:pPr>
          </w:p>
        </w:tc>
      </w:tr>
      <w:tr w14:paraId="101FA60D">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F03F74">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50A8D3">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7C145B">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05EA1A">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E709AF">
            <w:pPr>
              <w:widowControl/>
              <w:spacing w:line="360" w:lineRule="auto"/>
              <w:contextualSpacing/>
              <w:jc w:val="center"/>
              <w:rPr>
                <w:rFonts w:ascii="宋体" w:hAnsi="宋体"/>
                <w:color w:val="000000"/>
                <w:kern w:val="0"/>
                <w:sz w:val="24"/>
                <w:highlight w:val="none"/>
              </w:rPr>
            </w:pPr>
          </w:p>
        </w:tc>
      </w:tr>
    </w:tbl>
    <w:p w14:paraId="72FE52D7">
      <w:pPr>
        <w:spacing w:line="360" w:lineRule="auto"/>
        <w:contextualSpacing/>
        <w:jc w:val="left"/>
        <w:rPr>
          <w:rFonts w:hint="eastAsia" w:ascii="宋体" w:hAnsi="宋体"/>
          <w:color w:val="000000"/>
          <w:sz w:val="24"/>
          <w:highlight w:val="none"/>
        </w:rPr>
      </w:pPr>
      <w:r>
        <w:rPr>
          <w:rFonts w:hint="eastAsia" w:ascii="宋体" w:hAnsi="宋体"/>
          <w:color w:val="000000"/>
          <w:sz w:val="24"/>
          <w:highlight w:val="none"/>
        </w:rPr>
        <w:t>注：</w:t>
      </w:r>
    </w:p>
    <w:p w14:paraId="6CF718EB">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647D1B">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2.本表所指的控股关系仅限于直接控股关系，不包括间接的控股关系。公司实际控制人与公司之间的关系不属于本表所指的直接控股关系。</w:t>
      </w:r>
    </w:p>
    <w:p w14:paraId="28B33F42">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3.供应商不存在直接控股股东的，则填“无”。</w:t>
      </w:r>
    </w:p>
    <w:p w14:paraId="035C480E">
      <w:pPr>
        <w:snapToGrid w:val="0"/>
        <w:spacing w:line="360" w:lineRule="auto"/>
        <w:jc w:val="left"/>
        <w:rPr>
          <w:rFonts w:ascii="宋体" w:hAnsi="宋体"/>
          <w:color w:val="000000"/>
          <w:sz w:val="24"/>
          <w:highlight w:val="none"/>
        </w:rPr>
      </w:pPr>
    </w:p>
    <w:p w14:paraId="388DBF07">
      <w:pPr>
        <w:snapToGrid w:val="0"/>
        <w:spacing w:line="360" w:lineRule="auto"/>
        <w:jc w:val="left"/>
        <w:rPr>
          <w:rFonts w:ascii="宋体" w:hAnsi="宋体"/>
          <w:color w:val="000000"/>
          <w:sz w:val="24"/>
          <w:highlight w:val="none"/>
        </w:rPr>
      </w:pPr>
    </w:p>
    <w:p w14:paraId="27F402FE">
      <w:pPr>
        <w:snapToGrid w:val="0"/>
        <w:spacing w:line="360" w:lineRule="auto"/>
        <w:jc w:val="left"/>
        <w:rPr>
          <w:rFonts w:ascii="宋体" w:hAnsi="宋体"/>
          <w:color w:val="000000"/>
          <w:sz w:val="24"/>
          <w:highlight w:val="none"/>
        </w:rPr>
      </w:pPr>
    </w:p>
    <w:p w14:paraId="63A7FFED">
      <w:pPr>
        <w:spacing w:line="480" w:lineRule="exact"/>
        <w:rPr>
          <w:rFonts w:hint="eastAsia"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（CA</w:t>
      </w:r>
      <w:r>
        <w:rPr>
          <w:rFonts w:hint="eastAsia" w:ascii="宋体" w:hAnsi="宋体"/>
          <w:color w:val="000000"/>
          <w:sz w:val="24"/>
          <w:highlight w:val="none"/>
        </w:rPr>
        <w:t>电子签章</w:t>
      </w:r>
      <w:r>
        <w:rPr>
          <w:rFonts w:ascii="宋体" w:hAnsi="宋体"/>
          <w:color w:val="000000"/>
          <w:sz w:val="24"/>
          <w:highlight w:val="none"/>
        </w:rPr>
        <w:t>）</w:t>
      </w:r>
      <w:r>
        <w:rPr>
          <w:rFonts w:hint="eastAsia" w:ascii="宋体" w:hAnsi="宋体"/>
          <w:color w:val="000000"/>
          <w:sz w:val="24"/>
          <w:highlight w:val="none"/>
        </w:rPr>
        <w:t>：</w:t>
      </w:r>
    </w:p>
    <w:p w14:paraId="05EB5D9F">
      <w:pPr>
        <w:spacing w:line="480" w:lineRule="exact"/>
        <w:rPr>
          <w:rFonts w:hint="eastAsia" w:ascii="宋体" w:hAnsi="宋体"/>
          <w:color w:val="000000"/>
          <w:sz w:val="24"/>
          <w:highlight w:val="none"/>
        </w:rPr>
      </w:pPr>
      <w:r>
        <w:rPr>
          <w:rFonts w:hint="eastAsia" w:ascii="宋体" w:hAnsi="宋体"/>
          <w:color w:val="000000"/>
          <w:sz w:val="24"/>
          <w:highlight w:val="none"/>
        </w:rPr>
        <w:t>法人代表或委托代理人（签字或盖章）：</w:t>
      </w:r>
    </w:p>
    <w:p w14:paraId="60FB1EC7">
      <w:pPr>
        <w:spacing w:line="480" w:lineRule="exact"/>
        <w:rPr>
          <w:rFonts w:hint="eastAsia" w:ascii="宋体" w:hAnsi="宋体"/>
          <w:color w:val="000000"/>
          <w:sz w:val="24"/>
          <w:highlight w:val="none"/>
        </w:rPr>
      </w:pPr>
      <w:r>
        <w:rPr>
          <w:rFonts w:hint="eastAsia" w:ascii="宋体" w:hAnsi="宋体"/>
          <w:color w:val="000000"/>
          <w:sz w:val="24"/>
          <w:highlight w:val="none"/>
        </w:rPr>
        <w:t>磋商日期：</w:t>
      </w:r>
    </w:p>
    <w:p w14:paraId="4BFBCF0A">
      <w:pPr>
        <w:snapToGrid w:val="0"/>
        <w:jc w:val="center"/>
        <w:rPr>
          <w:rFonts w:ascii="宋体" w:hAnsi="宋体"/>
          <w:b/>
          <w:color w:val="000000"/>
          <w:sz w:val="28"/>
          <w:szCs w:val="28"/>
          <w:highlight w:val="none"/>
        </w:rPr>
      </w:pPr>
      <w:r>
        <w:rPr>
          <w:rFonts w:ascii="宋体" w:hAnsi="宋体"/>
          <w:b/>
          <w:color w:val="000000"/>
          <w:sz w:val="28"/>
          <w:szCs w:val="28"/>
          <w:highlight w:val="none"/>
        </w:rPr>
        <w:br w:type="page"/>
      </w:r>
    </w:p>
    <w:p w14:paraId="6AFEC731">
      <w:pPr>
        <w:spacing w:line="320" w:lineRule="exact"/>
        <w:jc w:val="center"/>
        <w:rPr>
          <w:rFonts w:ascii="宋体" w:hAnsi="宋体"/>
          <w:b/>
          <w:color w:val="000000"/>
          <w:sz w:val="32"/>
          <w:szCs w:val="32"/>
          <w:highlight w:val="none"/>
        </w:rPr>
      </w:pPr>
    </w:p>
    <w:p w14:paraId="2AA9E247">
      <w:pPr>
        <w:spacing w:line="3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供应商直接管理关系信息表</w:t>
      </w:r>
    </w:p>
    <w:p w14:paraId="4D043B0C">
      <w:pPr>
        <w:snapToGrid w:val="0"/>
        <w:spacing w:line="360" w:lineRule="auto"/>
        <w:jc w:val="center"/>
        <w:rPr>
          <w:rFonts w:ascii="宋体" w:hAnsi="宋体"/>
          <w:b/>
          <w:color w:val="000000"/>
          <w:sz w:val="24"/>
          <w:highlight w:val="none"/>
        </w:rPr>
      </w:pPr>
    </w:p>
    <w:tbl>
      <w:tblPr>
        <w:tblStyle w:val="4"/>
        <w:tblW w:w="0" w:type="auto"/>
        <w:jc w:val="center"/>
        <w:shd w:val="clear" w:color="auto" w:fill="FBFBFB"/>
        <w:tblLayout w:type="fixed"/>
        <w:tblCellMar>
          <w:top w:w="120" w:type="dxa"/>
          <w:left w:w="120" w:type="dxa"/>
          <w:bottom w:w="120" w:type="dxa"/>
          <w:right w:w="120" w:type="dxa"/>
        </w:tblCellMar>
      </w:tblPr>
      <w:tblGrid>
        <w:gridCol w:w="808"/>
        <w:gridCol w:w="3600"/>
        <w:gridCol w:w="3555"/>
        <w:gridCol w:w="1689"/>
      </w:tblGrid>
      <w:tr w14:paraId="57E16F2D">
        <w:tblPrEx>
          <w:shd w:val="clear" w:color="auto" w:fill="FBFBFB"/>
          <w:tblCellMar>
            <w:top w:w="120" w:type="dxa"/>
            <w:left w:w="120" w:type="dxa"/>
            <w:bottom w:w="120" w:type="dxa"/>
            <w:right w:w="12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126688">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379A0F">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1E3945">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74AD08">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备注</w:t>
            </w:r>
          </w:p>
        </w:tc>
      </w:tr>
      <w:tr w14:paraId="55746282">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65D104">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33C045">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13C471">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5BE62A">
            <w:pPr>
              <w:widowControl/>
              <w:spacing w:line="360" w:lineRule="auto"/>
              <w:contextualSpacing/>
              <w:jc w:val="center"/>
              <w:rPr>
                <w:rFonts w:ascii="宋体" w:hAnsi="宋体"/>
                <w:color w:val="000000"/>
                <w:kern w:val="0"/>
                <w:sz w:val="24"/>
                <w:highlight w:val="none"/>
              </w:rPr>
            </w:pPr>
          </w:p>
        </w:tc>
      </w:tr>
      <w:tr w14:paraId="7FA75682">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4D532C">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88A131">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43C3EA">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04C3A3">
            <w:pPr>
              <w:widowControl/>
              <w:spacing w:line="360" w:lineRule="auto"/>
              <w:contextualSpacing/>
              <w:jc w:val="center"/>
              <w:rPr>
                <w:rFonts w:ascii="宋体" w:hAnsi="宋体"/>
                <w:color w:val="000000"/>
                <w:kern w:val="0"/>
                <w:sz w:val="24"/>
                <w:highlight w:val="none"/>
              </w:rPr>
            </w:pPr>
          </w:p>
        </w:tc>
      </w:tr>
      <w:tr w14:paraId="11B76B7D">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CB13B">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07C048">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F2FDC4">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128690">
            <w:pPr>
              <w:widowControl/>
              <w:spacing w:line="360" w:lineRule="auto"/>
              <w:contextualSpacing/>
              <w:jc w:val="center"/>
              <w:rPr>
                <w:rFonts w:ascii="宋体" w:hAnsi="宋体"/>
                <w:color w:val="000000"/>
                <w:kern w:val="0"/>
                <w:sz w:val="24"/>
                <w:highlight w:val="none"/>
              </w:rPr>
            </w:pPr>
          </w:p>
        </w:tc>
      </w:tr>
      <w:tr w14:paraId="4277FF71">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DC8095">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7B73CB">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B6BA4B">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D82984">
            <w:pPr>
              <w:widowControl/>
              <w:spacing w:line="360" w:lineRule="auto"/>
              <w:contextualSpacing/>
              <w:jc w:val="center"/>
              <w:rPr>
                <w:rFonts w:ascii="宋体" w:hAnsi="宋体"/>
                <w:color w:val="000000"/>
                <w:kern w:val="0"/>
                <w:sz w:val="24"/>
                <w:highlight w:val="none"/>
              </w:rPr>
            </w:pPr>
          </w:p>
        </w:tc>
      </w:tr>
    </w:tbl>
    <w:p w14:paraId="271F636F">
      <w:pPr>
        <w:spacing w:line="360" w:lineRule="auto"/>
        <w:contextualSpacing/>
        <w:jc w:val="left"/>
        <w:rPr>
          <w:rFonts w:hint="eastAsia" w:ascii="宋体" w:hAnsi="宋体"/>
          <w:color w:val="000000"/>
          <w:sz w:val="24"/>
          <w:highlight w:val="none"/>
        </w:rPr>
      </w:pPr>
      <w:r>
        <w:rPr>
          <w:rFonts w:hint="eastAsia" w:ascii="宋体" w:hAnsi="宋体"/>
          <w:color w:val="000000"/>
          <w:sz w:val="24"/>
          <w:highlight w:val="none"/>
        </w:rPr>
        <w:t>注：</w:t>
      </w:r>
    </w:p>
    <w:p w14:paraId="1248710A">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14:paraId="0FE49536">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14:paraId="7D47AADF">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3.供应商不存在直接管理关系的，则填“无”。</w:t>
      </w:r>
    </w:p>
    <w:p w14:paraId="224D213B">
      <w:pPr>
        <w:spacing w:line="360" w:lineRule="auto"/>
        <w:contextualSpacing/>
        <w:jc w:val="left"/>
        <w:rPr>
          <w:rFonts w:ascii="宋体" w:hAnsi="宋体"/>
          <w:color w:val="000000"/>
          <w:sz w:val="24"/>
          <w:highlight w:val="none"/>
        </w:rPr>
      </w:pPr>
    </w:p>
    <w:p w14:paraId="0F39B929">
      <w:pPr>
        <w:spacing w:line="360" w:lineRule="auto"/>
        <w:contextualSpacing/>
        <w:jc w:val="left"/>
        <w:rPr>
          <w:rFonts w:ascii="宋体" w:hAnsi="宋体"/>
          <w:color w:val="000000"/>
          <w:sz w:val="24"/>
          <w:highlight w:val="none"/>
        </w:rPr>
      </w:pPr>
    </w:p>
    <w:p w14:paraId="283AE177">
      <w:pPr>
        <w:spacing w:line="360" w:lineRule="auto"/>
        <w:contextualSpacing/>
        <w:jc w:val="left"/>
        <w:rPr>
          <w:color w:val="000000"/>
          <w:sz w:val="24"/>
          <w:highlight w:val="none"/>
        </w:rPr>
      </w:pPr>
    </w:p>
    <w:p w14:paraId="24B505C0">
      <w:pPr>
        <w:spacing w:line="360" w:lineRule="auto"/>
        <w:contextualSpacing/>
        <w:jc w:val="left"/>
        <w:rPr>
          <w:color w:val="000000"/>
          <w:sz w:val="24"/>
          <w:highlight w:val="none"/>
        </w:rPr>
      </w:pPr>
    </w:p>
    <w:p w14:paraId="1D4C0E21">
      <w:pPr>
        <w:spacing w:line="360" w:lineRule="auto"/>
        <w:contextualSpacing/>
        <w:jc w:val="left"/>
        <w:rPr>
          <w:color w:val="000000"/>
          <w:sz w:val="24"/>
          <w:highlight w:val="none"/>
        </w:rPr>
      </w:pPr>
    </w:p>
    <w:p w14:paraId="1477FEDB">
      <w:pPr>
        <w:spacing w:line="360" w:lineRule="auto"/>
        <w:contextualSpacing/>
        <w:jc w:val="left"/>
        <w:rPr>
          <w:rFonts w:ascii="宋体" w:hAnsi="宋体"/>
          <w:color w:val="000000"/>
          <w:sz w:val="24"/>
          <w:highlight w:val="none"/>
        </w:rPr>
      </w:pPr>
    </w:p>
    <w:p w14:paraId="771A509A">
      <w:pPr>
        <w:spacing w:line="480" w:lineRule="exact"/>
        <w:rPr>
          <w:rFonts w:hint="eastAsia"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（CA</w:t>
      </w:r>
      <w:r>
        <w:rPr>
          <w:rFonts w:hint="eastAsia" w:ascii="宋体" w:hAnsi="宋体"/>
          <w:color w:val="000000"/>
          <w:sz w:val="24"/>
          <w:highlight w:val="none"/>
        </w:rPr>
        <w:t>电子签章</w:t>
      </w:r>
      <w:r>
        <w:rPr>
          <w:rFonts w:ascii="宋体" w:hAnsi="宋体"/>
          <w:color w:val="000000"/>
          <w:sz w:val="24"/>
          <w:highlight w:val="none"/>
        </w:rPr>
        <w:t>）</w:t>
      </w:r>
      <w:r>
        <w:rPr>
          <w:rFonts w:hint="eastAsia" w:ascii="宋体" w:hAnsi="宋体"/>
          <w:color w:val="000000"/>
          <w:sz w:val="24"/>
          <w:highlight w:val="none"/>
        </w:rPr>
        <w:t>：</w:t>
      </w:r>
    </w:p>
    <w:p w14:paraId="619B1D27">
      <w:pPr>
        <w:spacing w:line="480" w:lineRule="exact"/>
        <w:rPr>
          <w:rFonts w:hint="eastAsia" w:ascii="宋体" w:hAnsi="宋体"/>
          <w:color w:val="000000"/>
          <w:sz w:val="24"/>
          <w:highlight w:val="none"/>
        </w:rPr>
      </w:pPr>
      <w:r>
        <w:rPr>
          <w:rFonts w:hint="eastAsia" w:ascii="宋体" w:hAnsi="宋体"/>
          <w:color w:val="000000"/>
          <w:sz w:val="24"/>
          <w:highlight w:val="none"/>
        </w:rPr>
        <w:t>法人代表或委托代理人（签字或盖章）：</w:t>
      </w:r>
    </w:p>
    <w:p w14:paraId="2BACE3B1">
      <w:pPr>
        <w:spacing w:line="480" w:lineRule="exact"/>
        <w:rPr>
          <w:rFonts w:hint="eastAsia" w:ascii="宋体" w:hAnsi="宋体"/>
          <w:color w:val="000000"/>
          <w:sz w:val="24"/>
          <w:highlight w:val="none"/>
        </w:rPr>
      </w:pPr>
      <w:r>
        <w:rPr>
          <w:rFonts w:hint="eastAsia" w:ascii="宋体" w:hAnsi="宋体"/>
          <w:color w:val="000000"/>
          <w:sz w:val="24"/>
          <w:highlight w:val="none"/>
        </w:rPr>
        <w:t>磋商日期：</w:t>
      </w:r>
    </w:p>
    <w:p w14:paraId="410B73BD">
      <w:pPr>
        <w:rPr>
          <w:color w:val="000000"/>
          <w:highlight w:val="none"/>
        </w:rPr>
      </w:pPr>
    </w:p>
    <w:p w14:paraId="432051D6">
      <w:pPr>
        <w:pStyle w:val="40"/>
        <w:ind w:firstLine="562"/>
        <w:jc w:val="center"/>
        <w:rPr>
          <w:b/>
          <w:color w:val="000000"/>
          <w:sz w:val="28"/>
          <w:szCs w:val="28"/>
          <w:highlight w:val="none"/>
        </w:rPr>
      </w:pPr>
      <w:r>
        <w:rPr>
          <w:b/>
          <w:color w:val="000000"/>
          <w:sz w:val="28"/>
          <w:szCs w:val="28"/>
          <w:highlight w:val="none"/>
        </w:rPr>
        <w:br w:type="page"/>
      </w:r>
      <w:r>
        <w:rPr>
          <w:b/>
          <w:color w:val="000000"/>
          <w:sz w:val="28"/>
          <w:szCs w:val="28"/>
          <w:highlight w:val="none"/>
        </w:rPr>
        <w:t>供应商参加本项目无围标串标行为的承诺函</w:t>
      </w:r>
    </w:p>
    <w:p w14:paraId="5A30415C">
      <w:pPr>
        <w:snapToGrid w:val="0"/>
        <w:spacing w:before="120" w:after="50"/>
        <w:jc w:val="left"/>
        <w:rPr>
          <w:rFonts w:hint="eastAsia" w:ascii="宋体" w:hAnsi="宋体"/>
          <w:b/>
          <w:color w:val="000000"/>
          <w:sz w:val="24"/>
          <w:highlight w:val="none"/>
        </w:rPr>
      </w:pPr>
      <w:r>
        <w:rPr>
          <w:rFonts w:hint="eastAsia" w:ascii="宋体" w:hAnsi="宋体"/>
          <w:b/>
          <w:color w:val="000000"/>
          <w:sz w:val="24"/>
          <w:highlight w:val="none"/>
        </w:rPr>
        <w:t>一、我公司承诺无下列相互串通投标的情形：</w:t>
      </w:r>
    </w:p>
    <w:p w14:paraId="00560DA3">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不同供应商的响应文件由同一单位或者个人编制；或不同供应商报名（或上传响应文件）的 IP 地址一致的；</w:t>
      </w:r>
    </w:p>
    <w:p w14:paraId="18B0BAE3">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（2）不同</w:t>
      </w:r>
      <w:r>
        <w:rPr>
          <w:rFonts w:hint="eastAsia" w:ascii="宋体" w:hAnsi="宋体"/>
          <w:color w:val="000000"/>
          <w:sz w:val="24"/>
          <w:highlight w:val="none"/>
        </w:rPr>
        <w:t>供应商</w:t>
      </w:r>
      <w:r>
        <w:rPr>
          <w:rFonts w:ascii="宋体" w:hAnsi="宋体"/>
          <w:color w:val="000000"/>
          <w:sz w:val="24"/>
          <w:highlight w:val="none"/>
        </w:rPr>
        <w:t>委托同一单位或者个人办理磋商事宜；</w:t>
      </w:r>
    </w:p>
    <w:p w14:paraId="7EB2AA5D">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（3）不同</w:t>
      </w:r>
      <w:r>
        <w:rPr>
          <w:rFonts w:hint="eastAsia" w:ascii="宋体" w:hAnsi="宋体"/>
          <w:color w:val="000000"/>
          <w:sz w:val="24"/>
          <w:highlight w:val="none"/>
        </w:rPr>
        <w:t>供应商</w:t>
      </w:r>
      <w:r>
        <w:rPr>
          <w:rFonts w:ascii="宋体" w:hAnsi="宋体"/>
          <w:color w:val="000000"/>
          <w:sz w:val="24"/>
          <w:highlight w:val="none"/>
        </w:rPr>
        <w:t>的响应文件载明的项目管理成员（项目经办人）为同一人；</w:t>
      </w:r>
    </w:p>
    <w:p w14:paraId="30454C3B">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（4）不同</w:t>
      </w:r>
      <w:r>
        <w:rPr>
          <w:rFonts w:hint="eastAsia" w:ascii="宋体" w:hAnsi="宋体"/>
          <w:color w:val="000000"/>
          <w:sz w:val="24"/>
          <w:highlight w:val="none"/>
        </w:rPr>
        <w:t>供应商</w:t>
      </w:r>
      <w:r>
        <w:rPr>
          <w:rFonts w:ascii="宋体" w:hAnsi="宋体"/>
          <w:color w:val="000000"/>
          <w:sz w:val="24"/>
          <w:highlight w:val="none"/>
        </w:rPr>
        <w:t>的响应文件异常一致或者磋商报价呈规律性差异；</w:t>
      </w:r>
    </w:p>
    <w:p w14:paraId="5F2EF803">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（5）不同</w:t>
      </w:r>
      <w:r>
        <w:rPr>
          <w:rFonts w:hint="eastAsia" w:ascii="宋体" w:hAnsi="宋体"/>
          <w:color w:val="000000"/>
          <w:sz w:val="24"/>
          <w:highlight w:val="none"/>
        </w:rPr>
        <w:t>供应商</w:t>
      </w:r>
      <w:r>
        <w:rPr>
          <w:rFonts w:ascii="宋体" w:hAnsi="宋体"/>
          <w:color w:val="000000"/>
          <w:sz w:val="24"/>
          <w:highlight w:val="none"/>
        </w:rPr>
        <w:t>的响应文件相互混装；</w:t>
      </w:r>
    </w:p>
    <w:p w14:paraId="6ADDB3E2">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（6）不同</w:t>
      </w:r>
      <w:r>
        <w:rPr>
          <w:rFonts w:hint="eastAsia" w:ascii="宋体" w:hAnsi="宋体"/>
          <w:color w:val="000000"/>
          <w:sz w:val="24"/>
          <w:highlight w:val="none"/>
        </w:rPr>
        <w:t>供应商</w:t>
      </w:r>
      <w:r>
        <w:rPr>
          <w:rFonts w:ascii="宋体" w:hAnsi="宋体"/>
          <w:color w:val="000000"/>
          <w:sz w:val="24"/>
          <w:highlight w:val="none"/>
        </w:rPr>
        <w:t>的磋商保证金从同一单位或者个人的账户转出。</w:t>
      </w:r>
    </w:p>
    <w:p w14:paraId="223ACD46">
      <w:pPr>
        <w:snapToGrid w:val="0"/>
        <w:spacing w:before="120" w:after="50"/>
        <w:jc w:val="left"/>
        <w:rPr>
          <w:rFonts w:hint="eastAsia" w:ascii="宋体" w:hAnsi="宋体"/>
          <w:b/>
          <w:color w:val="000000"/>
          <w:sz w:val="24"/>
          <w:highlight w:val="none"/>
        </w:rPr>
      </w:pPr>
      <w:r>
        <w:rPr>
          <w:rFonts w:hint="eastAsia" w:ascii="宋体" w:hAnsi="宋体"/>
          <w:b/>
          <w:color w:val="000000"/>
          <w:sz w:val="24"/>
          <w:highlight w:val="none"/>
        </w:rPr>
        <w:t>二、我公司承诺无下列恶意串通的情形：</w:t>
      </w:r>
    </w:p>
    <w:p w14:paraId="0334A7D1">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1.供应商直接或者间接从采购人或者采购代理机构处获得其他供应商的相关信息并修改其响应文件或者响应文件；</w:t>
      </w:r>
    </w:p>
    <w:p w14:paraId="56B7F806">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2.供应商按照采购人或者采购代理机构的授意撤换、修改响应文件或者响应文件；</w:t>
      </w:r>
    </w:p>
    <w:p w14:paraId="6198EB3C">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3.供应商之间协商报价、技术方案等响应文件或者响应文件的实质性内容；</w:t>
      </w:r>
    </w:p>
    <w:p w14:paraId="6608E275">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4.属于同一集团、协会、商会等组织成员的供应商按照该组织要求协同参加政府采购活动；</w:t>
      </w:r>
    </w:p>
    <w:p w14:paraId="7DEFDE3F">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5.供应商之间事先约定一致抬高或者压低投标报价,或者在招标项目中事先约定轮流以高价位或者低价位成交,或者事先约定由某一特定供应商成交,然后再参加采购；</w:t>
      </w:r>
    </w:p>
    <w:p w14:paraId="08B518A5">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6.供应商之间商定部分供应商放弃参加政府采购活动或者放弃成交；</w:t>
      </w:r>
    </w:p>
    <w:p w14:paraId="028F58BC">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7.供应商与采购人或者采购代理机构之间、供应商相互之间，为谋求特定供应商中标或者排斥其他供应商的其他串通行为。</w:t>
      </w:r>
    </w:p>
    <w:p w14:paraId="4FD76C94">
      <w:pPr>
        <w:snapToGrid w:val="0"/>
        <w:spacing w:before="120" w:after="50"/>
        <w:ind w:firstLine="470" w:firstLineChars="196"/>
        <w:jc w:val="left"/>
        <w:rPr>
          <w:rFonts w:hint="eastAsia" w:ascii="宋体" w:hAnsi="宋体"/>
          <w:color w:val="000000"/>
          <w:sz w:val="24"/>
          <w:highlight w:val="none"/>
        </w:rPr>
      </w:pPr>
    </w:p>
    <w:p w14:paraId="1D519737">
      <w:pPr>
        <w:snapToGrid w:val="0"/>
        <w:spacing w:before="120" w:after="50"/>
        <w:ind w:firstLine="472" w:firstLineChars="196"/>
        <w:jc w:val="left"/>
        <w:rPr>
          <w:rFonts w:hint="eastAsia" w:ascii="宋体" w:hAnsi="宋体"/>
          <w:b/>
          <w:color w:val="000000"/>
          <w:sz w:val="24"/>
          <w:highlight w:val="none"/>
        </w:rPr>
      </w:pPr>
      <w:r>
        <w:rPr>
          <w:rFonts w:hint="eastAsia" w:ascii="宋体" w:hAnsi="宋体"/>
          <w:b/>
          <w:color w:val="000000"/>
          <w:sz w:val="24"/>
          <w:highlight w:val="none"/>
        </w:rPr>
        <w:t>以上情形一经核查属实，我方愿意承担一切后果，并不再寻求任何旨在减轻或免除法律责任的辩解。</w:t>
      </w:r>
    </w:p>
    <w:p w14:paraId="1F9D5366">
      <w:pPr>
        <w:pStyle w:val="40"/>
        <w:snapToGrid w:val="0"/>
        <w:spacing w:before="295" w:after="295" w:line="320" w:lineRule="exact"/>
        <w:ind w:firstLine="5985" w:firstLineChars="2850"/>
        <w:rPr>
          <w:color w:val="000000"/>
          <w:szCs w:val="24"/>
          <w:highlight w:val="none"/>
        </w:rPr>
      </w:pPr>
    </w:p>
    <w:p w14:paraId="65AB858D">
      <w:pPr>
        <w:pStyle w:val="40"/>
        <w:spacing w:line="500" w:lineRule="exact"/>
        <w:jc w:val="center"/>
        <w:rPr>
          <w:color w:val="000000"/>
          <w:szCs w:val="24"/>
          <w:highlight w:val="none"/>
        </w:rPr>
      </w:pPr>
      <w:r>
        <w:rPr>
          <w:color w:val="000000"/>
          <w:szCs w:val="24"/>
          <w:highlight w:val="none"/>
        </w:rPr>
        <w:t>供应商（盖CA电子签章）：</w:t>
      </w:r>
    </w:p>
    <w:p w14:paraId="1314B708">
      <w:pPr>
        <w:pStyle w:val="40"/>
        <w:spacing w:line="500" w:lineRule="exact"/>
        <w:jc w:val="center"/>
        <w:rPr>
          <w:color w:val="000000"/>
          <w:szCs w:val="24"/>
          <w:highlight w:val="none"/>
        </w:rPr>
      </w:pPr>
      <w:r>
        <w:rPr>
          <w:color w:val="000000"/>
          <w:szCs w:val="24"/>
          <w:highlight w:val="none"/>
        </w:rPr>
        <w:t>磋商日期：</w:t>
      </w:r>
    </w:p>
    <w:p w14:paraId="65547A45">
      <w:pPr>
        <w:widowControl/>
        <w:jc w:val="left"/>
        <w:rPr>
          <w:rFonts w:ascii="宋体" w:hAnsi="宋体"/>
          <w:color w:val="000000"/>
          <w:highlight w:val="none"/>
        </w:rPr>
        <w:sectPr>
          <w:footerReference r:id="rId9" w:type="first"/>
          <w:footerReference r:id="rId8" w:type="default"/>
          <w:pgSz w:w="11905" w:h="16838"/>
          <w:pgMar w:top="1440" w:right="1448" w:bottom="1440" w:left="1417" w:header="850" w:footer="850" w:gutter="0"/>
          <w:pgNumType w:start="1"/>
          <w:cols w:space="720" w:num="1"/>
          <w:docGrid w:linePitch="312" w:charSpace="0"/>
        </w:sectPr>
      </w:pPr>
    </w:p>
    <w:p w14:paraId="163D6460">
      <w:pPr>
        <w:pStyle w:val="124"/>
        <w:jc w:val="center"/>
        <w:outlineLvl w:val="0"/>
        <w:rPr>
          <w:rFonts w:hint="eastAsia" w:ascii="宋体" w:hAnsi="宋体"/>
          <w:b/>
          <w:bCs/>
          <w:color w:val="000000"/>
          <w:sz w:val="24"/>
          <w:szCs w:val="24"/>
          <w:highlight w:val="none"/>
        </w:rPr>
      </w:pPr>
      <w:bookmarkStart w:id="964" w:name="_Toc389065360"/>
      <w:bookmarkStart w:id="965" w:name="_Toc108539872"/>
      <w:bookmarkStart w:id="966" w:name="_Toc15796"/>
      <w:bookmarkStart w:id="967" w:name="_Toc15959"/>
      <w:bookmarkStart w:id="968" w:name="_Toc6080"/>
      <w:bookmarkStart w:id="969" w:name="_Toc26743"/>
      <w:r>
        <w:rPr>
          <w:rFonts w:hint="eastAsia" w:ascii="宋体" w:hAnsi="宋体"/>
          <w:b/>
          <w:bCs/>
          <w:color w:val="000000"/>
          <w:sz w:val="24"/>
          <w:szCs w:val="24"/>
          <w:highlight w:val="none"/>
        </w:rPr>
        <w:t>施工组织设计</w:t>
      </w:r>
      <w:bookmarkEnd w:id="964"/>
      <w:bookmarkEnd w:id="965"/>
      <w:bookmarkEnd w:id="966"/>
      <w:bookmarkEnd w:id="967"/>
      <w:bookmarkEnd w:id="968"/>
      <w:bookmarkEnd w:id="969"/>
    </w:p>
    <w:p w14:paraId="2DE9138F">
      <w:pPr>
        <w:spacing w:line="460" w:lineRule="exact"/>
        <w:ind w:firstLine="420" w:firstLineChars="200"/>
        <w:rPr>
          <w:rFonts w:hint="eastAsia" w:ascii="宋体" w:hAnsi="宋体"/>
          <w:color w:val="000000"/>
          <w:highlight w:val="none"/>
        </w:rPr>
      </w:pPr>
      <w:r>
        <w:rPr>
          <w:rFonts w:hint="eastAsia" w:ascii="宋体" w:hAnsi="宋体"/>
          <w:color w:val="000000"/>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F50BF0E">
      <w:pPr>
        <w:spacing w:line="460" w:lineRule="exact"/>
        <w:ind w:firstLine="420" w:firstLineChars="200"/>
        <w:rPr>
          <w:rFonts w:hint="eastAsia" w:ascii="宋体" w:hAnsi="宋体"/>
          <w:color w:val="000000"/>
          <w:highlight w:val="none"/>
        </w:rPr>
      </w:pPr>
      <w:r>
        <w:rPr>
          <w:rFonts w:hint="eastAsia" w:ascii="宋体" w:hAnsi="宋体"/>
          <w:color w:val="000000"/>
          <w:highlight w:val="none"/>
        </w:rPr>
        <w:t>2．施工组织设计除采用文字表述外可附下列图表，图表及格式要求附后。</w:t>
      </w:r>
    </w:p>
    <w:p w14:paraId="15A795C9">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附表一拟投入本工程的主要施工设备表</w:t>
      </w:r>
    </w:p>
    <w:p w14:paraId="3D94F73C">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附表二劳动力计划表</w:t>
      </w:r>
    </w:p>
    <w:p w14:paraId="4520B065">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附表三计划开、竣工日期和施工进度网络图</w:t>
      </w:r>
    </w:p>
    <w:p w14:paraId="2E8A0B31">
      <w:pPr>
        <w:spacing w:line="460" w:lineRule="exact"/>
        <w:ind w:firstLine="420" w:firstLineChars="200"/>
        <w:rPr>
          <w:rFonts w:ascii="宋体" w:hAnsi="宋体"/>
          <w:color w:val="000000"/>
          <w:highlight w:val="none"/>
        </w:rPr>
      </w:pPr>
    </w:p>
    <w:p w14:paraId="181C47D6">
      <w:pPr>
        <w:rPr>
          <w:rFonts w:hint="eastAsia" w:ascii="宋体" w:hAnsi="宋体"/>
          <w:color w:val="000000"/>
          <w:highlight w:val="none"/>
        </w:rPr>
      </w:pPr>
      <w:r>
        <w:rPr>
          <w:rFonts w:hint="eastAsia" w:ascii="宋体" w:hAnsi="宋体"/>
          <w:color w:val="000000"/>
          <w:highlight w:val="none"/>
        </w:rPr>
        <w:t>附表一：拟投入本工程的主要施工设备表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B57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2A8BE67">
            <w:pPr>
              <w:jc w:val="center"/>
              <w:rPr>
                <w:rFonts w:hint="eastAsia" w:ascii="宋体" w:hAnsi="宋体"/>
                <w:color w:val="000000"/>
                <w:highlight w:val="none"/>
              </w:rPr>
            </w:pPr>
            <w:r>
              <w:rPr>
                <w:rFonts w:hint="eastAsia" w:ascii="宋体" w:hAnsi="宋体"/>
                <w:color w:val="000000"/>
                <w:highlight w:val="none"/>
              </w:rPr>
              <w:t>序号</w:t>
            </w:r>
          </w:p>
        </w:tc>
        <w:tc>
          <w:tcPr>
            <w:tcW w:w="1226" w:type="dxa"/>
            <w:vAlign w:val="center"/>
          </w:tcPr>
          <w:p w14:paraId="12CF99E5">
            <w:pPr>
              <w:jc w:val="center"/>
              <w:rPr>
                <w:rFonts w:hint="eastAsia" w:ascii="宋体" w:hAnsi="宋体"/>
                <w:color w:val="000000"/>
                <w:highlight w:val="none"/>
              </w:rPr>
            </w:pPr>
            <w:r>
              <w:rPr>
                <w:rFonts w:hint="eastAsia" w:ascii="宋体" w:hAnsi="宋体"/>
                <w:color w:val="000000"/>
                <w:highlight w:val="none"/>
              </w:rPr>
              <w:t>设备名称</w:t>
            </w:r>
          </w:p>
        </w:tc>
        <w:tc>
          <w:tcPr>
            <w:tcW w:w="851" w:type="dxa"/>
            <w:vAlign w:val="center"/>
          </w:tcPr>
          <w:p w14:paraId="2381FE83">
            <w:pPr>
              <w:jc w:val="center"/>
              <w:rPr>
                <w:rFonts w:hint="eastAsia" w:ascii="宋体" w:hAnsi="宋体"/>
                <w:color w:val="000000"/>
                <w:highlight w:val="none"/>
              </w:rPr>
            </w:pPr>
            <w:r>
              <w:rPr>
                <w:rFonts w:hint="eastAsia" w:ascii="宋体" w:hAnsi="宋体"/>
                <w:color w:val="000000"/>
                <w:highlight w:val="none"/>
              </w:rPr>
              <w:t>型号</w:t>
            </w:r>
          </w:p>
          <w:p w14:paraId="2E4C7DCB">
            <w:pPr>
              <w:jc w:val="center"/>
              <w:rPr>
                <w:rFonts w:hint="eastAsia" w:ascii="宋体" w:hAnsi="宋体"/>
                <w:color w:val="000000"/>
                <w:highlight w:val="none"/>
              </w:rPr>
            </w:pPr>
            <w:r>
              <w:rPr>
                <w:rFonts w:hint="eastAsia" w:ascii="宋体" w:hAnsi="宋体"/>
                <w:color w:val="000000"/>
                <w:highlight w:val="none"/>
              </w:rPr>
              <w:t>规格</w:t>
            </w:r>
          </w:p>
        </w:tc>
        <w:tc>
          <w:tcPr>
            <w:tcW w:w="708" w:type="dxa"/>
            <w:vAlign w:val="center"/>
          </w:tcPr>
          <w:p w14:paraId="3C8DEF49">
            <w:pPr>
              <w:jc w:val="center"/>
              <w:rPr>
                <w:rFonts w:hint="eastAsia" w:ascii="宋体" w:hAnsi="宋体"/>
                <w:color w:val="000000"/>
                <w:highlight w:val="none"/>
              </w:rPr>
            </w:pPr>
            <w:r>
              <w:rPr>
                <w:rFonts w:hint="eastAsia" w:ascii="宋体" w:hAnsi="宋体"/>
                <w:color w:val="000000"/>
                <w:highlight w:val="none"/>
              </w:rPr>
              <w:t>数量</w:t>
            </w:r>
          </w:p>
        </w:tc>
        <w:tc>
          <w:tcPr>
            <w:tcW w:w="709" w:type="dxa"/>
            <w:vAlign w:val="center"/>
          </w:tcPr>
          <w:p w14:paraId="69ACDF3A">
            <w:pPr>
              <w:jc w:val="center"/>
              <w:rPr>
                <w:rFonts w:hint="eastAsia" w:ascii="宋体" w:hAnsi="宋体"/>
                <w:color w:val="000000"/>
                <w:highlight w:val="none"/>
              </w:rPr>
            </w:pPr>
            <w:r>
              <w:rPr>
                <w:rFonts w:hint="eastAsia" w:ascii="宋体" w:hAnsi="宋体"/>
                <w:color w:val="000000"/>
                <w:highlight w:val="none"/>
              </w:rPr>
              <w:t>国别</w:t>
            </w:r>
          </w:p>
          <w:p w14:paraId="6D8B82B5">
            <w:pPr>
              <w:jc w:val="center"/>
              <w:rPr>
                <w:rFonts w:hint="eastAsia" w:ascii="宋体" w:hAnsi="宋体"/>
                <w:color w:val="000000"/>
                <w:highlight w:val="none"/>
              </w:rPr>
            </w:pPr>
            <w:r>
              <w:rPr>
                <w:rFonts w:hint="eastAsia" w:ascii="宋体" w:hAnsi="宋体"/>
                <w:color w:val="000000"/>
                <w:highlight w:val="none"/>
              </w:rPr>
              <w:t>产地</w:t>
            </w:r>
          </w:p>
        </w:tc>
        <w:tc>
          <w:tcPr>
            <w:tcW w:w="851" w:type="dxa"/>
            <w:vAlign w:val="center"/>
          </w:tcPr>
          <w:p w14:paraId="588FB62E">
            <w:pPr>
              <w:jc w:val="center"/>
              <w:rPr>
                <w:rFonts w:hint="eastAsia" w:ascii="宋体" w:hAnsi="宋体"/>
                <w:color w:val="000000"/>
                <w:highlight w:val="none"/>
              </w:rPr>
            </w:pPr>
            <w:r>
              <w:rPr>
                <w:rFonts w:hint="eastAsia" w:ascii="宋体" w:hAnsi="宋体"/>
                <w:color w:val="000000"/>
                <w:highlight w:val="none"/>
              </w:rPr>
              <w:t>制造</w:t>
            </w:r>
          </w:p>
          <w:p w14:paraId="2E9D5B39">
            <w:pPr>
              <w:jc w:val="center"/>
              <w:rPr>
                <w:rFonts w:hint="eastAsia" w:ascii="宋体" w:hAnsi="宋体"/>
                <w:color w:val="000000"/>
                <w:highlight w:val="none"/>
              </w:rPr>
            </w:pPr>
            <w:r>
              <w:rPr>
                <w:rFonts w:hint="eastAsia" w:ascii="宋体" w:hAnsi="宋体"/>
                <w:color w:val="000000"/>
                <w:highlight w:val="none"/>
              </w:rPr>
              <w:t>年份</w:t>
            </w:r>
          </w:p>
        </w:tc>
        <w:tc>
          <w:tcPr>
            <w:tcW w:w="1134" w:type="dxa"/>
            <w:vAlign w:val="center"/>
          </w:tcPr>
          <w:p w14:paraId="472CAAE2">
            <w:pPr>
              <w:jc w:val="center"/>
              <w:rPr>
                <w:rFonts w:hint="eastAsia" w:ascii="宋体" w:hAnsi="宋体"/>
                <w:color w:val="000000"/>
                <w:highlight w:val="none"/>
              </w:rPr>
            </w:pPr>
            <w:r>
              <w:rPr>
                <w:rFonts w:hint="eastAsia" w:ascii="宋体" w:hAnsi="宋体"/>
                <w:color w:val="000000"/>
                <w:highlight w:val="none"/>
              </w:rPr>
              <w:t>额定功率</w:t>
            </w:r>
          </w:p>
          <w:p w14:paraId="25B26368">
            <w:pPr>
              <w:jc w:val="center"/>
              <w:rPr>
                <w:rFonts w:hint="eastAsia" w:ascii="宋体" w:hAnsi="宋体"/>
                <w:color w:val="000000"/>
                <w:highlight w:val="none"/>
              </w:rPr>
            </w:pPr>
            <w:r>
              <w:rPr>
                <w:rFonts w:hint="eastAsia" w:ascii="宋体" w:hAnsi="宋体"/>
                <w:color w:val="000000"/>
                <w:highlight w:val="none"/>
              </w:rPr>
              <w:t>（KW）</w:t>
            </w:r>
          </w:p>
        </w:tc>
        <w:tc>
          <w:tcPr>
            <w:tcW w:w="992" w:type="dxa"/>
            <w:vAlign w:val="center"/>
          </w:tcPr>
          <w:p w14:paraId="592D0E4B">
            <w:pPr>
              <w:jc w:val="center"/>
              <w:rPr>
                <w:rFonts w:hint="eastAsia" w:ascii="宋体" w:hAnsi="宋体"/>
                <w:color w:val="000000"/>
                <w:highlight w:val="none"/>
              </w:rPr>
            </w:pPr>
            <w:r>
              <w:rPr>
                <w:rFonts w:hint="eastAsia" w:ascii="宋体" w:hAnsi="宋体"/>
                <w:color w:val="000000"/>
                <w:highlight w:val="none"/>
              </w:rPr>
              <w:t>生产</w:t>
            </w:r>
          </w:p>
          <w:p w14:paraId="22B077C4">
            <w:pPr>
              <w:jc w:val="center"/>
              <w:rPr>
                <w:rFonts w:hint="eastAsia" w:ascii="宋体" w:hAnsi="宋体"/>
                <w:color w:val="000000"/>
                <w:highlight w:val="none"/>
              </w:rPr>
            </w:pPr>
            <w:r>
              <w:rPr>
                <w:rFonts w:hint="eastAsia" w:ascii="宋体" w:hAnsi="宋体"/>
                <w:color w:val="000000"/>
                <w:highlight w:val="none"/>
              </w:rPr>
              <w:t>能力</w:t>
            </w:r>
          </w:p>
        </w:tc>
        <w:tc>
          <w:tcPr>
            <w:tcW w:w="1134" w:type="dxa"/>
            <w:vAlign w:val="center"/>
          </w:tcPr>
          <w:p w14:paraId="2D84AC59">
            <w:pPr>
              <w:jc w:val="center"/>
              <w:rPr>
                <w:rFonts w:hint="eastAsia" w:ascii="宋体" w:hAnsi="宋体"/>
                <w:color w:val="000000"/>
                <w:highlight w:val="none"/>
              </w:rPr>
            </w:pPr>
            <w:r>
              <w:rPr>
                <w:rFonts w:hint="eastAsia" w:ascii="宋体" w:hAnsi="宋体"/>
                <w:color w:val="000000"/>
                <w:highlight w:val="none"/>
              </w:rPr>
              <w:t>用于施</w:t>
            </w:r>
          </w:p>
          <w:p w14:paraId="2EED7F10">
            <w:pPr>
              <w:jc w:val="center"/>
              <w:rPr>
                <w:rFonts w:hint="eastAsia" w:ascii="宋体" w:hAnsi="宋体"/>
                <w:color w:val="000000"/>
                <w:highlight w:val="none"/>
              </w:rPr>
            </w:pPr>
            <w:r>
              <w:rPr>
                <w:rFonts w:hint="eastAsia" w:ascii="宋体" w:hAnsi="宋体"/>
                <w:color w:val="000000"/>
                <w:highlight w:val="none"/>
              </w:rPr>
              <w:t>工部位</w:t>
            </w:r>
          </w:p>
        </w:tc>
        <w:tc>
          <w:tcPr>
            <w:tcW w:w="992" w:type="dxa"/>
            <w:vAlign w:val="center"/>
          </w:tcPr>
          <w:p w14:paraId="157BB521">
            <w:pPr>
              <w:jc w:val="center"/>
              <w:rPr>
                <w:rFonts w:hint="eastAsia" w:ascii="宋体" w:hAnsi="宋体"/>
                <w:color w:val="000000"/>
                <w:highlight w:val="none"/>
              </w:rPr>
            </w:pPr>
            <w:r>
              <w:rPr>
                <w:rFonts w:hint="eastAsia" w:ascii="宋体" w:hAnsi="宋体"/>
                <w:color w:val="000000"/>
                <w:highlight w:val="none"/>
              </w:rPr>
              <w:t>备注</w:t>
            </w:r>
          </w:p>
        </w:tc>
      </w:tr>
      <w:tr w14:paraId="708C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4410DFEF">
            <w:pPr>
              <w:spacing w:line="360" w:lineRule="auto"/>
              <w:rPr>
                <w:rFonts w:ascii="宋体" w:hAnsi="宋体"/>
                <w:color w:val="000000"/>
                <w:highlight w:val="none"/>
              </w:rPr>
            </w:pPr>
          </w:p>
        </w:tc>
        <w:tc>
          <w:tcPr>
            <w:tcW w:w="1226" w:type="dxa"/>
            <w:vAlign w:val="top"/>
          </w:tcPr>
          <w:p w14:paraId="2BADCCC9">
            <w:pPr>
              <w:spacing w:line="360" w:lineRule="auto"/>
              <w:ind w:firstLine="420" w:firstLineChars="200"/>
              <w:rPr>
                <w:rFonts w:ascii="宋体" w:hAnsi="宋体"/>
                <w:color w:val="000000"/>
                <w:highlight w:val="none"/>
              </w:rPr>
            </w:pPr>
          </w:p>
        </w:tc>
        <w:tc>
          <w:tcPr>
            <w:tcW w:w="851" w:type="dxa"/>
            <w:vAlign w:val="top"/>
          </w:tcPr>
          <w:p w14:paraId="7C041520">
            <w:pPr>
              <w:spacing w:line="360" w:lineRule="auto"/>
              <w:rPr>
                <w:rFonts w:ascii="宋体" w:hAnsi="宋体"/>
                <w:color w:val="000000"/>
                <w:highlight w:val="none"/>
              </w:rPr>
            </w:pPr>
          </w:p>
        </w:tc>
        <w:tc>
          <w:tcPr>
            <w:tcW w:w="708" w:type="dxa"/>
            <w:vAlign w:val="top"/>
          </w:tcPr>
          <w:p w14:paraId="394A7068">
            <w:pPr>
              <w:spacing w:line="360" w:lineRule="auto"/>
              <w:rPr>
                <w:rFonts w:ascii="宋体" w:hAnsi="宋体"/>
                <w:color w:val="000000"/>
                <w:highlight w:val="none"/>
              </w:rPr>
            </w:pPr>
          </w:p>
        </w:tc>
        <w:tc>
          <w:tcPr>
            <w:tcW w:w="709" w:type="dxa"/>
            <w:vAlign w:val="top"/>
          </w:tcPr>
          <w:p w14:paraId="56FE8DFB">
            <w:pPr>
              <w:spacing w:line="360" w:lineRule="auto"/>
              <w:rPr>
                <w:rFonts w:ascii="宋体" w:hAnsi="宋体"/>
                <w:color w:val="000000"/>
                <w:highlight w:val="none"/>
              </w:rPr>
            </w:pPr>
          </w:p>
        </w:tc>
        <w:tc>
          <w:tcPr>
            <w:tcW w:w="851" w:type="dxa"/>
            <w:vAlign w:val="top"/>
          </w:tcPr>
          <w:p w14:paraId="2FF422C6">
            <w:pPr>
              <w:spacing w:line="360" w:lineRule="auto"/>
              <w:rPr>
                <w:rFonts w:ascii="宋体" w:hAnsi="宋体"/>
                <w:color w:val="000000"/>
                <w:highlight w:val="none"/>
              </w:rPr>
            </w:pPr>
          </w:p>
        </w:tc>
        <w:tc>
          <w:tcPr>
            <w:tcW w:w="1134" w:type="dxa"/>
            <w:vAlign w:val="top"/>
          </w:tcPr>
          <w:p w14:paraId="07F5B821">
            <w:pPr>
              <w:spacing w:line="360" w:lineRule="auto"/>
              <w:rPr>
                <w:rFonts w:ascii="宋体" w:hAnsi="宋体"/>
                <w:color w:val="000000"/>
                <w:highlight w:val="none"/>
              </w:rPr>
            </w:pPr>
          </w:p>
        </w:tc>
        <w:tc>
          <w:tcPr>
            <w:tcW w:w="992" w:type="dxa"/>
            <w:vAlign w:val="top"/>
          </w:tcPr>
          <w:p w14:paraId="046EA9B4">
            <w:pPr>
              <w:spacing w:line="360" w:lineRule="auto"/>
              <w:rPr>
                <w:rFonts w:ascii="宋体" w:hAnsi="宋体"/>
                <w:color w:val="000000"/>
                <w:highlight w:val="none"/>
              </w:rPr>
            </w:pPr>
          </w:p>
        </w:tc>
        <w:tc>
          <w:tcPr>
            <w:tcW w:w="1134" w:type="dxa"/>
            <w:vAlign w:val="top"/>
          </w:tcPr>
          <w:p w14:paraId="02D76A34">
            <w:pPr>
              <w:spacing w:line="360" w:lineRule="auto"/>
              <w:rPr>
                <w:rFonts w:ascii="宋体" w:hAnsi="宋体"/>
                <w:color w:val="000000"/>
                <w:highlight w:val="none"/>
              </w:rPr>
            </w:pPr>
          </w:p>
        </w:tc>
        <w:tc>
          <w:tcPr>
            <w:tcW w:w="992" w:type="dxa"/>
            <w:vAlign w:val="top"/>
          </w:tcPr>
          <w:p w14:paraId="615BFED0">
            <w:pPr>
              <w:spacing w:line="360" w:lineRule="auto"/>
              <w:rPr>
                <w:rFonts w:ascii="宋体" w:hAnsi="宋体"/>
                <w:color w:val="000000"/>
                <w:highlight w:val="none"/>
              </w:rPr>
            </w:pPr>
          </w:p>
        </w:tc>
      </w:tr>
      <w:tr w14:paraId="422F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7443FE77">
            <w:pPr>
              <w:spacing w:line="360" w:lineRule="auto"/>
              <w:rPr>
                <w:rFonts w:ascii="宋体" w:hAnsi="宋体"/>
                <w:color w:val="000000"/>
                <w:highlight w:val="none"/>
              </w:rPr>
            </w:pPr>
          </w:p>
        </w:tc>
        <w:tc>
          <w:tcPr>
            <w:tcW w:w="1226" w:type="dxa"/>
            <w:vAlign w:val="top"/>
          </w:tcPr>
          <w:p w14:paraId="129013DA">
            <w:pPr>
              <w:spacing w:line="360" w:lineRule="auto"/>
              <w:rPr>
                <w:rFonts w:ascii="宋体" w:hAnsi="宋体"/>
                <w:color w:val="000000"/>
                <w:highlight w:val="none"/>
              </w:rPr>
            </w:pPr>
          </w:p>
        </w:tc>
        <w:tc>
          <w:tcPr>
            <w:tcW w:w="851" w:type="dxa"/>
            <w:vAlign w:val="top"/>
          </w:tcPr>
          <w:p w14:paraId="1F5EB452">
            <w:pPr>
              <w:spacing w:line="360" w:lineRule="auto"/>
              <w:rPr>
                <w:rFonts w:ascii="宋体" w:hAnsi="宋体"/>
                <w:color w:val="000000"/>
                <w:highlight w:val="none"/>
              </w:rPr>
            </w:pPr>
          </w:p>
        </w:tc>
        <w:tc>
          <w:tcPr>
            <w:tcW w:w="708" w:type="dxa"/>
            <w:vAlign w:val="top"/>
          </w:tcPr>
          <w:p w14:paraId="3FF8FCD0">
            <w:pPr>
              <w:spacing w:line="360" w:lineRule="auto"/>
              <w:rPr>
                <w:rFonts w:ascii="宋体" w:hAnsi="宋体"/>
                <w:color w:val="000000"/>
                <w:highlight w:val="none"/>
              </w:rPr>
            </w:pPr>
          </w:p>
        </w:tc>
        <w:tc>
          <w:tcPr>
            <w:tcW w:w="709" w:type="dxa"/>
            <w:vAlign w:val="top"/>
          </w:tcPr>
          <w:p w14:paraId="6F76AEDA">
            <w:pPr>
              <w:spacing w:line="360" w:lineRule="auto"/>
              <w:rPr>
                <w:rFonts w:ascii="宋体" w:hAnsi="宋体"/>
                <w:color w:val="000000"/>
                <w:highlight w:val="none"/>
              </w:rPr>
            </w:pPr>
          </w:p>
        </w:tc>
        <w:tc>
          <w:tcPr>
            <w:tcW w:w="851" w:type="dxa"/>
            <w:vAlign w:val="top"/>
          </w:tcPr>
          <w:p w14:paraId="064D3CAD">
            <w:pPr>
              <w:spacing w:line="360" w:lineRule="auto"/>
              <w:rPr>
                <w:rFonts w:ascii="宋体" w:hAnsi="宋体"/>
                <w:color w:val="000000"/>
                <w:highlight w:val="none"/>
              </w:rPr>
            </w:pPr>
          </w:p>
        </w:tc>
        <w:tc>
          <w:tcPr>
            <w:tcW w:w="1134" w:type="dxa"/>
            <w:vAlign w:val="top"/>
          </w:tcPr>
          <w:p w14:paraId="77076D58">
            <w:pPr>
              <w:spacing w:line="360" w:lineRule="auto"/>
              <w:rPr>
                <w:rFonts w:ascii="宋体" w:hAnsi="宋体"/>
                <w:color w:val="000000"/>
                <w:highlight w:val="none"/>
              </w:rPr>
            </w:pPr>
          </w:p>
        </w:tc>
        <w:tc>
          <w:tcPr>
            <w:tcW w:w="992" w:type="dxa"/>
            <w:vAlign w:val="top"/>
          </w:tcPr>
          <w:p w14:paraId="5AE47D46">
            <w:pPr>
              <w:spacing w:line="360" w:lineRule="auto"/>
              <w:rPr>
                <w:rFonts w:ascii="宋体" w:hAnsi="宋体"/>
                <w:color w:val="000000"/>
                <w:highlight w:val="none"/>
              </w:rPr>
            </w:pPr>
          </w:p>
        </w:tc>
        <w:tc>
          <w:tcPr>
            <w:tcW w:w="1134" w:type="dxa"/>
            <w:vAlign w:val="top"/>
          </w:tcPr>
          <w:p w14:paraId="418952A0">
            <w:pPr>
              <w:spacing w:line="360" w:lineRule="auto"/>
              <w:rPr>
                <w:rFonts w:ascii="宋体" w:hAnsi="宋体"/>
                <w:color w:val="000000"/>
                <w:highlight w:val="none"/>
              </w:rPr>
            </w:pPr>
          </w:p>
        </w:tc>
        <w:tc>
          <w:tcPr>
            <w:tcW w:w="992" w:type="dxa"/>
            <w:vAlign w:val="top"/>
          </w:tcPr>
          <w:p w14:paraId="0F73C6B9">
            <w:pPr>
              <w:spacing w:line="360" w:lineRule="auto"/>
              <w:rPr>
                <w:rFonts w:ascii="宋体" w:hAnsi="宋体"/>
                <w:color w:val="000000"/>
                <w:highlight w:val="none"/>
              </w:rPr>
            </w:pPr>
          </w:p>
        </w:tc>
      </w:tr>
      <w:tr w14:paraId="6705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153A3113">
            <w:pPr>
              <w:spacing w:line="360" w:lineRule="auto"/>
              <w:rPr>
                <w:rFonts w:ascii="宋体" w:hAnsi="宋体"/>
                <w:color w:val="000000"/>
                <w:highlight w:val="none"/>
              </w:rPr>
            </w:pPr>
          </w:p>
        </w:tc>
        <w:tc>
          <w:tcPr>
            <w:tcW w:w="1226" w:type="dxa"/>
            <w:vAlign w:val="top"/>
          </w:tcPr>
          <w:p w14:paraId="55F816F8">
            <w:pPr>
              <w:spacing w:line="360" w:lineRule="auto"/>
              <w:rPr>
                <w:rFonts w:ascii="宋体" w:hAnsi="宋体"/>
                <w:color w:val="000000"/>
                <w:highlight w:val="none"/>
              </w:rPr>
            </w:pPr>
          </w:p>
        </w:tc>
        <w:tc>
          <w:tcPr>
            <w:tcW w:w="851" w:type="dxa"/>
            <w:vAlign w:val="top"/>
          </w:tcPr>
          <w:p w14:paraId="2D2EF0FA">
            <w:pPr>
              <w:spacing w:line="360" w:lineRule="auto"/>
              <w:rPr>
                <w:rFonts w:ascii="宋体" w:hAnsi="宋体"/>
                <w:color w:val="000000"/>
                <w:highlight w:val="none"/>
              </w:rPr>
            </w:pPr>
          </w:p>
        </w:tc>
        <w:tc>
          <w:tcPr>
            <w:tcW w:w="708" w:type="dxa"/>
            <w:vAlign w:val="top"/>
          </w:tcPr>
          <w:p w14:paraId="027DD2FB">
            <w:pPr>
              <w:spacing w:line="360" w:lineRule="auto"/>
              <w:rPr>
                <w:rFonts w:ascii="宋体" w:hAnsi="宋体"/>
                <w:color w:val="000000"/>
                <w:highlight w:val="none"/>
              </w:rPr>
            </w:pPr>
          </w:p>
        </w:tc>
        <w:tc>
          <w:tcPr>
            <w:tcW w:w="709" w:type="dxa"/>
            <w:vAlign w:val="top"/>
          </w:tcPr>
          <w:p w14:paraId="12C728FC">
            <w:pPr>
              <w:spacing w:line="360" w:lineRule="auto"/>
              <w:rPr>
                <w:rFonts w:ascii="宋体" w:hAnsi="宋体"/>
                <w:color w:val="000000"/>
                <w:highlight w:val="none"/>
              </w:rPr>
            </w:pPr>
          </w:p>
        </w:tc>
        <w:tc>
          <w:tcPr>
            <w:tcW w:w="851" w:type="dxa"/>
            <w:vAlign w:val="top"/>
          </w:tcPr>
          <w:p w14:paraId="20CEA1F8">
            <w:pPr>
              <w:spacing w:line="360" w:lineRule="auto"/>
              <w:rPr>
                <w:rFonts w:ascii="宋体" w:hAnsi="宋体"/>
                <w:color w:val="000000"/>
                <w:highlight w:val="none"/>
              </w:rPr>
            </w:pPr>
          </w:p>
        </w:tc>
        <w:tc>
          <w:tcPr>
            <w:tcW w:w="1134" w:type="dxa"/>
            <w:vAlign w:val="top"/>
          </w:tcPr>
          <w:p w14:paraId="7A083B99">
            <w:pPr>
              <w:spacing w:line="360" w:lineRule="auto"/>
              <w:rPr>
                <w:rFonts w:ascii="宋体" w:hAnsi="宋体"/>
                <w:color w:val="000000"/>
                <w:highlight w:val="none"/>
              </w:rPr>
            </w:pPr>
          </w:p>
        </w:tc>
        <w:tc>
          <w:tcPr>
            <w:tcW w:w="992" w:type="dxa"/>
            <w:vAlign w:val="top"/>
          </w:tcPr>
          <w:p w14:paraId="46B9E4E2">
            <w:pPr>
              <w:spacing w:line="360" w:lineRule="auto"/>
              <w:rPr>
                <w:rFonts w:ascii="宋体" w:hAnsi="宋体"/>
                <w:color w:val="000000"/>
                <w:highlight w:val="none"/>
              </w:rPr>
            </w:pPr>
          </w:p>
        </w:tc>
        <w:tc>
          <w:tcPr>
            <w:tcW w:w="1134" w:type="dxa"/>
            <w:vAlign w:val="top"/>
          </w:tcPr>
          <w:p w14:paraId="03AFF1B6">
            <w:pPr>
              <w:spacing w:line="360" w:lineRule="auto"/>
              <w:rPr>
                <w:rFonts w:ascii="宋体" w:hAnsi="宋体"/>
                <w:color w:val="000000"/>
                <w:highlight w:val="none"/>
              </w:rPr>
            </w:pPr>
          </w:p>
        </w:tc>
        <w:tc>
          <w:tcPr>
            <w:tcW w:w="992" w:type="dxa"/>
            <w:vAlign w:val="top"/>
          </w:tcPr>
          <w:p w14:paraId="282D8F3A">
            <w:pPr>
              <w:spacing w:line="360" w:lineRule="auto"/>
              <w:rPr>
                <w:rFonts w:ascii="宋体" w:hAnsi="宋体"/>
                <w:color w:val="000000"/>
                <w:highlight w:val="none"/>
              </w:rPr>
            </w:pPr>
          </w:p>
        </w:tc>
      </w:tr>
      <w:tr w14:paraId="483F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248305B5">
            <w:pPr>
              <w:spacing w:line="360" w:lineRule="auto"/>
              <w:rPr>
                <w:rFonts w:ascii="宋体" w:hAnsi="宋体"/>
                <w:color w:val="000000"/>
                <w:highlight w:val="none"/>
              </w:rPr>
            </w:pPr>
          </w:p>
        </w:tc>
        <w:tc>
          <w:tcPr>
            <w:tcW w:w="1226" w:type="dxa"/>
            <w:vAlign w:val="top"/>
          </w:tcPr>
          <w:p w14:paraId="4220384C">
            <w:pPr>
              <w:spacing w:line="360" w:lineRule="auto"/>
              <w:rPr>
                <w:rFonts w:ascii="宋体" w:hAnsi="宋体"/>
                <w:color w:val="000000"/>
                <w:highlight w:val="none"/>
              </w:rPr>
            </w:pPr>
          </w:p>
        </w:tc>
        <w:tc>
          <w:tcPr>
            <w:tcW w:w="851" w:type="dxa"/>
            <w:vAlign w:val="top"/>
          </w:tcPr>
          <w:p w14:paraId="4FA40814">
            <w:pPr>
              <w:spacing w:line="360" w:lineRule="auto"/>
              <w:rPr>
                <w:rFonts w:ascii="宋体" w:hAnsi="宋体"/>
                <w:color w:val="000000"/>
                <w:highlight w:val="none"/>
              </w:rPr>
            </w:pPr>
          </w:p>
        </w:tc>
        <w:tc>
          <w:tcPr>
            <w:tcW w:w="708" w:type="dxa"/>
            <w:vAlign w:val="top"/>
          </w:tcPr>
          <w:p w14:paraId="1F1B1111">
            <w:pPr>
              <w:spacing w:line="360" w:lineRule="auto"/>
              <w:rPr>
                <w:rFonts w:ascii="宋体" w:hAnsi="宋体"/>
                <w:color w:val="000000"/>
                <w:highlight w:val="none"/>
              </w:rPr>
            </w:pPr>
          </w:p>
        </w:tc>
        <w:tc>
          <w:tcPr>
            <w:tcW w:w="709" w:type="dxa"/>
            <w:vAlign w:val="top"/>
          </w:tcPr>
          <w:p w14:paraId="022EA97A">
            <w:pPr>
              <w:spacing w:line="360" w:lineRule="auto"/>
              <w:rPr>
                <w:rFonts w:ascii="宋体" w:hAnsi="宋体"/>
                <w:color w:val="000000"/>
                <w:highlight w:val="none"/>
              </w:rPr>
            </w:pPr>
          </w:p>
        </w:tc>
        <w:tc>
          <w:tcPr>
            <w:tcW w:w="851" w:type="dxa"/>
            <w:vAlign w:val="top"/>
          </w:tcPr>
          <w:p w14:paraId="3A9F3BD3">
            <w:pPr>
              <w:spacing w:line="360" w:lineRule="auto"/>
              <w:rPr>
                <w:rFonts w:ascii="宋体" w:hAnsi="宋体"/>
                <w:color w:val="000000"/>
                <w:highlight w:val="none"/>
              </w:rPr>
            </w:pPr>
          </w:p>
        </w:tc>
        <w:tc>
          <w:tcPr>
            <w:tcW w:w="1134" w:type="dxa"/>
            <w:vAlign w:val="top"/>
          </w:tcPr>
          <w:p w14:paraId="5DE79893">
            <w:pPr>
              <w:spacing w:line="360" w:lineRule="auto"/>
              <w:rPr>
                <w:rFonts w:ascii="宋体" w:hAnsi="宋体"/>
                <w:color w:val="000000"/>
                <w:highlight w:val="none"/>
              </w:rPr>
            </w:pPr>
          </w:p>
        </w:tc>
        <w:tc>
          <w:tcPr>
            <w:tcW w:w="992" w:type="dxa"/>
            <w:vAlign w:val="top"/>
          </w:tcPr>
          <w:p w14:paraId="76DA1E28">
            <w:pPr>
              <w:spacing w:line="360" w:lineRule="auto"/>
              <w:rPr>
                <w:rFonts w:ascii="宋体" w:hAnsi="宋体"/>
                <w:color w:val="000000"/>
                <w:highlight w:val="none"/>
              </w:rPr>
            </w:pPr>
          </w:p>
        </w:tc>
        <w:tc>
          <w:tcPr>
            <w:tcW w:w="1134" w:type="dxa"/>
            <w:vAlign w:val="top"/>
          </w:tcPr>
          <w:p w14:paraId="562E1219">
            <w:pPr>
              <w:spacing w:line="360" w:lineRule="auto"/>
              <w:rPr>
                <w:rFonts w:ascii="宋体" w:hAnsi="宋体"/>
                <w:color w:val="000000"/>
                <w:highlight w:val="none"/>
              </w:rPr>
            </w:pPr>
          </w:p>
        </w:tc>
        <w:tc>
          <w:tcPr>
            <w:tcW w:w="992" w:type="dxa"/>
            <w:vAlign w:val="top"/>
          </w:tcPr>
          <w:p w14:paraId="251564D6">
            <w:pPr>
              <w:spacing w:line="360" w:lineRule="auto"/>
              <w:rPr>
                <w:rFonts w:ascii="宋体" w:hAnsi="宋体"/>
                <w:color w:val="000000"/>
                <w:highlight w:val="none"/>
              </w:rPr>
            </w:pPr>
          </w:p>
        </w:tc>
      </w:tr>
      <w:tr w14:paraId="42F7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293ECE08">
            <w:pPr>
              <w:spacing w:line="360" w:lineRule="auto"/>
              <w:rPr>
                <w:rFonts w:ascii="宋体" w:hAnsi="宋体"/>
                <w:color w:val="000000"/>
                <w:highlight w:val="none"/>
              </w:rPr>
            </w:pPr>
          </w:p>
        </w:tc>
        <w:tc>
          <w:tcPr>
            <w:tcW w:w="1226" w:type="dxa"/>
            <w:vAlign w:val="top"/>
          </w:tcPr>
          <w:p w14:paraId="697A204C">
            <w:pPr>
              <w:spacing w:line="360" w:lineRule="auto"/>
              <w:rPr>
                <w:rFonts w:ascii="宋体" w:hAnsi="宋体"/>
                <w:color w:val="000000"/>
                <w:highlight w:val="none"/>
              </w:rPr>
            </w:pPr>
          </w:p>
        </w:tc>
        <w:tc>
          <w:tcPr>
            <w:tcW w:w="851" w:type="dxa"/>
            <w:vAlign w:val="top"/>
          </w:tcPr>
          <w:p w14:paraId="4D7B0C07">
            <w:pPr>
              <w:spacing w:line="360" w:lineRule="auto"/>
              <w:rPr>
                <w:rFonts w:ascii="宋体" w:hAnsi="宋体"/>
                <w:color w:val="000000"/>
                <w:highlight w:val="none"/>
              </w:rPr>
            </w:pPr>
          </w:p>
        </w:tc>
        <w:tc>
          <w:tcPr>
            <w:tcW w:w="708" w:type="dxa"/>
            <w:vAlign w:val="top"/>
          </w:tcPr>
          <w:p w14:paraId="14E69790">
            <w:pPr>
              <w:spacing w:line="360" w:lineRule="auto"/>
              <w:rPr>
                <w:rFonts w:ascii="宋体" w:hAnsi="宋体"/>
                <w:color w:val="000000"/>
                <w:highlight w:val="none"/>
              </w:rPr>
            </w:pPr>
          </w:p>
        </w:tc>
        <w:tc>
          <w:tcPr>
            <w:tcW w:w="709" w:type="dxa"/>
            <w:vAlign w:val="top"/>
          </w:tcPr>
          <w:p w14:paraId="28697B69">
            <w:pPr>
              <w:spacing w:line="360" w:lineRule="auto"/>
              <w:rPr>
                <w:rFonts w:ascii="宋体" w:hAnsi="宋体"/>
                <w:color w:val="000000"/>
                <w:highlight w:val="none"/>
              </w:rPr>
            </w:pPr>
          </w:p>
        </w:tc>
        <w:tc>
          <w:tcPr>
            <w:tcW w:w="851" w:type="dxa"/>
            <w:vAlign w:val="top"/>
          </w:tcPr>
          <w:p w14:paraId="79E5DDBF">
            <w:pPr>
              <w:spacing w:line="360" w:lineRule="auto"/>
              <w:rPr>
                <w:rFonts w:ascii="宋体" w:hAnsi="宋体"/>
                <w:color w:val="000000"/>
                <w:highlight w:val="none"/>
              </w:rPr>
            </w:pPr>
          </w:p>
        </w:tc>
        <w:tc>
          <w:tcPr>
            <w:tcW w:w="1134" w:type="dxa"/>
            <w:vAlign w:val="top"/>
          </w:tcPr>
          <w:p w14:paraId="698EDE8E">
            <w:pPr>
              <w:spacing w:line="360" w:lineRule="auto"/>
              <w:rPr>
                <w:rFonts w:ascii="宋体" w:hAnsi="宋体"/>
                <w:color w:val="000000"/>
                <w:highlight w:val="none"/>
              </w:rPr>
            </w:pPr>
          </w:p>
        </w:tc>
        <w:tc>
          <w:tcPr>
            <w:tcW w:w="992" w:type="dxa"/>
            <w:vAlign w:val="top"/>
          </w:tcPr>
          <w:p w14:paraId="3388DB56">
            <w:pPr>
              <w:spacing w:line="360" w:lineRule="auto"/>
              <w:rPr>
                <w:rFonts w:ascii="宋体" w:hAnsi="宋体"/>
                <w:color w:val="000000"/>
                <w:highlight w:val="none"/>
              </w:rPr>
            </w:pPr>
          </w:p>
        </w:tc>
        <w:tc>
          <w:tcPr>
            <w:tcW w:w="1134" w:type="dxa"/>
            <w:vAlign w:val="top"/>
          </w:tcPr>
          <w:p w14:paraId="3421DEA0">
            <w:pPr>
              <w:spacing w:line="360" w:lineRule="auto"/>
              <w:rPr>
                <w:rFonts w:ascii="宋体" w:hAnsi="宋体"/>
                <w:color w:val="000000"/>
                <w:highlight w:val="none"/>
              </w:rPr>
            </w:pPr>
          </w:p>
        </w:tc>
        <w:tc>
          <w:tcPr>
            <w:tcW w:w="992" w:type="dxa"/>
            <w:vAlign w:val="top"/>
          </w:tcPr>
          <w:p w14:paraId="17FA6363">
            <w:pPr>
              <w:spacing w:line="360" w:lineRule="auto"/>
              <w:rPr>
                <w:rFonts w:ascii="宋体" w:hAnsi="宋体"/>
                <w:color w:val="000000"/>
                <w:highlight w:val="none"/>
              </w:rPr>
            </w:pPr>
          </w:p>
        </w:tc>
      </w:tr>
    </w:tbl>
    <w:p w14:paraId="2A83AA73">
      <w:pPr>
        <w:rPr>
          <w:rFonts w:ascii="宋体" w:hAnsi="宋体"/>
          <w:color w:val="000000"/>
          <w:highlight w:val="none"/>
        </w:rPr>
      </w:pPr>
    </w:p>
    <w:p w14:paraId="41CEEBF2">
      <w:pPr>
        <w:rPr>
          <w:rFonts w:ascii="宋体" w:hAnsi="宋体"/>
          <w:color w:val="000000"/>
          <w:highlight w:val="none"/>
        </w:rPr>
      </w:pPr>
    </w:p>
    <w:p w14:paraId="41AD264B">
      <w:pPr>
        <w:rPr>
          <w:rFonts w:hint="eastAsia" w:ascii="宋体" w:hAnsi="宋体"/>
          <w:color w:val="000000"/>
          <w:highlight w:val="none"/>
        </w:rPr>
      </w:pPr>
      <w:r>
        <w:rPr>
          <w:rFonts w:hint="eastAsia" w:ascii="宋体" w:hAnsi="宋体"/>
          <w:color w:val="000000"/>
          <w:highlight w:val="none"/>
        </w:rPr>
        <w:t>附表二：劳动力计划表</w:t>
      </w:r>
    </w:p>
    <w:p w14:paraId="20EA217E">
      <w:pPr>
        <w:ind w:firstLine="7245" w:firstLineChars="3450"/>
        <w:rPr>
          <w:rFonts w:hint="eastAsia" w:ascii="宋体" w:hAnsi="宋体"/>
          <w:color w:val="000000"/>
          <w:highlight w:val="none"/>
        </w:rPr>
      </w:pPr>
      <w:r>
        <w:rPr>
          <w:rFonts w:hint="eastAsia" w:ascii="宋体" w:hAnsi="宋体"/>
          <w:color w:val="000000"/>
          <w:highlight w:val="none"/>
        </w:rPr>
        <w:t>单位：人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9A8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28965CE">
            <w:pPr>
              <w:spacing w:line="360" w:lineRule="auto"/>
              <w:jc w:val="center"/>
              <w:rPr>
                <w:rFonts w:hint="eastAsia" w:ascii="宋体" w:hAnsi="宋体"/>
                <w:color w:val="000000"/>
                <w:highlight w:val="none"/>
              </w:rPr>
            </w:pPr>
            <w:r>
              <w:rPr>
                <w:rFonts w:hint="eastAsia" w:ascii="宋体" w:hAnsi="宋体"/>
                <w:color w:val="000000"/>
                <w:highlight w:val="none"/>
              </w:rPr>
              <w:t>工种</w:t>
            </w:r>
          </w:p>
        </w:tc>
        <w:tc>
          <w:tcPr>
            <w:tcW w:w="8506" w:type="dxa"/>
            <w:gridSpan w:val="7"/>
            <w:vAlign w:val="center"/>
          </w:tcPr>
          <w:p w14:paraId="4840B5FA">
            <w:pPr>
              <w:spacing w:line="360" w:lineRule="auto"/>
              <w:jc w:val="center"/>
              <w:rPr>
                <w:rFonts w:hint="eastAsia" w:ascii="宋体" w:hAnsi="宋体"/>
                <w:color w:val="000000"/>
                <w:highlight w:val="none"/>
              </w:rPr>
            </w:pPr>
            <w:r>
              <w:rPr>
                <w:rFonts w:hint="eastAsia" w:ascii="宋体" w:hAnsi="宋体"/>
                <w:color w:val="000000"/>
                <w:highlight w:val="none"/>
              </w:rPr>
              <w:t>按工程施工阶段投入劳动力情况</w:t>
            </w:r>
          </w:p>
        </w:tc>
      </w:tr>
      <w:tr w14:paraId="586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C17F650">
            <w:pPr>
              <w:spacing w:line="360" w:lineRule="auto"/>
              <w:jc w:val="center"/>
              <w:rPr>
                <w:rFonts w:ascii="宋体" w:hAnsi="宋体"/>
                <w:color w:val="000000"/>
                <w:highlight w:val="none"/>
              </w:rPr>
            </w:pPr>
          </w:p>
        </w:tc>
        <w:tc>
          <w:tcPr>
            <w:tcW w:w="961" w:type="dxa"/>
            <w:vAlign w:val="center"/>
          </w:tcPr>
          <w:p w14:paraId="7BD2BD02">
            <w:pPr>
              <w:spacing w:line="360" w:lineRule="auto"/>
              <w:jc w:val="center"/>
              <w:rPr>
                <w:rFonts w:ascii="宋体" w:hAnsi="宋体"/>
                <w:color w:val="000000"/>
                <w:highlight w:val="none"/>
              </w:rPr>
            </w:pPr>
          </w:p>
        </w:tc>
        <w:tc>
          <w:tcPr>
            <w:tcW w:w="1257" w:type="dxa"/>
            <w:vAlign w:val="center"/>
          </w:tcPr>
          <w:p w14:paraId="3F49E2F0">
            <w:pPr>
              <w:spacing w:line="360" w:lineRule="auto"/>
              <w:jc w:val="center"/>
              <w:rPr>
                <w:rFonts w:ascii="宋体" w:hAnsi="宋体"/>
                <w:color w:val="000000"/>
                <w:highlight w:val="none"/>
              </w:rPr>
            </w:pPr>
          </w:p>
        </w:tc>
        <w:tc>
          <w:tcPr>
            <w:tcW w:w="1258" w:type="dxa"/>
            <w:vAlign w:val="center"/>
          </w:tcPr>
          <w:p w14:paraId="7A73E057">
            <w:pPr>
              <w:spacing w:line="360" w:lineRule="auto"/>
              <w:jc w:val="center"/>
              <w:rPr>
                <w:rFonts w:ascii="宋体" w:hAnsi="宋体"/>
                <w:color w:val="000000"/>
                <w:highlight w:val="none"/>
              </w:rPr>
            </w:pPr>
          </w:p>
        </w:tc>
        <w:tc>
          <w:tcPr>
            <w:tcW w:w="1257" w:type="dxa"/>
            <w:vAlign w:val="center"/>
          </w:tcPr>
          <w:p w14:paraId="3BC54DD0">
            <w:pPr>
              <w:spacing w:line="360" w:lineRule="auto"/>
              <w:jc w:val="center"/>
              <w:rPr>
                <w:rFonts w:ascii="宋体" w:hAnsi="宋体"/>
                <w:color w:val="000000"/>
                <w:highlight w:val="none"/>
              </w:rPr>
            </w:pPr>
          </w:p>
        </w:tc>
        <w:tc>
          <w:tcPr>
            <w:tcW w:w="1258" w:type="dxa"/>
            <w:vAlign w:val="center"/>
          </w:tcPr>
          <w:p w14:paraId="7124C3E1">
            <w:pPr>
              <w:spacing w:line="360" w:lineRule="auto"/>
              <w:jc w:val="center"/>
              <w:rPr>
                <w:rFonts w:ascii="宋体" w:hAnsi="宋体"/>
                <w:color w:val="000000"/>
                <w:highlight w:val="none"/>
              </w:rPr>
            </w:pPr>
          </w:p>
        </w:tc>
        <w:tc>
          <w:tcPr>
            <w:tcW w:w="1257" w:type="dxa"/>
            <w:vAlign w:val="center"/>
          </w:tcPr>
          <w:p w14:paraId="70AFC32B">
            <w:pPr>
              <w:spacing w:line="360" w:lineRule="auto"/>
              <w:jc w:val="center"/>
              <w:rPr>
                <w:rFonts w:ascii="宋体" w:hAnsi="宋体"/>
                <w:color w:val="000000"/>
                <w:highlight w:val="none"/>
              </w:rPr>
            </w:pPr>
          </w:p>
        </w:tc>
        <w:tc>
          <w:tcPr>
            <w:tcW w:w="1258" w:type="dxa"/>
            <w:vAlign w:val="center"/>
          </w:tcPr>
          <w:p w14:paraId="44CA87E6">
            <w:pPr>
              <w:spacing w:line="360" w:lineRule="auto"/>
              <w:jc w:val="center"/>
              <w:rPr>
                <w:rFonts w:ascii="宋体" w:hAnsi="宋体"/>
                <w:color w:val="000000"/>
                <w:highlight w:val="none"/>
              </w:rPr>
            </w:pPr>
          </w:p>
        </w:tc>
      </w:tr>
      <w:tr w14:paraId="006A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65B991E">
            <w:pPr>
              <w:spacing w:line="360" w:lineRule="auto"/>
              <w:jc w:val="center"/>
              <w:rPr>
                <w:rFonts w:ascii="宋体" w:hAnsi="宋体"/>
                <w:color w:val="000000"/>
                <w:highlight w:val="none"/>
              </w:rPr>
            </w:pPr>
          </w:p>
        </w:tc>
        <w:tc>
          <w:tcPr>
            <w:tcW w:w="961" w:type="dxa"/>
            <w:vAlign w:val="center"/>
          </w:tcPr>
          <w:p w14:paraId="5D348914">
            <w:pPr>
              <w:spacing w:line="360" w:lineRule="auto"/>
              <w:jc w:val="center"/>
              <w:rPr>
                <w:rFonts w:ascii="宋体" w:hAnsi="宋体"/>
                <w:color w:val="000000"/>
                <w:highlight w:val="none"/>
              </w:rPr>
            </w:pPr>
          </w:p>
        </w:tc>
        <w:tc>
          <w:tcPr>
            <w:tcW w:w="1257" w:type="dxa"/>
            <w:vAlign w:val="center"/>
          </w:tcPr>
          <w:p w14:paraId="744830E8">
            <w:pPr>
              <w:spacing w:line="360" w:lineRule="auto"/>
              <w:jc w:val="center"/>
              <w:rPr>
                <w:rFonts w:ascii="宋体" w:hAnsi="宋体"/>
                <w:color w:val="000000"/>
                <w:highlight w:val="none"/>
              </w:rPr>
            </w:pPr>
          </w:p>
        </w:tc>
        <w:tc>
          <w:tcPr>
            <w:tcW w:w="1258" w:type="dxa"/>
            <w:vAlign w:val="center"/>
          </w:tcPr>
          <w:p w14:paraId="17379582">
            <w:pPr>
              <w:spacing w:line="360" w:lineRule="auto"/>
              <w:jc w:val="center"/>
              <w:rPr>
                <w:rFonts w:ascii="宋体" w:hAnsi="宋体"/>
                <w:color w:val="000000"/>
                <w:highlight w:val="none"/>
              </w:rPr>
            </w:pPr>
          </w:p>
        </w:tc>
        <w:tc>
          <w:tcPr>
            <w:tcW w:w="1257" w:type="dxa"/>
            <w:vAlign w:val="center"/>
          </w:tcPr>
          <w:p w14:paraId="7014D526">
            <w:pPr>
              <w:spacing w:line="360" w:lineRule="auto"/>
              <w:jc w:val="center"/>
              <w:rPr>
                <w:rFonts w:ascii="宋体" w:hAnsi="宋体"/>
                <w:color w:val="000000"/>
                <w:highlight w:val="none"/>
              </w:rPr>
            </w:pPr>
          </w:p>
        </w:tc>
        <w:tc>
          <w:tcPr>
            <w:tcW w:w="1258" w:type="dxa"/>
            <w:vAlign w:val="center"/>
          </w:tcPr>
          <w:p w14:paraId="51BBE76F">
            <w:pPr>
              <w:spacing w:line="360" w:lineRule="auto"/>
              <w:jc w:val="center"/>
              <w:rPr>
                <w:rFonts w:ascii="宋体" w:hAnsi="宋体"/>
                <w:color w:val="000000"/>
                <w:highlight w:val="none"/>
              </w:rPr>
            </w:pPr>
          </w:p>
        </w:tc>
        <w:tc>
          <w:tcPr>
            <w:tcW w:w="1257" w:type="dxa"/>
            <w:vAlign w:val="center"/>
          </w:tcPr>
          <w:p w14:paraId="668DD48D">
            <w:pPr>
              <w:spacing w:line="360" w:lineRule="auto"/>
              <w:jc w:val="center"/>
              <w:rPr>
                <w:rFonts w:ascii="宋体" w:hAnsi="宋体"/>
                <w:color w:val="000000"/>
                <w:highlight w:val="none"/>
              </w:rPr>
            </w:pPr>
          </w:p>
        </w:tc>
        <w:tc>
          <w:tcPr>
            <w:tcW w:w="1258" w:type="dxa"/>
            <w:vAlign w:val="center"/>
          </w:tcPr>
          <w:p w14:paraId="50A85B7B">
            <w:pPr>
              <w:spacing w:line="360" w:lineRule="auto"/>
              <w:jc w:val="center"/>
              <w:rPr>
                <w:rFonts w:ascii="宋体" w:hAnsi="宋体"/>
                <w:color w:val="000000"/>
                <w:highlight w:val="none"/>
              </w:rPr>
            </w:pPr>
          </w:p>
        </w:tc>
      </w:tr>
      <w:tr w14:paraId="423B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472B5C3">
            <w:pPr>
              <w:spacing w:line="360" w:lineRule="auto"/>
              <w:jc w:val="center"/>
              <w:rPr>
                <w:rFonts w:ascii="宋体" w:hAnsi="宋体"/>
                <w:color w:val="000000"/>
                <w:highlight w:val="none"/>
              </w:rPr>
            </w:pPr>
          </w:p>
        </w:tc>
        <w:tc>
          <w:tcPr>
            <w:tcW w:w="961" w:type="dxa"/>
            <w:vAlign w:val="center"/>
          </w:tcPr>
          <w:p w14:paraId="5C3A8EE1">
            <w:pPr>
              <w:spacing w:line="360" w:lineRule="auto"/>
              <w:jc w:val="center"/>
              <w:rPr>
                <w:rFonts w:ascii="宋体" w:hAnsi="宋体"/>
                <w:color w:val="000000"/>
                <w:highlight w:val="none"/>
              </w:rPr>
            </w:pPr>
          </w:p>
        </w:tc>
        <w:tc>
          <w:tcPr>
            <w:tcW w:w="1257" w:type="dxa"/>
            <w:vAlign w:val="center"/>
          </w:tcPr>
          <w:p w14:paraId="019F7592">
            <w:pPr>
              <w:spacing w:line="360" w:lineRule="auto"/>
              <w:jc w:val="center"/>
              <w:rPr>
                <w:rFonts w:ascii="宋体" w:hAnsi="宋体"/>
                <w:color w:val="000000"/>
                <w:highlight w:val="none"/>
              </w:rPr>
            </w:pPr>
          </w:p>
        </w:tc>
        <w:tc>
          <w:tcPr>
            <w:tcW w:w="1258" w:type="dxa"/>
            <w:vAlign w:val="center"/>
          </w:tcPr>
          <w:p w14:paraId="269B310C">
            <w:pPr>
              <w:spacing w:line="360" w:lineRule="auto"/>
              <w:jc w:val="center"/>
              <w:rPr>
                <w:rFonts w:ascii="宋体" w:hAnsi="宋体"/>
                <w:color w:val="000000"/>
                <w:highlight w:val="none"/>
              </w:rPr>
            </w:pPr>
          </w:p>
        </w:tc>
        <w:tc>
          <w:tcPr>
            <w:tcW w:w="1257" w:type="dxa"/>
            <w:vAlign w:val="center"/>
          </w:tcPr>
          <w:p w14:paraId="2BAC1D4A">
            <w:pPr>
              <w:spacing w:line="360" w:lineRule="auto"/>
              <w:jc w:val="center"/>
              <w:rPr>
                <w:rFonts w:ascii="宋体" w:hAnsi="宋体"/>
                <w:color w:val="000000"/>
                <w:highlight w:val="none"/>
              </w:rPr>
            </w:pPr>
          </w:p>
        </w:tc>
        <w:tc>
          <w:tcPr>
            <w:tcW w:w="1258" w:type="dxa"/>
            <w:vAlign w:val="center"/>
          </w:tcPr>
          <w:p w14:paraId="12EC3A4F">
            <w:pPr>
              <w:spacing w:line="360" w:lineRule="auto"/>
              <w:jc w:val="center"/>
              <w:rPr>
                <w:rFonts w:ascii="宋体" w:hAnsi="宋体"/>
                <w:color w:val="000000"/>
                <w:highlight w:val="none"/>
              </w:rPr>
            </w:pPr>
          </w:p>
        </w:tc>
        <w:tc>
          <w:tcPr>
            <w:tcW w:w="1257" w:type="dxa"/>
            <w:vAlign w:val="center"/>
          </w:tcPr>
          <w:p w14:paraId="126A511F">
            <w:pPr>
              <w:spacing w:line="360" w:lineRule="auto"/>
              <w:jc w:val="center"/>
              <w:rPr>
                <w:rFonts w:ascii="宋体" w:hAnsi="宋体"/>
                <w:color w:val="000000"/>
                <w:highlight w:val="none"/>
              </w:rPr>
            </w:pPr>
          </w:p>
        </w:tc>
        <w:tc>
          <w:tcPr>
            <w:tcW w:w="1258" w:type="dxa"/>
            <w:vAlign w:val="center"/>
          </w:tcPr>
          <w:p w14:paraId="7B9BB110">
            <w:pPr>
              <w:spacing w:line="360" w:lineRule="auto"/>
              <w:jc w:val="center"/>
              <w:rPr>
                <w:rFonts w:ascii="宋体" w:hAnsi="宋体"/>
                <w:color w:val="000000"/>
                <w:highlight w:val="none"/>
              </w:rPr>
            </w:pPr>
          </w:p>
        </w:tc>
      </w:tr>
      <w:tr w14:paraId="1081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2362412">
            <w:pPr>
              <w:spacing w:line="360" w:lineRule="auto"/>
              <w:jc w:val="center"/>
              <w:rPr>
                <w:rFonts w:ascii="宋体" w:hAnsi="宋体"/>
                <w:color w:val="000000"/>
                <w:highlight w:val="none"/>
              </w:rPr>
            </w:pPr>
          </w:p>
        </w:tc>
        <w:tc>
          <w:tcPr>
            <w:tcW w:w="961" w:type="dxa"/>
            <w:vAlign w:val="center"/>
          </w:tcPr>
          <w:p w14:paraId="08BC9594">
            <w:pPr>
              <w:spacing w:line="360" w:lineRule="auto"/>
              <w:jc w:val="center"/>
              <w:rPr>
                <w:rFonts w:ascii="宋体" w:hAnsi="宋体"/>
                <w:color w:val="000000"/>
                <w:highlight w:val="none"/>
              </w:rPr>
            </w:pPr>
          </w:p>
        </w:tc>
        <w:tc>
          <w:tcPr>
            <w:tcW w:w="1257" w:type="dxa"/>
            <w:vAlign w:val="center"/>
          </w:tcPr>
          <w:p w14:paraId="3C414911">
            <w:pPr>
              <w:spacing w:line="360" w:lineRule="auto"/>
              <w:jc w:val="center"/>
              <w:rPr>
                <w:rFonts w:ascii="宋体" w:hAnsi="宋体"/>
                <w:color w:val="000000"/>
                <w:highlight w:val="none"/>
              </w:rPr>
            </w:pPr>
          </w:p>
        </w:tc>
        <w:tc>
          <w:tcPr>
            <w:tcW w:w="1258" w:type="dxa"/>
            <w:vAlign w:val="center"/>
          </w:tcPr>
          <w:p w14:paraId="39C63F34">
            <w:pPr>
              <w:spacing w:line="360" w:lineRule="auto"/>
              <w:jc w:val="center"/>
              <w:rPr>
                <w:rFonts w:ascii="宋体" w:hAnsi="宋体"/>
                <w:color w:val="000000"/>
                <w:highlight w:val="none"/>
              </w:rPr>
            </w:pPr>
          </w:p>
        </w:tc>
        <w:tc>
          <w:tcPr>
            <w:tcW w:w="1257" w:type="dxa"/>
            <w:vAlign w:val="center"/>
          </w:tcPr>
          <w:p w14:paraId="701F5D83">
            <w:pPr>
              <w:spacing w:line="360" w:lineRule="auto"/>
              <w:jc w:val="center"/>
              <w:rPr>
                <w:rFonts w:ascii="宋体" w:hAnsi="宋体"/>
                <w:color w:val="000000"/>
                <w:highlight w:val="none"/>
              </w:rPr>
            </w:pPr>
          </w:p>
        </w:tc>
        <w:tc>
          <w:tcPr>
            <w:tcW w:w="1258" w:type="dxa"/>
            <w:vAlign w:val="center"/>
          </w:tcPr>
          <w:p w14:paraId="1BC1C5CD">
            <w:pPr>
              <w:spacing w:line="360" w:lineRule="auto"/>
              <w:jc w:val="center"/>
              <w:rPr>
                <w:rFonts w:ascii="宋体" w:hAnsi="宋体"/>
                <w:color w:val="000000"/>
                <w:highlight w:val="none"/>
              </w:rPr>
            </w:pPr>
          </w:p>
        </w:tc>
        <w:tc>
          <w:tcPr>
            <w:tcW w:w="1257" w:type="dxa"/>
            <w:vAlign w:val="center"/>
          </w:tcPr>
          <w:p w14:paraId="42EED332">
            <w:pPr>
              <w:spacing w:line="360" w:lineRule="auto"/>
              <w:jc w:val="center"/>
              <w:rPr>
                <w:rFonts w:ascii="宋体" w:hAnsi="宋体"/>
                <w:color w:val="000000"/>
                <w:highlight w:val="none"/>
              </w:rPr>
            </w:pPr>
          </w:p>
        </w:tc>
        <w:tc>
          <w:tcPr>
            <w:tcW w:w="1258" w:type="dxa"/>
            <w:vAlign w:val="center"/>
          </w:tcPr>
          <w:p w14:paraId="13FE05FE">
            <w:pPr>
              <w:spacing w:line="360" w:lineRule="auto"/>
              <w:jc w:val="center"/>
              <w:rPr>
                <w:rFonts w:ascii="宋体" w:hAnsi="宋体"/>
                <w:color w:val="000000"/>
                <w:highlight w:val="none"/>
              </w:rPr>
            </w:pPr>
          </w:p>
        </w:tc>
      </w:tr>
      <w:tr w14:paraId="185B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20683B0">
            <w:pPr>
              <w:spacing w:line="360" w:lineRule="auto"/>
              <w:jc w:val="center"/>
              <w:rPr>
                <w:rFonts w:ascii="宋体" w:hAnsi="宋体"/>
                <w:color w:val="000000"/>
                <w:highlight w:val="none"/>
              </w:rPr>
            </w:pPr>
          </w:p>
        </w:tc>
        <w:tc>
          <w:tcPr>
            <w:tcW w:w="961" w:type="dxa"/>
            <w:vAlign w:val="center"/>
          </w:tcPr>
          <w:p w14:paraId="5984157B">
            <w:pPr>
              <w:spacing w:line="360" w:lineRule="auto"/>
              <w:jc w:val="center"/>
              <w:rPr>
                <w:rFonts w:ascii="宋体" w:hAnsi="宋体"/>
                <w:color w:val="000000"/>
                <w:highlight w:val="none"/>
              </w:rPr>
            </w:pPr>
          </w:p>
        </w:tc>
        <w:tc>
          <w:tcPr>
            <w:tcW w:w="1257" w:type="dxa"/>
            <w:vAlign w:val="center"/>
          </w:tcPr>
          <w:p w14:paraId="0D95317D">
            <w:pPr>
              <w:spacing w:line="360" w:lineRule="auto"/>
              <w:jc w:val="center"/>
              <w:rPr>
                <w:rFonts w:ascii="宋体" w:hAnsi="宋体"/>
                <w:color w:val="000000"/>
                <w:highlight w:val="none"/>
              </w:rPr>
            </w:pPr>
          </w:p>
        </w:tc>
        <w:tc>
          <w:tcPr>
            <w:tcW w:w="1258" w:type="dxa"/>
            <w:vAlign w:val="center"/>
          </w:tcPr>
          <w:p w14:paraId="725B7390">
            <w:pPr>
              <w:spacing w:line="360" w:lineRule="auto"/>
              <w:jc w:val="center"/>
              <w:rPr>
                <w:rFonts w:ascii="宋体" w:hAnsi="宋体"/>
                <w:color w:val="000000"/>
                <w:highlight w:val="none"/>
              </w:rPr>
            </w:pPr>
          </w:p>
        </w:tc>
        <w:tc>
          <w:tcPr>
            <w:tcW w:w="1257" w:type="dxa"/>
            <w:vAlign w:val="center"/>
          </w:tcPr>
          <w:p w14:paraId="3CBD14F3">
            <w:pPr>
              <w:spacing w:line="360" w:lineRule="auto"/>
              <w:jc w:val="center"/>
              <w:rPr>
                <w:rFonts w:ascii="宋体" w:hAnsi="宋体"/>
                <w:color w:val="000000"/>
                <w:highlight w:val="none"/>
              </w:rPr>
            </w:pPr>
          </w:p>
        </w:tc>
        <w:tc>
          <w:tcPr>
            <w:tcW w:w="1258" w:type="dxa"/>
            <w:vAlign w:val="center"/>
          </w:tcPr>
          <w:p w14:paraId="2ACF20C3">
            <w:pPr>
              <w:spacing w:line="360" w:lineRule="auto"/>
              <w:jc w:val="center"/>
              <w:rPr>
                <w:rFonts w:ascii="宋体" w:hAnsi="宋体"/>
                <w:color w:val="000000"/>
                <w:highlight w:val="none"/>
              </w:rPr>
            </w:pPr>
          </w:p>
        </w:tc>
        <w:tc>
          <w:tcPr>
            <w:tcW w:w="1257" w:type="dxa"/>
            <w:vAlign w:val="center"/>
          </w:tcPr>
          <w:p w14:paraId="61B3B9F0">
            <w:pPr>
              <w:spacing w:line="360" w:lineRule="auto"/>
              <w:jc w:val="center"/>
              <w:rPr>
                <w:rFonts w:ascii="宋体" w:hAnsi="宋体"/>
                <w:color w:val="000000"/>
                <w:highlight w:val="none"/>
              </w:rPr>
            </w:pPr>
          </w:p>
        </w:tc>
        <w:tc>
          <w:tcPr>
            <w:tcW w:w="1258" w:type="dxa"/>
            <w:vAlign w:val="center"/>
          </w:tcPr>
          <w:p w14:paraId="285A05FB">
            <w:pPr>
              <w:spacing w:line="360" w:lineRule="auto"/>
              <w:jc w:val="center"/>
              <w:rPr>
                <w:rFonts w:ascii="宋体" w:hAnsi="宋体"/>
                <w:color w:val="000000"/>
                <w:highlight w:val="none"/>
              </w:rPr>
            </w:pPr>
          </w:p>
        </w:tc>
      </w:tr>
      <w:tr w14:paraId="3802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DFFF0ED">
            <w:pPr>
              <w:spacing w:line="360" w:lineRule="auto"/>
              <w:jc w:val="center"/>
              <w:rPr>
                <w:rFonts w:ascii="宋体" w:hAnsi="宋体"/>
                <w:color w:val="000000"/>
                <w:highlight w:val="none"/>
              </w:rPr>
            </w:pPr>
          </w:p>
        </w:tc>
        <w:tc>
          <w:tcPr>
            <w:tcW w:w="961" w:type="dxa"/>
            <w:vAlign w:val="center"/>
          </w:tcPr>
          <w:p w14:paraId="2BCA3848">
            <w:pPr>
              <w:spacing w:line="360" w:lineRule="auto"/>
              <w:jc w:val="center"/>
              <w:rPr>
                <w:rFonts w:ascii="宋体" w:hAnsi="宋体"/>
                <w:color w:val="000000"/>
                <w:highlight w:val="none"/>
              </w:rPr>
            </w:pPr>
          </w:p>
        </w:tc>
        <w:tc>
          <w:tcPr>
            <w:tcW w:w="1257" w:type="dxa"/>
            <w:vAlign w:val="center"/>
          </w:tcPr>
          <w:p w14:paraId="7854E3A3">
            <w:pPr>
              <w:spacing w:line="360" w:lineRule="auto"/>
              <w:jc w:val="center"/>
              <w:rPr>
                <w:rFonts w:ascii="宋体" w:hAnsi="宋体"/>
                <w:color w:val="000000"/>
                <w:highlight w:val="none"/>
              </w:rPr>
            </w:pPr>
          </w:p>
        </w:tc>
        <w:tc>
          <w:tcPr>
            <w:tcW w:w="1258" w:type="dxa"/>
            <w:vAlign w:val="center"/>
          </w:tcPr>
          <w:p w14:paraId="5C761DB4">
            <w:pPr>
              <w:spacing w:line="360" w:lineRule="auto"/>
              <w:jc w:val="center"/>
              <w:rPr>
                <w:rFonts w:ascii="宋体" w:hAnsi="宋体"/>
                <w:color w:val="000000"/>
                <w:highlight w:val="none"/>
              </w:rPr>
            </w:pPr>
          </w:p>
        </w:tc>
        <w:tc>
          <w:tcPr>
            <w:tcW w:w="1257" w:type="dxa"/>
            <w:vAlign w:val="center"/>
          </w:tcPr>
          <w:p w14:paraId="557067F1">
            <w:pPr>
              <w:spacing w:line="360" w:lineRule="auto"/>
              <w:jc w:val="center"/>
              <w:rPr>
                <w:rFonts w:ascii="宋体" w:hAnsi="宋体"/>
                <w:color w:val="000000"/>
                <w:highlight w:val="none"/>
              </w:rPr>
            </w:pPr>
          </w:p>
        </w:tc>
        <w:tc>
          <w:tcPr>
            <w:tcW w:w="1258" w:type="dxa"/>
            <w:vAlign w:val="center"/>
          </w:tcPr>
          <w:p w14:paraId="326A62BD">
            <w:pPr>
              <w:spacing w:line="360" w:lineRule="auto"/>
              <w:jc w:val="center"/>
              <w:rPr>
                <w:rFonts w:ascii="宋体" w:hAnsi="宋体"/>
                <w:color w:val="000000"/>
                <w:highlight w:val="none"/>
              </w:rPr>
            </w:pPr>
          </w:p>
        </w:tc>
        <w:tc>
          <w:tcPr>
            <w:tcW w:w="1257" w:type="dxa"/>
            <w:vAlign w:val="center"/>
          </w:tcPr>
          <w:p w14:paraId="24AF714C">
            <w:pPr>
              <w:spacing w:line="360" w:lineRule="auto"/>
              <w:jc w:val="center"/>
              <w:rPr>
                <w:rFonts w:ascii="宋体" w:hAnsi="宋体"/>
                <w:color w:val="000000"/>
                <w:highlight w:val="none"/>
              </w:rPr>
            </w:pPr>
          </w:p>
        </w:tc>
        <w:tc>
          <w:tcPr>
            <w:tcW w:w="1258" w:type="dxa"/>
            <w:vAlign w:val="center"/>
          </w:tcPr>
          <w:p w14:paraId="02306EB7">
            <w:pPr>
              <w:spacing w:line="360" w:lineRule="auto"/>
              <w:jc w:val="center"/>
              <w:rPr>
                <w:rFonts w:ascii="宋体" w:hAnsi="宋体"/>
                <w:color w:val="000000"/>
                <w:highlight w:val="none"/>
              </w:rPr>
            </w:pPr>
          </w:p>
        </w:tc>
      </w:tr>
      <w:tr w14:paraId="0915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3092271">
            <w:pPr>
              <w:spacing w:line="360" w:lineRule="auto"/>
              <w:jc w:val="center"/>
              <w:rPr>
                <w:rFonts w:ascii="宋体" w:hAnsi="宋体"/>
                <w:color w:val="000000"/>
                <w:highlight w:val="none"/>
              </w:rPr>
            </w:pPr>
          </w:p>
        </w:tc>
        <w:tc>
          <w:tcPr>
            <w:tcW w:w="961" w:type="dxa"/>
            <w:vAlign w:val="center"/>
          </w:tcPr>
          <w:p w14:paraId="04D97A0C">
            <w:pPr>
              <w:spacing w:line="360" w:lineRule="auto"/>
              <w:jc w:val="center"/>
              <w:rPr>
                <w:rFonts w:ascii="宋体" w:hAnsi="宋体"/>
                <w:color w:val="000000"/>
                <w:highlight w:val="none"/>
              </w:rPr>
            </w:pPr>
          </w:p>
        </w:tc>
        <w:tc>
          <w:tcPr>
            <w:tcW w:w="1257" w:type="dxa"/>
            <w:vAlign w:val="center"/>
          </w:tcPr>
          <w:p w14:paraId="5E4EDC12">
            <w:pPr>
              <w:spacing w:line="360" w:lineRule="auto"/>
              <w:jc w:val="center"/>
              <w:rPr>
                <w:rFonts w:ascii="宋体" w:hAnsi="宋体"/>
                <w:color w:val="000000"/>
                <w:highlight w:val="none"/>
              </w:rPr>
            </w:pPr>
          </w:p>
        </w:tc>
        <w:tc>
          <w:tcPr>
            <w:tcW w:w="1258" w:type="dxa"/>
            <w:vAlign w:val="center"/>
          </w:tcPr>
          <w:p w14:paraId="34BD799D">
            <w:pPr>
              <w:spacing w:line="360" w:lineRule="auto"/>
              <w:jc w:val="center"/>
              <w:rPr>
                <w:rFonts w:ascii="宋体" w:hAnsi="宋体"/>
                <w:color w:val="000000"/>
                <w:highlight w:val="none"/>
              </w:rPr>
            </w:pPr>
          </w:p>
        </w:tc>
        <w:tc>
          <w:tcPr>
            <w:tcW w:w="1257" w:type="dxa"/>
            <w:vAlign w:val="center"/>
          </w:tcPr>
          <w:p w14:paraId="23C77046">
            <w:pPr>
              <w:spacing w:line="360" w:lineRule="auto"/>
              <w:jc w:val="center"/>
              <w:rPr>
                <w:rFonts w:ascii="宋体" w:hAnsi="宋体"/>
                <w:color w:val="000000"/>
                <w:highlight w:val="none"/>
              </w:rPr>
            </w:pPr>
          </w:p>
        </w:tc>
        <w:tc>
          <w:tcPr>
            <w:tcW w:w="1258" w:type="dxa"/>
            <w:vAlign w:val="center"/>
          </w:tcPr>
          <w:p w14:paraId="721645D7">
            <w:pPr>
              <w:spacing w:line="360" w:lineRule="auto"/>
              <w:jc w:val="center"/>
              <w:rPr>
                <w:rFonts w:ascii="宋体" w:hAnsi="宋体"/>
                <w:color w:val="000000"/>
                <w:highlight w:val="none"/>
              </w:rPr>
            </w:pPr>
          </w:p>
        </w:tc>
        <w:tc>
          <w:tcPr>
            <w:tcW w:w="1257" w:type="dxa"/>
            <w:vAlign w:val="center"/>
          </w:tcPr>
          <w:p w14:paraId="0F1B781F">
            <w:pPr>
              <w:spacing w:line="360" w:lineRule="auto"/>
              <w:jc w:val="center"/>
              <w:rPr>
                <w:rFonts w:ascii="宋体" w:hAnsi="宋体"/>
                <w:color w:val="000000"/>
                <w:highlight w:val="none"/>
              </w:rPr>
            </w:pPr>
          </w:p>
        </w:tc>
        <w:tc>
          <w:tcPr>
            <w:tcW w:w="1258" w:type="dxa"/>
            <w:vAlign w:val="center"/>
          </w:tcPr>
          <w:p w14:paraId="6C3476EA">
            <w:pPr>
              <w:spacing w:line="360" w:lineRule="auto"/>
              <w:jc w:val="center"/>
              <w:rPr>
                <w:rFonts w:ascii="宋体" w:hAnsi="宋体"/>
                <w:color w:val="000000"/>
                <w:highlight w:val="none"/>
              </w:rPr>
            </w:pPr>
          </w:p>
        </w:tc>
      </w:tr>
    </w:tbl>
    <w:p w14:paraId="0D6ADD0D">
      <w:pPr>
        <w:rPr>
          <w:rFonts w:ascii="宋体" w:hAnsi="宋体"/>
          <w:color w:val="000000"/>
          <w:highlight w:val="none"/>
        </w:rPr>
      </w:pPr>
    </w:p>
    <w:p w14:paraId="57AF34E2">
      <w:pPr>
        <w:rPr>
          <w:rFonts w:ascii="宋体" w:hAnsi="宋体"/>
          <w:b/>
          <w:bCs/>
          <w:color w:val="000000"/>
          <w:highlight w:val="none"/>
        </w:rPr>
      </w:pPr>
    </w:p>
    <w:p w14:paraId="3E37776F">
      <w:pPr>
        <w:rPr>
          <w:rFonts w:ascii="宋体" w:hAnsi="宋体"/>
          <w:color w:val="000000"/>
          <w:highlight w:val="none"/>
        </w:rPr>
      </w:pPr>
    </w:p>
    <w:p w14:paraId="7989138E">
      <w:pPr>
        <w:rPr>
          <w:rFonts w:hint="eastAsia" w:ascii="宋体" w:hAnsi="宋体"/>
          <w:color w:val="000000"/>
          <w:highlight w:val="none"/>
        </w:rPr>
      </w:pPr>
      <w:r>
        <w:rPr>
          <w:rFonts w:hint="eastAsia" w:ascii="宋体" w:hAnsi="宋体"/>
          <w:color w:val="000000"/>
          <w:highlight w:val="none"/>
        </w:rPr>
        <w:t>附表三：计划开、竣工日期和施工进度计划（网络图或横道图）</w:t>
      </w:r>
    </w:p>
    <w:p w14:paraId="1856F29A">
      <w:pPr>
        <w:spacing w:line="460" w:lineRule="exact"/>
        <w:ind w:left="-6" w:firstLine="420"/>
        <w:rPr>
          <w:rFonts w:hint="eastAsia" w:ascii="宋体" w:hAnsi="宋体"/>
          <w:color w:val="000000"/>
          <w:highlight w:val="none"/>
        </w:rPr>
      </w:pPr>
      <w:r>
        <w:rPr>
          <w:rFonts w:hint="eastAsia" w:ascii="宋体" w:hAnsi="宋体"/>
          <w:color w:val="000000"/>
          <w:highlight w:val="none"/>
        </w:rPr>
        <w:t>1. 供应商应提交施工进度计划，说明按磋商文件要求的工期进行施工的各个关键日期。成交的供应商还应按合同条件有关条款的要求提交详细的施工进度计划。</w:t>
      </w:r>
    </w:p>
    <w:p w14:paraId="065882E0">
      <w:pPr>
        <w:spacing w:line="460" w:lineRule="exact"/>
        <w:ind w:left="-6" w:firstLine="420"/>
        <w:rPr>
          <w:rFonts w:hint="eastAsia" w:ascii="宋体" w:hAnsi="宋体"/>
          <w:color w:val="000000"/>
          <w:highlight w:val="none"/>
        </w:rPr>
      </w:pPr>
      <w:r>
        <w:rPr>
          <w:rFonts w:hint="eastAsia" w:ascii="宋体" w:hAnsi="宋体"/>
          <w:color w:val="000000"/>
          <w:highlight w:val="none"/>
        </w:rPr>
        <w:t>2. 施工进度计划可采用网络图（或横道图）表示，说明计划开工日期和各分项工程各阶段的完工日期和分包合同签订的日期。</w:t>
      </w:r>
    </w:p>
    <w:p w14:paraId="4D461AC6">
      <w:pPr>
        <w:spacing w:line="460" w:lineRule="exact"/>
        <w:ind w:left="-6" w:firstLine="420"/>
        <w:rPr>
          <w:rFonts w:hint="eastAsia" w:ascii="宋体" w:hAnsi="宋体"/>
          <w:color w:val="000000"/>
          <w:highlight w:val="none"/>
        </w:rPr>
      </w:pPr>
      <w:r>
        <w:rPr>
          <w:rFonts w:hint="eastAsia" w:ascii="宋体" w:hAnsi="宋体"/>
          <w:color w:val="000000"/>
          <w:highlight w:val="none"/>
        </w:rPr>
        <w:t>3. 施工进度计划应与施工组织设计相适应。</w:t>
      </w:r>
    </w:p>
    <w:p w14:paraId="3C276836">
      <w:pPr>
        <w:pStyle w:val="124"/>
        <w:jc w:val="center"/>
        <w:rPr>
          <w:rFonts w:hint="eastAsia" w:ascii="宋体" w:hAnsi="宋体"/>
          <w:color w:val="000000"/>
          <w:highlight w:val="none"/>
        </w:rPr>
      </w:pPr>
      <w:r>
        <w:rPr>
          <w:rFonts w:hint="eastAsia" w:ascii="宋体" w:hAnsi="宋体"/>
          <w:color w:val="000000"/>
          <w:highlight w:val="none"/>
        </w:rPr>
        <w:br w:type="page"/>
      </w:r>
      <w:r>
        <w:rPr>
          <w:rFonts w:hint="eastAsia" w:ascii="宋体" w:hAnsi="宋体"/>
          <w:b/>
          <w:bCs/>
          <w:color w:val="000000"/>
          <w:sz w:val="24"/>
          <w:szCs w:val="24"/>
          <w:highlight w:val="none"/>
        </w:rPr>
        <w:t>项目管理机构配备情况表</w:t>
      </w:r>
    </w:p>
    <w:p w14:paraId="72955C79">
      <w:pPr>
        <w:pStyle w:val="124"/>
        <w:rPr>
          <w:rFonts w:ascii="宋体" w:hAnsi="宋体"/>
          <w:color w:val="000000"/>
          <w:highlight w:val="none"/>
          <w:u w:val="single"/>
        </w:rPr>
      </w:pPr>
    </w:p>
    <w:p w14:paraId="2DB79A0B">
      <w:pPr>
        <w:pStyle w:val="124"/>
        <w:rPr>
          <w:rFonts w:hint="eastAsia" w:ascii="宋体" w:hAnsi="宋体"/>
          <w:color w:val="000000"/>
          <w:highlight w:val="none"/>
        </w:rPr>
      </w:pPr>
      <w:r>
        <w:rPr>
          <w:rFonts w:hint="eastAsia" w:ascii="宋体" w:hAnsi="宋体"/>
          <w:color w:val="000000"/>
          <w:highlight w:val="none"/>
        </w:rPr>
        <w:t>项目名称：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D50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0EDA0F2F">
            <w:pPr>
              <w:ind w:left="223" w:hanging="222" w:hangingChars="106"/>
              <w:jc w:val="center"/>
              <w:rPr>
                <w:rFonts w:hint="eastAsia" w:ascii="宋体" w:hAnsi="宋体"/>
                <w:color w:val="000000"/>
                <w:highlight w:val="none"/>
              </w:rPr>
            </w:pPr>
            <w:r>
              <w:rPr>
                <w:rFonts w:hint="eastAsia" w:ascii="宋体" w:hAnsi="宋体"/>
                <w:color w:val="000000"/>
                <w:highlight w:val="none"/>
              </w:rPr>
              <w:t>岗位</w:t>
            </w:r>
          </w:p>
        </w:tc>
        <w:tc>
          <w:tcPr>
            <w:tcW w:w="829" w:type="dxa"/>
            <w:vMerge w:val="restart"/>
            <w:vAlign w:val="center"/>
          </w:tcPr>
          <w:p w14:paraId="18E96091">
            <w:pPr>
              <w:ind w:left="223" w:hanging="222" w:hangingChars="106"/>
              <w:jc w:val="center"/>
              <w:rPr>
                <w:rFonts w:hint="eastAsia" w:ascii="宋体" w:hAnsi="宋体"/>
                <w:color w:val="000000"/>
                <w:highlight w:val="none"/>
              </w:rPr>
            </w:pPr>
            <w:bookmarkStart w:id="970" w:name="_Toc251052187"/>
            <w:r>
              <w:rPr>
                <w:rFonts w:hint="eastAsia" w:ascii="宋体" w:hAnsi="宋体"/>
                <w:color w:val="000000"/>
                <w:highlight w:val="none"/>
              </w:rPr>
              <w:t>姓名</w:t>
            </w:r>
            <w:bookmarkEnd w:id="970"/>
          </w:p>
        </w:tc>
        <w:tc>
          <w:tcPr>
            <w:tcW w:w="816" w:type="dxa"/>
            <w:vMerge w:val="restart"/>
            <w:vAlign w:val="center"/>
          </w:tcPr>
          <w:p w14:paraId="6E126546">
            <w:pPr>
              <w:ind w:left="223" w:hanging="222" w:hangingChars="106"/>
              <w:jc w:val="center"/>
              <w:rPr>
                <w:rFonts w:hint="eastAsia" w:ascii="宋体" w:hAnsi="宋体"/>
                <w:color w:val="000000"/>
                <w:highlight w:val="none"/>
              </w:rPr>
            </w:pPr>
            <w:bookmarkStart w:id="971" w:name="_Toc251052188"/>
            <w:r>
              <w:rPr>
                <w:rFonts w:hint="eastAsia" w:ascii="宋体" w:hAnsi="宋体"/>
                <w:color w:val="000000"/>
                <w:highlight w:val="none"/>
              </w:rPr>
              <w:t>职称</w:t>
            </w:r>
            <w:bookmarkEnd w:id="971"/>
          </w:p>
        </w:tc>
        <w:tc>
          <w:tcPr>
            <w:tcW w:w="4592" w:type="dxa"/>
            <w:gridSpan w:val="4"/>
            <w:vAlign w:val="center"/>
          </w:tcPr>
          <w:p w14:paraId="57A39ABC">
            <w:pPr>
              <w:ind w:left="223" w:hanging="222" w:hangingChars="106"/>
              <w:jc w:val="center"/>
              <w:rPr>
                <w:rFonts w:hint="eastAsia" w:ascii="宋体" w:hAnsi="宋体"/>
                <w:color w:val="000000"/>
                <w:highlight w:val="none"/>
              </w:rPr>
            </w:pPr>
            <w:bookmarkStart w:id="972" w:name="_Toc251052189"/>
            <w:r>
              <w:rPr>
                <w:rFonts w:hint="eastAsia" w:ascii="宋体" w:hAnsi="宋体"/>
                <w:color w:val="000000"/>
                <w:highlight w:val="none"/>
              </w:rPr>
              <w:t>执业或职业资格证明</w:t>
            </w:r>
            <w:bookmarkEnd w:id="972"/>
          </w:p>
        </w:tc>
        <w:tc>
          <w:tcPr>
            <w:tcW w:w="2126" w:type="dxa"/>
            <w:gridSpan w:val="2"/>
            <w:vAlign w:val="center"/>
          </w:tcPr>
          <w:p w14:paraId="3C51557F">
            <w:pPr>
              <w:ind w:left="223" w:hanging="222" w:hangingChars="106"/>
              <w:jc w:val="center"/>
              <w:rPr>
                <w:rFonts w:hint="eastAsia" w:ascii="宋体" w:hAnsi="宋体"/>
                <w:color w:val="000000"/>
                <w:highlight w:val="none"/>
              </w:rPr>
            </w:pPr>
            <w:bookmarkStart w:id="973" w:name="_Toc251052190"/>
            <w:r>
              <w:rPr>
                <w:rFonts w:hint="eastAsia" w:ascii="宋体" w:hAnsi="宋体"/>
                <w:color w:val="000000"/>
                <w:highlight w:val="none"/>
              </w:rPr>
              <w:t>承担完工</w:t>
            </w:r>
            <w:bookmarkEnd w:id="973"/>
            <w:bookmarkStart w:id="974" w:name="_Toc251052191"/>
            <w:r>
              <w:rPr>
                <w:rFonts w:hint="eastAsia" w:ascii="宋体" w:hAnsi="宋体"/>
                <w:color w:val="000000"/>
                <w:highlight w:val="none"/>
              </w:rPr>
              <w:t>工程情况</w:t>
            </w:r>
            <w:bookmarkEnd w:id="974"/>
          </w:p>
        </w:tc>
      </w:tr>
      <w:tr w14:paraId="510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491302C5">
            <w:pPr>
              <w:keepNext w:val="0"/>
              <w:ind w:left="223" w:hanging="223" w:hangingChars="106"/>
              <w:jc w:val="center"/>
              <w:outlineLvl w:val="9"/>
              <w:rPr>
                <w:rFonts w:ascii="宋体" w:hAnsi="宋体"/>
                <w:b/>
                <w:color w:val="000000"/>
                <w:highlight w:val="none"/>
              </w:rPr>
            </w:pPr>
          </w:p>
        </w:tc>
        <w:tc>
          <w:tcPr>
            <w:tcW w:w="829" w:type="dxa"/>
            <w:vMerge w:val="continue"/>
            <w:vAlign w:val="center"/>
          </w:tcPr>
          <w:p w14:paraId="5F9605C8">
            <w:pPr>
              <w:keepNext w:val="0"/>
              <w:ind w:left="223" w:hanging="223" w:hangingChars="106"/>
              <w:jc w:val="center"/>
              <w:outlineLvl w:val="9"/>
              <w:rPr>
                <w:rFonts w:ascii="宋体" w:hAnsi="宋体"/>
                <w:b/>
                <w:color w:val="000000"/>
                <w:highlight w:val="none"/>
              </w:rPr>
            </w:pPr>
          </w:p>
        </w:tc>
        <w:tc>
          <w:tcPr>
            <w:tcW w:w="816" w:type="dxa"/>
            <w:vMerge w:val="continue"/>
            <w:vAlign w:val="center"/>
          </w:tcPr>
          <w:p w14:paraId="6ACDBB0B">
            <w:pPr>
              <w:keepNext w:val="0"/>
              <w:ind w:left="223" w:hanging="223" w:hangingChars="106"/>
              <w:jc w:val="center"/>
              <w:outlineLvl w:val="9"/>
              <w:rPr>
                <w:rFonts w:ascii="宋体" w:hAnsi="宋体"/>
                <w:b/>
                <w:color w:val="000000"/>
                <w:highlight w:val="none"/>
              </w:rPr>
            </w:pPr>
          </w:p>
        </w:tc>
        <w:tc>
          <w:tcPr>
            <w:tcW w:w="1148" w:type="dxa"/>
            <w:vAlign w:val="center"/>
          </w:tcPr>
          <w:p w14:paraId="29F3637B">
            <w:pPr>
              <w:ind w:left="223" w:hanging="222" w:hangingChars="106"/>
              <w:jc w:val="center"/>
              <w:rPr>
                <w:rFonts w:hint="eastAsia" w:ascii="宋体" w:hAnsi="宋体"/>
                <w:color w:val="000000"/>
                <w:highlight w:val="none"/>
              </w:rPr>
            </w:pPr>
            <w:bookmarkStart w:id="975" w:name="_Toc251052192"/>
            <w:r>
              <w:rPr>
                <w:rFonts w:hint="eastAsia" w:ascii="宋体" w:hAnsi="宋体"/>
                <w:color w:val="000000"/>
                <w:highlight w:val="none"/>
              </w:rPr>
              <w:t>证书名称</w:t>
            </w:r>
            <w:bookmarkEnd w:id="975"/>
          </w:p>
        </w:tc>
        <w:tc>
          <w:tcPr>
            <w:tcW w:w="1148" w:type="dxa"/>
            <w:vAlign w:val="center"/>
          </w:tcPr>
          <w:p w14:paraId="50C92685">
            <w:pPr>
              <w:ind w:left="223" w:hanging="222" w:hangingChars="106"/>
              <w:jc w:val="center"/>
              <w:rPr>
                <w:rFonts w:hint="eastAsia" w:ascii="宋体" w:hAnsi="宋体"/>
                <w:color w:val="000000"/>
                <w:highlight w:val="none"/>
              </w:rPr>
            </w:pPr>
            <w:bookmarkStart w:id="976" w:name="_Toc251052193"/>
            <w:r>
              <w:rPr>
                <w:rFonts w:hint="eastAsia" w:ascii="宋体" w:hAnsi="宋体"/>
                <w:color w:val="000000"/>
                <w:highlight w:val="none"/>
              </w:rPr>
              <w:t>级别</w:t>
            </w:r>
            <w:bookmarkEnd w:id="976"/>
          </w:p>
        </w:tc>
        <w:tc>
          <w:tcPr>
            <w:tcW w:w="1148" w:type="dxa"/>
            <w:vAlign w:val="center"/>
          </w:tcPr>
          <w:p w14:paraId="2DEE6189">
            <w:pPr>
              <w:ind w:left="223" w:hanging="222" w:hangingChars="106"/>
              <w:jc w:val="center"/>
              <w:rPr>
                <w:rFonts w:hint="eastAsia" w:ascii="宋体" w:hAnsi="宋体"/>
                <w:color w:val="000000"/>
                <w:highlight w:val="none"/>
              </w:rPr>
            </w:pPr>
            <w:bookmarkStart w:id="977" w:name="_Toc251052194"/>
            <w:r>
              <w:rPr>
                <w:rFonts w:hint="eastAsia" w:ascii="宋体" w:hAnsi="宋体"/>
                <w:color w:val="000000"/>
                <w:highlight w:val="none"/>
              </w:rPr>
              <w:t>证号</w:t>
            </w:r>
            <w:bookmarkEnd w:id="977"/>
          </w:p>
        </w:tc>
        <w:tc>
          <w:tcPr>
            <w:tcW w:w="1148" w:type="dxa"/>
            <w:vAlign w:val="center"/>
          </w:tcPr>
          <w:p w14:paraId="14EB5478">
            <w:pPr>
              <w:ind w:left="223" w:hanging="222" w:hangingChars="106"/>
              <w:jc w:val="center"/>
              <w:rPr>
                <w:rFonts w:hint="eastAsia" w:ascii="宋体" w:hAnsi="宋体"/>
                <w:color w:val="000000"/>
                <w:highlight w:val="none"/>
              </w:rPr>
            </w:pPr>
            <w:bookmarkStart w:id="978" w:name="_Toc251052195"/>
            <w:r>
              <w:rPr>
                <w:rFonts w:hint="eastAsia" w:ascii="宋体" w:hAnsi="宋体"/>
                <w:color w:val="000000"/>
                <w:highlight w:val="none"/>
              </w:rPr>
              <w:t>专业</w:t>
            </w:r>
            <w:bookmarkEnd w:id="978"/>
          </w:p>
        </w:tc>
        <w:tc>
          <w:tcPr>
            <w:tcW w:w="850" w:type="dxa"/>
            <w:vAlign w:val="center"/>
          </w:tcPr>
          <w:p w14:paraId="7E4915F9">
            <w:pPr>
              <w:ind w:left="223" w:hanging="222" w:hangingChars="106"/>
              <w:jc w:val="center"/>
              <w:rPr>
                <w:rFonts w:hint="eastAsia" w:ascii="宋体" w:hAnsi="宋体"/>
                <w:color w:val="000000"/>
                <w:highlight w:val="none"/>
              </w:rPr>
            </w:pPr>
            <w:bookmarkStart w:id="979" w:name="_Toc251052197"/>
            <w:r>
              <w:rPr>
                <w:rFonts w:hint="eastAsia" w:ascii="宋体" w:hAnsi="宋体"/>
                <w:color w:val="000000"/>
                <w:highlight w:val="none"/>
              </w:rPr>
              <w:t>项目数</w:t>
            </w:r>
            <w:bookmarkEnd w:id="979"/>
          </w:p>
        </w:tc>
        <w:tc>
          <w:tcPr>
            <w:tcW w:w="1276" w:type="dxa"/>
            <w:vAlign w:val="center"/>
          </w:tcPr>
          <w:p w14:paraId="566B7461">
            <w:pPr>
              <w:ind w:left="223" w:hanging="222" w:hangingChars="106"/>
              <w:jc w:val="center"/>
              <w:rPr>
                <w:rFonts w:hint="eastAsia" w:ascii="宋体" w:hAnsi="宋体"/>
                <w:color w:val="000000"/>
                <w:highlight w:val="none"/>
              </w:rPr>
            </w:pPr>
            <w:bookmarkStart w:id="980" w:name="_Toc251052198"/>
            <w:r>
              <w:rPr>
                <w:rFonts w:hint="eastAsia" w:ascii="宋体" w:hAnsi="宋体"/>
                <w:color w:val="000000"/>
                <w:highlight w:val="none"/>
              </w:rPr>
              <w:t>主要项目</w:t>
            </w:r>
          </w:p>
          <w:p w14:paraId="3975413F">
            <w:pPr>
              <w:ind w:left="223" w:hanging="222" w:hangingChars="106"/>
              <w:jc w:val="center"/>
              <w:rPr>
                <w:rFonts w:hint="eastAsia" w:ascii="宋体" w:hAnsi="宋体"/>
                <w:color w:val="000000"/>
                <w:highlight w:val="none"/>
              </w:rPr>
            </w:pPr>
            <w:r>
              <w:rPr>
                <w:rFonts w:hint="eastAsia" w:ascii="宋体" w:hAnsi="宋体"/>
                <w:color w:val="000000"/>
                <w:highlight w:val="none"/>
              </w:rPr>
              <w:t>名称</w:t>
            </w:r>
            <w:bookmarkEnd w:id="980"/>
          </w:p>
        </w:tc>
      </w:tr>
      <w:tr w14:paraId="79FA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466F25D">
            <w:pPr>
              <w:ind w:left="223" w:hanging="222" w:hangingChars="106"/>
              <w:jc w:val="center"/>
              <w:rPr>
                <w:rFonts w:ascii="宋体" w:hAnsi="宋体"/>
                <w:color w:val="000000"/>
                <w:highlight w:val="none"/>
              </w:rPr>
            </w:pPr>
          </w:p>
        </w:tc>
        <w:tc>
          <w:tcPr>
            <w:tcW w:w="829" w:type="dxa"/>
            <w:vAlign w:val="center"/>
          </w:tcPr>
          <w:p w14:paraId="4F2443C5">
            <w:pPr>
              <w:ind w:left="223" w:hanging="223" w:hangingChars="106"/>
              <w:jc w:val="center"/>
              <w:rPr>
                <w:rFonts w:ascii="宋体" w:hAnsi="宋体"/>
                <w:b/>
                <w:color w:val="000000"/>
                <w:highlight w:val="none"/>
              </w:rPr>
            </w:pPr>
          </w:p>
        </w:tc>
        <w:tc>
          <w:tcPr>
            <w:tcW w:w="816" w:type="dxa"/>
            <w:vAlign w:val="center"/>
          </w:tcPr>
          <w:p w14:paraId="2C2639C4">
            <w:pPr>
              <w:ind w:left="223" w:hanging="223" w:hangingChars="106"/>
              <w:jc w:val="center"/>
              <w:rPr>
                <w:rFonts w:ascii="宋体" w:hAnsi="宋体"/>
                <w:b/>
                <w:color w:val="000000"/>
                <w:highlight w:val="none"/>
              </w:rPr>
            </w:pPr>
          </w:p>
        </w:tc>
        <w:tc>
          <w:tcPr>
            <w:tcW w:w="1148" w:type="dxa"/>
            <w:vAlign w:val="center"/>
          </w:tcPr>
          <w:p w14:paraId="303AD34F">
            <w:pPr>
              <w:ind w:left="223" w:hanging="223" w:hangingChars="106"/>
              <w:jc w:val="center"/>
              <w:rPr>
                <w:rFonts w:ascii="宋体" w:hAnsi="宋体"/>
                <w:b/>
                <w:color w:val="000000"/>
                <w:highlight w:val="none"/>
              </w:rPr>
            </w:pPr>
          </w:p>
        </w:tc>
        <w:tc>
          <w:tcPr>
            <w:tcW w:w="1148" w:type="dxa"/>
            <w:vAlign w:val="center"/>
          </w:tcPr>
          <w:p w14:paraId="7BCE8EEA">
            <w:pPr>
              <w:ind w:left="223" w:hanging="223" w:hangingChars="106"/>
              <w:jc w:val="center"/>
              <w:rPr>
                <w:rFonts w:ascii="宋体" w:hAnsi="宋体"/>
                <w:b/>
                <w:color w:val="000000"/>
                <w:highlight w:val="none"/>
              </w:rPr>
            </w:pPr>
          </w:p>
        </w:tc>
        <w:tc>
          <w:tcPr>
            <w:tcW w:w="1148" w:type="dxa"/>
            <w:vAlign w:val="center"/>
          </w:tcPr>
          <w:p w14:paraId="43A940F6">
            <w:pPr>
              <w:ind w:left="223" w:hanging="223" w:hangingChars="106"/>
              <w:jc w:val="center"/>
              <w:rPr>
                <w:rFonts w:ascii="宋体" w:hAnsi="宋体"/>
                <w:b/>
                <w:color w:val="000000"/>
                <w:highlight w:val="none"/>
              </w:rPr>
            </w:pPr>
          </w:p>
        </w:tc>
        <w:tc>
          <w:tcPr>
            <w:tcW w:w="1148" w:type="dxa"/>
            <w:vAlign w:val="center"/>
          </w:tcPr>
          <w:p w14:paraId="7ADDAFEF">
            <w:pPr>
              <w:ind w:left="223" w:hanging="223" w:hangingChars="106"/>
              <w:jc w:val="center"/>
              <w:rPr>
                <w:rFonts w:ascii="宋体" w:hAnsi="宋体"/>
                <w:b/>
                <w:color w:val="000000"/>
                <w:highlight w:val="none"/>
              </w:rPr>
            </w:pPr>
          </w:p>
        </w:tc>
        <w:tc>
          <w:tcPr>
            <w:tcW w:w="850" w:type="dxa"/>
            <w:vAlign w:val="center"/>
          </w:tcPr>
          <w:p w14:paraId="5BE7F228">
            <w:pPr>
              <w:ind w:left="223" w:hanging="223" w:hangingChars="106"/>
              <w:jc w:val="center"/>
              <w:rPr>
                <w:rFonts w:ascii="宋体" w:hAnsi="宋体"/>
                <w:b/>
                <w:color w:val="000000"/>
                <w:highlight w:val="none"/>
              </w:rPr>
            </w:pPr>
          </w:p>
        </w:tc>
        <w:tc>
          <w:tcPr>
            <w:tcW w:w="1276" w:type="dxa"/>
            <w:vAlign w:val="center"/>
          </w:tcPr>
          <w:p w14:paraId="2A67E474">
            <w:pPr>
              <w:ind w:left="223" w:hanging="223" w:hangingChars="106"/>
              <w:jc w:val="center"/>
              <w:rPr>
                <w:rFonts w:ascii="宋体" w:hAnsi="宋体"/>
                <w:b/>
                <w:color w:val="000000"/>
                <w:highlight w:val="none"/>
              </w:rPr>
            </w:pPr>
          </w:p>
        </w:tc>
      </w:tr>
      <w:tr w14:paraId="1929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A8E3C67">
            <w:pPr>
              <w:ind w:left="223" w:hanging="222" w:hangingChars="106"/>
              <w:jc w:val="center"/>
              <w:rPr>
                <w:rFonts w:ascii="宋体" w:hAnsi="宋体"/>
                <w:color w:val="000000"/>
                <w:highlight w:val="none"/>
              </w:rPr>
            </w:pPr>
          </w:p>
        </w:tc>
        <w:tc>
          <w:tcPr>
            <w:tcW w:w="829" w:type="dxa"/>
            <w:vAlign w:val="center"/>
          </w:tcPr>
          <w:p w14:paraId="283B875C">
            <w:pPr>
              <w:ind w:left="223" w:hanging="223" w:hangingChars="106"/>
              <w:jc w:val="center"/>
              <w:rPr>
                <w:rFonts w:ascii="宋体" w:hAnsi="宋体"/>
                <w:b/>
                <w:color w:val="000000"/>
                <w:highlight w:val="none"/>
              </w:rPr>
            </w:pPr>
          </w:p>
        </w:tc>
        <w:tc>
          <w:tcPr>
            <w:tcW w:w="816" w:type="dxa"/>
            <w:vAlign w:val="center"/>
          </w:tcPr>
          <w:p w14:paraId="25FEAE3D">
            <w:pPr>
              <w:ind w:left="223" w:hanging="223" w:hangingChars="106"/>
              <w:jc w:val="center"/>
              <w:rPr>
                <w:rFonts w:ascii="宋体" w:hAnsi="宋体"/>
                <w:b/>
                <w:color w:val="000000"/>
                <w:highlight w:val="none"/>
              </w:rPr>
            </w:pPr>
          </w:p>
        </w:tc>
        <w:tc>
          <w:tcPr>
            <w:tcW w:w="1148" w:type="dxa"/>
            <w:vAlign w:val="center"/>
          </w:tcPr>
          <w:p w14:paraId="3348DEDC">
            <w:pPr>
              <w:ind w:left="223" w:hanging="223" w:hangingChars="106"/>
              <w:jc w:val="center"/>
              <w:rPr>
                <w:rFonts w:ascii="宋体" w:hAnsi="宋体"/>
                <w:b/>
                <w:color w:val="000000"/>
                <w:highlight w:val="none"/>
              </w:rPr>
            </w:pPr>
          </w:p>
        </w:tc>
        <w:tc>
          <w:tcPr>
            <w:tcW w:w="1148" w:type="dxa"/>
            <w:vAlign w:val="center"/>
          </w:tcPr>
          <w:p w14:paraId="64091E6F">
            <w:pPr>
              <w:ind w:left="223" w:hanging="223" w:hangingChars="106"/>
              <w:jc w:val="center"/>
              <w:rPr>
                <w:rFonts w:ascii="宋体" w:hAnsi="宋体"/>
                <w:b/>
                <w:color w:val="000000"/>
                <w:highlight w:val="none"/>
              </w:rPr>
            </w:pPr>
          </w:p>
        </w:tc>
        <w:tc>
          <w:tcPr>
            <w:tcW w:w="1148" w:type="dxa"/>
            <w:vAlign w:val="center"/>
          </w:tcPr>
          <w:p w14:paraId="3064A233">
            <w:pPr>
              <w:ind w:left="223" w:hanging="223" w:hangingChars="106"/>
              <w:jc w:val="center"/>
              <w:rPr>
                <w:rFonts w:ascii="宋体" w:hAnsi="宋体"/>
                <w:b/>
                <w:color w:val="000000"/>
                <w:highlight w:val="none"/>
              </w:rPr>
            </w:pPr>
          </w:p>
        </w:tc>
        <w:tc>
          <w:tcPr>
            <w:tcW w:w="1148" w:type="dxa"/>
            <w:vAlign w:val="center"/>
          </w:tcPr>
          <w:p w14:paraId="6B906C47">
            <w:pPr>
              <w:ind w:left="223" w:hanging="223" w:hangingChars="106"/>
              <w:jc w:val="center"/>
              <w:rPr>
                <w:rFonts w:ascii="宋体" w:hAnsi="宋体"/>
                <w:b/>
                <w:color w:val="000000"/>
                <w:highlight w:val="none"/>
              </w:rPr>
            </w:pPr>
          </w:p>
        </w:tc>
        <w:tc>
          <w:tcPr>
            <w:tcW w:w="850" w:type="dxa"/>
            <w:vAlign w:val="center"/>
          </w:tcPr>
          <w:p w14:paraId="1C231902">
            <w:pPr>
              <w:ind w:left="223" w:hanging="223" w:hangingChars="106"/>
              <w:jc w:val="center"/>
              <w:rPr>
                <w:rFonts w:ascii="宋体" w:hAnsi="宋体"/>
                <w:b/>
                <w:color w:val="000000"/>
                <w:highlight w:val="none"/>
              </w:rPr>
            </w:pPr>
          </w:p>
        </w:tc>
        <w:tc>
          <w:tcPr>
            <w:tcW w:w="1276" w:type="dxa"/>
            <w:vAlign w:val="center"/>
          </w:tcPr>
          <w:p w14:paraId="06C30ABC">
            <w:pPr>
              <w:ind w:left="223" w:hanging="223" w:hangingChars="106"/>
              <w:jc w:val="center"/>
              <w:rPr>
                <w:rFonts w:ascii="宋体" w:hAnsi="宋体"/>
                <w:b/>
                <w:color w:val="000000"/>
                <w:highlight w:val="none"/>
              </w:rPr>
            </w:pPr>
          </w:p>
        </w:tc>
      </w:tr>
      <w:tr w14:paraId="06E1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3CF3861">
            <w:pPr>
              <w:ind w:left="223" w:hanging="222" w:hangingChars="106"/>
              <w:jc w:val="center"/>
              <w:rPr>
                <w:rFonts w:ascii="宋体" w:hAnsi="宋体"/>
                <w:color w:val="000000"/>
                <w:highlight w:val="none"/>
              </w:rPr>
            </w:pPr>
          </w:p>
        </w:tc>
        <w:tc>
          <w:tcPr>
            <w:tcW w:w="829" w:type="dxa"/>
            <w:vAlign w:val="center"/>
          </w:tcPr>
          <w:p w14:paraId="5390BBF4">
            <w:pPr>
              <w:ind w:left="223" w:hanging="223" w:hangingChars="106"/>
              <w:jc w:val="center"/>
              <w:rPr>
                <w:rFonts w:ascii="宋体" w:hAnsi="宋体"/>
                <w:b/>
                <w:color w:val="000000"/>
                <w:highlight w:val="none"/>
              </w:rPr>
            </w:pPr>
          </w:p>
        </w:tc>
        <w:tc>
          <w:tcPr>
            <w:tcW w:w="816" w:type="dxa"/>
            <w:vAlign w:val="center"/>
          </w:tcPr>
          <w:p w14:paraId="76970045">
            <w:pPr>
              <w:ind w:left="223" w:hanging="223" w:hangingChars="106"/>
              <w:jc w:val="center"/>
              <w:rPr>
                <w:rFonts w:ascii="宋体" w:hAnsi="宋体"/>
                <w:b/>
                <w:color w:val="000000"/>
                <w:highlight w:val="none"/>
              </w:rPr>
            </w:pPr>
          </w:p>
        </w:tc>
        <w:tc>
          <w:tcPr>
            <w:tcW w:w="1148" w:type="dxa"/>
            <w:vAlign w:val="center"/>
          </w:tcPr>
          <w:p w14:paraId="44B2BCA5">
            <w:pPr>
              <w:ind w:left="223" w:hanging="223" w:hangingChars="106"/>
              <w:jc w:val="center"/>
              <w:rPr>
                <w:rFonts w:ascii="宋体" w:hAnsi="宋体"/>
                <w:b/>
                <w:color w:val="000000"/>
                <w:highlight w:val="none"/>
              </w:rPr>
            </w:pPr>
          </w:p>
        </w:tc>
        <w:tc>
          <w:tcPr>
            <w:tcW w:w="1148" w:type="dxa"/>
            <w:vAlign w:val="center"/>
          </w:tcPr>
          <w:p w14:paraId="46AE85E6">
            <w:pPr>
              <w:ind w:left="223" w:hanging="223" w:hangingChars="106"/>
              <w:jc w:val="center"/>
              <w:rPr>
                <w:rFonts w:ascii="宋体" w:hAnsi="宋体"/>
                <w:b/>
                <w:color w:val="000000"/>
                <w:highlight w:val="none"/>
              </w:rPr>
            </w:pPr>
          </w:p>
        </w:tc>
        <w:tc>
          <w:tcPr>
            <w:tcW w:w="1148" w:type="dxa"/>
            <w:vAlign w:val="center"/>
          </w:tcPr>
          <w:p w14:paraId="782E5A8C">
            <w:pPr>
              <w:ind w:left="223" w:hanging="223" w:hangingChars="106"/>
              <w:jc w:val="center"/>
              <w:rPr>
                <w:rFonts w:ascii="宋体" w:hAnsi="宋体"/>
                <w:b/>
                <w:color w:val="000000"/>
                <w:highlight w:val="none"/>
              </w:rPr>
            </w:pPr>
          </w:p>
        </w:tc>
        <w:tc>
          <w:tcPr>
            <w:tcW w:w="1148" w:type="dxa"/>
            <w:vAlign w:val="center"/>
          </w:tcPr>
          <w:p w14:paraId="449AEE79">
            <w:pPr>
              <w:ind w:left="223" w:hanging="223" w:hangingChars="106"/>
              <w:jc w:val="center"/>
              <w:rPr>
                <w:rFonts w:ascii="宋体" w:hAnsi="宋体"/>
                <w:b/>
                <w:color w:val="000000"/>
                <w:highlight w:val="none"/>
              </w:rPr>
            </w:pPr>
          </w:p>
        </w:tc>
        <w:tc>
          <w:tcPr>
            <w:tcW w:w="850" w:type="dxa"/>
            <w:vAlign w:val="center"/>
          </w:tcPr>
          <w:p w14:paraId="5473E92B">
            <w:pPr>
              <w:ind w:left="223" w:hanging="223" w:hangingChars="106"/>
              <w:jc w:val="center"/>
              <w:rPr>
                <w:rFonts w:ascii="宋体" w:hAnsi="宋体"/>
                <w:b/>
                <w:color w:val="000000"/>
                <w:highlight w:val="none"/>
              </w:rPr>
            </w:pPr>
          </w:p>
        </w:tc>
        <w:tc>
          <w:tcPr>
            <w:tcW w:w="1276" w:type="dxa"/>
            <w:vAlign w:val="center"/>
          </w:tcPr>
          <w:p w14:paraId="03915F53">
            <w:pPr>
              <w:ind w:left="223" w:hanging="223" w:hangingChars="106"/>
              <w:jc w:val="center"/>
              <w:rPr>
                <w:rFonts w:ascii="宋体" w:hAnsi="宋体"/>
                <w:b/>
                <w:color w:val="000000"/>
                <w:highlight w:val="none"/>
              </w:rPr>
            </w:pPr>
          </w:p>
        </w:tc>
      </w:tr>
      <w:tr w14:paraId="528C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EFB158A">
            <w:pPr>
              <w:ind w:left="223" w:hanging="222" w:hangingChars="106"/>
              <w:jc w:val="center"/>
              <w:rPr>
                <w:rFonts w:ascii="宋体" w:hAnsi="宋体"/>
                <w:color w:val="000000"/>
                <w:highlight w:val="none"/>
              </w:rPr>
            </w:pPr>
          </w:p>
        </w:tc>
        <w:tc>
          <w:tcPr>
            <w:tcW w:w="829" w:type="dxa"/>
            <w:vAlign w:val="center"/>
          </w:tcPr>
          <w:p w14:paraId="453065B6">
            <w:pPr>
              <w:ind w:left="223" w:hanging="223" w:hangingChars="106"/>
              <w:jc w:val="center"/>
              <w:rPr>
                <w:rFonts w:ascii="宋体" w:hAnsi="宋体"/>
                <w:b/>
                <w:color w:val="000000"/>
                <w:highlight w:val="none"/>
              </w:rPr>
            </w:pPr>
          </w:p>
        </w:tc>
        <w:tc>
          <w:tcPr>
            <w:tcW w:w="816" w:type="dxa"/>
            <w:vAlign w:val="center"/>
          </w:tcPr>
          <w:p w14:paraId="4A23378E">
            <w:pPr>
              <w:ind w:left="223" w:hanging="223" w:hangingChars="106"/>
              <w:jc w:val="center"/>
              <w:rPr>
                <w:rFonts w:ascii="宋体" w:hAnsi="宋体"/>
                <w:b/>
                <w:color w:val="000000"/>
                <w:highlight w:val="none"/>
              </w:rPr>
            </w:pPr>
          </w:p>
        </w:tc>
        <w:tc>
          <w:tcPr>
            <w:tcW w:w="1148" w:type="dxa"/>
            <w:vAlign w:val="center"/>
          </w:tcPr>
          <w:p w14:paraId="2A00EFA9">
            <w:pPr>
              <w:ind w:left="223" w:hanging="223" w:hangingChars="106"/>
              <w:jc w:val="center"/>
              <w:rPr>
                <w:rFonts w:ascii="宋体" w:hAnsi="宋体"/>
                <w:b/>
                <w:color w:val="000000"/>
                <w:highlight w:val="none"/>
              </w:rPr>
            </w:pPr>
          </w:p>
        </w:tc>
        <w:tc>
          <w:tcPr>
            <w:tcW w:w="1148" w:type="dxa"/>
            <w:vAlign w:val="center"/>
          </w:tcPr>
          <w:p w14:paraId="30E2B3C3">
            <w:pPr>
              <w:ind w:left="223" w:hanging="223" w:hangingChars="106"/>
              <w:jc w:val="center"/>
              <w:rPr>
                <w:rFonts w:ascii="宋体" w:hAnsi="宋体"/>
                <w:b/>
                <w:color w:val="000000"/>
                <w:highlight w:val="none"/>
              </w:rPr>
            </w:pPr>
          </w:p>
        </w:tc>
        <w:tc>
          <w:tcPr>
            <w:tcW w:w="1148" w:type="dxa"/>
            <w:vAlign w:val="center"/>
          </w:tcPr>
          <w:p w14:paraId="1AC15395">
            <w:pPr>
              <w:ind w:left="223" w:hanging="223" w:hangingChars="106"/>
              <w:jc w:val="center"/>
              <w:rPr>
                <w:rFonts w:ascii="宋体" w:hAnsi="宋体"/>
                <w:b/>
                <w:color w:val="000000"/>
                <w:highlight w:val="none"/>
              </w:rPr>
            </w:pPr>
          </w:p>
        </w:tc>
        <w:tc>
          <w:tcPr>
            <w:tcW w:w="1148" w:type="dxa"/>
            <w:vAlign w:val="center"/>
          </w:tcPr>
          <w:p w14:paraId="03A86D6B">
            <w:pPr>
              <w:ind w:left="223" w:hanging="223" w:hangingChars="106"/>
              <w:jc w:val="center"/>
              <w:rPr>
                <w:rFonts w:ascii="宋体" w:hAnsi="宋体"/>
                <w:b/>
                <w:color w:val="000000"/>
                <w:highlight w:val="none"/>
              </w:rPr>
            </w:pPr>
          </w:p>
        </w:tc>
        <w:tc>
          <w:tcPr>
            <w:tcW w:w="850" w:type="dxa"/>
            <w:vAlign w:val="center"/>
          </w:tcPr>
          <w:p w14:paraId="387A99A7">
            <w:pPr>
              <w:ind w:left="223" w:hanging="223" w:hangingChars="106"/>
              <w:jc w:val="center"/>
              <w:rPr>
                <w:rFonts w:ascii="宋体" w:hAnsi="宋体"/>
                <w:b/>
                <w:color w:val="000000"/>
                <w:highlight w:val="none"/>
              </w:rPr>
            </w:pPr>
          </w:p>
        </w:tc>
        <w:tc>
          <w:tcPr>
            <w:tcW w:w="1276" w:type="dxa"/>
            <w:vAlign w:val="center"/>
          </w:tcPr>
          <w:p w14:paraId="7195FF81">
            <w:pPr>
              <w:ind w:left="223" w:hanging="223" w:hangingChars="106"/>
              <w:jc w:val="center"/>
              <w:rPr>
                <w:rFonts w:ascii="宋体" w:hAnsi="宋体"/>
                <w:b/>
                <w:color w:val="000000"/>
                <w:highlight w:val="none"/>
              </w:rPr>
            </w:pPr>
          </w:p>
        </w:tc>
      </w:tr>
      <w:tr w14:paraId="05C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A4273C1">
            <w:pPr>
              <w:ind w:left="223" w:hanging="222" w:hangingChars="106"/>
              <w:jc w:val="center"/>
              <w:rPr>
                <w:rFonts w:ascii="宋体" w:hAnsi="宋体"/>
                <w:color w:val="000000"/>
                <w:highlight w:val="none"/>
              </w:rPr>
            </w:pPr>
          </w:p>
        </w:tc>
        <w:tc>
          <w:tcPr>
            <w:tcW w:w="829" w:type="dxa"/>
            <w:vAlign w:val="center"/>
          </w:tcPr>
          <w:p w14:paraId="58FC2DFA">
            <w:pPr>
              <w:ind w:left="223" w:hanging="223" w:hangingChars="106"/>
              <w:jc w:val="center"/>
              <w:rPr>
                <w:rFonts w:ascii="宋体" w:hAnsi="宋体"/>
                <w:b/>
                <w:color w:val="000000"/>
                <w:highlight w:val="none"/>
              </w:rPr>
            </w:pPr>
          </w:p>
        </w:tc>
        <w:tc>
          <w:tcPr>
            <w:tcW w:w="816" w:type="dxa"/>
            <w:vAlign w:val="center"/>
          </w:tcPr>
          <w:p w14:paraId="68C2B04B">
            <w:pPr>
              <w:ind w:left="223" w:hanging="223" w:hangingChars="106"/>
              <w:jc w:val="center"/>
              <w:rPr>
                <w:rFonts w:ascii="宋体" w:hAnsi="宋体"/>
                <w:b/>
                <w:color w:val="000000"/>
                <w:highlight w:val="none"/>
              </w:rPr>
            </w:pPr>
          </w:p>
        </w:tc>
        <w:tc>
          <w:tcPr>
            <w:tcW w:w="1148" w:type="dxa"/>
            <w:vAlign w:val="center"/>
          </w:tcPr>
          <w:p w14:paraId="35C73EAB">
            <w:pPr>
              <w:ind w:left="223" w:hanging="223" w:hangingChars="106"/>
              <w:jc w:val="center"/>
              <w:rPr>
                <w:rFonts w:ascii="宋体" w:hAnsi="宋体"/>
                <w:b/>
                <w:color w:val="000000"/>
                <w:highlight w:val="none"/>
              </w:rPr>
            </w:pPr>
          </w:p>
        </w:tc>
        <w:tc>
          <w:tcPr>
            <w:tcW w:w="1148" w:type="dxa"/>
            <w:vAlign w:val="center"/>
          </w:tcPr>
          <w:p w14:paraId="21EE49D7">
            <w:pPr>
              <w:ind w:left="223" w:hanging="223" w:hangingChars="106"/>
              <w:jc w:val="center"/>
              <w:rPr>
                <w:rFonts w:ascii="宋体" w:hAnsi="宋体"/>
                <w:b/>
                <w:color w:val="000000"/>
                <w:highlight w:val="none"/>
              </w:rPr>
            </w:pPr>
          </w:p>
        </w:tc>
        <w:tc>
          <w:tcPr>
            <w:tcW w:w="1148" w:type="dxa"/>
            <w:vAlign w:val="center"/>
          </w:tcPr>
          <w:p w14:paraId="0D774CBA">
            <w:pPr>
              <w:ind w:left="223" w:hanging="223" w:hangingChars="106"/>
              <w:jc w:val="center"/>
              <w:rPr>
                <w:rFonts w:ascii="宋体" w:hAnsi="宋体"/>
                <w:b/>
                <w:color w:val="000000"/>
                <w:highlight w:val="none"/>
              </w:rPr>
            </w:pPr>
          </w:p>
        </w:tc>
        <w:tc>
          <w:tcPr>
            <w:tcW w:w="1148" w:type="dxa"/>
            <w:vAlign w:val="center"/>
          </w:tcPr>
          <w:p w14:paraId="2809C600">
            <w:pPr>
              <w:ind w:left="223" w:hanging="223" w:hangingChars="106"/>
              <w:jc w:val="center"/>
              <w:rPr>
                <w:rFonts w:ascii="宋体" w:hAnsi="宋体"/>
                <w:b/>
                <w:color w:val="000000"/>
                <w:highlight w:val="none"/>
              </w:rPr>
            </w:pPr>
          </w:p>
        </w:tc>
        <w:tc>
          <w:tcPr>
            <w:tcW w:w="850" w:type="dxa"/>
            <w:vAlign w:val="center"/>
          </w:tcPr>
          <w:p w14:paraId="3179EA27">
            <w:pPr>
              <w:ind w:left="223" w:hanging="223" w:hangingChars="106"/>
              <w:jc w:val="center"/>
              <w:rPr>
                <w:rFonts w:ascii="宋体" w:hAnsi="宋体"/>
                <w:b/>
                <w:color w:val="000000"/>
                <w:highlight w:val="none"/>
              </w:rPr>
            </w:pPr>
          </w:p>
        </w:tc>
        <w:tc>
          <w:tcPr>
            <w:tcW w:w="1276" w:type="dxa"/>
            <w:vAlign w:val="center"/>
          </w:tcPr>
          <w:p w14:paraId="50624210">
            <w:pPr>
              <w:ind w:left="223" w:hanging="223" w:hangingChars="106"/>
              <w:jc w:val="center"/>
              <w:rPr>
                <w:rFonts w:ascii="宋体" w:hAnsi="宋体"/>
                <w:b/>
                <w:color w:val="000000"/>
                <w:highlight w:val="none"/>
              </w:rPr>
            </w:pPr>
          </w:p>
        </w:tc>
      </w:tr>
      <w:tr w14:paraId="30B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5E60C0">
            <w:pPr>
              <w:ind w:left="223" w:hanging="222" w:hangingChars="106"/>
              <w:jc w:val="center"/>
              <w:rPr>
                <w:rFonts w:ascii="宋体" w:hAnsi="宋体"/>
                <w:color w:val="000000"/>
                <w:highlight w:val="none"/>
              </w:rPr>
            </w:pPr>
          </w:p>
        </w:tc>
        <w:tc>
          <w:tcPr>
            <w:tcW w:w="829" w:type="dxa"/>
            <w:vAlign w:val="center"/>
          </w:tcPr>
          <w:p w14:paraId="23EB184D">
            <w:pPr>
              <w:ind w:left="223" w:hanging="223" w:hangingChars="106"/>
              <w:jc w:val="center"/>
              <w:rPr>
                <w:rFonts w:ascii="宋体" w:hAnsi="宋体"/>
                <w:b/>
                <w:color w:val="000000"/>
                <w:highlight w:val="none"/>
              </w:rPr>
            </w:pPr>
          </w:p>
        </w:tc>
        <w:tc>
          <w:tcPr>
            <w:tcW w:w="816" w:type="dxa"/>
            <w:vAlign w:val="center"/>
          </w:tcPr>
          <w:p w14:paraId="02EBE2C6">
            <w:pPr>
              <w:ind w:left="223" w:hanging="223" w:hangingChars="106"/>
              <w:jc w:val="center"/>
              <w:rPr>
                <w:rFonts w:ascii="宋体" w:hAnsi="宋体"/>
                <w:b/>
                <w:color w:val="000000"/>
                <w:highlight w:val="none"/>
              </w:rPr>
            </w:pPr>
          </w:p>
        </w:tc>
        <w:tc>
          <w:tcPr>
            <w:tcW w:w="1148" w:type="dxa"/>
            <w:vAlign w:val="center"/>
          </w:tcPr>
          <w:p w14:paraId="5DF906F9">
            <w:pPr>
              <w:ind w:left="223" w:hanging="223" w:hangingChars="106"/>
              <w:jc w:val="center"/>
              <w:rPr>
                <w:rFonts w:ascii="宋体" w:hAnsi="宋体"/>
                <w:b/>
                <w:color w:val="000000"/>
                <w:highlight w:val="none"/>
              </w:rPr>
            </w:pPr>
          </w:p>
        </w:tc>
        <w:tc>
          <w:tcPr>
            <w:tcW w:w="1148" w:type="dxa"/>
            <w:vAlign w:val="center"/>
          </w:tcPr>
          <w:p w14:paraId="5752E44C">
            <w:pPr>
              <w:ind w:left="223" w:hanging="223" w:hangingChars="106"/>
              <w:jc w:val="center"/>
              <w:rPr>
                <w:rFonts w:ascii="宋体" w:hAnsi="宋体"/>
                <w:b/>
                <w:color w:val="000000"/>
                <w:highlight w:val="none"/>
              </w:rPr>
            </w:pPr>
          </w:p>
        </w:tc>
        <w:tc>
          <w:tcPr>
            <w:tcW w:w="1148" w:type="dxa"/>
            <w:vAlign w:val="center"/>
          </w:tcPr>
          <w:p w14:paraId="63F3205E">
            <w:pPr>
              <w:ind w:left="223" w:hanging="223" w:hangingChars="106"/>
              <w:jc w:val="center"/>
              <w:rPr>
                <w:rFonts w:ascii="宋体" w:hAnsi="宋体"/>
                <w:b/>
                <w:color w:val="000000"/>
                <w:highlight w:val="none"/>
              </w:rPr>
            </w:pPr>
          </w:p>
        </w:tc>
        <w:tc>
          <w:tcPr>
            <w:tcW w:w="1148" w:type="dxa"/>
            <w:vAlign w:val="center"/>
          </w:tcPr>
          <w:p w14:paraId="02C22865">
            <w:pPr>
              <w:ind w:left="223" w:hanging="223" w:hangingChars="106"/>
              <w:jc w:val="center"/>
              <w:rPr>
                <w:rFonts w:ascii="宋体" w:hAnsi="宋体"/>
                <w:b/>
                <w:color w:val="000000"/>
                <w:highlight w:val="none"/>
              </w:rPr>
            </w:pPr>
          </w:p>
        </w:tc>
        <w:tc>
          <w:tcPr>
            <w:tcW w:w="850" w:type="dxa"/>
            <w:vAlign w:val="center"/>
          </w:tcPr>
          <w:p w14:paraId="0385D16E">
            <w:pPr>
              <w:ind w:left="223" w:hanging="223" w:hangingChars="106"/>
              <w:jc w:val="center"/>
              <w:rPr>
                <w:rFonts w:ascii="宋体" w:hAnsi="宋体"/>
                <w:b/>
                <w:color w:val="000000"/>
                <w:highlight w:val="none"/>
              </w:rPr>
            </w:pPr>
          </w:p>
        </w:tc>
        <w:tc>
          <w:tcPr>
            <w:tcW w:w="1276" w:type="dxa"/>
            <w:vAlign w:val="center"/>
          </w:tcPr>
          <w:p w14:paraId="68ABA410">
            <w:pPr>
              <w:ind w:left="223" w:hanging="223" w:hangingChars="106"/>
              <w:jc w:val="center"/>
              <w:rPr>
                <w:rFonts w:ascii="宋体" w:hAnsi="宋体"/>
                <w:b/>
                <w:color w:val="000000"/>
                <w:highlight w:val="none"/>
              </w:rPr>
            </w:pPr>
          </w:p>
        </w:tc>
      </w:tr>
      <w:tr w14:paraId="2F27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4BC8E1C">
            <w:pPr>
              <w:ind w:left="223" w:hanging="222" w:hangingChars="106"/>
              <w:jc w:val="center"/>
              <w:rPr>
                <w:rFonts w:ascii="宋体" w:hAnsi="宋体"/>
                <w:color w:val="000000"/>
                <w:highlight w:val="none"/>
              </w:rPr>
            </w:pPr>
          </w:p>
        </w:tc>
        <w:tc>
          <w:tcPr>
            <w:tcW w:w="829" w:type="dxa"/>
            <w:vAlign w:val="center"/>
          </w:tcPr>
          <w:p w14:paraId="37D2EB39">
            <w:pPr>
              <w:ind w:left="223" w:hanging="223" w:hangingChars="106"/>
              <w:jc w:val="center"/>
              <w:rPr>
                <w:rFonts w:ascii="宋体" w:hAnsi="宋体"/>
                <w:b/>
                <w:color w:val="000000"/>
                <w:highlight w:val="none"/>
              </w:rPr>
            </w:pPr>
          </w:p>
        </w:tc>
        <w:tc>
          <w:tcPr>
            <w:tcW w:w="816" w:type="dxa"/>
            <w:vAlign w:val="center"/>
          </w:tcPr>
          <w:p w14:paraId="5978001D">
            <w:pPr>
              <w:ind w:left="223" w:hanging="223" w:hangingChars="106"/>
              <w:jc w:val="center"/>
              <w:rPr>
                <w:rFonts w:ascii="宋体" w:hAnsi="宋体"/>
                <w:b/>
                <w:color w:val="000000"/>
                <w:highlight w:val="none"/>
              </w:rPr>
            </w:pPr>
          </w:p>
        </w:tc>
        <w:tc>
          <w:tcPr>
            <w:tcW w:w="1148" w:type="dxa"/>
            <w:vAlign w:val="center"/>
          </w:tcPr>
          <w:p w14:paraId="38B235FE">
            <w:pPr>
              <w:ind w:left="223" w:hanging="223" w:hangingChars="106"/>
              <w:jc w:val="center"/>
              <w:rPr>
                <w:rFonts w:ascii="宋体" w:hAnsi="宋体"/>
                <w:b/>
                <w:color w:val="000000"/>
                <w:highlight w:val="none"/>
              </w:rPr>
            </w:pPr>
          </w:p>
        </w:tc>
        <w:tc>
          <w:tcPr>
            <w:tcW w:w="1148" w:type="dxa"/>
            <w:vAlign w:val="center"/>
          </w:tcPr>
          <w:p w14:paraId="6066C3C2">
            <w:pPr>
              <w:ind w:left="223" w:hanging="223" w:hangingChars="106"/>
              <w:jc w:val="center"/>
              <w:rPr>
                <w:rFonts w:ascii="宋体" w:hAnsi="宋体"/>
                <w:b/>
                <w:color w:val="000000"/>
                <w:highlight w:val="none"/>
              </w:rPr>
            </w:pPr>
          </w:p>
        </w:tc>
        <w:tc>
          <w:tcPr>
            <w:tcW w:w="1148" w:type="dxa"/>
            <w:vAlign w:val="center"/>
          </w:tcPr>
          <w:p w14:paraId="57B6B403">
            <w:pPr>
              <w:ind w:left="223" w:hanging="223" w:hangingChars="106"/>
              <w:jc w:val="center"/>
              <w:rPr>
                <w:rFonts w:ascii="宋体" w:hAnsi="宋体"/>
                <w:b/>
                <w:color w:val="000000"/>
                <w:highlight w:val="none"/>
              </w:rPr>
            </w:pPr>
          </w:p>
        </w:tc>
        <w:tc>
          <w:tcPr>
            <w:tcW w:w="1148" w:type="dxa"/>
            <w:vAlign w:val="center"/>
          </w:tcPr>
          <w:p w14:paraId="198D66E2">
            <w:pPr>
              <w:ind w:left="223" w:hanging="223" w:hangingChars="106"/>
              <w:jc w:val="center"/>
              <w:rPr>
                <w:rFonts w:ascii="宋体" w:hAnsi="宋体"/>
                <w:b/>
                <w:color w:val="000000"/>
                <w:highlight w:val="none"/>
              </w:rPr>
            </w:pPr>
          </w:p>
        </w:tc>
        <w:tc>
          <w:tcPr>
            <w:tcW w:w="850" w:type="dxa"/>
            <w:vAlign w:val="center"/>
          </w:tcPr>
          <w:p w14:paraId="02115229">
            <w:pPr>
              <w:ind w:left="223" w:hanging="223" w:hangingChars="106"/>
              <w:jc w:val="center"/>
              <w:rPr>
                <w:rFonts w:ascii="宋体" w:hAnsi="宋体"/>
                <w:b/>
                <w:color w:val="000000"/>
                <w:highlight w:val="none"/>
              </w:rPr>
            </w:pPr>
          </w:p>
        </w:tc>
        <w:tc>
          <w:tcPr>
            <w:tcW w:w="1276" w:type="dxa"/>
            <w:vAlign w:val="center"/>
          </w:tcPr>
          <w:p w14:paraId="14B3A9BF">
            <w:pPr>
              <w:ind w:left="223" w:hanging="223" w:hangingChars="106"/>
              <w:jc w:val="center"/>
              <w:rPr>
                <w:rFonts w:ascii="宋体" w:hAnsi="宋体"/>
                <w:b/>
                <w:color w:val="000000"/>
                <w:highlight w:val="none"/>
              </w:rPr>
            </w:pPr>
          </w:p>
        </w:tc>
      </w:tr>
      <w:tr w14:paraId="472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DB83ED1">
            <w:pPr>
              <w:ind w:left="223" w:hanging="222" w:hangingChars="106"/>
              <w:jc w:val="center"/>
              <w:rPr>
                <w:rFonts w:hint="eastAsia" w:ascii="宋体" w:hAnsi="宋体"/>
                <w:color w:val="000000"/>
                <w:highlight w:val="none"/>
              </w:rPr>
            </w:pPr>
            <w:r>
              <w:rPr>
                <w:rFonts w:hint="eastAsia" w:ascii="宋体" w:hAnsi="宋体"/>
                <w:color w:val="000000"/>
                <w:highlight w:val="none"/>
              </w:rPr>
              <w:t>……</w:t>
            </w:r>
          </w:p>
        </w:tc>
        <w:tc>
          <w:tcPr>
            <w:tcW w:w="829" w:type="dxa"/>
            <w:vAlign w:val="center"/>
          </w:tcPr>
          <w:p w14:paraId="3D4367FD">
            <w:pPr>
              <w:ind w:left="223" w:hanging="223" w:hangingChars="106"/>
              <w:jc w:val="center"/>
              <w:rPr>
                <w:rFonts w:ascii="宋体" w:hAnsi="宋体"/>
                <w:b/>
                <w:color w:val="000000"/>
                <w:highlight w:val="none"/>
              </w:rPr>
            </w:pPr>
          </w:p>
        </w:tc>
        <w:tc>
          <w:tcPr>
            <w:tcW w:w="816" w:type="dxa"/>
            <w:vAlign w:val="center"/>
          </w:tcPr>
          <w:p w14:paraId="1556585B">
            <w:pPr>
              <w:ind w:left="223" w:hanging="223" w:hangingChars="106"/>
              <w:jc w:val="center"/>
              <w:rPr>
                <w:rFonts w:ascii="宋体" w:hAnsi="宋体"/>
                <w:b/>
                <w:color w:val="000000"/>
                <w:highlight w:val="none"/>
              </w:rPr>
            </w:pPr>
          </w:p>
        </w:tc>
        <w:tc>
          <w:tcPr>
            <w:tcW w:w="1148" w:type="dxa"/>
            <w:vAlign w:val="center"/>
          </w:tcPr>
          <w:p w14:paraId="0C75DAE0">
            <w:pPr>
              <w:ind w:left="223" w:hanging="223" w:hangingChars="106"/>
              <w:jc w:val="center"/>
              <w:rPr>
                <w:rFonts w:ascii="宋体" w:hAnsi="宋体"/>
                <w:b/>
                <w:color w:val="000000"/>
                <w:highlight w:val="none"/>
              </w:rPr>
            </w:pPr>
          </w:p>
        </w:tc>
        <w:tc>
          <w:tcPr>
            <w:tcW w:w="1148" w:type="dxa"/>
            <w:vAlign w:val="center"/>
          </w:tcPr>
          <w:p w14:paraId="46E8DBB6">
            <w:pPr>
              <w:ind w:left="223" w:hanging="223" w:hangingChars="106"/>
              <w:jc w:val="center"/>
              <w:rPr>
                <w:rFonts w:ascii="宋体" w:hAnsi="宋体"/>
                <w:b/>
                <w:color w:val="000000"/>
                <w:highlight w:val="none"/>
              </w:rPr>
            </w:pPr>
          </w:p>
        </w:tc>
        <w:tc>
          <w:tcPr>
            <w:tcW w:w="1148" w:type="dxa"/>
            <w:vAlign w:val="center"/>
          </w:tcPr>
          <w:p w14:paraId="6B4FF197">
            <w:pPr>
              <w:ind w:left="223" w:hanging="223" w:hangingChars="106"/>
              <w:jc w:val="center"/>
              <w:rPr>
                <w:rFonts w:ascii="宋体" w:hAnsi="宋体"/>
                <w:b/>
                <w:color w:val="000000"/>
                <w:highlight w:val="none"/>
              </w:rPr>
            </w:pPr>
          </w:p>
        </w:tc>
        <w:tc>
          <w:tcPr>
            <w:tcW w:w="1148" w:type="dxa"/>
            <w:vAlign w:val="center"/>
          </w:tcPr>
          <w:p w14:paraId="0B272CA7">
            <w:pPr>
              <w:ind w:left="223" w:hanging="223" w:hangingChars="106"/>
              <w:jc w:val="center"/>
              <w:rPr>
                <w:rFonts w:ascii="宋体" w:hAnsi="宋体"/>
                <w:b/>
                <w:color w:val="000000"/>
                <w:highlight w:val="none"/>
              </w:rPr>
            </w:pPr>
          </w:p>
        </w:tc>
        <w:tc>
          <w:tcPr>
            <w:tcW w:w="850" w:type="dxa"/>
            <w:vAlign w:val="center"/>
          </w:tcPr>
          <w:p w14:paraId="3B3ACF5E">
            <w:pPr>
              <w:ind w:left="223" w:hanging="223" w:hangingChars="106"/>
              <w:jc w:val="center"/>
              <w:rPr>
                <w:rFonts w:ascii="宋体" w:hAnsi="宋体"/>
                <w:b/>
                <w:color w:val="000000"/>
                <w:highlight w:val="none"/>
              </w:rPr>
            </w:pPr>
          </w:p>
        </w:tc>
        <w:tc>
          <w:tcPr>
            <w:tcW w:w="1276" w:type="dxa"/>
            <w:vAlign w:val="center"/>
          </w:tcPr>
          <w:p w14:paraId="7EC7A974">
            <w:pPr>
              <w:ind w:left="223" w:hanging="223" w:hangingChars="106"/>
              <w:jc w:val="center"/>
              <w:rPr>
                <w:rFonts w:ascii="宋体" w:hAnsi="宋体"/>
                <w:b/>
                <w:color w:val="000000"/>
                <w:highlight w:val="none"/>
              </w:rPr>
            </w:pPr>
          </w:p>
        </w:tc>
      </w:tr>
      <w:tr w14:paraId="18DC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7B5FA24A">
            <w:pPr>
              <w:spacing w:line="360" w:lineRule="auto"/>
              <w:rPr>
                <w:rFonts w:hint="eastAsia" w:ascii="宋体" w:hAnsi="宋体"/>
                <w:color w:val="000000"/>
                <w:highlight w:val="none"/>
              </w:rPr>
            </w:pPr>
            <w:bookmarkStart w:id="981" w:name="_Toc251052199"/>
            <w:r>
              <w:rPr>
                <w:rFonts w:hint="eastAsia" w:ascii="宋体" w:hAnsi="宋体"/>
                <w:color w:val="000000"/>
                <w:highlight w:val="none"/>
              </w:rPr>
              <w:t>一旦我单位成交，我方保证并配备上述项目管理机构。上述填报内容真实，若不真实，愿按有关规定接受处理。项目管理班子机构设置、职责分工等情况另附资料说明。</w:t>
            </w:r>
            <w:bookmarkEnd w:id="981"/>
          </w:p>
        </w:tc>
      </w:tr>
    </w:tbl>
    <w:p w14:paraId="1109EAC9">
      <w:pPr>
        <w:tabs>
          <w:tab w:val="left" w:pos="0"/>
        </w:tabs>
        <w:spacing w:line="360" w:lineRule="auto"/>
        <w:ind w:right="-210"/>
        <w:rPr>
          <w:rFonts w:ascii="宋体" w:hAnsi="宋体"/>
          <w:color w:val="000000"/>
          <w:highlight w:val="none"/>
        </w:rPr>
      </w:pPr>
    </w:p>
    <w:p w14:paraId="2290D77B">
      <w:pPr>
        <w:tabs>
          <w:tab w:val="left" w:pos="0"/>
        </w:tabs>
        <w:spacing w:line="360" w:lineRule="auto"/>
        <w:ind w:right="-210"/>
        <w:rPr>
          <w:rFonts w:ascii="宋体" w:hAnsi="宋体"/>
          <w:color w:val="000000"/>
          <w:highlight w:val="none"/>
        </w:rPr>
      </w:pPr>
    </w:p>
    <w:p w14:paraId="65A4F894">
      <w:pPr>
        <w:tabs>
          <w:tab w:val="left" w:pos="0"/>
        </w:tabs>
        <w:spacing w:line="360" w:lineRule="auto"/>
        <w:ind w:right="-210"/>
        <w:rPr>
          <w:rFonts w:ascii="宋体" w:hAnsi="宋体"/>
          <w:b/>
          <w:color w:val="000000"/>
          <w:highlight w:val="none"/>
        </w:rPr>
      </w:pPr>
    </w:p>
    <w:p w14:paraId="7044A2DD">
      <w:pPr>
        <w:pStyle w:val="40"/>
        <w:spacing w:line="400" w:lineRule="exact"/>
        <w:ind w:firstLine="3968" w:firstLineChars="1890"/>
        <w:rPr>
          <w:rFonts w:hAnsi="宋体"/>
          <w:color w:val="000000"/>
          <w:highlight w:val="none"/>
        </w:rPr>
      </w:pPr>
      <w:r>
        <w:rPr>
          <w:rFonts w:hAnsi="宋体"/>
          <w:color w:val="000000"/>
          <w:highlight w:val="none"/>
        </w:rPr>
        <w:t>供应商（加盖公章）：</w:t>
      </w:r>
    </w:p>
    <w:p w14:paraId="2FCEDA50">
      <w:pPr>
        <w:pStyle w:val="40"/>
        <w:spacing w:line="400" w:lineRule="exact"/>
        <w:ind w:firstLine="3968" w:firstLineChars="1890"/>
        <w:rPr>
          <w:rFonts w:hAnsi="宋体"/>
          <w:color w:val="000000"/>
          <w:highlight w:val="none"/>
        </w:rPr>
      </w:pPr>
      <w:r>
        <w:rPr>
          <w:rFonts w:hAnsi="宋体"/>
          <w:color w:val="000000"/>
          <w:highlight w:val="none"/>
        </w:rPr>
        <w:t>法定代表人 (负责人)或委托代理人（签字）：</w:t>
      </w:r>
    </w:p>
    <w:p w14:paraId="1D7C24D7">
      <w:pPr>
        <w:pStyle w:val="40"/>
        <w:spacing w:line="400" w:lineRule="exact"/>
        <w:ind w:firstLine="3968" w:firstLineChars="1890"/>
        <w:rPr>
          <w:rFonts w:hAnsi="宋体"/>
          <w:color w:val="000000"/>
          <w:highlight w:val="none"/>
        </w:rPr>
      </w:pPr>
      <w:r>
        <w:rPr>
          <w:rFonts w:hAnsi="宋体"/>
          <w:color w:val="000000"/>
          <w:highlight w:val="none"/>
        </w:rPr>
        <w:t>磋商日期：</w:t>
      </w:r>
    </w:p>
    <w:p w14:paraId="2E4FB51C">
      <w:pPr>
        <w:pStyle w:val="40"/>
        <w:spacing w:line="400" w:lineRule="exact"/>
        <w:ind w:firstLine="3968" w:firstLineChars="1890"/>
        <w:rPr>
          <w:rFonts w:hAnsi="宋体"/>
          <w:color w:val="000000"/>
          <w:highlight w:val="none"/>
          <w:u w:val="single"/>
        </w:rPr>
      </w:pPr>
    </w:p>
    <w:p w14:paraId="0E5552A3">
      <w:pPr>
        <w:pStyle w:val="40"/>
        <w:spacing w:line="400" w:lineRule="exact"/>
        <w:ind w:firstLine="3968" w:firstLineChars="1890"/>
        <w:rPr>
          <w:rFonts w:hAnsi="宋体"/>
          <w:color w:val="000000"/>
          <w:highlight w:val="none"/>
          <w:u w:val="single"/>
        </w:rPr>
      </w:pPr>
    </w:p>
    <w:p w14:paraId="78EFE7AE">
      <w:pPr>
        <w:pStyle w:val="40"/>
        <w:spacing w:line="400" w:lineRule="exact"/>
        <w:ind w:firstLine="3968" w:firstLineChars="1890"/>
        <w:rPr>
          <w:rFonts w:hAnsi="宋体"/>
          <w:color w:val="000000"/>
          <w:highlight w:val="none"/>
          <w:u w:val="single"/>
        </w:rPr>
      </w:pPr>
    </w:p>
    <w:p w14:paraId="3B81593D">
      <w:pPr>
        <w:pStyle w:val="40"/>
        <w:spacing w:line="400" w:lineRule="exact"/>
        <w:ind w:firstLine="3968" w:firstLineChars="1890"/>
        <w:rPr>
          <w:rFonts w:hAnsi="宋体"/>
          <w:color w:val="000000"/>
          <w:highlight w:val="none"/>
          <w:u w:val="single"/>
        </w:rPr>
      </w:pPr>
    </w:p>
    <w:p w14:paraId="0FF2C7FE">
      <w:pPr>
        <w:pStyle w:val="40"/>
        <w:spacing w:line="400" w:lineRule="exact"/>
        <w:ind w:firstLine="3968" w:firstLineChars="1890"/>
        <w:rPr>
          <w:rFonts w:hAnsi="宋体"/>
          <w:color w:val="000000"/>
          <w:highlight w:val="none"/>
          <w:u w:val="single"/>
        </w:rPr>
      </w:pPr>
    </w:p>
    <w:p w14:paraId="34F249AA">
      <w:pPr>
        <w:pStyle w:val="40"/>
        <w:spacing w:line="400" w:lineRule="exact"/>
        <w:ind w:firstLine="3968" w:firstLineChars="1890"/>
        <w:rPr>
          <w:rFonts w:hAnsi="宋体"/>
          <w:color w:val="000000"/>
          <w:highlight w:val="none"/>
          <w:u w:val="single"/>
        </w:rPr>
      </w:pPr>
    </w:p>
    <w:p w14:paraId="2F67B47A">
      <w:pPr>
        <w:pStyle w:val="40"/>
        <w:spacing w:line="400" w:lineRule="exact"/>
        <w:ind w:firstLine="3968" w:firstLineChars="1890"/>
        <w:rPr>
          <w:rFonts w:hAnsi="宋体"/>
          <w:color w:val="000000"/>
          <w:highlight w:val="none"/>
          <w:u w:val="single"/>
        </w:rPr>
      </w:pPr>
    </w:p>
    <w:p w14:paraId="7111AB92">
      <w:pPr>
        <w:pStyle w:val="101"/>
        <w:rPr>
          <w:color w:val="000000"/>
          <w:highlight w:val="none"/>
        </w:rPr>
      </w:pPr>
    </w:p>
    <w:p w14:paraId="7BF72C30">
      <w:pPr>
        <w:pStyle w:val="101"/>
        <w:rPr>
          <w:color w:val="000000"/>
          <w:highlight w:val="none"/>
        </w:rPr>
      </w:pPr>
    </w:p>
    <w:p w14:paraId="3F836F4B">
      <w:pPr>
        <w:pStyle w:val="101"/>
        <w:rPr>
          <w:color w:val="000000"/>
          <w:highlight w:val="none"/>
        </w:rPr>
      </w:pPr>
    </w:p>
    <w:p w14:paraId="641B5BCF">
      <w:pPr>
        <w:pStyle w:val="101"/>
        <w:rPr>
          <w:color w:val="000000"/>
          <w:highlight w:val="none"/>
        </w:rPr>
      </w:pPr>
    </w:p>
    <w:p w14:paraId="183FD35F">
      <w:pPr>
        <w:pStyle w:val="101"/>
        <w:rPr>
          <w:color w:val="000000"/>
          <w:highlight w:val="none"/>
        </w:rPr>
      </w:pPr>
    </w:p>
    <w:p w14:paraId="171BB8C2">
      <w:pPr>
        <w:pStyle w:val="6"/>
        <w:spacing w:line="560" w:lineRule="exact"/>
        <w:jc w:val="center"/>
        <w:rPr>
          <w:rFonts w:hint="eastAsia" w:ascii="宋体" w:hAnsi="宋体"/>
          <w:bCs/>
          <w:color w:val="000000"/>
          <w:sz w:val="44"/>
          <w:highlight w:val="none"/>
        </w:rPr>
      </w:pPr>
      <w:bookmarkStart w:id="982" w:name="_Toc20944"/>
      <w:bookmarkStart w:id="983" w:name="_Toc108539873"/>
      <w:bookmarkStart w:id="984" w:name="_Toc29263"/>
      <w:r>
        <w:rPr>
          <w:rFonts w:hint="eastAsia" w:ascii="宋体" w:hAnsi="宋体"/>
          <w:bCs/>
          <w:color w:val="000000"/>
          <w:sz w:val="44"/>
          <w:highlight w:val="none"/>
        </w:rPr>
        <w:t>第七章   附件</w:t>
      </w:r>
      <w:bookmarkEnd w:id="982"/>
      <w:bookmarkEnd w:id="983"/>
      <w:bookmarkEnd w:id="984"/>
    </w:p>
    <w:p w14:paraId="6EBBACDB">
      <w:pPr>
        <w:pStyle w:val="40"/>
        <w:spacing w:line="400" w:lineRule="exact"/>
        <w:rPr>
          <w:rFonts w:hAnsi="宋体"/>
          <w:color w:val="000000"/>
          <w:highlight w:val="none"/>
        </w:rPr>
      </w:pPr>
    </w:p>
    <w:p w14:paraId="111F1C6C">
      <w:pPr>
        <w:pStyle w:val="40"/>
        <w:spacing w:line="400" w:lineRule="exact"/>
        <w:rPr>
          <w:rFonts w:hAnsi="宋体"/>
          <w:color w:val="000000"/>
          <w:highlight w:val="none"/>
        </w:rPr>
      </w:pPr>
    </w:p>
    <w:p w14:paraId="3FA702D5">
      <w:pPr>
        <w:pStyle w:val="40"/>
        <w:spacing w:line="400" w:lineRule="exact"/>
        <w:rPr>
          <w:rFonts w:hAnsi="宋体"/>
          <w:color w:val="000000"/>
          <w:highlight w:val="none"/>
        </w:rPr>
      </w:pPr>
      <w:r>
        <w:rPr>
          <w:rFonts w:hAnsi="宋体"/>
          <w:color w:val="000000"/>
          <w:highlight w:val="none"/>
        </w:rPr>
        <w:br w:type="page"/>
      </w:r>
    </w:p>
    <w:p w14:paraId="3E4400BC">
      <w:pPr>
        <w:pStyle w:val="40"/>
        <w:spacing w:line="200" w:lineRule="exact"/>
        <w:rPr>
          <w:rFonts w:hAnsi="宋体"/>
          <w:b/>
          <w:color w:val="000000"/>
          <w:highlight w:val="none"/>
        </w:rPr>
      </w:pPr>
    </w:p>
    <w:p w14:paraId="27CD7D84">
      <w:pPr>
        <w:pStyle w:val="40"/>
        <w:spacing w:line="400" w:lineRule="exact"/>
        <w:outlineLvl w:val="0"/>
        <w:rPr>
          <w:rFonts w:hAnsi="宋体"/>
          <w:b/>
          <w:bCs/>
          <w:color w:val="000000"/>
          <w:sz w:val="28"/>
          <w:szCs w:val="28"/>
          <w:highlight w:val="none"/>
        </w:rPr>
      </w:pPr>
      <w:bookmarkStart w:id="985" w:name="_Toc25066"/>
      <w:bookmarkStart w:id="986" w:name="_Toc9967"/>
      <w:bookmarkStart w:id="987" w:name="_Toc108539874"/>
      <w:r>
        <w:rPr>
          <w:rFonts w:hAnsi="宋体"/>
          <w:b/>
          <w:bCs/>
          <w:color w:val="000000"/>
          <w:sz w:val="28"/>
          <w:szCs w:val="28"/>
          <w:highlight w:val="none"/>
        </w:rPr>
        <w:t>附件1：</w:t>
      </w:r>
      <w:bookmarkEnd w:id="985"/>
      <w:r>
        <w:rPr>
          <w:rFonts w:hAnsi="宋体"/>
          <w:b/>
          <w:bCs/>
          <w:color w:val="000000"/>
          <w:sz w:val="28"/>
          <w:szCs w:val="28"/>
          <w:highlight w:val="none"/>
        </w:rPr>
        <w:t>图纸、工程量清单另册，详见广西政府采购云平台上传的附件</w:t>
      </w:r>
      <w:bookmarkEnd w:id="986"/>
      <w:bookmarkEnd w:id="987"/>
    </w:p>
    <w:p w14:paraId="7ECB021E">
      <w:pPr>
        <w:widowControl/>
        <w:jc w:val="center"/>
        <w:rPr>
          <w:rFonts w:ascii="宋体" w:hAnsi="宋体"/>
          <w:bCs/>
          <w:color w:val="000000"/>
          <w:kern w:val="0"/>
          <w:sz w:val="44"/>
          <w:szCs w:val="44"/>
          <w:highlight w:val="none"/>
        </w:rPr>
      </w:pPr>
    </w:p>
    <w:p w14:paraId="4B87B518">
      <w:pPr>
        <w:spacing w:line="360" w:lineRule="exact"/>
        <w:ind w:left="984" w:hanging="984" w:hangingChars="350"/>
        <w:rPr>
          <w:rFonts w:ascii="宋体" w:hAnsi="宋体"/>
          <w:b/>
          <w:bCs/>
          <w:color w:val="000000"/>
          <w:sz w:val="28"/>
          <w:szCs w:val="28"/>
          <w:highlight w:val="none"/>
        </w:rPr>
      </w:pPr>
    </w:p>
    <w:p w14:paraId="486E81F1">
      <w:pPr>
        <w:spacing w:line="360" w:lineRule="exact"/>
        <w:ind w:left="984" w:hanging="984" w:hangingChars="350"/>
        <w:rPr>
          <w:rFonts w:ascii="宋体" w:hAnsi="宋体"/>
          <w:b/>
          <w:bCs/>
          <w:color w:val="000000"/>
          <w:sz w:val="28"/>
          <w:szCs w:val="28"/>
          <w:highlight w:val="none"/>
        </w:rPr>
      </w:pPr>
    </w:p>
    <w:p w14:paraId="023B2633">
      <w:pPr>
        <w:spacing w:line="360" w:lineRule="exact"/>
        <w:ind w:left="984" w:hanging="984" w:hangingChars="350"/>
        <w:rPr>
          <w:rFonts w:ascii="宋体" w:hAnsi="宋体"/>
          <w:b/>
          <w:bCs/>
          <w:color w:val="000000"/>
          <w:sz w:val="28"/>
          <w:szCs w:val="28"/>
          <w:highlight w:val="none"/>
        </w:rPr>
      </w:pPr>
    </w:p>
    <w:p w14:paraId="2E2C422D">
      <w:pPr>
        <w:spacing w:line="360" w:lineRule="exact"/>
        <w:ind w:left="984" w:hanging="984" w:hangingChars="350"/>
        <w:rPr>
          <w:rFonts w:ascii="宋体" w:hAnsi="宋体"/>
          <w:b/>
          <w:bCs/>
          <w:color w:val="000000"/>
          <w:sz w:val="28"/>
          <w:szCs w:val="28"/>
          <w:highlight w:val="none"/>
        </w:rPr>
      </w:pPr>
    </w:p>
    <w:p w14:paraId="44140DA6">
      <w:pPr>
        <w:spacing w:line="360" w:lineRule="exact"/>
        <w:ind w:left="984" w:hanging="984" w:hangingChars="350"/>
        <w:rPr>
          <w:rFonts w:ascii="宋体" w:hAnsi="宋体"/>
          <w:b/>
          <w:bCs/>
          <w:color w:val="000000"/>
          <w:sz w:val="28"/>
          <w:szCs w:val="28"/>
          <w:highlight w:val="none"/>
        </w:rPr>
      </w:pPr>
    </w:p>
    <w:p w14:paraId="1B89253F">
      <w:pPr>
        <w:spacing w:line="360" w:lineRule="exact"/>
        <w:ind w:left="984" w:hanging="984" w:hangingChars="350"/>
        <w:rPr>
          <w:rFonts w:ascii="宋体" w:hAnsi="宋体"/>
          <w:b/>
          <w:bCs/>
          <w:color w:val="000000"/>
          <w:sz w:val="28"/>
          <w:szCs w:val="28"/>
          <w:highlight w:val="none"/>
        </w:rPr>
      </w:pPr>
    </w:p>
    <w:p w14:paraId="724DF854">
      <w:pPr>
        <w:pStyle w:val="40"/>
        <w:spacing w:line="400" w:lineRule="exact"/>
        <w:outlineLvl w:val="0"/>
        <w:rPr>
          <w:rFonts w:hAnsi="宋体"/>
          <w:b/>
          <w:bCs/>
          <w:color w:val="000000"/>
          <w:sz w:val="28"/>
          <w:szCs w:val="28"/>
          <w:highlight w:val="none"/>
        </w:rPr>
      </w:pPr>
      <w:r>
        <w:rPr>
          <w:rFonts w:hAnsi="宋体"/>
          <w:b/>
          <w:bCs/>
          <w:color w:val="000000"/>
          <w:sz w:val="28"/>
          <w:szCs w:val="28"/>
          <w:highlight w:val="none"/>
        </w:rPr>
        <w:br w:type="page"/>
      </w:r>
      <w:bookmarkStart w:id="988" w:name="_Toc13581"/>
      <w:r>
        <w:rPr>
          <w:rFonts w:hAnsi="宋体"/>
          <w:b/>
          <w:bCs/>
          <w:color w:val="000000"/>
          <w:sz w:val="28"/>
          <w:szCs w:val="28"/>
          <w:highlight w:val="none"/>
        </w:rPr>
        <w:t>附件2：</w:t>
      </w:r>
      <w:bookmarkEnd w:id="988"/>
    </w:p>
    <w:p w14:paraId="703B63C6">
      <w:pPr>
        <w:widowControl/>
        <w:spacing w:line="330" w:lineRule="atLeast"/>
        <w:jc w:val="center"/>
        <w:rPr>
          <w:rFonts w:hint="eastAsia" w:ascii="方正小标宋_GBK" w:hAnsi="宋体" w:eastAsia="方正小标宋_GBK"/>
          <w:color w:val="000000"/>
          <w:kern w:val="0"/>
          <w:sz w:val="36"/>
          <w:szCs w:val="32"/>
          <w:highlight w:val="none"/>
        </w:rPr>
      </w:pPr>
      <w:r>
        <w:rPr>
          <w:rFonts w:hint="eastAsia" w:ascii="方正小标宋_GBK" w:hAnsi="宋体" w:eastAsia="方正小标宋_GBK"/>
          <w:color w:val="000000"/>
          <w:kern w:val="0"/>
          <w:sz w:val="36"/>
          <w:szCs w:val="32"/>
          <w:highlight w:val="none"/>
        </w:rPr>
        <w:t>统计上大中小微型企业划分标准</w:t>
      </w:r>
    </w:p>
    <w:p w14:paraId="75321E9B">
      <w:pPr>
        <w:spacing w:line="360" w:lineRule="exact"/>
        <w:ind w:left="984" w:hanging="984" w:hangingChars="350"/>
        <w:rPr>
          <w:rFonts w:ascii="宋体" w:hAnsi="宋体"/>
          <w:b/>
          <w:bCs/>
          <w:color w:val="000000"/>
          <w:sz w:val="28"/>
          <w:szCs w:val="28"/>
          <w:highlight w:val="none"/>
        </w:rPr>
      </w:pPr>
    </w:p>
    <w:tbl>
      <w:tblPr>
        <w:tblStyle w:val="4"/>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248CDF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7313BB82">
            <w:pPr>
              <w:widowControl/>
              <w:spacing w:line="240" w:lineRule="exact"/>
              <w:jc w:val="center"/>
              <w:rPr>
                <w:rFonts w:hint="eastAsia" w:ascii="宋体" w:hAnsi="宋体"/>
                <w:b/>
                <w:bCs/>
                <w:color w:val="000000"/>
                <w:kern w:val="0"/>
                <w:sz w:val="18"/>
                <w:szCs w:val="21"/>
                <w:highlight w:val="none"/>
              </w:rPr>
            </w:pPr>
            <w:r>
              <w:rPr>
                <w:rFonts w:hint="eastAsia" w:ascii="宋体" w:hAnsi="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6CDF9F2">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61D45567">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计量</w:t>
            </w:r>
          </w:p>
          <w:p w14:paraId="00EB4E94">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1A38C890">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13481AB9">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2BB0B341">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4D6F038C">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微型</w:t>
            </w:r>
          </w:p>
        </w:tc>
      </w:tr>
      <w:tr w14:paraId="4FA0097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72F497FC">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253DCAF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FEAAA9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62CCE33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w:t>
            </w:r>
          </w:p>
        </w:tc>
        <w:tc>
          <w:tcPr>
            <w:tcW w:w="1701" w:type="dxa"/>
            <w:tcBorders>
              <w:top w:val="nil"/>
              <w:left w:val="nil"/>
              <w:bottom w:val="single" w:color="auto" w:sz="4" w:space="0"/>
              <w:right w:val="single" w:color="auto" w:sz="4" w:space="0"/>
            </w:tcBorders>
            <w:vAlign w:val="center"/>
          </w:tcPr>
          <w:p w14:paraId="0B0B6FB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28C1978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50≤Y＜500</w:t>
            </w:r>
          </w:p>
        </w:tc>
        <w:tc>
          <w:tcPr>
            <w:tcW w:w="992" w:type="dxa"/>
            <w:tcBorders>
              <w:top w:val="nil"/>
              <w:left w:val="nil"/>
              <w:bottom w:val="single" w:color="auto" w:sz="4" w:space="0"/>
              <w:right w:val="nil"/>
            </w:tcBorders>
            <w:vAlign w:val="center"/>
          </w:tcPr>
          <w:p w14:paraId="0E62E95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w:t>
            </w:r>
          </w:p>
        </w:tc>
      </w:tr>
      <w:tr w14:paraId="095F0A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2CF290C">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工业 *</w:t>
            </w:r>
          </w:p>
        </w:tc>
        <w:tc>
          <w:tcPr>
            <w:tcW w:w="1369" w:type="dxa"/>
            <w:tcBorders>
              <w:top w:val="nil"/>
              <w:left w:val="nil"/>
              <w:bottom w:val="nil"/>
              <w:right w:val="single" w:color="auto" w:sz="4" w:space="0"/>
            </w:tcBorders>
            <w:vAlign w:val="center"/>
          </w:tcPr>
          <w:p w14:paraId="6DEAC08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583B12D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68F190B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0FBB270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3D37546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1436E7C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5B9259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C4507F">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78C85504">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C79C6A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184D04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48FD075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14:paraId="7751A72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300≤Y＜2000</w:t>
            </w:r>
          </w:p>
        </w:tc>
        <w:tc>
          <w:tcPr>
            <w:tcW w:w="992" w:type="dxa"/>
            <w:tcBorders>
              <w:top w:val="nil"/>
              <w:left w:val="nil"/>
              <w:bottom w:val="single" w:color="auto" w:sz="4" w:space="0"/>
              <w:right w:val="nil"/>
            </w:tcBorders>
            <w:vAlign w:val="center"/>
          </w:tcPr>
          <w:p w14:paraId="768E200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w:t>
            </w:r>
          </w:p>
        </w:tc>
      </w:tr>
      <w:tr w14:paraId="25B97F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F223D25">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建筑业</w:t>
            </w:r>
          </w:p>
        </w:tc>
        <w:tc>
          <w:tcPr>
            <w:tcW w:w="1369" w:type="dxa"/>
            <w:tcBorders>
              <w:top w:val="nil"/>
              <w:left w:val="nil"/>
              <w:bottom w:val="nil"/>
              <w:right w:val="single" w:color="auto" w:sz="4" w:space="0"/>
            </w:tcBorders>
            <w:vAlign w:val="center"/>
          </w:tcPr>
          <w:p w14:paraId="79C7C7E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nil"/>
              <w:right w:val="single" w:color="auto" w:sz="4" w:space="0"/>
            </w:tcBorders>
            <w:vAlign w:val="center"/>
          </w:tcPr>
          <w:p w14:paraId="21731AC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nil"/>
              <w:right w:val="single" w:color="auto" w:sz="4" w:space="0"/>
            </w:tcBorders>
            <w:vAlign w:val="center"/>
          </w:tcPr>
          <w:p w14:paraId="184C8B9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Y≥80000</w:t>
            </w:r>
          </w:p>
        </w:tc>
        <w:tc>
          <w:tcPr>
            <w:tcW w:w="1701" w:type="dxa"/>
            <w:tcBorders>
              <w:top w:val="nil"/>
              <w:left w:val="nil"/>
              <w:bottom w:val="nil"/>
              <w:right w:val="single" w:color="auto" w:sz="4" w:space="0"/>
            </w:tcBorders>
            <w:vAlign w:val="center"/>
          </w:tcPr>
          <w:p w14:paraId="4EED7DE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6000≤Y＜80000</w:t>
            </w:r>
          </w:p>
        </w:tc>
        <w:tc>
          <w:tcPr>
            <w:tcW w:w="1426" w:type="dxa"/>
            <w:tcBorders>
              <w:top w:val="nil"/>
              <w:left w:val="nil"/>
              <w:bottom w:val="nil"/>
              <w:right w:val="single" w:color="auto" w:sz="4" w:space="0"/>
            </w:tcBorders>
            <w:vAlign w:val="center"/>
          </w:tcPr>
          <w:p w14:paraId="6FF97C5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300≤Y＜6000</w:t>
            </w:r>
          </w:p>
        </w:tc>
        <w:tc>
          <w:tcPr>
            <w:tcW w:w="992" w:type="dxa"/>
            <w:tcBorders>
              <w:top w:val="nil"/>
              <w:left w:val="nil"/>
              <w:bottom w:val="nil"/>
              <w:right w:val="nil"/>
            </w:tcBorders>
            <w:vAlign w:val="center"/>
          </w:tcPr>
          <w:p w14:paraId="15524C1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w:t>
            </w:r>
          </w:p>
        </w:tc>
      </w:tr>
      <w:tr w14:paraId="684679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4B2043">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59C58E95">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27557DF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172E61E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Z≥80000</w:t>
            </w:r>
          </w:p>
        </w:tc>
        <w:tc>
          <w:tcPr>
            <w:tcW w:w="1701" w:type="dxa"/>
            <w:tcBorders>
              <w:top w:val="nil"/>
              <w:left w:val="nil"/>
              <w:bottom w:val="single" w:color="auto" w:sz="4" w:space="0"/>
              <w:right w:val="single" w:color="auto" w:sz="4" w:space="0"/>
            </w:tcBorders>
            <w:vAlign w:val="center"/>
          </w:tcPr>
          <w:p w14:paraId="745F318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5000≤Z＜80000</w:t>
            </w:r>
          </w:p>
        </w:tc>
        <w:tc>
          <w:tcPr>
            <w:tcW w:w="1426" w:type="dxa"/>
            <w:tcBorders>
              <w:top w:val="nil"/>
              <w:left w:val="nil"/>
              <w:bottom w:val="single" w:color="auto" w:sz="4" w:space="0"/>
              <w:right w:val="single" w:color="auto" w:sz="4" w:space="0"/>
            </w:tcBorders>
            <w:vAlign w:val="center"/>
          </w:tcPr>
          <w:p w14:paraId="5AE0970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300≤Z＜5000</w:t>
            </w:r>
          </w:p>
        </w:tc>
        <w:tc>
          <w:tcPr>
            <w:tcW w:w="992" w:type="dxa"/>
            <w:tcBorders>
              <w:top w:val="nil"/>
              <w:left w:val="nil"/>
              <w:bottom w:val="single" w:color="auto" w:sz="4" w:space="0"/>
              <w:right w:val="nil"/>
            </w:tcBorders>
            <w:vAlign w:val="center"/>
          </w:tcPr>
          <w:p w14:paraId="553454B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Z＜300</w:t>
            </w:r>
          </w:p>
        </w:tc>
      </w:tr>
      <w:tr w14:paraId="6EEDA5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D415CE6">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批发业</w:t>
            </w:r>
          </w:p>
        </w:tc>
        <w:tc>
          <w:tcPr>
            <w:tcW w:w="1369" w:type="dxa"/>
            <w:tcBorders>
              <w:top w:val="nil"/>
              <w:left w:val="nil"/>
              <w:bottom w:val="nil"/>
              <w:right w:val="single" w:color="auto" w:sz="4" w:space="0"/>
            </w:tcBorders>
            <w:vAlign w:val="center"/>
          </w:tcPr>
          <w:p w14:paraId="3692048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EA3B4A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2A12464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w:t>
            </w:r>
          </w:p>
        </w:tc>
        <w:tc>
          <w:tcPr>
            <w:tcW w:w="1701" w:type="dxa"/>
            <w:tcBorders>
              <w:top w:val="nil"/>
              <w:left w:val="nil"/>
              <w:bottom w:val="nil"/>
              <w:right w:val="single" w:color="auto" w:sz="4" w:space="0"/>
            </w:tcBorders>
            <w:vAlign w:val="center"/>
          </w:tcPr>
          <w:p w14:paraId="0AF747B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20≤X＜200</w:t>
            </w:r>
          </w:p>
        </w:tc>
        <w:tc>
          <w:tcPr>
            <w:tcW w:w="1426" w:type="dxa"/>
            <w:tcBorders>
              <w:top w:val="nil"/>
              <w:left w:val="nil"/>
              <w:bottom w:val="nil"/>
              <w:right w:val="single" w:color="auto" w:sz="4" w:space="0"/>
            </w:tcBorders>
            <w:vAlign w:val="center"/>
          </w:tcPr>
          <w:p w14:paraId="6D1BADB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5≤X＜20</w:t>
            </w:r>
          </w:p>
        </w:tc>
        <w:tc>
          <w:tcPr>
            <w:tcW w:w="992" w:type="dxa"/>
            <w:tcBorders>
              <w:top w:val="nil"/>
              <w:left w:val="nil"/>
              <w:bottom w:val="nil"/>
              <w:right w:val="nil"/>
            </w:tcBorders>
            <w:vAlign w:val="center"/>
          </w:tcPr>
          <w:p w14:paraId="31CECA1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X＜5</w:t>
            </w:r>
          </w:p>
        </w:tc>
      </w:tr>
      <w:tr w14:paraId="353A87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5B4941">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4C16B5A9">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CF53D8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498D9B0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230261C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5000≤Y＜40000</w:t>
            </w:r>
          </w:p>
        </w:tc>
        <w:tc>
          <w:tcPr>
            <w:tcW w:w="1426" w:type="dxa"/>
            <w:tcBorders>
              <w:top w:val="nil"/>
              <w:left w:val="nil"/>
              <w:bottom w:val="single" w:color="auto" w:sz="4" w:space="0"/>
              <w:right w:val="single" w:color="auto" w:sz="4" w:space="0"/>
            </w:tcBorders>
            <w:vAlign w:val="center"/>
          </w:tcPr>
          <w:p w14:paraId="40C07323">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1000≤Y＜5000</w:t>
            </w:r>
          </w:p>
        </w:tc>
        <w:tc>
          <w:tcPr>
            <w:tcW w:w="992" w:type="dxa"/>
            <w:tcBorders>
              <w:top w:val="nil"/>
              <w:left w:val="nil"/>
              <w:bottom w:val="single" w:color="auto" w:sz="4" w:space="0"/>
              <w:right w:val="nil"/>
            </w:tcBorders>
            <w:vAlign w:val="center"/>
          </w:tcPr>
          <w:p w14:paraId="26D4044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w:t>
            </w:r>
          </w:p>
        </w:tc>
      </w:tr>
      <w:tr w14:paraId="0C76B86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093B8DD">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零售业</w:t>
            </w:r>
          </w:p>
        </w:tc>
        <w:tc>
          <w:tcPr>
            <w:tcW w:w="1369" w:type="dxa"/>
            <w:tcBorders>
              <w:top w:val="nil"/>
              <w:left w:val="nil"/>
              <w:bottom w:val="nil"/>
              <w:right w:val="single" w:color="auto" w:sz="4" w:space="0"/>
            </w:tcBorders>
            <w:vAlign w:val="center"/>
          </w:tcPr>
          <w:p w14:paraId="1A958CE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221211F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6FE1E5F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077E035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50≤X＜300</w:t>
            </w:r>
          </w:p>
        </w:tc>
        <w:tc>
          <w:tcPr>
            <w:tcW w:w="1426" w:type="dxa"/>
            <w:tcBorders>
              <w:top w:val="nil"/>
              <w:left w:val="nil"/>
              <w:bottom w:val="nil"/>
              <w:right w:val="single" w:color="auto" w:sz="4" w:space="0"/>
            </w:tcBorders>
            <w:vAlign w:val="center"/>
          </w:tcPr>
          <w:p w14:paraId="4817D3A8">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10≤X＜50 </w:t>
            </w:r>
          </w:p>
        </w:tc>
        <w:tc>
          <w:tcPr>
            <w:tcW w:w="992" w:type="dxa"/>
            <w:tcBorders>
              <w:top w:val="nil"/>
              <w:left w:val="nil"/>
              <w:bottom w:val="nil"/>
              <w:right w:val="nil"/>
            </w:tcBorders>
            <w:vAlign w:val="center"/>
          </w:tcPr>
          <w:p w14:paraId="0824BFC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2C2448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4BD961">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45D4FDCE">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4B435B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05ED1CE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w:t>
            </w:r>
          </w:p>
        </w:tc>
        <w:tc>
          <w:tcPr>
            <w:tcW w:w="1701" w:type="dxa"/>
            <w:tcBorders>
              <w:top w:val="nil"/>
              <w:left w:val="nil"/>
              <w:bottom w:val="single" w:color="auto" w:sz="4" w:space="0"/>
              <w:right w:val="single" w:color="auto" w:sz="4" w:space="0"/>
            </w:tcBorders>
            <w:vAlign w:val="center"/>
          </w:tcPr>
          <w:p w14:paraId="111559B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1469C381">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100≤Y＜500 </w:t>
            </w:r>
          </w:p>
        </w:tc>
        <w:tc>
          <w:tcPr>
            <w:tcW w:w="992" w:type="dxa"/>
            <w:tcBorders>
              <w:top w:val="nil"/>
              <w:left w:val="nil"/>
              <w:bottom w:val="single" w:color="auto" w:sz="4" w:space="0"/>
              <w:right w:val="nil"/>
            </w:tcBorders>
            <w:vAlign w:val="center"/>
          </w:tcPr>
          <w:p w14:paraId="469ECDA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1B5653B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E8FC778">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交通运输业 *</w:t>
            </w:r>
          </w:p>
        </w:tc>
        <w:tc>
          <w:tcPr>
            <w:tcW w:w="1369" w:type="dxa"/>
            <w:tcBorders>
              <w:top w:val="nil"/>
              <w:left w:val="nil"/>
              <w:bottom w:val="nil"/>
              <w:right w:val="single" w:color="auto" w:sz="4" w:space="0"/>
            </w:tcBorders>
            <w:vAlign w:val="center"/>
          </w:tcPr>
          <w:p w14:paraId="52D6138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338ECA4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02CD70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2DE46C0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74AD837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6A666E6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6DD40A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7F9F066">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685DF579">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65AA04E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411569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12C57BE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3000≤Y＜30000</w:t>
            </w:r>
          </w:p>
        </w:tc>
        <w:tc>
          <w:tcPr>
            <w:tcW w:w="1426" w:type="dxa"/>
            <w:tcBorders>
              <w:top w:val="nil"/>
              <w:left w:val="nil"/>
              <w:bottom w:val="single" w:color="auto" w:sz="4" w:space="0"/>
              <w:right w:val="single" w:color="auto" w:sz="4" w:space="0"/>
            </w:tcBorders>
            <w:vAlign w:val="center"/>
          </w:tcPr>
          <w:p w14:paraId="5892906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200≤Y＜3000</w:t>
            </w:r>
          </w:p>
        </w:tc>
        <w:tc>
          <w:tcPr>
            <w:tcW w:w="992" w:type="dxa"/>
            <w:tcBorders>
              <w:top w:val="nil"/>
              <w:left w:val="nil"/>
              <w:bottom w:val="single" w:color="auto" w:sz="4" w:space="0"/>
              <w:right w:val="nil"/>
            </w:tcBorders>
            <w:vAlign w:val="center"/>
          </w:tcPr>
          <w:p w14:paraId="4B13765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w:t>
            </w:r>
          </w:p>
        </w:tc>
      </w:tr>
      <w:tr w14:paraId="5D69C43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6046789">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仓储业*</w:t>
            </w:r>
          </w:p>
        </w:tc>
        <w:tc>
          <w:tcPr>
            <w:tcW w:w="1369" w:type="dxa"/>
            <w:tcBorders>
              <w:top w:val="nil"/>
              <w:left w:val="nil"/>
              <w:bottom w:val="nil"/>
              <w:right w:val="single" w:color="auto" w:sz="4" w:space="0"/>
            </w:tcBorders>
            <w:vAlign w:val="center"/>
          </w:tcPr>
          <w:p w14:paraId="044EFA2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A6FD39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62B33D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w:t>
            </w:r>
          </w:p>
        </w:tc>
        <w:tc>
          <w:tcPr>
            <w:tcW w:w="1701" w:type="dxa"/>
            <w:tcBorders>
              <w:top w:val="nil"/>
              <w:left w:val="nil"/>
              <w:bottom w:val="nil"/>
              <w:right w:val="single" w:color="auto" w:sz="4" w:space="0"/>
            </w:tcBorders>
            <w:vAlign w:val="center"/>
          </w:tcPr>
          <w:p w14:paraId="45C50187">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100≤X＜200</w:t>
            </w:r>
          </w:p>
        </w:tc>
        <w:tc>
          <w:tcPr>
            <w:tcW w:w="1426" w:type="dxa"/>
            <w:tcBorders>
              <w:top w:val="nil"/>
              <w:left w:val="nil"/>
              <w:bottom w:val="nil"/>
              <w:right w:val="single" w:color="auto" w:sz="4" w:space="0"/>
            </w:tcBorders>
            <w:vAlign w:val="center"/>
          </w:tcPr>
          <w:p w14:paraId="4C63EC4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20≤X＜100</w:t>
            </w:r>
          </w:p>
        </w:tc>
        <w:tc>
          <w:tcPr>
            <w:tcW w:w="992" w:type="dxa"/>
            <w:tcBorders>
              <w:top w:val="nil"/>
              <w:left w:val="nil"/>
              <w:bottom w:val="nil"/>
              <w:right w:val="nil"/>
            </w:tcBorders>
            <w:vAlign w:val="center"/>
          </w:tcPr>
          <w:p w14:paraId="152C459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613E2D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378FCC">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4FDE0B76">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B57565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60CCC47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00BD20D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14:paraId="0F0617C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single" w:color="auto" w:sz="4" w:space="0"/>
              <w:right w:val="nil"/>
            </w:tcBorders>
            <w:vAlign w:val="center"/>
          </w:tcPr>
          <w:p w14:paraId="2F411D7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4F3AECE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F762FE5">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邮政业</w:t>
            </w:r>
          </w:p>
        </w:tc>
        <w:tc>
          <w:tcPr>
            <w:tcW w:w="1369" w:type="dxa"/>
            <w:tcBorders>
              <w:top w:val="nil"/>
              <w:left w:val="nil"/>
              <w:bottom w:val="nil"/>
              <w:right w:val="single" w:color="auto" w:sz="4" w:space="0"/>
            </w:tcBorders>
            <w:vAlign w:val="center"/>
          </w:tcPr>
          <w:p w14:paraId="2DBEFD5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603B278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306E35F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7B1C93D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1D0C0F9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7727DF7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646228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768420">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5F5BF7D2">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1FF27A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316E1DB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41DF17C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2000≤Y＜30000</w:t>
            </w:r>
          </w:p>
        </w:tc>
        <w:tc>
          <w:tcPr>
            <w:tcW w:w="1426" w:type="dxa"/>
            <w:tcBorders>
              <w:top w:val="nil"/>
              <w:left w:val="nil"/>
              <w:bottom w:val="single" w:color="auto" w:sz="4" w:space="0"/>
              <w:right w:val="single" w:color="auto" w:sz="4" w:space="0"/>
            </w:tcBorders>
            <w:vAlign w:val="center"/>
          </w:tcPr>
          <w:p w14:paraId="0269A5F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2BDD26C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3A566FF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1E10A89">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住宿业</w:t>
            </w:r>
          </w:p>
        </w:tc>
        <w:tc>
          <w:tcPr>
            <w:tcW w:w="1369" w:type="dxa"/>
            <w:tcBorders>
              <w:top w:val="nil"/>
              <w:left w:val="nil"/>
              <w:bottom w:val="nil"/>
              <w:right w:val="single" w:color="auto" w:sz="4" w:space="0"/>
            </w:tcBorders>
            <w:vAlign w:val="center"/>
          </w:tcPr>
          <w:p w14:paraId="1D79098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5961405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89C210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46BCABD0">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2884423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3B42809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2E456A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477207">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191F4134">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CF21C9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0657D82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33FCFB2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14:paraId="56DC555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25BE566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5F064A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E780FC5">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餐饮业</w:t>
            </w:r>
          </w:p>
        </w:tc>
        <w:tc>
          <w:tcPr>
            <w:tcW w:w="1369" w:type="dxa"/>
            <w:tcBorders>
              <w:top w:val="nil"/>
              <w:left w:val="nil"/>
              <w:bottom w:val="nil"/>
              <w:right w:val="single" w:color="auto" w:sz="4" w:space="0"/>
            </w:tcBorders>
            <w:vAlign w:val="center"/>
          </w:tcPr>
          <w:p w14:paraId="5BCA156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3E7FAA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3BBC11F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18C50A81">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65BACE1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3B0C275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5915F5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DF8A10">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1EC37A26">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A303EF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104DF36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418E728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14:paraId="5E90A32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421EA2A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05F0C3C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B7D1721">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信息传输业 *</w:t>
            </w:r>
          </w:p>
        </w:tc>
        <w:tc>
          <w:tcPr>
            <w:tcW w:w="1369" w:type="dxa"/>
            <w:tcBorders>
              <w:top w:val="nil"/>
              <w:left w:val="nil"/>
              <w:bottom w:val="nil"/>
              <w:right w:val="single" w:color="auto" w:sz="4" w:space="0"/>
            </w:tcBorders>
            <w:vAlign w:val="center"/>
          </w:tcPr>
          <w:p w14:paraId="17442E2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031C669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6341719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X≥2000</w:t>
            </w:r>
          </w:p>
        </w:tc>
        <w:tc>
          <w:tcPr>
            <w:tcW w:w="1701" w:type="dxa"/>
            <w:tcBorders>
              <w:top w:val="nil"/>
              <w:left w:val="nil"/>
              <w:bottom w:val="nil"/>
              <w:right w:val="single" w:color="auto" w:sz="4" w:space="0"/>
            </w:tcBorders>
            <w:vAlign w:val="center"/>
          </w:tcPr>
          <w:p w14:paraId="3043125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100≤X＜2000</w:t>
            </w:r>
          </w:p>
        </w:tc>
        <w:tc>
          <w:tcPr>
            <w:tcW w:w="1426" w:type="dxa"/>
            <w:tcBorders>
              <w:top w:val="nil"/>
              <w:left w:val="nil"/>
              <w:bottom w:val="nil"/>
              <w:right w:val="single" w:color="auto" w:sz="4" w:space="0"/>
            </w:tcBorders>
            <w:vAlign w:val="center"/>
          </w:tcPr>
          <w:p w14:paraId="4C8F3C1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70D1909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1D6211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2CDCF00">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51861AB4">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63158A6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7D81A1A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Y≥100000</w:t>
            </w:r>
          </w:p>
        </w:tc>
        <w:tc>
          <w:tcPr>
            <w:tcW w:w="1701" w:type="dxa"/>
            <w:tcBorders>
              <w:top w:val="nil"/>
              <w:left w:val="nil"/>
              <w:bottom w:val="single" w:color="auto" w:sz="4" w:space="0"/>
              <w:right w:val="single" w:color="auto" w:sz="4" w:space="0"/>
            </w:tcBorders>
            <w:vAlign w:val="center"/>
          </w:tcPr>
          <w:p w14:paraId="4287E66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14:paraId="7D84912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single" w:color="auto" w:sz="4" w:space="0"/>
              <w:right w:val="nil"/>
            </w:tcBorders>
            <w:vAlign w:val="center"/>
          </w:tcPr>
          <w:p w14:paraId="31299B7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5690C19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3BFD9933">
            <w:pPr>
              <w:widowControl/>
              <w:spacing w:line="240" w:lineRule="exact"/>
              <w:jc w:val="left"/>
              <w:rPr>
                <w:rFonts w:hint="eastAsia" w:ascii="宋体" w:hAnsi="宋体"/>
                <w:color w:val="000000"/>
                <w:spacing w:val="-12"/>
                <w:kern w:val="0"/>
                <w:sz w:val="18"/>
                <w:szCs w:val="18"/>
                <w:highlight w:val="none"/>
              </w:rPr>
            </w:pPr>
            <w:r>
              <w:rPr>
                <w:rFonts w:hint="eastAsia" w:ascii="宋体" w:hAnsi="宋体"/>
                <w:color w:val="000000"/>
                <w:spacing w:val="-12"/>
                <w:kern w:val="0"/>
                <w:sz w:val="18"/>
                <w:szCs w:val="18"/>
                <w:highlight w:val="none"/>
              </w:rPr>
              <w:t>软件和信息技术服</w:t>
            </w:r>
            <w:r>
              <w:rPr>
                <w:rFonts w:hint="eastAsia" w:ascii="宋体" w:hAnsi="宋体"/>
                <w:color w:val="000000"/>
                <w:kern w:val="0"/>
                <w:sz w:val="18"/>
                <w:szCs w:val="18"/>
                <w:highlight w:val="none"/>
              </w:rPr>
              <w:t>务业</w:t>
            </w:r>
          </w:p>
        </w:tc>
        <w:tc>
          <w:tcPr>
            <w:tcW w:w="1369" w:type="dxa"/>
            <w:tcBorders>
              <w:top w:val="nil"/>
              <w:left w:val="nil"/>
              <w:bottom w:val="nil"/>
              <w:right w:val="single" w:color="auto" w:sz="4" w:space="0"/>
            </w:tcBorders>
            <w:vAlign w:val="center"/>
          </w:tcPr>
          <w:p w14:paraId="5969AF1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704CEE9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21653DE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09716624">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58E2774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4E42873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7BA882E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84146EB">
            <w:pPr>
              <w:widowControl/>
              <w:jc w:val="left"/>
              <w:rPr>
                <w:rFonts w:ascii="宋体" w:hAnsi="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vAlign w:val="center"/>
          </w:tcPr>
          <w:p w14:paraId="3683437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AFE5F6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7169449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0E07933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1000≤Y＜10000</w:t>
            </w:r>
          </w:p>
        </w:tc>
        <w:tc>
          <w:tcPr>
            <w:tcW w:w="1426" w:type="dxa"/>
            <w:tcBorders>
              <w:top w:val="nil"/>
              <w:left w:val="nil"/>
              <w:bottom w:val="single" w:color="auto" w:sz="4" w:space="0"/>
              <w:right w:val="single" w:color="auto" w:sz="4" w:space="0"/>
            </w:tcBorders>
            <w:vAlign w:val="center"/>
          </w:tcPr>
          <w:p w14:paraId="28DFF04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50≤Y＜1000</w:t>
            </w:r>
          </w:p>
        </w:tc>
        <w:tc>
          <w:tcPr>
            <w:tcW w:w="992" w:type="dxa"/>
            <w:tcBorders>
              <w:top w:val="nil"/>
              <w:left w:val="nil"/>
              <w:bottom w:val="single" w:color="auto" w:sz="4" w:space="0"/>
              <w:right w:val="nil"/>
            </w:tcBorders>
            <w:vAlign w:val="center"/>
          </w:tcPr>
          <w:p w14:paraId="2F28AC7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w:t>
            </w:r>
          </w:p>
        </w:tc>
      </w:tr>
      <w:tr w14:paraId="08F791D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49B752B2">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房地产开发经营</w:t>
            </w:r>
          </w:p>
        </w:tc>
        <w:tc>
          <w:tcPr>
            <w:tcW w:w="1369" w:type="dxa"/>
            <w:tcBorders>
              <w:top w:val="nil"/>
              <w:left w:val="nil"/>
              <w:bottom w:val="nil"/>
              <w:right w:val="single" w:color="auto" w:sz="4" w:space="0"/>
            </w:tcBorders>
            <w:vAlign w:val="center"/>
          </w:tcPr>
          <w:p w14:paraId="7164472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nil"/>
              <w:right w:val="single" w:color="auto" w:sz="4" w:space="0"/>
            </w:tcBorders>
            <w:vAlign w:val="center"/>
          </w:tcPr>
          <w:p w14:paraId="6BA47FE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nil"/>
              <w:right w:val="single" w:color="auto" w:sz="4" w:space="0"/>
            </w:tcBorders>
            <w:vAlign w:val="center"/>
          </w:tcPr>
          <w:p w14:paraId="3BCB477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Y≥200000</w:t>
            </w:r>
          </w:p>
        </w:tc>
        <w:tc>
          <w:tcPr>
            <w:tcW w:w="1701" w:type="dxa"/>
            <w:tcBorders>
              <w:top w:val="nil"/>
              <w:left w:val="nil"/>
              <w:bottom w:val="nil"/>
              <w:right w:val="single" w:color="auto" w:sz="4" w:space="0"/>
            </w:tcBorders>
            <w:vAlign w:val="center"/>
          </w:tcPr>
          <w:p w14:paraId="539AF49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1000≤Y＜200000</w:t>
            </w:r>
          </w:p>
        </w:tc>
        <w:tc>
          <w:tcPr>
            <w:tcW w:w="1426" w:type="dxa"/>
            <w:tcBorders>
              <w:top w:val="nil"/>
              <w:left w:val="nil"/>
              <w:bottom w:val="nil"/>
              <w:right w:val="single" w:color="auto" w:sz="4" w:space="0"/>
            </w:tcBorders>
            <w:vAlign w:val="center"/>
          </w:tcPr>
          <w:p w14:paraId="687F32B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nil"/>
              <w:right w:val="nil"/>
            </w:tcBorders>
            <w:vAlign w:val="center"/>
          </w:tcPr>
          <w:p w14:paraId="6AE5160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07E3E68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3683ABB">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331478B3">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1DD92B6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5925060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Z≥10000</w:t>
            </w:r>
          </w:p>
        </w:tc>
        <w:tc>
          <w:tcPr>
            <w:tcW w:w="1701" w:type="dxa"/>
            <w:tcBorders>
              <w:top w:val="nil"/>
              <w:left w:val="nil"/>
              <w:bottom w:val="single" w:color="auto" w:sz="4" w:space="0"/>
              <w:right w:val="single" w:color="auto" w:sz="4" w:space="0"/>
            </w:tcBorders>
            <w:vAlign w:val="center"/>
          </w:tcPr>
          <w:p w14:paraId="485ADB9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5000≤Z＜10000</w:t>
            </w:r>
          </w:p>
        </w:tc>
        <w:tc>
          <w:tcPr>
            <w:tcW w:w="1426" w:type="dxa"/>
            <w:tcBorders>
              <w:top w:val="nil"/>
              <w:left w:val="nil"/>
              <w:bottom w:val="single" w:color="auto" w:sz="4" w:space="0"/>
              <w:right w:val="single" w:color="auto" w:sz="4" w:space="0"/>
            </w:tcBorders>
            <w:vAlign w:val="center"/>
          </w:tcPr>
          <w:p w14:paraId="21D48DE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2000≤Z＜5000   </w:t>
            </w:r>
          </w:p>
        </w:tc>
        <w:tc>
          <w:tcPr>
            <w:tcW w:w="992" w:type="dxa"/>
            <w:tcBorders>
              <w:top w:val="nil"/>
              <w:left w:val="nil"/>
              <w:bottom w:val="single" w:color="auto" w:sz="4" w:space="0"/>
              <w:right w:val="nil"/>
            </w:tcBorders>
            <w:vAlign w:val="center"/>
          </w:tcPr>
          <w:p w14:paraId="2F232E7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Z＜2000</w:t>
            </w:r>
          </w:p>
        </w:tc>
      </w:tr>
      <w:tr w14:paraId="74B1549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38EC84E">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物业管理</w:t>
            </w:r>
          </w:p>
        </w:tc>
        <w:tc>
          <w:tcPr>
            <w:tcW w:w="1369" w:type="dxa"/>
            <w:tcBorders>
              <w:top w:val="nil"/>
              <w:left w:val="nil"/>
              <w:bottom w:val="nil"/>
              <w:right w:val="single" w:color="auto" w:sz="4" w:space="0"/>
            </w:tcBorders>
            <w:vAlign w:val="center"/>
          </w:tcPr>
          <w:p w14:paraId="00AA1C1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0192F5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72CDBD1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586B7E3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0EDD38C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992" w:type="dxa"/>
            <w:tcBorders>
              <w:top w:val="nil"/>
              <w:left w:val="nil"/>
              <w:bottom w:val="nil"/>
              <w:right w:val="nil"/>
            </w:tcBorders>
            <w:vAlign w:val="center"/>
          </w:tcPr>
          <w:p w14:paraId="1E88296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w:t>
            </w:r>
          </w:p>
        </w:tc>
      </w:tr>
      <w:tr w14:paraId="2D134F2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F9F8A9">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62E8443F">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FA3540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68B9E98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Y≥5000</w:t>
            </w:r>
          </w:p>
        </w:tc>
        <w:tc>
          <w:tcPr>
            <w:tcW w:w="1701" w:type="dxa"/>
            <w:tcBorders>
              <w:top w:val="nil"/>
              <w:left w:val="nil"/>
              <w:bottom w:val="single" w:color="auto" w:sz="4" w:space="0"/>
              <w:right w:val="single" w:color="auto" w:sz="4" w:space="0"/>
            </w:tcBorders>
            <w:vAlign w:val="center"/>
          </w:tcPr>
          <w:p w14:paraId="39DD59AA">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14:paraId="2C83C86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500≤Y＜1000</w:t>
            </w:r>
          </w:p>
        </w:tc>
        <w:tc>
          <w:tcPr>
            <w:tcW w:w="992" w:type="dxa"/>
            <w:tcBorders>
              <w:top w:val="nil"/>
              <w:left w:val="nil"/>
              <w:bottom w:val="single" w:color="auto" w:sz="4" w:space="0"/>
              <w:right w:val="nil"/>
            </w:tcBorders>
            <w:vAlign w:val="center"/>
          </w:tcPr>
          <w:p w14:paraId="4ED52A1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Y＜500</w:t>
            </w:r>
          </w:p>
        </w:tc>
      </w:tr>
      <w:tr w14:paraId="6C67D1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C1E9AA0">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租赁和商务服务业</w:t>
            </w:r>
          </w:p>
        </w:tc>
        <w:tc>
          <w:tcPr>
            <w:tcW w:w="1369" w:type="dxa"/>
            <w:tcBorders>
              <w:top w:val="nil"/>
              <w:left w:val="nil"/>
              <w:bottom w:val="nil"/>
              <w:right w:val="single" w:color="auto" w:sz="4" w:space="0"/>
            </w:tcBorders>
            <w:vAlign w:val="center"/>
          </w:tcPr>
          <w:p w14:paraId="4E8944D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52071B1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572A80C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4133D5BF">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5D5BD70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2995325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4096DAD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4BA6D9C">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16E9FAF9">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0F3775D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7D7D430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Z≥120000</w:t>
            </w:r>
          </w:p>
        </w:tc>
        <w:tc>
          <w:tcPr>
            <w:tcW w:w="1701" w:type="dxa"/>
            <w:tcBorders>
              <w:top w:val="nil"/>
              <w:left w:val="nil"/>
              <w:bottom w:val="single" w:color="auto" w:sz="4" w:space="0"/>
              <w:right w:val="single" w:color="auto" w:sz="4" w:space="0"/>
            </w:tcBorders>
            <w:vAlign w:val="center"/>
          </w:tcPr>
          <w:p w14:paraId="6735F71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14:paraId="6E1DF38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100≤Z＜8000</w:t>
            </w:r>
          </w:p>
        </w:tc>
        <w:tc>
          <w:tcPr>
            <w:tcW w:w="992" w:type="dxa"/>
            <w:tcBorders>
              <w:top w:val="nil"/>
              <w:left w:val="nil"/>
              <w:bottom w:val="single" w:color="auto" w:sz="4" w:space="0"/>
              <w:right w:val="nil"/>
            </w:tcBorders>
            <w:vAlign w:val="center"/>
          </w:tcPr>
          <w:p w14:paraId="0F8C4D5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Z＜100</w:t>
            </w:r>
          </w:p>
        </w:tc>
      </w:tr>
      <w:tr w14:paraId="6D70E0C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6C79DE1E">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5859CB8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14:paraId="4ED8A41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single" w:color="auto" w:sz="4" w:space="0"/>
              <w:right w:val="single" w:color="auto" w:sz="4" w:space="0"/>
            </w:tcBorders>
            <w:vAlign w:val="center"/>
          </w:tcPr>
          <w:p w14:paraId="5A343E4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single" w:color="auto" w:sz="4" w:space="0"/>
              <w:right w:val="single" w:color="auto" w:sz="4" w:space="0"/>
            </w:tcBorders>
            <w:vAlign w:val="center"/>
          </w:tcPr>
          <w:p w14:paraId="0E96F7F8">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413B41B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single" w:color="auto" w:sz="4" w:space="0"/>
              <w:right w:val="nil"/>
            </w:tcBorders>
            <w:vAlign w:val="center"/>
          </w:tcPr>
          <w:p w14:paraId="3C40DC5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bl>
    <w:p w14:paraId="00A7D47C">
      <w:pPr>
        <w:rPr>
          <w:color w:val="000000"/>
          <w:highlight w:val="none"/>
        </w:rPr>
      </w:pPr>
    </w:p>
    <w:sectPr>
      <w:footerReference r:id="rId11" w:type="first"/>
      <w:footerReference r:id="rId10" w:type="default"/>
      <w:pgSz w:w="11905" w:h="16838"/>
      <w:pgMar w:top="1440" w:right="1077" w:bottom="1440" w:left="1417" w:header="850" w:footer="850" w:gutter="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504020202030204"/>
    <w:charset w:val="00"/>
    <w:family w:val="swiss"/>
    <w:pitch w:val="default"/>
    <w:sig w:usb0="00000000" w:usb1="00000000" w:usb2="00000000" w:usb3="00000000" w:csb0="00000093"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EAE9">
    <w:pPr>
      <w:pStyle w:val="4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EB39">
    <w:pPr>
      <w:pStyle w:val="47"/>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A27D">
    <w:pPr>
      <w:pStyle w:val="47"/>
      <w:tabs>
        <w:tab w:val="clear" w:pos="4153"/>
        <w:tab w:val="clear" w:pos="8306"/>
      </w:tabs>
      <w:jc w:val="center"/>
    </w:pPr>
    <w:r>
      <w:fldChar w:fldCharType="begin"/>
    </w:r>
    <w:r>
      <w:instrText xml:space="preserve"> PAGE   \* MERGEFORMAT </w:instrText>
    </w:r>
    <w:r>
      <w:fldChar w:fldCharType="separate"/>
    </w:r>
    <w:r>
      <w:rPr>
        <w:lang w:val="zh-CN"/>
      </w:rPr>
      <w:t>57</w:t>
    </w:r>
    <w:r>
      <w:fldChar w:fldCharType="end"/>
    </w:r>
  </w:p>
  <w:p w14:paraId="538AFAC7">
    <w:pPr>
      <w:pStyle w:val="47"/>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2DAB">
    <w:pPr>
      <w:pStyle w:val="47"/>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E47D86C">
                          <w:pPr>
                            <w:pStyle w:val="47"/>
                            <w:tabs>
                              <w:tab w:val="clear" w:pos="4153"/>
                              <w:tab w:val="clear" w:pos="8306"/>
                            </w:tabs>
                          </w:pPr>
                          <w:r>
                            <w:fldChar w:fldCharType="begin"/>
                          </w:r>
                          <w:r>
                            <w:instrText xml:space="preserve"> PAGE  \* MERGEFORMAT </w:instrText>
                          </w:r>
                          <w:r>
                            <w:fldChar w:fldCharType="separate"/>
                          </w:r>
                          <w:r>
                            <w:t>1</w:t>
                          </w:r>
                          <w:r>
                            <w:fldChar w:fldCharType="end"/>
                          </w:r>
                        </w:p>
                        <w:p w14:paraId="3C21E3E3"/>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Z5ZLvboBAACGAwAADgAAAAAAAAABACAAAAAiAQAAZHJzL2Uyb0RvYy54bWxQSwUGAAAA&#10;AAYABgBZAQAATgUAAAAA&#10;">
              <v:fill on="f" focussize="0,0"/>
              <v:stroke on="f"/>
              <v:imagedata o:title=""/>
              <o:lock v:ext="edit" aspectratio="f"/>
              <v:textbox>
                <w:txbxContent>
                  <w:p w14:paraId="4E47D86C">
                    <w:pPr>
                      <w:pStyle w:val="47"/>
                      <w:tabs>
                        <w:tab w:val="clear" w:pos="4153"/>
                        <w:tab w:val="clear" w:pos="8306"/>
                      </w:tabs>
                    </w:pPr>
                    <w:r>
                      <w:fldChar w:fldCharType="begin"/>
                    </w:r>
                    <w:r>
                      <w:instrText xml:space="preserve"> PAGE  \* MERGEFORMAT </w:instrText>
                    </w:r>
                    <w:r>
                      <w:fldChar w:fldCharType="separate"/>
                    </w:r>
                    <w:r>
                      <w:t>1</w:t>
                    </w:r>
                    <w:r>
                      <w:fldChar w:fldCharType="end"/>
                    </w:r>
                  </w:p>
                  <w:p w14:paraId="3C21E3E3"/>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2ECE">
    <w:pPr>
      <w:pStyle w:val="47"/>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02E1427">
                          <w:pPr>
                            <w:pStyle w:val="4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p w14:paraId="1B684560"/>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2mvkouQEAAIYDAAAOAAAAAAAAAAEAIAAAACIBAABkcnMvZTJvRG9jLnhtbFBLBQYAAAAA&#10;BgAGAFkBAABNBQAAAAA=&#10;">
              <v:fill on="f" focussize="0,0"/>
              <v:stroke on="f"/>
              <v:imagedata o:title=""/>
              <o:lock v:ext="edit" aspectratio="f"/>
              <v:textbox>
                <w:txbxContent>
                  <w:p w14:paraId="302E1427">
                    <w:pPr>
                      <w:pStyle w:val="4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p w14:paraId="1B684560"/>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475D">
    <w:pPr>
      <w:pStyle w:val="4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A3F15EE">
                          <w:pPr>
                            <w:pStyle w:val="4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p w14:paraId="02F24674"/>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7A3F15EE">
                    <w:pPr>
                      <w:pStyle w:val="4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p w14:paraId="02F24674"/>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3366">
    <w:pPr>
      <w:pStyle w:val="49"/>
      <w:pBdr>
        <w:bottom w:val="single" w:color="auto" w:sz="4" w:space="1"/>
      </w:pBdr>
      <w:tabs>
        <w:tab w:val="clear" w:pos="4153"/>
        <w:tab w:val="clear" w:pos="8306"/>
      </w:tabs>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8B7D">
    <w:pPr>
      <w:pStyle w:val="49"/>
      <w:pBdr>
        <w:bottom w:val="single" w:color="auto" w:sz="4" w:space="1"/>
      </w:pBdr>
      <w:tabs>
        <w:tab w:val="clear" w:pos="4153"/>
        <w:tab w:val="clear" w:pos="8306"/>
      </w:tabs>
      <w:rP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387A">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0B56A"/>
    <w:multiLevelType w:val="singleLevel"/>
    <w:tmpl w:val="EF80B56A"/>
    <w:lvl w:ilvl="0" w:tentative="0">
      <w:start w:val="1"/>
      <w:numFmt w:val="decimal"/>
      <w:suff w:val="space"/>
      <w:lvlText w:val="%1."/>
      <w:lvlJc w:val="left"/>
    </w:lvl>
  </w:abstractNum>
  <w:abstractNum w:abstractNumId="1">
    <w:nsid w:val="F915BF01"/>
    <w:multiLevelType w:val="singleLevel"/>
    <w:tmpl w:val="F915BF01"/>
    <w:lvl w:ilvl="0" w:tentative="0">
      <w:start w:val="2"/>
      <w:numFmt w:val="chineseCounting"/>
      <w:suff w:val="space"/>
      <w:lvlText w:val="第%1部分"/>
      <w:lvlJc w:val="left"/>
      <w:rPr>
        <w:rFonts w:hint="eastAsia"/>
      </w:rPr>
    </w:lvl>
  </w:abstractNum>
  <w:abstractNum w:abstractNumId="2">
    <w:nsid w:val="13182EB1"/>
    <w:multiLevelType w:val="multilevel"/>
    <w:tmpl w:val="13182EB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E2DDD3"/>
    <w:multiLevelType w:val="singleLevel"/>
    <w:tmpl w:val="21E2DDD3"/>
    <w:lvl w:ilvl="0" w:tentative="0">
      <w:start w:val="1"/>
      <w:numFmt w:val="decimal"/>
      <w:suff w:val="space"/>
      <w:lvlText w:val="(%1)"/>
      <w:lvlJc w:val="left"/>
    </w:lvl>
  </w:abstractNum>
  <w:abstractNum w:abstractNumId="4">
    <w:nsid w:val="28F1692E"/>
    <w:multiLevelType w:val="multilevel"/>
    <w:tmpl w:val="28F1692E"/>
    <w:lvl w:ilvl="0" w:tentative="0">
      <w:start w:val="2"/>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EFEF5F"/>
    <w:multiLevelType w:val="singleLevel"/>
    <w:tmpl w:val="3AEFEF5F"/>
    <w:lvl w:ilvl="0" w:tentative="0">
      <w:start w:val="2"/>
      <w:numFmt w:val="decimal"/>
      <w:lvlText w:val="%1."/>
      <w:lvlJc w:val="left"/>
      <w:pPr>
        <w:tabs>
          <w:tab w:val="left" w:pos="312"/>
        </w:tabs>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7FF7084E"/>
    <w:multiLevelType w:val="singleLevel"/>
    <w:tmpl w:val="7FF7084E"/>
    <w:lvl w:ilvl="0" w:tentative="0">
      <w:start w:val="2"/>
      <w:numFmt w:val="decimal"/>
      <w:suff w:val="space"/>
      <w:lvlText w:val="%1."/>
      <w:lvlJc w:val="left"/>
    </w:lvl>
  </w:abstractNum>
  <w:num w:numId="1">
    <w:abstractNumId w:val="5"/>
  </w:num>
  <w:num w:numId="2">
    <w:abstractNumId w:val="2"/>
  </w:num>
  <w:num w:numId="3">
    <w:abstractNumId w:val="3"/>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F3999"/>
    <w:rsid w:val="0CC9586B"/>
    <w:rsid w:val="0E551324"/>
    <w:rsid w:val="188243CB"/>
    <w:rsid w:val="1C9079D9"/>
    <w:rsid w:val="2A9211C9"/>
    <w:rsid w:val="304D1C77"/>
    <w:rsid w:val="384F06F9"/>
    <w:rsid w:val="39B32DC6"/>
    <w:rsid w:val="3EFB3F67"/>
    <w:rsid w:val="433027BC"/>
    <w:rsid w:val="4CC80ACB"/>
    <w:rsid w:val="56C3068D"/>
    <w:rsid w:val="5763424F"/>
    <w:rsid w:val="610F0176"/>
    <w:rsid w:val="6267539F"/>
    <w:rsid w:val="658E1FB1"/>
    <w:rsid w:val="67623EC0"/>
    <w:rsid w:val="6BA16AC2"/>
    <w:rsid w:val="6DCB5FB3"/>
    <w:rsid w:val="6E3D27C7"/>
    <w:rsid w:val="71D0322E"/>
    <w:rsid w:val="732A40C1"/>
    <w:rsid w:val="73A42CDD"/>
    <w:rsid w:val="74840294"/>
    <w:rsid w:val="7EA01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标题 11"/>
    <w:basedOn w:val="1"/>
    <w:link w:val="17"/>
    <w:qFormat/>
    <w:uiPriority w:val="0"/>
    <w:pPr>
      <w:keepNext/>
      <w:outlineLvl w:val="0"/>
    </w:pPr>
    <w:rPr>
      <w:b/>
    </w:rPr>
  </w:style>
  <w:style w:type="paragraph" w:customStyle="1" w:styleId="7">
    <w:name w:val="标题 21"/>
    <w:basedOn w:val="1"/>
    <w:link w:val="18"/>
    <w:qFormat/>
    <w:uiPriority w:val="0"/>
    <w:pPr>
      <w:keepNext/>
      <w:keepLines/>
      <w:spacing w:before="260" w:after="260" w:line="416" w:lineRule="auto"/>
      <w:outlineLvl w:val="1"/>
    </w:pPr>
    <w:rPr>
      <w:rFonts w:ascii="Arial" w:hAnsi="Arial" w:eastAsia="黑体"/>
      <w:b/>
      <w:bCs/>
      <w:sz w:val="32"/>
      <w:szCs w:val="32"/>
    </w:rPr>
  </w:style>
  <w:style w:type="paragraph" w:customStyle="1" w:styleId="8">
    <w:name w:val="标题 31"/>
    <w:basedOn w:val="1"/>
    <w:link w:val="19"/>
    <w:qFormat/>
    <w:uiPriority w:val="0"/>
    <w:pPr>
      <w:keepNext/>
      <w:keepLines/>
      <w:spacing w:before="260" w:after="260" w:line="416" w:lineRule="auto"/>
      <w:outlineLvl w:val="2"/>
    </w:pPr>
    <w:rPr>
      <w:b/>
      <w:bCs/>
      <w:sz w:val="32"/>
      <w:szCs w:val="32"/>
    </w:rPr>
  </w:style>
  <w:style w:type="paragraph" w:customStyle="1" w:styleId="9">
    <w:name w:val="标题 41"/>
    <w:basedOn w:val="1"/>
    <w:link w:val="20"/>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customStyle="1" w:styleId="10">
    <w:name w:val="标题 51"/>
    <w:basedOn w:val="1"/>
    <w:link w:val="21"/>
    <w:qFormat/>
    <w:uiPriority w:val="0"/>
    <w:pPr>
      <w:keepNext/>
      <w:keepLines/>
      <w:tabs>
        <w:tab w:val="left" w:pos="1008"/>
      </w:tabs>
      <w:spacing w:before="280" w:after="290" w:line="376" w:lineRule="auto"/>
      <w:ind w:left="1008" w:hanging="1008"/>
      <w:outlineLvl w:val="4"/>
    </w:pPr>
    <w:rPr>
      <w:b/>
      <w:bCs/>
      <w:sz w:val="28"/>
      <w:szCs w:val="28"/>
    </w:rPr>
  </w:style>
  <w:style w:type="paragraph" w:customStyle="1" w:styleId="11">
    <w:name w:val="标题 61"/>
    <w:basedOn w:val="1"/>
    <w:link w:val="2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customStyle="1" w:styleId="12">
    <w:name w:val="标题 71"/>
    <w:basedOn w:val="1"/>
    <w:link w:val="23"/>
    <w:qFormat/>
    <w:uiPriority w:val="0"/>
    <w:pPr>
      <w:keepNext/>
      <w:keepLines/>
      <w:tabs>
        <w:tab w:val="left" w:pos="1296"/>
      </w:tabs>
      <w:spacing w:before="240" w:after="64" w:line="320" w:lineRule="auto"/>
      <w:ind w:left="1296" w:hanging="1296"/>
      <w:outlineLvl w:val="6"/>
    </w:pPr>
    <w:rPr>
      <w:b/>
      <w:bCs/>
      <w:sz w:val="24"/>
    </w:rPr>
  </w:style>
  <w:style w:type="paragraph" w:customStyle="1" w:styleId="13">
    <w:name w:val="标题 81"/>
    <w:basedOn w:val="1"/>
    <w:link w:val="2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customStyle="1" w:styleId="14">
    <w:name w:val="标题 91"/>
    <w:basedOn w:val="1"/>
    <w:link w:val="2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customStyle="1" w:styleId="15">
    <w:name w:val="默认段落字体1"/>
    <w:link w:val="1"/>
    <w:qFormat/>
    <w:uiPriority w:val="0"/>
  </w:style>
  <w:style w:type="table" w:customStyle="1" w:styleId="16">
    <w:name w:val="普通表格1"/>
    <w:qFormat/>
    <w:uiPriority w:val="0"/>
  </w:style>
  <w:style w:type="character" w:customStyle="1" w:styleId="17">
    <w:name w:val="标题 1 Char"/>
    <w:link w:val="6"/>
    <w:qFormat/>
    <w:uiPriority w:val="0"/>
    <w:rPr>
      <w:b/>
      <w:kern w:val="2"/>
      <w:sz w:val="21"/>
      <w:szCs w:val="24"/>
    </w:rPr>
  </w:style>
  <w:style w:type="character" w:customStyle="1" w:styleId="18">
    <w:name w:val="标题 2 Char"/>
    <w:link w:val="7"/>
    <w:qFormat/>
    <w:uiPriority w:val="0"/>
    <w:rPr>
      <w:rFonts w:ascii="Arial" w:hAnsi="Arial" w:eastAsia="黑体"/>
      <w:b/>
      <w:bCs/>
      <w:kern w:val="2"/>
      <w:sz w:val="32"/>
      <w:szCs w:val="32"/>
    </w:rPr>
  </w:style>
  <w:style w:type="character" w:customStyle="1" w:styleId="19">
    <w:name w:val="标题 3 Char"/>
    <w:link w:val="8"/>
    <w:semiHidden/>
    <w:qFormat/>
    <w:uiPriority w:val="0"/>
    <w:rPr>
      <w:b/>
      <w:bCs/>
      <w:kern w:val="2"/>
      <w:sz w:val="32"/>
      <w:szCs w:val="32"/>
    </w:rPr>
  </w:style>
  <w:style w:type="character" w:customStyle="1" w:styleId="20">
    <w:name w:val="标题 4 Char"/>
    <w:link w:val="9"/>
    <w:qFormat/>
    <w:uiPriority w:val="0"/>
    <w:rPr>
      <w:rFonts w:ascii="Arial" w:hAnsi="Arial" w:eastAsia="黑体"/>
      <w:b/>
      <w:bCs/>
      <w:kern w:val="2"/>
      <w:sz w:val="28"/>
      <w:szCs w:val="28"/>
    </w:rPr>
  </w:style>
  <w:style w:type="character" w:customStyle="1" w:styleId="21">
    <w:name w:val="标题 5 Char"/>
    <w:link w:val="10"/>
    <w:qFormat/>
    <w:uiPriority w:val="0"/>
    <w:rPr>
      <w:b/>
      <w:bCs/>
      <w:kern w:val="2"/>
      <w:sz w:val="28"/>
      <w:szCs w:val="28"/>
    </w:rPr>
  </w:style>
  <w:style w:type="character" w:customStyle="1" w:styleId="22">
    <w:name w:val="标题 6 Char"/>
    <w:link w:val="11"/>
    <w:qFormat/>
    <w:uiPriority w:val="0"/>
    <w:rPr>
      <w:rFonts w:ascii="Arial" w:hAnsi="Arial" w:eastAsia="黑体"/>
      <w:b/>
      <w:bCs/>
      <w:kern w:val="2"/>
      <w:sz w:val="24"/>
      <w:szCs w:val="24"/>
    </w:rPr>
  </w:style>
  <w:style w:type="character" w:customStyle="1" w:styleId="23">
    <w:name w:val="标题 7 Char"/>
    <w:link w:val="12"/>
    <w:qFormat/>
    <w:uiPriority w:val="0"/>
    <w:rPr>
      <w:b/>
      <w:bCs/>
      <w:kern w:val="2"/>
      <w:sz w:val="24"/>
      <w:szCs w:val="24"/>
    </w:rPr>
  </w:style>
  <w:style w:type="character" w:customStyle="1" w:styleId="24">
    <w:name w:val="标题 8 Char"/>
    <w:link w:val="13"/>
    <w:qFormat/>
    <w:uiPriority w:val="0"/>
    <w:rPr>
      <w:rFonts w:ascii="Arial" w:hAnsi="Arial" w:eastAsia="黑体"/>
      <w:kern w:val="2"/>
      <w:sz w:val="24"/>
      <w:szCs w:val="24"/>
    </w:rPr>
  </w:style>
  <w:style w:type="character" w:customStyle="1" w:styleId="25">
    <w:name w:val="标题 9 Char"/>
    <w:link w:val="14"/>
    <w:qFormat/>
    <w:uiPriority w:val="0"/>
    <w:rPr>
      <w:rFonts w:ascii="Arial" w:hAnsi="Arial" w:eastAsia="黑体"/>
      <w:kern w:val="2"/>
      <w:sz w:val="21"/>
      <w:szCs w:val="21"/>
    </w:rPr>
  </w:style>
  <w:style w:type="paragraph" w:customStyle="1" w:styleId="26">
    <w:name w:val="目录 71"/>
    <w:basedOn w:val="1"/>
    <w:qFormat/>
    <w:uiPriority w:val="0"/>
    <w:pPr>
      <w:ind w:left="2520" w:leftChars="1200"/>
    </w:pPr>
  </w:style>
  <w:style w:type="paragraph" w:customStyle="1" w:styleId="27">
    <w:name w:val="正文缩进1"/>
    <w:basedOn w:val="1"/>
    <w:link w:val="28"/>
    <w:qFormat/>
    <w:uiPriority w:val="0"/>
    <w:pPr>
      <w:ind w:firstLine="420"/>
    </w:pPr>
    <w:rPr>
      <w:szCs w:val="20"/>
    </w:rPr>
  </w:style>
  <w:style w:type="character" w:customStyle="1" w:styleId="28">
    <w:name w:val="正文缩进 Char"/>
    <w:link w:val="27"/>
    <w:qFormat/>
    <w:uiPriority w:val="0"/>
    <w:rPr>
      <w:rFonts w:eastAsia="宋体"/>
      <w:kern w:val="2"/>
      <w:sz w:val="21"/>
      <w:lang w:val="en-US" w:eastAsia="zh-CN" w:bidi="ar-SA"/>
    </w:rPr>
  </w:style>
  <w:style w:type="paragraph" w:customStyle="1" w:styleId="29">
    <w:name w:val="题注1"/>
    <w:basedOn w:val="1"/>
    <w:qFormat/>
    <w:uiPriority w:val="0"/>
    <w:rPr>
      <w:rFonts w:ascii="Arial" w:hAnsi="Arial" w:eastAsia="黑体"/>
      <w:sz w:val="20"/>
      <w:szCs w:val="20"/>
    </w:rPr>
  </w:style>
  <w:style w:type="paragraph" w:customStyle="1" w:styleId="30">
    <w:name w:val="文档结构图1"/>
    <w:basedOn w:val="1"/>
    <w:semiHidden/>
    <w:qFormat/>
    <w:uiPriority w:val="0"/>
    <w:pPr>
      <w:shd w:val="clear" w:color="auto" w:fill="000080"/>
    </w:pPr>
  </w:style>
  <w:style w:type="paragraph" w:customStyle="1" w:styleId="31">
    <w:name w:val="批注文字1"/>
    <w:basedOn w:val="1"/>
    <w:link w:val="32"/>
    <w:qFormat/>
    <w:uiPriority w:val="0"/>
    <w:pPr>
      <w:jc w:val="left"/>
    </w:pPr>
  </w:style>
  <w:style w:type="character" w:customStyle="1" w:styleId="32">
    <w:name w:val="批注文字 Char"/>
    <w:link w:val="31"/>
    <w:qFormat/>
    <w:uiPriority w:val="0"/>
    <w:rPr>
      <w:rFonts w:eastAsia="宋体"/>
      <w:kern w:val="2"/>
      <w:sz w:val="21"/>
      <w:szCs w:val="24"/>
      <w:lang w:val="en-US" w:eastAsia="zh-CN" w:bidi="ar-SA"/>
    </w:rPr>
  </w:style>
  <w:style w:type="paragraph" w:customStyle="1" w:styleId="33">
    <w:name w:val="正文文本1"/>
    <w:basedOn w:val="1"/>
    <w:link w:val="34"/>
    <w:qFormat/>
    <w:uiPriority w:val="0"/>
    <w:pPr>
      <w:spacing w:after="120"/>
    </w:pPr>
  </w:style>
  <w:style w:type="character" w:customStyle="1" w:styleId="34">
    <w:name w:val="正文文本 Char"/>
    <w:link w:val="33"/>
    <w:qFormat/>
    <w:uiPriority w:val="0"/>
    <w:rPr>
      <w:kern w:val="2"/>
      <w:sz w:val="21"/>
      <w:szCs w:val="24"/>
    </w:rPr>
  </w:style>
  <w:style w:type="paragraph" w:customStyle="1" w:styleId="35">
    <w:name w:val="正文文本缩进1"/>
    <w:basedOn w:val="1"/>
    <w:qFormat/>
    <w:uiPriority w:val="0"/>
    <w:pPr>
      <w:spacing w:line="200" w:lineRule="exact"/>
      <w:ind w:firstLine="301"/>
    </w:pPr>
    <w:rPr>
      <w:rFonts w:ascii="宋体" w:hAnsi="Courier New"/>
      <w:spacing w:val="-4"/>
      <w:sz w:val="18"/>
      <w:szCs w:val="20"/>
    </w:rPr>
  </w:style>
  <w:style w:type="paragraph" w:customStyle="1" w:styleId="36">
    <w:name w:val="寄信人地址1"/>
    <w:basedOn w:val="1"/>
    <w:qFormat/>
    <w:uiPriority w:val="0"/>
    <w:pPr>
      <w:widowControl/>
      <w:snapToGrid w:val="0"/>
      <w:spacing w:after="200"/>
      <w:jc w:val="left"/>
    </w:pPr>
    <w:rPr>
      <w:rFonts w:ascii="Arial" w:hAnsi="Arial" w:eastAsia="微软雅黑"/>
      <w:kern w:val="0"/>
      <w:sz w:val="22"/>
      <w:szCs w:val="22"/>
    </w:rPr>
  </w:style>
  <w:style w:type="paragraph" w:customStyle="1" w:styleId="37">
    <w:name w:val="文本块1"/>
    <w:basedOn w:val="1"/>
    <w:qFormat/>
    <w:uiPriority w:val="0"/>
    <w:pPr>
      <w:snapToGrid w:val="0"/>
      <w:spacing w:line="480" w:lineRule="atLeast"/>
      <w:ind w:left="-57" w:right="69"/>
    </w:pPr>
    <w:rPr>
      <w:rFonts w:ascii="宋体"/>
      <w:b/>
      <w:sz w:val="24"/>
      <w:szCs w:val="20"/>
    </w:rPr>
  </w:style>
  <w:style w:type="paragraph" w:customStyle="1" w:styleId="38">
    <w:name w:val="目录 51"/>
    <w:basedOn w:val="1"/>
    <w:qFormat/>
    <w:uiPriority w:val="0"/>
    <w:pPr>
      <w:ind w:left="1680" w:leftChars="800"/>
    </w:pPr>
    <w:rPr>
      <w:rFonts w:ascii="Calibri" w:hAnsi="Calibri" w:eastAsia="宋体"/>
      <w:szCs w:val="22"/>
    </w:rPr>
  </w:style>
  <w:style w:type="paragraph" w:customStyle="1" w:styleId="39">
    <w:name w:val="目录 31"/>
    <w:basedOn w:val="1"/>
    <w:qFormat/>
    <w:uiPriority w:val="0"/>
    <w:pPr>
      <w:ind w:left="840" w:leftChars="400"/>
    </w:pPr>
  </w:style>
  <w:style w:type="paragraph" w:customStyle="1" w:styleId="40">
    <w:name w:val="纯文本1"/>
    <w:basedOn w:val="1"/>
    <w:link w:val="41"/>
    <w:qFormat/>
    <w:uiPriority w:val="0"/>
    <w:rPr>
      <w:rFonts w:hint="eastAsia" w:ascii="宋体" w:hAnsi="Courier New"/>
      <w:szCs w:val="21"/>
    </w:rPr>
  </w:style>
  <w:style w:type="character" w:customStyle="1" w:styleId="41">
    <w:name w:val="纯文本 Char2"/>
    <w:link w:val="40"/>
    <w:qFormat/>
    <w:uiPriority w:val="0"/>
    <w:rPr>
      <w:rFonts w:hint="eastAsia" w:ascii="宋体" w:hAnsi="Courier New" w:eastAsia="宋体"/>
      <w:kern w:val="2"/>
      <w:sz w:val="21"/>
      <w:szCs w:val="21"/>
    </w:rPr>
  </w:style>
  <w:style w:type="paragraph" w:customStyle="1" w:styleId="42">
    <w:name w:val="目录 81"/>
    <w:basedOn w:val="1"/>
    <w:qFormat/>
    <w:uiPriority w:val="0"/>
    <w:pPr>
      <w:ind w:left="2940" w:leftChars="1400"/>
    </w:pPr>
    <w:rPr>
      <w:rFonts w:ascii="Calibri" w:hAnsi="Calibri" w:eastAsia="宋体"/>
      <w:szCs w:val="22"/>
    </w:rPr>
  </w:style>
  <w:style w:type="paragraph" w:customStyle="1" w:styleId="43">
    <w:name w:val="日期1"/>
    <w:basedOn w:val="1"/>
    <w:link w:val="44"/>
    <w:qFormat/>
    <w:uiPriority w:val="0"/>
    <w:pPr>
      <w:ind w:left="100" w:leftChars="2500"/>
    </w:pPr>
  </w:style>
  <w:style w:type="character" w:customStyle="1" w:styleId="44">
    <w:name w:val="日期 Char"/>
    <w:link w:val="43"/>
    <w:semiHidden/>
    <w:qFormat/>
    <w:uiPriority w:val="0"/>
    <w:rPr>
      <w:rFonts w:eastAsia="宋体"/>
      <w:kern w:val="2"/>
      <w:sz w:val="21"/>
      <w:szCs w:val="24"/>
      <w:lang w:val="en-US" w:eastAsia="zh-CN" w:bidi="ar-SA"/>
    </w:rPr>
  </w:style>
  <w:style w:type="paragraph" w:customStyle="1" w:styleId="45">
    <w:name w:val="正文文本缩进 21"/>
    <w:basedOn w:val="1"/>
    <w:qFormat/>
    <w:uiPriority w:val="0"/>
    <w:pPr>
      <w:spacing w:after="120" w:line="480" w:lineRule="auto"/>
      <w:ind w:left="420" w:leftChars="200"/>
    </w:pPr>
  </w:style>
  <w:style w:type="paragraph" w:customStyle="1" w:styleId="46">
    <w:name w:val="批注框文本1"/>
    <w:basedOn w:val="1"/>
    <w:semiHidden/>
    <w:qFormat/>
    <w:uiPriority w:val="0"/>
    <w:rPr>
      <w:sz w:val="18"/>
      <w:szCs w:val="18"/>
    </w:rPr>
  </w:style>
  <w:style w:type="paragraph" w:customStyle="1" w:styleId="47">
    <w:name w:val="页脚1"/>
    <w:basedOn w:val="1"/>
    <w:link w:val="48"/>
    <w:qFormat/>
    <w:uiPriority w:val="0"/>
    <w:pPr>
      <w:tabs>
        <w:tab w:val="center" w:pos="4153"/>
        <w:tab w:val="right" w:pos="8306"/>
      </w:tabs>
      <w:snapToGrid w:val="0"/>
      <w:jc w:val="left"/>
    </w:pPr>
    <w:rPr>
      <w:rFonts w:ascii="宋体" w:hAnsi="Courier New"/>
      <w:sz w:val="18"/>
      <w:szCs w:val="20"/>
    </w:rPr>
  </w:style>
  <w:style w:type="character" w:customStyle="1" w:styleId="48">
    <w:name w:val="页脚 Char"/>
    <w:link w:val="47"/>
    <w:qFormat/>
    <w:uiPriority w:val="0"/>
    <w:rPr>
      <w:rFonts w:ascii="宋体" w:hAnsi="Courier New"/>
      <w:kern w:val="2"/>
      <w:sz w:val="18"/>
    </w:rPr>
  </w:style>
  <w:style w:type="paragraph" w:customStyle="1" w:styleId="49">
    <w:name w:val="页眉1"/>
    <w:basedOn w:val="1"/>
    <w:link w:val="50"/>
    <w:qFormat/>
    <w:uiPriority w:val="0"/>
    <w:pPr>
      <w:pBdr>
        <w:bottom w:val="single" w:color="auto" w:sz="6" w:space="1"/>
      </w:pBdr>
      <w:tabs>
        <w:tab w:val="center" w:pos="4153"/>
        <w:tab w:val="right" w:pos="8306"/>
      </w:tabs>
      <w:snapToGrid w:val="0"/>
      <w:jc w:val="center"/>
    </w:pPr>
    <w:rPr>
      <w:rFonts w:ascii="宋体" w:hAnsi="Courier New"/>
      <w:sz w:val="18"/>
      <w:szCs w:val="20"/>
    </w:rPr>
  </w:style>
  <w:style w:type="character" w:customStyle="1" w:styleId="50">
    <w:name w:val="页眉 Char"/>
    <w:link w:val="49"/>
    <w:qFormat/>
    <w:uiPriority w:val="0"/>
    <w:rPr>
      <w:rFonts w:ascii="宋体" w:hAnsi="Courier New" w:eastAsia="宋体"/>
      <w:kern w:val="2"/>
      <w:sz w:val="18"/>
      <w:lang w:val="en-US" w:eastAsia="zh-CN" w:bidi="ar-SA"/>
    </w:rPr>
  </w:style>
  <w:style w:type="paragraph" w:customStyle="1" w:styleId="51">
    <w:name w:val="目录 11"/>
    <w:basedOn w:val="1"/>
    <w:qFormat/>
    <w:uiPriority w:val="0"/>
    <w:pPr>
      <w:tabs>
        <w:tab w:val="right" w:leader="dot" w:pos="8820"/>
      </w:tabs>
      <w:ind w:left="540"/>
      <w:jc w:val="left"/>
    </w:pPr>
    <w:rPr>
      <w:rFonts w:ascii="宋体" w:hAnsi="宋体"/>
      <w:b/>
      <w:bCs/>
      <w:caps/>
      <w:szCs w:val="21"/>
    </w:rPr>
  </w:style>
  <w:style w:type="paragraph" w:customStyle="1" w:styleId="52">
    <w:name w:val="目录 41"/>
    <w:basedOn w:val="1"/>
    <w:qFormat/>
    <w:uiPriority w:val="0"/>
    <w:pPr>
      <w:ind w:left="1260" w:leftChars="600"/>
    </w:pPr>
    <w:rPr>
      <w:rFonts w:ascii="Calibri" w:hAnsi="Calibri" w:eastAsia="宋体"/>
      <w:szCs w:val="22"/>
    </w:rPr>
  </w:style>
  <w:style w:type="paragraph" w:customStyle="1" w:styleId="53">
    <w:name w:val="索引标题1"/>
    <w:basedOn w:val="1"/>
    <w:qFormat/>
    <w:uiPriority w:val="0"/>
    <w:rPr>
      <w:szCs w:val="21"/>
    </w:rPr>
  </w:style>
  <w:style w:type="paragraph" w:customStyle="1" w:styleId="54">
    <w:name w:val="索引 11"/>
    <w:basedOn w:val="1"/>
    <w:semiHidden/>
    <w:qFormat/>
    <w:uiPriority w:val="0"/>
    <w:pPr>
      <w:spacing w:line="360" w:lineRule="auto"/>
    </w:pPr>
    <w:rPr>
      <w:rFonts w:ascii="宋体" w:hAnsi="宋体"/>
      <w:bCs/>
      <w:szCs w:val="21"/>
    </w:rPr>
  </w:style>
  <w:style w:type="paragraph" w:customStyle="1" w:styleId="55">
    <w:name w:val="目录 61"/>
    <w:basedOn w:val="1"/>
    <w:qFormat/>
    <w:uiPriority w:val="0"/>
    <w:pPr>
      <w:ind w:left="2100" w:leftChars="1000"/>
    </w:pPr>
    <w:rPr>
      <w:rFonts w:ascii="Calibri" w:hAnsi="Calibri" w:eastAsia="宋体"/>
      <w:szCs w:val="22"/>
    </w:rPr>
  </w:style>
  <w:style w:type="paragraph" w:customStyle="1" w:styleId="56">
    <w:name w:val="正文文本缩进 31"/>
    <w:basedOn w:val="1"/>
    <w:link w:val="57"/>
    <w:qFormat/>
    <w:uiPriority w:val="0"/>
    <w:pPr>
      <w:spacing w:after="120"/>
      <w:ind w:left="420" w:leftChars="200"/>
    </w:pPr>
    <w:rPr>
      <w:sz w:val="16"/>
      <w:szCs w:val="16"/>
    </w:rPr>
  </w:style>
  <w:style w:type="character" w:customStyle="1" w:styleId="57">
    <w:name w:val="正文文本缩进 3 Char"/>
    <w:link w:val="56"/>
    <w:qFormat/>
    <w:uiPriority w:val="0"/>
    <w:rPr>
      <w:rFonts w:eastAsia="宋体"/>
      <w:kern w:val="2"/>
      <w:sz w:val="16"/>
      <w:szCs w:val="16"/>
      <w:lang w:val="en-US" w:eastAsia="zh-CN" w:bidi="ar-SA"/>
    </w:rPr>
  </w:style>
  <w:style w:type="paragraph" w:customStyle="1" w:styleId="58">
    <w:name w:val="目录 21"/>
    <w:basedOn w:val="1"/>
    <w:qFormat/>
    <w:uiPriority w:val="0"/>
    <w:pPr>
      <w:tabs>
        <w:tab w:val="right" w:leader="dot" w:pos="8280"/>
      </w:tabs>
      <w:spacing w:line="320" w:lineRule="exact"/>
      <w:ind w:left="1080"/>
      <w:jc w:val="left"/>
    </w:pPr>
    <w:rPr>
      <w:rFonts w:ascii="宋体" w:hAnsi="宋体"/>
      <w:szCs w:val="21"/>
    </w:rPr>
  </w:style>
  <w:style w:type="paragraph" w:customStyle="1" w:styleId="59">
    <w:name w:val="目录 91"/>
    <w:basedOn w:val="1"/>
    <w:qFormat/>
    <w:uiPriority w:val="0"/>
    <w:pPr>
      <w:ind w:left="3360" w:leftChars="1600"/>
    </w:pPr>
    <w:rPr>
      <w:rFonts w:ascii="Calibri" w:hAnsi="Calibri" w:eastAsia="宋体"/>
      <w:szCs w:val="22"/>
    </w:rPr>
  </w:style>
  <w:style w:type="paragraph" w:customStyle="1" w:styleId="60">
    <w:name w:val="正文文本 21"/>
    <w:basedOn w:val="1"/>
    <w:qFormat/>
    <w:uiPriority w:val="0"/>
    <w:pPr>
      <w:spacing w:after="120" w:line="480" w:lineRule="auto"/>
    </w:pPr>
  </w:style>
  <w:style w:type="paragraph" w:customStyle="1" w:styleId="61">
    <w:name w:val="HTML 预设格式1"/>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62">
    <w:name w:val="HTML 预设格式 Char"/>
    <w:link w:val="61"/>
    <w:qFormat/>
    <w:uiPriority w:val="0"/>
    <w:rPr>
      <w:rFonts w:ascii="黑体" w:hAnsi="Courier New" w:eastAsia="黑体"/>
      <w:lang w:val="en-US" w:eastAsia="zh-CN" w:bidi="ar-SA"/>
    </w:rPr>
  </w:style>
  <w:style w:type="paragraph" w:customStyle="1" w:styleId="6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4">
    <w:name w:val="批注主题1"/>
    <w:basedOn w:val="31"/>
    <w:semiHidden/>
    <w:qFormat/>
    <w:uiPriority w:val="0"/>
    <w:rPr>
      <w:b/>
      <w:bCs/>
    </w:rPr>
  </w:style>
  <w:style w:type="paragraph" w:customStyle="1" w:styleId="65">
    <w:name w:val="正文首行缩进1"/>
    <w:basedOn w:val="33"/>
    <w:link w:val="66"/>
    <w:qFormat/>
    <w:uiPriority w:val="0"/>
    <w:pPr>
      <w:spacing w:line="360" w:lineRule="exact"/>
      <w:ind w:firstLine="420" w:firstLineChars="100"/>
    </w:pPr>
  </w:style>
  <w:style w:type="character" w:customStyle="1" w:styleId="66">
    <w:name w:val="正文首行缩进 Char"/>
    <w:link w:val="65"/>
    <w:qFormat/>
    <w:uiPriority w:val="0"/>
    <w:rPr>
      <w:kern w:val="2"/>
      <w:sz w:val="21"/>
      <w:szCs w:val="24"/>
    </w:rPr>
  </w:style>
  <w:style w:type="paragraph" w:customStyle="1" w:styleId="67">
    <w:name w:val="正文首行缩进 21"/>
    <w:basedOn w:val="35"/>
    <w:qFormat/>
    <w:uiPriority w:val="0"/>
    <w:pPr>
      <w:spacing w:after="120" w:line="240" w:lineRule="auto"/>
      <w:ind w:left="420" w:leftChars="200" w:firstLine="420" w:firstLineChars="200"/>
    </w:pPr>
    <w:rPr>
      <w:rFonts w:ascii="黑体" w:eastAsia="黑体"/>
      <w:spacing w:val="0"/>
      <w:kern w:val="0"/>
      <w:sz w:val="20"/>
    </w:rPr>
  </w:style>
  <w:style w:type="table" w:customStyle="1" w:styleId="68">
    <w:name w:val="网格型1"/>
    <w:basedOn w:val="16"/>
    <w:qFormat/>
    <w:uiPriority w:val="0"/>
    <w:pPr>
      <w:widowControl w:val="0"/>
      <w:jc w:val="both"/>
    </w:pPr>
  </w:style>
  <w:style w:type="character" w:customStyle="1" w:styleId="69">
    <w:name w:val="要点1"/>
    <w:link w:val="1"/>
    <w:qFormat/>
    <w:uiPriority w:val="0"/>
    <w:rPr>
      <w:b/>
      <w:bCs/>
    </w:rPr>
  </w:style>
  <w:style w:type="character" w:customStyle="1" w:styleId="70">
    <w:name w:val="页码1"/>
    <w:link w:val="1"/>
    <w:qFormat/>
    <w:uiPriority w:val="0"/>
  </w:style>
  <w:style w:type="character" w:customStyle="1" w:styleId="71">
    <w:name w:val="已访问的超链接1"/>
    <w:link w:val="1"/>
    <w:qFormat/>
    <w:uiPriority w:val="0"/>
    <w:rPr>
      <w:color w:val="575656"/>
      <w:u w:val="none"/>
    </w:rPr>
  </w:style>
  <w:style w:type="character" w:customStyle="1" w:styleId="72">
    <w:name w:val="超链接1"/>
    <w:link w:val="1"/>
    <w:qFormat/>
    <w:uiPriority w:val="0"/>
    <w:rPr>
      <w:color w:val="575656"/>
      <w:u w:val="none"/>
    </w:rPr>
  </w:style>
  <w:style w:type="character" w:customStyle="1" w:styleId="73">
    <w:name w:val="批注引用1"/>
    <w:link w:val="1"/>
    <w:semiHidden/>
    <w:qFormat/>
    <w:uiPriority w:val="0"/>
    <w:rPr>
      <w:sz w:val="21"/>
      <w:szCs w:val="21"/>
    </w:rPr>
  </w:style>
  <w:style w:type="character" w:customStyle="1" w:styleId="74">
    <w:name w:val="Char Char181"/>
    <w:link w:val="1"/>
    <w:qFormat/>
    <w:uiPriority w:val="0"/>
    <w:rPr>
      <w:rFonts w:ascii="宋体" w:hAnsi="Courier New" w:eastAsia="宋体"/>
      <w:kern w:val="2"/>
      <w:sz w:val="21"/>
      <w:lang w:val="en-US" w:eastAsia="zh-CN" w:bidi="ar-SA"/>
    </w:rPr>
  </w:style>
  <w:style w:type="character" w:customStyle="1" w:styleId="75">
    <w:name w:val="纯文本 Char"/>
    <w:link w:val="1"/>
    <w:qFormat/>
    <w:uiPriority w:val="0"/>
    <w:rPr>
      <w:rFonts w:hint="eastAsia" w:ascii="宋体" w:hAnsi="Courier New" w:eastAsia="宋体"/>
      <w:kern w:val="2"/>
      <w:sz w:val="21"/>
    </w:rPr>
  </w:style>
  <w:style w:type="character" w:customStyle="1" w:styleId="76">
    <w:name w:val="批注文字 Char1"/>
    <w:link w:val="1"/>
    <w:qFormat/>
    <w:uiPriority w:val="0"/>
    <w:rPr>
      <w:rFonts w:ascii="Times New Roman" w:hAnsi="Times New Roman" w:eastAsia="宋体"/>
      <w:szCs w:val="24"/>
    </w:rPr>
  </w:style>
  <w:style w:type="character" w:customStyle="1" w:styleId="77">
    <w:name w:val="纯文本 字符1"/>
    <w:link w:val="1"/>
    <w:qFormat/>
    <w:uiPriority w:val="0"/>
    <w:rPr>
      <w:rFonts w:hint="eastAsia" w:ascii="宋体" w:hAnsi="Courier New" w:eastAsia="宋体"/>
      <w:kern w:val="2"/>
      <w:sz w:val="21"/>
      <w:szCs w:val="21"/>
    </w:rPr>
  </w:style>
  <w:style w:type="character" w:customStyle="1" w:styleId="78">
    <w:name w:val="Char Char2"/>
    <w:link w:val="1"/>
    <w:qFormat/>
    <w:uiPriority w:val="0"/>
    <w:rPr>
      <w:rFonts w:ascii="宋体" w:hAnsi="Courier New" w:eastAsia="宋体"/>
      <w:kern w:val="2"/>
      <w:sz w:val="21"/>
      <w:lang w:val="en-US" w:eastAsia="zh-CN" w:bidi="ar-SA"/>
    </w:rPr>
  </w:style>
  <w:style w:type="character" w:customStyle="1" w:styleId="79">
    <w:name w:val="bookmark-item uuid-1593432166973 code-am014remarks editdisable single-line-text-input-box-cls"/>
    <w:link w:val="1"/>
    <w:qFormat/>
    <w:uiPriority w:val="0"/>
  </w:style>
  <w:style w:type="character" w:customStyle="1" w:styleId="80">
    <w:name w:val="页眉 Char2"/>
    <w:link w:val="1"/>
    <w:semiHidden/>
    <w:qFormat/>
    <w:uiPriority w:val="0"/>
    <w:rPr>
      <w:sz w:val="18"/>
      <w:szCs w:val="18"/>
    </w:rPr>
  </w:style>
  <w:style w:type="character" w:customStyle="1" w:styleId="81">
    <w:name w:val="Char Char18"/>
    <w:link w:val="1"/>
    <w:qFormat/>
    <w:uiPriority w:val="0"/>
    <w:rPr>
      <w:rFonts w:ascii="宋体" w:hAnsi="Courier New" w:eastAsia="宋体"/>
      <w:kern w:val="2"/>
      <w:sz w:val="21"/>
      <w:lang w:val="en-US" w:eastAsia="zh-CN" w:bidi="ar-SA"/>
    </w:rPr>
  </w:style>
  <w:style w:type="character" w:customStyle="1" w:styleId="82">
    <w:name w:val="Char Char21"/>
    <w:link w:val="1"/>
    <w:qFormat/>
    <w:uiPriority w:val="0"/>
    <w:rPr>
      <w:rFonts w:eastAsia="宋体"/>
      <w:kern w:val="2"/>
      <w:sz w:val="21"/>
      <w:lang w:val="en-US" w:eastAsia="zh-CN" w:bidi="ar-SA"/>
    </w:rPr>
  </w:style>
  <w:style w:type="character" w:customStyle="1" w:styleId="83">
    <w:name w:val="apple-converted-space"/>
    <w:link w:val="1"/>
    <w:qFormat/>
    <w:uiPriority w:val="0"/>
  </w:style>
  <w:style w:type="character" w:customStyle="1" w:styleId="84">
    <w:name w:val="无间隔 Char"/>
    <w:link w:val="85"/>
    <w:qFormat/>
    <w:uiPriority w:val="0"/>
    <w:rPr>
      <w:kern w:val="2"/>
      <w:sz w:val="21"/>
      <w:szCs w:val="24"/>
      <w:lang w:bidi="ar-SA"/>
    </w:rPr>
  </w:style>
  <w:style w:type="paragraph" w:customStyle="1" w:styleId="85">
    <w:name w:val="无间隔"/>
    <w:link w:val="84"/>
    <w:qFormat/>
    <w:uiPriority w:val="0"/>
    <w:pPr>
      <w:widowControl w:val="0"/>
      <w:snapToGrid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86">
    <w:name w:val="Char Char211"/>
    <w:link w:val="1"/>
    <w:qFormat/>
    <w:uiPriority w:val="0"/>
    <w:rPr>
      <w:rFonts w:eastAsia="宋体"/>
      <w:kern w:val="2"/>
      <w:sz w:val="21"/>
      <w:lang w:val="en-US" w:eastAsia="zh-CN" w:bidi="ar-SA"/>
    </w:rPr>
  </w:style>
  <w:style w:type="character" w:customStyle="1" w:styleId="87">
    <w:name w:val="sub"/>
    <w:link w:val="1"/>
    <w:qFormat/>
    <w:uiPriority w:val="0"/>
  </w:style>
  <w:style w:type="character" w:customStyle="1" w:styleId="88">
    <w:name w:val="Char Char22"/>
    <w:link w:val="1"/>
    <w:qFormat/>
    <w:uiPriority w:val="0"/>
    <w:rPr>
      <w:rFonts w:ascii="宋体" w:hAnsi="Courier New" w:eastAsia="宋体"/>
      <w:kern w:val="2"/>
      <w:sz w:val="21"/>
      <w:lang w:val="en-US" w:eastAsia="zh-CN" w:bidi="ar-SA"/>
    </w:rPr>
  </w:style>
  <w:style w:type="character" w:customStyle="1" w:styleId="89">
    <w:name w:val="Char Char26"/>
    <w:link w:val="1"/>
    <w:qFormat/>
    <w:uiPriority w:val="0"/>
    <w:rPr>
      <w:rFonts w:ascii="Arial" w:hAnsi="Arial" w:eastAsia="黑体"/>
      <w:kern w:val="2"/>
      <w:sz w:val="21"/>
      <w:szCs w:val="21"/>
    </w:rPr>
  </w:style>
  <w:style w:type="character" w:customStyle="1" w:styleId="90">
    <w:name w:val="bookmark-item"/>
    <w:link w:val="1"/>
    <w:qFormat/>
    <w:uiPriority w:val="0"/>
  </w:style>
  <w:style w:type="character" w:customStyle="1" w:styleId="91">
    <w:name w:val="Char Char20"/>
    <w:link w:val="1"/>
    <w:qFormat/>
    <w:uiPriority w:val="0"/>
    <w:rPr>
      <w:rFonts w:eastAsia="宋体"/>
      <w:kern w:val="2"/>
      <w:sz w:val="21"/>
      <w:szCs w:val="24"/>
      <w:lang w:val="en-US" w:eastAsia="zh-CN" w:bidi="ar-SA"/>
    </w:rPr>
  </w:style>
  <w:style w:type="character" w:customStyle="1" w:styleId="92">
    <w:name w:val="Char Char3"/>
    <w:link w:val="1"/>
    <w:qFormat/>
    <w:uiPriority w:val="0"/>
    <w:rPr>
      <w:rFonts w:eastAsia="宋体"/>
      <w:kern w:val="2"/>
      <w:sz w:val="21"/>
      <w:szCs w:val="24"/>
      <w:lang w:val="en-US" w:eastAsia="zh-CN" w:bidi="ar-SA"/>
    </w:rPr>
  </w:style>
  <w:style w:type="character" w:customStyle="1" w:styleId="93">
    <w:name w:val="all-fit-info1"/>
    <w:link w:val="1"/>
    <w:qFormat/>
    <w:uiPriority w:val="0"/>
    <w:rPr>
      <w:color w:val="939393"/>
    </w:rPr>
  </w:style>
  <w:style w:type="character" w:customStyle="1" w:styleId="94">
    <w:name w:val="正文文本 Char1"/>
    <w:link w:val="1"/>
    <w:qFormat/>
    <w:uiPriority w:val="0"/>
    <w:rPr>
      <w:kern w:val="2"/>
      <w:sz w:val="21"/>
      <w:szCs w:val="24"/>
    </w:rPr>
  </w:style>
  <w:style w:type="character" w:customStyle="1" w:styleId="95">
    <w:name w:val="htd0"/>
    <w:link w:val="1"/>
    <w:qFormat/>
    <w:uiPriority w:val="0"/>
  </w:style>
  <w:style w:type="character" w:customStyle="1" w:styleId="96">
    <w:name w:val="105v1"/>
    <w:link w:val="1"/>
    <w:qFormat/>
    <w:uiPriority w:val="0"/>
    <w:rPr>
      <w:rFonts w:ascii="ˎ̥" w:hAnsi="ˎ̥"/>
      <w:sz w:val="21"/>
      <w:szCs w:val="21"/>
    </w:rPr>
  </w:style>
  <w:style w:type="character" w:customStyle="1" w:styleId="97">
    <w:name w:val="Char Char"/>
    <w:link w:val="1"/>
    <w:qFormat/>
    <w:uiPriority w:val="0"/>
    <w:rPr>
      <w:rFonts w:eastAsia="宋体"/>
      <w:kern w:val="2"/>
      <w:sz w:val="21"/>
      <w:szCs w:val="24"/>
      <w:lang w:val="en-US" w:eastAsia="zh-CN" w:bidi="ar-SA"/>
    </w:rPr>
  </w:style>
  <w:style w:type="character" w:customStyle="1" w:styleId="98">
    <w:name w:val="普通文字 Char Char2"/>
    <w:link w:val="1"/>
    <w:qFormat/>
    <w:uiPriority w:val="0"/>
    <w:rPr>
      <w:rFonts w:ascii="宋体" w:hAnsi="Courier New" w:eastAsia="宋体"/>
      <w:kern w:val="2"/>
      <w:sz w:val="21"/>
      <w:lang w:val="en-US" w:eastAsia="zh-CN" w:bidi="ar-SA"/>
    </w:rPr>
  </w:style>
  <w:style w:type="character" w:customStyle="1" w:styleId="99">
    <w:name w:val="纯文本 Char1"/>
    <w:link w:val="1"/>
    <w:qFormat/>
    <w:uiPriority w:val="0"/>
    <w:rPr>
      <w:rFonts w:ascii="宋体" w:hAnsi="Courier New" w:eastAsia="宋体"/>
      <w:kern w:val="2"/>
      <w:sz w:val="21"/>
      <w:lang w:val="en-US" w:eastAsia="zh-CN" w:bidi="ar-SA"/>
    </w:rPr>
  </w:style>
  <w:style w:type="character" w:customStyle="1" w:styleId="100">
    <w:name w:val="*正文 Char"/>
    <w:link w:val="101"/>
    <w:qFormat/>
    <w:uiPriority w:val="0"/>
    <w:rPr>
      <w:rFonts w:ascii="宋体" w:hAnsi="宋体"/>
      <w:sz w:val="24"/>
    </w:rPr>
  </w:style>
  <w:style w:type="paragraph" w:customStyle="1" w:styleId="101">
    <w:name w:val="*正文"/>
    <w:basedOn w:val="1"/>
    <w:link w:val="100"/>
    <w:qFormat/>
    <w:uiPriority w:val="0"/>
    <w:pPr>
      <w:spacing w:line="360" w:lineRule="auto"/>
      <w:ind w:firstLine="482"/>
      <w:jc w:val="left"/>
    </w:pPr>
    <w:rPr>
      <w:rFonts w:ascii="宋体" w:hAnsi="宋体"/>
      <w:kern w:val="0"/>
      <w:sz w:val="24"/>
      <w:szCs w:val="20"/>
    </w:rPr>
  </w:style>
  <w:style w:type="character" w:customStyle="1" w:styleId="102">
    <w:name w:val="bumpedfont20"/>
    <w:link w:val="1"/>
    <w:qFormat/>
    <w:uiPriority w:val="0"/>
  </w:style>
  <w:style w:type="paragraph" w:customStyle="1" w:styleId="103">
    <w:name w:val="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Char Char Char"/>
    <w:basedOn w:val="1"/>
    <w:qFormat/>
    <w:uiPriority w:val="0"/>
    <w:rPr>
      <w:rFonts w:ascii="Tahoma" w:hAnsi="Tahoma"/>
      <w:sz w:val="24"/>
      <w:szCs w:val="20"/>
    </w:rPr>
  </w:style>
  <w:style w:type="paragraph" w:customStyle="1" w:styleId="106">
    <w:name w:val="修订1"/>
    <w:qFormat/>
    <w:uiPriority w:val="0"/>
    <w:rPr>
      <w:rFonts w:ascii="Times New Roman" w:hAnsi="Times New Roman" w:eastAsia="宋体" w:cs="Times New Roman"/>
      <w:kern w:val="2"/>
      <w:sz w:val="21"/>
      <w:szCs w:val="24"/>
      <w:lang w:val="en-US" w:eastAsia="zh-CN" w:bidi="ar-SA"/>
    </w:rPr>
  </w:style>
  <w:style w:type="paragraph" w:customStyle="1" w:styleId="107">
    <w:name w:val="图"/>
    <w:basedOn w:val="1"/>
    <w:qFormat/>
    <w:uiPriority w:val="0"/>
    <w:pPr>
      <w:keepNext/>
      <w:spacing w:before="60" w:after="60" w:line="300" w:lineRule="auto"/>
      <w:jc w:val="center"/>
    </w:pPr>
    <w:rPr>
      <w:spacing w:val="20"/>
      <w:kern w:val="0"/>
      <w:sz w:val="24"/>
    </w:rPr>
  </w:style>
  <w:style w:type="paragraph" w:customStyle="1" w:styleId="108">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Char Char1"/>
    <w:basedOn w:val="1"/>
    <w:qFormat/>
    <w:uiPriority w:val="0"/>
    <w:rPr>
      <w:rFonts w:ascii="仿宋_GB2312" w:eastAsia="仿宋_GB2312"/>
      <w:b/>
      <w:sz w:val="32"/>
      <w:szCs w:val="32"/>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112">
    <w:name w:val="正文0"/>
    <w:basedOn w:val="1"/>
    <w:qFormat/>
    <w:uiPriority w:val="0"/>
    <w:pPr>
      <w:autoSpaceDE w:val="0"/>
      <w:autoSpaceDN w:val="0"/>
      <w:spacing w:before="240" w:after="60" w:line="360" w:lineRule="atLeast"/>
    </w:pPr>
    <w:rPr>
      <w:b/>
      <w:kern w:val="0"/>
      <w:sz w:val="24"/>
      <w:szCs w:val="20"/>
    </w:rPr>
  </w:style>
  <w:style w:type="paragraph" w:customStyle="1" w:styleId="113">
    <w:name w:val="Char Char Char Char1"/>
    <w:basedOn w:val="1"/>
    <w:qFormat/>
    <w:uiPriority w:val="0"/>
    <w:rPr>
      <w:rFonts w:ascii="Tahoma" w:hAnsi="Tahoma"/>
      <w:sz w:val="24"/>
      <w:szCs w:val="20"/>
    </w:rPr>
  </w:style>
  <w:style w:type="paragraph" w:customStyle="1" w:styleId="114">
    <w:name w:val="_Style 5"/>
    <w:basedOn w:val="1"/>
    <w:qFormat/>
    <w:uiPriority w:val="0"/>
    <w:pPr>
      <w:tabs>
        <w:tab w:val="left" w:pos="360"/>
      </w:tabs>
      <w:spacing w:line="360" w:lineRule="auto"/>
      <w:ind w:left="482" w:firstLine="200" w:firstLineChars="200"/>
    </w:pPr>
  </w:style>
  <w:style w:type="paragraph" w:customStyle="1" w:styleId="115">
    <w:name w:val="reader-word-layer reader-word-s1-7"/>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117">
    <w:name w:val="_Style 76"/>
    <w:basedOn w:val="1"/>
    <w:qFormat/>
    <w:uiPriority w:val="0"/>
    <w:pPr>
      <w:tabs>
        <w:tab w:val="left" w:pos="360"/>
      </w:tabs>
      <w:spacing w:line="360" w:lineRule="auto"/>
      <w:ind w:left="482" w:firstLine="200" w:firstLineChars="200"/>
    </w:pPr>
    <w:rPr>
      <w:rFonts w:ascii="宋体"/>
      <w:sz w:val="24"/>
    </w:rPr>
  </w:style>
  <w:style w:type="paragraph" w:customStyle="1" w:styleId="118">
    <w:name w:val="TOC 标题1"/>
    <w:basedOn w:val="6"/>
    <w:qFormat/>
    <w:uiPriority w:val="0"/>
    <w:pPr>
      <w:keepLines/>
      <w:widowControl/>
      <w:spacing w:before="480" w:line="276" w:lineRule="auto"/>
      <w:jc w:val="left"/>
      <w:outlineLvl w:val="9"/>
    </w:pPr>
    <w:rPr>
      <w:rFonts w:ascii="Cambria" w:hAnsi="Cambria" w:eastAsia="宋体"/>
      <w:bCs/>
      <w:color w:val="366091"/>
      <w:kern w:val="0"/>
      <w:sz w:val="28"/>
      <w:szCs w:val="28"/>
    </w:rPr>
  </w:style>
  <w:style w:type="paragraph" w:customStyle="1" w:styleId="119">
    <w:name w:val="题注5"/>
    <w:basedOn w:val="1"/>
    <w:qFormat/>
    <w:uiPriority w:val="0"/>
    <w:pPr>
      <w:jc w:val="center"/>
    </w:pPr>
    <w:rPr>
      <w:b/>
      <w:bCs/>
      <w:color w:val="000000"/>
      <w:sz w:val="24"/>
    </w:rPr>
  </w:style>
  <w:style w:type="paragraph" w:customStyle="1" w:styleId="120">
    <w:name w:val="Char2 Char Char Char"/>
    <w:basedOn w:val="1"/>
    <w:qFormat/>
    <w:uiPriority w:val="0"/>
    <w:rPr>
      <w:rFonts w:ascii="Tahoma" w:hAnsi="Tahoma"/>
      <w:sz w:val="24"/>
      <w:szCs w:val="20"/>
    </w:rPr>
  </w:style>
  <w:style w:type="paragraph" w:customStyle="1" w:styleId="121">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2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23">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
    <w:name w:val="reader-word-layer reader-word-s1-1"/>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7">
    <w:name w:val="列出段落1"/>
    <w:basedOn w:val="1"/>
    <w:qFormat/>
    <w:uiPriority w:val="0"/>
    <w:pPr>
      <w:spacing w:line="360" w:lineRule="auto"/>
      <w:ind w:firstLine="420" w:firstLineChars="200"/>
    </w:pPr>
    <w:rPr>
      <w:rFonts w:ascii="宋体" w:hAnsi="宋体"/>
      <w:sz w:val="24"/>
    </w:rPr>
  </w:style>
  <w:style w:type="paragraph" w:customStyle="1" w:styleId="12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9">
    <w:name w:val="样式1"/>
    <w:basedOn w:val="1"/>
    <w:qFormat/>
    <w:uiPriority w:val="0"/>
    <w:pPr>
      <w:tabs>
        <w:tab w:val="left" w:pos="709"/>
      </w:tabs>
      <w:ind w:left="709" w:hanging="709"/>
    </w:pPr>
    <w:rPr>
      <w:rFonts w:ascii="宋体" w:hAnsi="宋体"/>
      <w:kern w:val="0"/>
      <w:szCs w:val="21"/>
    </w:rPr>
  </w:style>
  <w:style w:type="paragraph" w:customStyle="1" w:styleId="130">
    <w:name w:val="修订2"/>
    <w:qFormat/>
    <w:uiPriority w:val="0"/>
    <w:rPr>
      <w:rFonts w:ascii="Times New Roman" w:hAnsi="Times New Roman" w:eastAsia="宋体" w:cs="Times New Roman"/>
      <w:kern w:val="2"/>
      <w:sz w:val="21"/>
      <w:szCs w:val="24"/>
      <w:lang w:val="en-US" w:eastAsia="zh-CN" w:bidi="ar-SA"/>
    </w:rPr>
  </w:style>
  <w:style w:type="paragraph" w:customStyle="1" w:styleId="131">
    <w:name w:val="列出段落11"/>
    <w:basedOn w:val="1"/>
    <w:qFormat/>
    <w:uiPriority w:val="0"/>
    <w:pPr>
      <w:ind w:firstLine="420" w:firstLineChars="200"/>
    </w:pPr>
  </w:style>
  <w:style w:type="paragraph" w:customStyle="1" w:styleId="132">
    <w:name w:val="2"/>
    <w:basedOn w:val="1"/>
    <w:qFormat/>
    <w:uiPriority w:val="0"/>
    <w:rPr>
      <w:rFonts w:ascii="宋体" w:hAnsi="Courier New"/>
      <w:szCs w:val="20"/>
    </w:rPr>
  </w:style>
  <w:style w:type="paragraph" w:customStyle="1" w:styleId="133">
    <w:name w:val="reader-word-layer reader-word-s1-14"/>
    <w:basedOn w:val="1"/>
    <w:qFormat/>
    <w:uiPriority w:val="0"/>
    <w:pPr>
      <w:widowControl/>
      <w:spacing w:before="100" w:beforeAutospacing="1" w:after="100" w:afterAutospacing="1"/>
      <w:jc w:val="left"/>
    </w:pPr>
    <w:rPr>
      <w:rFonts w:ascii="宋体" w:hAnsi="宋体"/>
      <w:kern w:val="0"/>
      <w:sz w:val="24"/>
    </w:rPr>
  </w:style>
  <w:style w:type="paragraph" w:customStyle="1" w:styleId="134">
    <w:name w:val="列出段落"/>
    <w:basedOn w:val="1"/>
    <w:qFormat/>
    <w:uiPriority w:val="0"/>
    <w:pPr>
      <w:ind w:firstLine="420" w:firstLineChars="200"/>
    </w:pPr>
    <w:rPr>
      <w:szCs w:val="21"/>
    </w:rPr>
  </w:style>
  <w:style w:type="paragraph" w:customStyle="1" w:styleId="135">
    <w:name w:val="Normal_2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Char Char Char Char2"/>
    <w:basedOn w:val="1"/>
    <w:qFormat/>
    <w:uiPriority w:val="0"/>
    <w:rPr>
      <w:rFonts w:ascii="Tahoma" w:hAnsi="Tahoma"/>
      <w:sz w:val="24"/>
      <w:szCs w:val="20"/>
    </w:rPr>
  </w:style>
  <w:style w:type="paragraph" w:customStyle="1" w:styleId="137">
    <w:name w:val="WPSOffice手动目录 1"/>
    <w:qFormat/>
    <w:uiPriority w:val="0"/>
    <w:rPr>
      <w:rFonts w:ascii="宋体" w:hAnsi="宋体" w:eastAsia="宋体" w:cs="Times New Roman"/>
      <w:lang w:val="en-US" w:eastAsia="zh-CN" w:bidi="ar-SA"/>
    </w:rPr>
  </w:style>
  <w:style w:type="paragraph" w:customStyle="1" w:styleId="138">
    <w:name w:val="列出段落2"/>
    <w:basedOn w:val="1"/>
    <w:qFormat/>
    <w:uiPriority w:val="0"/>
    <w:pPr>
      <w:spacing w:line="360" w:lineRule="auto"/>
      <w:ind w:firstLine="420" w:firstLineChars="200"/>
    </w:pPr>
    <w:rPr>
      <w:rFonts w:ascii="宋体" w:hAnsi="宋体"/>
      <w:sz w:val="24"/>
    </w:rPr>
  </w:style>
  <w:style w:type="paragraph" w:customStyle="1" w:styleId="13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Char2 Char Char Char1"/>
    <w:basedOn w:val="1"/>
    <w:qFormat/>
    <w:uiPriority w:val="0"/>
    <w:rPr>
      <w:rFonts w:ascii="Tahoma" w:hAnsi="Tahoma"/>
      <w:sz w:val="24"/>
      <w:szCs w:val="20"/>
    </w:rPr>
  </w:style>
  <w:style w:type="paragraph" w:customStyle="1" w:styleId="141">
    <w:name w:val="Revisio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51300</Words>
  <Characters>54583</Characters>
  <Lines>0</Lines>
  <Paragraphs>0</Paragraphs>
  <TotalTime>1</TotalTime>
  <ScaleCrop>false</ScaleCrop>
  <LinksUpToDate>false</LinksUpToDate>
  <CharactersWithSpaces>57075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2025-03-21T09:42:00Z</dcterms:created>
  <dc:creator>WPS_1473564006</dc:creator>
  <cp:lastModifiedBy>Administrator</cp:lastModifiedBy>
  <dcterms:modified xsi:type="dcterms:W3CDTF">2025-05-06T02:23:43Z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eyJoZGlkIjoiOWJhZWE2MzQwNmFjOGU3YTFmZmU2M2MyZjQwMzI2M2UifQ==</vt:lpwstr>
  </property>
  <property fmtid="{D5CDD505-2E9C-101B-9397-08002B2CF9AE}" pid="3" name="KSOProductBuildVer">
    <vt:lpwstr>2052-12.1.0.20784</vt:lpwstr>
  </property>
  <property fmtid="{D5CDD505-2E9C-101B-9397-08002B2CF9AE}" pid="4" name="ICV">
    <vt:lpwstr>B210F6E169D148658C9EFA3EACD1E08E_13</vt:lpwstr>
  </property>
</Properties>
</file>